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0C0932" w14:textId="77777777" w:rsidR="00823785" w:rsidRPr="00452D62" w:rsidRDefault="00823785" w:rsidP="00823785">
      <w:pPr>
        <w:rPr>
          <w:b/>
          <w:sz w:val="22"/>
          <w:szCs w:val="22"/>
          <w:lang w:val="en-US"/>
        </w:rPr>
      </w:pPr>
    </w:p>
    <w:p w14:paraId="78C9A53E" w14:textId="77777777" w:rsidR="00823785" w:rsidRPr="00452D62" w:rsidRDefault="00823785" w:rsidP="00823785">
      <w:pPr>
        <w:rPr>
          <w:b/>
          <w:sz w:val="22"/>
          <w:szCs w:val="22"/>
        </w:rPr>
      </w:pPr>
    </w:p>
    <w:p w14:paraId="6AD532CF" w14:textId="77777777" w:rsidR="00823785" w:rsidRPr="00452D62" w:rsidRDefault="00823785" w:rsidP="00823785">
      <w:pPr>
        <w:rPr>
          <w:b/>
          <w:sz w:val="22"/>
          <w:szCs w:val="22"/>
        </w:rPr>
      </w:pPr>
    </w:p>
    <w:p w14:paraId="100B0FA3" w14:textId="77777777" w:rsidR="00823785" w:rsidRPr="00452D62" w:rsidRDefault="00823785" w:rsidP="00823785">
      <w:pPr>
        <w:rPr>
          <w:b/>
          <w:sz w:val="22"/>
          <w:szCs w:val="22"/>
        </w:rPr>
      </w:pPr>
    </w:p>
    <w:p w14:paraId="13638B00" w14:textId="77777777" w:rsidR="00823785" w:rsidRPr="00452D62" w:rsidRDefault="00823785" w:rsidP="00823785">
      <w:pPr>
        <w:rPr>
          <w:b/>
          <w:sz w:val="22"/>
          <w:szCs w:val="22"/>
        </w:rPr>
      </w:pPr>
    </w:p>
    <w:p w14:paraId="6CD84DF9" w14:textId="77777777" w:rsidR="00823785" w:rsidRPr="00452D62" w:rsidRDefault="00823785" w:rsidP="00823785">
      <w:pPr>
        <w:rPr>
          <w:b/>
          <w:sz w:val="22"/>
          <w:szCs w:val="22"/>
        </w:rPr>
      </w:pPr>
    </w:p>
    <w:p w14:paraId="41343488" w14:textId="77777777" w:rsidR="00823785" w:rsidRPr="00452D62" w:rsidRDefault="00823785" w:rsidP="00823785">
      <w:pPr>
        <w:rPr>
          <w:b/>
          <w:sz w:val="22"/>
          <w:szCs w:val="22"/>
        </w:rPr>
      </w:pPr>
    </w:p>
    <w:p w14:paraId="0AD00E9D" w14:textId="77777777" w:rsidR="00823785" w:rsidRPr="00452D62" w:rsidRDefault="00823785" w:rsidP="00823785">
      <w:pPr>
        <w:rPr>
          <w:b/>
          <w:sz w:val="22"/>
          <w:szCs w:val="22"/>
        </w:rPr>
      </w:pPr>
    </w:p>
    <w:p w14:paraId="6ACD6244" w14:textId="77777777" w:rsidR="00823785" w:rsidRPr="00452D62" w:rsidRDefault="00823785" w:rsidP="00823785">
      <w:pPr>
        <w:rPr>
          <w:b/>
          <w:sz w:val="22"/>
          <w:szCs w:val="22"/>
        </w:rPr>
      </w:pPr>
    </w:p>
    <w:p w14:paraId="643FC49C" w14:textId="77777777" w:rsidR="00823785" w:rsidRPr="00452D62" w:rsidRDefault="00823785" w:rsidP="00823785">
      <w:pPr>
        <w:rPr>
          <w:b/>
          <w:sz w:val="22"/>
          <w:szCs w:val="22"/>
        </w:rPr>
      </w:pPr>
    </w:p>
    <w:p w14:paraId="7D6682E3" w14:textId="77777777" w:rsidR="00823785" w:rsidRPr="00452D62" w:rsidRDefault="00823785" w:rsidP="00823785">
      <w:pPr>
        <w:rPr>
          <w:b/>
          <w:sz w:val="22"/>
          <w:szCs w:val="22"/>
        </w:rPr>
      </w:pPr>
    </w:p>
    <w:p w14:paraId="60B84615" w14:textId="77777777" w:rsidR="00823785" w:rsidRPr="00452D62" w:rsidRDefault="00823785" w:rsidP="00823785">
      <w:pPr>
        <w:rPr>
          <w:b/>
          <w:sz w:val="22"/>
          <w:szCs w:val="22"/>
        </w:rPr>
      </w:pPr>
    </w:p>
    <w:p w14:paraId="18658B24" w14:textId="77777777" w:rsidR="00823785" w:rsidRPr="00452D62" w:rsidRDefault="00823785" w:rsidP="00823785">
      <w:pPr>
        <w:rPr>
          <w:b/>
          <w:sz w:val="22"/>
          <w:szCs w:val="22"/>
        </w:rPr>
      </w:pPr>
    </w:p>
    <w:p w14:paraId="0A97B30E" w14:textId="77777777" w:rsidR="00823785" w:rsidRPr="00452D62" w:rsidRDefault="00823785" w:rsidP="00823785">
      <w:pPr>
        <w:rPr>
          <w:b/>
          <w:sz w:val="22"/>
          <w:szCs w:val="22"/>
        </w:rPr>
      </w:pPr>
    </w:p>
    <w:p w14:paraId="78BCE4CB" w14:textId="77777777" w:rsidR="00823785" w:rsidRPr="00452D62" w:rsidRDefault="00823785" w:rsidP="00823785">
      <w:pPr>
        <w:rPr>
          <w:b/>
          <w:sz w:val="22"/>
          <w:szCs w:val="22"/>
        </w:rPr>
      </w:pPr>
    </w:p>
    <w:p w14:paraId="01A22F3E" w14:textId="77777777" w:rsidR="00823785" w:rsidRPr="00452D62" w:rsidRDefault="00823785" w:rsidP="00823785">
      <w:pPr>
        <w:rPr>
          <w:b/>
          <w:sz w:val="22"/>
          <w:szCs w:val="22"/>
        </w:rPr>
      </w:pPr>
    </w:p>
    <w:p w14:paraId="45FB1BCA" w14:textId="77777777" w:rsidR="00823785" w:rsidRPr="00452D62" w:rsidRDefault="00823785" w:rsidP="00823785">
      <w:pPr>
        <w:rPr>
          <w:b/>
          <w:sz w:val="22"/>
          <w:szCs w:val="22"/>
        </w:rPr>
      </w:pPr>
    </w:p>
    <w:p w14:paraId="4D65EC0D" w14:textId="77777777" w:rsidR="00823785" w:rsidRPr="00452D62" w:rsidRDefault="00823785" w:rsidP="00823785">
      <w:pPr>
        <w:rPr>
          <w:b/>
          <w:sz w:val="22"/>
          <w:szCs w:val="22"/>
        </w:rPr>
      </w:pPr>
    </w:p>
    <w:p w14:paraId="5A1D8198" w14:textId="77777777" w:rsidR="00823785" w:rsidRPr="00452D62" w:rsidRDefault="00823785" w:rsidP="00823785">
      <w:pPr>
        <w:rPr>
          <w:b/>
          <w:sz w:val="22"/>
          <w:szCs w:val="22"/>
        </w:rPr>
      </w:pPr>
    </w:p>
    <w:p w14:paraId="39017A03" w14:textId="77777777" w:rsidR="00823785" w:rsidRPr="00452D62" w:rsidRDefault="00823785" w:rsidP="00823785">
      <w:pPr>
        <w:rPr>
          <w:b/>
          <w:sz w:val="22"/>
          <w:szCs w:val="22"/>
        </w:rPr>
      </w:pPr>
    </w:p>
    <w:p w14:paraId="08B29E1C" w14:textId="77777777" w:rsidR="00823785" w:rsidRPr="00452D62" w:rsidRDefault="00823785" w:rsidP="00823785">
      <w:pPr>
        <w:rPr>
          <w:b/>
          <w:sz w:val="22"/>
          <w:szCs w:val="22"/>
        </w:rPr>
      </w:pPr>
    </w:p>
    <w:p w14:paraId="4768438E" w14:textId="77777777" w:rsidR="00823785" w:rsidRPr="00452D62" w:rsidRDefault="00823785" w:rsidP="00823785">
      <w:pPr>
        <w:rPr>
          <w:b/>
          <w:sz w:val="22"/>
          <w:szCs w:val="22"/>
        </w:rPr>
      </w:pPr>
    </w:p>
    <w:p w14:paraId="05F47EF3" w14:textId="77777777" w:rsidR="00823785" w:rsidRPr="00452D62" w:rsidRDefault="00823785" w:rsidP="00823785">
      <w:pPr>
        <w:jc w:val="center"/>
        <w:rPr>
          <w:b/>
          <w:sz w:val="22"/>
          <w:szCs w:val="22"/>
        </w:rPr>
      </w:pPr>
    </w:p>
    <w:p w14:paraId="0FB6D405" w14:textId="2143FF82" w:rsidR="00823785" w:rsidRPr="00452D62" w:rsidRDefault="00823785" w:rsidP="00823785">
      <w:pPr>
        <w:jc w:val="center"/>
        <w:rPr>
          <w:sz w:val="22"/>
          <w:szCs w:val="22"/>
        </w:rPr>
      </w:pPr>
      <w:r w:rsidRPr="00452D62">
        <w:rPr>
          <w:b/>
          <w:sz w:val="22"/>
          <w:szCs w:val="22"/>
        </w:rPr>
        <w:t>I PRIEDAS</w:t>
      </w:r>
    </w:p>
    <w:p w14:paraId="73F08FF1" w14:textId="77777777" w:rsidR="00823785" w:rsidRPr="00452D62" w:rsidRDefault="00823785" w:rsidP="00823785">
      <w:pPr>
        <w:jc w:val="center"/>
        <w:rPr>
          <w:sz w:val="22"/>
          <w:szCs w:val="22"/>
        </w:rPr>
      </w:pPr>
    </w:p>
    <w:p w14:paraId="6ECEFF5E" w14:textId="77777777" w:rsidR="00823785" w:rsidRPr="00452D62" w:rsidRDefault="00823785" w:rsidP="00823785">
      <w:pPr>
        <w:jc w:val="center"/>
        <w:rPr>
          <w:b/>
          <w:sz w:val="22"/>
          <w:szCs w:val="22"/>
        </w:rPr>
      </w:pPr>
      <w:r w:rsidRPr="00452D62">
        <w:rPr>
          <w:b/>
          <w:sz w:val="22"/>
          <w:szCs w:val="22"/>
        </w:rPr>
        <w:t>PREPARATO CHARAKTERISTIKŲ SANTRAUKA</w:t>
      </w:r>
    </w:p>
    <w:p w14:paraId="1627ABDE" w14:textId="77777777" w:rsidR="00823785" w:rsidRPr="00452D62" w:rsidRDefault="00823785" w:rsidP="00823785">
      <w:pPr>
        <w:widowControl w:val="0"/>
        <w:suppressAutoHyphens w:val="0"/>
        <w:spacing w:line="240" w:lineRule="auto"/>
        <w:ind w:left="567" w:hanging="567"/>
        <w:outlineLvl w:val="1"/>
        <w:rPr>
          <w:b/>
          <w:iCs/>
          <w:sz w:val="22"/>
          <w:szCs w:val="22"/>
        </w:rPr>
      </w:pPr>
      <w:r w:rsidRPr="00452D62">
        <w:rPr>
          <w:color w:val="auto"/>
          <w:sz w:val="22"/>
          <w:szCs w:val="22"/>
          <w:lang w:eastAsia="en-US"/>
        </w:rPr>
        <w:br w:type="page"/>
      </w:r>
      <w:r w:rsidRPr="00452D62">
        <w:rPr>
          <w:b/>
          <w:sz w:val="22"/>
          <w:szCs w:val="22"/>
        </w:rPr>
        <w:lastRenderedPageBreak/>
        <w:t>1.</w:t>
      </w:r>
      <w:r w:rsidRPr="00452D62">
        <w:rPr>
          <w:b/>
          <w:sz w:val="22"/>
          <w:szCs w:val="22"/>
        </w:rPr>
        <w:tab/>
        <w:t xml:space="preserve">VAISTINIO PREPARATO </w:t>
      </w:r>
      <w:r w:rsidRPr="00452D62">
        <w:rPr>
          <w:b/>
          <w:bCs/>
          <w:color w:val="auto"/>
          <w:sz w:val="22"/>
          <w:szCs w:val="22"/>
          <w:lang w:eastAsia="en-US"/>
        </w:rPr>
        <w:t>PAVADINIMAS</w:t>
      </w:r>
    </w:p>
    <w:p w14:paraId="0AF91AB9" w14:textId="77777777" w:rsidR="00823785" w:rsidRPr="00452D62" w:rsidRDefault="00823785" w:rsidP="00823785">
      <w:pPr>
        <w:rPr>
          <w:iCs/>
          <w:sz w:val="22"/>
          <w:szCs w:val="22"/>
        </w:rPr>
      </w:pPr>
    </w:p>
    <w:p w14:paraId="1182F218" w14:textId="77777777" w:rsidR="00823785" w:rsidRPr="00452D62" w:rsidRDefault="00823785" w:rsidP="00823785">
      <w:pPr>
        <w:widowControl w:val="0"/>
        <w:rPr>
          <w:iCs/>
          <w:sz w:val="22"/>
          <w:szCs w:val="22"/>
        </w:rPr>
      </w:pPr>
      <w:r w:rsidRPr="00452D62">
        <w:rPr>
          <w:sz w:val="22"/>
          <w:szCs w:val="22"/>
          <w:lang w:eastAsia="en-US"/>
        </w:rPr>
        <w:t>Xerdoxo</w:t>
      </w:r>
      <w:r w:rsidRPr="00452D62">
        <w:rPr>
          <w:sz w:val="22"/>
          <w:szCs w:val="22"/>
        </w:rPr>
        <w:t xml:space="preserve"> 2,5 mg plėvele dengtos tabletės</w:t>
      </w:r>
    </w:p>
    <w:p w14:paraId="678E2FC0" w14:textId="77777777" w:rsidR="00823785" w:rsidRPr="00452D62" w:rsidRDefault="00823785" w:rsidP="00823785">
      <w:pPr>
        <w:rPr>
          <w:iCs/>
          <w:sz w:val="22"/>
          <w:szCs w:val="22"/>
        </w:rPr>
      </w:pPr>
    </w:p>
    <w:p w14:paraId="54CAB8F5" w14:textId="77777777" w:rsidR="00823785" w:rsidRPr="00452D62" w:rsidRDefault="00823785" w:rsidP="00823785">
      <w:pPr>
        <w:rPr>
          <w:iCs/>
          <w:sz w:val="22"/>
          <w:szCs w:val="22"/>
        </w:rPr>
      </w:pPr>
    </w:p>
    <w:p w14:paraId="0026718A" w14:textId="77777777" w:rsidR="00823785" w:rsidRPr="00452D62" w:rsidRDefault="00823785" w:rsidP="00823785">
      <w:pPr>
        <w:widowControl w:val="0"/>
        <w:suppressAutoHyphens w:val="0"/>
        <w:spacing w:line="240" w:lineRule="auto"/>
        <w:ind w:left="567" w:hanging="567"/>
        <w:outlineLvl w:val="1"/>
        <w:rPr>
          <w:b/>
          <w:bCs/>
          <w:color w:val="auto"/>
          <w:sz w:val="22"/>
          <w:szCs w:val="22"/>
          <w:lang w:eastAsia="en-US"/>
        </w:rPr>
      </w:pPr>
      <w:r w:rsidRPr="00452D62">
        <w:rPr>
          <w:b/>
          <w:bCs/>
          <w:color w:val="auto"/>
          <w:sz w:val="22"/>
          <w:szCs w:val="22"/>
          <w:lang w:eastAsia="en-US"/>
        </w:rPr>
        <w:t>2.</w:t>
      </w:r>
      <w:r w:rsidRPr="00452D62">
        <w:rPr>
          <w:b/>
          <w:bCs/>
          <w:color w:val="auto"/>
          <w:sz w:val="22"/>
          <w:szCs w:val="22"/>
          <w:lang w:eastAsia="en-US"/>
        </w:rPr>
        <w:tab/>
        <w:t>KOKYBINĖ IR KIEKYBINĖ SUDĖTIS</w:t>
      </w:r>
    </w:p>
    <w:p w14:paraId="5DDE6923" w14:textId="77777777" w:rsidR="00823785" w:rsidRPr="00452D62" w:rsidRDefault="00823785" w:rsidP="00823785">
      <w:pPr>
        <w:rPr>
          <w:iCs/>
          <w:sz w:val="22"/>
          <w:szCs w:val="22"/>
        </w:rPr>
      </w:pPr>
    </w:p>
    <w:p w14:paraId="387451C9" w14:textId="77777777" w:rsidR="00823785" w:rsidRPr="00452D62" w:rsidRDefault="00823785" w:rsidP="00823785">
      <w:pPr>
        <w:rPr>
          <w:sz w:val="22"/>
          <w:szCs w:val="22"/>
        </w:rPr>
      </w:pPr>
      <w:r w:rsidRPr="00452D62">
        <w:rPr>
          <w:sz w:val="22"/>
          <w:szCs w:val="22"/>
        </w:rPr>
        <w:t>Kiekvienoje plėvele dengtoje tabletėje yra 2,5 mg rivaroksabano.</w:t>
      </w:r>
    </w:p>
    <w:p w14:paraId="61726DB9" w14:textId="77777777" w:rsidR="00823785" w:rsidRPr="00452D62" w:rsidRDefault="00823785" w:rsidP="00823785">
      <w:pPr>
        <w:rPr>
          <w:sz w:val="22"/>
          <w:szCs w:val="22"/>
        </w:rPr>
      </w:pPr>
    </w:p>
    <w:p w14:paraId="7DE84D03" w14:textId="77777777" w:rsidR="00823785" w:rsidRPr="00452D62" w:rsidRDefault="00823785" w:rsidP="00823785">
      <w:pPr>
        <w:rPr>
          <w:b/>
          <w:bCs/>
          <w:sz w:val="22"/>
          <w:szCs w:val="22"/>
        </w:rPr>
      </w:pPr>
      <w:r w:rsidRPr="00452D62">
        <w:rPr>
          <w:sz w:val="22"/>
          <w:szCs w:val="22"/>
        </w:rPr>
        <w:t>Visos pagalbinės medžiagos išvardytos 6.1 skyriuje.</w:t>
      </w:r>
    </w:p>
    <w:p w14:paraId="53DF6121" w14:textId="77777777" w:rsidR="00823785" w:rsidRPr="00452D62" w:rsidRDefault="00823785" w:rsidP="00823785">
      <w:pPr>
        <w:ind w:left="567" w:hanging="568"/>
        <w:rPr>
          <w:sz w:val="22"/>
          <w:szCs w:val="22"/>
        </w:rPr>
      </w:pPr>
    </w:p>
    <w:p w14:paraId="3B9DFE57" w14:textId="77777777" w:rsidR="00823785" w:rsidRPr="00452D62" w:rsidRDefault="00823785" w:rsidP="00823785">
      <w:pPr>
        <w:ind w:left="567" w:hanging="568"/>
        <w:rPr>
          <w:sz w:val="22"/>
          <w:szCs w:val="22"/>
        </w:rPr>
      </w:pPr>
    </w:p>
    <w:p w14:paraId="373310CB" w14:textId="77777777" w:rsidR="00823785" w:rsidRPr="00452D62" w:rsidRDefault="00823785" w:rsidP="00823785">
      <w:pPr>
        <w:widowControl w:val="0"/>
        <w:suppressAutoHyphens w:val="0"/>
        <w:spacing w:line="240" w:lineRule="auto"/>
        <w:ind w:left="567" w:hanging="567"/>
        <w:outlineLvl w:val="1"/>
        <w:rPr>
          <w:b/>
          <w:bCs/>
          <w:color w:val="auto"/>
          <w:sz w:val="22"/>
          <w:szCs w:val="22"/>
          <w:lang w:eastAsia="en-US"/>
        </w:rPr>
      </w:pPr>
      <w:r w:rsidRPr="00452D62">
        <w:rPr>
          <w:b/>
          <w:bCs/>
          <w:color w:val="auto"/>
          <w:sz w:val="22"/>
          <w:szCs w:val="22"/>
          <w:lang w:eastAsia="en-US"/>
        </w:rPr>
        <w:t>3.</w:t>
      </w:r>
      <w:r w:rsidRPr="00452D62">
        <w:rPr>
          <w:b/>
          <w:bCs/>
          <w:color w:val="auto"/>
          <w:sz w:val="22"/>
          <w:szCs w:val="22"/>
          <w:lang w:eastAsia="en-US"/>
        </w:rPr>
        <w:tab/>
        <w:t>FARMACINĖ FORMA</w:t>
      </w:r>
    </w:p>
    <w:p w14:paraId="3D1816A2" w14:textId="77777777" w:rsidR="00823785" w:rsidRPr="00452D62" w:rsidRDefault="00823785" w:rsidP="00823785">
      <w:pPr>
        <w:rPr>
          <w:sz w:val="22"/>
          <w:szCs w:val="22"/>
        </w:rPr>
      </w:pPr>
    </w:p>
    <w:p w14:paraId="60292B5A" w14:textId="77777777" w:rsidR="00823785" w:rsidRPr="00452D62" w:rsidRDefault="00823785" w:rsidP="00823785">
      <w:pPr>
        <w:rPr>
          <w:sz w:val="22"/>
          <w:szCs w:val="22"/>
        </w:rPr>
      </w:pPr>
      <w:r w:rsidRPr="00452D62">
        <w:rPr>
          <w:sz w:val="22"/>
          <w:szCs w:val="22"/>
        </w:rPr>
        <w:t>Plėvele dengta tabletė (tabletė)</w:t>
      </w:r>
    </w:p>
    <w:p w14:paraId="2671081E" w14:textId="77777777" w:rsidR="00823785" w:rsidRPr="00452D62" w:rsidRDefault="00823785" w:rsidP="00823785">
      <w:pPr>
        <w:rPr>
          <w:sz w:val="22"/>
          <w:szCs w:val="22"/>
        </w:rPr>
      </w:pPr>
    </w:p>
    <w:p w14:paraId="59513A5E" w14:textId="77777777" w:rsidR="00823785" w:rsidRPr="00452D62" w:rsidRDefault="00823785" w:rsidP="00823785">
      <w:pPr>
        <w:rPr>
          <w:sz w:val="22"/>
          <w:szCs w:val="22"/>
        </w:rPr>
      </w:pPr>
      <w:r w:rsidRPr="00452D62">
        <w:rPr>
          <w:sz w:val="22"/>
          <w:szCs w:val="22"/>
        </w:rPr>
        <w:t>Šviesiai rusvai geltona arba rusvai geltona, apvali, šiek tiek abipus išgaubta, plėvele dengta tabletė, kurios vienoje pusėje įspausta „2.5“.</w:t>
      </w:r>
    </w:p>
    <w:p w14:paraId="1C390F54" w14:textId="77777777" w:rsidR="00823785" w:rsidRPr="00452D62" w:rsidRDefault="00823785" w:rsidP="00823785">
      <w:pPr>
        <w:rPr>
          <w:sz w:val="22"/>
          <w:szCs w:val="22"/>
        </w:rPr>
      </w:pPr>
      <w:r w:rsidRPr="00452D62">
        <w:rPr>
          <w:sz w:val="22"/>
          <w:szCs w:val="22"/>
        </w:rPr>
        <w:t>Išmatavimai: skersmuo − apytiksliai 6,5 mm.</w:t>
      </w:r>
    </w:p>
    <w:p w14:paraId="540DC190" w14:textId="77777777" w:rsidR="00823785" w:rsidRPr="00452D62" w:rsidRDefault="00823785" w:rsidP="00823785">
      <w:pPr>
        <w:rPr>
          <w:sz w:val="22"/>
          <w:szCs w:val="22"/>
        </w:rPr>
      </w:pPr>
    </w:p>
    <w:p w14:paraId="2EC7860F" w14:textId="77777777" w:rsidR="00823785" w:rsidRPr="00452D62" w:rsidRDefault="00823785" w:rsidP="00823785">
      <w:pPr>
        <w:rPr>
          <w:sz w:val="22"/>
          <w:szCs w:val="22"/>
        </w:rPr>
      </w:pPr>
    </w:p>
    <w:p w14:paraId="376EB1A3" w14:textId="77777777" w:rsidR="00823785" w:rsidRPr="00452D62" w:rsidRDefault="00823785" w:rsidP="00823785">
      <w:pPr>
        <w:widowControl w:val="0"/>
        <w:suppressAutoHyphens w:val="0"/>
        <w:spacing w:line="240" w:lineRule="auto"/>
        <w:ind w:left="567" w:hanging="567"/>
        <w:outlineLvl w:val="1"/>
        <w:rPr>
          <w:b/>
          <w:bCs/>
          <w:color w:val="auto"/>
          <w:sz w:val="22"/>
          <w:szCs w:val="22"/>
          <w:lang w:eastAsia="en-US"/>
        </w:rPr>
      </w:pPr>
      <w:r w:rsidRPr="00452D62">
        <w:rPr>
          <w:b/>
          <w:bCs/>
          <w:color w:val="auto"/>
          <w:sz w:val="22"/>
          <w:szCs w:val="22"/>
          <w:lang w:eastAsia="en-US"/>
        </w:rPr>
        <w:t>4.</w:t>
      </w:r>
      <w:r w:rsidRPr="00452D62">
        <w:rPr>
          <w:b/>
          <w:bCs/>
          <w:color w:val="auto"/>
          <w:sz w:val="22"/>
          <w:szCs w:val="22"/>
          <w:lang w:eastAsia="en-US"/>
        </w:rPr>
        <w:tab/>
        <w:t>KLINIKINĖ INFORMACIJA</w:t>
      </w:r>
    </w:p>
    <w:p w14:paraId="2CA178EE" w14:textId="77777777" w:rsidR="00823785" w:rsidRPr="00452D62" w:rsidRDefault="00823785" w:rsidP="00823785">
      <w:pPr>
        <w:rPr>
          <w:sz w:val="22"/>
          <w:szCs w:val="22"/>
        </w:rPr>
      </w:pPr>
    </w:p>
    <w:p w14:paraId="49A91D93"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4.1</w:t>
      </w:r>
      <w:r w:rsidRPr="00452D62">
        <w:rPr>
          <w:b/>
          <w:color w:val="auto"/>
          <w:kern w:val="28"/>
          <w:sz w:val="22"/>
          <w:szCs w:val="22"/>
          <w:lang w:eastAsia="en-US"/>
        </w:rPr>
        <w:tab/>
        <w:t>Terapinės indikacijos</w:t>
      </w:r>
    </w:p>
    <w:p w14:paraId="77E06571" w14:textId="77777777" w:rsidR="00823785" w:rsidRPr="00452D62" w:rsidRDefault="00823785" w:rsidP="00823785">
      <w:pPr>
        <w:rPr>
          <w:sz w:val="22"/>
          <w:szCs w:val="22"/>
        </w:rPr>
      </w:pPr>
    </w:p>
    <w:p w14:paraId="76A0A678" w14:textId="11D6DE27" w:rsidR="00823785" w:rsidRPr="00452D62" w:rsidRDefault="00823785" w:rsidP="00823785">
      <w:pPr>
        <w:rPr>
          <w:sz w:val="22"/>
          <w:szCs w:val="22"/>
        </w:rPr>
      </w:pPr>
      <w:r w:rsidRPr="00452D62">
        <w:rPr>
          <w:sz w:val="22"/>
          <w:szCs w:val="22"/>
          <w:lang w:eastAsia="en-US"/>
        </w:rPr>
        <w:t>Xerdoxo</w:t>
      </w:r>
      <w:r w:rsidRPr="00452D62">
        <w:rPr>
          <w:sz w:val="22"/>
          <w:szCs w:val="22"/>
        </w:rPr>
        <w:t>, derinyje su acetilsalicilo rūgštimi (ASR) arba su ASR ir klopidogreliu ar tiklopidinu, skirtas vartoti aterotrombozinių reiškinių profilaktikai suaugusiems pacientams, patyrusiems ūminį koronarinį sindromą (ŪKS) su padidėjusiais kardialiniais biologiniais žymenimis (žr. 4.3, 4.4 ir 5.1 skyrius).</w:t>
      </w:r>
    </w:p>
    <w:p w14:paraId="0C1F44B4" w14:textId="77777777" w:rsidR="00823785" w:rsidRPr="00452D62" w:rsidRDefault="00823785" w:rsidP="00823785">
      <w:pPr>
        <w:rPr>
          <w:sz w:val="22"/>
          <w:szCs w:val="22"/>
        </w:rPr>
      </w:pPr>
    </w:p>
    <w:p w14:paraId="269B71A7" w14:textId="77777777" w:rsidR="00823785" w:rsidRPr="00452D62" w:rsidRDefault="00823785" w:rsidP="00823785">
      <w:pPr>
        <w:rPr>
          <w:sz w:val="22"/>
          <w:szCs w:val="22"/>
        </w:rPr>
      </w:pPr>
      <w:r w:rsidRPr="00452D62">
        <w:rPr>
          <w:sz w:val="22"/>
          <w:szCs w:val="22"/>
          <w:lang w:eastAsia="en-US"/>
        </w:rPr>
        <w:t>Xerdoxo</w:t>
      </w:r>
      <w:r w:rsidRPr="00452D62">
        <w:rPr>
          <w:sz w:val="22"/>
          <w:szCs w:val="22"/>
        </w:rPr>
        <w:t>, derinyje su acetilsalicilo rūgštimi (ASR), skirtas vartoti aterotrombozinių reiškinių profilaktikai suaugusiems pacientams, sergantiems vainikinių arterijų liga (VAL) arba simptomine periferinių arterijų liga (PAL), esant didelei išeminių reiškinių rizikai.</w:t>
      </w:r>
    </w:p>
    <w:p w14:paraId="3463D95A" w14:textId="77777777" w:rsidR="00823785" w:rsidRPr="00452D62" w:rsidRDefault="00823785" w:rsidP="00823785">
      <w:pPr>
        <w:rPr>
          <w:sz w:val="22"/>
          <w:szCs w:val="22"/>
        </w:rPr>
      </w:pPr>
    </w:p>
    <w:p w14:paraId="759628AF" w14:textId="77777777" w:rsidR="00823785" w:rsidRPr="00452D62" w:rsidRDefault="00823785" w:rsidP="00823785">
      <w:pPr>
        <w:widowControl w:val="0"/>
        <w:suppressAutoHyphens w:val="0"/>
        <w:spacing w:line="240" w:lineRule="auto"/>
        <w:ind w:left="567" w:hanging="567"/>
        <w:outlineLvl w:val="2"/>
        <w:rPr>
          <w:sz w:val="22"/>
          <w:szCs w:val="22"/>
        </w:rPr>
      </w:pPr>
      <w:r w:rsidRPr="00452D62">
        <w:rPr>
          <w:b/>
          <w:color w:val="auto"/>
          <w:kern w:val="28"/>
          <w:sz w:val="22"/>
          <w:szCs w:val="22"/>
          <w:lang w:eastAsia="en-US"/>
        </w:rPr>
        <w:t>4.2</w:t>
      </w:r>
      <w:r w:rsidRPr="00452D62">
        <w:rPr>
          <w:b/>
          <w:color w:val="auto"/>
          <w:kern w:val="28"/>
          <w:sz w:val="22"/>
          <w:szCs w:val="22"/>
          <w:lang w:eastAsia="en-US"/>
        </w:rPr>
        <w:tab/>
        <w:t>Dozavimas ir vartojimo metodas</w:t>
      </w:r>
    </w:p>
    <w:p w14:paraId="1CA3BD5C" w14:textId="77777777" w:rsidR="00823785" w:rsidRPr="00452D62" w:rsidRDefault="00823785" w:rsidP="00823785">
      <w:pPr>
        <w:rPr>
          <w:sz w:val="22"/>
          <w:szCs w:val="22"/>
        </w:rPr>
      </w:pPr>
    </w:p>
    <w:p w14:paraId="50A42898" w14:textId="77777777" w:rsidR="00823785" w:rsidRPr="00452D62" w:rsidRDefault="00823785" w:rsidP="00823785">
      <w:pPr>
        <w:rPr>
          <w:sz w:val="22"/>
          <w:szCs w:val="22"/>
          <w:u w:val="single"/>
        </w:rPr>
      </w:pPr>
      <w:r w:rsidRPr="00452D62">
        <w:rPr>
          <w:sz w:val="22"/>
          <w:szCs w:val="22"/>
          <w:u w:val="single"/>
        </w:rPr>
        <w:t>Dozavimas</w:t>
      </w:r>
    </w:p>
    <w:p w14:paraId="44B63592" w14:textId="77777777" w:rsidR="00823785" w:rsidRPr="00452D62" w:rsidRDefault="00823785" w:rsidP="00823785">
      <w:pPr>
        <w:rPr>
          <w:iCs/>
          <w:sz w:val="22"/>
          <w:szCs w:val="22"/>
        </w:rPr>
      </w:pPr>
      <w:r w:rsidRPr="00452D62">
        <w:rPr>
          <w:iCs/>
          <w:sz w:val="22"/>
          <w:szCs w:val="22"/>
        </w:rPr>
        <w:t>Rekomenduojama dozė yra 2,5 mg du kartus per parą.</w:t>
      </w:r>
    </w:p>
    <w:p w14:paraId="1D320087" w14:textId="77777777" w:rsidR="00823785" w:rsidRPr="00452D62" w:rsidRDefault="00823785" w:rsidP="00823785">
      <w:pPr>
        <w:rPr>
          <w:iCs/>
          <w:sz w:val="22"/>
          <w:szCs w:val="22"/>
        </w:rPr>
      </w:pPr>
    </w:p>
    <w:p w14:paraId="224AF065" w14:textId="77777777" w:rsidR="00823785" w:rsidRPr="00452D62" w:rsidRDefault="00823785" w:rsidP="00823785">
      <w:pPr>
        <w:numPr>
          <w:ilvl w:val="0"/>
          <w:numId w:val="9"/>
        </w:numPr>
        <w:ind w:left="567" w:hanging="567"/>
        <w:rPr>
          <w:iCs/>
          <w:sz w:val="22"/>
          <w:szCs w:val="22"/>
          <w:u w:val="single"/>
        </w:rPr>
      </w:pPr>
      <w:r w:rsidRPr="00452D62">
        <w:rPr>
          <w:i/>
          <w:sz w:val="22"/>
          <w:szCs w:val="22"/>
          <w:u w:val="single"/>
        </w:rPr>
        <w:t>ŪKS</w:t>
      </w:r>
    </w:p>
    <w:p w14:paraId="2FF512C2" w14:textId="77777777" w:rsidR="00823785" w:rsidRPr="00452D62" w:rsidRDefault="00823785" w:rsidP="00823785">
      <w:pPr>
        <w:rPr>
          <w:iCs/>
          <w:sz w:val="22"/>
          <w:szCs w:val="22"/>
        </w:rPr>
      </w:pPr>
      <w:r w:rsidRPr="00452D62">
        <w:rPr>
          <w:iCs/>
          <w:sz w:val="22"/>
          <w:szCs w:val="22"/>
        </w:rPr>
        <w:t>Pacientai, du kartus per parą vartojantys Xerdoxo 2,5 mg dozę, taip pat turi vartoti 75</w:t>
      </w:r>
      <w:r w:rsidRPr="00452D62">
        <w:rPr>
          <w:iCs/>
          <w:sz w:val="22"/>
          <w:szCs w:val="22"/>
        </w:rPr>
        <w:noBreakHyphen/>
        <w:t>100 mg ASR paros dozę arba 75</w:t>
      </w:r>
      <w:r w:rsidRPr="00452D62">
        <w:rPr>
          <w:iCs/>
          <w:sz w:val="22"/>
          <w:szCs w:val="22"/>
        </w:rPr>
        <w:noBreakHyphen/>
        <w:t>100 mg ASR paros dozę kartu su 75 mg klopidogrelio arba su standartine tiklopidino paros doze.</w:t>
      </w:r>
    </w:p>
    <w:p w14:paraId="67DD5B90" w14:textId="77777777" w:rsidR="00823785" w:rsidRPr="00452D62" w:rsidRDefault="00823785" w:rsidP="00823785">
      <w:pPr>
        <w:rPr>
          <w:iCs/>
          <w:sz w:val="22"/>
          <w:szCs w:val="22"/>
        </w:rPr>
      </w:pPr>
    </w:p>
    <w:p w14:paraId="320EA145" w14:textId="7B153BAE" w:rsidR="00823785" w:rsidRPr="00452D62" w:rsidRDefault="00823785" w:rsidP="00823785">
      <w:pPr>
        <w:rPr>
          <w:iCs/>
          <w:sz w:val="22"/>
          <w:szCs w:val="22"/>
        </w:rPr>
      </w:pPr>
      <w:r w:rsidRPr="00452D62">
        <w:rPr>
          <w:iCs/>
          <w:sz w:val="22"/>
          <w:szCs w:val="22"/>
        </w:rPr>
        <w:t>Reikia periodiškai peržiūrėti kiekvieno paciento gydymą, įvertinant išeminių reiškinių riziką ir kraujavimo riziką. Ilgiau kaip 12 mėnesių galima gydyti tik individualiais atvejais, nes gydymo iki 24 mėnesių patirtis yra ribota (žr. 5.1 skyrių).</w:t>
      </w:r>
    </w:p>
    <w:p w14:paraId="764D9480" w14:textId="77777777" w:rsidR="00823785" w:rsidRPr="00452D62" w:rsidRDefault="00823785" w:rsidP="00823785">
      <w:pPr>
        <w:rPr>
          <w:iCs/>
          <w:sz w:val="22"/>
          <w:szCs w:val="22"/>
        </w:rPr>
      </w:pPr>
    </w:p>
    <w:p w14:paraId="1946FACC" w14:textId="77777777" w:rsidR="00823785" w:rsidRPr="00452D62" w:rsidRDefault="00823785" w:rsidP="00823785">
      <w:pPr>
        <w:rPr>
          <w:iCs/>
          <w:sz w:val="22"/>
          <w:szCs w:val="22"/>
        </w:rPr>
      </w:pPr>
      <w:r w:rsidRPr="00452D62">
        <w:rPr>
          <w:iCs/>
          <w:sz w:val="22"/>
          <w:szCs w:val="22"/>
        </w:rPr>
        <w:t>Stabilizavus ŪKS reiškinį (įskaitant revaskuliarizacijos procedūras), gydymą Xerdoxo reikia pradėti per pirmąsias 24 valandas po hospitalizavimo ir kai įprastai nutraukiamas parenterinis gydymas antikoaguliantais.</w:t>
      </w:r>
    </w:p>
    <w:p w14:paraId="5310272B" w14:textId="77777777" w:rsidR="00823785" w:rsidRPr="00452D62" w:rsidRDefault="00823785" w:rsidP="00823785">
      <w:pPr>
        <w:rPr>
          <w:iCs/>
          <w:sz w:val="22"/>
          <w:szCs w:val="22"/>
        </w:rPr>
      </w:pPr>
    </w:p>
    <w:p w14:paraId="2DBB8C44" w14:textId="77777777" w:rsidR="00823785" w:rsidRPr="00452D62" w:rsidRDefault="00823785" w:rsidP="00823785">
      <w:pPr>
        <w:numPr>
          <w:ilvl w:val="0"/>
          <w:numId w:val="9"/>
        </w:numPr>
        <w:ind w:left="567" w:hanging="567"/>
        <w:rPr>
          <w:i/>
          <w:sz w:val="22"/>
          <w:szCs w:val="22"/>
          <w:u w:val="single"/>
        </w:rPr>
      </w:pPr>
      <w:r w:rsidRPr="00452D62">
        <w:rPr>
          <w:i/>
          <w:sz w:val="22"/>
          <w:szCs w:val="22"/>
          <w:u w:val="single"/>
        </w:rPr>
        <w:t>VAL arba PAL</w:t>
      </w:r>
    </w:p>
    <w:p w14:paraId="0F00D8E9" w14:textId="77777777" w:rsidR="00823785" w:rsidRPr="00452D62" w:rsidRDefault="00823785" w:rsidP="00823785">
      <w:pPr>
        <w:rPr>
          <w:iCs/>
          <w:sz w:val="22"/>
          <w:szCs w:val="22"/>
        </w:rPr>
      </w:pPr>
      <w:r w:rsidRPr="00452D62">
        <w:rPr>
          <w:iCs/>
          <w:sz w:val="22"/>
          <w:szCs w:val="22"/>
        </w:rPr>
        <w:t>Pacientai, du kartus per parą vartojantys Xerdoxo 2,5 mg dozę, taip pat turi vartoti 75-100 mg ASR paros dozę.</w:t>
      </w:r>
    </w:p>
    <w:p w14:paraId="2E8E0BB5" w14:textId="77777777" w:rsidR="00823785" w:rsidRPr="00452D62" w:rsidRDefault="00823785" w:rsidP="00823785">
      <w:pPr>
        <w:rPr>
          <w:iCs/>
          <w:sz w:val="22"/>
          <w:szCs w:val="22"/>
        </w:rPr>
      </w:pPr>
    </w:p>
    <w:p w14:paraId="1A63E6EA" w14:textId="77777777" w:rsidR="00823785" w:rsidRPr="00452D62" w:rsidRDefault="00823785" w:rsidP="00823785">
      <w:pPr>
        <w:rPr>
          <w:iCs/>
          <w:sz w:val="22"/>
          <w:szCs w:val="22"/>
        </w:rPr>
      </w:pPr>
      <w:r w:rsidRPr="00452D62">
        <w:rPr>
          <w:iCs/>
          <w:sz w:val="22"/>
          <w:szCs w:val="22"/>
        </w:rPr>
        <w:lastRenderedPageBreak/>
        <w:t>Pacientams, kuriems dėl simptominės PAL sėkmingai atlikta apatinės galūnės revaskuliarizacijos procedūra (chirurginė arba endovaskulinė, įskaitant hibridines procedūras), negalima pradėti gydymo, kol nepasiekta hemostazė (žr. 5.1 skyrių).</w:t>
      </w:r>
    </w:p>
    <w:p w14:paraId="059E4F6A" w14:textId="77777777" w:rsidR="00823785" w:rsidRPr="00452D62" w:rsidRDefault="00823785" w:rsidP="00823785">
      <w:pPr>
        <w:rPr>
          <w:iCs/>
          <w:sz w:val="22"/>
          <w:szCs w:val="22"/>
        </w:rPr>
      </w:pPr>
    </w:p>
    <w:p w14:paraId="25595606" w14:textId="77777777" w:rsidR="00823785" w:rsidRPr="00452D62" w:rsidRDefault="00823785" w:rsidP="00823785">
      <w:pPr>
        <w:rPr>
          <w:iCs/>
          <w:sz w:val="22"/>
          <w:szCs w:val="22"/>
        </w:rPr>
      </w:pPr>
      <w:r w:rsidRPr="00452D62">
        <w:rPr>
          <w:iCs/>
          <w:sz w:val="22"/>
          <w:szCs w:val="22"/>
        </w:rPr>
        <w:t>Gydymo trukmę reikia nustatyti individualiai kiekvienam pacientui, remiantis reguliariais būklės vertinimais ir atsižvelgiant į trombozinių reiškinių riziką bei kraujavimo riziką.</w:t>
      </w:r>
    </w:p>
    <w:p w14:paraId="6F45E6B7" w14:textId="77777777" w:rsidR="00823785" w:rsidRPr="00452D62" w:rsidRDefault="00823785" w:rsidP="00823785">
      <w:pPr>
        <w:rPr>
          <w:iCs/>
          <w:sz w:val="22"/>
          <w:szCs w:val="22"/>
        </w:rPr>
      </w:pPr>
    </w:p>
    <w:p w14:paraId="67B0DFB5" w14:textId="77777777" w:rsidR="00823785" w:rsidRPr="00AE1B80" w:rsidRDefault="00823785" w:rsidP="00C815AC">
      <w:pPr>
        <w:pStyle w:val="Sraopastraipa"/>
        <w:numPr>
          <w:ilvl w:val="0"/>
          <w:numId w:val="9"/>
        </w:numPr>
        <w:ind w:left="567" w:hanging="567"/>
        <w:rPr>
          <w:i/>
          <w:sz w:val="22"/>
          <w:szCs w:val="22"/>
        </w:rPr>
      </w:pPr>
      <w:r w:rsidRPr="00452D62">
        <w:rPr>
          <w:i/>
          <w:iCs/>
          <w:sz w:val="22"/>
          <w:szCs w:val="22"/>
          <w:u w:val="single"/>
        </w:rPr>
        <w:t>ŪKS, VAL ir (arba) PAL</w:t>
      </w:r>
    </w:p>
    <w:p w14:paraId="07830BE2" w14:textId="77777777" w:rsidR="00823785" w:rsidRPr="00AE1B80" w:rsidRDefault="00823785" w:rsidP="00C815AC">
      <w:pPr>
        <w:rPr>
          <w:i/>
          <w:sz w:val="22"/>
          <w:szCs w:val="22"/>
        </w:rPr>
      </w:pPr>
      <w:r w:rsidRPr="00AE1B80">
        <w:rPr>
          <w:i/>
          <w:sz w:val="22"/>
          <w:szCs w:val="22"/>
        </w:rPr>
        <w:t>Vartojimas kartu skiriant gydymą antitrombocitiniais vaistiniais preparatais</w:t>
      </w:r>
    </w:p>
    <w:p w14:paraId="496B8A82" w14:textId="77777777" w:rsidR="00823785" w:rsidRPr="00452D62" w:rsidRDefault="00823785" w:rsidP="00823785">
      <w:pPr>
        <w:pStyle w:val="Sraopastraipa"/>
        <w:ind w:left="0"/>
        <w:rPr>
          <w:iCs/>
          <w:sz w:val="22"/>
          <w:szCs w:val="22"/>
        </w:rPr>
      </w:pPr>
      <w:r w:rsidRPr="00452D62">
        <w:rPr>
          <w:iCs/>
          <w:sz w:val="22"/>
          <w:szCs w:val="22"/>
        </w:rPr>
        <w:t xml:space="preserve">Pacientams, kuriems pasireiškė ūminis trombozinis reiškinys arba yra atlikta kraujagyslių procedūra ir reikalingas gydymas dviem antitrombocitiniais vaistiniais preparatais, reikia įvertinti tolesnį Xerdoxo 2,5 mg dozės vartojimą du kartus per parą, atsižvelgiant į reiškinio arba procedūros pobūdį ir antitrombocitinio gydymo schemą. </w:t>
      </w:r>
    </w:p>
    <w:p w14:paraId="3DAD79EA" w14:textId="77777777" w:rsidR="00823785" w:rsidRPr="00452D62" w:rsidRDefault="00823785" w:rsidP="00823785">
      <w:pPr>
        <w:rPr>
          <w:iCs/>
          <w:sz w:val="22"/>
          <w:szCs w:val="22"/>
        </w:rPr>
      </w:pPr>
    </w:p>
    <w:p w14:paraId="432AD3EF" w14:textId="789F8748" w:rsidR="00823785" w:rsidRPr="00452D62" w:rsidRDefault="00823785" w:rsidP="00823785">
      <w:pPr>
        <w:rPr>
          <w:iCs/>
          <w:sz w:val="22"/>
          <w:szCs w:val="22"/>
        </w:rPr>
      </w:pPr>
      <w:r w:rsidRPr="00452D62">
        <w:rPr>
          <w:iCs/>
          <w:sz w:val="22"/>
          <w:szCs w:val="22"/>
        </w:rPr>
        <w:t>Rivaroksabano 2,5 mg dozės vartojimo du kartus per parą kartu su dviem antitrombocitiniais vaistiniais preparatais saugumas ir veiksmingumas ištirti pacientams,</w:t>
      </w:r>
    </w:p>
    <w:p w14:paraId="5D114E11" w14:textId="1AEED4B9" w:rsidR="00823785" w:rsidRPr="00452D62" w:rsidRDefault="00823785" w:rsidP="00823785">
      <w:pPr>
        <w:pStyle w:val="Sraopastraipa"/>
        <w:numPr>
          <w:ilvl w:val="0"/>
          <w:numId w:val="28"/>
        </w:numPr>
        <w:ind w:left="567" w:hanging="567"/>
        <w:rPr>
          <w:iCs/>
          <w:sz w:val="22"/>
          <w:szCs w:val="22"/>
        </w:rPr>
      </w:pPr>
      <w:r w:rsidRPr="00452D62">
        <w:rPr>
          <w:iCs/>
          <w:sz w:val="22"/>
          <w:szCs w:val="22"/>
        </w:rPr>
        <w:t>neseniai patyrusiems ŪKS, kai kartu vartojama ASR ir klopidogrelio / tiklopidino (žr. 4.1 skyrių), ir</w:t>
      </w:r>
    </w:p>
    <w:p w14:paraId="7BECBEA2" w14:textId="0D548602" w:rsidR="00823785" w:rsidRPr="00452D62" w:rsidRDefault="00823785" w:rsidP="00823785">
      <w:pPr>
        <w:pStyle w:val="Sraopastraipa"/>
        <w:numPr>
          <w:ilvl w:val="0"/>
          <w:numId w:val="28"/>
        </w:numPr>
        <w:ind w:left="567" w:hanging="567"/>
        <w:rPr>
          <w:iCs/>
          <w:sz w:val="22"/>
          <w:szCs w:val="22"/>
        </w:rPr>
      </w:pPr>
      <w:r w:rsidRPr="00452D62">
        <w:rPr>
          <w:iCs/>
          <w:sz w:val="22"/>
          <w:szCs w:val="22"/>
        </w:rPr>
        <w:t>kuriems neseniai dėl simptominės PAL atlikta apatinės galūnės revaskuliarizacijos procedūra, kai kartu vartojama ASR ir prireikus trumpai vartojama klopidogrelio (žr. 4.4 ir 5.1 skyrius).</w:t>
      </w:r>
    </w:p>
    <w:p w14:paraId="445A5299" w14:textId="77777777" w:rsidR="00823785" w:rsidRPr="00452D62" w:rsidRDefault="00823785" w:rsidP="00823785">
      <w:pPr>
        <w:rPr>
          <w:iCs/>
          <w:sz w:val="22"/>
          <w:szCs w:val="22"/>
        </w:rPr>
      </w:pPr>
    </w:p>
    <w:p w14:paraId="581F9A43" w14:textId="77777777" w:rsidR="00823785" w:rsidRPr="00452D62" w:rsidRDefault="00823785" w:rsidP="00823785">
      <w:pPr>
        <w:rPr>
          <w:i/>
          <w:iCs/>
          <w:sz w:val="22"/>
          <w:szCs w:val="22"/>
        </w:rPr>
      </w:pPr>
      <w:r w:rsidRPr="00452D62">
        <w:rPr>
          <w:i/>
          <w:iCs/>
          <w:sz w:val="22"/>
          <w:szCs w:val="22"/>
        </w:rPr>
        <w:t>Praleista dozė</w:t>
      </w:r>
    </w:p>
    <w:p w14:paraId="4F6DDEA5" w14:textId="77777777" w:rsidR="00823785" w:rsidRPr="00452D62" w:rsidRDefault="00823785" w:rsidP="00823785">
      <w:pPr>
        <w:rPr>
          <w:iCs/>
          <w:sz w:val="22"/>
          <w:szCs w:val="22"/>
        </w:rPr>
      </w:pPr>
      <w:r w:rsidRPr="00452D62">
        <w:rPr>
          <w:iCs/>
          <w:sz w:val="22"/>
          <w:szCs w:val="22"/>
        </w:rPr>
        <w:t>Jei praleidžiama dozė, kitą įprastą rekomenduojamą dozę pacientas turi vartoti artimiausiu įprastu laiku. Negalima vartoti dvigubos dozės norint kompensuoti praleistą dozę.</w:t>
      </w:r>
    </w:p>
    <w:p w14:paraId="450345C5" w14:textId="77777777" w:rsidR="00823785" w:rsidRPr="00452D62" w:rsidRDefault="00823785" w:rsidP="00823785">
      <w:pPr>
        <w:rPr>
          <w:iCs/>
          <w:sz w:val="22"/>
          <w:szCs w:val="22"/>
        </w:rPr>
      </w:pPr>
    </w:p>
    <w:p w14:paraId="29986AA3" w14:textId="77777777" w:rsidR="00823785" w:rsidRPr="00452D62" w:rsidRDefault="00823785" w:rsidP="00823785">
      <w:pPr>
        <w:rPr>
          <w:iCs/>
          <w:sz w:val="22"/>
          <w:szCs w:val="22"/>
        </w:rPr>
      </w:pPr>
      <w:r w:rsidRPr="00452D62">
        <w:rPr>
          <w:i/>
          <w:iCs/>
          <w:sz w:val="22"/>
          <w:szCs w:val="22"/>
        </w:rPr>
        <w:t>Vitamino K antagonistų (VKA) keitimas Xerdoxo</w:t>
      </w:r>
    </w:p>
    <w:p w14:paraId="573FC169" w14:textId="7EA5C101" w:rsidR="00823785" w:rsidRPr="00452D62" w:rsidRDefault="00823785" w:rsidP="00823785">
      <w:pPr>
        <w:rPr>
          <w:iCs/>
          <w:sz w:val="22"/>
          <w:szCs w:val="22"/>
        </w:rPr>
      </w:pPr>
      <w:r w:rsidRPr="00452D62">
        <w:rPr>
          <w:iCs/>
          <w:sz w:val="22"/>
          <w:szCs w:val="22"/>
        </w:rPr>
        <w:t xml:space="preserve">VKA keičiant Xerdoxo, pradėjus vartoti Xerdoxo tarptautinio normalizuoto santykio (angl. </w:t>
      </w:r>
      <w:r w:rsidRPr="00452D62">
        <w:rPr>
          <w:i/>
          <w:sz w:val="22"/>
          <w:szCs w:val="22"/>
        </w:rPr>
        <w:t>International Normalized Ratio</w:t>
      </w:r>
      <w:r w:rsidRPr="00452D62">
        <w:rPr>
          <w:iCs/>
          <w:sz w:val="22"/>
          <w:szCs w:val="22"/>
        </w:rPr>
        <w:t>, INR) rodmenys gali būti klaidingai padidėję. INR nėra patvirtintas Xerdoxo antikoaguliaciniam aktyvumui vertinti ir todėl neturi būti naudojamas (žr. 4.5 skyrių).</w:t>
      </w:r>
    </w:p>
    <w:p w14:paraId="43EBBCF3" w14:textId="77777777" w:rsidR="00823785" w:rsidRPr="00452D62" w:rsidRDefault="00823785" w:rsidP="00823785">
      <w:pPr>
        <w:rPr>
          <w:iCs/>
          <w:sz w:val="22"/>
          <w:szCs w:val="22"/>
        </w:rPr>
      </w:pPr>
    </w:p>
    <w:p w14:paraId="45BC8E05" w14:textId="77777777" w:rsidR="00823785" w:rsidRPr="00452D62" w:rsidRDefault="00823785" w:rsidP="00823785">
      <w:pPr>
        <w:rPr>
          <w:sz w:val="22"/>
          <w:szCs w:val="22"/>
        </w:rPr>
      </w:pPr>
      <w:r w:rsidRPr="00452D62">
        <w:rPr>
          <w:i/>
          <w:iCs/>
          <w:sz w:val="22"/>
          <w:szCs w:val="22"/>
        </w:rPr>
        <w:t>Xerdoxo keitimas vitamino K antagonistais (VKA)</w:t>
      </w:r>
    </w:p>
    <w:p w14:paraId="6DA12430" w14:textId="77777777" w:rsidR="00823785" w:rsidRPr="00452D62" w:rsidRDefault="00823785" w:rsidP="00823785">
      <w:pPr>
        <w:rPr>
          <w:sz w:val="22"/>
          <w:szCs w:val="22"/>
        </w:rPr>
      </w:pPr>
      <w:r w:rsidRPr="00452D62">
        <w:rPr>
          <w:sz w:val="22"/>
          <w:szCs w:val="22"/>
        </w:rPr>
        <w:t>Xerdoxo keitimo VKA metu antikoaguliacija gali būti nepakankama. Bet kokiais antikoagulianto keitimo atvejais turi būti užtikrinta tęstinė pakankama antikoaguliacija. Reikia atkreipti dėmesį, kad Xerdoxo gali lemti INR padidėjimą.</w:t>
      </w:r>
    </w:p>
    <w:p w14:paraId="59F6457D" w14:textId="37EA521A" w:rsidR="00823785" w:rsidRPr="00452D62" w:rsidRDefault="00823785" w:rsidP="00823785">
      <w:pPr>
        <w:rPr>
          <w:sz w:val="22"/>
          <w:szCs w:val="22"/>
        </w:rPr>
      </w:pPr>
      <w:r w:rsidRPr="00452D62">
        <w:rPr>
          <w:sz w:val="22"/>
          <w:szCs w:val="22"/>
        </w:rPr>
        <w:t xml:space="preserve">Gydymą Xerdoxo keičiant į VKA, kartu skiriamas turi būti VKA tol, kol INR tampa ≥ 2,0. Pirmąsias dvi keitimo paras reikia skirti įprastinę pradinę VKA dozę, po to VKA dozę reikia parinkti atsižvelgiant į INR rodmenis. Kol pacientas vartoja ir Xerdoxo, ir VKA, </w:t>
      </w:r>
      <w:r w:rsidRPr="00452D62">
        <w:rPr>
          <w:iCs/>
          <w:sz w:val="22"/>
          <w:szCs w:val="22"/>
        </w:rPr>
        <w:t>INR</w:t>
      </w:r>
      <w:r w:rsidRPr="00452D62">
        <w:rPr>
          <w:sz w:val="22"/>
          <w:szCs w:val="22"/>
        </w:rPr>
        <w:t xml:space="preserve"> reikia tirti ne anksčiau nei 24 valandos po ankstesnės Xerdoxo dozės pavartojimo, tačiau prieš vartojant kitą Xerdoxo dozę. Nutraukus Xerdoxo vartojimą, </w:t>
      </w:r>
      <w:r w:rsidRPr="00452D62">
        <w:rPr>
          <w:iCs/>
          <w:sz w:val="22"/>
          <w:szCs w:val="22"/>
        </w:rPr>
        <w:t>INR</w:t>
      </w:r>
      <w:r w:rsidRPr="00452D62">
        <w:rPr>
          <w:sz w:val="22"/>
          <w:szCs w:val="22"/>
        </w:rPr>
        <w:t xml:space="preserve"> galima patikimai nustatyti praėjus ne mažiau kaip 24 valandoms po paskutiniosios dozės pavartojimo (žr. 4.5 ir 5.2 skyrius).</w:t>
      </w:r>
    </w:p>
    <w:p w14:paraId="57D4B695" w14:textId="77777777" w:rsidR="00823785" w:rsidRPr="00452D62" w:rsidRDefault="00823785" w:rsidP="00823785">
      <w:pPr>
        <w:rPr>
          <w:sz w:val="22"/>
          <w:szCs w:val="22"/>
        </w:rPr>
      </w:pPr>
    </w:p>
    <w:p w14:paraId="166D5ABB" w14:textId="77777777" w:rsidR="00823785" w:rsidRPr="00452D62" w:rsidRDefault="00823785" w:rsidP="00823785">
      <w:pPr>
        <w:rPr>
          <w:sz w:val="22"/>
          <w:szCs w:val="22"/>
        </w:rPr>
      </w:pPr>
      <w:r w:rsidRPr="00452D62">
        <w:rPr>
          <w:i/>
          <w:iCs/>
          <w:sz w:val="22"/>
          <w:szCs w:val="22"/>
        </w:rPr>
        <w:t xml:space="preserve">Parenteriniu būdu vartojamų antikoaguliantų keitimas </w:t>
      </w:r>
      <w:r w:rsidRPr="00452D62">
        <w:rPr>
          <w:i/>
          <w:sz w:val="22"/>
          <w:szCs w:val="22"/>
        </w:rPr>
        <w:t>Xerdoxo</w:t>
      </w:r>
    </w:p>
    <w:p w14:paraId="7C3E8149" w14:textId="77777777" w:rsidR="00823785" w:rsidRPr="00452D62" w:rsidRDefault="00823785" w:rsidP="00823785">
      <w:pPr>
        <w:rPr>
          <w:i/>
          <w:iCs/>
          <w:sz w:val="22"/>
          <w:szCs w:val="22"/>
        </w:rPr>
      </w:pPr>
      <w:r w:rsidRPr="00452D62">
        <w:rPr>
          <w:sz w:val="22"/>
          <w:szCs w:val="22"/>
        </w:rPr>
        <w:t>Parenteriniu būdu antikoaguliantų vartojantiems pacientams reikia nutraukti parenterinio antikoagulianto vartojimą ir pradėti vartoti Xerdoxo likus 0</w:t>
      </w:r>
      <w:r w:rsidRPr="00452D62">
        <w:rPr>
          <w:sz w:val="22"/>
          <w:szCs w:val="22"/>
        </w:rPr>
        <w:noBreakHyphen/>
        <w:t>2 val. iki to laiko, kai pagal numatytą dozavimo schemą turėtų būti vartojamas parenterinis vaistinis preparatas (pvz., mažos molekulinės masės heparinas), arba nepertraukiamai vartojamo parenterinio vaistinio preparato (pvz., intraveninio nefrakcionuoto heparino) nutraukimo metu.</w:t>
      </w:r>
    </w:p>
    <w:p w14:paraId="04F2C70F" w14:textId="77777777" w:rsidR="00823785" w:rsidRPr="00452D62" w:rsidRDefault="00823785" w:rsidP="00823785">
      <w:pPr>
        <w:rPr>
          <w:i/>
          <w:iCs/>
          <w:sz w:val="22"/>
          <w:szCs w:val="22"/>
        </w:rPr>
      </w:pPr>
    </w:p>
    <w:p w14:paraId="70CB2F89" w14:textId="77777777" w:rsidR="00823785" w:rsidRPr="00452D62" w:rsidRDefault="00823785" w:rsidP="00823785">
      <w:pPr>
        <w:rPr>
          <w:sz w:val="22"/>
          <w:szCs w:val="22"/>
        </w:rPr>
      </w:pPr>
      <w:r w:rsidRPr="00452D62">
        <w:rPr>
          <w:i/>
          <w:sz w:val="22"/>
          <w:szCs w:val="22"/>
        </w:rPr>
        <w:t>Xerdoxo</w:t>
      </w:r>
      <w:r w:rsidRPr="00452D62">
        <w:rPr>
          <w:i/>
          <w:iCs/>
          <w:sz w:val="22"/>
          <w:szCs w:val="22"/>
        </w:rPr>
        <w:t xml:space="preserve"> keitimas parenteriniu būdu vartojamais antikoaguliantais</w:t>
      </w:r>
    </w:p>
    <w:p w14:paraId="3DEB979A" w14:textId="77777777" w:rsidR="00823785" w:rsidRPr="00452D62" w:rsidRDefault="00823785" w:rsidP="00823785">
      <w:pPr>
        <w:rPr>
          <w:sz w:val="22"/>
          <w:szCs w:val="22"/>
          <w:u w:val="single"/>
        </w:rPr>
      </w:pPr>
      <w:r w:rsidRPr="00452D62">
        <w:rPr>
          <w:sz w:val="22"/>
          <w:szCs w:val="22"/>
        </w:rPr>
        <w:t>Pirmąją parenteriniu būdu vartojamo antikoagulianto dozę reikia skirti tuo metu, kai turėjo būti vartojama kita Xerdoxo dozė.</w:t>
      </w:r>
    </w:p>
    <w:p w14:paraId="1223BA1A" w14:textId="77777777" w:rsidR="00823785" w:rsidRPr="00452D62" w:rsidRDefault="00823785" w:rsidP="00823785">
      <w:pPr>
        <w:rPr>
          <w:sz w:val="22"/>
          <w:szCs w:val="22"/>
          <w:u w:val="single"/>
        </w:rPr>
      </w:pPr>
    </w:p>
    <w:p w14:paraId="7FA73209" w14:textId="77777777" w:rsidR="00823785" w:rsidRPr="00452D62" w:rsidRDefault="00823785" w:rsidP="00823785">
      <w:pPr>
        <w:rPr>
          <w:i/>
          <w:iCs/>
          <w:sz w:val="22"/>
          <w:szCs w:val="22"/>
        </w:rPr>
      </w:pPr>
      <w:r w:rsidRPr="00452D62">
        <w:rPr>
          <w:i/>
          <w:iCs/>
          <w:sz w:val="22"/>
          <w:szCs w:val="22"/>
          <w:u w:val="single"/>
        </w:rPr>
        <w:t>Ypatingos populiacijos</w:t>
      </w:r>
    </w:p>
    <w:p w14:paraId="4C37851F" w14:textId="77777777" w:rsidR="00823785" w:rsidRPr="00452D62" w:rsidRDefault="00823785" w:rsidP="00823785">
      <w:pPr>
        <w:rPr>
          <w:sz w:val="22"/>
          <w:szCs w:val="22"/>
        </w:rPr>
      </w:pPr>
      <w:r w:rsidRPr="00452D62">
        <w:rPr>
          <w:i/>
          <w:sz w:val="22"/>
          <w:szCs w:val="22"/>
        </w:rPr>
        <w:t>Pacientams, kurių inkstų funkcija sutrikusi</w:t>
      </w:r>
    </w:p>
    <w:p w14:paraId="08FAC7DD" w14:textId="77777777" w:rsidR="00823785" w:rsidRPr="00452D62" w:rsidRDefault="00823785" w:rsidP="00823785">
      <w:pPr>
        <w:rPr>
          <w:sz w:val="22"/>
          <w:szCs w:val="22"/>
        </w:rPr>
      </w:pPr>
      <w:r w:rsidRPr="00452D62">
        <w:rPr>
          <w:sz w:val="22"/>
          <w:szCs w:val="22"/>
        </w:rPr>
        <w:t>Riboti klinikiniai duomenys rodo, kad pacientams, kuriems yra sunkus inkstų funkcijos sutrikimas (kreatinino klirensas 15</w:t>
      </w:r>
      <w:r w:rsidRPr="00452D62">
        <w:rPr>
          <w:sz w:val="22"/>
          <w:szCs w:val="22"/>
        </w:rPr>
        <w:noBreakHyphen/>
        <w:t>29 ml/min.), rivaroksabano koncentracija kraujo plazmoje būna reikšmingai padidėjusi. Taigi, šiems pacientams Xerdoxo reikia vartoti atsargiai. Nerekomenduojama vartoti pacientams, kurių kreatinino klirensas yra &lt; 15 ml/min. (žr. 4.4 ir 5.2 skyrius).</w:t>
      </w:r>
    </w:p>
    <w:p w14:paraId="17D21559" w14:textId="77777777" w:rsidR="00823785" w:rsidRPr="00452D62" w:rsidRDefault="00823785" w:rsidP="00823785">
      <w:pPr>
        <w:pStyle w:val="Default"/>
        <w:rPr>
          <w:sz w:val="22"/>
          <w:szCs w:val="22"/>
        </w:rPr>
      </w:pPr>
      <w:r w:rsidRPr="00452D62">
        <w:rPr>
          <w:sz w:val="22"/>
          <w:szCs w:val="22"/>
        </w:rPr>
        <w:t>Pacientams, kuriems yra lengvas inkstų funkcijos sutrikimas (kreatinino klirensas 50-80 ml/min.) arba vidutinio sunkumo inkstų funkcijos sutrikimas (kreatinino klirensas 30-49 ml/min.), dozės koreguoti nereikia (žr. 5.2 skyrių).</w:t>
      </w:r>
    </w:p>
    <w:p w14:paraId="7189A350" w14:textId="77777777" w:rsidR="00823785" w:rsidRPr="00452D62" w:rsidRDefault="00823785" w:rsidP="00823785">
      <w:pPr>
        <w:rPr>
          <w:sz w:val="22"/>
          <w:szCs w:val="22"/>
        </w:rPr>
      </w:pPr>
    </w:p>
    <w:p w14:paraId="484B25CE" w14:textId="77777777" w:rsidR="00823785" w:rsidRPr="00452D62" w:rsidRDefault="00823785" w:rsidP="00823785">
      <w:pPr>
        <w:rPr>
          <w:sz w:val="22"/>
          <w:szCs w:val="22"/>
        </w:rPr>
      </w:pPr>
      <w:r w:rsidRPr="00452D62">
        <w:rPr>
          <w:i/>
          <w:sz w:val="22"/>
          <w:szCs w:val="22"/>
        </w:rPr>
        <w:t>Pacientams, kurių kepenų funkcija sutrikusi</w:t>
      </w:r>
    </w:p>
    <w:p w14:paraId="05F61F7D" w14:textId="77777777" w:rsidR="00823785" w:rsidRPr="00452D62" w:rsidRDefault="00823785" w:rsidP="00823785">
      <w:pPr>
        <w:rPr>
          <w:sz w:val="22"/>
          <w:szCs w:val="22"/>
        </w:rPr>
      </w:pPr>
      <w:r w:rsidRPr="00452D62">
        <w:rPr>
          <w:sz w:val="22"/>
          <w:szCs w:val="22"/>
        </w:rPr>
        <w:t xml:space="preserve">Xerdoxo draudžiama vartoti pacientams, sergantiems kepenų liga, susijusia su koaguliopatija ir kliniškai reikšmingo kraujavimo rizika, įskaitant pacientus, kuriems yra cirozė (B ir C pagal </w:t>
      </w:r>
      <w:r w:rsidRPr="00452D62">
        <w:rPr>
          <w:i/>
          <w:sz w:val="22"/>
          <w:szCs w:val="22"/>
        </w:rPr>
        <w:t>Child Pugh</w:t>
      </w:r>
      <w:r w:rsidRPr="00452D62">
        <w:rPr>
          <w:sz w:val="22"/>
          <w:szCs w:val="22"/>
        </w:rPr>
        <w:t>) (žr. 4.3 ir 5.2 skyrius).</w:t>
      </w:r>
    </w:p>
    <w:p w14:paraId="4E22B51B" w14:textId="77777777" w:rsidR="00823785" w:rsidRPr="00452D62" w:rsidRDefault="00823785" w:rsidP="00823785">
      <w:pPr>
        <w:rPr>
          <w:sz w:val="22"/>
          <w:szCs w:val="22"/>
        </w:rPr>
      </w:pPr>
    </w:p>
    <w:p w14:paraId="248ABD94" w14:textId="77777777" w:rsidR="00823785" w:rsidRPr="00452D62" w:rsidRDefault="00823785" w:rsidP="00823785">
      <w:pPr>
        <w:rPr>
          <w:sz w:val="22"/>
          <w:szCs w:val="22"/>
        </w:rPr>
      </w:pPr>
      <w:r w:rsidRPr="00452D62">
        <w:rPr>
          <w:i/>
          <w:sz w:val="22"/>
          <w:szCs w:val="22"/>
        </w:rPr>
        <w:t>Senyviems pacientams</w:t>
      </w:r>
    </w:p>
    <w:p w14:paraId="79979866" w14:textId="335C8A56" w:rsidR="00823785" w:rsidRPr="00452D62" w:rsidRDefault="00823785" w:rsidP="00823785">
      <w:pPr>
        <w:rPr>
          <w:sz w:val="22"/>
          <w:szCs w:val="22"/>
        </w:rPr>
      </w:pPr>
      <w:r w:rsidRPr="00452D62">
        <w:rPr>
          <w:sz w:val="22"/>
          <w:szCs w:val="22"/>
        </w:rPr>
        <w:t>Dozės koreguoti nereikia (žr. 4.4 ir 5.2 skyrius).</w:t>
      </w:r>
    </w:p>
    <w:p w14:paraId="47BE85C1" w14:textId="0033C563" w:rsidR="00823785" w:rsidRPr="00452D62" w:rsidRDefault="00823785" w:rsidP="00823785">
      <w:pPr>
        <w:rPr>
          <w:sz w:val="22"/>
          <w:szCs w:val="22"/>
        </w:rPr>
      </w:pPr>
      <w:r w:rsidRPr="00452D62">
        <w:rPr>
          <w:sz w:val="22"/>
          <w:szCs w:val="22"/>
        </w:rPr>
        <w:t>Senstant didėja kraujavimo rizika (žr. 4.4 skyrių).</w:t>
      </w:r>
    </w:p>
    <w:p w14:paraId="731E0AF6" w14:textId="77777777" w:rsidR="00823785" w:rsidRPr="00452D62" w:rsidRDefault="00823785" w:rsidP="00823785">
      <w:pPr>
        <w:rPr>
          <w:sz w:val="22"/>
          <w:szCs w:val="22"/>
        </w:rPr>
      </w:pPr>
    </w:p>
    <w:p w14:paraId="62977501" w14:textId="77777777" w:rsidR="00823785" w:rsidRPr="00452D62" w:rsidRDefault="00823785" w:rsidP="00823785">
      <w:pPr>
        <w:rPr>
          <w:sz w:val="22"/>
          <w:szCs w:val="22"/>
        </w:rPr>
      </w:pPr>
      <w:r w:rsidRPr="00452D62">
        <w:rPr>
          <w:i/>
          <w:sz w:val="22"/>
          <w:szCs w:val="22"/>
        </w:rPr>
        <w:t>Kūno svoris</w:t>
      </w:r>
    </w:p>
    <w:p w14:paraId="67708818" w14:textId="5D2806A8" w:rsidR="00823785" w:rsidRPr="00452D62" w:rsidRDefault="00823785" w:rsidP="00823785">
      <w:pPr>
        <w:rPr>
          <w:i/>
          <w:sz w:val="22"/>
          <w:szCs w:val="22"/>
        </w:rPr>
      </w:pPr>
      <w:r w:rsidRPr="00452D62">
        <w:rPr>
          <w:sz w:val="22"/>
          <w:szCs w:val="22"/>
        </w:rPr>
        <w:t>Dozės koreguoti nereikia (žr. 4.4 ir 5.2 skyrius).</w:t>
      </w:r>
    </w:p>
    <w:p w14:paraId="6321EDAA" w14:textId="77777777" w:rsidR="00823785" w:rsidRPr="00452D62" w:rsidRDefault="00823785" w:rsidP="00823785">
      <w:pPr>
        <w:rPr>
          <w:i/>
          <w:sz w:val="22"/>
          <w:szCs w:val="22"/>
        </w:rPr>
      </w:pPr>
    </w:p>
    <w:p w14:paraId="27A770A5" w14:textId="77777777" w:rsidR="00823785" w:rsidRPr="00452D62" w:rsidRDefault="00823785" w:rsidP="00823785">
      <w:pPr>
        <w:rPr>
          <w:sz w:val="22"/>
          <w:szCs w:val="22"/>
        </w:rPr>
      </w:pPr>
      <w:r w:rsidRPr="00452D62">
        <w:rPr>
          <w:i/>
          <w:sz w:val="22"/>
          <w:szCs w:val="22"/>
        </w:rPr>
        <w:t>Lytis</w:t>
      </w:r>
    </w:p>
    <w:p w14:paraId="5D993445" w14:textId="77777777" w:rsidR="00823785" w:rsidRPr="00452D62" w:rsidRDefault="00823785" w:rsidP="00823785">
      <w:pPr>
        <w:rPr>
          <w:sz w:val="22"/>
          <w:szCs w:val="22"/>
        </w:rPr>
      </w:pPr>
      <w:r w:rsidRPr="00452D62">
        <w:rPr>
          <w:sz w:val="22"/>
          <w:szCs w:val="22"/>
        </w:rPr>
        <w:t>Dozės koreguoti nereikia (žr. 5.2 skyrių).</w:t>
      </w:r>
    </w:p>
    <w:p w14:paraId="59771C19" w14:textId="77777777" w:rsidR="00823785" w:rsidRPr="00452D62" w:rsidRDefault="00823785" w:rsidP="00823785">
      <w:pPr>
        <w:rPr>
          <w:sz w:val="22"/>
          <w:szCs w:val="22"/>
        </w:rPr>
      </w:pPr>
    </w:p>
    <w:p w14:paraId="497DCD8A" w14:textId="77777777" w:rsidR="00823785" w:rsidRPr="00452D62" w:rsidRDefault="00823785" w:rsidP="00823785">
      <w:pPr>
        <w:rPr>
          <w:sz w:val="22"/>
          <w:szCs w:val="22"/>
        </w:rPr>
      </w:pPr>
      <w:r w:rsidRPr="00452D62">
        <w:rPr>
          <w:i/>
          <w:iCs/>
          <w:sz w:val="22"/>
          <w:szCs w:val="22"/>
        </w:rPr>
        <w:t>Vaikų populiacija</w:t>
      </w:r>
    </w:p>
    <w:p w14:paraId="7A42F488" w14:textId="77777777" w:rsidR="00823785" w:rsidRPr="00452D62" w:rsidRDefault="00823785" w:rsidP="00823785">
      <w:pPr>
        <w:rPr>
          <w:sz w:val="22"/>
          <w:szCs w:val="22"/>
          <w:u w:val="single"/>
        </w:rPr>
      </w:pPr>
      <w:r w:rsidRPr="00452D62">
        <w:rPr>
          <w:sz w:val="22"/>
          <w:szCs w:val="22"/>
        </w:rPr>
        <w:t>Rivaroksabano 2,5 mg tablečių saugumas ir veiksmingumas vaikams nuo 0 iki 18 metų amžiaus nenustatyti. Duomenų nėra. Taigi, Xerdoxo 2,5 mg tablečių vartoti jaunesniems kaip 18 metų amžiaus vaikams nerekomenduojama.</w:t>
      </w:r>
    </w:p>
    <w:p w14:paraId="75ABF798" w14:textId="77777777" w:rsidR="00823785" w:rsidRPr="00452D62" w:rsidRDefault="00823785" w:rsidP="00823785">
      <w:pPr>
        <w:rPr>
          <w:sz w:val="22"/>
          <w:szCs w:val="22"/>
          <w:u w:val="single"/>
        </w:rPr>
      </w:pPr>
    </w:p>
    <w:p w14:paraId="61467B87" w14:textId="77777777" w:rsidR="00823785" w:rsidRPr="00452D62" w:rsidRDefault="00823785" w:rsidP="00823785">
      <w:pPr>
        <w:rPr>
          <w:sz w:val="22"/>
          <w:szCs w:val="22"/>
        </w:rPr>
      </w:pPr>
      <w:r w:rsidRPr="00452D62">
        <w:rPr>
          <w:sz w:val="22"/>
          <w:szCs w:val="22"/>
          <w:u w:val="single"/>
        </w:rPr>
        <w:t>Vartojimo metodas</w:t>
      </w:r>
    </w:p>
    <w:p w14:paraId="67FDC6E1" w14:textId="77777777" w:rsidR="00823785" w:rsidRPr="00452D62" w:rsidRDefault="00823785" w:rsidP="00823785">
      <w:pPr>
        <w:rPr>
          <w:sz w:val="22"/>
          <w:szCs w:val="22"/>
        </w:rPr>
      </w:pPr>
      <w:r w:rsidRPr="00452D62">
        <w:rPr>
          <w:sz w:val="22"/>
          <w:szCs w:val="22"/>
        </w:rPr>
        <w:t>Xerdoxo skirtas vartoti per burną.</w:t>
      </w:r>
    </w:p>
    <w:p w14:paraId="0DC3819B" w14:textId="77777777" w:rsidR="00823785" w:rsidRPr="00452D62" w:rsidRDefault="00823785" w:rsidP="00823785">
      <w:pPr>
        <w:rPr>
          <w:sz w:val="22"/>
          <w:szCs w:val="22"/>
        </w:rPr>
      </w:pPr>
      <w:r w:rsidRPr="00452D62">
        <w:rPr>
          <w:sz w:val="22"/>
          <w:szCs w:val="22"/>
        </w:rPr>
        <w:t>Tabletes galima gerti valgio metu arba kitu laiku (žr. 4.5 ir 5.2 skyrius).</w:t>
      </w:r>
    </w:p>
    <w:p w14:paraId="204FBEF3" w14:textId="77777777" w:rsidR="00823785" w:rsidRPr="00452D62" w:rsidRDefault="00823785" w:rsidP="00823785">
      <w:pPr>
        <w:rPr>
          <w:sz w:val="22"/>
          <w:szCs w:val="22"/>
        </w:rPr>
      </w:pPr>
    </w:p>
    <w:p w14:paraId="2E5D2720" w14:textId="77777777" w:rsidR="00823785" w:rsidRPr="00452D62" w:rsidRDefault="00823785" w:rsidP="00823785">
      <w:pPr>
        <w:rPr>
          <w:i/>
          <w:sz w:val="22"/>
          <w:szCs w:val="22"/>
        </w:rPr>
      </w:pPr>
      <w:r w:rsidRPr="00452D62">
        <w:rPr>
          <w:i/>
          <w:sz w:val="22"/>
          <w:szCs w:val="22"/>
        </w:rPr>
        <w:t>Tablečių smulkinimas</w:t>
      </w:r>
    </w:p>
    <w:p w14:paraId="46B2CEF7" w14:textId="77777777" w:rsidR="00823785" w:rsidRPr="00452D62" w:rsidRDefault="00823785" w:rsidP="00823785">
      <w:pPr>
        <w:rPr>
          <w:sz w:val="22"/>
          <w:szCs w:val="22"/>
        </w:rPr>
      </w:pPr>
      <w:r w:rsidRPr="00452D62">
        <w:rPr>
          <w:sz w:val="22"/>
          <w:szCs w:val="22"/>
        </w:rPr>
        <w:t>Pacientams, kurie negali nuryti visos tabletės, prieš pat vartojimą Xerdoxo tabletę galima susmulkinti ir, sumaišius su vandeniu arba obuolių tyre, suvartoti per burną.</w:t>
      </w:r>
    </w:p>
    <w:p w14:paraId="54BAB97D" w14:textId="4E46AD8B" w:rsidR="00823785" w:rsidRPr="00452D62" w:rsidRDefault="00823785" w:rsidP="00823785">
      <w:pPr>
        <w:rPr>
          <w:b/>
          <w:bCs/>
          <w:sz w:val="22"/>
          <w:szCs w:val="22"/>
        </w:rPr>
      </w:pPr>
      <w:r w:rsidRPr="00452D62">
        <w:rPr>
          <w:sz w:val="22"/>
          <w:szCs w:val="22"/>
        </w:rPr>
        <w:t>Susmulkintą Xerdoxo tabletę galima vartoti ir per skrandžio vamzdelį (žr. 5.2 ir 6.6 skyrius).</w:t>
      </w:r>
    </w:p>
    <w:p w14:paraId="1A6ACF7F" w14:textId="77777777" w:rsidR="00823785" w:rsidRPr="00452D62" w:rsidRDefault="00823785" w:rsidP="00823785">
      <w:pPr>
        <w:ind w:left="567" w:hanging="568"/>
        <w:rPr>
          <w:b/>
          <w:bCs/>
          <w:sz w:val="22"/>
          <w:szCs w:val="22"/>
        </w:rPr>
      </w:pPr>
    </w:p>
    <w:p w14:paraId="0EA701DF"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4.3</w:t>
      </w:r>
      <w:r w:rsidRPr="00452D62">
        <w:rPr>
          <w:b/>
          <w:color w:val="auto"/>
          <w:kern w:val="28"/>
          <w:sz w:val="22"/>
          <w:szCs w:val="22"/>
          <w:lang w:eastAsia="en-US"/>
        </w:rPr>
        <w:tab/>
        <w:t>Kontraindikacijos</w:t>
      </w:r>
    </w:p>
    <w:p w14:paraId="37FF8D79" w14:textId="77777777" w:rsidR="00823785" w:rsidRPr="00452D62" w:rsidRDefault="00823785" w:rsidP="00823785">
      <w:pPr>
        <w:rPr>
          <w:sz w:val="22"/>
          <w:szCs w:val="22"/>
        </w:rPr>
      </w:pPr>
    </w:p>
    <w:p w14:paraId="61E31D0B" w14:textId="77777777" w:rsidR="00823785" w:rsidRPr="00452D62" w:rsidRDefault="00823785" w:rsidP="00823785">
      <w:pPr>
        <w:rPr>
          <w:sz w:val="22"/>
          <w:szCs w:val="22"/>
        </w:rPr>
      </w:pPr>
      <w:r w:rsidRPr="00452D62">
        <w:rPr>
          <w:sz w:val="22"/>
          <w:szCs w:val="22"/>
        </w:rPr>
        <w:t>Padidėjęs jautrumas veikliajai arba bet kuriai 6.1 skyriuje nurodytai pagalbinei medžiagai.</w:t>
      </w:r>
    </w:p>
    <w:p w14:paraId="60DE10C7" w14:textId="77777777" w:rsidR="00823785" w:rsidRPr="00452D62" w:rsidRDefault="00823785" w:rsidP="00823785">
      <w:pPr>
        <w:rPr>
          <w:sz w:val="22"/>
          <w:szCs w:val="22"/>
        </w:rPr>
      </w:pPr>
    </w:p>
    <w:p w14:paraId="42367DB5" w14:textId="77777777" w:rsidR="00823785" w:rsidRPr="00452D62" w:rsidRDefault="00823785" w:rsidP="00823785">
      <w:pPr>
        <w:rPr>
          <w:sz w:val="22"/>
          <w:szCs w:val="22"/>
        </w:rPr>
      </w:pPr>
      <w:r w:rsidRPr="00452D62">
        <w:rPr>
          <w:sz w:val="22"/>
          <w:szCs w:val="22"/>
        </w:rPr>
        <w:t>Aktyvus kliniškai reikšmingas kraujavimas.</w:t>
      </w:r>
    </w:p>
    <w:p w14:paraId="3F81534F" w14:textId="77777777" w:rsidR="00823785" w:rsidRPr="00452D62" w:rsidRDefault="00823785" w:rsidP="00823785">
      <w:pPr>
        <w:rPr>
          <w:sz w:val="22"/>
          <w:szCs w:val="22"/>
        </w:rPr>
      </w:pPr>
    </w:p>
    <w:p w14:paraId="5F65CD45" w14:textId="77777777" w:rsidR="00823785" w:rsidRPr="00452D62" w:rsidRDefault="00823785" w:rsidP="00823785">
      <w:pPr>
        <w:rPr>
          <w:sz w:val="22"/>
          <w:szCs w:val="22"/>
        </w:rPr>
      </w:pPr>
      <w:r w:rsidRPr="00452D62">
        <w:rPr>
          <w:sz w:val="22"/>
          <w:szCs w:val="22"/>
        </w:rPr>
        <w:t xml:space="preserve">Sužalojimas arba būklė, jeigu laikoma, jog yra didelė didžiojo kraujavimo rizika. Tai gali būti esamos arba neseniai buvusios virškinimo trakto opos, esami piktybiniai navikai, sukeliantys didelę kraujavimo riziką, neseniai buvusi galvos smegenų arba stuburo pažaida, neseniai buvusi galvos smegenų, stuburo arba akies chirurginė operacija, neseniai buvęs intrakranijinis kraujavimas, žinoma arba įtariama stemplės venų varikozė, arterioveninės formavimosi ydos, kraujagyslių aneurizmos arba </w:t>
      </w:r>
      <w:r w:rsidRPr="00452D62">
        <w:rPr>
          <w:rFonts w:eastAsia="Calibri"/>
          <w:color w:val="auto"/>
          <w:sz w:val="22"/>
          <w:szCs w:val="22"/>
          <w:lang w:eastAsia="pl-PL"/>
        </w:rPr>
        <w:t xml:space="preserve">didžiosios </w:t>
      </w:r>
      <w:r w:rsidRPr="00452D62">
        <w:rPr>
          <w:sz w:val="22"/>
          <w:szCs w:val="22"/>
        </w:rPr>
        <w:t xml:space="preserve">stuburo ar galvos smegenų kraujagyslių </w:t>
      </w:r>
      <w:r w:rsidRPr="00452D62">
        <w:rPr>
          <w:rFonts w:eastAsia="Calibri"/>
          <w:color w:val="auto"/>
          <w:sz w:val="22"/>
          <w:szCs w:val="22"/>
          <w:lang w:eastAsia="pl-PL"/>
        </w:rPr>
        <w:t>anomalijos</w:t>
      </w:r>
      <w:r w:rsidRPr="00452D62">
        <w:rPr>
          <w:sz w:val="22"/>
          <w:szCs w:val="22"/>
        </w:rPr>
        <w:t>.</w:t>
      </w:r>
    </w:p>
    <w:p w14:paraId="5F80CC85" w14:textId="77777777" w:rsidR="00823785" w:rsidRPr="00452D62" w:rsidRDefault="00823785" w:rsidP="00823785">
      <w:pPr>
        <w:rPr>
          <w:sz w:val="22"/>
          <w:szCs w:val="22"/>
        </w:rPr>
      </w:pPr>
    </w:p>
    <w:p w14:paraId="6B32FF34" w14:textId="77777777" w:rsidR="00823785" w:rsidRPr="00452D62" w:rsidRDefault="00823785" w:rsidP="00823785">
      <w:pPr>
        <w:rPr>
          <w:sz w:val="22"/>
          <w:szCs w:val="22"/>
        </w:rPr>
      </w:pPr>
      <w:r w:rsidRPr="00452D62">
        <w:rPr>
          <w:sz w:val="22"/>
          <w:szCs w:val="22"/>
        </w:rPr>
        <w:t>Tuo pačiu metu taikomas gydymas bet kuriais kitais antikoaguliantais, pvz., nefrakcionuotu heparinu (NFH), mažos molekulinės masės heparinais (enoksaparinu, dalteparinu ir kt.), heparino dariniais (fondaparinuksu ir kt.), geriamaisiais antikoaguliantais (varfarinu, dabigatrano eteksilatu, apiksabanu ir kt.), išskyrus specifinius gydymo antikoaguliantais keitimo atvejus (žr. 4.2 skyrių) arba kai NFH vartojamas tokiomis dozėmis, kurios būtinos, kad išliktų pralaidus centrinės venos arba arterijos kateteris (žr. 4.5 skyrių).</w:t>
      </w:r>
    </w:p>
    <w:p w14:paraId="1E755585" w14:textId="77777777" w:rsidR="00823785" w:rsidRPr="00452D62" w:rsidRDefault="00823785" w:rsidP="00823785">
      <w:pPr>
        <w:rPr>
          <w:sz w:val="22"/>
          <w:szCs w:val="22"/>
        </w:rPr>
      </w:pPr>
    </w:p>
    <w:p w14:paraId="165E8AE3" w14:textId="087C9341" w:rsidR="00823785" w:rsidRPr="00452D62" w:rsidRDefault="00823785" w:rsidP="00823785">
      <w:pPr>
        <w:rPr>
          <w:sz w:val="22"/>
          <w:szCs w:val="22"/>
        </w:rPr>
      </w:pPr>
      <w:r w:rsidRPr="00452D62">
        <w:rPr>
          <w:sz w:val="22"/>
          <w:szCs w:val="22"/>
        </w:rPr>
        <w:t>Tuo pačiu metu taikomas antitrombocitinis ŪKS gydymas pacientams, anksčiau patyrusiems insultą arba praeinantį smegenų išemijos priepuolį (PSIP) (žr. 4.4 skyrių).</w:t>
      </w:r>
    </w:p>
    <w:p w14:paraId="4402E973" w14:textId="77777777" w:rsidR="00823785" w:rsidRPr="00452D62" w:rsidRDefault="00823785" w:rsidP="00823785">
      <w:pPr>
        <w:rPr>
          <w:sz w:val="22"/>
          <w:szCs w:val="22"/>
        </w:rPr>
      </w:pPr>
    </w:p>
    <w:p w14:paraId="3EC2C974" w14:textId="2E29CB5A" w:rsidR="00823785" w:rsidRPr="00452D62" w:rsidRDefault="00823785" w:rsidP="00823785">
      <w:pPr>
        <w:rPr>
          <w:sz w:val="22"/>
          <w:szCs w:val="22"/>
        </w:rPr>
      </w:pPr>
      <w:r w:rsidRPr="00452D62">
        <w:rPr>
          <w:sz w:val="22"/>
          <w:szCs w:val="22"/>
        </w:rPr>
        <w:t>Tuo pačiu metu taikomas VAL arba PAL gydymas ASR pacientams, anksčiau patyrusiems hemoraginį arba lakūninį insultą arba per paskutinio mėnesio laikotarpiu patyrusiems bet kokį insultą (žr. 4.4 skyrių).</w:t>
      </w:r>
    </w:p>
    <w:p w14:paraId="51B73777" w14:textId="77777777" w:rsidR="00823785" w:rsidRPr="00452D62" w:rsidRDefault="00823785" w:rsidP="00823785">
      <w:pPr>
        <w:rPr>
          <w:sz w:val="22"/>
          <w:szCs w:val="22"/>
        </w:rPr>
      </w:pPr>
    </w:p>
    <w:p w14:paraId="7CD79F47" w14:textId="77777777" w:rsidR="00823785" w:rsidRPr="00452D62" w:rsidRDefault="00823785" w:rsidP="00823785">
      <w:pPr>
        <w:rPr>
          <w:sz w:val="22"/>
          <w:szCs w:val="22"/>
        </w:rPr>
      </w:pPr>
      <w:r w:rsidRPr="00452D62">
        <w:rPr>
          <w:sz w:val="22"/>
          <w:szCs w:val="22"/>
        </w:rPr>
        <w:t xml:space="preserve">Kepenų liga, susijusi su koaguliopatija ir kliniškai reikšmingo kraujavimo rizika, įskaitant pacientus, kuriems yra cirozė (B ir C pagal </w:t>
      </w:r>
      <w:r w:rsidRPr="00452D62">
        <w:rPr>
          <w:i/>
          <w:sz w:val="22"/>
          <w:szCs w:val="22"/>
        </w:rPr>
        <w:t>Child Pugh</w:t>
      </w:r>
      <w:r w:rsidRPr="00452D62">
        <w:rPr>
          <w:sz w:val="22"/>
          <w:szCs w:val="22"/>
        </w:rPr>
        <w:t>) (žr. 5.2 skyrių).</w:t>
      </w:r>
    </w:p>
    <w:p w14:paraId="770658D5" w14:textId="77777777" w:rsidR="00823785" w:rsidRPr="00452D62" w:rsidRDefault="00823785" w:rsidP="00823785">
      <w:pPr>
        <w:rPr>
          <w:sz w:val="22"/>
          <w:szCs w:val="22"/>
        </w:rPr>
      </w:pPr>
    </w:p>
    <w:p w14:paraId="498ACEE7" w14:textId="77777777" w:rsidR="00823785" w:rsidRPr="00452D62" w:rsidRDefault="00823785" w:rsidP="00823785">
      <w:pPr>
        <w:rPr>
          <w:sz w:val="22"/>
          <w:szCs w:val="22"/>
        </w:rPr>
      </w:pPr>
      <w:r w:rsidRPr="00452D62">
        <w:rPr>
          <w:sz w:val="22"/>
          <w:szCs w:val="22"/>
        </w:rPr>
        <w:t>Nėštumo ir žindymo laikotarpis (žr. 4.6 skyrių).</w:t>
      </w:r>
    </w:p>
    <w:p w14:paraId="6D304091" w14:textId="77777777" w:rsidR="00823785" w:rsidRPr="00452D62" w:rsidRDefault="00823785" w:rsidP="00823785">
      <w:pPr>
        <w:rPr>
          <w:sz w:val="22"/>
          <w:szCs w:val="22"/>
        </w:rPr>
      </w:pPr>
    </w:p>
    <w:p w14:paraId="6F29F3E8"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4.4</w:t>
      </w:r>
      <w:r w:rsidRPr="00452D62">
        <w:rPr>
          <w:b/>
          <w:color w:val="auto"/>
          <w:kern w:val="28"/>
          <w:sz w:val="22"/>
          <w:szCs w:val="22"/>
          <w:lang w:eastAsia="en-US"/>
        </w:rPr>
        <w:tab/>
        <w:t>Specialūs įspėjimai ir atsargumo priemonės</w:t>
      </w:r>
    </w:p>
    <w:p w14:paraId="377F0797" w14:textId="77777777" w:rsidR="00823785" w:rsidRPr="00452D62" w:rsidRDefault="00823785" w:rsidP="00823785">
      <w:pPr>
        <w:ind w:left="567" w:hanging="567"/>
        <w:rPr>
          <w:b/>
          <w:sz w:val="22"/>
          <w:szCs w:val="22"/>
        </w:rPr>
      </w:pPr>
    </w:p>
    <w:p w14:paraId="1F52EC85" w14:textId="146B1204" w:rsidR="00823785" w:rsidRPr="00452D62" w:rsidRDefault="00823785" w:rsidP="00823785">
      <w:pPr>
        <w:tabs>
          <w:tab w:val="clear" w:pos="567"/>
          <w:tab w:val="left" w:pos="0"/>
        </w:tabs>
        <w:rPr>
          <w:sz w:val="22"/>
          <w:szCs w:val="22"/>
        </w:rPr>
      </w:pPr>
      <w:r w:rsidRPr="00452D62">
        <w:rPr>
          <w:sz w:val="22"/>
          <w:szCs w:val="22"/>
        </w:rPr>
        <w:t>ŪKS sergantiems pacientams du kartus per parą vartojamo Xerdoxo 2,5 mg veiksmingumas bei saugumas buvo ištirti kartu vartojant antitrombocitinių medžiagų vien ASR arba ASR ir klopidogrelio ar tiklopidino.</w:t>
      </w:r>
    </w:p>
    <w:p w14:paraId="4B487ACA" w14:textId="77777777" w:rsidR="00823785" w:rsidRPr="00452D62" w:rsidRDefault="00823785" w:rsidP="00823785">
      <w:pPr>
        <w:tabs>
          <w:tab w:val="clear" w:pos="567"/>
          <w:tab w:val="left" w:pos="0"/>
        </w:tabs>
        <w:rPr>
          <w:sz w:val="22"/>
          <w:szCs w:val="22"/>
        </w:rPr>
      </w:pPr>
      <w:r w:rsidRPr="00452D62">
        <w:rPr>
          <w:sz w:val="22"/>
          <w:szCs w:val="22"/>
        </w:rPr>
        <w:t>VAL ir (arba) PAL sergantiems pacientams, kuriems yra didelė išeminių reiškinių rizika, du kartus per parą vartojamo rivaroksabano 2,5 mg veiksmingumas ir saugumas ištirti kartu vartojant ASR. Pacientams, kuriems dėl simptominės PAL neseniai atlikta apatinės galūnės revaskuliarizacijos procedūra, du kartus per parą vartojamo rivaroksabano 2,5 mg veiksmingumas ir saugumas ištirti kartu vartojant antitrombocitinį poveikį turinčią medžiagą ASR arba ASR ir trumpai vartojamu klopidogreliu. Prireikus gydymas dviem antitrombocitiniais vaistiniais preparatais skiriant klopidogrelio turi būti trumpalaikis; ilgalaikio gydymo dviem antitrombocitiniais vaistiniais preparatais reikia vengti (žr. 5.1 skyrių).</w:t>
      </w:r>
    </w:p>
    <w:p w14:paraId="369B745F" w14:textId="77777777" w:rsidR="00823785" w:rsidRPr="00452D62" w:rsidRDefault="00823785" w:rsidP="00823785">
      <w:pPr>
        <w:tabs>
          <w:tab w:val="clear" w:pos="567"/>
          <w:tab w:val="left" w:pos="0"/>
        </w:tabs>
        <w:rPr>
          <w:sz w:val="22"/>
          <w:szCs w:val="22"/>
        </w:rPr>
      </w:pPr>
    </w:p>
    <w:p w14:paraId="04CC23F3" w14:textId="77777777" w:rsidR="00823785" w:rsidRPr="00452D62" w:rsidRDefault="00823785" w:rsidP="00823785">
      <w:pPr>
        <w:tabs>
          <w:tab w:val="clear" w:pos="567"/>
          <w:tab w:val="left" w:pos="0"/>
        </w:tabs>
        <w:rPr>
          <w:sz w:val="22"/>
          <w:szCs w:val="22"/>
        </w:rPr>
      </w:pPr>
      <w:r w:rsidRPr="00452D62">
        <w:rPr>
          <w:sz w:val="22"/>
          <w:szCs w:val="22"/>
        </w:rPr>
        <w:t>Gydymas derinyje su kitais antitrombocitiniais vaistiniais preparatais, pvz., prazugreliu arba tikagreloru, nebuvo tirtas ir nėra rekomenduojamas.</w:t>
      </w:r>
    </w:p>
    <w:p w14:paraId="602B223A" w14:textId="77777777" w:rsidR="00823785" w:rsidRPr="00452D62" w:rsidRDefault="00823785" w:rsidP="00823785">
      <w:pPr>
        <w:tabs>
          <w:tab w:val="clear" w:pos="567"/>
          <w:tab w:val="left" w:pos="0"/>
        </w:tabs>
        <w:rPr>
          <w:sz w:val="22"/>
          <w:szCs w:val="22"/>
        </w:rPr>
      </w:pPr>
    </w:p>
    <w:p w14:paraId="71CD02BA" w14:textId="77777777" w:rsidR="00823785" w:rsidRPr="00452D62" w:rsidRDefault="00823785" w:rsidP="00823785">
      <w:pPr>
        <w:tabs>
          <w:tab w:val="clear" w:pos="567"/>
          <w:tab w:val="left" w:pos="0"/>
        </w:tabs>
        <w:rPr>
          <w:sz w:val="22"/>
          <w:szCs w:val="22"/>
        </w:rPr>
      </w:pPr>
      <w:r w:rsidRPr="00452D62">
        <w:rPr>
          <w:sz w:val="22"/>
          <w:szCs w:val="22"/>
        </w:rPr>
        <w:t>Gydymo laikotarpiu rekomenduojamas klinikinis stebėjimas, paremtas gydymo antikoaguliantais praktika.</w:t>
      </w:r>
    </w:p>
    <w:p w14:paraId="60EE9CD8" w14:textId="77777777" w:rsidR="00823785" w:rsidRPr="00452D62" w:rsidRDefault="00823785" w:rsidP="00823785">
      <w:pPr>
        <w:rPr>
          <w:sz w:val="22"/>
          <w:szCs w:val="22"/>
          <w:u w:val="single"/>
        </w:rPr>
      </w:pPr>
    </w:p>
    <w:p w14:paraId="3D03ED4D" w14:textId="77777777" w:rsidR="00823785" w:rsidRPr="00452D62" w:rsidRDefault="00823785" w:rsidP="00823785">
      <w:pPr>
        <w:rPr>
          <w:sz w:val="22"/>
          <w:szCs w:val="22"/>
        </w:rPr>
      </w:pPr>
      <w:r w:rsidRPr="00452D62">
        <w:rPr>
          <w:sz w:val="22"/>
          <w:szCs w:val="22"/>
          <w:u w:val="single"/>
        </w:rPr>
        <w:t>Kraujavimo rizika</w:t>
      </w:r>
    </w:p>
    <w:p w14:paraId="5AB36CDA" w14:textId="77777777" w:rsidR="00823785" w:rsidRPr="00452D62" w:rsidRDefault="00823785" w:rsidP="00823785">
      <w:pPr>
        <w:rPr>
          <w:sz w:val="22"/>
          <w:szCs w:val="22"/>
        </w:rPr>
      </w:pPr>
      <w:r w:rsidRPr="00452D62">
        <w:rPr>
          <w:sz w:val="22"/>
          <w:szCs w:val="22"/>
        </w:rPr>
        <w:t>Kaip ir gydant kitais antikoaguliantais, Xerdoxo vartojančius pacientus reikia atidžiai stebėti dėl kraujavimo požymių. Esant padidėjusios kraujavimo rizikos būklėms, šį vaistinį preparatą rekomenduojama vartoti atsargiai. Jei pasireiškia sunkus kraujavimas, Xerdoxo vartojimą reikia nutraukti (žr. 4.9 skyrių).</w:t>
      </w:r>
    </w:p>
    <w:p w14:paraId="3063C4C8" w14:textId="77777777" w:rsidR="00823785" w:rsidRPr="00452D62" w:rsidRDefault="00823785" w:rsidP="00823785">
      <w:pPr>
        <w:rPr>
          <w:sz w:val="22"/>
          <w:szCs w:val="22"/>
        </w:rPr>
      </w:pPr>
    </w:p>
    <w:p w14:paraId="7E810179" w14:textId="77777777" w:rsidR="00823785" w:rsidRPr="00452D62" w:rsidRDefault="00823785" w:rsidP="00823785">
      <w:pPr>
        <w:rPr>
          <w:sz w:val="22"/>
          <w:szCs w:val="22"/>
        </w:rPr>
      </w:pPr>
      <w:r w:rsidRPr="00452D62">
        <w:rPr>
          <w:sz w:val="22"/>
          <w:szCs w:val="22"/>
        </w:rPr>
        <w:t>Klinikinių tyrimų metu gleivinės kraujavimas (t. y. iš nosies, dantenų, virškinimo trakto, lytinių organų ir šlapimo takų, įskaitant nenormalų kraujavimą iš makšties arba sustiprėjusį menstruacinį kraujavimą) ir anemija dažniau buvo stebėti taikant ilgalaikį gydymą rivaroksabanu ir kartu skiriant vieną arba du antitrombocitinius vaistinius preparatus. Taigi, papildant reikiamą klinikinį stebėjimą, slaptam kraujavimui nustatyti ir klinikinei akivaizdaus kraujavimo reikšmei įvertinti gali būti naudingi hemoglobino ir (arba) hematokrito laboratoriniai tyrimai, jei manoma, kad jie yra tinkami.</w:t>
      </w:r>
    </w:p>
    <w:p w14:paraId="36227079" w14:textId="77777777" w:rsidR="00823785" w:rsidRPr="00452D62" w:rsidRDefault="00823785" w:rsidP="00823785">
      <w:pPr>
        <w:rPr>
          <w:sz w:val="22"/>
          <w:szCs w:val="22"/>
        </w:rPr>
      </w:pPr>
    </w:p>
    <w:p w14:paraId="6241B2FD" w14:textId="6C182994" w:rsidR="00823785" w:rsidRPr="00452D62" w:rsidRDefault="00823785" w:rsidP="00823785">
      <w:pPr>
        <w:rPr>
          <w:sz w:val="22"/>
          <w:szCs w:val="22"/>
        </w:rPr>
      </w:pPr>
      <w:r w:rsidRPr="00452D62">
        <w:rPr>
          <w:sz w:val="22"/>
          <w:szCs w:val="22"/>
        </w:rPr>
        <w:t>Keliems pacientų pogrupiams, kaip nurodyta toliau, yra padidėjusi kraujavimo rizika. Taigi, pacientams, kuriems yra padidėjusi kraujavimo rizika, reikia įvertinti Xerdoxo vartojimo kartu su dviem antitrombocitiniais vaistiniais preparatais riziką ir aterotrombozinių reiškinių profilaktikos naudą. Be to, pradėjus gydymą, tokius pacientus reikia atidžiai stebėti dėl kraujavimo komplikacijų požymių bei simptomų ir anemijos (žr. 4.8 skyrių).</w:t>
      </w:r>
    </w:p>
    <w:p w14:paraId="0D7C765F" w14:textId="77777777" w:rsidR="00823785" w:rsidRPr="00452D62" w:rsidRDefault="00823785" w:rsidP="00823785">
      <w:pPr>
        <w:rPr>
          <w:sz w:val="22"/>
          <w:szCs w:val="22"/>
        </w:rPr>
      </w:pPr>
      <w:r w:rsidRPr="00452D62">
        <w:rPr>
          <w:sz w:val="22"/>
          <w:szCs w:val="22"/>
        </w:rPr>
        <w:t>Bet koks nepaaiškinamas hemoglobino rodmens ar kraujospūdžio sumažėjimas turi paskatinti ieškoti kraujavimo vietos.</w:t>
      </w:r>
    </w:p>
    <w:p w14:paraId="7AD5C18C" w14:textId="77777777" w:rsidR="00823785" w:rsidRPr="00452D62" w:rsidRDefault="00823785" w:rsidP="00823785">
      <w:pPr>
        <w:rPr>
          <w:sz w:val="22"/>
          <w:szCs w:val="22"/>
        </w:rPr>
      </w:pPr>
    </w:p>
    <w:p w14:paraId="756F0A0C" w14:textId="77777777" w:rsidR="00823785" w:rsidRPr="00452D62" w:rsidRDefault="00823785" w:rsidP="00823785">
      <w:pPr>
        <w:rPr>
          <w:sz w:val="22"/>
          <w:szCs w:val="22"/>
          <w:u w:val="single"/>
        </w:rPr>
      </w:pPr>
      <w:r w:rsidRPr="00452D62">
        <w:rPr>
          <w:sz w:val="22"/>
          <w:szCs w:val="22"/>
        </w:rPr>
        <w:t>Nors gydant rivaroksabanu rutininis ekspozicijos stebėjimas nėra būtinas, išimtiniais atvejais, kai, žinant rivaroksabano ekspoziciją gali būti lengviau priimti klinikinį sprendimą, pvz., perdozavus arba skubios chirurginės operacijos atveju, gali būti naudinga rivaroksabano kiekį įvertinti naudojant kalibruotą kiekybinę anti-Xa faktoriaus analizę (žr. 5.1 ir 5.2 skyrius).</w:t>
      </w:r>
    </w:p>
    <w:p w14:paraId="3FE167AB" w14:textId="77777777" w:rsidR="00823785" w:rsidRPr="00452D62" w:rsidRDefault="00823785" w:rsidP="00823785">
      <w:pPr>
        <w:rPr>
          <w:sz w:val="22"/>
          <w:szCs w:val="22"/>
          <w:u w:val="single"/>
        </w:rPr>
      </w:pPr>
    </w:p>
    <w:p w14:paraId="4552E7F5" w14:textId="77777777" w:rsidR="00823785" w:rsidRPr="00452D62" w:rsidRDefault="00823785" w:rsidP="00823785">
      <w:pPr>
        <w:rPr>
          <w:sz w:val="22"/>
          <w:szCs w:val="22"/>
        </w:rPr>
      </w:pPr>
      <w:r w:rsidRPr="00452D62">
        <w:rPr>
          <w:sz w:val="22"/>
          <w:szCs w:val="22"/>
          <w:u w:val="single"/>
        </w:rPr>
        <w:t>Sutrikusi inkstų funkcija</w:t>
      </w:r>
    </w:p>
    <w:p w14:paraId="18997DDE" w14:textId="77777777" w:rsidR="00823785" w:rsidRPr="00452D62" w:rsidRDefault="00823785" w:rsidP="00823785">
      <w:pPr>
        <w:rPr>
          <w:sz w:val="22"/>
          <w:szCs w:val="22"/>
        </w:rPr>
      </w:pPr>
      <w:r w:rsidRPr="00452D62">
        <w:rPr>
          <w:sz w:val="22"/>
          <w:szCs w:val="22"/>
        </w:rPr>
        <w:t>Pacientams, kuriems yra sunkus inkstų funkcijos sutrikimas (kreatinino klirensas &lt; 30 ml/min.), rivaroksabano kiekis kraujo plazmoje gali būti reikšmingai padidėjęs (vidutiniškai 1,6 karto) ir tai gali padidinti kraujavimo riziką. Pacientams, kurių kreatinino klirensas yra 15</w:t>
      </w:r>
      <w:r w:rsidRPr="00452D62">
        <w:rPr>
          <w:sz w:val="22"/>
          <w:szCs w:val="22"/>
        </w:rPr>
        <w:noBreakHyphen/>
        <w:t>29 ml/min., Xerdoxo reikia vartoti atsargiai. Xerdoxo nerekomenduojama vartoti pacientams, kurių kreatinino klirensas yra &lt; 15 ml/min. (žr. 4.2 ir 5.2 skyrius).</w:t>
      </w:r>
    </w:p>
    <w:p w14:paraId="537E7BA6" w14:textId="77777777" w:rsidR="00823785" w:rsidRPr="00452D62" w:rsidRDefault="00823785" w:rsidP="00823785">
      <w:pPr>
        <w:rPr>
          <w:sz w:val="22"/>
          <w:szCs w:val="22"/>
          <w:u w:val="single"/>
        </w:rPr>
      </w:pPr>
      <w:r w:rsidRPr="00452D62">
        <w:rPr>
          <w:sz w:val="22"/>
          <w:szCs w:val="22"/>
        </w:rPr>
        <w:t>Pacientams, kuriems yra vidutinio sunkumo inkstų funkcijos sutrikimas (kreatinino klirensas 30</w:t>
      </w:r>
      <w:r w:rsidRPr="00452D62">
        <w:rPr>
          <w:sz w:val="22"/>
          <w:szCs w:val="22"/>
        </w:rPr>
        <w:noBreakHyphen/>
        <w:t>49 ml/min.), kartu skiriant kitų vaistinių preparatų, kurie padidina rivaroksabano koncentraciją kraujo plazmoje, rivaroksabano būtina vartoti atsargiai (žr. 4.5 skyrių).</w:t>
      </w:r>
    </w:p>
    <w:p w14:paraId="365A6C84" w14:textId="77777777" w:rsidR="00823785" w:rsidRPr="00452D62" w:rsidRDefault="00823785" w:rsidP="00823785">
      <w:pPr>
        <w:rPr>
          <w:sz w:val="22"/>
          <w:szCs w:val="22"/>
          <w:u w:val="single"/>
        </w:rPr>
      </w:pPr>
    </w:p>
    <w:p w14:paraId="4601DC4B" w14:textId="77777777" w:rsidR="00823785" w:rsidRPr="00452D62" w:rsidRDefault="00823785" w:rsidP="00823785">
      <w:pPr>
        <w:rPr>
          <w:sz w:val="22"/>
          <w:szCs w:val="22"/>
        </w:rPr>
      </w:pPr>
      <w:r w:rsidRPr="00452D62">
        <w:rPr>
          <w:sz w:val="22"/>
          <w:szCs w:val="22"/>
          <w:u w:val="single"/>
        </w:rPr>
        <w:t>Sąveika su kitais vaistiniais preparatais</w:t>
      </w:r>
    </w:p>
    <w:p w14:paraId="506D0901" w14:textId="77777777" w:rsidR="00823785" w:rsidRPr="00452D62" w:rsidRDefault="00823785" w:rsidP="00823785">
      <w:pPr>
        <w:tabs>
          <w:tab w:val="clear" w:pos="567"/>
          <w:tab w:val="left" w:pos="0"/>
        </w:tabs>
        <w:rPr>
          <w:sz w:val="22"/>
          <w:szCs w:val="22"/>
        </w:rPr>
      </w:pPr>
      <w:r w:rsidRPr="00452D62">
        <w:rPr>
          <w:sz w:val="22"/>
          <w:szCs w:val="22"/>
        </w:rPr>
        <w:t>Xerdoxo nerekomenduojama skirti pacientams, kuriems taikomas sisteminis gydymas azolo grupės priešgrybeliniais vaistiniais preparatais (pvz., ketokonazolu, itrakonazolu, vorikonazolu ir pozakonazolu) arba ŽIV proteazės inhibitoriais (pvz., ritonaviru). Šios veikliosios medžiagos yra stiprūs ir CYP3A4, ir P-gp inhibitoriai ir dėl to rivaroksabano koncentracija kraujo plazmoje gali padidėti kliniškai reikšmingai (vidutiniškai 2,6 karto), o tai gali padidinti kraujavimo riziką (žr. 4.5 skyrių).</w:t>
      </w:r>
    </w:p>
    <w:p w14:paraId="01FF4A74" w14:textId="77777777" w:rsidR="00823785" w:rsidRPr="00452D62" w:rsidRDefault="00823785" w:rsidP="00823785">
      <w:pPr>
        <w:rPr>
          <w:sz w:val="22"/>
          <w:szCs w:val="22"/>
        </w:rPr>
      </w:pPr>
    </w:p>
    <w:p w14:paraId="39D7E483" w14:textId="77777777" w:rsidR="00823785" w:rsidRPr="00452D62" w:rsidRDefault="00823785" w:rsidP="00823785">
      <w:pPr>
        <w:rPr>
          <w:sz w:val="22"/>
          <w:szCs w:val="22"/>
          <w:u w:val="single"/>
        </w:rPr>
      </w:pPr>
      <w:r w:rsidRPr="00452D62">
        <w:rPr>
          <w:sz w:val="22"/>
          <w:szCs w:val="22"/>
        </w:rPr>
        <w:t>Turi būti imamasi atsargumo priemonių, jeigu pacientai kartu gydomi hemostazę veikiančiais vaistiniais preparatais, pvz., nesteroidiniais vaistiniais preparatais nuo uždegimo (NVNU), acetilsalicilo rūgštimi (ASR) ir trombocitų agregacijos inhibitoriais</w:t>
      </w:r>
      <w:r w:rsidRPr="00AE1B80">
        <w:rPr>
          <w:sz w:val="22"/>
          <w:szCs w:val="22"/>
        </w:rPr>
        <w:t xml:space="preserve"> </w:t>
      </w:r>
      <w:r w:rsidRPr="00452D62">
        <w:rPr>
          <w:sz w:val="22"/>
          <w:szCs w:val="22"/>
        </w:rPr>
        <w:t>arba selektyviais serotonino reabsorbcijos inhibitoriais (SSRI) ir serotonino-norepinefrino reabsorbcijos inhibitoriais (SNRI). Pacientams, kuriems yra opinės virškinimo trakto ligos rizika, gali būti naudinga skirti atitinkamą profilaktinį gydymą (žr. 4.5 ir 5.1 skyrius).</w:t>
      </w:r>
    </w:p>
    <w:p w14:paraId="2A663B0D" w14:textId="77837846" w:rsidR="00823785" w:rsidRPr="00452D62" w:rsidRDefault="00823785" w:rsidP="00823785">
      <w:pPr>
        <w:rPr>
          <w:sz w:val="22"/>
          <w:szCs w:val="22"/>
        </w:rPr>
      </w:pPr>
      <w:r w:rsidRPr="00452D62">
        <w:rPr>
          <w:sz w:val="22"/>
          <w:szCs w:val="22"/>
        </w:rPr>
        <w:t>Pacientai, gydomi Xerdoxo ir antitrombocitinį poveikį turinčiomis medžiagomis, NVNU kartu gali vartoti tik tada, jeigu gydymo nauda viršija kraujavimo riziką.</w:t>
      </w:r>
    </w:p>
    <w:p w14:paraId="2EF43AD0" w14:textId="77777777" w:rsidR="00823785" w:rsidRPr="00452D62" w:rsidRDefault="00823785" w:rsidP="00823785">
      <w:pPr>
        <w:rPr>
          <w:sz w:val="22"/>
          <w:szCs w:val="22"/>
        </w:rPr>
      </w:pPr>
    </w:p>
    <w:p w14:paraId="6A811646" w14:textId="77777777" w:rsidR="00823785" w:rsidRPr="00452D62" w:rsidRDefault="00823785" w:rsidP="00823785">
      <w:pPr>
        <w:rPr>
          <w:sz w:val="22"/>
          <w:szCs w:val="22"/>
          <w:u w:val="single"/>
        </w:rPr>
      </w:pPr>
      <w:r w:rsidRPr="00452D62">
        <w:rPr>
          <w:sz w:val="22"/>
          <w:szCs w:val="22"/>
          <w:u w:val="single"/>
        </w:rPr>
        <w:t>Kiti kraujavimo rizikos veiksniai</w:t>
      </w:r>
    </w:p>
    <w:p w14:paraId="75407E07" w14:textId="77777777" w:rsidR="00823785" w:rsidRPr="00452D62" w:rsidRDefault="00823785" w:rsidP="00823785">
      <w:pPr>
        <w:rPr>
          <w:sz w:val="22"/>
          <w:szCs w:val="22"/>
        </w:rPr>
      </w:pPr>
      <w:r w:rsidRPr="00452D62">
        <w:rPr>
          <w:sz w:val="22"/>
          <w:szCs w:val="22"/>
        </w:rPr>
        <w:t>Rivaroksabanas, kaip ir kiti antitromboziniai vaistiniai preparatai, turi būti atsargiai vartojamas pacientams, kuriems padidėjusi kraujavimo rizika, pvz., jei yra:</w:t>
      </w:r>
    </w:p>
    <w:p w14:paraId="462FC363" w14:textId="77777777" w:rsidR="00823785" w:rsidRPr="00452D62" w:rsidRDefault="00823785" w:rsidP="00823785">
      <w:pPr>
        <w:numPr>
          <w:ilvl w:val="0"/>
          <w:numId w:val="15"/>
        </w:numPr>
        <w:ind w:left="567" w:hanging="567"/>
        <w:rPr>
          <w:sz w:val="22"/>
          <w:szCs w:val="22"/>
        </w:rPr>
      </w:pPr>
      <w:r w:rsidRPr="00452D62">
        <w:rPr>
          <w:sz w:val="22"/>
          <w:szCs w:val="22"/>
        </w:rPr>
        <w:t>įgimtų ar įgytų kraujavimo sutrikimų;</w:t>
      </w:r>
    </w:p>
    <w:p w14:paraId="316775B9" w14:textId="77777777" w:rsidR="00823785" w:rsidRPr="00452D62" w:rsidRDefault="00823785" w:rsidP="00823785">
      <w:pPr>
        <w:numPr>
          <w:ilvl w:val="0"/>
          <w:numId w:val="15"/>
        </w:numPr>
        <w:ind w:left="567" w:hanging="567"/>
        <w:rPr>
          <w:sz w:val="22"/>
          <w:szCs w:val="22"/>
        </w:rPr>
      </w:pPr>
      <w:r w:rsidRPr="00452D62">
        <w:rPr>
          <w:sz w:val="22"/>
          <w:szCs w:val="22"/>
        </w:rPr>
        <w:t>nekontroliuojama sunki arterinė hipertenzija;</w:t>
      </w:r>
    </w:p>
    <w:p w14:paraId="691BFBFE" w14:textId="77777777" w:rsidR="00823785" w:rsidRPr="00452D62" w:rsidRDefault="00823785" w:rsidP="00823785">
      <w:pPr>
        <w:numPr>
          <w:ilvl w:val="0"/>
          <w:numId w:val="15"/>
        </w:numPr>
        <w:ind w:left="567" w:hanging="567"/>
        <w:rPr>
          <w:sz w:val="22"/>
          <w:szCs w:val="22"/>
        </w:rPr>
      </w:pPr>
      <w:r w:rsidRPr="00452D62">
        <w:rPr>
          <w:sz w:val="22"/>
          <w:szCs w:val="22"/>
        </w:rPr>
        <w:t>kitų virškinimo trakto ligų be aktyvaus išopėjimo, galinčių sukelti kraujavimo komplikacijų (pvz., uždegiminė žarnyno liga, ezofagitas, gastritas ir gastroezofaginio refliukso liga);</w:t>
      </w:r>
    </w:p>
    <w:p w14:paraId="719F2B8B" w14:textId="77777777" w:rsidR="00823785" w:rsidRPr="00452D62" w:rsidRDefault="00823785" w:rsidP="00823785">
      <w:pPr>
        <w:numPr>
          <w:ilvl w:val="0"/>
          <w:numId w:val="15"/>
        </w:numPr>
        <w:ind w:left="567" w:hanging="567"/>
        <w:rPr>
          <w:sz w:val="22"/>
          <w:szCs w:val="22"/>
        </w:rPr>
      </w:pPr>
      <w:r w:rsidRPr="00452D62">
        <w:rPr>
          <w:sz w:val="22"/>
          <w:szCs w:val="22"/>
        </w:rPr>
        <w:t>kraujagyslinė retinopatija;</w:t>
      </w:r>
    </w:p>
    <w:p w14:paraId="02565F66" w14:textId="77777777" w:rsidR="00823785" w:rsidRPr="00452D62" w:rsidRDefault="00823785" w:rsidP="00823785">
      <w:pPr>
        <w:numPr>
          <w:ilvl w:val="0"/>
          <w:numId w:val="15"/>
        </w:numPr>
        <w:ind w:left="567" w:hanging="567"/>
        <w:rPr>
          <w:sz w:val="22"/>
          <w:szCs w:val="22"/>
        </w:rPr>
      </w:pPr>
      <w:r w:rsidRPr="00452D62">
        <w:rPr>
          <w:sz w:val="22"/>
          <w:szCs w:val="22"/>
        </w:rPr>
        <w:t>bronchektazės arba buvęs kraujavimas iš plaučių.</w:t>
      </w:r>
    </w:p>
    <w:p w14:paraId="46966EBF" w14:textId="77777777" w:rsidR="00823785" w:rsidRPr="00452D62" w:rsidRDefault="00823785" w:rsidP="00823785">
      <w:pPr>
        <w:rPr>
          <w:sz w:val="22"/>
          <w:szCs w:val="22"/>
        </w:rPr>
      </w:pPr>
    </w:p>
    <w:p w14:paraId="1423730D" w14:textId="77777777" w:rsidR="00823785" w:rsidRPr="00452D62" w:rsidRDefault="00823785" w:rsidP="00823785">
      <w:pPr>
        <w:rPr>
          <w:sz w:val="22"/>
          <w:szCs w:val="22"/>
        </w:rPr>
      </w:pPr>
      <w:r w:rsidRPr="00452D62">
        <w:rPr>
          <w:sz w:val="22"/>
          <w:szCs w:val="22"/>
        </w:rPr>
        <w:t>Rivaroksabaną reikia atsargiai vartoti ŪKS patyrusiems bei VAL ir (arba) PAL sergantiems pacientams:</w:t>
      </w:r>
    </w:p>
    <w:p w14:paraId="2F018627" w14:textId="77777777" w:rsidR="00823785" w:rsidRPr="00452D62" w:rsidRDefault="00823785" w:rsidP="00823785">
      <w:pPr>
        <w:numPr>
          <w:ilvl w:val="0"/>
          <w:numId w:val="16"/>
        </w:numPr>
        <w:ind w:left="567" w:hanging="567"/>
        <w:rPr>
          <w:sz w:val="22"/>
          <w:szCs w:val="22"/>
        </w:rPr>
      </w:pPr>
      <w:r w:rsidRPr="00452D62">
        <w:rPr>
          <w:sz w:val="22"/>
          <w:szCs w:val="22"/>
        </w:rPr>
        <w:t>≥ 75 metų amžiaus, jeigu kartu vartojama ASR arba ASR su klopidogreliu ar tiklopidinu. Reikia reguliariai individualiai įvertinti gydymo naudos ir rizikos santykį;</w:t>
      </w:r>
    </w:p>
    <w:p w14:paraId="68844422" w14:textId="77777777" w:rsidR="00823785" w:rsidRPr="00452D62" w:rsidRDefault="00823785" w:rsidP="00823785">
      <w:pPr>
        <w:numPr>
          <w:ilvl w:val="0"/>
          <w:numId w:val="16"/>
        </w:numPr>
        <w:ind w:left="567" w:hanging="567"/>
        <w:rPr>
          <w:sz w:val="22"/>
          <w:szCs w:val="22"/>
        </w:rPr>
      </w:pPr>
      <w:r w:rsidRPr="00452D62">
        <w:rPr>
          <w:sz w:val="22"/>
          <w:szCs w:val="22"/>
        </w:rPr>
        <w:t>mažesnio kūno svorio (&lt; 60 kg), jeigu vartojama derinyje su ASR arba ASR su klopidogreliu ar tiklopidinu;</w:t>
      </w:r>
    </w:p>
    <w:p w14:paraId="3536AE82" w14:textId="09AA182F" w:rsidR="00823785" w:rsidRPr="00452D62" w:rsidRDefault="00823785" w:rsidP="00823785">
      <w:pPr>
        <w:numPr>
          <w:ilvl w:val="0"/>
          <w:numId w:val="16"/>
        </w:numPr>
        <w:ind w:left="567" w:hanging="567"/>
        <w:rPr>
          <w:sz w:val="22"/>
          <w:szCs w:val="22"/>
        </w:rPr>
      </w:pPr>
      <w:r w:rsidRPr="00452D62">
        <w:rPr>
          <w:sz w:val="22"/>
          <w:szCs w:val="22"/>
        </w:rPr>
        <w:t>VAL sergantiems pacientams, kuriems yra sunkus simptominis širdies nepakankamumas. Tyrimo duomenys rodo, kad tokiems pacientams gydymas rivaroksabanu gali būti mažiau naudingas (žr. 5.1 skyrių).</w:t>
      </w:r>
    </w:p>
    <w:p w14:paraId="0DD1891F" w14:textId="77777777" w:rsidR="00823785" w:rsidRPr="00452D62" w:rsidRDefault="00823785" w:rsidP="00823785">
      <w:pPr>
        <w:rPr>
          <w:sz w:val="22"/>
          <w:szCs w:val="22"/>
          <w:u w:val="single"/>
        </w:rPr>
      </w:pPr>
    </w:p>
    <w:p w14:paraId="3A862036" w14:textId="77777777" w:rsidR="00823785" w:rsidRPr="00452D62" w:rsidRDefault="00823785" w:rsidP="00823785">
      <w:pPr>
        <w:rPr>
          <w:sz w:val="22"/>
          <w:szCs w:val="22"/>
          <w:u w:val="single"/>
        </w:rPr>
      </w:pPr>
      <w:r w:rsidRPr="00452D62">
        <w:rPr>
          <w:sz w:val="22"/>
          <w:szCs w:val="22"/>
          <w:u w:val="single"/>
        </w:rPr>
        <w:t>Vėžiu sergantys pacientai</w:t>
      </w:r>
    </w:p>
    <w:p w14:paraId="468E8910" w14:textId="77777777" w:rsidR="00823785" w:rsidRPr="00452D62" w:rsidRDefault="00823785" w:rsidP="00823785">
      <w:pPr>
        <w:rPr>
          <w:sz w:val="22"/>
          <w:szCs w:val="22"/>
        </w:rPr>
      </w:pPr>
      <w:r w:rsidRPr="00452D62">
        <w:rPr>
          <w:sz w:val="22"/>
          <w:szCs w:val="22"/>
        </w:rPr>
        <w:t>Pacientams, sergantiems piktybine liga, tuo pačiu metu gali būti didesnė kraujavimo ir trombozės rizika. Turėtų būti įvertinta individuali antitrombozinio gydymo nauda lyginant su kraujavimo rizika pacientams, sergantiems aktyviu vėžiu, priklausomai nuo naviko lokalizacijos, priešvėžinio gydymo ir ligos stadijos. Virškinimo arba urogenitaliniame trakte esantys navikai buvo susiję su padidėjusia kraujavimo rizika gydant rivaroksabanu. Pacientams, sergantiems piktybiniais navikais, kurių kraujavimo rizika yra didelė, rivaroksabano vartoti negalima (žr. 4.3 skyrių).</w:t>
      </w:r>
    </w:p>
    <w:p w14:paraId="652D15A9" w14:textId="77777777" w:rsidR="00823785" w:rsidRPr="00452D62" w:rsidRDefault="00823785" w:rsidP="00823785">
      <w:pPr>
        <w:rPr>
          <w:sz w:val="22"/>
          <w:szCs w:val="22"/>
          <w:u w:val="single"/>
        </w:rPr>
      </w:pPr>
    </w:p>
    <w:p w14:paraId="0DA4CEFC" w14:textId="77777777" w:rsidR="00823785" w:rsidRPr="00452D62" w:rsidRDefault="00823785" w:rsidP="00823785">
      <w:pPr>
        <w:rPr>
          <w:sz w:val="22"/>
          <w:szCs w:val="22"/>
          <w:u w:val="single"/>
        </w:rPr>
      </w:pPr>
      <w:r w:rsidRPr="00452D62">
        <w:rPr>
          <w:sz w:val="22"/>
          <w:szCs w:val="22"/>
          <w:u w:val="single"/>
        </w:rPr>
        <w:t>Pacientai, kuriems yra protezuoti širdies vožtuvai</w:t>
      </w:r>
    </w:p>
    <w:p w14:paraId="06A5642E" w14:textId="77777777" w:rsidR="00823785" w:rsidRPr="00452D62" w:rsidRDefault="00823785" w:rsidP="00823785">
      <w:pPr>
        <w:rPr>
          <w:sz w:val="22"/>
          <w:szCs w:val="22"/>
        </w:rPr>
      </w:pPr>
      <w:r w:rsidRPr="00452D62">
        <w:rPr>
          <w:sz w:val="22"/>
          <w:szCs w:val="22"/>
        </w:rPr>
        <w:t>Pacientams, kuriems neseniai atliktas transkateterinis aortos vožtuvo pakeitimas (TAVP), rivaroksabano trombų susidarymo profilaktikai vartoti nerekomenduojama. Rivaroksabano saugumas ir veiksmingumas pacientams, kuriems yra protezuoti širdies vožtuvai, neištirti, todėl nėra duomenų, patvirtinančių, kad rivaroksabanas šiems pacientams užtikrina pakankamą antikoaguliacinį poveikį. Tokių pacientų Xerdoxo gydyti nerekomenduojama.</w:t>
      </w:r>
    </w:p>
    <w:p w14:paraId="1200E8E5" w14:textId="77777777" w:rsidR="00823785" w:rsidRPr="00452D62" w:rsidRDefault="00823785" w:rsidP="00823785">
      <w:pPr>
        <w:rPr>
          <w:sz w:val="22"/>
          <w:szCs w:val="22"/>
        </w:rPr>
      </w:pPr>
    </w:p>
    <w:p w14:paraId="47F344CD" w14:textId="77777777" w:rsidR="00823785" w:rsidRPr="00452D62" w:rsidRDefault="00823785" w:rsidP="00823785">
      <w:pPr>
        <w:pStyle w:val="Default"/>
        <w:rPr>
          <w:sz w:val="22"/>
          <w:szCs w:val="22"/>
          <w:u w:val="single"/>
        </w:rPr>
      </w:pPr>
      <w:r w:rsidRPr="00452D62">
        <w:rPr>
          <w:sz w:val="22"/>
          <w:szCs w:val="22"/>
          <w:u w:val="single"/>
        </w:rPr>
        <w:t>Antifosfolipidiniu sindromu sergantys pacientai</w:t>
      </w:r>
    </w:p>
    <w:p w14:paraId="5AA33B5F" w14:textId="77777777" w:rsidR="00823785" w:rsidRPr="00452D62" w:rsidRDefault="00823785" w:rsidP="00823785">
      <w:pPr>
        <w:pStyle w:val="Default"/>
        <w:rPr>
          <w:sz w:val="22"/>
          <w:szCs w:val="22"/>
        </w:rPr>
      </w:pPr>
      <w:r w:rsidRPr="00452D62">
        <w:rPr>
          <w:sz w:val="22"/>
          <w:szCs w:val="22"/>
        </w:rPr>
        <w:t>Tiesioginio poveikio geriamųjų antikoaguliantų (TPGA), įskaitant rivaroksabaną, nerekomenduoja vartoti antifosfolipidiniu sindromu sergantiems pacientams, kuriems praeityje buvo nustatyta trombozė. Taikant gydymą TPGA, ypač tiems pacientams, kuriems nustatyti visų trijų pogrupių antifosfolipidiniai antikūnai (vilkligės antikoaguliantai, antikardiolipino antikūnai ir anti-beta 2-glikoproteino I antikūnai), kartotinių trombozės reiškinių dažnis gali būti didesnis, nei taikant gydymą vitamino K antagonistais.</w:t>
      </w:r>
    </w:p>
    <w:p w14:paraId="43298F9E" w14:textId="77777777" w:rsidR="00823785" w:rsidRPr="00452D62" w:rsidRDefault="00823785" w:rsidP="00823785">
      <w:pPr>
        <w:rPr>
          <w:sz w:val="22"/>
          <w:szCs w:val="22"/>
        </w:rPr>
      </w:pPr>
    </w:p>
    <w:p w14:paraId="2C776DA7" w14:textId="77777777" w:rsidR="00823785" w:rsidRPr="00452D62" w:rsidRDefault="00823785" w:rsidP="00823785">
      <w:pPr>
        <w:rPr>
          <w:sz w:val="22"/>
          <w:szCs w:val="22"/>
          <w:u w:val="single"/>
        </w:rPr>
      </w:pPr>
      <w:r w:rsidRPr="00452D62">
        <w:rPr>
          <w:sz w:val="22"/>
          <w:szCs w:val="22"/>
          <w:u w:val="single"/>
        </w:rPr>
        <w:t>Pacientai, anksčiau patyrę insultą ir (arba) PSIP</w:t>
      </w:r>
    </w:p>
    <w:p w14:paraId="7CB65D8E" w14:textId="77777777" w:rsidR="00823785" w:rsidRPr="00452D62" w:rsidRDefault="00823785" w:rsidP="00823785">
      <w:pPr>
        <w:pStyle w:val="Default"/>
        <w:rPr>
          <w:i/>
          <w:iCs/>
          <w:sz w:val="22"/>
          <w:szCs w:val="22"/>
          <w:u w:val="single"/>
        </w:rPr>
      </w:pPr>
      <w:r w:rsidRPr="00452D62">
        <w:rPr>
          <w:i/>
          <w:iCs/>
          <w:sz w:val="22"/>
          <w:szCs w:val="22"/>
          <w:u w:val="single"/>
        </w:rPr>
        <w:t>Pacientai, sergantys ŪKS</w:t>
      </w:r>
    </w:p>
    <w:p w14:paraId="7B301222" w14:textId="71931338" w:rsidR="00823785" w:rsidRPr="00452D62" w:rsidRDefault="00823785" w:rsidP="00823785">
      <w:pPr>
        <w:pStyle w:val="Default"/>
        <w:rPr>
          <w:sz w:val="22"/>
          <w:szCs w:val="22"/>
        </w:rPr>
      </w:pPr>
      <w:r w:rsidRPr="00452D62">
        <w:rPr>
          <w:sz w:val="22"/>
          <w:szCs w:val="22"/>
        </w:rPr>
        <w:t>Insultą arba PSIP anksčiau patyrusių pacientų ŪKS gydymui Xerdoxo 2,5 mg vartoti draudžiama (žr. 4.3 skyrių). Buvo ištirta keletas ŪKS pacientų, anksčiau patyrusių insultą arba PSIP, tačiau turimi riboti veiksmingumo duomenys rodo, kad tokiems pacientams gydymas nėra naudingas.</w:t>
      </w:r>
    </w:p>
    <w:p w14:paraId="7E34A4CC" w14:textId="77777777" w:rsidR="00823785" w:rsidRPr="00452D62" w:rsidRDefault="00823785" w:rsidP="00823785">
      <w:pPr>
        <w:pStyle w:val="Default"/>
        <w:rPr>
          <w:sz w:val="22"/>
          <w:szCs w:val="22"/>
        </w:rPr>
      </w:pPr>
    </w:p>
    <w:p w14:paraId="44A32F74" w14:textId="77777777" w:rsidR="00823785" w:rsidRPr="00452D62" w:rsidRDefault="00823785" w:rsidP="00823785">
      <w:pPr>
        <w:pStyle w:val="Default"/>
        <w:rPr>
          <w:i/>
          <w:iCs/>
          <w:sz w:val="22"/>
          <w:szCs w:val="22"/>
          <w:u w:val="single"/>
        </w:rPr>
      </w:pPr>
      <w:r w:rsidRPr="00452D62">
        <w:rPr>
          <w:i/>
          <w:iCs/>
          <w:sz w:val="22"/>
          <w:szCs w:val="22"/>
          <w:u w:val="single"/>
        </w:rPr>
        <w:t>Pacientai, sergantys VAL arba PAL</w:t>
      </w:r>
    </w:p>
    <w:p w14:paraId="43604D08" w14:textId="3255488D" w:rsidR="00823785" w:rsidRPr="00452D62" w:rsidRDefault="00823785" w:rsidP="00823785">
      <w:pPr>
        <w:pStyle w:val="Default"/>
        <w:rPr>
          <w:sz w:val="22"/>
          <w:szCs w:val="22"/>
        </w:rPr>
      </w:pPr>
      <w:r w:rsidRPr="00452D62">
        <w:rPr>
          <w:sz w:val="22"/>
          <w:szCs w:val="22"/>
        </w:rPr>
        <w:t>VAL ir (arba) PAL sergantys pacientai, per paskutinį mėnesį patyrę hemoraginį ar lakūninį insultą arba išeminį, nelakūninį insultą, tiriami nebuvo (žr. 4.3 skyrių).</w:t>
      </w:r>
    </w:p>
    <w:p w14:paraId="60780837" w14:textId="77777777" w:rsidR="00823785" w:rsidRPr="00452D62" w:rsidRDefault="00823785" w:rsidP="00823785">
      <w:pPr>
        <w:pStyle w:val="Default"/>
        <w:rPr>
          <w:sz w:val="22"/>
          <w:szCs w:val="22"/>
        </w:rPr>
      </w:pPr>
      <w:r w:rsidRPr="00452D62">
        <w:rPr>
          <w:sz w:val="22"/>
          <w:szCs w:val="22"/>
        </w:rPr>
        <w:t>Anksčiau insultą arba PSIP patyrę pacientai, kuriems dėl simptominės PAL neseniai atlikta apatinės galūnės revaskuliarizacijos procedūra, neištirti. Šiems pacientams, kuriems skiriamas gydymas dviem antitrombocitiniais vaistiniais preparatais, reikia vengti gydymo Xerdoxo 2,5 mg.</w:t>
      </w:r>
    </w:p>
    <w:p w14:paraId="77E01DCA" w14:textId="77777777" w:rsidR="00823785" w:rsidRPr="00452D62" w:rsidRDefault="00823785" w:rsidP="00823785">
      <w:pPr>
        <w:rPr>
          <w:sz w:val="22"/>
          <w:szCs w:val="22"/>
          <w:u w:val="single"/>
        </w:rPr>
      </w:pPr>
    </w:p>
    <w:p w14:paraId="6BE3B93A" w14:textId="77777777" w:rsidR="00823785" w:rsidRPr="00452D62" w:rsidRDefault="00823785" w:rsidP="00823785">
      <w:pPr>
        <w:rPr>
          <w:sz w:val="22"/>
          <w:szCs w:val="22"/>
        </w:rPr>
      </w:pPr>
      <w:r w:rsidRPr="00452D62">
        <w:rPr>
          <w:sz w:val="22"/>
          <w:szCs w:val="22"/>
          <w:u w:val="single"/>
        </w:rPr>
        <w:t>Spinalinė / epidurinė anestezija arba punkcija</w:t>
      </w:r>
    </w:p>
    <w:p w14:paraId="1A45E72D" w14:textId="0CCD10C8" w:rsidR="00823785" w:rsidRPr="00452D62" w:rsidRDefault="00823785" w:rsidP="00823785">
      <w:pPr>
        <w:rPr>
          <w:sz w:val="22"/>
          <w:szCs w:val="22"/>
          <w:u w:val="single"/>
        </w:rPr>
      </w:pPr>
      <w:r w:rsidRPr="00452D62">
        <w:rPr>
          <w:sz w:val="22"/>
          <w:szCs w:val="22"/>
        </w:rPr>
        <w:t>Taikant neuroaksialinę anesteziją (spinalinę/epidurinę anesteziją) arba atliekant spinalinę/epidurinę punkciją pacientams, gydomiems antitromboziniais vaistiniais preparatais, tromboembolinių komplikacijų profilaktikai, yra rizika, kad formuosis epidurinė ar spinalinė hematoma, kuri gali sukelti ilgalaikį arba nuolatinį paralyžių. Šių reiškinių rizika gali padidėti po operacijos naudojant įstatytus epidurinius kateterius arba kartu vartojant vaistinių preparatų, veikiančių hemostazę. Rizika taip pat gali didėti trauminės ar pakartotinos epidurinės ar spinalinės punkcijos metu. Pacientai turi būti dažnai stebimi dėl neurologinių sutrikimų požymių ir simptomų (pvz., kojų tirpimo ar silpnumo, žarnyno ar šlapimo pūslės disfunkcijos). Jei pastebima neurologinių sutrikimų, būtina atlikti skubią diagnostiką ir skirti gydymą. Prieš neuroaksialinę intervenciją gydytojai turi įvertinti galimos naudos ir rizikos santykį pacientams, kuriems skirta antikoaguliantų, arba pacientams, kuriems turi būti skiriama antikoaguliantų trombozės profilaktikai. Klinikinės patirties tokiose situacijose vartojant rivaroksabano 2,5 mg dozę kartu su antitrombocitinį poveikį turinčiomis medžiagomis nėra. Trombocitų agregacijos inhibitorių vartojimas turi būti nutrauktas remiantis gamintojo preparato charakteristikų santrauka.</w:t>
      </w:r>
    </w:p>
    <w:p w14:paraId="06C25BA1" w14:textId="77777777" w:rsidR="00823785" w:rsidRPr="00452D62" w:rsidRDefault="00823785" w:rsidP="00823785">
      <w:pPr>
        <w:rPr>
          <w:sz w:val="22"/>
          <w:szCs w:val="22"/>
        </w:rPr>
      </w:pPr>
    </w:p>
    <w:p w14:paraId="6941DE64" w14:textId="77777777" w:rsidR="00823785" w:rsidRPr="00452D62" w:rsidRDefault="00823785" w:rsidP="00823785">
      <w:pPr>
        <w:rPr>
          <w:sz w:val="22"/>
          <w:szCs w:val="22"/>
        </w:rPr>
      </w:pPr>
      <w:r w:rsidRPr="00452D62">
        <w:rPr>
          <w:sz w:val="22"/>
          <w:szCs w:val="22"/>
        </w:rPr>
        <w:t>Siekiant sumažinti galimą kraujavimo riziką, susijusią su rivaroksabano vartojimu taikant neuroaksialinę (spinalinę/epidurinę) anesteziją arba atliekant spinalinę punkciją, reikia atsižvelgti į rivaroksabano farmakokinetines savybes. Epidurinio kateterio įvedimą arba pašalinimą ar juosmeninę punkciją geriausia atlikti, kai rivaroksabano antikoaguliacinis poveikis yra įvertintas kaip mažas (žr. 5.2 skyrių). Vis dėlto tikslus laikotarpis, per kurį pasiekiamas pakankamai mažas antikoaguliacinis poveikis kiekvienam pacientui, nėra žinomas.</w:t>
      </w:r>
    </w:p>
    <w:p w14:paraId="01A1E07B" w14:textId="77777777" w:rsidR="00823785" w:rsidRPr="00452D62" w:rsidRDefault="00823785" w:rsidP="00823785">
      <w:pPr>
        <w:rPr>
          <w:sz w:val="22"/>
          <w:szCs w:val="22"/>
          <w:u w:val="single"/>
        </w:rPr>
      </w:pPr>
    </w:p>
    <w:p w14:paraId="3A2D860E" w14:textId="77777777" w:rsidR="00823785" w:rsidRPr="00452D62" w:rsidRDefault="00823785" w:rsidP="00823785">
      <w:pPr>
        <w:rPr>
          <w:sz w:val="22"/>
          <w:szCs w:val="22"/>
        </w:rPr>
      </w:pPr>
      <w:r w:rsidRPr="00452D62">
        <w:rPr>
          <w:sz w:val="22"/>
          <w:szCs w:val="22"/>
          <w:u w:val="single"/>
        </w:rPr>
        <w:t>Dozavimo rekomendacijos prieš invazines procedūras bei chirurgines intervencijas ir po jų</w:t>
      </w:r>
    </w:p>
    <w:p w14:paraId="7F7CA9D7" w14:textId="77777777" w:rsidR="00823785" w:rsidRPr="00452D62" w:rsidRDefault="00823785" w:rsidP="00823785">
      <w:pPr>
        <w:rPr>
          <w:sz w:val="22"/>
          <w:szCs w:val="22"/>
        </w:rPr>
      </w:pPr>
      <w:r w:rsidRPr="00452D62">
        <w:rPr>
          <w:sz w:val="22"/>
          <w:szCs w:val="22"/>
        </w:rPr>
        <w:t>Jeigu reikia atlikti invazinę procedūrą arba chirurginę intervenciją, Xerdoxo 2,5 mg vartojimą reikia nutraukti likus mažiausiai 12 valandų iki intervencijos, jeigu galima ir remiantis klinikiniu gydytojo sprendimu. Jeigu pacientui bus atliekama planinė operacija ir antitrombocitinis poveikis nepageidaujamas, trombocitų agregacijos inhibitorių vartojimą reikia nutraukti taip, kaip nurodyta gamintojo preparato charakteristikų santraukoje.</w:t>
      </w:r>
    </w:p>
    <w:p w14:paraId="6C8C91D7" w14:textId="77777777" w:rsidR="00823785" w:rsidRPr="00452D62" w:rsidRDefault="00823785" w:rsidP="00823785">
      <w:pPr>
        <w:rPr>
          <w:sz w:val="22"/>
          <w:szCs w:val="22"/>
        </w:rPr>
      </w:pPr>
      <w:r w:rsidRPr="00452D62">
        <w:rPr>
          <w:sz w:val="22"/>
          <w:szCs w:val="22"/>
        </w:rPr>
        <w:t>Jeigu procedūros negalima atidėti, reikia įvertinti padidėjusios kraujavimo rizikos ir intervencijos skubumo santykį.</w:t>
      </w:r>
    </w:p>
    <w:p w14:paraId="67C3E54E" w14:textId="77777777" w:rsidR="00823785" w:rsidRPr="00452D62" w:rsidRDefault="00823785" w:rsidP="00823785">
      <w:pPr>
        <w:rPr>
          <w:sz w:val="22"/>
          <w:szCs w:val="22"/>
          <w:u w:val="single"/>
        </w:rPr>
      </w:pPr>
      <w:r w:rsidRPr="00452D62">
        <w:rPr>
          <w:sz w:val="22"/>
          <w:szCs w:val="22"/>
        </w:rPr>
        <w:t>Po invazinės procedūros ar chirurginės intervencijos kaip įmanoma greičiau reikia atnaujinti Xerdoxo vartojimą, jei gydantis gydytojas mano, kad klinikinė situacija leidžia tai padaryti ir yra nusistovėjusi pakankama hemostazė (žr. 5.2 skyrių).</w:t>
      </w:r>
    </w:p>
    <w:p w14:paraId="6140D972" w14:textId="77777777" w:rsidR="00823785" w:rsidRPr="00452D62" w:rsidRDefault="00823785" w:rsidP="00823785">
      <w:pPr>
        <w:rPr>
          <w:sz w:val="22"/>
          <w:szCs w:val="22"/>
          <w:u w:val="single"/>
        </w:rPr>
      </w:pPr>
    </w:p>
    <w:p w14:paraId="0FE2CAC6" w14:textId="77777777" w:rsidR="00823785" w:rsidRPr="00452D62" w:rsidRDefault="00823785" w:rsidP="00823785">
      <w:pPr>
        <w:rPr>
          <w:sz w:val="22"/>
          <w:szCs w:val="22"/>
        </w:rPr>
      </w:pPr>
      <w:r w:rsidRPr="00452D62">
        <w:rPr>
          <w:sz w:val="22"/>
          <w:szCs w:val="22"/>
          <w:u w:val="single"/>
        </w:rPr>
        <w:t>Senyvi pacientai</w:t>
      </w:r>
    </w:p>
    <w:p w14:paraId="0A89D80A" w14:textId="77777777" w:rsidR="00823785" w:rsidRPr="00452D62" w:rsidRDefault="00823785" w:rsidP="00823785">
      <w:pPr>
        <w:ind w:left="567" w:hanging="567"/>
        <w:rPr>
          <w:sz w:val="22"/>
          <w:szCs w:val="22"/>
        </w:rPr>
      </w:pPr>
      <w:r w:rsidRPr="00452D62">
        <w:rPr>
          <w:sz w:val="22"/>
          <w:szCs w:val="22"/>
        </w:rPr>
        <w:t>Didėjantis amžius gali didinti kraujavimo riziką (žr. 5.1 ir 5.2 skyrius).</w:t>
      </w:r>
    </w:p>
    <w:p w14:paraId="65319D65" w14:textId="77777777" w:rsidR="00823785" w:rsidRPr="00452D62" w:rsidRDefault="00823785" w:rsidP="00823785">
      <w:pPr>
        <w:ind w:left="567" w:hanging="567"/>
        <w:rPr>
          <w:sz w:val="22"/>
          <w:szCs w:val="22"/>
        </w:rPr>
      </w:pPr>
    </w:p>
    <w:p w14:paraId="3B701A83" w14:textId="77777777" w:rsidR="00823785" w:rsidRPr="00452D62" w:rsidRDefault="00823785" w:rsidP="00823785">
      <w:pPr>
        <w:rPr>
          <w:sz w:val="22"/>
          <w:szCs w:val="22"/>
        </w:rPr>
      </w:pPr>
      <w:r w:rsidRPr="00452D62">
        <w:rPr>
          <w:sz w:val="22"/>
          <w:szCs w:val="22"/>
          <w:u w:val="single"/>
        </w:rPr>
        <w:t>Dermatologinės reakcijos</w:t>
      </w:r>
    </w:p>
    <w:p w14:paraId="56B5DFDE" w14:textId="77777777" w:rsidR="00823785" w:rsidRPr="00452D62" w:rsidRDefault="00823785" w:rsidP="00823785">
      <w:pPr>
        <w:rPr>
          <w:sz w:val="22"/>
          <w:szCs w:val="22"/>
          <w:u w:val="single"/>
        </w:rPr>
      </w:pPr>
      <w:r w:rsidRPr="00452D62">
        <w:rPr>
          <w:sz w:val="22"/>
          <w:szCs w:val="22"/>
        </w:rPr>
        <w:t>Poregistracinio stebėjimo metu buvo pranešta apie sunkias odos reakcijas, susijusias su rivaroksabano vartojimu, įskaitant Stivenso-Džonsono (</w:t>
      </w:r>
      <w:r w:rsidRPr="00452D62">
        <w:rPr>
          <w:i/>
          <w:sz w:val="22"/>
          <w:szCs w:val="22"/>
        </w:rPr>
        <w:t>Stevens-Johnson</w:t>
      </w:r>
      <w:r w:rsidRPr="00452D62">
        <w:rPr>
          <w:iCs/>
          <w:sz w:val="22"/>
          <w:szCs w:val="22"/>
        </w:rPr>
        <w:t>)</w:t>
      </w:r>
      <w:r w:rsidRPr="00452D62">
        <w:rPr>
          <w:i/>
          <w:iCs/>
          <w:sz w:val="22"/>
          <w:szCs w:val="22"/>
        </w:rPr>
        <w:t xml:space="preserve"> </w:t>
      </w:r>
      <w:r w:rsidRPr="00452D62">
        <w:rPr>
          <w:sz w:val="22"/>
          <w:szCs w:val="22"/>
        </w:rPr>
        <w:t>sindromą, toksinę epidermio nekrolizę bei vaistinio preparato sukelto išbėrimo su eozinofilija ir sisteminiais simptomais</w:t>
      </w:r>
      <w:r w:rsidRPr="00AE1B80">
        <w:rPr>
          <w:sz w:val="22"/>
          <w:szCs w:val="22"/>
        </w:rPr>
        <w:t xml:space="preserve"> </w:t>
      </w:r>
      <w:r w:rsidRPr="00452D62">
        <w:rPr>
          <w:sz w:val="22"/>
          <w:szCs w:val="22"/>
        </w:rPr>
        <w:t xml:space="preserve">(angl. </w:t>
      </w:r>
      <w:r w:rsidRPr="00452D62">
        <w:rPr>
          <w:i/>
          <w:iCs/>
          <w:sz w:val="22"/>
          <w:szCs w:val="22"/>
        </w:rPr>
        <w:t>drug rash with eosinophilia and systemic symptoms</w:t>
      </w:r>
      <w:r w:rsidRPr="00452D62">
        <w:rPr>
          <w:sz w:val="22"/>
          <w:szCs w:val="22"/>
        </w:rPr>
        <w:t>, DRESS) sindromą (žr. 4.8 skyrių). Pacientams šių reakcijų didžiausia rizika būna gydymo pradžioje: daugeliu atvejų nepageidaujamos reakcijos pasireiškė pirmosiomis gydymo savaitėmis. Pirmą kartą atsiradus sunkiam odos išbėrimui (pvz., plintančiam, intensyviam ir (arba) pūslėms) arba bet kokiam kitam padidėjusio jautrumo požymiui, susijusiam su gleivinės pažeidimu, rivaroksabano vartojimas turi būti nutrauktas.</w:t>
      </w:r>
    </w:p>
    <w:p w14:paraId="1A5A1E0B" w14:textId="77777777" w:rsidR="00823785" w:rsidRPr="00452D62" w:rsidRDefault="00823785" w:rsidP="00823785">
      <w:pPr>
        <w:rPr>
          <w:sz w:val="22"/>
          <w:szCs w:val="22"/>
          <w:u w:val="single"/>
        </w:rPr>
      </w:pPr>
    </w:p>
    <w:p w14:paraId="0E3F5009" w14:textId="77777777" w:rsidR="00823785" w:rsidRPr="00452D62" w:rsidRDefault="00823785" w:rsidP="00823785">
      <w:pPr>
        <w:rPr>
          <w:sz w:val="22"/>
          <w:szCs w:val="22"/>
        </w:rPr>
      </w:pPr>
      <w:r w:rsidRPr="00452D62">
        <w:rPr>
          <w:sz w:val="22"/>
          <w:szCs w:val="22"/>
          <w:u w:val="single"/>
        </w:rPr>
        <w:t>Informacija apie pagalbines medžiagas</w:t>
      </w:r>
    </w:p>
    <w:p w14:paraId="2DEE1A0D" w14:textId="77777777" w:rsidR="00823785" w:rsidRPr="00452D62" w:rsidRDefault="00823785" w:rsidP="00823785">
      <w:pPr>
        <w:tabs>
          <w:tab w:val="clear" w:pos="567"/>
          <w:tab w:val="left" w:pos="0"/>
        </w:tabs>
        <w:rPr>
          <w:sz w:val="22"/>
          <w:szCs w:val="22"/>
        </w:rPr>
      </w:pPr>
      <w:r w:rsidRPr="00452D62">
        <w:rPr>
          <w:sz w:val="22"/>
          <w:szCs w:val="22"/>
        </w:rPr>
        <w:t>Šio vaistinio preparato vienoje plėvele dengtoje tabletėje yra mažiau kaip 1 mmol (23 mg) natrio, t. y. jis beveik neturi reikšmės.</w:t>
      </w:r>
    </w:p>
    <w:p w14:paraId="226A21B7" w14:textId="77777777" w:rsidR="00823785" w:rsidRPr="00452D62" w:rsidRDefault="00823785" w:rsidP="00823785">
      <w:pPr>
        <w:ind w:left="567" w:hanging="567"/>
        <w:rPr>
          <w:sz w:val="22"/>
          <w:szCs w:val="22"/>
        </w:rPr>
      </w:pPr>
    </w:p>
    <w:p w14:paraId="5C9C3DC6"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4.5</w:t>
      </w:r>
      <w:r w:rsidRPr="00452D62">
        <w:rPr>
          <w:b/>
          <w:color w:val="auto"/>
          <w:kern w:val="28"/>
          <w:sz w:val="22"/>
          <w:szCs w:val="22"/>
          <w:lang w:eastAsia="en-US"/>
        </w:rPr>
        <w:tab/>
        <w:t>Sąveika su kitais vaistiniais preparatais ir kitokia sąveika</w:t>
      </w:r>
    </w:p>
    <w:p w14:paraId="70FABC07" w14:textId="77777777" w:rsidR="00823785" w:rsidRPr="00452D62" w:rsidRDefault="00823785" w:rsidP="00823785">
      <w:pPr>
        <w:rPr>
          <w:sz w:val="22"/>
          <w:szCs w:val="22"/>
        </w:rPr>
      </w:pPr>
    </w:p>
    <w:p w14:paraId="5E0C5659" w14:textId="77777777" w:rsidR="00823785" w:rsidRPr="00452D62" w:rsidRDefault="00823785" w:rsidP="00823785">
      <w:pPr>
        <w:rPr>
          <w:sz w:val="22"/>
          <w:szCs w:val="22"/>
        </w:rPr>
      </w:pPr>
      <w:r w:rsidRPr="00452D62">
        <w:rPr>
          <w:sz w:val="22"/>
          <w:szCs w:val="22"/>
          <w:u w:val="single"/>
        </w:rPr>
        <w:t>CYP3A4 ir P-gp inhibitoriai</w:t>
      </w:r>
    </w:p>
    <w:p w14:paraId="1A596D46" w14:textId="77777777" w:rsidR="00823785" w:rsidRPr="00452D62" w:rsidRDefault="00823785" w:rsidP="00823785">
      <w:pPr>
        <w:rPr>
          <w:sz w:val="22"/>
          <w:szCs w:val="22"/>
        </w:rPr>
      </w:pPr>
      <w:r w:rsidRPr="00452D62">
        <w:rPr>
          <w:sz w:val="22"/>
          <w:szCs w:val="22"/>
        </w:rPr>
        <w:t>Kartu vartojant rivaroksabano ir ketokonazolo (400 mg kartą per parą) arba ritonaviro (600 mg du kartus per parą), 2,6 karto/2,5 karto padidėjo vidutinis rivaroksabano plotas po koncentracijos kreive laiko atžvilgiu (AUC) ir 1,7 karto/1,6 karto padidėjo vidutinė rivaroksabano C</w:t>
      </w:r>
      <w:r w:rsidRPr="00452D62">
        <w:rPr>
          <w:sz w:val="22"/>
          <w:szCs w:val="22"/>
          <w:vertAlign w:val="subscript"/>
        </w:rPr>
        <w:t>max</w:t>
      </w:r>
      <w:r w:rsidRPr="00452D62">
        <w:rPr>
          <w:sz w:val="22"/>
          <w:szCs w:val="22"/>
        </w:rPr>
        <w:t>, kartu reikšmingai sustiprėjo farmakodinaminis poveikis, o dėl to gali padidėti kraujavimo rizika. Taigi, Xerdoxo nerekomenduojama skirti pacientams, kuriems taikomas sisteminis gydymas azolo grupės priešgrybeliniais vaistiniais preparatais, pvz., ketokonazolu, itrakonazolu, vorikonazolu ir pozakonazolu, arba ŽIV proteazės inhibitoriais. Šios veikliosios medžiagos yra stiprūs tiek CYP3A4, tiek P-gp inhibitoriai (žr. 4.4 skyrių).</w:t>
      </w:r>
    </w:p>
    <w:p w14:paraId="73C1E135" w14:textId="77777777" w:rsidR="00823785" w:rsidRPr="00452D62" w:rsidRDefault="00823785" w:rsidP="00823785">
      <w:pPr>
        <w:rPr>
          <w:sz w:val="22"/>
          <w:szCs w:val="22"/>
        </w:rPr>
      </w:pPr>
    </w:p>
    <w:p w14:paraId="6FE992BB" w14:textId="77777777" w:rsidR="00823785" w:rsidRPr="00452D62" w:rsidRDefault="00823785" w:rsidP="00823785">
      <w:pPr>
        <w:rPr>
          <w:sz w:val="22"/>
          <w:szCs w:val="22"/>
        </w:rPr>
      </w:pPr>
      <w:r w:rsidRPr="00452D62">
        <w:rPr>
          <w:sz w:val="22"/>
          <w:szCs w:val="22"/>
        </w:rPr>
        <w:t>Manoma, kad veikliosios medžiagos, stipriai slopinančios vieną iš rivaroksabano šalinimo mechanizmų (susijusių su CYP3A4 arba P-gp), rivaroksabano koncentraciją kraujo plazmoje didina mažiau. Pavyzdžiui, klaritromicinas (500 mg du kartus per parą), kuris yra laikomas stipriu CYP3A4 inhibitoriumi ir vidutinio stiprumo P-gp inhibitoriumi, vidutinį rivaroksabano AUC padidino 1,5 karto, o C</w:t>
      </w:r>
      <w:r w:rsidRPr="00452D62">
        <w:rPr>
          <w:sz w:val="22"/>
          <w:szCs w:val="22"/>
          <w:vertAlign w:val="subscript"/>
        </w:rPr>
        <w:t xml:space="preserve">max  </w:t>
      </w:r>
      <w:r w:rsidRPr="00452D62">
        <w:rPr>
          <w:sz w:val="22"/>
          <w:szCs w:val="22"/>
        </w:rPr>
        <w:t>padidino 1,4 karto.</w:t>
      </w:r>
      <w:r w:rsidRPr="00AE1B80">
        <w:rPr>
          <w:sz w:val="22"/>
          <w:szCs w:val="22"/>
        </w:rPr>
        <w:t xml:space="preserve"> </w:t>
      </w:r>
      <w:r w:rsidRPr="00452D62">
        <w:rPr>
          <w:sz w:val="22"/>
          <w:szCs w:val="22"/>
        </w:rPr>
        <w:t>Tikėtina, kad daugumai pacientų sąveika su klaritromicinu nėra kliniškai reikšminga, tačiau ji gali būti reikšminga didelės rizikos pacientams. (Informacija apie pacientus, kurių inkstų funkcija yra sutrikusi, pateikiama 4.4 skyriuje).</w:t>
      </w:r>
    </w:p>
    <w:p w14:paraId="6EAF0019" w14:textId="77777777" w:rsidR="00823785" w:rsidRPr="00452D62" w:rsidRDefault="00823785" w:rsidP="00823785">
      <w:pPr>
        <w:rPr>
          <w:sz w:val="22"/>
          <w:szCs w:val="22"/>
        </w:rPr>
      </w:pPr>
    </w:p>
    <w:p w14:paraId="4AA3BC23" w14:textId="77777777" w:rsidR="00823785" w:rsidRPr="00452D62" w:rsidRDefault="00823785" w:rsidP="00823785">
      <w:pPr>
        <w:rPr>
          <w:sz w:val="22"/>
          <w:szCs w:val="22"/>
        </w:rPr>
      </w:pPr>
      <w:r w:rsidRPr="00452D62">
        <w:rPr>
          <w:sz w:val="22"/>
          <w:szCs w:val="22"/>
        </w:rPr>
        <w:t>Eritromicinas (500 mg tris kartus per parą), kuris vidutiniškai slopina CYP3A4 ir P-gp, vidutinius rivaroksabano AUC ir C</w:t>
      </w:r>
      <w:r w:rsidRPr="00452D62">
        <w:rPr>
          <w:sz w:val="22"/>
          <w:szCs w:val="22"/>
          <w:vertAlign w:val="subscript"/>
        </w:rPr>
        <w:t xml:space="preserve">max </w:t>
      </w:r>
      <w:r w:rsidRPr="00452D62">
        <w:rPr>
          <w:sz w:val="22"/>
          <w:szCs w:val="22"/>
        </w:rPr>
        <w:t xml:space="preserve">rodmenis padidino 1,3 karto. Tikėtina, kad daugumai pacientų sąveika su eritromicinu nėra kliniškai reikšminga, tačiau ji gali būti reikšminga didelės rizikos pacientams. </w:t>
      </w:r>
    </w:p>
    <w:p w14:paraId="06756AB4" w14:textId="77777777" w:rsidR="00823785" w:rsidRPr="00452D62" w:rsidRDefault="00823785" w:rsidP="00823785">
      <w:pPr>
        <w:rPr>
          <w:sz w:val="22"/>
          <w:szCs w:val="22"/>
        </w:rPr>
      </w:pPr>
      <w:r w:rsidRPr="00452D62">
        <w:rPr>
          <w:sz w:val="22"/>
          <w:szCs w:val="22"/>
        </w:rPr>
        <w:t>Tiriamiesiems, kuriems buvo lengvas inkstų funkcijos sutrikimas, eritromicinas (po 500 mg tris kartus per parą) vidutinį rivaroksabano AUC padidino 1,8 karto, o C</w:t>
      </w:r>
      <w:r w:rsidRPr="00452D62">
        <w:rPr>
          <w:sz w:val="22"/>
          <w:szCs w:val="22"/>
          <w:vertAlign w:val="subscript"/>
        </w:rPr>
        <w:t>max</w:t>
      </w:r>
      <w:r w:rsidRPr="00452D62">
        <w:rPr>
          <w:sz w:val="22"/>
          <w:szCs w:val="22"/>
        </w:rPr>
        <w:t xml:space="preserve"> padidino 1,6 karto, palyginti su tiriamaisiais, kurių inkstų funkcija normali. Tiriamiesiems, kuriems buvo vidutinio sunkumo inkstų funkcijos sutrikimas, eritromicinas vidutinį rivaroksabano AUC padidino 2,0 karto, o C</w:t>
      </w:r>
      <w:r w:rsidRPr="00452D62">
        <w:rPr>
          <w:sz w:val="22"/>
          <w:szCs w:val="22"/>
          <w:vertAlign w:val="subscript"/>
        </w:rPr>
        <w:t>max</w:t>
      </w:r>
      <w:r w:rsidRPr="00452D62">
        <w:rPr>
          <w:sz w:val="22"/>
          <w:szCs w:val="22"/>
        </w:rPr>
        <w:t xml:space="preserve"> padidino 1,6 karto, palyginti su tiriamaisiais, kurių inkstų funkcija normali. Eritromicino ir inkstų funkcijos sutrikimo poveikis yra suminis (žr. 4.4 skyrių).</w:t>
      </w:r>
    </w:p>
    <w:p w14:paraId="618B22A7" w14:textId="77777777" w:rsidR="00823785" w:rsidRPr="00452D62" w:rsidRDefault="00823785" w:rsidP="00823785">
      <w:pPr>
        <w:rPr>
          <w:sz w:val="22"/>
          <w:szCs w:val="22"/>
        </w:rPr>
      </w:pPr>
    </w:p>
    <w:p w14:paraId="31BD4167" w14:textId="77777777" w:rsidR="00823785" w:rsidRPr="00452D62" w:rsidRDefault="00823785" w:rsidP="00823785">
      <w:pPr>
        <w:rPr>
          <w:sz w:val="22"/>
          <w:szCs w:val="22"/>
        </w:rPr>
      </w:pPr>
      <w:r w:rsidRPr="00452D62">
        <w:rPr>
          <w:sz w:val="22"/>
          <w:szCs w:val="22"/>
        </w:rPr>
        <w:t>Flukonazolas (400 mg kartą per parą), laikomas vidutinio stiprumo CYP3A4 inhibitoriumi, vidutinį rivaroksabano AUC padidino 1,4 karto, o C</w:t>
      </w:r>
      <w:r w:rsidRPr="00452D62">
        <w:rPr>
          <w:sz w:val="22"/>
          <w:szCs w:val="22"/>
          <w:vertAlign w:val="subscript"/>
        </w:rPr>
        <w:t>max</w:t>
      </w:r>
      <w:r w:rsidRPr="00452D62">
        <w:rPr>
          <w:sz w:val="22"/>
          <w:szCs w:val="22"/>
        </w:rPr>
        <w:t xml:space="preserve"> padidino 1,3 karto. Tikėtina, kad daugumai pacientų sąveika su flukonazolu nėra kliniškai reikšminga, tačiau ji gali būti reikšminga didelės rizikos pacientams. (Informacija apie pacientus, kurių inkstų funkcija yra sutrikusi, pateikiama 4.4 skyriuje).</w:t>
      </w:r>
    </w:p>
    <w:p w14:paraId="4482D300" w14:textId="77777777" w:rsidR="00823785" w:rsidRPr="00452D62" w:rsidRDefault="00823785" w:rsidP="00823785">
      <w:pPr>
        <w:rPr>
          <w:sz w:val="22"/>
          <w:szCs w:val="22"/>
        </w:rPr>
      </w:pPr>
    </w:p>
    <w:p w14:paraId="69E584E2" w14:textId="77777777" w:rsidR="00823785" w:rsidRPr="00452D62" w:rsidRDefault="00823785" w:rsidP="00823785">
      <w:pPr>
        <w:rPr>
          <w:sz w:val="22"/>
          <w:szCs w:val="22"/>
          <w:u w:val="single"/>
        </w:rPr>
      </w:pPr>
      <w:r w:rsidRPr="00452D62">
        <w:rPr>
          <w:sz w:val="22"/>
          <w:szCs w:val="22"/>
        </w:rPr>
        <w:t>Klinikinių duomenų apie dronedaroną yra nedaug, todėl jo reikia vengti vartoti kartu su rivaroksabanu.</w:t>
      </w:r>
    </w:p>
    <w:p w14:paraId="2527C2CC" w14:textId="77777777" w:rsidR="00823785" w:rsidRPr="00452D62" w:rsidRDefault="00823785" w:rsidP="00823785">
      <w:pPr>
        <w:rPr>
          <w:sz w:val="22"/>
          <w:szCs w:val="22"/>
          <w:u w:val="single"/>
        </w:rPr>
      </w:pPr>
    </w:p>
    <w:p w14:paraId="0168C6C8" w14:textId="77777777" w:rsidR="00823785" w:rsidRPr="00452D62" w:rsidRDefault="00823785" w:rsidP="00823785">
      <w:pPr>
        <w:rPr>
          <w:sz w:val="22"/>
          <w:szCs w:val="22"/>
        </w:rPr>
      </w:pPr>
      <w:r w:rsidRPr="00452D62">
        <w:rPr>
          <w:sz w:val="22"/>
          <w:szCs w:val="22"/>
          <w:u w:val="single"/>
        </w:rPr>
        <w:t>Antikoaguliantai</w:t>
      </w:r>
    </w:p>
    <w:p w14:paraId="2B9EA2C0" w14:textId="77777777" w:rsidR="00823785" w:rsidRPr="00452D62" w:rsidRDefault="00823785" w:rsidP="00823785">
      <w:pPr>
        <w:rPr>
          <w:sz w:val="22"/>
          <w:szCs w:val="22"/>
        </w:rPr>
      </w:pPr>
      <w:r w:rsidRPr="00452D62">
        <w:rPr>
          <w:sz w:val="22"/>
          <w:szCs w:val="22"/>
        </w:rPr>
        <w:t xml:space="preserve">Enoksaparino (40 mg vienkartinė dozė) vartojant kartu su rivaroksabanu (10 mg vienkartinė dozė), pastebėtas suminis poveikis anti-Xa faktoriaus aktyvumui be jokio papildomo poveikio krešėjimo tyrimams (protrombino laikui angl. (angl. </w:t>
      </w:r>
      <w:r w:rsidRPr="00452D62">
        <w:rPr>
          <w:i/>
          <w:iCs/>
          <w:sz w:val="22"/>
          <w:szCs w:val="22"/>
        </w:rPr>
        <w:t>prothrombin time</w:t>
      </w:r>
      <w:r w:rsidRPr="00452D62">
        <w:rPr>
          <w:sz w:val="22"/>
          <w:szCs w:val="22"/>
        </w:rPr>
        <w:t xml:space="preserve">, </w:t>
      </w:r>
      <w:r w:rsidRPr="00452D62">
        <w:rPr>
          <w:i/>
          <w:iCs/>
          <w:sz w:val="22"/>
          <w:szCs w:val="22"/>
        </w:rPr>
        <w:t>PT</w:t>
      </w:r>
      <w:r w:rsidRPr="00452D62">
        <w:rPr>
          <w:sz w:val="22"/>
          <w:szCs w:val="22"/>
        </w:rPr>
        <w:t xml:space="preserve"> ), daliniam aktyvintam tromboplastino laikui (DATL)). Enoksaparinas neveikė rivaroksabano farmakokinetikos. Jeigu pacientas kartu gydomas bet kokiais kitais antikoaguliantais, dėl padidėjusios kraujavimo rizikos reikia imtis atsargumo priemonių (žr. 4.3 ir 4.4 skyrius).</w:t>
      </w:r>
    </w:p>
    <w:p w14:paraId="7FD66D26" w14:textId="77777777" w:rsidR="00823785" w:rsidRPr="00452D62" w:rsidRDefault="00823785" w:rsidP="00823785">
      <w:pPr>
        <w:rPr>
          <w:sz w:val="22"/>
          <w:szCs w:val="22"/>
        </w:rPr>
      </w:pPr>
    </w:p>
    <w:p w14:paraId="6026487F" w14:textId="77777777" w:rsidR="00823785" w:rsidRPr="00452D62" w:rsidRDefault="00823785" w:rsidP="00823785">
      <w:pPr>
        <w:rPr>
          <w:sz w:val="22"/>
          <w:szCs w:val="22"/>
        </w:rPr>
      </w:pPr>
      <w:r w:rsidRPr="00452D62">
        <w:rPr>
          <w:sz w:val="22"/>
          <w:szCs w:val="22"/>
          <w:u w:val="single"/>
        </w:rPr>
        <w:t>NVNU/trombocitų agregacijos inhibitoriai</w:t>
      </w:r>
    </w:p>
    <w:p w14:paraId="37B811C5" w14:textId="77777777" w:rsidR="00823785" w:rsidRPr="00452D62" w:rsidRDefault="00823785" w:rsidP="00823785">
      <w:pPr>
        <w:rPr>
          <w:sz w:val="22"/>
          <w:szCs w:val="22"/>
        </w:rPr>
      </w:pPr>
      <w:r w:rsidRPr="00452D62">
        <w:rPr>
          <w:sz w:val="22"/>
          <w:szCs w:val="22"/>
        </w:rPr>
        <w:t>Vartojant rivaroksabano (15 mg) kartu su 500 mg naprokseno doze, jokio kliniškai reikšmingo kraujavimo laiko pailgėjimo nenustatyta. Nepaisant to, gali būti asmenų, kuriems farmakodinaminis atsakas gali būti stipresnis.</w:t>
      </w:r>
    </w:p>
    <w:p w14:paraId="2B8E800B" w14:textId="77777777" w:rsidR="00823785" w:rsidRPr="00452D62" w:rsidRDefault="00823785" w:rsidP="00823785">
      <w:pPr>
        <w:rPr>
          <w:sz w:val="22"/>
          <w:szCs w:val="22"/>
        </w:rPr>
      </w:pPr>
      <w:r w:rsidRPr="00452D62">
        <w:rPr>
          <w:sz w:val="22"/>
          <w:szCs w:val="22"/>
        </w:rPr>
        <w:t>Rivaroksabano vartojant kartu su 500 mg acetilsalicilo rūgšties doze, jokios kliniškai reikšmingos farmakokinetinės ar farmakodinaminės sąveikos nenustatyta.</w:t>
      </w:r>
    </w:p>
    <w:p w14:paraId="14D2F8CB" w14:textId="77777777" w:rsidR="00823785" w:rsidRPr="00452D62" w:rsidRDefault="00823785" w:rsidP="00823785">
      <w:pPr>
        <w:rPr>
          <w:sz w:val="22"/>
          <w:szCs w:val="22"/>
        </w:rPr>
      </w:pPr>
      <w:r w:rsidRPr="00452D62">
        <w:rPr>
          <w:sz w:val="22"/>
          <w:szCs w:val="22"/>
        </w:rPr>
        <w:t>Kartu vartojant klopidogrelio (vartota 300 mg įsotinamoji dozė ir po to 75 mg palaikomoji dozė), nenustatyta jokios farmakokinetinės sąveikos su rivaroksabanu (vartota 15 mg dozė), tačiau pacientų pogrupiui buvo nustatytas reikšmingas kraujavimo laiko pailgėjimas ir tai nekoreliavo su trombocitų agregacija ir P-selektino arba GPIIb/IIIa receptorių lygiais.</w:t>
      </w:r>
    </w:p>
    <w:p w14:paraId="7C9F5291" w14:textId="77777777" w:rsidR="00823785" w:rsidRPr="00452D62" w:rsidRDefault="00823785" w:rsidP="00823785">
      <w:pPr>
        <w:rPr>
          <w:sz w:val="22"/>
          <w:szCs w:val="22"/>
          <w:u w:val="single"/>
        </w:rPr>
      </w:pPr>
      <w:r w:rsidRPr="00452D62">
        <w:rPr>
          <w:sz w:val="22"/>
          <w:szCs w:val="22"/>
        </w:rPr>
        <w:t>Turi būti imamasi atsargumo priemonių, jeigu pacientams taikomas gydymas nesteroidiniais vaistiniais preparatais nuo uždegimo (NVNU) (įskaitant acetilsalicilo rūgštį) ir trombocitų agregacijos inhibitoriais, nes šie vaistiniai preparatai paprastai didina kraujavimo riziką (žr. 4.4 skyrių).</w:t>
      </w:r>
    </w:p>
    <w:p w14:paraId="072F882E" w14:textId="77777777" w:rsidR="00823785" w:rsidRPr="00452D62" w:rsidRDefault="00823785" w:rsidP="00823785">
      <w:pPr>
        <w:rPr>
          <w:sz w:val="22"/>
          <w:szCs w:val="22"/>
          <w:u w:val="single"/>
        </w:rPr>
      </w:pPr>
    </w:p>
    <w:p w14:paraId="4587F7CB" w14:textId="77777777" w:rsidR="00823785" w:rsidRPr="00452D62" w:rsidRDefault="00823785" w:rsidP="00823785">
      <w:pPr>
        <w:rPr>
          <w:sz w:val="22"/>
          <w:szCs w:val="22"/>
          <w:u w:val="single"/>
        </w:rPr>
      </w:pPr>
      <w:r w:rsidRPr="00452D62">
        <w:rPr>
          <w:sz w:val="22"/>
          <w:szCs w:val="22"/>
          <w:u w:val="single"/>
        </w:rPr>
        <w:t>SSRI/SNRI</w:t>
      </w:r>
    </w:p>
    <w:p w14:paraId="0C3A1199" w14:textId="77777777" w:rsidR="00823785" w:rsidRPr="00452D62" w:rsidRDefault="00823785" w:rsidP="00823785">
      <w:pPr>
        <w:rPr>
          <w:sz w:val="22"/>
          <w:szCs w:val="22"/>
        </w:rPr>
      </w:pPr>
      <w:r w:rsidRPr="00452D62">
        <w:rPr>
          <w:sz w:val="22"/>
          <w:szCs w:val="22"/>
        </w:rPr>
        <w:t>Kaip ir vartojant kitų antikoaguliantų, yra tikimybė, kad pacientams, kartu vartojantiems SSRI arba SNRI, dėl jų poveikio trombocitams, apie kurį buvo pranešta, gali padidėti kraujavimo rizika. Kai vykdant rivaroksabano klinikinę programą kartu buvo vartojama minėtų vaistinių preparatų, visose gydymo grupėse nustatyti skaitine reikšme didesni didžiojo ir ne didžiojo kliniškai reikšmingo kraujavimo dažnio rodmenys.</w:t>
      </w:r>
    </w:p>
    <w:p w14:paraId="2AC1CECF" w14:textId="77777777" w:rsidR="00823785" w:rsidRPr="00452D62" w:rsidRDefault="00823785" w:rsidP="00823785">
      <w:pPr>
        <w:rPr>
          <w:sz w:val="22"/>
          <w:szCs w:val="22"/>
          <w:u w:val="single"/>
        </w:rPr>
      </w:pPr>
    </w:p>
    <w:p w14:paraId="6827A5D3" w14:textId="77777777" w:rsidR="00823785" w:rsidRPr="00452D62" w:rsidRDefault="00823785" w:rsidP="00823785">
      <w:pPr>
        <w:rPr>
          <w:sz w:val="22"/>
          <w:szCs w:val="22"/>
        </w:rPr>
      </w:pPr>
      <w:r w:rsidRPr="00452D62">
        <w:rPr>
          <w:sz w:val="22"/>
          <w:szCs w:val="22"/>
          <w:u w:val="single"/>
        </w:rPr>
        <w:t>Varfarinas</w:t>
      </w:r>
    </w:p>
    <w:p w14:paraId="54118C8F" w14:textId="77777777" w:rsidR="00823785" w:rsidRPr="00452D62" w:rsidRDefault="00823785" w:rsidP="00823785">
      <w:pPr>
        <w:rPr>
          <w:sz w:val="22"/>
          <w:szCs w:val="22"/>
        </w:rPr>
      </w:pPr>
      <w:r w:rsidRPr="00452D62">
        <w:rPr>
          <w:sz w:val="22"/>
          <w:szCs w:val="22"/>
        </w:rPr>
        <w:t>Keičiant gydymą vitamino K antagonistu varfarinu (</w:t>
      </w:r>
      <w:r w:rsidRPr="00452D62">
        <w:rPr>
          <w:iCs/>
          <w:sz w:val="22"/>
          <w:szCs w:val="22"/>
        </w:rPr>
        <w:t>INR</w:t>
      </w:r>
      <w:r w:rsidRPr="00452D62">
        <w:rPr>
          <w:sz w:val="22"/>
          <w:szCs w:val="22"/>
        </w:rPr>
        <w:t xml:space="preserve"> nuo 2,0 iki 3,0) į gydymą rivaroksabanu (20 mg) arba gydymą rivaroksabanu (20 mg) keičiant į gydymą varfarinu (</w:t>
      </w:r>
      <w:r w:rsidRPr="00452D62">
        <w:rPr>
          <w:iCs/>
          <w:sz w:val="22"/>
          <w:szCs w:val="22"/>
        </w:rPr>
        <w:t>INR</w:t>
      </w:r>
      <w:r w:rsidRPr="00452D62">
        <w:rPr>
          <w:sz w:val="22"/>
          <w:szCs w:val="22"/>
        </w:rPr>
        <w:t xml:space="preserve"> nuo 2,0 iki 3,0), protrombino laikas/</w:t>
      </w:r>
      <w:r w:rsidRPr="00452D62">
        <w:rPr>
          <w:iCs/>
          <w:sz w:val="22"/>
          <w:szCs w:val="22"/>
        </w:rPr>
        <w:t>INR</w:t>
      </w:r>
      <w:r w:rsidRPr="00452D62">
        <w:rPr>
          <w:sz w:val="22"/>
          <w:szCs w:val="22"/>
        </w:rPr>
        <w:t xml:space="preserve"> (Neoplastin) padidėjo daugiau nei iki suminės reikšmės (atskirais atvejais </w:t>
      </w:r>
      <w:r w:rsidRPr="00452D62">
        <w:rPr>
          <w:iCs/>
          <w:sz w:val="22"/>
          <w:szCs w:val="22"/>
        </w:rPr>
        <w:t>INR</w:t>
      </w:r>
      <w:r w:rsidRPr="00452D62">
        <w:rPr>
          <w:sz w:val="22"/>
          <w:szCs w:val="22"/>
        </w:rPr>
        <w:t xml:space="preserve"> rodmuo buvo iki 12), tuo tarpu kai poveikis DATL, Xa faktoriaus aktyvumo slopinimui ir endogeninio trombino potencialui (ETP) buvo suminis.</w:t>
      </w:r>
    </w:p>
    <w:p w14:paraId="404A1BEC" w14:textId="77777777" w:rsidR="00823785" w:rsidRPr="00452D62" w:rsidRDefault="00823785" w:rsidP="00823785">
      <w:pPr>
        <w:rPr>
          <w:sz w:val="22"/>
          <w:szCs w:val="22"/>
        </w:rPr>
      </w:pPr>
      <w:r w:rsidRPr="00452D62">
        <w:rPr>
          <w:sz w:val="22"/>
          <w:szCs w:val="22"/>
        </w:rPr>
        <w:t xml:space="preserve">Norint ištirti rivaroksabano farmakodinaminį poveikį gydymo keitimo metu, galima atlikti antifaktoriaus Xa aktyvumo, PiCT ir </w:t>
      </w:r>
      <w:r w:rsidRPr="00452D62">
        <w:rPr>
          <w:i/>
          <w:sz w:val="22"/>
          <w:szCs w:val="22"/>
        </w:rPr>
        <w:t>Heptest</w:t>
      </w:r>
      <w:r w:rsidRPr="00452D62">
        <w:rPr>
          <w:sz w:val="22"/>
          <w:szCs w:val="22"/>
        </w:rPr>
        <w:t xml:space="preserve"> tyrimus, kadangi varfarinas įtakos šiems tyrimams nedaro. Ketvirtą parą po paskutinės varfarino dozės pavartojimo visi tyrimai (įskaitant protrombino laiką, DATL, Xa faktoriaus aktyvumo slopinimą ir ETP) rodė tik rivaroksabano poveikį.</w:t>
      </w:r>
    </w:p>
    <w:p w14:paraId="761DFBA2" w14:textId="77777777" w:rsidR="00823785" w:rsidRPr="00452D62" w:rsidRDefault="00823785" w:rsidP="00823785">
      <w:pPr>
        <w:rPr>
          <w:sz w:val="22"/>
          <w:szCs w:val="22"/>
        </w:rPr>
      </w:pPr>
      <w:r w:rsidRPr="00452D62">
        <w:rPr>
          <w:sz w:val="22"/>
          <w:szCs w:val="22"/>
        </w:rPr>
        <w:t xml:space="preserve">Norint ištirti varfarino farmakodinaminį poveikį gydymo keitimo metu, galima atlikti </w:t>
      </w:r>
      <w:r w:rsidRPr="00452D62">
        <w:rPr>
          <w:iCs/>
          <w:sz w:val="22"/>
          <w:szCs w:val="22"/>
        </w:rPr>
        <w:t>INR</w:t>
      </w:r>
      <w:r w:rsidRPr="00452D62">
        <w:rPr>
          <w:sz w:val="22"/>
          <w:szCs w:val="22"/>
        </w:rPr>
        <w:t xml:space="preserve"> tyrimą, kai rivaroksabano koncentracija yra mažiausia (C</w:t>
      </w:r>
      <w:r w:rsidRPr="00452D62">
        <w:rPr>
          <w:sz w:val="22"/>
          <w:szCs w:val="22"/>
          <w:vertAlign w:val="subscript"/>
        </w:rPr>
        <w:t>trough</w:t>
      </w:r>
      <w:r w:rsidRPr="00452D62">
        <w:rPr>
          <w:sz w:val="22"/>
          <w:szCs w:val="22"/>
        </w:rPr>
        <w:t>) (praėjus 24 valandoms po paskutinio rivaroksabano pavartojimo), nes tuo metu tyrimas bus mažiausiai paveiktas rivaroksabano.</w:t>
      </w:r>
    </w:p>
    <w:p w14:paraId="774B59F4" w14:textId="77777777" w:rsidR="00823785" w:rsidRPr="00452D62" w:rsidRDefault="00823785" w:rsidP="00823785">
      <w:pPr>
        <w:rPr>
          <w:sz w:val="22"/>
          <w:szCs w:val="22"/>
          <w:u w:val="single"/>
        </w:rPr>
      </w:pPr>
      <w:r w:rsidRPr="00452D62">
        <w:rPr>
          <w:sz w:val="22"/>
          <w:szCs w:val="22"/>
        </w:rPr>
        <w:t>Farmakokinetinės varfarino ir rivaroksabano sąveikos nenustatyta.</w:t>
      </w:r>
    </w:p>
    <w:p w14:paraId="20C6D942" w14:textId="77777777" w:rsidR="00823785" w:rsidRPr="00452D62" w:rsidRDefault="00823785" w:rsidP="00823785">
      <w:pPr>
        <w:rPr>
          <w:sz w:val="22"/>
          <w:szCs w:val="22"/>
          <w:u w:val="single"/>
        </w:rPr>
      </w:pPr>
    </w:p>
    <w:p w14:paraId="078976F2" w14:textId="77777777" w:rsidR="00823785" w:rsidRPr="00452D62" w:rsidRDefault="00823785" w:rsidP="00823785">
      <w:pPr>
        <w:rPr>
          <w:sz w:val="22"/>
          <w:szCs w:val="22"/>
        </w:rPr>
      </w:pPr>
      <w:r w:rsidRPr="00452D62">
        <w:rPr>
          <w:sz w:val="22"/>
          <w:szCs w:val="22"/>
          <w:u w:val="single"/>
        </w:rPr>
        <w:t>CYP3A4 induktoriai</w:t>
      </w:r>
    </w:p>
    <w:p w14:paraId="3FA4DDB5" w14:textId="7CEA571B" w:rsidR="00823785" w:rsidRPr="00452D62" w:rsidRDefault="00823785" w:rsidP="00823785">
      <w:pPr>
        <w:rPr>
          <w:sz w:val="22"/>
          <w:szCs w:val="22"/>
          <w:u w:val="single"/>
        </w:rPr>
      </w:pPr>
      <w:r w:rsidRPr="00452D62">
        <w:rPr>
          <w:sz w:val="22"/>
          <w:szCs w:val="22"/>
        </w:rPr>
        <w:t xml:space="preserve">Rivaroksabano vartojant kartu su stipriu CYP3A4 induktoriumi rifampicinu, vidutinis rivaroksabano AUC sumažėjo maždaug 50 % ir kartu susilpnėjo farmakodinaminis poveikis. Rivaroksabano vartojant kartu su kitais stipriais CYP3A4 induktoriais (pvz., fenitoinu, karbamazepinu, fenobarbitaliu arba jonažolių </w:t>
      </w:r>
      <w:r w:rsidRPr="00452D62">
        <w:rPr>
          <w:i/>
          <w:iCs/>
          <w:sz w:val="22"/>
          <w:szCs w:val="22"/>
        </w:rPr>
        <w:t xml:space="preserve">(Hypericum perforatum) </w:t>
      </w:r>
      <w:r w:rsidRPr="00452D62">
        <w:rPr>
          <w:sz w:val="22"/>
          <w:szCs w:val="22"/>
        </w:rPr>
        <w:t>preparatais), gali sumažėti rivaroksabano koncentracija kraujo plazmoje. Taigi reikia vengti kartu skirti stipriai veikiančių CYP3A4 induktorių, nebent pacientas yra atidžiai stebimas dėl trombozės požymių ir simptomų.</w:t>
      </w:r>
    </w:p>
    <w:p w14:paraId="32DA40A5" w14:textId="77777777" w:rsidR="00823785" w:rsidRPr="00452D62" w:rsidRDefault="00823785" w:rsidP="00823785">
      <w:pPr>
        <w:rPr>
          <w:sz w:val="22"/>
          <w:szCs w:val="22"/>
          <w:u w:val="single"/>
        </w:rPr>
      </w:pPr>
    </w:p>
    <w:p w14:paraId="79EED640" w14:textId="77777777" w:rsidR="00823785" w:rsidRPr="00452D62" w:rsidRDefault="00823785" w:rsidP="00823785">
      <w:pPr>
        <w:rPr>
          <w:sz w:val="22"/>
          <w:szCs w:val="22"/>
        </w:rPr>
      </w:pPr>
      <w:r w:rsidRPr="00452D62">
        <w:rPr>
          <w:sz w:val="22"/>
          <w:szCs w:val="22"/>
          <w:u w:val="single"/>
        </w:rPr>
        <w:t>Kitas kartu skiriamas gydymas</w:t>
      </w:r>
    </w:p>
    <w:p w14:paraId="5A9E4D0F" w14:textId="77777777" w:rsidR="00823785" w:rsidRPr="00452D62" w:rsidRDefault="00823785" w:rsidP="00823785">
      <w:pPr>
        <w:rPr>
          <w:sz w:val="22"/>
          <w:szCs w:val="22"/>
        </w:rPr>
      </w:pPr>
      <w:r w:rsidRPr="00452D62">
        <w:rPr>
          <w:sz w:val="22"/>
          <w:szCs w:val="22"/>
        </w:rPr>
        <w:t>Vartojant rivaroksabano kartu su midazolamu (CYP3A4 substratu), digoksinu (P-gp substratu), atorvastatinu (CYP3A4 ir P-gp substratu) arba omeprazolu (protonų siurblio inhibitoriumi), kliniškai reikšmingos farmakokinetinės arba farmakodinaminės sąveikos nenustatyta. Rivaroksabanas neslopina ir neindukuoja jokių svarbesnių CYP izoformų, tokių kaip CYP3A4.</w:t>
      </w:r>
    </w:p>
    <w:p w14:paraId="05FF2360" w14:textId="77777777" w:rsidR="00823785" w:rsidRPr="00452D62" w:rsidRDefault="00823785" w:rsidP="00823785">
      <w:pPr>
        <w:rPr>
          <w:sz w:val="22"/>
          <w:szCs w:val="22"/>
        </w:rPr>
      </w:pPr>
      <w:r w:rsidRPr="00452D62">
        <w:rPr>
          <w:sz w:val="22"/>
          <w:szCs w:val="22"/>
        </w:rPr>
        <w:t>Kliniškai reikšmingos sąveikos su maistu nenustatyta (žr. 4.2 skyrių).</w:t>
      </w:r>
    </w:p>
    <w:p w14:paraId="27FCD512" w14:textId="77777777" w:rsidR="00823785" w:rsidRPr="00452D62" w:rsidRDefault="00823785" w:rsidP="00823785">
      <w:pPr>
        <w:rPr>
          <w:sz w:val="22"/>
          <w:szCs w:val="22"/>
        </w:rPr>
      </w:pPr>
    </w:p>
    <w:p w14:paraId="2986DA0C" w14:textId="77777777" w:rsidR="00823785" w:rsidRPr="00452D62" w:rsidRDefault="00823785" w:rsidP="00823785">
      <w:pPr>
        <w:rPr>
          <w:sz w:val="22"/>
          <w:szCs w:val="22"/>
        </w:rPr>
      </w:pPr>
      <w:r w:rsidRPr="00452D62">
        <w:rPr>
          <w:sz w:val="22"/>
          <w:szCs w:val="22"/>
          <w:u w:val="single"/>
        </w:rPr>
        <w:t>Laboratoriniai rodmenys</w:t>
      </w:r>
    </w:p>
    <w:p w14:paraId="3567D547" w14:textId="77777777" w:rsidR="00823785" w:rsidRPr="00452D62" w:rsidRDefault="00823785" w:rsidP="00823785">
      <w:pPr>
        <w:rPr>
          <w:b/>
          <w:bCs/>
          <w:sz w:val="22"/>
          <w:szCs w:val="22"/>
        </w:rPr>
      </w:pPr>
      <w:r w:rsidRPr="00452D62">
        <w:rPr>
          <w:sz w:val="22"/>
          <w:szCs w:val="22"/>
        </w:rPr>
        <w:t xml:space="preserve">Būna paveikti krešėjimo parametrai (pvz., PT, DATL, </w:t>
      </w:r>
      <w:r w:rsidRPr="00452D62">
        <w:rPr>
          <w:i/>
          <w:iCs/>
          <w:sz w:val="22"/>
          <w:szCs w:val="22"/>
        </w:rPr>
        <w:t>HepTest</w:t>
      </w:r>
      <w:r w:rsidRPr="00452D62">
        <w:rPr>
          <w:sz w:val="22"/>
          <w:szCs w:val="22"/>
        </w:rPr>
        <w:t>), kaip ir galima tikėtis atsižvelgiant į rivaroksabano veikimo mechanizmą (žr. 5.1 skyrių).</w:t>
      </w:r>
    </w:p>
    <w:p w14:paraId="6B6DD33E" w14:textId="77777777" w:rsidR="00823785" w:rsidRPr="00452D62" w:rsidRDefault="00823785" w:rsidP="00823785">
      <w:pPr>
        <w:ind w:left="567" w:hanging="568"/>
        <w:rPr>
          <w:b/>
          <w:bCs/>
          <w:sz w:val="22"/>
          <w:szCs w:val="22"/>
        </w:rPr>
      </w:pPr>
    </w:p>
    <w:p w14:paraId="6F4DD22E"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4.6</w:t>
      </w:r>
      <w:r w:rsidRPr="00452D62">
        <w:rPr>
          <w:b/>
          <w:color w:val="auto"/>
          <w:kern w:val="28"/>
          <w:sz w:val="22"/>
          <w:szCs w:val="22"/>
          <w:lang w:eastAsia="en-US"/>
        </w:rPr>
        <w:tab/>
        <w:t>Vaisingumas, nėštumo ir žindymo laikotarpis</w:t>
      </w:r>
    </w:p>
    <w:p w14:paraId="178514D7" w14:textId="77777777" w:rsidR="00823785" w:rsidRPr="00452D62" w:rsidRDefault="00823785" w:rsidP="00823785">
      <w:pPr>
        <w:rPr>
          <w:sz w:val="22"/>
          <w:szCs w:val="22"/>
          <w:u w:val="single"/>
        </w:rPr>
      </w:pPr>
    </w:p>
    <w:p w14:paraId="677D45C2" w14:textId="77777777" w:rsidR="00823785" w:rsidRPr="00452D62" w:rsidRDefault="00823785" w:rsidP="00823785">
      <w:pPr>
        <w:rPr>
          <w:sz w:val="22"/>
          <w:szCs w:val="22"/>
        </w:rPr>
      </w:pPr>
      <w:r w:rsidRPr="00452D62">
        <w:rPr>
          <w:sz w:val="22"/>
          <w:szCs w:val="22"/>
          <w:u w:val="single"/>
        </w:rPr>
        <w:t>Nėštumas</w:t>
      </w:r>
    </w:p>
    <w:p w14:paraId="4BEA1285" w14:textId="77777777" w:rsidR="00823785" w:rsidRPr="00452D62" w:rsidRDefault="00823785" w:rsidP="00823785">
      <w:pPr>
        <w:rPr>
          <w:sz w:val="22"/>
          <w:szCs w:val="22"/>
        </w:rPr>
      </w:pPr>
      <w:r w:rsidRPr="00452D62">
        <w:rPr>
          <w:sz w:val="22"/>
          <w:szCs w:val="22"/>
        </w:rPr>
        <w:t>Rivaroksabano saugumas ir veiksmingumas nėščioms moterims nėra nustatytas. Su gyvūnais atlikti tyrimai parodė toksinį poveikį reprodukcijai (žr. 5.3 skyrių). Dėl galimo toksinio poveikio reprodukcijai, būdingos kraujavimo rizikos ir patvirtinto rivaroksabano prasiskverbimo per placentą, Xerdoxo draudžiama vartoti nėštumo metu (žr. 4.3 skyrių).</w:t>
      </w:r>
    </w:p>
    <w:p w14:paraId="6DD5597F" w14:textId="77777777" w:rsidR="00823785" w:rsidRPr="00452D62" w:rsidRDefault="00823785" w:rsidP="00823785">
      <w:pPr>
        <w:rPr>
          <w:sz w:val="22"/>
          <w:szCs w:val="22"/>
        </w:rPr>
      </w:pPr>
      <w:r w:rsidRPr="00452D62">
        <w:rPr>
          <w:sz w:val="22"/>
          <w:szCs w:val="22"/>
        </w:rPr>
        <w:t>Vaisingo amžiaus moterys turi vengti pastoti gydymo rivaroksabanu metu.</w:t>
      </w:r>
    </w:p>
    <w:p w14:paraId="2CD74D88" w14:textId="77777777" w:rsidR="00823785" w:rsidRPr="00452D62" w:rsidRDefault="00823785" w:rsidP="00823785">
      <w:pPr>
        <w:rPr>
          <w:sz w:val="22"/>
          <w:szCs w:val="22"/>
        </w:rPr>
      </w:pPr>
    </w:p>
    <w:p w14:paraId="5AC61F90" w14:textId="77777777" w:rsidR="00823785" w:rsidRPr="00452D62" w:rsidRDefault="00823785" w:rsidP="00823785">
      <w:pPr>
        <w:rPr>
          <w:sz w:val="22"/>
          <w:szCs w:val="22"/>
        </w:rPr>
      </w:pPr>
      <w:r w:rsidRPr="00452D62">
        <w:rPr>
          <w:sz w:val="22"/>
          <w:szCs w:val="22"/>
          <w:u w:val="single"/>
        </w:rPr>
        <w:t>Žindymas</w:t>
      </w:r>
    </w:p>
    <w:p w14:paraId="7DB5CA40" w14:textId="77777777" w:rsidR="00823785" w:rsidRPr="00452D62" w:rsidRDefault="00823785" w:rsidP="00823785">
      <w:pPr>
        <w:rPr>
          <w:sz w:val="22"/>
          <w:szCs w:val="22"/>
          <w:u w:val="single"/>
        </w:rPr>
      </w:pPr>
      <w:r w:rsidRPr="00452D62">
        <w:rPr>
          <w:sz w:val="22"/>
          <w:szCs w:val="22"/>
        </w:rPr>
        <w:t>Rivaroksabano saugumas ir veiksmingumas žindyvėms nenustatytas. Tyrimų su gyvūnais duomenys rodo, kad rivaroksabanas yra išskiriamas į pieną. Todėl Xerdoxo draudžiama vartoti žindymo metu (žr. 4.3 skyrių). Reikia nuspręsti, ar nutraukti žindymą, ar nutraukti/susilaikyti nuo gydymo vaistiniu preparatu.</w:t>
      </w:r>
    </w:p>
    <w:p w14:paraId="421CEB84" w14:textId="77777777" w:rsidR="00823785" w:rsidRPr="00452D62" w:rsidRDefault="00823785" w:rsidP="00823785">
      <w:pPr>
        <w:rPr>
          <w:sz w:val="22"/>
          <w:szCs w:val="22"/>
          <w:u w:val="single"/>
        </w:rPr>
      </w:pPr>
    </w:p>
    <w:p w14:paraId="6A8400F1" w14:textId="77777777" w:rsidR="00823785" w:rsidRPr="00452D62" w:rsidRDefault="00823785" w:rsidP="00823785">
      <w:pPr>
        <w:rPr>
          <w:sz w:val="22"/>
          <w:szCs w:val="22"/>
        </w:rPr>
      </w:pPr>
      <w:r w:rsidRPr="00452D62">
        <w:rPr>
          <w:sz w:val="22"/>
          <w:szCs w:val="22"/>
          <w:u w:val="single"/>
        </w:rPr>
        <w:t>Vaisingumas</w:t>
      </w:r>
    </w:p>
    <w:p w14:paraId="6524FD28" w14:textId="77777777" w:rsidR="00823785" w:rsidRPr="00452D62" w:rsidRDefault="00823785" w:rsidP="00823785">
      <w:pPr>
        <w:rPr>
          <w:b/>
          <w:bCs/>
          <w:sz w:val="22"/>
          <w:szCs w:val="22"/>
        </w:rPr>
      </w:pPr>
      <w:r w:rsidRPr="00452D62">
        <w:rPr>
          <w:sz w:val="22"/>
          <w:szCs w:val="22"/>
        </w:rPr>
        <w:t>Rivaroksabano poveikį vaisingumui įvertinančių specifinių tyrimų žmonėms neatlikta. Žiurkių patelių ir patinų vaisingumo tyrimo metu poveikio nenustatyta (žr. 5.3 skyrių).</w:t>
      </w:r>
    </w:p>
    <w:p w14:paraId="5710DF0A" w14:textId="77777777" w:rsidR="00823785" w:rsidRPr="00452D62" w:rsidRDefault="00823785" w:rsidP="00823785">
      <w:pPr>
        <w:ind w:left="567" w:hanging="568"/>
        <w:rPr>
          <w:b/>
          <w:bCs/>
          <w:sz w:val="22"/>
          <w:szCs w:val="22"/>
        </w:rPr>
      </w:pPr>
    </w:p>
    <w:p w14:paraId="3D4977F9"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4.7</w:t>
      </w:r>
      <w:r w:rsidRPr="00452D62">
        <w:rPr>
          <w:b/>
          <w:color w:val="auto"/>
          <w:kern w:val="28"/>
          <w:sz w:val="22"/>
          <w:szCs w:val="22"/>
          <w:lang w:eastAsia="en-US"/>
        </w:rPr>
        <w:tab/>
        <w:t>Poveikis gebėjimui vairuoti ir valdyti mechanizmus</w:t>
      </w:r>
    </w:p>
    <w:p w14:paraId="468C502B" w14:textId="77777777" w:rsidR="00823785" w:rsidRPr="00452D62" w:rsidRDefault="00823785" w:rsidP="00823785">
      <w:pPr>
        <w:rPr>
          <w:sz w:val="22"/>
          <w:szCs w:val="22"/>
        </w:rPr>
      </w:pPr>
    </w:p>
    <w:p w14:paraId="0FEC4AC1" w14:textId="77777777" w:rsidR="00823785" w:rsidRPr="00452D62" w:rsidRDefault="00823785" w:rsidP="00823785">
      <w:pPr>
        <w:rPr>
          <w:b/>
          <w:bCs/>
          <w:sz w:val="22"/>
          <w:szCs w:val="22"/>
        </w:rPr>
      </w:pPr>
      <w:r w:rsidRPr="00452D62">
        <w:rPr>
          <w:sz w:val="22"/>
          <w:szCs w:val="22"/>
        </w:rPr>
        <w:t>Rivaroksabanas gebėjimą vairuoti ir valdyti mechanizmus veikia silpnai. Buvo gauta pranešimų apie šias nepageidaujamas reakcijas: apalpimą (dažnis: nedažnas) ir svaigulį (dažnis: dažnas) (žr. 4.8 skyrių). Pacientams, kuriems pasireiškia šių nepageidaujamų reakcijų, vairuoti ar valdyti mechanizmų negalima.</w:t>
      </w:r>
    </w:p>
    <w:p w14:paraId="76FC8C60" w14:textId="77777777" w:rsidR="00823785" w:rsidRPr="00452D62" w:rsidRDefault="00823785" w:rsidP="00823785">
      <w:pPr>
        <w:ind w:left="567" w:hanging="568"/>
        <w:rPr>
          <w:b/>
          <w:bCs/>
          <w:sz w:val="22"/>
          <w:szCs w:val="22"/>
        </w:rPr>
      </w:pPr>
    </w:p>
    <w:p w14:paraId="51A23CE7"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4.8</w:t>
      </w:r>
      <w:r w:rsidRPr="00452D62">
        <w:rPr>
          <w:b/>
          <w:color w:val="auto"/>
          <w:kern w:val="28"/>
          <w:sz w:val="22"/>
          <w:szCs w:val="22"/>
          <w:lang w:eastAsia="en-US"/>
        </w:rPr>
        <w:tab/>
        <w:t>Nepageidaujamas poveikis</w:t>
      </w:r>
    </w:p>
    <w:p w14:paraId="580757D6" w14:textId="77777777" w:rsidR="00823785" w:rsidRPr="00452D62" w:rsidRDefault="00823785" w:rsidP="00823785">
      <w:pPr>
        <w:rPr>
          <w:sz w:val="22"/>
          <w:szCs w:val="22"/>
          <w:u w:val="single"/>
        </w:rPr>
      </w:pPr>
    </w:p>
    <w:p w14:paraId="2CC1987E" w14:textId="77777777" w:rsidR="00823785" w:rsidRPr="00452D62" w:rsidRDefault="00823785" w:rsidP="00823785">
      <w:pPr>
        <w:rPr>
          <w:sz w:val="22"/>
          <w:szCs w:val="22"/>
        </w:rPr>
      </w:pPr>
      <w:r w:rsidRPr="00452D62">
        <w:rPr>
          <w:sz w:val="22"/>
          <w:szCs w:val="22"/>
          <w:u w:val="single"/>
        </w:rPr>
        <w:t>Saugumo duomenų santrauka</w:t>
      </w:r>
    </w:p>
    <w:p w14:paraId="1A03D4E5" w14:textId="32098E0B" w:rsidR="00823785" w:rsidRPr="00452D62" w:rsidRDefault="00823785" w:rsidP="00823785">
      <w:pPr>
        <w:rPr>
          <w:sz w:val="22"/>
          <w:szCs w:val="22"/>
        </w:rPr>
      </w:pPr>
      <w:r w:rsidRPr="00452D62">
        <w:rPr>
          <w:sz w:val="22"/>
          <w:szCs w:val="22"/>
        </w:rPr>
        <w:t>Rivaroksabano saugumas buvo vertinamas trylikos pagrindinių III fazės tyrimų metu (žr. 1 lentelę).</w:t>
      </w:r>
    </w:p>
    <w:p w14:paraId="200B14BC" w14:textId="77777777" w:rsidR="00823785" w:rsidRPr="00452D62" w:rsidRDefault="00823785" w:rsidP="00823785">
      <w:pPr>
        <w:rPr>
          <w:sz w:val="22"/>
          <w:szCs w:val="22"/>
        </w:rPr>
      </w:pPr>
    </w:p>
    <w:p w14:paraId="642724F8" w14:textId="1EC72B77" w:rsidR="00823785" w:rsidRPr="00452D62" w:rsidRDefault="00823785" w:rsidP="00823785">
      <w:pPr>
        <w:rPr>
          <w:sz w:val="22"/>
          <w:szCs w:val="22"/>
        </w:rPr>
      </w:pPr>
      <w:r w:rsidRPr="00452D62">
        <w:rPr>
          <w:sz w:val="22"/>
          <w:szCs w:val="22"/>
        </w:rPr>
        <w:t>Iš viso devyniolikoje III fazės tyrimų dalyvavo 69</w:t>
      </w:r>
      <w:r w:rsidR="00D66FC3" w:rsidRPr="00452D62">
        <w:rPr>
          <w:sz w:val="22"/>
          <w:szCs w:val="22"/>
        </w:rPr>
        <w:t xml:space="preserve"> </w:t>
      </w:r>
      <w:r w:rsidRPr="00452D62">
        <w:rPr>
          <w:sz w:val="22"/>
          <w:szCs w:val="22"/>
        </w:rPr>
        <w:t xml:space="preserve">608 suaugę pacientai </w:t>
      </w:r>
      <w:r w:rsidR="003C5265" w:rsidRPr="00452D62">
        <w:rPr>
          <w:sz w:val="22"/>
          <w:szCs w:val="22"/>
        </w:rPr>
        <w:t xml:space="preserve">ir dviejuose II fazės tyrimuose bei dviejuose III fazės tyrimuose dalyvavo 488 vaikai, </w:t>
      </w:r>
      <w:r w:rsidRPr="00452D62">
        <w:rPr>
          <w:sz w:val="22"/>
          <w:szCs w:val="22"/>
        </w:rPr>
        <w:t>vartoj</w:t>
      </w:r>
      <w:r w:rsidR="006408A1" w:rsidRPr="00452D62">
        <w:rPr>
          <w:sz w:val="22"/>
          <w:szCs w:val="22"/>
        </w:rPr>
        <w:t>ę</w:t>
      </w:r>
      <w:r w:rsidRPr="00452D62">
        <w:rPr>
          <w:sz w:val="22"/>
          <w:szCs w:val="22"/>
        </w:rPr>
        <w:t xml:space="preserve"> rivaroksabano.</w:t>
      </w:r>
    </w:p>
    <w:p w14:paraId="4CC23288" w14:textId="77777777" w:rsidR="00823785" w:rsidRPr="00452D62" w:rsidRDefault="00823785" w:rsidP="00823785">
      <w:pPr>
        <w:rPr>
          <w:sz w:val="22"/>
          <w:szCs w:val="22"/>
        </w:rPr>
      </w:pPr>
    </w:p>
    <w:p w14:paraId="51196F96" w14:textId="2902BCDE" w:rsidR="00823785" w:rsidRPr="00452D62" w:rsidRDefault="00823785" w:rsidP="00823785">
      <w:pPr>
        <w:rPr>
          <w:b/>
          <w:sz w:val="22"/>
          <w:szCs w:val="22"/>
        </w:rPr>
      </w:pPr>
      <w:r w:rsidRPr="00452D62">
        <w:rPr>
          <w:b/>
          <w:sz w:val="22"/>
          <w:szCs w:val="22"/>
        </w:rPr>
        <w:t>1 lentelė. Tirtų pacientų skaičius, bendroji paros dozė ir maksimali gydymo trukmė III fazės tyrimuose su suaugusiais</w:t>
      </w:r>
      <w:r w:rsidR="003C5265" w:rsidRPr="00452D62">
        <w:rPr>
          <w:b/>
          <w:sz w:val="22"/>
          <w:szCs w:val="22"/>
        </w:rPr>
        <w:t xml:space="preserve"> ir vaikais</w:t>
      </w:r>
    </w:p>
    <w:tbl>
      <w:tblPr>
        <w:tblW w:w="0" w:type="auto"/>
        <w:tblInd w:w="-34" w:type="dxa"/>
        <w:tblLayout w:type="fixed"/>
        <w:tblLook w:val="0000" w:firstRow="0" w:lastRow="0" w:firstColumn="0" w:lastColumn="0" w:noHBand="0" w:noVBand="0"/>
      </w:tblPr>
      <w:tblGrid>
        <w:gridCol w:w="3544"/>
        <w:gridCol w:w="1134"/>
        <w:gridCol w:w="2835"/>
        <w:gridCol w:w="1581"/>
      </w:tblGrid>
      <w:tr w:rsidR="00823785" w:rsidRPr="00452D62" w14:paraId="6F30C53B" w14:textId="77777777" w:rsidTr="006453B9">
        <w:tc>
          <w:tcPr>
            <w:tcW w:w="3544" w:type="dxa"/>
            <w:tcBorders>
              <w:top w:val="single" w:sz="4" w:space="0" w:color="000000"/>
              <w:left w:val="single" w:sz="4" w:space="0" w:color="000000"/>
              <w:bottom w:val="single" w:sz="4" w:space="0" w:color="000000"/>
              <w:right w:val="single" w:sz="4" w:space="0" w:color="000000"/>
            </w:tcBorders>
            <w:shd w:val="clear" w:color="auto" w:fill="FFFFFF"/>
          </w:tcPr>
          <w:p w14:paraId="57DAA1B6" w14:textId="77777777" w:rsidR="00823785" w:rsidRPr="00452D62" w:rsidRDefault="00823785" w:rsidP="006453B9">
            <w:pPr>
              <w:rPr>
                <w:b/>
                <w:bCs/>
                <w:sz w:val="22"/>
                <w:szCs w:val="22"/>
              </w:rPr>
            </w:pPr>
            <w:r w:rsidRPr="00452D62">
              <w:rPr>
                <w:b/>
                <w:sz w:val="22"/>
                <w:szCs w:val="22"/>
              </w:rPr>
              <w:t>Indikacija</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797AA33F" w14:textId="77777777" w:rsidR="00823785" w:rsidRPr="00452D62" w:rsidRDefault="00823785" w:rsidP="006453B9">
            <w:pPr>
              <w:rPr>
                <w:b/>
                <w:sz w:val="22"/>
                <w:szCs w:val="22"/>
              </w:rPr>
            </w:pPr>
            <w:r w:rsidRPr="00452D62">
              <w:rPr>
                <w:b/>
                <w:bCs/>
                <w:sz w:val="22"/>
                <w:szCs w:val="22"/>
              </w:rPr>
              <w:t xml:space="preserve">Pacientų skaičius* </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70D5A9CF" w14:textId="77777777" w:rsidR="00823785" w:rsidRPr="00452D62" w:rsidRDefault="00823785" w:rsidP="006453B9">
            <w:pPr>
              <w:rPr>
                <w:b/>
                <w:sz w:val="22"/>
                <w:szCs w:val="22"/>
              </w:rPr>
            </w:pPr>
            <w:r w:rsidRPr="00452D62">
              <w:rPr>
                <w:b/>
                <w:sz w:val="22"/>
                <w:szCs w:val="22"/>
              </w:rPr>
              <w:t>Bendroji paros dozė</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4FE06934" w14:textId="77777777" w:rsidR="00823785" w:rsidRPr="00452D62" w:rsidRDefault="00823785" w:rsidP="006453B9">
            <w:pPr>
              <w:rPr>
                <w:sz w:val="22"/>
                <w:szCs w:val="22"/>
              </w:rPr>
            </w:pPr>
            <w:r w:rsidRPr="00452D62">
              <w:rPr>
                <w:b/>
                <w:sz w:val="22"/>
                <w:szCs w:val="22"/>
              </w:rPr>
              <w:t>Maksimali gydymo trukmė</w:t>
            </w:r>
          </w:p>
        </w:tc>
      </w:tr>
      <w:tr w:rsidR="00823785" w:rsidRPr="00452D62" w14:paraId="486CBCE3" w14:textId="77777777" w:rsidTr="006453B9">
        <w:tc>
          <w:tcPr>
            <w:tcW w:w="3544" w:type="dxa"/>
            <w:tcBorders>
              <w:top w:val="single" w:sz="4" w:space="0" w:color="000000"/>
              <w:left w:val="single" w:sz="4" w:space="0" w:color="000000"/>
              <w:bottom w:val="single" w:sz="4" w:space="0" w:color="000000"/>
              <w:right w:val="single" w:sz="4" w:space="0" w:color="000000"/>
            </w:tcBorders>
            <w:shd w:val="clear" w:color="auto" w:fill="FFFFFF"/>
          </w:tcPr>
          <w:p w14:paraId="3D0B645E" w14:textId="77777777" w:rsidR="00823785" w:rsidRPr="00452D62" w:rsidRDefault="00823785" w:rsidP="006453B9">
            <w:pPr>
              <w:rPr>
                <w:sz w:val="22"/>
                <w:szCs w:val="22"/>
              </w:rPr>
            </w:pPr>
            <w:r w:rsidRPr="00452D62">
              <w:rPr>
                <w:sz w:val="22"/>
                <w:szCs w:val="22"/>
              </w:rPr>
              <w:t>Venų tromboembolijos (VTE) profilaktika suaugusiems pacientams, kuriems atliekama planinė klubo arba kelio sąnario pakeitimo operacija</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79162E68" w14:textId="77777777" w:rsidR="00823785" w:rsidRPr="00452D62" w:rsidRDefault="00823785" w:rsidP="006453B9">
            <w:pPr>
              <w:rPr>
                <w:sz w:val="22"/>
                <w:szCs w:val="22"/>
              </w:rPr>
            </w:pPr>
            <w:r w:rsidRPr="00452D62">
              <w:rPr>
                <w:sz w:val="22"/>
                <w:szCs w:val="22"/>
              </w:rPr>
              <w:t>6097</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62FF37D3" w14:textId="77777777" w:rsidR="00823785" w:rsidRPr="00452D62" w:rsidRDefault="00823785" w:rsidP="006453B9">
            <w:pPr>
              <w:rPr>
                <w:sz w:val="22"/>
                <w:szCs w:val="22"/>
              </w:rPr>
            </w:pPr>
            <w:r w:rsidRPr="00452D62">
              <w:rPr>
                <w:sz w:val="22"/>
                <w:szCs w:val="22"/>
              </w:rPr>
              <w:t>10 mg</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740D9728" w14:textId="77777777" w:rsidR="00823785" w:rsidRPr="00452D62" w:rsidRDefault="00823785" w:rsidP="006453B9">
            <w:pPr>
              <w:rPr>
                <w:sz w:val="22"/>
                <w:szCs w:val="22"/>
              </w:rPr>
            </w:pPr>
            <w:r w:rsidRPr="00452D62">
              <w:rPr>
                <w:sz w:val="22"/>
                <w:szCs w:val="22"/>
              </w:rPr>
              <w:t>39 dienos</w:t>
            </w:r>
          </w:p>
        </w:tc>
      </w:tr>
      <w:tr w:rsidR="00823785" w:rsidRPr="00452D62" w14:paraId="3F46A7CF" w14:textId="77777777" w:rsidTr="006453B9">
        <w:tc>
          <w:tcPr>
            <w:tcW w:w="3544" w:type="dxa"/>
            <w:tcBorders>
              <w:top w:val="single" w:sz="4" w:space="0" w:color="000000"/>
              <w:left w:val="single" w:sz="4" w:space="0" w:color="000000"/>
              <w:bottom w:val="single" w:sz="4" w:space="0" w:color="000000"/>
              <w:right w:val="single" w:sz="4" w:space="0" w:color="000000"/>
            </w:tcBorders>
            <w:shd w:val="clear" w:color="auto" w:fill="FFFFFF"/>
          </w:tcPr>
          <w:p w14:paraId="0E9724EA" w14:textId="77777777" w:rsidR="00823785" w:rsidRPr="00452D62" w:rsidRDefault="00823785" w:rsidP="006453B9">
            <w:pPr>
              <w:rPr>
                <w:sz w:val="22"/>
                <w:szCs w:val="22"/>
              </w:rPr>
            </w:pPr>
            <w:r w:rsidRPr="00452D62">
              <w:rPr>
                <w:sz w:val="22"/>
                <w:szCs w:val="22"/>
              </w:rPr>
              <w:t>VTE profilaktika terapinėmis ligomis sergantiems pacientams</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576FCD51" w14:textId="77777777" w:rsidR="00823785" w:rsidRPr="00452D62" w:rsidRDefault="00823785" w:rsidP="006453B9">
            <w:pPr>
              <w:rPr>
                <w:sz w:val="22"/>
                <w:szCs w:val="22"/>
              </w:rPr>
            </w:pPr>
            <w:r w:rsidRPr="00452D62">
              <w:rPr>
                <w:sz w:val="22"/>
                <w:szCs w:val="22"/>
              </w:rPr>
              <w:t>3997</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772491FC" w14:textId="77777777" w:rsidR="00823785" w:rsidRPr="00452D62" w:rsidRDefault="00823785" w:rsidP="006453B9">
            <w:pPr>
              <w:rPr>
                <w:sz w:val="22"/>
                <w:szCs w:val="22"/>
              </w:rPr>
            </w:pPr>
            <w:r w:rsidRPr="00452D62">
              <w:rPr>
                <w:sz w:val="22"/>
                <w:szCs w:val="22"/>
              </w:rPr>
              <w:t>10 mg</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51017086" w14:textId="77777777" w:rsidR="00823785" w:rsidRPr="00452D62" w:rsidRDefault="00823785" w:rsidP="006453B9">
            <w:pPr>
              <w:rPr>
                <w:sz w:val="22"/>
                <w:szCs w:val="22"/>
              </w:rPr>
            </w:pPr>
            <w:r w:rsidRPr="00452D62">
              <w:rPr>
                <w:sz w:val="22"/>
                <w:szCs w:val="22"/>
              </w:rPr>
              <w:t>39 dienos</w:t>
            </w:r>
          </w:p>
        </w:tc>
      </w:tr>
      <w:tr w:rsidR="00823785" w:rsidRPr="00452D62" w14:paraId="40C3BB86" w14:textId="77777777" w:rsidTr="006453B9">
        <w:tc>
          <w:tcPr>
            <w:tcW w:w="3544" w:type="dxa"/>
            <w:tcBorders>
              <w:top w:val="single" w:sz="4" w:space="0" w:color="000000"/>
              <w:left w:val="single" w:sz="4" w:space="0" w:color="000000"/>
              <w:bottom w:val="single" w:sz="4" w:space="0" w:color="000000"/>
              <w:right w:val="single" w:sz="4" w:space="0" w:color="000000"/>
            </w:tcBorders>
            <w:shd w:val="clear" w:color="auto" w:fill="FFFFFF"/>
          </w:tcPr>
          <w:p w14:paraId="14A095F4" w14:textId="77777777" w:rsidR="00823785" w:rsidRPr="00452D62" w:rsidRDefault="00823785" w:rsidP="006453B9">
            <w:pPr>
              <w:rPr>
                <w:sz w:val="22"/>
                <w:szCs w:val="22"/>
              </w:rPr>
            </w:pPr>
            <w:r w:rsidRPr="00452D62">
              <w:rPr>
                <w:sz w:val="22"/>
                <w:szCs w:val="22"/>
              </w:rPr>
              <w:t>Giliųjų venų trombozės (GVT) bei plaučių embolijos (PE) gydymas ir pasikartojimo profilaktika</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6FA57EBD" w14:textId="77777777" w:rsidR="00823785" w:rsidRPr="00452D62" w:rsidRDefault="00823785" w:rsidP="006453B9">
            <w:pPr>
              <w:rPr>
                <w:sz w:val="22"/>
                <w:szCs w:val="22"/>
              </w:rPr>
            </w:pPr>
            <w:r w:rsidRPr="00452D62">
              <w:rPr>
                <w:sz w:val="22"/>
                <w:szCs w:val="22"/>
              </w:rPr>
              <w:t>6790</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3AFC1557" w14:textId="77777777" w:rsidR="00823785" w:rsidRPr="00452D62" w:rsidRDefault="00823785" w:rsidP="006453B9">
            <w:pPr>
              <w:rPr>
                <w:sz w:val="22"/>
                <w:szCs w:val="22"/>
                <w:lang w:val="es-ES"/>
              </w:rPr>
            </w:pPr>
            <w:r w:rsidRPr="00452D62">
              <w:rPr>
                <w:sz w:val="22"/>
                <w:szCs w:val="22"/>
              </w:rPr>
              <w:t>1</w:t>
            </w:r>
            <w:r w:rsidRPr="00452D62">
              <w:rPr>
                <w:sz w:val="22"/>
                <w:szCs w:val="22"/>
              </w:rPr>
              <w:noBreakHyphen/>
              <w:t>21 diena: 30 mg</w:t>
            </w:r>
          </w:p>
          <w:p w14:paraId="73CB8E08" w14:textId="77777777" w:rsidR="00823785" w:rsidRPr="00452D62" w:rsidRDefault="00823785" w:rsidP="006453B9">
            <w:pPr>
              <w:rPr>
                <w:sz w:val="22"/>
                <w:szCs w:val="22"/>
              </w:rPr>
            </w:pPr>
            <w:r w:rsidRPr="00452D62">
              <w:rPr>
                <w:sz w:val="22"/>
                <w:szCs w:val="22"/>
                <w:lang w:val="es-ES"/>
              </w:rPr>
              <w:t>22 diena ir</w:t>
            </w:r>
            <w:r w:rsidRPr="00452D62">
              <w:rPr>
                <w:sz w:val="22"/>
                <w:szCs w:val="22"/>
              </w:rPr>
              <w:t xml:space="preserve"> vėliau: 20 mg</w:t>
            </w:r>
          </w:p>
          <w:p w14:paraId="6314CA88" w14:textId="77777777" w:rsidR="00823785" w:rsidRPr="00452D62" w:rsidRDefault="00823785" w:rsidP="006453B9">
            <w:pPr>
              <w:rPr>
                <w:sz w:val="22"/>
                <w:szCs w:val="22"/>
              </w:rPr>
            </w:pPr>
            <w:r w:rsidRPr="00452D62">
              <w:rPr>
                <w:sz w:val="22"/>
                <w:szCs w:val="22"/>
              </w:rPr>
              <w:t>Ne anksčiau kaip po 6 mėnesių: 10 mg arba 20 mg</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2FAAA68A" w14:textId="77777777" w:rsidR="00823785" w:rsidRPr="00452D62" w:rsidRDefault="00823785" w:rsidP="006453B9">
            <w:pPr>
              <w:rPr>
                <w:sz w:val="22"/>
                <w:szCs w:val="22"/>
              </w:rPr>
            </w:pPr>
            <w:r w:rsidRPr="00452D62">
              <w:rPr>
                <w:sz w:val="22"/>
                <w:szCs w:val="22"/>
              </w:rPr>
              <w:t>21 mėnesis</w:t>
            </w:r>
          </w:p>
        </w:tc>
      </w:tr>
      <w:tr w:rsidR="00412630" w:rsidRPr="00452D62" w14:paraId="20EB7ED8" w14:textId="77777777" w:rsidTr="006453B9">
        <w:tc>
          <w:tcPr>
            <w:tcW w:w="3544" w:type="dxa"/>
            <w:tcBorders>
              <w:top w:val="single" w:sz="4" w:space="0" w:color="000000"/>
              <w:left w:val="single" w:sz="4" w:space="0" w:color="000000"/>
              <w:bottom w:val="single" w:sz="4" w:space="0" w:color="000000"/>
              <w:right w:val="single" w:sz="4" w:space="0" w:color="000000"/>
            </w:tcBorders>
            <w:shd w:val="clear" w:color="auto" w:fill="FFFFFF"/>
          </w:tcPr>
          <w:p w14:paraId="7560C612" w14:textId="3937D8A3" w:rsidR="00412630" w:rsidRPr="00452D62" w:rsidRDefault="00412630" w:rsidP="006453B9">
            <w:pPr>
              <w:rPr>
                <w:sz w:val="22"/>
                <w:szCs w:val="22"/>
              </w:rPr>
            </w:pPr>
            <w:r w:rsidRPr="00452D62">
              <w:rPr>
                <w:sz w:val="22"/>
                <w:szCs w:val="22"/>
              </w:rPr>
              <w:t>VTE gydymas ir pasikartojančios VTE profilaktika išnešiotiems naujagimiams ir jaunesniems kaip 18 metų amžiaus vaikams</w:t>
            </w:r>
            <w:r w:rsidR="001216D5">
              <w:rPr>
                <w:sz w:val="22"/>
                <w:szCs w:val="22"/>
              </w:rPr>
              <w:t xml:space="preserve"> ir paaugliams</w:t>
            </w:r>
            <w:r w:rsidRPr="00452D62">
              <w:rPr>
                <w:sz w:val="22"/>
                <w:szCs w:val="22"/>
              </w:rPr>
              <w:t>, pradėjus standartinį gydymą antikoaguliantais</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1C9B9701" w14:textId="06974980" w:rsidR="00412630" w:rsidRPr="00452D62" w:rsidRDefault="00412630" w:rsidP="006453B9">
            <w:pPr>
              <w:rPr>
                <w:sz w:val="22"/>
                <w:szCs w:val="22"/>
              </w:rPr>
            </w:pPr>
            <w:r w:rsidRPr="00452D62">
              <w:rPr>
                <w:sz w:val="22"/>
                <w:szCs w:val="22"/>
              </w:rPr>
              <w:t>329</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17FCBB96" w14:textId="0D66CE09" w:rsidR="00412630" w:rsidRPr="00452D62" w:rsidRDefault="00412630" w:rsidP="006453B9">
            <w:pPr>
              <w:rPr>
                <w:sz w:val="22"/>
                <w:szCs w:val="22"/>
              </w:rPr>
            </w:pPr>
            <w:r w:rsidRPr="00452D62">
              <w:rPr>
                <w:sz w:val="22"/>
                <w:szCs w:val="22"/>
              </w:rPr>
              <w:t>Pagal kūno svorį parenkama dozė, siekiant panašios ekspozicijos kaip ir suaugusiems, vieną kartą per parą vartojantiems 20 mg rivaroksabano nuo GVT</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55B52223" w14:textId="5DEA440B" w:rsidR="00412630" w:rsidRPr="00452D62" w:rsidRDefault="00412630" w:rsidP="006453B9">
            <w:pPr>
              <w:rPr>
                <w:sz w:val="22"/>
                <w:szCs w:val="22"/>
              </w:rPr>
            </w:pPr>
            <w:r w:rsidRPr="00452D62">
              <w:rPr>
                <w:sz w:val="22"/>
                <w:szCs w:val="22"/>
              </w:rPr>
              <w:t>12 mėnesių</w:t>
            </w:r>
          </w:p>
        </w:tc>
      </w:tr>
      <w:tr w:rsidR="00823785" w:rsidRPr="00452D62" w14:paraId="3C64F78F" w14:textId="77777777" w:rsidTr="006453B9">
        <w:tc>
          <w:tcPr>
            <w:tcW w:w="3544" w:type="dxa"/>
            <w:tcBorders>
              <w:top w:val="single" w:sz="4" w:space="0" w:color="000000"/>
              <w:left w:val="single" w:sz="4" w:space="0" w:color="000000"/>
              <w:bottom w:val="single" w:sz="4" w:space="0" w:color="000000"/>
              <w:right w:val="single" w:sz="4" w:space="0" w:color="000000"/>
            </w:tcBorders>
            <w:shd w:val="clear" w:color="auto" w:fill="FFFFFF"/>
          </w:tcPr>
          <w:p w14:paraId="7B8D4709" w14:textId="77777777" w:rsidR="00823785" w:rsidRPr="00452D62" w:rsidRDefault="00823785" w:rsidP="006453B9">
            <w:pPr>
              <w:rPr>
                <w:sz w:val="22"/>
                <w:szCs w:val="22"/>
              </w:rPr>
            </w:pPr>
            <w:r w:rsidRPr="00452D62">
              <w:rPr>
                <w:sz w:val="22"/>
                <w:szCs w:val="22"/>
              </w:rPr>
              <w:t>Insulto ir sisteminės embolijos profilaktika pacientams, kuriems yra su vožtuvų liga nesusijęs prieširdžių virpėjimas</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75EB1FF9" w14:textId="77777777" w:rsidR="00823785" w:rsidRPr="00452D62" w:rsidRDefault="00823785" w:rsidP="006453B9">
            <w:pPr>
              <w:rPr>
                <w:sz w:val="22"/>
                <w:szCs w:val="22"/>
              </w:rPr>
            </w:pPr>
            <w:r w:rsidRPr="00452D62">
              <w:rPr>
                <w:sz w:val="22"/>
                <w:szCs w:val="22"/>
              </w:rPr>
              <w:t>7750</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58368F76" w14:textId="77777777" w:rsidR="00823785" w:rsidRPr="00452D62" w:rsidRDefault="00823785" w:rsidP="006453B9">
            <w:pPr>
              <w:rPr>
                <w:sz w:val="22"/>
                <w:szCs w:val="22"/>
              </w:rPr>
            </w:pPr>
            <w:r w:rsidRPr="00452D62">
              <w:rPr>
                <w:sz w:val="22"/>
                <w:szCs w:val="22"/>
              </w:rPr>
              <w:t>20 mg</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402A9362" w14:textId="77777777" w:rsidR="00823785" w:rsidRPr="00452D62" w:rsidRDefault="00823785" w:rsidP="006453B9">
            <w:pPr>
              <w:rPr>
                <w:sz w:val="22"/>
                <w:szCs w:val="22"/>
              </w:rPr>
            </w:pPr>
            <w:r w:rsidRPr="00452D62">
              <w:rPr>
                <w:sz w:val="22"/>
                <w:szCs w:val="22"/>
              </w:rPr>
              <w:t>41 mėnesis</w:t>
            </w:r>
          </w:p>
        </w:tc>
      </w:tr>
      <w:tr w:rsidR="00823785" w:rsidRPr="00452D62" w14:paraId="63225DBA" w14:textId="77777777" w:rsidTr="006453B9">
        <w:tc>
          <w:tcPr>
            <w:tcW w:w="3544" w:type="dxa"/>
            <w:tcBorders>
              <w:top w:val="single" w:sz="4" w:space="0" w:color="000000"/>
              <w:left w:val="single" w:sz="4" w:space="0" w:color="000000"/>
              <w:bottom w:val="single" w:sz="4" w:space="0" w:color="000000"/>
              <w:right w:val="single" w:sz="4" w:space="0" w:color="000000"/>
            </w:tcBorders>
            <w:shd w:val="clear" w:color="auto" w:fill="FFFFFF"/>
          </w:tcPr>
          <w:p w14:paraId="087A0471" w14:textId="77777777" w:rsidR="00823785" w:rsidRPr="00452D62" w:rsidRDefault="00823785" w:rsidP="006453B9">
            <w:pPr>
              <w:rPr>
                <w:sz w:val="22"/>
                <w:szCs w:val="22"/>
              </w:rPr>
            </w:pPr>
            <w:r w:rsidRPr="00452D62">
              <w:rPr>
                <w:sz w:val="22"/>
                <w:szCs w:val="22"/>
              </w:rPr>
              <w:t>Aterotrombozinių reiškinių profilaktika pacientams, patyrusiems ŪKS</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4C090E36" w14:textId="77777777" w:rsidR="00823785" w:rsidRPr="00452D62" w:rsidRDefault="00823785" w:rsidP="006453B9">
            <w:pPr>
              <w:rPr>
                <w:sz w:val="22"/>
                <w:szCs w:val="22"/>
              </w:rPr>
            </w:pPr>
            <w:r w:rsidRPr="00452D62">
              <w:rPr>
                <w:sz w:val="22"/>
                <w:szCs w:val="22"/>
              </w:rPr>
              <w:t>10225</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1272F913" w14:textId="77777777" w:rsidR="00823785" w:rsidRPr="00452D62" w:rsidRDefault="00823785" w:rsidP="006453B9">
            <w:pPr>
              <w:rPr>
                <w:sz w:val="22"/>
                <w:szCs w:val="22"/>
              </w:rPr>
            </w:pPr>
            <w:r w:rsidRPr="00452D62">
              <w:rPr>
                <w:sz w:val="22"/>
                <w:szCs w:val="22"/>
              </w:rPr>
              <w:t>Atitinkamai 5 mg arba 10 mg, kartu vartojant arba acetilsalicilo rūgšties, arba acetilsalicilo rūgšties ir klopidogrelio ar tiklopidino</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5FC9FE01" w14:textId="77777777" w:rsidR="00823785" w:rsidRPr="00452D62" w:rsidRDefault="00823785" w:rsidP="006453B9">
            <w:pPr>
              <w:rPr>
                <w:sz w:val="22"/>
                <w:szCs w:val="22"/>
              </w:rPr>
            </w:pPr>
            <w:r w:rsidRPr="00452D62">
              <w:rPr>
                <w:sz w:val="22"/>
                <w:szCs w:val="22"/>
              </w:rPr>
              <w:t>31 mėnesis</w:t>
            </w:r>
          </w:p>
        </w:tc>
      </w:tr>
      <w:tr w:rsidR="00823785" w:rsidRPr="00452D62" w14:paraId="086B33C5" w14:textId="77777777" w:rsidTr="006453B9">
        <w:tc>
          <w:tcPr>
            <w:tcW w:w="3544" w:type="dxa"/>
            <w:vMerge w:val="restart"/>
            <w:tcBorders>
              <w:top w:val="single" w:sz="4" w:space="0" w:color="000000"/>
              <w:left w:val="single" w:sz="4" w:space="0" w:color="000000"/>
              <w:right w:val="single" w:sz="4" w:space="0" w:color="000000"/>
            </w:tcBorders>
            <w:shd w:val="clear" w:color="auto" w:fill="FFFFFF"/>
          </w:tcPr>
          <w:p w14:paraId="3872A1F4" w14:textId="77777777" w:rsidR="00823785" w:rsidRPr="00452D62" w:rsidRDefault="00823785" w:rsidP="006453B9">
            <w:pPr>
              <w:rPr>
                <w:sz w:val="22"/>
                <w:szCs w:val="22"/>
              </w:rPr>
            </w:pPr>
            <w:r w:rsidRPr="00452D62">
              <w:rPr>
                <w:sz w:val="22"/>
                <w:szCs w:val="22"/>
              </w:rPr>
              <w:t>Aterotrombozinių reiškinių profilaktika pacientams, sergantiems VAL arba PAL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BBF15F" w14:textId="77777777" w:rsidR="00823785" w:rsidRPr="00452D62" w:rsidRDefault="00823785" w:rsidP="006453B9">
            <w:pPr>
              <w:rPr>
                <w:sz w:val="22"/>
                <w:szCs w:val="22"/>
              </w:rPr>
            </w:pPr>
            <w:r w:rsidRPr="00452D62">
              <w:rPr>
                <w:sz w:val="22"/>
                <w:szCs w:val="22"/>
              </w:rPr>
              <w:t>18244</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65279A48" w14:textId="77777777" w:rsidR="00823785" w:rsidRPr="00452D62" w:rsidRDefault="00823785" w:rsidP="006453B9">
            <w:pPr>
              <w:rPr>
                <w:sz w:val="22"/>
                <w:szCs w:val="22"/>
              </w:rPr>
            </w:pPr>
            <w:r w:rsidRPr="00452D62">
              <w:rPr>
                <w:sz w:val="22"/>
                <w:szCs w:val="22"/>
              </w:rPr>
              <w:t xml:space="preserve">5 mg kartu su ASR arba vien 10 mg rivaroksabano </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3B56B504" w14:textId="77777777" w:rsidR="00823785" w:rsidRPr="00452D62" w:rsidRDefault="00823785" w:rsidP="006453B9">
            <w:pPr>
              <w:rPr>
                <w:sz w:val="22"/>
                <w:szCs w:val="22"/>
              </w:rPr>
            </w:pPr>
            <w:r w:rsidRPr="00452D62">
              <w:rPr>
                <w:sz w:val="22"/>
                <w:szCs w:val="22"/>
              </w:rPr>
              <w:t>47 mėnesiai</w:t>
            </w:r>
          </w:p>
        </w:tc>
      </w:tr>
      <w:tr w:rsidR="00823785" w:rsidRPr="00452D62" w14:paraId="7E309E17" w14:textId="77777777" w:rsidTr="006453B9">
        <w:tc>
          <w:tcPr>
            <w:tcW w:w="3544" w:type="dxa"/>
            <w:vMerge/>
            <w:tcBorders>
              <w:left w:val="single" w:sz="4" w:space="0" w:color="000000"/>
              <w:bottom w:val="single" w:sz="4" w:space="0" w:color="000000"/>
              <w:right w:val="single" w:sz="4" w:space="0" w:color="000000"/>
            </w:tcBorders>
            <w:shd w:val="clear" w:color="auto" w:fill="FFFFFF"/>
          </w:tcPr>
          <w:p w14:paraId="13ADD3D4" w14:textId="77777777" w:rsidR="00823785" w:rsidRPr="00452D62" w:rsidRDefault="00823785" w:rsidP="006453B9">
            <w:pPr>
              <w:rPr>
                <w:sz w:val="22"/>
                <w:szCs w:val="2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0EA41587" w14:textId="2C2D6309" w:rsidR="00823785" w:rsidRPr="00452D62" w:rsidRDefault="00823785" w:rsidP="006453B9">
            <w:pPr>
              <w:rPr>
                <w:sz w:val="22"/>
                <w:szCs w:val="22"/>
              </w:rPr>
            </w:pPr>
            <w:r w:rsidRPr="00452D62">
              <w:rPr>
                <w:sz w:val="22"/>
                <w:szCs w:val="22"/>
              </w:rPr>
              <w:t>3</w:t>
            </w:r>
            <w:r w:rsidR="00D66FC3" w:rsidRPr="00452D62">
              <w:rPr>
                <w:sz w:val="22"/>
                <w:szCs w:val="22"/>
              </w:rPr>
              <w:t xml:space="preserve"> </w:t>
            </w:r>
            <w:r w:rsidRPr="00452D62">
              <w:rPr>
                <w:sz w:val="22"/>
                <w:szCs w:val="22"/>
              </w:rPr>
              <w:t>256**</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47DAA7A5" w14:textId="77777777" w:rsidR="00823785" w:rsidRPr="00452D62" w:rsidRDefault="00823785" w:rsidP="006453B9">
            <w:pPr>
              <w:rPr>
                <w:sz w:val="22"/>
                <w:szCs w:val="22"/>
              </w:rPr>
            </w:pPr>
            <w:r w:rsidRPr="00452D62">
              <w:rPr>
                <w:sz w:val="22"/>
                <w:szCs w:val="22"/>
              </w:rPr>
              <w:t>5 mg kartu su acetilsalicilo rūgštimi</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2A5E4959" w14:textId="77777777" w:rsidR="00823785" w:rsidRPr="00452D62" w:rsidRDefault="00823785" w:rsidP="006453B9">
            <w:pPr>
              <w:rPr>
                <w:sz w:val="22"/>
                <w:szCs w:val="22"/>
              </w:rPr>
            </w:pPr>
            <w:r w:rsidRPr="00452D62">
              <w:rPr>
                <w:sz w:val="22"/>
                <w:szCs w:val="22"/>
              </w:rPr>
              <w:t>42 mėnesiai</w:t>
            </w:r>
          </w:p>
        </w:tc>
      </w:tr>
    </w:tbl>
    <w:p w14:paraId="2A2DD27E" w14:textId="77777777" w:rsidR="00823785" w:rsidRPr="00452D62" w:rsidRDefault="00823785" w:rsidP="00823785">
      <w:pPr>
        <w:rPr>
          <w:sz w:val="22"/>
          <w:szCs w:val="22"/>
        </w:rPr>
      </w:pPr>
      <w:r w:rsidRPr="00452D62">
        <w:rPr>
          <w:sz w:val="22"/>
          <w:szCs w:val="22"/>
        </w:rPr>
        <w:t>*Pacientai, pavartoję mažiausiai vieną rivaroksabano dozę.</w:t>
      </w:r>
    </w:p>
    <w:p w14:paraId="3AF0E23F" w14:textId="77777777" w:rsidR="00823785" w:rsidRPr="00452D62" w:rsidRDefault="00823785" w:rsidP="00823785">
      <w:pPr>
        <w:rPr>
          <w:sz w:val="22"/>
          <w:szCs w:val="22"/>
        </w:rPr>
      </w:pPr>
      <w:r w:rsidRPr="00452D62">
        <w:rPr>
          <w:sz w:val="22"/>
          <w:szCs w:val="22"/>
        </w:rPr>
        <w:t>**Tyrimo VOYAGER PAD duomenys.</w:t>
      </w:r>
    </w:p>
    <w:p w14:paraId="462466C0" w14:textId="77777777" w:rsidR="00823785" w:rsidRPr="00452D62" w:rsidRDefault="00823785" w:rsidP="00823785">
      <w:pPr>
        <w:rPr>
          <w:sz w:val="22"/>
          <w:szCs w:val="22"/>
        </w:rPr>
      </w:pPr>
    </w:p>
    <w:p w14:paraId="7D86A1BF" w14:textId="751DC868" w:rsidR="00823785" w:rsidRPr="00452D62" w:rsidRDefault="00823785" w:rsidP="00823785">
      <w:pPr>
        <w:rPr>
          <w:sz w:val="22"/>
          <w:szCs w:val="22"/>
        </w:rPr>
      </w:pPr>
      <w:r w:rsidRPr="00452D62">
        <w:rPr>
          <w:sz w:val="22"/>
          <w:szCs w:val="22"/>
        </w:rPr>
        <w:t>Nepageidaujama reakcija, apie kurią dažniausiai gauta pranešimų rivaroksabano vartojantiems pacientams, buvo kraujavimas (2 lentelė, žr. 4.4 skyrių ir toliau pateiktą poskyrį „Atrinktų nepageidaujamų reakcijų apibūdinimas“). Kraujavimai, apie kuriuos pranešta dažniausiai, buvo kraujavimas iš nosies (4,5 %) ir kraujavimas iš virškinimo trakto (3,8 %).</w:t>
      </w:r>
    </w:p>
    <w:p w14:paraId="30F81FF6" w14:textId="77777777" w:rsidR="00823785" w:rsidRPr="00452D62" w:rsidRDefault="00823785" w:rsidP="00823785">
      <w:pPr>
        <w:rPr>
          <w:sz w:val="22"/>
          <w:szCs w:val="22"/>
        </w:rPr>
      </w:pPr>
    </w:p>
    <w:p w14:paraId="39EEF8B5" w14:textId="518E84BE" w:rsidR="00823785" w:rsidRPr="00452D62" w:rsidRDefault="00823785" w:rsidP="00823785">
      <w:pPr>
        <w:rPr>
          <w:b/>
          <w:sz w:val="22"/>
          <w:szCs w:val="22"/>
        </w:rPr>
      </w:pPr>
      <w:r w:rsidRPr="00452D62">
        <w:rPr>
          <w:b/>
          <w:sz w:val="22"/>
          <w:szCs w:val="22"/>
        </w:rPr>
        <w:t>2 lentelė. Kraujavimo* ir anemijos reiškinių dažniai, nustatyti rivaroksabaną vartojusiems pacientams, dalyvavusiems užbaigtuose III fazės tyrimuose su suaugusiais</w:t>
      </w:r>
      <w:r w:rsidR="003B4641" w:rsidRPr="00452D62">
        <w:rPr>
          <w:b/>
          <w:sz w:val="22"/>
          <w:szCs w:val="22"/>
        </w:rPr>
        <w:t xml:space="preserve"> ir vaikais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8"/>
        <w:gridCol w:w="2919"/>
        <w:gridCol w:w="2919"/>
      </w:tblGrid>
      <w:tr w:rsidR="00823785" w:rsidRPr="00452D62" w14:paraId="67A91396" w14:textId="77777777" w:rsidTr="006453B9">
        <w:tc>
          <w:tcPr>
            <w:tcW w:w="2918" w:type="dxa"/>
            <w:shd w:val="clear" w:color="auto" w:fill="auto"/>
          </w:tcPr>
          <w:p w14:paraId="1FC81784" w14:textId="77777777" w:rsidR="00823785" w:rsidRPr="00452D62" w:rsidRDefault="00823785" w:rsidP="006453B9">
            <w:pPr>
              <w:rPr>
                <w:b/>
                <w:sz w:val="22"/>
                <w:szCs w:val="22"/>
              </w:rPr>
            </w:pPr>
            <w:r w:rsidRPr="00452D62">
              <w:rPr>
                <w:b/>
                <w:sz w:val="22"/>
                <w:szCs w:val="22"/>
              </w:rPr>
              <w:t>Indikacija</w:t>
            </w:r>
          </w:p>
        </w:tc>
        <w:tc>
          <w:tcPr>
            <w:tcW w:w="2919" w:type="dxa"/>
            <w:shd w:val="clear" w:color="auto" w:fill="auto"/>
          </w:tcPr>
          <w:p w14:paraId="5A3ADBAC" w14:textId="77777777" w:rsidR="00823785" w:rsidRPr="00452D62" w:rsidRDefault="00823785" w:rsidP="006453B9">
            <w:pPr>
              <w:rPr>
                <w:b/>
                <w:sz w:val="22"/>
                <w:szCs w:val="22"/>
              </w:rPr>
            </w:pPr>
            <w:r w:rsidRPr="00452D62">
              <w:rPr>
                <w:b/>
                <w:sz w:val="22"/>
                <w:szCs w:val="22"/>
              </w:rPr>
              <w:t>Bet koks kraujavimas</w:t>
            </w:r>
          </w:p>
        </w:tc>
        <w:tc>
          <w:tcPr>
            <w:tcW w:w="2919" w:type="dxa"/>
            <w:shd w:val="clear" w:color="auto" w:fill="auto"/>
          </w:tcPr>
          <w:p w14:paraId="1F0A4295" w14:textId="77777777" w:rsidR="00823785" w:rsidRPr="00452D62" w:rsidRDefault="00823785" w:rsidP="006453B9">
            <w:pPr>
              <w:rPr>
                <w:b/>
                <w:sz w:val="22"/>
                <w:szCs w:val="22"/>
              </w:rPr>
            </w:pPr>
            <w:r w:rsidRPr="00452D62">
              <w:rPr>
                <w:b/>
                <w:sz w:val="22"/>
                <w:szCs w:val="22"/>
              </w:rPr>
              <w:t>Anemija</w:t>
            </w:r>
          </w:p>
        </w:tc>
      </w:tr>
      <w:tr w:rsidR="00823785" w:rsidRPr="00452D62" w14:paraId="009DE3CE" w14:textId="77777777" w:rsidTr="006453B9">
        <w:tc>
          <w:tcPr>
            <w:tcW w:w="2918" w:type="dxa"/>
            <w:shd w:val="clear" w:color="auto" w:fill="auto"/>
          </w:tcPr>
          <w:p w14:paraId="5C6149F1" w14:textId="77777777" w:rsidR="00823785" w:rsidRPr="00452D62" w:rsidRDefault="00823785" w:rsidP="006453B9">
            <w:pPr>
              <w:rPr>
                <w:sz w:val="22"/>
                <w:szCs w:val="22"/>
              </w:rPr>
            </w:pPr>
            <w:r w:rsidRPr="00452D62">
              <w:rPr>
                <w:sz w:val="22"/>
                <w:szCs w:val="22"/>
              </w:rPr>
              <w:t>Venų tromboembolijos (VTE) profilaktika suaugusiems pacientams, kuriems atliekama planinė klubo arba kelio sąnario pakeitimo operacija</w:t>
            </w:r>
          </w:p>
        </w:tc>
        <w:tc>
          <w:tcPr>
            <w:tcW w:w="2919" w:type="dxa"/>
            <w:shd w:val="clear" w:color="auto" w:fill="auto"/>
          </w:tcPr>
          <w:p w14:paraId="1B5E8456" w14:textId="129E2DE1" w:rsidR="00823785" w:rsidRPr="00452D62" w:rsidRDefault="00823785" w:rsidP="006453B9">
            <w:pPr>
              <w:rPr>
                <w:sz w:val="22"/>
                <w:szCs w:val="22"/>
              </w:rPr>
            </w:pPr>
            <w:r w:rsidRPr="00452D62">
              <w:rPr>
                <w:sz w:val="22"/>
                <w:szCs w:val="22"/>
              </w:rPr>
              <w:t>6,8 % pacientų</w:t>
            </w:r>
          </w:p>
        </w:tc>
        <w:tc>
          <w:tcPr>
            <w:tcW w:w="2919" w:type="dxa"/>
            <w:shd w:val="clear" w:color="auto" w:fill="auto"/>
          </w:tcPr>
          <w:p w14:paraId="14078C4B" w14:textId="5952BA06" w:rsidR="00823785" w:rsidRPr="00452D62" w:rsidRDefault="00823785" w:rsidP="006453B9">
            <w:pPr>
              <w:rPr>
                <w:sz w:val="22"/>
                <w:szCs w:val="22"/>
              </w:rPr>
            </w:pPr>
            <w:r w:rsidRPr="00452D62">
              <w:rPr>
                <w:sz w:val="22"/>
                <w:szCs w:val="22"/>
              </w:rPr>
              <w:t>5,9 % pacientų</w:t>
            </w:r>
          </w:p>
        </w:tc>
      </w:tr>
      <w:tr w:rsidR="00823785" w:rsidRPr="00452D62" w14:paraId="6561CA98" w14:textId="77777777" w:rsidTr="006453B9">
        <w:tc>
          <w:tcPr>
            <w:tcW w:w="2918" w:type="dxa"/>
            <w:shd w:val="clear" w:color="auto" w:fill="auto"/>
          </w:tcPr>
          <w:p w14:paraId="4438FF0C" w14:textId="77777777" w:rsidR="00823785" w:rsidRPr="00452D62" w:rsidRDefault="00823785" w:rsidP="006453B9">
            <w:pPr>
              <w:rPr>
                <w:sz w:val="22"/>
                <w:szCs w:val="22"/>
              </w:rPr>
            </w:pPr>
            <w:r w:rsidRPr="00452D62">
              <w:rPr>
                <w:sz w:val="22"/>
                <w:szCs w:val="22"/>
              </w:rPr>
              <w:t>VTE profilaktika terapinėmis ligomis sergantiems pacientams</w:t>
            </w:r>
          </w:p>
        </w:tc>
        <w:tc>
          <w:tcPr>
            <w:tcW w:w="2919" w:type="dxa"/>
            <w:shd w:val="clear" w:color="auto" w:fill="auto"/>
          </w:tcPr>
          <w:p w14:paraId="599D4574" w14:textId="55B7553D" w:rsidR="00823785" w:rsidRPr="00452D62" w:rsidRDefault="00823785" w:rsidP="006453B9">
            <w:pPr>
              <w:rPr>
                <w:sz w:val="22"/>
                <w:szCs w:val="22"/>
              </w:rPr>
            </w:pPr>
            <w:r w:rsidRPr="00452D62">
              <w:rPr>
                <w:sz w:val="22"/>
                <w:szCs w:val="22"/>
              </w:rPr>
              <w:t>12,6 % pacientų</w:t>
            </w:r>
          </w:p>
        </w:tc>
        <w:tc>
          <w:tcPr>
            <w:tcW w:w="2919" w:type="dxa"/>
            <w:shd w:val="clear" w:color="auto" w:fill="auto"/>
          </w:tcPr>
          <w:p w14:paraId="017E4D22" w14:textId="754DF5ED" w:rsidR="00823785" w:rsidRPr="00452D62" w:rsidRDefault="00823785" w:rsidP="006453B9">
            <w:pPr>
              <w:rPr>
                <w:sz w:val="22"/>
                <w:szCs w:val="22"/>
              </w:rPr>
            </w:pPr>
            <w:r w:rsidRPr="00452D62">
              <w:rPr>
                <w:sz w:val="22"/>
                <w:szCs w:val="22"/>
              </w:rPr>
              <w:t>2,1 % pacientų</w:t>
            </w:r>
          </w:p>
        </w:tc>
      </w:tr>
      <w:tr w:rsidR="00823785" w:rsidRPr="00452D62" w14:paraId="06503C56" w14:textId="77777777" w:rsidTr="006453B9">
        <w:tc>
          <w:tcPr>
            <w:tcW w:w="2918" w:type="dxa"/>
            <w:shd w:val="clear" w:color="auto" w:fill="auto"/>
          </w:tcPr>
          <w:p w14:paraId="73A620BA" w14:textId="77777777" w:rsidR="00823785" w:rsidRPr="00452D62" w:rsidRDefault="00823785" w:rsidP="006453B9">
            <w:pPr>
              <w:rPr>
                <w:sz w:val="22"/>
                <w:szCs w:val="22"/>
              </w:rPr>
            </w:pPr>
            <w:r w:rsidRPr="00452D62">
              <w:rPr>
                <w:sz w:val="22"/>
                <w:szCs w:val="22"/>
              </w:rPr>
              <w:t>GVT bei PE gydymas ir pasikartojimo profilaktika</w:t>
            </w:r>
          </w:p>
        </w:tc>
        <w:tc>
          <w:tcPr>
            <w:tcW w:w="2919" w:type="dxa"/>
            <w:shd w:val="clear" w:color="auto" w:fill="auto"/>
          </w:tcPr>
          <w:p w14:paraId="4742805F" w14:textId="4AE06D19" w:rsidR="00823785" w:rsidRPr="00452D62" w:rsidRDefault="00823785" w:rsidP="006453B9">
            <w:pPr>
              <w:rPr>
                <w:sz w:val="22"/>
                <w:szCs w:val="22"/>
              </w:rPr>
            </w:pPr>
            <w:r w:rsidRPr="00452D62">
              <w:rPr>
                <w:sz w:val="22"/>
                <w:szCs w:val="22"/>
              </w:rPr>
              <w:t>23 % pacientų</w:t>
            </w:r>
          </w:p>
        </w:tc>
        <w:tc>
          <w:tcPr>
            <w:tcW w:w="2919" w:type="dxa"/>
            <w:shd w:val="clear" w:color="auto" w:fill="auto"/>
          </w:tcPr>
          <w:p w14:paraId="5D439FA4" w14:textId="1EC6366B" w:rsidR="00823785" w:rsidRPr="00452D62" w:rsidRDefault="00823785" w:rsidP="006453B9">
            <w:pPr>
              <w:rPr>
                <w:sz w:val="22"/>
                <w:szCs w:val="22"/>
              </w:rPr>
            </w:pPr>
            <w:r w:rsidRPr="00452D62">
              <w:rPr>
                <w:sz w:val="22"/>
                <w:szCs w:val="22"/>
              </w:rPr>
              <w:t>1,6 % pacientų</w:t>
            </w:r>
          </w:p>
        </w:tc>
      </w:tr>
      <w:tr w:rsidR="003B4641" w:rsidRPr="00452D62" w14:paraId="080E1FFE" w14:textId="77777777" w:rsidTr="006453B9">
        <w:tc>
          <w:tcPr>
            <w:tcW w:w="2918" w:type="dxa"/>
            <w:shd w:val="clear" w:color="auto" w:fill="auto"/>
          </w:tcPr>
          <w:p w14:paraId="68F83765" w14:textId="44BFFB85" w:rsidR="003B4641" w:rsidRPr="00452D62" w:rsidRDefault="003B4641" w:rsidP="006453B9">
            <w:pPr>
              <w:rPr>
                <w:sz w:val="22"/>
                <w:szCs w:val="22"/>
              </w:rPr>
            </w:pPr>
            <w:r w:rsidRPr="00452D62">
              <w:rPr>
                <w:sz w:val="22"/>
                <w:szCs w:val="22"/>
              </w:rPr>
              <w:t>VTE gydymas ir pasikartojančios VTE profilaktika išnešiotiems naujagimiams ir jaunesniems kaip 18 metų amžiaus vaikams</w:t>
            </w:r>
            <w:r w:rsidR="00FA3252">
              <w:rPr>
                <w:sz w:val="22"/>
                <w:szCs w:val="22"/>
              </w:rPr>
              <w:t xml:space="preserve"> ir paaugliams</w:t>
            </w:r>
            <w:r w:rsidRPr="00452D62">
              <w:rPr>
                <w:sz w:val="22"/>
                <w:szCs w:val="22"/>
              </w:rPr>
              <w:t>, pradėjus standartinį gydymą antikoaguliantais</w:t>
            </w:r>
          </w:p>
        </w:tc>
        <w:tc>
          <w:tcPr>
            <w:tcW w:w="2919" w:type="dxa"/>
            <w:shd w:val="clear" w:color="auto" w:fill="auto"/>
          </w:tcPr>
          <w:p w14:paraId="15721CFF" w14:textId="0ED10925" w:rsidR="003B4641" w:rsidRPr="00452D62" w:rsidRDefault="00294F81" w:rsidP="006453B9">
            <w:pPr>
              <w:rPr>
                <w:sz w:val="22"/>
                <w:szCs w:val="22"/>
              </w:rPr>
            </w:pPr>
            <w:r w:rsidRPr="00452D62">
              <w:rPr>
                <w:sz w:val="22"/>
                <w:szCs w:val="22"/>
              </w:rPr>
              <w:t>39,5</w:t>
            </w:r>
            <w:r w:rsidR="008C3DF7">
              <w:rPr>
                <w:sz w:val="22"/>
                <w:szCs w:val="22"/>
              </w:rPr>
              <w:t> %</w:t>
            </w:r>
            <w:r w:rsidR="003B4641" w:rsidRPr="00452D62">
              <w:rPr>
                <w:sz w:val="22"/>
                <w:szCs w:val="22"/>
              </w:rPr>
              <w:t xml:space="preserve"> pacientų</w:t>
            </w:r>
          </w:p>
        </w:tc>
        <w:tc>
          <w:tcPr>
            <w:tcW w:w="2919" w:type="dxa"/>
            <w:shd w:val="clear" w:color="auto" w:fill="auto"/>
          </w:tcPr>
          <w:p w14:paraId="55CF2D6A" w14:textId="4EF62654" w:rsidR="003B4641" w:rsidRPr="00452D62" w:rsidRDefault="00294F81" w:rsidP="006453B9">
            <w:pPr>
              <w:rPr>
                <w:sz w:val="22"/>
                <w:szCs w:val="22"/>
              </w:rPr>
            </w:pPr>
            <w:r w:rsidRPr="00452D62">
              <w:rPr>
                <w:sz w:val="22"/>
                <w:szCs w:val="22"/>
              </w:rPr>
              <w:t>4,6</w:t>
            </w:r>
            <w:r w:rsidR="008C3DF7">
              <w:rPr>
                <w:sz w:val="22"/>
                <w:szCs w:val="22"/>
              </w:rPr>
              <w:t> %</w:t>
            </w:r>
            <w:r w:rsidR="003B4641" w:rsidRPr="00452D62">
              <w:rPr>
                <w:sz w:val="22"/>
                <w:szCs w:val="22"/>
              </w:rPr>
              <w:t xml:space="preserve"> pacientų</w:t>
            </w:r>
          </w:p>
        </w:tc>
      </w:tr>
      <w:tr w:rsidR="00823785" w:rsidRPr="00452D62" w14:paraId="697FA376" w14:textId="77777777" w:rsidTr="006453B9">
        <w:tc>
          <w:tcPr>
            <w:tcW w:w="2918" w:type="dxa"/>
            <w:shd w:val="clear" w:color="auto" w:fill="auto"/>
          </w:tcPr>
          <w:p w14:paraId="2464EA30" w14:textId="77777777" w:rsidR="00823785" w:rsidRPr="00452D62" w:rsidRDefault="00823785" w:rsidP="006453B9">
            <w:pPr>
              <w:rPr>
                <w:sz w:val="22"/>
                <w:szCs w:val="22"/>
              </w:rPr>
            </w:pPr>
            <w:r w:rsidRPr="00452D62">
              <w:rPr>
                <w:sz w:val="22"/>
                <w:szCs w:val="22"/>
              </w:rPr>
              <w:t>Insulto ir sisteminės embolijos profilaktika pacientams, kuriems yra su vožtuvų liga nesusijęs prieširdžių virpėjimas</w:t>
            </w:r>
          </w:p>
        </w:tc>
        <w:tc>
          <w:tcPr>
            <w:tcW w:w="2919" w:type="dxa"/>
            <w:shd w:val="clear" w:color="auto" w:fill="auto"/>
          </w:tcPr>
          <w:p w14:paraId="4E790B54" w14:textId="77777777" w:rsidR="00823785" w:rsidRPr="00452D62" w:rsidRDefault="00823785" w:rsidP="006453B9">
            <w:pPr>
              <w:rPr>
                <w:sz w:val="22"/>
                <w:szCs w:val="22"/>
              </w:rPr>
            </w:pPr>
            <w:r w:rsidRPr="00452D62">
              <w:rPr>
                <w:sz w:val="22"/>
                <w:szCs w:val="22"/>
              </w:rPr>
              <w:t>28 per 100 paciento metų</w:t>
            </w:r>
          </w:p>
        </w:tc>
        <w:tc>
          <w:tcPr>
            <w:tcW w:w="2919" w:type="dxa"/>
            <w:shd w:val="clear" w:color="auto" w:fill="auto"/>
          </w:tcPr>
          <w:p w14:paraId="14B471D5" w14:textId="77777777" w:rsidR="00823785" w:rsidRPr="00452D62" w:rsidRDefault="00823785" w:rsidP="006453B9">
            <w:pPr>
              <w:rPr>
                <w:sz w:val="22"/>
                <w:szCs w:val="22"/>
              </w:rPr>
            </w:pPr>
            <w:r w:rsidRPr="00452D62">
              <w:rPr>
                <w:sz w:val="22"/>
                <w:szCs w:val="22"/>
              </w:rPr>
              <w:t>2,5 per 100 paciento metų</w:t>
            </w:r>
          </w:p>
        </w:tc>
      </w:tr>
      <w:tr w:rsidR="00823785" w:rsidRPr="00452D62" w14:paraId="2A36802A" w14:textId="77777777" w:rsidTr="006453B9">
        <w:tc>
          <w:tcPr>
            <w:tcW w:w="2918" w:type="dxa"/>
            <w:shd w:val="clear" w:color="auto" w:fill="auto"/>
          </w:tcPr>
          <w:p w14:paraId="60AED0B7" w14:textId="77777777" w:rsidR="00823785" w:rsidRPr="00452D62" w:rsidRDefault="00823785" w:rsidP="006453B9">
            <w:pPr>
              <w:rPr>
                <w:sz w:val="22"/>
                <w:szCs w:val="22"/>
              </w:rPr>
            </w:pPr>
            <w:r w:rsidRPr="00452D62">
              <w:rPr>
                <w:sz w:val="22"/>
                <w:szCs w:val="22"/>
              </w:rPr>
              <w:t>Aterotrombozinių reiškinių profilaktika pacientams, patyrusiems ŪKS</w:t>
            </w:r>
          </w:p>
        </w:tc>
        <w:tc>
          <w:tcPr>
            <w:tcW w:w="2919" w:type="dxa"/>
            <w:shd w:val="clear" w:color="auto" w:fill="auto"/>
          </w:tcPr>
          <w:p w14:paraId="2D89D712" w14:textId="77777777" w:rsidR="00823785" w:rsidRPr="00452D62" w:rsidRDefault="00823785" w:rsidP="006453B9">
            <w:pPr>
              <w:rPr>
                <w:sz w:val="22"/>
                <w:szCs w:val="22"/>
              </w:rPr>
            </w:pPr>
            <w:r w:rsidRPr="00452D62">
              <w:rPr>
                <w:sz w:val="22"/>
                <w:szCs w:val="22"/>
              </w:rPr>
              <w:t>22 per 100 paciento metų</w:t>
            </w:r>
          </w:p>
        </w:tc>
        <w:tc>
          <w:tcPr>
            <w:tcW w:w="2919" w:type="dxa"/>
            <w:shd w:val="clear" w:color="auto" w:fill="auto"/>
          </w:tcPr>
          <w:p w14:paraId="1C0C982C" w14:textId="77777777" w:rsidR="00823785" w:rsidRPr="00452D62" w:rsidRDefault="00823785" w:rsidP="006453B9">
            <w:pPr>
              <w:rPr>
                <w:sz w:val="22"/>
                <w:szCs w:val="22"/>
              </w:rPr>
            </w:pPr>
            <w:r w:rsidRPr="00452D62">
              <w:rPr>
                <w:sz w:val="22"/>
                <w:szCs w:val="22"/>
              </w:rPr>
              <w:t>1,4 per 100 paciento metų</w:t>
            </w:r>
          </w:p>
        </w:tc>
      </w:tr>
      <w:tr w:rsidR="00823785" w:rsidRPr="00452D62" w14:paraId="1BD517CD" w14:textId="77777777" w:rsidTr="00C815AC">
        <w:trPr>
          <w:trHeight w:val="361"/>
        </w:trPr>
        <w:tc>
          <w:tcPr>
            <w:tcW w:w="2918" w:type="dxa"/>
            <w:vMerge w:val="restart"/>
            <w:shd w:val="clear" w:color="auto" w:fill="auto"/>
          </w:tcPr>
          <w:p w14:paraId="07DF9D3C" w14:textId="77777777" w:rsidR="00823785" w:rsidRPr="00452D62" w:rsidRDefault="00823785" w:rsidP="006453B9">
            <w:pPr>
              <w:rPr>
                <w:sz w:val="22"/>
                <w:szCs w:val="22"/>
              </w:rPr>
            </w:pPr>
            <w:r w:rsidRPr="00452D62">
              <w:rPr>
                <w:sz w:val="22"/>
                <w:szCs w:val="22"/>
              </w:rPr>
              <w:t>Aterotrombozinių reiškinių profilaktika pacientams, sergantiems VAL arba PAL</w:t>
            </w:r>
          </w:p>
        </w:tc>
        <w:tc>
          <w:tcPr>
            <w:tcW w:w="2919" w:type="dxa"/>
            <w:shd w:val="clear" w:color="auto" w:fill="auto"/>
          </w:tcPr>
          <w:p w14:paraId="289FAF56" w14:textId="77777777" w:rsidR="00823785" w:rsidRPr="00452D62" w:rsidRDefault="00823785" w:rsidP="006453B9">
            <w:pPr>
              <w:rPr>
                <w:sz w:val="22"/>
                <w:szCs w:val="22"/>
              </w:rPr>
            </w:pPr>
            <w:r w:rsidRPr="00452D62">
              <w:rPr>
                <w:sz w:val="22"/>
                <w:szCs w:val="22"/>
              </w:rPr>
              <w:t>6,7 per 100 paciento metų</w:t>
            </w:r>
          </w:p>
        </w:tc>
        <w:tc>
          <w:tcPr>
            <w:tcW w:w="2919" w:type="dxa"/>
            <w:shd w:val="clear" w:color="auto" w:fill="auto"/>
          </w:tcPr>
          <w:p w14:paraId="111633FC" w14:textId="77777777" w:rsidR="00823785" w:rsidRPr="00452D62" w:rsidRDefault="00823785" w:rsidP="006453B9">
            <w:pPr>
              <w:rPr>
                <w:sz w:val="22"/>
                <w:szCs w:val="22"/>
              </w:rPr>
            </w:pPr>
            <w:r w:rsidRPr="00452D62">
              <w:rPr>
                <w:sz w:val="22"/>
                <w:szCs w:val="22"/>
              </w:rPr>
              <w:t>0,15 per 100 paciento metų**</w:t>
            </w:r>
          </w:p>
        </w:tc>
      </w:tr>
      <w:tr w:rsidR="00823785" w:rsidRPr="00452D62" w14:paraId="474D8288" w14:textId="77777777" w:rsidTr="006453B9">
        <w:tc>
          <w:tcPr>
            <w:tcW w:w="2918" w:type="dxa"/>
            <w:vMerge/>
            <w:shd w:val="clear" w:color="auto" w:fill="auto"/>
          </w:tcPr>
          <w:p w14:paraId="58FED15D" w14:textId="77777777" w:rsidR="00823785" w:rsidRPr="00452D62" w:rsidRDefault="00823785" w:rsidP="006453B9">
            <w:pPr>
              <w:rPr>
                <w:sz w:val="22"/>
                <w:szCs w:val="22"/>
              </w:rPr>
            </w:pPr>
          </w:p>
        </w:tc>
        <w:tc>
          <w:tcPr>
            <w:tcW w:w="2919" w:type="dxa"/>
            <w:shd w:val="clear" w:color="auto" w:fill="auto"/>
          </w:tcPr>
          <w:p w14:paraId="42B2B7F9" w14:textId="77777777" w:rsidR="00823785" w:rsidRPr="00452D62" w:rsidRDefault="00823785" w:rsidP="006453B9">
            <w:pPr>
              <w:rPr>
                <w:sz w:val="22"/>
                <w:szCs w:val="22"/>
              </w:rPr>
            </w:pPr>
            <w:r w:rsidRPr="00452D62">
              <w:rPr>
                <w:sz w:val="22"/>
                <w:szCs w:val="22"/>
              </w:rPr>
              <w:t>8,38 per 100 paciento metų</w:t>
            </w:r>
            <w:r w:rsidRPr="00452D62">
              <w:rPr>
                <w:sz w:val="22"/>
                <w:szCs w:val="22"/>
                <w:lang w:val="en-US"/>
              </w:rPr>
              <w:t>#</w:t>
            </w:r>
          </w:p>
        </w:tc>
        <w:tc>
          <w:tcPr>
            <w:tcW w:w="2919" w:type="dxa"/>
            <w:shd w:val="clear" w:color="auto" w:fill="auto"/>
          </w:tcPr>
          <w:p w14:paraId="5D48A778" w14:textId="77777777" w:rsidR="00823785" w:rsidRPr="00452D62" w:rsidRDefault="00823785" w:rsidP="006453B9">
            <w:pPr>
              <w:rPr>
                <w:sz w:val="22"/>
                <w:szCs w:val="22"/>
              </w:rPr>
            </w:pPr>
            <w:r w:rsidRPr="00452D62">
              <w:rPr>
                <w:sz w:val="22"/>
                <w:szCs w:val="22"/>
              </w:rPr>
              <w:t>0,74 per 100 paciento metų***</w:t>
            </w:r>
            <w:r w:rsidRPr="00452D62">
              <w:rPr>
                <w:sz w:val="22"/>
                <w:szCs w:val="22"/>
                <w:lang w:val="en-US"/>
              </w:rPr>
              <w:t>#</w:t>
            </w:r>
          </w:p>
        </w:tc>
      </w:tr>
    </w:tbl>
    <w:p w14:paraId="03957061" w14:textId="77777777" w:rsidR="00823785" w:rsidRPr="00452D62" w:rsidRDefault="00823785" w:rsidP="00823785">
      <w:pPr>
        <w:ind w:left="142" w:hanging="142"/>
        <w:rPr>
          <w:sz w:val="22"/>
          <w:szCs w:val="22"/>
        </w:rPr>
      </w:pPr>
      <w:r w:rsidRPr="00452D62">
        <w:rPr>
          <w:sz w:val="22"/>
          <w:szCs w:val="22"/>
        </w:rPr>
        <w:t>*Surinkti, pranešti ir įvertinti duomenys apie visus kraujavimo reiškinius, nustatytus visų rivaroksabano tyrimų metu.</w:t>
      </w:r>
    </w:p>
    <w:p w14:paraId="1704EBF8" w14:textId="77777777" w:rsidR="00823785" w:rsidRPr="00452D62" w:rsidRDefault="00823785" w:rsidP="00823785">
      <w:pPr>
        <w:ind w:left="142" w:hanging="142"/>
        <w:rPr>
          <w:sz w:val="22"/>
          <w:szCs w:val="22"/>
        </w:rPr>
      </w:pPr>
      <w:r w:rsidRPr="00452D62">
        <w:rPr>
          <w:sz w:val="22"/>
          <w:szCs w:val="22"/>
        </w:rPr>
        <w:t>**Tyrimo COMPASS metu, taikant selektyvų nepageidaujamų reiškinių duomenų rinkimo metodą, nustatytas mažas anemijos dažnis.</w:t>
      </w:r>
    </w:p>
    <w:p w14:paraId="32DD3B72" w14:textId="77777777" w:rsidR="00823785" w:rsidRPr="00452D62" w:rsidRDefault="00823785" w:rsidP="00823785">
      <w:pPr>
        <w:ind w:left="142" w:hanging="142"/>
        <w:rPr>
          <w:sz w:val="22"/>
          <w:szCs w:val="22"/>
        </w:rPr>
      </w:pPr>
      <w:r w:rsidRPr="00452D62">
        <w:rPr>
          <w:sz w:val="22"/>
          <w:szCs w:val="22"/>
        </w:rPr>
        <w:t>***Buvo taikomas selektyvus nepageidaujamų reiškinių duomenų rinkimo metodas.</w:t>
      </w:r>
    </w:p>
    <w:p w14:paraId="6C3E60A6" w14:textId="77777777" w:rsidR="00823785" w:rsidRPr="00452D62" w:rsidRDefault="00823785" w:rsidP="00823785">
      <w:pPr>
        <w:ind w:left="142" w:hanging="142"/>
        <w:rPr>
          <w:sz w:val="22"/>
          <w:szCs w:val="22"/>
        </w:rPr>
      </w:pPr>
      <w:r w:rsidRPr="00452D62">
        <w:rPr>
          <w:sz w:val="22"/>
          <w:szCs w:val="22"/>
        </w:rPr>
        <w:t># Tyrimo VOYAGER PAD duomenys.</w:t>
      </w:r>
    </w:p>
    <w:p w14:paraId="300EB126" w14:textId="77777777" w:rsidR="00823785" w:rsidRPr="00452D62" w:rsidRDefault="00823785" w:rsidP="00823785">
      <w:pPr>
        <w:ind w:left="142" w:hanging="142"/>
        <w:rPr>
          <w:sz w:val="22"/>
          <w:szCs w:val="22"/>
        </w:rPr>
      </w:pPr>
    </w:p>
    <w:p w14:paraId="3EAEC78F" w14:textId="77777777" w:rsidR="00823785" w:rsidRPr="00452D62" w:rsidRDefault="00823785" w:rsidP="00823785">
      <w:pPr>
        <w:rPr>
          <w:sz w:val="22"/>
          <w:szCs w:val="22"/>
        </w:rPr>
      </w:pPr>
      <w:r w:rsidRPr="00452D62">
        <w:rPr>
          <w:sz w:val="22"/>
          <w:szCs w:val="22"/>
          <w:u w:val="single"/>
        </w:rPr>
        <w:t>Nepageidaujamų reakcijų santrauka lentelėje</w:t>
      </w:r>
    </w:p>
    <w:p w14:paraId="522AA119" w14:textId="1A1234D0" w:rsidR="00823785" w:rsidRPr="00452D62" w:rsidRDefault="00823785" w:rsidP="00823785">
      <w:pPr>
        <w:rPr>
          <w:sz w:val="22"/>
          <w:szCs w:val="22"/>
        </w:rPr>
      </w:pPr>
      <w:r w:rsidRPr="00452D62">
        <w:rPr>
          <w:sz w:val="22"/>
          <w:szCs w:val="22"/>
        </w:rPr>
        <w:t xml:space="preserve">Rivaroksabano vartojimo metu suaugusiems </w:t>
      </w:r>
      <w:r w:rsidR="003B23C6" w:rsidRPr="00452D62">
        <w:rPr>
          <w:sz w:val="22"/>
          <w:szCs w:val="22"/>
        </w:rPr>
        <w:t xml:space="preserve">ir vaikams </w:t>
      </w:r>
      <w:r w:rsidRPr="00452D62">
        <w:rPr>
          <w:sz w:val="22"/>
          <w:szCs w:val="22"/>
        </w:rPr>
        <w:t>nustatytas nepageidaujamų reakcijų dažnis apibendrintas pagal organų sistemų klases (naudojant MedDRA terminologiją) ir dažnį toliau pateiktoje 3 lentelėje.</w:t>
      </w:r>
    </w:p>
    <w:p w14:paraId="4873285A" w14:textId="77777777" w:rsidR="00823785" w:rsidRPr="00452D62" w:rsidRDefault="00823785" w:rsidP="00823785">
      <w:pPr>
        <w:rPr>
          <w:sz w:val="22"/>
          <w:szCs w:val="22"/>
        </w:rPr>
      </w:pPr>
    </w:p>
    <w:p w14:paraId="04DFF099" w14:textId="77777777" w:rsidR="00823785" w:rsidRPr="00452D62" w:rsidRDefault="00823785" w:rsidP="00823785">
      <w:pPr>
        <w:rPr>
          <w:sz w:val="22"/>
          <w:szCs w:val="22"/>
        </w:rPr>
      </w:pPr>
      <w:r w:rsidRPr="00452D62">
        <w:rPr>
          <w:sz w:val="22"/>
          <w:szCs w:val="22"/>
        </w:rPr>
        <w:t>Nepageidaujamo poveikio dažnis apibūdinamas taip: labai dažnas (≥ 1/10), dažnas (nuo ≥ 1/100 iki &lt; 1/10), nedažnas (nuo ≥ 1/1 000 iki &lt; 1/100), retas (nuo ≥ 1/10 000 iki &lt; 1/1 000), labai retas (&lt; 1/10 000) ir nežinomas (negali būti apskaičiuotas pagal turimus duomenis).</w:t>
      </w:r>
    </w:p>
    <w:p w14:paraId="1E1DC047" w14:textId="77777777" w:rsidR="00823785" w:rsidRPr="00452D62" w:rsidRDefault="00823785" w:rsidP="00823785">
      <w:pPr>
        <w:rPr>
          <w:sz w:val="22"/>
          <w:szCs w:val="22"/>
        </w:rPr>
      </w:pPr>
    </w:p>
    <w:p w14:paraId="76661B16" w14:textId="67588F38" w:rsidR="00823785" w:rsidRPr="00452D62" w:rsidRDefault="00823785" w:rsidP="00823785">
      <w:pPr>
        <w:rPr>
          <w:sz w:val="22"/>
          <w:szCs w:val="22"/>
        </w:rPr>
      </w:pPr>
      <w:r w:rsidRPr="00452D62">
        <w:rPr>
          <w:b/>
          <w:sz w:val="22"/>
          <w:szCs w:val="22"/>
        </w:rPr>
        <w:t>3 lentelė. Visos nepageidaujamos reakcijos, apie kurias pranešta suaugusiems pacientams III fazės tyrimuose</w:t>
      </w:r>
      <w:r w:rsidRPr="00AE1B80">
        <w:rPr>
          <w:sz w:val="22"/>
          <w:szCs w:val="22"/>
        </w:rPr>
        <w:t xml:space="preserve"> </w:t>
      </w:r>
      <w:r w:rsidRPr="00452D62">
        <w:rPr>
          <w:b/>
          <w:sz w:val="22"/>
          <w:szCs w:val="22"/>
        </w:rPr>
        <w:t>arba po vaistinio preparato pateikimo į rinką*</w:t>
      </w:r>
      <w:r w:rsidR="00A13F9F" w:rsidRPr="00452D62">
        <w:rPr>
          <w:b/>
          <w:sz w:val="22"/>
          <w:szCs w:val="22"/>
        </w:rPr>
        <w:t>ir vaikams dviejuose II fazės tyrimuose bei dviejuose III fazės tyrimuose</w:t>
      </w:r>
    </w:p>
    <w:tbl>
      <w:tblPr>
        <w:tblW w:w="9322" w:type="dxa"/>
        <w:tblLayout w:type="fixed"/>
        <w:tblLook w:val="0000" w:firstRow="0" w:lastRow="0" w:firstColumn="0" w:lastColumn="0" w:noHBand="0" w:noVBand="0"/>
      </w:tblPr>
      <w:tblGrid>
        <w:gridCol w:w="1809"/>
        <w:gridCol w:w="2268"/>
        <w:gridCol w:w="2127"/>
        <w:gridCol w:w="1559"/>
        <w:gridCol w:w="1559"/>
      </w:tblGrid>
      <w:tr w:rsidR="00823785" w:rsidRPr="00452D62" w14:paraId="4D525D1A" w14:textId="77777777" w:rsidTr="006453B9">
        <w:trPr>
          <w:tblHeader/>
        </w:trPr>
        <w:tc>
          <w:tcPr>
            <w:tcW w:w="1809" w:type="dxa"/>
            <w:tcBorders>
              <w:top w:val="single" w:sz="4" w:space="0" w:color="000000"/>
              <w:left w:val="single" w:sz="4" w:space="0" w:color="000000"/>
              <w:bottom w:val="single" w:sz="4" w:space="0" w:color="000000"/>
              <w:right w:val="single" w:sz="4" w:space="0" w:color="000000"/>
            </w:tcBorders>
            <w:shd w:val="clear" w:color="auto" w:fill="BFBFBF"/>
          </w:tcPr>
          <w:p w14:paraId="462A1D25" w14:textId="77777777" w:rsidR="00823785" w:rsidRPr="00452D62" w:rsidRDefault="00823785" w:rsidP="006453B9">
            <w:pPr>
              <w:rPr>
                <w:b/>
                <w:sz w:val="22"/>
                <w:szCs w:val="22"/>
              </w:rPr>
            </w:pPr>
            <w:r w:rsidRPr="00452D62">
              <w:rPr>
                <w:b/>
                <w:sz w:val="22"/>
                <w:szCs w:val="22"/>
              </w:rPr>
              <w:t>Dažnas</w:t>
            </w:r>
          </w:p>
        </w:tc>
        <w:tc>
          <w:tcPr>
            <w:tcW w:w="2268" w:type="dxa"/>
            <w:tcBorders>
              <w:top w:val="single" w:sz="4" w:space="0" w:color="000000"/>
              <w:left w:val="single" w:sz="4" w:space="0" w:color="000000"/>
              <w:bottom w:val="single" w:sz="4" w:space="0" w:color="000000"/>
              <w:right w:val="single" w:sz="4" w:space="0" w:color="000000"/>
            </w:tcBorders>
            <w:shd w:val="clear" w:color="auto" w:fill="BFBFBF"/>
          </w:tcPr>
          <w:p w14:paraId="58ACDB8C" w14:textId="77777777" w:rsidR="00823785" w:rsidRPr="00452D62" w:rsidRDefault="00823785" w:rsidP="006453B9">
            <w:pPr>
              <w:rPr>
                <w:b/>
                <w:sz w:val="22"/>
                <w:szCs w:val="22"/>
              </w:rPr>
            </w:pPr>
            <w:r w:rsidRPr="00452D62">
              <w:rPr>
                <w:b/>
                <w:sz w:val="22"/>
                <w:szCs w:val="22"/>
              </w:rPr>
              <w:t>Nedažnas</w:t>
            </w:r>
          </w:p>
        </w:tc>
        <w:tc>
          <w:tcPr>
            <w:tcW w:w="2127" w:type="dxa"/>
            <w:tcBorders>
              <w:top w:val="single" w:sz="4" w:space="0" w:color="000000"/>
              <w:left w:val="single" w:sz="4" w:space="0" w:color="000000"/>
              <w:bottom w:val="single" w:sz="4" w:space="0" w:color="000000"/>
              <w:right w:val="single" w:sz="4" w:space="0" w:color="000000"/>
            </w:tcBorders>
            <w:shd w:val="clear" w:color="auto" w:fill="BFBFBF"/>
          </w:tcPr>
          <w:p w14:paraId="7A6F7228" w14:textId="77777777" w:rsidR="00823785" w:rsidRPr="00452D62" w:rsidRDefault="00823785" w:rsidP="006453B9">
            <w:pPr>
              <w:rPr>
                <w:b/>
                <w:sz w:val="22"/>
                <w:szCs w:val="22"/>
              </w:rPr>
            </w:pPr>
            <w:r w:rsidRPr="00452D62">
              <w:rPr>
                <w:b/>
                <w:sz w:val="22"/>
                <w:szCs w:val="22"/>
              </w:rPr>
              <w:t>Retas</w:t>
            </w:r>
          </w:p>
        </w:tc>
        <w:tc>
          <w:tcPr>
            <w:tcW w:w="1559" w:type="dxa"/>
            <w:tcBorders>
              <w:top w:val="single" w:sz="4" w:space="0" w:color="000000"/>
              <w:left w:val="single" w:sz="4" w:space="0" w:color="000000"/>
              <w:bottom w:val="single" w:sz="4" w:space="0" w:color="000000"/>
              <w:right w:val="single" w:sz="4" w:space="0" w:color="000000"/>
            </w:tcBorders>
            <w:shd w:val="clear" w:color="auto" w:fill="BFBFBF"/>
          </w:tcPr>
          <w:p w14:paraId="207B62BE" w14:textId="77777777" w:rsidR="00823785" w:rsidRPr="00452D62" w:rsidRDefault="00823785" w:rsidP="006453B9">
            <w:pPr>
              <w:rPr>
                <w:b/>
                <w:sz w:val="22"/>
                <w:szCs w:val="22"/>
              </w:rPr>
            </w:pPr>
            <w:r w:rsidRPr="00452D62">
              <w:rPr>
                <w:b/>
                <w:sz w:val="22"/>
                <w:szCs w:val="22"/>
              </w:rPr>
              <w:t>Labai retas</w:t>
            </w:r>
          </w:p>
        </w:tc>
        <w:tc>
          <w:tcPr>
            <w:tcW w:w="1559" w:type="dxa"/>
            <w:tcBorders>
              <w:top w:val="single" w:sz="4" w:space="0" w:color="000000"/>
              <w:left w:val="single" w:sz="4" w:space="0" w:color="000000"/>
              <w:bottom w:val="single" w:sz="4" w:space="0" w:color="000000"/>
              <w:right w:val="single" w:sz="4" w:space="0" w:color="000000"/>
            </w:tcBorders>
            <w:shd w:val="clear" w:color="auto" w:fill="BFBFBF"/>
          </w:tcPr>
          <w:p w14:paraId="3887D064" w14:textId="77777777" w:rsidR="00823785" w:rsidRPr="00452D62" w:rsidRDefault="00823785" w:rsidP="006453B9">
            <w:pPr>
              <w:rPr>
                <w:sz w:val="22"/>
                <w:szCs w:val="22"/>
              </w:rPr>
            </w:pPr>
            <w:r w:rsidRPr="00452D62">
              <w:rPr>
                <w:b/>
                <w:sz w:val="22"/>
                <w:szCs w:val="22"/>
              </w:rPr>
              <w:t>Dažnis nežinomas</w:t>
            </w:r>
          </w:p>
        </w:tc>
      </w:tr>
      <w:tr w:rsidR="00823785" w:rsidRPr="00452D62" w14:paraId="52C176DD"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6BCA80F0" w14:textId="77777777" w:rsidR="00823785" w:rsidRPr="00452D62" w:rsidRDefault="00823785" w:rsidP="006453B9">
            <w:pPr>
              <w:rPr>
                <w:b/>
                <w:bCs/>
                <w:sz w:val="22"/>
                <w:szCs w:val="22"/>
              </w:rPr>
            </w:pPr>
            <w:r w:rsidRPr="00452D62">
              <w:rPr>
                <w:b/>
                <w:bCs/>
                <w:sz w:val="22"/>
                <w:szCs w:val="22"/>
              </w:rPr>
              <w:t>Kraujo ir limfinės sistemos sutrikimai</w:t>
            </w:r>
          </w:p>
        </w:tc>
      </w:tr>
      <w:tr w:rsidR="00823785" w:rsidRPr="00452D62" w14:paraId="00391A27"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62F9E9E7" w14:textId="77777777" w:rsidR="00823785" w:rsidRPr="00452D62" w:rsidRDefault="00823785" w:rsidP="006453B9">
            <w:pPr>
              <w:rPr>
                <w:sz w:val="22"/>
                <w:szCs w:val="22"/>
              </w:rPr>
            </w:pPr>
            <w:r w:rsidRPr="00452D62">
              <w:rPr>
                <w:sz w:val="22"/>
                <w:szCs w:val="22"/>
              </w:rPr>
              <w:t>Anemija (įskaitant atitinkamus laboratorinius parametrus)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288F3928" w14:textId="77777777" w:rsidR="00823785" w:rsidRPr="00452D62" w:rsidRDefault="00823785" w:rsidP="006453B9">
            <w:pPr>
              <w:rPr>
                <w:sz w:val="22"/>
                <w:szCs w:val="22"/>
              </w:rPr>
            </w:pPr>
            <w:r w:rsidRPr="00452D62">
              <w:rPr>
                <w:sz w:val="22"/>
                <w:szCs w:val="22"/>
              </w:rPr>
              <w:t>Trombocitozė (įskaitant padidėjusį trombocitų kiekį)</w:t>
            </w:r>
            <w:r w:rsidRPr="00452D62">
              <w:rPr>
                <w:sz w:val="22"/>
                <w:szCs w:val="22"/>
                <w:vertAlign w:val="superscript"/>
              </w:rPr>
              <w:t>A</w:t>
            </w:r>
            <w:r w:rsidRPr="00452D62">
              <w:rPr>
                <w:sz w:val="22"/>
                <w:szCs w:val="22"/>
              </w:rPr>
              <w:t>,</w:t>
            </w:r>
          </w:p>
          <w:p w14:paraId="19907F23" w14:textId="77777777" w:rsidR="00823785" w:rsidRPr="00452D62" w:rsidRDefault="00823785" w:rsidP="006453B9">
            <w:pPr>
              <w:rPr>
                <w:sz w:val="22"/>
                <w:szCs w:val="22"/>
              </w:rPr>
            </w:pPr>
            <w:r w:rsidRPr="00452D62">
              <w:rPr>
                <w:sz w:val="22"/>
                <w:szCs w:val="22"/>
              </w:rPr>
              <w:t>trombocitopenija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576A1FC1"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1D51183D"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4B1BAFEE" w14:textId="77777777" w:rsidR="00823785" w:rsidRPr="00452D62" w:rsidRDefault="00823785" w:rsidP="006453B9">
            <w:pPr>
              <w:rPr>
                <w:sz w:val="22"/>
                <w:szCs w:val="22"/>
              </w:rPr>
            </w:pPr>
          </w:p>
        </w:tc>
      </w:tr>
      <w:tr w:rsidR="00823785" w:rsidRPr="00452D62" w14:paraId="6AC2692D"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29ACF1BB" w14:textId="77777777" w:rsidR="00823785" w:rsidRPr="00452D62" w:rsidRDefault="00823785" w:rsidP="006453B9">
            <w:pPr>
              <w:rPr>
                <w:b/>
                <w:sz w:val="22"/>
                <w:szCs w:val="22"/>
              </w:rPr>
            </w:pPr>
            <w:r w:rsidRPr="00452D62">
              <w:rPr>
                <w:b/>
                <w:sz w:val="22"/>
                <w:szCs w:val="22"/>
              </w:rPr>
              <w:t>Imuninės sistemos sutrikimai</w:t>
            </w:r>
          </w:p>
        </w:tc>
      </w:tr>
      <w:tr w:rsidR="00823785" w:rsidRPr="00452D62" w14:paraId="14DCAE35"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3F49CE32" w14:textId="77777777" w:rsidR="00823785" w:rsidRPr="00452D62" w:rsidRDefault="00823785" w:rsidP="006453B9">
            <w:pPr>
              <w:rPr>
                <w:sz w:val="22"/>
                <w:szCs w:val="22"/>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0D782EC1" w14:textId="77777777" w:rsidR="00823785" w:rsidRPr="00452D62" w:rsidRDefault="00823785" w:rsidP="006453B9">
            <w:pPr>
              <w:rPr>
                <w:sz w:val="22"/>
                <w:szCs w:val="22"/>
              </w:rPr>
            </w:pPr>
            <w:r w:rsidRPr="00452D62">
              <w:rPr>
                <w:sz w:val="22"/>
                <w:szCs w:val="22"/>
              </w:rPr>
              <w:t>Alerginė reakcija, alerginis dermatitas, angioneurozinė edema ir alerginė edema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56A66CBE"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49A68B91" w14:textId="77777777" w:rsidR="00823785" w:rsidRPr="00452D62" w:rsidRDefault="00823785" w:rsidP="006453B9">
            <w:pPr>
              <w:rPr>
                <w:sz w:val="22"/>
                <w:szCs w:val="22"/>
              </w:rPr>
            </w:pPr>
            <w:r w:rsidRPr="00452D62">
              <w:rPr>
                <w:sz w:val="22"/>
                <w:szCs w:val="22"/>
              </w:rPr>
              <w:t>Anafilaksinės reakcijos, įskaitant anafilaksinį šoką</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15450BA6" w14:textId="77777777" w:rsidR="00823785" w:rsidRPr="00452D62" w:rsidRDefault="00823785" w:rsidP="006453B9">
            <w:pPr>
              <w:rPr>
                <w:sz w:val="22"/>
                <w:szCs w:val="22"/>
              </w:rPr>
            </w:pPr>
          </w:p>
        </w:tc>
      </w:tr>
      <w:tr w:rsidR="00823785" w:rsidRPr="00452D62" w14:paraId="2344D7E4"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7113E4FE" w14:textId="77777777" w:rsidR="00823785" w:rsidRPr="00452D62" w:rsidRDefault="00823785" w:rsidP="006453B9">
            <w:pPr>
              <w:rPr>
                <w:b/>
                <w:sz w:val="22"/>
                <w:szCs w:val="22"/>
              </w:rPr>
            </w:pPr>
            <w:r w:rsidRPr="00452D62">
              <w:rPr>
                <w:b/>
                <w:sz w:val="22"/>
                <w:szCs w:val="22"/>
              </w:rPr>
              <w:t>Nervų sistemos sutrikimai</w:t>
            </w:r>
          </w:p>
        </w:tc>
      </w:tr>
      <w:tr w:rsidR="00823785" w:rsidRPr="00452D62" w14:paraId="055AA11F"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231B03CC" w14:textId="77777777" w:rsidR="00823785" w:rsidRPr="00452D62" w:rsidRDefault="00823785" w:rsidP="006453B9">
            <w:pPr>
              <w:rPr>
                <w:sz w:val="22"/>
                <w:szCs w:val="22"/>
              </w:rPr>
            </w:pPr>
            <w:r w:rsidRPr="00452D62">
              <w:rPr>
                <w:sz w:val="22"/>
                <w:szCs w:val="22"/>
              </w:rPr>
              <w:t>Svaigulys, galvos skausmas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5E6D64E7" w14:textId="77777777" w:rsidR="00823785" w:rsidRPr="00452D62" w:rsidRDefault="00823785" w:rsidP="006453B9">
            <w:pPr>
              <w:rPr>
                <w:sz w:val="22"/>
                <w:szCs w:val="22"/>
              </w:rPr>
            </w:pPr>
            <w:r w:rsidRPr="00452D62">
              <w:rPr>
                <w:sz w:val="22"/>
                <w:szCs w:val="22"/>
              </w:rPr>
              <w:t>Intracerebrinis ir intrakranijinis kraujavimas, apalpimas</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25C4C9D0"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97EE684"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645E0109" w14:textId="77777777" w:rsidR="00823785" w:rsidRPr="00452D62" w:rsidRDefault="00823785" w:rsidP="006453B9">
            <w:pPr>
              <w:rPr>
                <w:sz w:val="22"/>
                <w:szCs w:val="22"/>
              </w:rPr>
            </w:pPr>
          </w:p>
        </w:tc>
      </w:tr>
      <w:tr w:rsidR="00823785" w:rsidRPr="00452D62" w14:paraId="3FA8440A"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00E3D67E" w14:textId="77777777" w:rsidR="00823785" w:rsidRPr="00452D62" w:rsidRDefault="00823785" w:rsidP="006453B9">
            <w:pPr>
              <w:rPr>
                <w:b/>
                <w:sz w:val="22"/>
                <w:szCs w:val="22"/>
              </w:rPr>
            </w:pPr>
            <w:r w:rsidRPr="00452D62">
              <w:rPr>
                <w:b/>
                <w:sz w:val="22"/>
                <w:szCs w:val="22"/>
              </w:rPr>
              <w:t>Akių sutrikimai</w:t>
            </w:r>
          </w:p>
        </w:tc>
      </w:tr>
      <w:tr w:rsidR="00823785" w:rsidRPr="00452D62" w14:paraId="458CBDBF"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35470A2D" w14:textId="77777777" w:rsidR="00823785" w:rsidRPr="00452D62" w:rsidRDefault="00823785" w:rsidP="006453B9">
            <w:pPr>
              <w:rPr>
                <w:sz w:val="22"/>
                <w:szCs w:val="22"/>
              </w:rPr>
            </w:pPr>
            <w:r w:rsidRPr="00452D62">
              <w:rPr>
                <w:sz w:val="22"/>
                <w:szCs w:val="22"/>
              </w:rPr>
              <w:t>Akies kraujavimas (įskaitant junginės kraujavimą)</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015E3DCA" w14:textId="77777777" w:rsidR="00823785" w:rsidRPr="00452D62" w:rsidRDefault="00823785" w:rsidP="006453B9">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17750EE8"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0C98752"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4E58F3C5" w14:textId="77777777" w:rsidR="00823785" w:rsidRPr="00452D62" w:rsidRDefault="00823785" w:rsidP="006453B9">
            <w:pPr>
              <w:rPr>
                <w:sz w:val="22"/>
                <w:szCs w:val="22"/>
              </w:rPr>
            </w:pPr>
          </w:p>
        </w:tc>
      </w:tr>
      <w:tr w:rsidR="00823785" w:rsidRPr="00452D62" w14:paraId="281D119F"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435828AB" w14:textId="77777777" w:rsidR="00823785" w:rsidRPr="00452D62" w:rsidRDefault="00823785" w:rsidP="006453B9">
            <w:pPr>
              <w:rPr>
                <w:b/>
                <w:sz w:val="22"/>
                <w:szCs w:val="22"/>
              </w:rPr>
            </w:pPr>
            <w:r w:rsidRPr="00452D62">
              <w:rPr>
                <w:b/>
                <w:sz w:val="22"/>
                <w:szCs w:val="22"/>
              </w:rPr>
              <w:t>Širdies sutrikimai</w:t>
            </w:r>
          </w:p>
        </w:tc>
      </w:tr>
      <w:tr w:rsidR="00823785" w:rsidRPr="00452D62" w14:paraId="379799F5"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7E39D102" w14:textId="77777777" w:rsidR="00823785" w:rsidRPr="00452D62" w:rsidRDefault="00823785" w:rsidP="006453B9">
            <w:pPr>
              <w:rPr>
                <w:sz w:val="22"/>
                <w:szCs w:val="22"/>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0B14282D" w14:textId="77777777" w:rsidR="00823785" w:rsidRPr="00452D62" w:rsidRDefault="00823785" w:rsidP="006453B9">
            <w:pPr>
              <w:rPr>
                <w:sz w:val="22"/>
                <w:szCs w:val="22"/>
              </w:rPr>
            </w:pPr>
            <w:r w:rsidRPr="00452D62">
              <w:rPr>
                <w:sz w:val="22"/>
                <w:szCs w:val="22"/>
              </w:rPr>
              <w:t>Tachikardija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1F55EFEF"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3EE27665"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10E4E0FA" w14:textId="77777777" w:rsidR="00823785" w:rsidRPr="00452D62" w:rsidRDefault="00823785" w:rsidP="006453B9">
            <w:pPr>
              <w:rPr>
                <w:sz w:val="22"/>
                <w:szCs w:val="22"/>
              </w:rPr>
            </w:pPr>
          </w:p>
        </w:tc>
      </w:tr>
      <w:tr w:rsidR="00823785" w:rsidRPr="00452D62" w14:paraId="0F1AB1B3"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4DFA1C40" w14:textId="77777777" w:rsidR="00823785" w:rsidRPr="00452D62" w:rsidRDefault="00823785" w:rsidP="006453B9">
            <w:pPr>
              <w:rPr>
                <w:sz w:val="22"/>
                <w:szCs w:val="22"/>
              </w:rPr>
            </w:pPr>
            <w:r w:rsidRPr="00452D62">
              <w:rPr>
                <w:b/>
                <w:sz w:val="22"/>
                <w:szCs w:val="22"/>
              </w:rPr>
              <w:t>Kraujagyslių sutrikimai</w:t>
            </w:r>
          </w:p>
        </w:tc>
      </w:tr>
      <w:tr w:rsidR="00823785" w:rsidRPr="00452D62" w14:paraId="2D3C3B5A"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0E1FC977" w14:textId="77777777" w:rsidR="00823785" w:rsidRPr="00452D62" w:rsidRDefault="00823785" w:rsidP="006453B9">
            <w:pPr>
              <w:rPr>
                <w:sz w:val="22"/>
                <w:szCs w:val="22"/>
              </w:rPr>
            </w:pPr>
            <w:r w:rsidRPr="00452D62">
              <w:rPr>
                <w:sz w:val="22"/>
                <w:szCs w:val="22"/>
              </w:rPr>
              <w:t>Hipotenzija,</w:t>
            </w:r>
          </w:p>
          <w:p w14:paraId="74809EDD" w14:textId="77777777" w:rsidR="00823785" w:rsidRPr="00452D62" w:rsidRDefault="00823785" w:rsidP="006453B9">
            <w:pPr>
              <w:rPr>
                <w:sz w:val="22"/>
                <w:szCs w:val="22"/>
              </w:rPr>
            </w:pPr>
            <w:r w:rsidRPr="00452D62">
              <w:rPr>
                <w:sz w:val="22"/>
                <w:szCs w:val="22"/>
              </w:rPr>
              <w:t>hematoma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055B6CD0" w14:textId="77777777" w:rsidR="00823785" w:rsidRPr="00452D62" w:rsidRDefault="00823785" w:rsidP="006453B9">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1F6A2A07"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46DB0670"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B92E3DB" w14:textId="77777777" w:rsidR="00823785" w:rsidRPr="00452D62" w:rsidRDefault="00823785" w:rsidP="006453B9">
            <w:pPr>
              <w:rPr>
                <w:sz w:val="22"/>
                <w:szCs w:val="22"/>
              </w:rPr>
            </w:pPr>
          </w:p>
        </w:tc>
      </w:tr>
      <w:tr w:rsidR="00823785" w:rsidRPr="00452D62" w14:paraId="59229A8D"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7ABDA9A8" w14:textId="77777777" w:rsidR="00823785" w:rsidRPr="00452D62" w:rsidRDefault="00823785" w:rsidP="006453B9">
            <w:pPr>
              <w:rPr>
                <w:sz w:val="22"/>
                <w:szCs w:val="22"/>
              </w:rPr>
            </w:pPr>
            <w:r w:rsidRPr="00452D62">
              <w:rPr>
                <w:b/>
                <w:bCs/>
                <w:sz w:val="22"/>
                <w:szCs w:val="22"/>
              </w:rPr>
              <w:t xml:space="preserve">Kvėpavimo sistemos, krūtinės ląstos ir tarpuplaučio sutrikimai </w:t>
            </w:r>
          </w:p>
        </w:tc>
      </w:tr>
      <w:tr w:rsidR="00823785" w:rsidRPr="00452D62" w14:paraId="1D4250F5"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1F8FEB44" w14:textId="77777777" w:rsidR="00823785" w:rsidRPr="00452D62" w:rsidRDefault="00823785" w:rsidP="006453B9">
            <w:pPr>
              <w:rPr>
                <w:sz w:val="22"/>
                <w:szCs w:val="22"/>
              </w:rPr>
            </w:pPr>
            <w:r w:rsidRPr="00452D62">
              <w:rPr>
                <w:sz w:val="22"/>
                <w:szCs w:val="22"/>
              </w:rPr>
              <w:t>Kraujavimas iš nosies, atsikosėjimas krauju</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6F415396" w14:textId="77777777" w:rsidR="00823785" w:rsidRPr="00452D62" w:rsidRDefault="00823785" w:rsidP="006453B9">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38309110"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3A39D81F" w14:textId="1F36C8C1" w:rsidR="00823785" w:rsidRPr="00452D62" w:rsidRDefault="00252976" w:rsidP="006453B9">
            <w:pPr>
              <w:rPr>
                <w:sz w:val="22"/>
                <w:szCs w:val="22"/>
              </w:rPr>
            </w:pPr>
            <w:r w:rsidRPr="00452D62">
              <w:rPr>
                <w:sz w:val="22"/>
                <w:szCs w:val="22"/>
              </w:rPr>
              <w:t>Eozinofilinė pneumonija</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824F7C6" w14:textId="77777777" w:rsidR="00823785" w:rsidRPr="00452D62" w:rsidRDefault="00823785" w:rsidP="006453B9">
            <w:pPr>
              <w:rPr>
                <w:sz w:val="22"/>
                <w:szCs w:val="22"/>
              </w:rPr>
            </w:pPr>
          </w:p>
        </w:tc>
      </w:tr>
      <w:tr w:rsidR="00823785" w:rsidRPr="00452D62" w14:paraId="700F30EE"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14287B4F" w14:textId="77777777" w:rsidR="00823785" w:rsidRPr="00452D62" w:rsidRDefault="00823785" w:rsidP="006453B9">
            <w:pPr>
              <w:rPr>
                <w:sz w:val="22"/>
                <w:szCs w:val="22"/>
              </w:rPr>
            </w:pPr>
            <w:r w:rsidRPr="00452D62">
              <w:rPr>
                <w:b/>
                <w:bCs/>
                <w:sz w:val="22"/>
                <w:szCs w:val="22"/>
              </w:rPr>
              <w:t xml:space="preserve">Virškinimo trakto sutrikimai </w:t>
            </w:r>
          </w:p>
        </w:tc>
      </w:tr>
      <w:tr w:rsidR="00823785" w:rsidRPr="00452D62" w14:paraId="293A9CA7"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11D51340" w14:textId="77777777" w:rsidR="00823785" w:rsidRPr="00452D62" w:rsidRDefault="00823785" w:rsidP="006453B9">
            <w:pPr>
              <w:rPr>
                <w:sz w:val="22"/>
                <w:szCs w:val="22"/>
              </w:rPr>
            </w:pPr>
            <w:r w:rsidRPr="00452D62">
              <w:rPr>
                <w:sz w:val="22"/>
                <w:szCs w:val="22"/>
              </w:rPr>
              <w:t>Kraujavimas iš dantenų, kraujavimas iš virškinimo trakto (įskaitant kraujavimą iš tiesiosios žarnos), virškinimo trakto ir pilvo skausmai, dispepsija, pykinimas, vidurių užkietėjimas</w:t>
            </w:r>
            <w:r w:rsidRPr="00452D62">
              <w:rPr>
                <w:sz w:val="22"/>
                <w:szCs w:val="22"/>
                <w:vertAlign w:val="superscript"/>
              </w:rPr>
              <w:t>A</w:t>
            </w:r>
            <w:r w:rsidRPr="00452D62">
              <w:rPr>
                <w:sz w:val="22"/>
                <w:szCs w:val="22"/>
              </w:rPr>
              <w:t>, viduriavimas, vėmimas</w:t>
            </w:r>
            <w:r w:rsidRPr="00452D62">
              <w:rPr>
                <w:sz w:val="22"/>
                <w:szCs w:val="22"/>
                <w:vertAlign w:val="superscript"/>
              </w:rPr>
              <w:t>A</w:t>
            </w:r>
            <w:r w:rsidRPr="00452D62">
              <w:rPr>
                <w:sz w:val="22"/>
                <w:szCs w:val="22"/>
              </w:rPr>
              <w:t xml:space="preserve"> </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36502A3C" w14:textId="77777777" w:rsidR="00823785" w:rsidRPr="00452D62" w:rsidRDefault="00823785" w:rsidP="006453B9">
            <w:pPr>
              <w:rPr>
                <w:sz w:val="22"/>
                <w:szCs w:val="22"/>
              </w:rPr>
            </w:pPr>
            <w:r w:rsidRPr="00452D62">
              <w:rPr>
                <w:sz w:val="22"/>
                <w:szCs w:val="22"/>
              </w:rPr>
              <w:t>Burnos džiūvimas</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3C710B2D"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7C68CD8"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7162FF4" w14:textId="77777777" w:rsidR="00823785" w:rsidRPr="00452D62" w:rsidRDefault="00823785" w:rsidP="006453B9">
            <w:pPr>
              <w:rPr>
                <w:sz w:val="22"/>
                <w:szCs w:val="22"/>
              </w:rPr>
            </w:pPr>
          </w:p>
        </w:tc>
      </w:tr>
      <w:tr w:rsidR="00823785" w:rsidRPr="00452D62" w14:paraId="1B98D3D6"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489873A1" w14:textId="77777777" w:rsidR="00823785" w:rsidRPr="00452D62" w:rsidRDefault="00823785" w:rsidP="006453B9">
            <w:pPr>
              <w:rPr>
                <w:sz w:val="22"/>
                <w:szCs w:val="22"/>
              </w:rPr>
            </w:pPr>
            <w:r w:rsidRPr="00452D62">
              <w:rPr>
                <w:b/>
                <w:bCs/>
                <w:sz w:val="22"/>
                <w:szCs w:val="22"/>
              </w:rPr>
              <w:t>Kepenų, tulžies pūslės ir latakų sutrikimai</w:t>
            </w:r>
          </w:p>
        </w:tc>
      </w:tr>
      <w:tr w:rsidR="00823785" w:rsidRPr="00452D62" w14:paraId="4B40CD4D"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5103853E" w14:textId="77777777" w:rsidR="00823785" w:rsidRPr="00452D62" w:rsidRDefault="00823785" w:rsidP="006453B9">
            <w:pPr>
              <w:rPr>
                <w:sz w:val="22"/>
                <w:szCs w:val="22"/>
              </w:rPr>
            </w:pPr>
            <w:r w:rsidRPr="00452D62">
              <w:rPr>
                <w:sz w:val="22"/>
                <w:szCs w:val="22"/>
              </w:rPr>
              <w:t>Padidėjęs transaminazių aktyvumas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0F1B86D3" w14:textId="77777777" w:rsidR="00823785" w:rsidRPr="00452D62" w:rsidRDefault="00823785" w:rsidP="006453B9">
            <w:pPr>
              <w:rPr>
                <w:sz w:val="22"/>
                <w:szCs w:val="22"/>
              </w:rPr>
            </w:pPr>
            <w:r w:rsidRPr="00452D62">
              <w:rPr>
                <w:sz w:val="22"/>
                <w:szCs w:val="22"/>
              </w:rPr>
              <w:t>Kepenų funkcijos sutrikimas, padidėjęs bilirubino kiekis, padidėjęs šarminės fosfatazės aktyvumas kraujyje</w:t>
            </w:r>
            <w:r w:rsidRPr="00452D62">
              <w:rPr>
                <w:sz w:val="22"/>
                <w:szCs w:val="22"/>
                <w:vertAlign w:val="superscript"/>
              </w:rPr>
              <w:t>A</w:t>
            </w:r>
            <w:r w:rsidRPr="00452D62">
              <w:rPr>
                <w:sz w:val="22"/>
                <w:szCs w:val="22"/>
              </w:rPr>
              <w:t>,</w:t>
            </w:r>
          </w:p>
          <w:p w14:paraId="2E100453" w14:textId="77777777" w:rsidR="00823785" w:rsidRPr="00452D62" w:rsidRDefault="00823785" w:rsidP="006453B9">
            <w:pPr>
              <w:rPr>
                <w:sz w:val="22"/>
                <w:szCs w:val="22"/>
              </w:rPr>
            </w:pPr>
            <w:r w:rsidRPr="00452D62">
              <w:rPr>
                <w:sz w:val="22"/>
                <w:szCs w:val="22"/>
              </w:rPr>
              <w:t>padidėjęs GGT aktyvumas</w:t>
            </w:r>
            <w:r w:rsidRPr="00452D62">
              <w:rPr>
                <w:sz w:val="22"/>
                <w:szCs w:val="22"/>
                <w:vertAlign w:val="superscript"/>
              </w:rPr>
              <w:t>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3782BC6B" w14:textId="77777777" w:rsidR="00823785" w:rsidRPr="00452D62" w:rsidRDefault="00823785" w:rsidP="006453B9">
            <w:pPr>
              <w:rPr>
                <w:sz w:val="22"/>
                <w:szCs w:val="22"/>
              </w:rPr>
            </w:pPr>
            <w:r w:rsidRPr="00452D62">
              <w:rPr>
                <w:sz w:val="22"/>
                <w:szCs w:val="22"/>
              </w:rPr>
              <w:t>Gelta, padidėjęs konjuguoto bilirubino kiekis (kartu gali padidėti arba nepadidėti ALT aktyvumas), cholestazė, hepatitas (įskaitant kepenų ląstelių pažeidimą)</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2D832DAA"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1C7B8F9A" w14:textId="77777777" w:rsidR="00823785" w:rsidRPr="00452D62" w:rsidRDefault="00823785" w:rsidP="006453B9">
            <w:pPr>
              <w:rPr>
                <w:sz w:val="22"/>
                <w:szCs w:val="22"/>
              </w:rPr>
            </w:pPr>
          </w:p>
        </w:tc>
      </w:tr>
      <w:tr w:rsidR="00823785" w:rsidRPr="00452D62" w14:paraId="752CE41D"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1010F252" w14:textId="77777777" w:rsidR="00823785" w:rsidRPr="00452D62" w:rsidRDefault="00823785" w:rsidP="006453B9">
            <w:pPr>
              <w:rPr>
                <w:sz w:val="22"/>
                <w:szCs w:val="22"/>
              </w:rPr>
            </w:pPr>
            <w:r w:rsidRPr="00452D62">
              <w:rPr>
                <w:b/>
                <w:bCs/>
                <w:sz w:val="22"/>
                <w:szCs w:val="22"/>
              </w:rPr>
              <w:t>Odos ir poodinio audinio sutrikimai</w:t>
            </w:r>
          </w:p>
        </w:tc>
      </w:tr>
      <w:tr w:rsidR="00823785" w:rsidRPr="00452D62" w14:paraId="3E0C3745"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563832CE" w14:textId="77777777" w:rsidR="00823785" w:rsidRPr="00452D62" w:rsidRDefault="00823785" w:rsidP="006453B9">
            <w:pPr>
              <w:rPr>
                <w:sz w:val="22"/>
                <w:szCs w:val="22"/>
              </w:rPr>
            </w:pPr>
            <w:r w:rsidRPr="00452D62">
              <w:rPr>
                <w:sz w:val="22"/>
                <w:szCs w:val="22"/>
              </w:rPr>
              <w:t>Niežėjimas (įskaitant nedažnus išplitusio niežėjimo atvejus), išbėrimas, ekchimozė, kraujavimas į odą ir po oda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4501F5DB" w14:textId="77777777" w:rsidR="00823785" w:rsidRPr="00452D62" w:rsidRDefault="00823785" w:rsidP="006453B9">
            <w:pPr>
              <w:rPr>
                <w:sz w:val="22"/>
                <w:szCs w:val="22"/>
              </w:rPr>
            </w:pPr>
            <w:r w:rsidRPr="00452D62">
              <w:rPr>
                <w:sz w:val="22"/>
                <w:szCs w:val="22"/>
              </w:rPr>
              <w:t>Dilgėlinė</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7741B769"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2F2623B8" w14:textId="77777777" w:rsidR="00823785" w:rsidRPr="00452D62" w:rsidRDefault="00823785" w:rsidP="006453B9">
            <w:pPr>
              <w:rPr>
                <w:sz w:val="22"/>
                <w:szCs w:val="22"/>
              </w:rPr>
            </w:pPr>
            <w:r w:rsidRPr="00452D62">
              <w:rPr>
                <w:i/>
                <w:iCs/>
                <w:sz w:val="22"/>
                <w:szCs w:val="22"/>
              </w:rPr>
              <w:t>Stevens-Johnson</w:t>
            </w:r>
            <w:r w:rsidRPr="00452D62">
              <w:rPr>
                <w:sz w:val="22"/>
                <w:szCs w:val="22"/>
              </w:rPr>
              <w:t xml:space="preserve"> (Stivenso-Džonsono) sindromas, toksinė epidermio nekrolizė, </w:t>
            </w:r>
            <w:r w:rsidRPr="00452D62">
              <w:rPr>
                <w:i/>
                <w:iCs/>
                <w:sz w:val="22"/>
                <w:szCs w:val="22"/>
              </w:rPr>
              <w:t>DRESS</w:t>
            </w:r>
            <w:r w:rsidRPr="00452D62">
              <w:rPr>
                <w:sz w:val="22"/>
                <w:szCs w:val="22"/>
              </w:rPr>
              <w:t xml:space="preserve"> sindromas</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653504F6" w14:textId="77777777" w:rsidR="00823785" w:rsidRPr="00452D62" w:rsidRDefault="00823785" w:rsidP="006453B9">
            <w:pPr>
              <w:rPr>
                <w:sz w:val="22"/>
                <w:szCs w:val="22"/>
              </w:rPr>
            </w:pPr>
          </w:p>
        </w:tc>
      </w:tr>
      <w:tr w:rsidR="00823785" w:rsidRPr="00452D62" w14:paraId="291C32E3"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75B12D1A" w14:textId="77777777" w:rsidR="00823785" w:rsidRPr="00452D62" w:rsidRDefault="00823785" w:rsidP="006453B9">
            <w:pPr>
              <w:rPr>
                <w:sz w:val="22"/>
                <w:szCs w:val="22"/>
              </w:rPr>
            </w:pPr>
            <w:r w:rsidRPr="00452D62">
              <w:rPr>
                <w:b/>
                <w:sz w:val="22"/>
                <w:szCs w:val="22"/>
              </w:rPr>
              <w:t>Skeleto, raumenų ir jungiamojo audinio sutrikimai</w:t>
            </w:r>
          </w:p>
        </w:tc>
      </w:tr>
      <w:tr w:rsidR="00823785" w:rsidRPr="00452D62" w14:paraId="0BCCB406"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39D8EC6E" w14:textId="77777777" w:rsidR="00823785" w:rsidRPr="00452D62" w:rsidRDefault="00823785" w:rsidP="006453B9">
            <w:pPr>
              <w:rPr>
                <w:sz w:val="22"/>
                <w:szCs w:val="22"/>
              </w:rPr>
            </w:pPr>
            <w:r w:rsidRPr="00452D62">
              <w:rPr>
                <w:sz w:val="22"/>
                <w:szCs w:val="22"/>
              </w:rPr>
              <w:t>Galūnių skausmas</w:t>
            </w:r>
            <w:r w:rsidRPr="00452D62">
              <w:rPr>
                <w:sz w:val="22"/>
                <w:szCs w:val="22"/>
                <w:vertAlign w:val="superscript"/>
              </w:rPr>
              <w:t>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51F31A1E" w14:textId="77777777" w:rsidR="00823785" w:rsidRPr="00452D62" w:rsidRDefault="00823785" w:rsidP="006453B9">
            <w:pPr>
              <w:rPr>
                <w:sz w:val="22"/>
                <w:szCs w:val="22"/>
              </w:rPr>
            </w:pPr>
            <w:r w:rsidRPr="00452D62">
              <w:rPr>
                <w:sz w:val="22"/>
                <w:szCs w:val="22"/>
              </w:rPr>
              <w:t>Hemartrozė</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763DC8C9" w14:textId="77777777" w:rsidR="00823785" w:rsidRPr="00452D62" w:rsidRDefault="00823785" w:rsidP="006453B9">
            <w:pPr>
              <w:rPr>
                <w:sz w:val="22"/>
                <w:szCs w:val="22"/>
              </w:rPr>
            </w:pPr>
            <w:r w:rsidRPr="00452D62">
              <w:rPr>
                <w:sz w:val="22"/>
                <w:szCs w:val="22"/>
              </w:rPr>
              <w:t>Kraujavimas į raumenis</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3B4CC9B2"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BE2831D" w14:textId="77777777" w:rsidR="00823785" w:rsidRPr="00452D62" w:rsidRDefault="00823785" w:rsidP="006453B9">
            <w:pPr>
              <w:rPr>
                <w:sz w:val="22"/>
                <w:szCs w:val="22"/>
              </w:rPr>
            </w:pPr>
            <w:r w:rsidRPr="00452D62">
              <w:rPr>
                <w:sz w:val="22"/>
                <w:szCs w:val="22"/>
              </w:rPr>
              <w:t>Suspaudimo sindromas dėl kraujavimo</w:t>
            </w:r>
          </w:p>
        </w:tc>
      </w:tr>
      <w:tr w:rsidR="00823785" w:rsidRPr="00452D62" w14:paraId="2486A669"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4722FE68" w14:textId="77777777" w:rsidR="00823785" w:rsidRPr="00452D62" w:rsidRDefault="00823785" w:rsidP="006453B9">
            <w:pPr>
              <w:rPr>
                <w:sz w:val="22"/>
                <w:szCs w:val="22"/>
              </w:rPr>
            </w:pPr>
            <w:r w:rsidRPr="00452D62">
              <w:rPr>
                <w:b/>
                <w:sz w:val="22"/>
                <w:szCs w:val="22"/>
              </w:rPr>
              <w:t>Inkstų ir šlapimo takų sutrikimai</w:t>
            </w:r>
          </w:p>
        </w:tc>
      </w:tr>
      <w:tr w:rsidR="00823785" w:rsidRPr="00452D62" w14:paraId="26B2956C"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5CAAE0AF" w14:textId="77777777" w:rsidR="00823785" w:rsidRPr="00452D62" w:rsidRDefault="00823785" w:rsidP="006453B9">
            <w:pPr>
              <w:rPr>
                <w:sz w:val="22"/>
                <w:szCs w:val="22"/>
              </w:rPr>
            </w:pPr>
            <w:r w:rsidRPr="00452D62">
              <w:rPr>
                <w:sz w:val="22"/>
                <w:szCs w:val="22"/>
              </w:rPr>
              <w:t>Kraujavimas iš urogenitalinio trakto (įskaitant hematuriją ir menoragiją</w:t>
            </w:r>
            <w:r w:rsidRPr="00452D62">
              <w:rPr>
                <w:sz w:val="22"/>
                <w:szCs w:val="22"/>
                <w:vertAlign w:val="superscript"/>
              </w:rPr>
              <w:t>B</w:t>
            </w:r>
            <w:r w:rsidRPr="00452D62">
              <w:rPr>
                <w:sz w:val="22"/>
                <w:szCs w:val="22"/>
              </w:rPr>
              <w:t>), inkstų funkcijos sutrikimas (įskaitant padidėjusį kreatinino kiekį kraujyje, padidėjusį šlapalo kiekį kraujyje)</w:t>
            </w:r>
            <w:r w:rsidRPr="00452D62">
              <w:rPr>
                <w:sz w:val="22"/>
                <w:szCs w:val="22"/>
                <w:vertAlign w:val="superscript"/>
              </w:rPr>
              <w:t>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227A91E9" w14:textId="77777777" w:rsidR="00823785" w:rsidRPr="00452D62" w:rsidRDefault="00823785" w:rsidP="006453B9">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533C668B"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4F36C69A"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36DCF33" w14:textId="3702D89F" w:rsidR="00823785" w:rsidRPr="00452D62" w:rsidRDefault="00823785" w:rsidP="006453B9">
            <w:pPr>
              <w:rPr>
                <w:sz w:val="22"/>
                <w:szCs w:val="22"/>
              </w:rPr>
            </w:pPr>
            <w:r w:rsidRPr="00452D62">
              <w:rPr>
                <w:sz w:val="22"/>
                <w:szCs w:val="22"/>
              </w:rPr>
              <w:t>Inkstų nepakankamumas/ūminis inkstų nepakankamumas dėl kraujavimo, kurio pakanka hipoperfuzijai sukelti</w:t>
            </w:r>
            <w:r w:rsidR="00252976" w:rsidRPr="00452D62">
              <w:rPr>
                <w:sz w:val="22"/>
                <w:szCs w:val="22"/>
              </w:rPr>
              <w:t>, su antikoaguliantais susijusi nefropatija</w:t>
            </w:r>
          </w:p>
        </w:tc>
      </w:tr>
      <w:tr w:rsidR="00823785" w:rsidRPr="00452D62" w14:paraId="239DEC77"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2C1B050F" w14:textId="77777777" w:rsidR="00823785" w:rsidRPr="00452D62" w:rsidRDefault="00823785" w:rsidP="006453B9">
            <w:pPr>
              <w:rPr>
                <w:sz w:val="22"/>
                <w:szCs w:val="22"/>
              </w:rPr>
            </w:pPr>
            <w:r w:rsidRPr="00452D62">
              <w:rPr>
                <w:b/>
                <w:sz w:val="22"/>
                <w:szCs w:val="22"/>
              </w:rPr>
              <w:t>Bendrieji sutrikimai ir vartojimo vietos pažeidimai</w:t>
            </w:r>
          </w:p>
        </w:tc>
      </w:tr>
      <w:tr w:rsidR="00823785" w:rsidRPr="00452D62" w14:paraId="1CFF6E5C"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7C8546CD" w14:textId="77777777" w:rsidR="00823785" w:rsidRPr="00452D62" w:rsidRDefault="00823785" w:rsidP="006453B9">
            <w:pPr>
              <w:rPr>
                <w:sz w:val="22"/>
                <w:szCs w:val="22"/>
              </w:rPr>
            </w:pPr>
            <w:r w:rsidRPr="00452D62">
              <w:rPr>
                <w:sz w:val="22"/>
                <w:szCs w:val="22"/>
              </w:rPr>
              <w:t>Karščiavimas</w:t>
            </w:r>
            <w:r w:rsidRPr="00452D62">
              <w:rPr>
                <w:sz w:val="22"/>
                <w:szCs w:val="22"/>
                <w:vertAlign w:val="superscript"/>
              </w:rPr>
              <w:t>A</w:t>
            </w:r>
            <w:r w:rsidRPr="00452D62">
              <w:rPr>
                <w:sz w:val="22"/>
                <w:szCs w:val="22"/>
              </w:rPr>
              <w:t>, periferinė edema, sumažėjusi bendroji jėga ir energija (įskaitant nuovargį ir asteniją)</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1FFA21CF" w14:textId="77777777" w:rsidR="00823785" w:rsidRPr="00452D62" w:rsidRDefault="00823785" w:rsidP="006453B9">
            <w:pPr>
              <w:rPr>
                <w:sz w:val="22"/>
                <w:szCs w:val="22"/>
              </w:rPr>
            </w:pPr>
            <w:r w:rsidRPr="00452D62">
              <w:rPr>
                <w:sz w:val="22"/>
                <w:szCs w:val="22"/>
              </w:rPr>
              <w:t>Bloga savijauta (įskaitant negalavimą)</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59EFB513" w14:textId="77777777" w:rsidR="00823785" w:rsidRPr="00452D62" w:rsidRDefault="00823785" w:rsidP="006453B9">
            <w:pPr>
              <w:rPr>
                <w:sz w:val="22"/>
                <w:szCs w:val="22"/>
              </w:rPr>
            </w:pPr>
            <w:r w:rsidRPr="00452D62">
              <w:rPr>
                <w:sz w:val="22"/>
                <w:szCs w:val="22"/>
              </w:rPr>
              <w:t>Lokali edema</w:t>
            </w:r>
            <w:r w:rsidRPr="00452D62">
              <w:rPr>
                <w:sz w:val="22"/>
                <w:szCs w:val="22"/>
                <w:vertAlign w:val="superscript"/>
              </w:rPr>
              <w:t>A</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C02808D"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670A9B94" w14:textId="77777777" w:rsidR="00823785" w:rsidRPr="00452D62" w:rsidRDefault="00823785" w:rsidP="006453B9">
            <w:pPr>
              <w:rPr>
                <w:sz w:val="22"/>
                <w:szCs w:val="22"/>
              </w:rPr>
            </w:pPr>
          </w:p>
        </w:tc>
      </w:tr>
      <w:tr w:rsidR="00823785" w:rsidRPr="00452D62" w14:paraId="4F161AEA"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0E3980FD" w14:textId="77777777" w:rsidR="00823785" w:rsidRPr="00452D62" w:rsidRDefault="00823785" w:rsidP="006453B9">
            <w:pPr>
              <w:rPr>
                <w:sz w:val="22"/>
                <w:szCs w:val="22"/>
              </w:rPr>
            </w:pPr>
            <w:r w:rsidRPr="00452D62">
              <w:rPr>
                <w:b/>
                <w:sz w:val="22"/>
                <w:szCs w:val="22"/>
              </w:rPr>
              <w:t>Tyrimai</w:t>
            </w:r>
          </w:p>
        </w:tc>
      </w:tr>
      <w:tr w:rsidR="00823785" w:rsidRPr="00452D62" w14:paraId="279E91D1"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1E1354E8" w14:textId="77777777" w:rsidR="00823785" w:rsidRPr="00452D62" w:rsidRDefault="00823785" w:rsidP="006453B9">
            <w:pPr>
              <w:rPr>
                <w:sz w:val="22"/>
                <w:szCs w:val="22"/>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66AD1036" w14:textId="77777777" w:rsidR="00823785" w:rsidRPr="00452D62" w:rsidRDefault="00823785" w:rsidP="006453B9">
            <w:pPr>
              <w:rPr>
                <w:sz w:val="22"/>
                <w:szCs w:val="22"/>
              </w:rPr>
            </w:pPr>
            <w:r w:rsidRPr="00452D62">
              <w:rPr>
                <w:sz w:val="22"/>
                <w:szCs w:val="22"/>
              </w:rPr>
              <w:t>Padidėjęs LDH aktyvumas</w:t>
            </w:r>
            <w:r w:rsidRPr="00452D62">
              <w:rPr>
                <w:sz w:val="22"/>
                <w:szCs w:val="22"/>
                <w:vertAlign w:val="superscript"/>
              </w:rPr>
              <w:t>A</w:t>
            </w:r>
            <w:r w:rsidRPr="00452D62">
              <w:rPr>
                <w:sz w:val="22"/>
                <w:szCs w:val="22"/>
              </w:rPr>
              <w:t>, padidėjęs lipazės aktyvumas</w:t>
            </w:r>
            <w:r w:rsidRPr="00452D62">
              <w:rPr>
                <w:sz w:val="22"/>
                <w:szCs w:val="22"/>
                <w:vertAlign w:val="superscript"/>
              </w:rPr>
              <w:t>A</w:t>
            </w:r>
            <w:r w:rsidRPr="00452D62">
              <w:rPr>
                <w:sz w:val="22"/>
                <w:szCs w:val="22"/>
              </w:rPr>
              <w:t>, padidėjęs amilazės aktyvumas</w:t>
            </w:r>
            <w:r w:rsidRPr="00452D62">
              <w:rPr>
                <w:sz w:val="22"/>
                <w:szCs w:val="22"/>
                <w:vertAlign w:val="superscript"/>
              </w:rPr>
              <w:t>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1853CFD8"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62595E58"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19853DBF" w14:textId="77777777" w:rsidR="00823785" w:rsidRPr="00452D62" w:rsidRDefault="00823785" w:rsidP="006453B9">
            <w:pPr>
              <w:rPr>
                <w:sz w:val="22"/>
                <w:szCs w:val="22"/>
              </w:rPr>
            </w:pPr>
          </w:p>
        </w:tc>
      </w:tr>
      <w:tr w:rsidR="00823785" w:rsidRPr="00452D62" w14:paraId="6430285B"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094CD911" w14:textId="77777777" w:rsidR="00823785" w:rsidRPr="00452D62" w:rsidRDefault="00823785" w:rsidP="006453B9">
            <w:pPr>
              <w:rPr>
                <w:sz w:val="22"/>
                <w:szCs w:val="22"/>
              </w:rPr>
            </w:pPr>
            <w:r w:rsidRPr="00452D62">
              <w:rPr>
                <w:b/>
                <w:sz w:val="22"/>
                <w:szCs w:val="22"/>
              </w:rPr>
              <w:t>Sužalojimai, apsinuodijimai ir procedūrų komplikacijos</w:t>
            </w:r>
          </w:p>
        </w:tc>
      </w:tr>
      <w:tr w:rsidR="00823785" w:rsidRPr="00452D62" w14:paraId="34A78F11"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26891A54" w14:textId="77777777" w:rsidR="00823785" w:rsidRPr="00452D62" w:rsidRDefault="00823785" w:rsidP="006453B9">
            <w:pPr>
              <w:rPr>
                <w:sz w:val="22"/>
                <w:szCs w:val="22"/>
              </w:rPr>
            </w:pPr>
            <w:r w:rsidRPr="00452D62">
              <w:rPr>
                <w:sz w:val="22"/>
                <w:szCs w:val="22"/>
              </w:rPr>
              <w:t>Kraujavimas po procedūros (įskaitant pooperacinę anemiją ir kraujavimą iš žaizdos), kontūzija, sekrecija iš žaizdos</w:t>
            </w:r>
            <w:r w:rsidRPr="00452D62">
              <w:rPr>
                <w:sz w:val="22"/>
                <w:szCs w:val="22"/>
                <w:vertAlign w:val="superscript"/>
              </w:rPr>
              <w:t>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74C3D83D" w14:textId="77777777" w:rsidR="00823785" w:rsidRPr="00452D62" w:rsidRDefault="00823785" w:rsidP="006453B9">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184B8031" w14:textId="77777777" w:rsidR="00823785" w:rsidRPr="00452D62" w:rsidRDefault="00823785" w:rsidP="006453B9">
            <w:pPr>
              <w:rPr>
                <w:sz w:val="22"/>
                <w:szCs w:val="22"/>
              </w:rPr>
            </w:pPr>
            <w:r w:rsidRPr="00452D62">
              <w:rPr>
                <w:sz w:val="22"/>
                <w:szCs w:val="22"/>
              </w:rPr>
              <w:t>Kraujagyslių pseudoaneurizma</w:t>
            </w:r>
            <w:r w:rsidRPr="00452D62">
              <w:rPr>
                <w:sz w:val="22"/>
                <w:szCs w:val="22"/>
                <w:vertAlign w:val="superscript"/>
              </w:rPr>
              <w:t>C</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23819E29"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3E9D53E0" w14:textId="77777777" w:rsidR="00823785" w:rsidRPr="00452D62" w:rsidRDefault="00823785" w:rsidP="006453B9">
            <w:pPr>
              <w:rPr>
                <w:sz w:val="22"/>
                <w:szCs w:val="22"/>
              </w:rPr>
            </w:pPr>
          </w:p>
        </w:tc>
      </w:tr>
    </w:tbl>
    <w:p w14:paraId="1B285F16" w14:textId="77777777" w:rsidR="00823785" w:rsidRPr="00452D62" w:rsidRDefault="00823785" w:rsidP="00823785">
      <w:pPr>
        <w:rPr>
          <w:sz w:val="22"/>
          <w:szCs w:val="22"/>
        </w:rPr>
      </w:pPr>
      <w:r w:rsidRPr="00452D62">
        <w:rPr>
          <w:sz w:val="22"/>
          <w:szCs w:val="22"/>
        </w:rPr>
        <w:t>A: pastebėta taikant VTE profilaktiką suaugusiems pacientams, atliekant planines klubo arba kelio sąnario pakeitimo operacijas;</w:t>
      </w:r>
    </w:p>
    <w:p w14:paraId="76D495A6" w14:textId="77777777" w:rsidR="00823785" w:rsidRPr="00452D62" w:rsidRDefault="00823785" w:rsidP="00823785">
      <w:pPr>
        <w:rPr>
          <w:sz w:val="22"/>
          <w:szCs w:val="22"/>
        </w:rPr>
      </w:pPr>
      <w:r w:rsidRPr="00452D62">
        <w:rPr>
          <w:sz w:val="22"/>
          <w:szCs w:val="22"/>
        </w:rPr>
        <w:t>B: pastebėtas kaip labai dažnas nepageidaujamas poveikis, gydant GVT, PE ir taikant šių sutrikimų pasikartojimo profilaktiką jaunesnėms nei 55 metų amžiaus moterims;</w:t>
      </w:r>
    </w:p>
    <w:p w14:paraId="547DE628" w14:textId="77777777" w:rsidR="00823785" w:rsidRPr="00452D62" w:rsidRDefault="00823785" w:rsidP="00823785">
      <w:pPr>
        <w:rPr>
          <w:sz w:val="22"/>
          <w:szCs w:val="22"/>
        </w:rPr>
      </w:pPr>
      <w:r w:rsidRPr="00452D62">
        <w:rPr>
          <w:sz w:val="22"/>
          <w:szCs w:val="22"/>
        </w:rPr>
        <w:t>C: pastebėtas kaip nedažnas nepageidaujamas poveikis, taikant aterotrombozinių reiškinių profilaktiką pacientams, patyrusiems ŪKS (po perkutaninės vainikinės intervencijos).</w:t>
      </w:r>
    </w:p>
    <w:p w14:paraId="7CF37940" w14:textId="7E815310" w:rsidR="00823785" w:rsidRPr="00452D62" w:rsidRDefault="00823785" w:rsidP="00823785">
      <w:pPr>
        <w:ind w:left="142" w:hanging="142"/>
        <w:rPr>
          <w:sz w:val="22"/>
          <w:szCs w:val="22"/>
        </w:rPr>
      </w:pPr>
      <w:r w:rsidRPr="00452D62">
        <w:rPr>
          <w:sz w:val="22"/>
          <w:szCs w:val="22"/>
        </w:rPr>
        <w:t>*Pasirinktų III fazės tyrimų metu buvo taikomas iš anksto numatytas selektyvus nepageidaujamų reiškinių rinkimo metodas. Remiantis šių tyrimų analize, nepageidaujamų reakcijų dažnis nepadidėjo ir naujų nepageidaujamų reakcijų nenustatyta.</w:t>
      </w:r>
    </w:p>
    <w:p w14:paraId="237F7B98" w14:textId="77777777" w:rsidR="00823785" w:rsidRPr="00452D62" w:rsidRDefault="00823785" w:rsidP="00823785">
      <w:pPr>
        <w:rPr>
          <w:sz w:val="22"/>
          <w:szCs w:val="22"/>
        </w:rPr>
      </w:pPr>
    </w:p>
    <w:p w14:paraId="6CB54D0F" w14:textId="77777777" w:rsidR="00823785" w:rsidRPr="00452D62" w:rsidRDefault="00823785" w:rsidP="00823785">
      <w:pPr>
        <w:rPr>
          <w:sz w:val="22"/>
          <w:szCs w:val="22"/>
        </w:rPr>
      </w:pPr>
      <w:r w:rsidRPr="00452D62">
        <w:rPr>
          <w:sz w:val="22"/>
          <w:szCs w:val="22"/>
          <w:u w:val="single"/>
        </w:rPr>
        <w:t>Atrinktų nepageidaujamų reakcijų apibūdinimas</w:t>
      </w:r>
    </w:p>
    <w:p w14:paraId="49B71E34" w14:textId="77777777" w:rsidR="004D5A6D" w:rsidRPr="00452D62" w:rsidRDefault="00823785" w:rsidP="00823785">
      <w:pPr>
        <w:rPr>
          <w:sz w:val="22"/>
          <w:szCs w:val="22"/>
        </w:rPr>
      </w:pPr>
      <w:r w:rsidRPr="00452D62">
        <w:rPr>
          <w:sz w:val="22"/>
          <w:szCs w:val="22"/>
        </w:rPr>
        <w:t>Dėl farmakologinio veikimo mechanizmo rivaroksabano vartojimas gali būti susijęs su padidėjusia slapto ar akivaizdaus kraujavimo rizika iš bet kurio audinio ar organo, todėl gali pasireikšti pohemoraginė anemija. Požymiai, simptomai ir sunkumas (įskaitant mirties atvejus) yra skirtingi ir priklauso nuo kraujavimo vietos ir intensyvumo ir (arba) anemijos laipsnio (žr. poskyrį „Kraujavimo kontrolė“ 4.9 skyriuje). Klinikinių tyrimų metu kraujavimas iš gleivinės (t. y. iš nosies, dantenų, virškinimo trakto, lytinių organų ir šlapimo takų, įskaitant nenormalų kraujavimą iš makšties arba sustiprėjusį menstruacinį kraujavimą) ir anemija dažniau buvo pastebėtas taikant ilgalaikį gydymą rivaroksabanu, palyginti su gydymu VKA. Taigi, papildant reikiamą klinikinį stebėjimą, slaptam kraujavimui nustatyti ir klinikinei akivaizdaus kraujavimo reikšmei įvertinti gali būti naudingi hemoglobino ir (arba) hematokrito laboratoriniai tyrimai, jei manoma, kad jie yra tinkami. Gali būti padidėjusi kraujavimo rizika tam tikroms pacientų grupėms, pvz., tiems pacientams, kurie serga nekontroliuojama sunkia arterine hipertenzija ir (arba) kartu gydomi kitais vaistiniais preparatais, kurie veikia hemostazę (žr. poskyrį „Kraujavimo rizika“ 4.4 skyriuje). Gali sustiprėti ir (arba) pailgėti menstruacinis kraujavimas.</w:t>
      </w:r>
    </w:p>
    <w:p w14:paraId="025A264C" w14:textId="59DB253B" w:rsidR="00823785" w:rsidRPr="00452D62" w:rsidRDefault="00823785" w:rsidP="00823785">
      <w:pPr>
        <w:rPr>
          <w:sz w:val="22"/>
          <w:szCs w:val="22"/>
        </w:rPr>
      </w:pPr>
      <w:r w:rsidRPr="00452D62">
        <w:rPr>
          <w:sz w:val="22"/>
          <w:szCs w:val="22"/>
        </w:rPr>
        <w:t>Hemoraginės komplikacijos gali pasireikšti silpnumu, blyškumu, svaiguliu, galvos skausmu ar nepaaiškinamu patinimu, dusuliu ir nepaaiškinamu šoku. Kai kuriais atvejais, kaip anemijos pasekmė, pastebėta širdies išemijos simptomų, pvz., krūtinės skausmas arba krūtinės angina.</w:t>
      </w:r>
    </w:p>
    <w:p w14:paraId="577BF02C" w14:textId="3EB01DFF" w:rsidR="00823785" w:rsidRPr="00452D62" w:rsidRDefault="00823785" w:rsidP="00701AC2">
      <w:pPr>
        <w:rPr>
          <w:sz w:val="22"/>
          <w:szCs w:val="22"/>
        </w:rPr>
      </w:pPr>
      <w:r w:rsidRPr="00452D62">
        <w:rPr>
          <w:sz w:val="22"/>
          <w:szCs w:val="22"/>
        </w:rPr>
        <w:t xml:space="preserve">Pranešta apie žinomas antrines sunkaus kraujavimo komplikacijas, pvz., suspaudimo sindromą ir inkstų nepakankamumą dėl hipoperfuzijos </w:t>
      </w:r>
      <w:r w:rsidR="00D71B17" w:rsidRPr="00452D62">
        <w:rPr>
          <w:sz w:val="22"/>
          <w:szCs w:val="22"/>
        </w:rPr>
        <w:t xml:space="preserve">ar su antikoaguliantais susijusią nefropatiją </w:t>
      </w:r>
      <w:r w:rsidRPr="00452D62">
        <w:rPr>
          <w:sz w:val="22"/>
          <w:szCs w:val="22"/>
        </w:rPr>
        <w:t>vartojant rivaroksabano. Todėl reikia atsižvelgti į kraujavimo galimybę, įvertinant bet kurio antikoaguliantais gydomo paciento būklę.</w:t>
      </w:r>
    </w:p>
    <w:p w14:paraId="48B9BB87" w14:textId="77777777" w:rsidR="00823785" w:rsidRPr="00452D62" w:rsidRDefault="00823785" w:rsidP="00701AC2">
      <w:pPr>
        <w:rPr>
          <w:sz w:val="22"/>
          <w:szCs w:val="22"/>
        </w:rPr>
      </w:pPr>
    </w:p>
    <w:p w14:paraId="185BF7F9" w14:textId="77777777" w:rsidR="00823785" w:rsidRPr="00452D62" w:rsidRDefault="00823785" w:rsidP="00701AC2">
      <w:pPr>
        <w:rPr>
          <w:sz w:val="22"/>
          <w:szCs w:val="22"/>
        </w:rPr>
      </w:pPr>
      <w:r w:rsidRPr="00452D62">
        <w:rPr>
          <w:sz w:val="22"/>
          <w:szCs w:val="22"/>
          <w:u w:val="single"/>
        </w:rPr>
        <w:t>Pranešimas apie įtariamas nepageidaujamas reakcijas</w:t>
      </w:r>
    </w:p>
    <w:p w14:paraId="2AA231AA" w14:textId="1A7CBADA" w:rsidR="00CB25DC" w:rsidRPr="00701AC2" w:rsidRDefault="00CB25DC" w:rsidP="00701AC2">
      <w:pPr>
        <w:suppressAutoHyphens w:val="0"/>
        <w:rPr>
          <w:color w:val="auto"/>
          <w:sz w:val="22"/>
        </w:rPr>
      </w:pPr>
      <w:r w:rsidRPr="00701AC2">
        <w:rPr>
          <w:color w:val="auto"/>
          <w:sz w:val="22"/>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w:t>
      </w:r>
      <w:r w:rsidRPr="00CB25DC">
        <w:rPr>
          <w:color w:val="auto"/>
          <w:sz w:val="22"/>
          <w:szCs w:val="22"/>
          <w:lang w:eastAsia="en-US"/>
        </w:rPr>
        <w:t xml:space="preserve"> ir pateikę</w:t>
      </w:r>
      <w:r w:rsidRPr="00701AC2">
        <w:rPr>
          <w:color w:val="auto"/>
          <w:sz w:val="22"/>
        </w:rPr>
        <w:t xml:space="preserve"> pranešimo formą </w:t>
      </w:r>
      <w:r w:rsidRPr="00CB25DC">
        <w:rPr>
          <w:color w:val="auto"/>
          <w:sz w:val="22"/>
          <w:szCs w:val="22"/>
          <w:lang w:eastAsia="en-US"/>
        </w:rPr>
        <w:t xml:space="preserve">Valstybinės vaistų kontrolės tarnybos prie Lietuvos Respublikos sveikatos apsaugos ministerijos tinklalapyje </w:t>
      </w:r>
      <w:r w:rsidRPr="00CB25DC">
        <w:rPr>
          <w:color w:val="auto"/>
          <w:sz w:val="22"/>
          <w:szCs w:val="22"/>
          <w:u w:val="single"/>
          <w:lang w:eastAsia="en-US"/>
        </w:rPr>
        <w:t>https://vvkt.lrv.lt/lt/</w:t>
      </w:r>
      <w:r w:rsidRPr="00CB25DC">
        <w:rPr>
          <w:color w:val="auto"/>
          <w:sz w:val="22"/>
          <w:szCs w:val="22"/>
          <w:lang w:eastAsia="en-US"/>
        </w:rPr>
        <w:t xml:space="preserve"> nurodytais būdais.</w:t>
      </w:r>
    </w:p>
    <w:p w14:paraId="71E20EC6" w14:textId="77777777" w:rsidR="00823785" w:rsidRPr="00452D62" w:rsidRDefault="00823785" w:rsidP="00823785">
      <w:pPr>
        <w:rPr>
          <w:sz w:val="22"/>
          <w:szCs w:val="22"/>
        </w:rPr>
      </w:pPr>
    </w:p>
    <w:p w14:paraId="085DA48A" w14:textId="77777777" w:rsidR="00823785" w:rsidRPr="00452D62" w:rsidRDefault="00823785" w:rsidP="00823785">
      <w:pPr>
        <w:widowControl w:val="0"/>
        <w:suppressAutoHyphens w:val="0"/>
        <w:spacing w:line="240" w:lineRule="auto"/>
        <w:ind w:left="567" w:hanging="567"/>
        <w:outlineLvl w:val="2"/>
        <w:rPr>
          <w:sz w:val="22"/>
          <w:szCs w:val="22"/>
        </w:rPr>
      </w:pPr>
      <w:r w:rsidRPr="00452D62">
        <w:rPr>
          <w:b/>
          <w:color w:val="auto"/>
          <w:kern w:val="28"/>
          <w:sz w:val="22"/>
          <w:szCs w:val="22"/>
          <w:lang w:eastAsia="en-US"/>
        </w:rPr>
        <w:t>4.9</w:t>
      </w:r>
      <w:r w:rsidRPr="00452D62">
        <w:rPr>
          <w:b/>
          <w:color w:val="auto"/>
          <w:kern w:val="28"/>
          <w:sz w:val="22"/>
          <w:szCs w:val="22"/>
          <w:lang w:eastAsia="en-US"/>
        </w:rPr>
        <w:tab/>
        <w:t>Perdozavimas</w:t>
      </w:r>
    </w:p>
    <w:p w14:paraId="0B7DF71C" w14:textId="77777777" w:rsidR="00823785" w:rsidRPr="00452D62" w:rsidRDefault="00823785" w:rsidP="00823785">
      <w:pPr>
        <w:rPr>
          <w:sz w:val="22"/>
          <w:szCs w:val="22"/>
        </w:rPr>
      </w:pPr>
    </w:p>
    <w:p w14:paraId="7A7DB0C1" w14:textId="77777777" w:rsidR="00823785" w:rsidRPr="00452D62" w:rsidRDefault="00823785" w:rsidP="00823785">
      <w:pPr>
        <w:rPr>
          <w:sz w:val="22"/>
          <w:szCs w:val="22"/>
        </w:rPr>
      </w:pPr>
      <w:r w:rsidRPr="00452D62">
        <w:rPr>
          <w:sz w:val="22"/>
          <w:szCs w:val="22"/>
        </w:rPr>
        <w:t>Pranešta apie retus perdozavimo iki 1960 mg atvejus. Perdozavimo atveju, pacientas turi būti atidžiai stebimas dėl kraujavimo komplikacijų arba kitų nepageidaujamų reakcijų (žr. skyrių „Gydymas esant kraujavimui“). Tikėtina, kad dėl ribotos absorbcijos, vartojant terapines dozes viršijančias 50 mg ir didesnes rivaroksabano dozes, pasiekiama maksimali vidutinė ekspozicija plazmoje, kuri, toliau didinant dozę, nebedidėja.</w:t>
      </w:r>
    </w:p>
    <w:p w14:paraId="42F2D62C" w14:textId="77777777" w:rsidR="00823785" w:rsidRPr="00452D62" w:rsidRDefault="00823785" w:rsidP="00823785">
      <w:pPr>
        <w:rPr>
          <w:sz w:val="22"/>
          <w:szCs w:val="22"/>
        </w:rPr>
      </w:pPr>
      <w:r w:rsidRPr="00452D62">
        <w:rPr>
          <w:sz w:val="22"/>
          <w:szCs w:val="22"/>
        </w:rPr>
        <w:t>Yra specifinis neutralizuojantis vaistinis preparatas (andeksanetas alfa), rivaroksabano farmakodinaminio poveikio antagonistas (žr. andeksaneto alfa preparato charakteristikų santrauką).</w:t>
      </w:r>
    </w:p>
    <w:p w14:paraId="790F2BC6" w14:textId="77777777" w:rsidR="00823785" w:rsidRPr="00452D62" w:rsidRDefault="00823785" w:rsidP="00823785">
      <w:pPr>
        <w:rPr>
          <w:sz w:val="22"/>
          <w:szCs w:val="22"/>
        </w:rPr>
      </w:pPr>
      <w:r w:rsidRPr="00452D62">
        <w:rPr>
          <w:sz w:val="22"/>
          <w:szCs w:val="22"/>
        </w:rPr>
        <w:t>Galima apsvarstyti aktyvintosios anglies skyrimą, taip sumažinant absorbciją po rivaroksabano perdozavimo.</w:t>
      </w:r>
    </w:p>
    <w:p w14:paraId="560F4A4F" w14:textId="77777777" w:rsidR="00823785" w:rsidRPr="00452D62" w:rsidRDefault="00823785" w:rsidP="00823785">
      <w:pPr>
        <w:rPr>
          <w:sz w:val="22"/>
          <w:szCs w:val="22"/>
          <w:u w:val="single"/>
        </w:rPr>
      </w:pPr>
    </w:p>
    <w:p w14:paraId="23A28A73" w14:textId="77777777" w:rsidR="00823785" w:rsidRPr="00452D62" w:rsidRDefault="00823785" w:rsidP="00823785">
      <w:pPr>
        <w:rPr>
          <w:sz w:val="22"/>
          <w:szCs w:val="22"/>
        </w:rPr>
      </w:pPr>
      <w:r w:rsidRPr="00452D62">
        <w:rPr>
          <w:sz w:val="22"/>
          <w:szCs w:val="22"/>
          <w:u w:val="single"/>
        </w:rPr>
        <w:t>Kraujavimo kontrolė</w:t>
      </w:r>
    </w:p>
    <w:p w14:paraId="2DA617C6" w14:textId="77777777" w:rsidR="00823785" w:rsidRPr="00452D62" w:rsidRDefault="00823785" w:rsidP="00823785">
      <w:pPr>
        <w:rPr>
          <w:sz w:val="22"/>
          <w:szCs w:val="22"/>
        </w:rPr>
      </w:pPr>
      <w:r w:rsidRPr="00452D62">
        <w:rPr>
          <w:sz w:val="22"/>
          <w:szCs w:val="22"/>
        </w:rPr>
        <w:t>Jei rivaroksabano vartojančiam pacientui pasireiškė kraujavimo komplikacija, reikia pavėlinti kitos rivaroksabano dozės vartojimą arba gydymą nutraukti (kaip tinkama). Rivaroksabano pusinės eliminacijos laikas yra maždaug 5</w:t>
      </w:r>
      <w:r w:rsidRPr="00452D62">
        <w:rPr>
          <w:sz w:val="22"/>
          <w:szCs w:val="22"/>
        </w:rPr>
        <w:noBreakHyphen/>
        <w:t>13 valandų (žr. 5.2 skyrių). Gydymas turi būti individualizuotas atsižvelgiant į kraujavimo sunkumą ir vietą. Prireikus turi būti taikomas atitinkamas simptominis gydymas, toks kaip mechaninė kompresija (pvz., stipriai kraujuojant iš nosies), chirurginė hemostazė taikant kraujavimo kontrolės procedūras, skysčių kiekio papildymas ir hemodinamikos palaikymas, kraujo preparatų (eritrocitų masės ar šviežiai šaldytos plazmos, atsižvelgiant į tai, ar yra susijusi anemija ar koagulopatija) ar trombocitų perpylimas.</w:t>
      </w:r>
    </w:p>
    <w:p w14:paraId="57EAD108" w14:textId="473040B2" w:rsidR="00823785" w:rsidRPr="00452D62" w:rsidRDefault="00823785" w:rsidP="00823785">
      <w:pPr>
        <w:rPr>
          <w:sz w:val="22"/>
          <w:szCs w:val="22"/>
        </w:rPr>
      </w:pPr>
      <w:r w:rsidRPr="00452D62">
        <w:rPr>
          <w:sz w:val="22"/>
          <w:szCs w:val="22"/>
        </w:rPr>
        <w:t xml:space="preserve">Jeigu anksčiau paminėtomis priemonėmis kraujavimo kontroliuoti nepavyksta, reikia spręsti dėl neutralizuojančiojo vaistinio preparato specifinio Xa faktoriaus inhibitoriaus (andeksaneto alfa), kuris yra rivaroksabano farmakodinaminio poveikio antagonistas, arba specifinio prokoaguliacinio </w:t>
      </w:r>
      <w:r w:rsidR="00FA3252">
        <w:rPr>
          <w:sz w:val="22"/>
          <w:szCs w:val="22"/>
        </w:rPr>
        <w:t xml:space="preserve">vaistinio </w:t>
      </w:r>
      <w:r w:rsidRPr="00452D62">
        <w:rPr>
          <w:sz w:val="22"/>
          <w:szCs w:val="22"/>
        </w:rPr>
        <w:t>preparato, pvz., protrombino komplekso koncentrato (PKK), aktyvuoto protrombino komplekso koncentrato (APKK) ar rekombinantinio VIIa faktoriaus (r-FVIIa) skyrimo. Vis dėlto, klinikinė patirtis skiriant šių vaistinių preparatų rivaroksabanu gydomiems pacientams yra labai nedidelė. Ši rekomendacija taip pat yra pagrįsta ribotais ikiklinikiniais duomenimis. Reikia apsvarstyti kartotinį rekombinantinio VIIa faktoriaus skyrimą ir dozę titruoti atsižvelgiant į kraujavimo mažėjimą. Atsižvelgiant į vietines galimybes, didžiojo kraujavimo atveju reikia spręsti dėl kraujo krešėjimo specialisto konsultacijos poreikio (žr. 5.1 skyrių).</w:t>
      </w:r>
    </w:p>
    <w:p w14:paraId="66621265" w14:textId="77777777" w:rsidR="00823785" w:rsidRPr="00452D62" w:rsidRDefault="00823785" w:rsidP="00823785">
      <w:pPr>
        <w:rPr>
          <w:sz w:val="22"/>
          <w:szCs w:val="22"/>
        </w:rPr>
      </w:pPr>
    </w:p>
    <w:p w14:paraId="5B689B82" w14:textId="77777777" w:rsidR="00823785" w:rsidRPr="00452D62" w:rsidRDefault="00823785" w:rsidP="00823785">
      <w:pPr>
        <w:rPr>
          <w:sz w:val="22"/>
          <w:szCs w:val="22"/>
        </w:rPr>
      </w:pPr>
      <w:r w:rsidRPr="00452D62">
        <w:rPr>
          <w:sz w:val="22"/>
          <w:szCs w:val="22"/>
        </w:rPr>
        <w:t>Nemanoma, kad protamino sulfatas ir vitaminas K darytų įtaką rivaroksabano antikoaguliaciniam aktyvumui. Patirtis, skiriant traneksamo rūgštį, yra nedidelė, o patirties skiriant aminokaprono rūgštį ir aprotininą rivaroksabano vartojantiems asmenims nėra. Nei mokslinio palankaus poveikio pagrindimo, nei patirties skiriant sisteminį hemostatiką desmopresiną rivaroksabanu gydomiems pacientams, nėra. Daug rivaroksabano prisijungia prie kraujo plazmos baltymų, todėl jo pašalinimas dialize nėra tikėtinas.</w:t>
      </w:r>
    </w:p>
    <w:p w14:paraId="5722BCDE" w14:textId="77777777" w:rsidR="00823785" w:rsidRPr="00452D62" w:rsidRDefault="00823785" w:rsidP="00823785">
      <w:pPr>
        <w:rPr>
          <w:sz w:val="22"/>
          <w:szCs w:val="22"/>
        </w:rPr>
      </w:pPr>
    </w:p>
    <w:p w14:paraId="6AB4670A" w14:textId="77777777" w:rsidR="00823785" w:rsidRPr="00452D62" w:rsidRDefault="00823785" w:rsidP="00823785">
      <w:pPr>
        <w:rPr>
          <w:sz w:val="22"/>
          <w:szCs w:val="22"/>
        </w:rPr>
      </w:pPr>
    </w:p>
    <w:p w14:paraId="25E1D508" w14:textId="77777777" w:rsidR="00823785" w:rsidRPr="00452D62" w:rsidRDefault="00823785" w:rsidP="00823785">
      <w:pPr>
        <w:widowControl w:val="0"/>
        <w:suppressAutoHyphens w:val="0"/>
        <w:spacing w:line="240" w:lineRule="auto"/>
        <w:ind w:left="567" w:hanging="567"/>
        <w:outlineLvl w:val="1"/>
        <w:rPr>
          <w:b/>
          <w:bCs/>
          <w:color w:val="auto"/>
          <w:sz w:val="22"/>
          <w:szCs w:val="22"/>
          <w:lang w:eastAsia="en-US"/>
        </w:rPr>
      </w:pPr>
      <w:r w:rsidRPr="00452D62">
        <w:rPr>
          <w:b/>
          <w:bCs/>
          <w:color w:val="auto"/>
          <w:sz w:val="22"/>
          <w:szCs w:val="22"/>
          <w:lang w:eastAsia="en-US"/>
        </w:rPr>
        <w:t>5.</w:t>
      </w:r>
      <w:r w:rsidRPr="00452D62">
        <w:rPr>
          <w:b/>
          <w:bCs/>
          <w:color w:val="auto"/>
          <w:sz w:val="22"/>
          <w:szCs w:val="22"/>
          <w:lang w:eastAsia="en-US"/>
        </w:rPr>
        <w:tab/>
        <w:t>FARMAKOLOGINĖS SAVYBĖS</w:t>
      </w:r>
    </w:p>
    <w:p w14:paraId="63B66B0C" w14:textId="77777777" w:rsidR="00823785" w:rsidRPr="00452D62" w:rsidRDefault="00823785" w:rsidP="00823785">
      <w:pPr>
        <w:rPr>
          <w:sz w:val="22"/>
          <w:szCs w:val="22"/>
        </w:rPr>
      </w:pPr>
    </w:p>
    <w:p w14:paraId="68358EB6" w14:textId="77777777" w:rsidR="00823785" w:rsidRPr="00452D62" w:rsidRDefault="00823785" w:rsidP="00823785">
      <w:pPr>
        <w:widowControl w:val="0"/>
        <w:tabs>
          <w:tab w:val="clear" w:pos="567"/>
        </w:tabs>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5.1</w:t>
      </w:r>
      <w:r w:rsidRPr="00452D62">
        <w:rPr>
          <w:b/>
          <w:color w:val="auto"/>
          <w:kern w:val="28"/>
          <w:sz w:val="22"/>
          <w:szCs w:val="22"/>
          <w:lang w:eastAsia="en-US"/>
        </w:rPr>
        <w:tab/>
        <w:t>Farmakodinaminės savybės</w:t>
      </w:r>
    </w:p>
    <w:p w14:paraId="69B0D6C6" w14:textId="77777777" w:rsidR="00823785" w:rsidRPr="00452D62" w:rsidRDefault="00823785" w:rsidP="00823785">
      <w:pPr>
        <w:rPr>
          <w:sz w:val="22"/>
          <w:szCs w:val="22"/>
        </w:rPr>
      </w:pPr>
    </w:p>
    <w:p w14:paraId="402C5108" w14:textId="77777777" w:rsidR="00823785" w:rsidRPr="00452D62" w:rsidRDefault="00823785" w:rsidP="00823785">
      <w:pPr>
        <w:rPr>
          <w:sz w:val="22"/>
          <w:szCs w:val="22"/>
          <w:u w:val="single"/>
        </w:rPr>
      </w:pPr>
      <w:r w:rsidRPr="00452D62">
        <w:rPr>
          <w:sz w:val="22"/>
          <w:szCs w:val="22"/>
        </w:rPr>
        <w:t>Farmakoterapinė grupė – antitromboziniai vaistiniai preparatai, tiesioginiai Xa faktoriaus inhibitoriai, ATC kodas – B01AF01.</w:t>
      </w:r>
    </w:p>
    <w:p w14:paraId="7F2D7758" w14:textId="77777777" w:rsidR="00823785" w:rsidRPr="00452D62" w:rsidRDefault="00823785" w:rsidP="00823785">
      <w:pPr>
        <w:rPr>
          <w:sz w:val="22"/>
          <w:szCs w:val="22"/>
          <w:u w:val="single"/>
        </w:rPr>
      </w:pPr>
    </w:p>
    <w:p w14:paraId="0E486A33" w14:textId="77777777" w:rsidR="00823785" w:rsidRPr="00452D62" w:rsidRDefault="00823785" w:rsidP="00823785">
      <w:pPr>
        <w:rPr>
          <w:sz w:val="22"/>
          <w:szCs w:val="22"/>
        </w:rPr>
      </w:pPr>
      <w:r w:rsidRPr="00452D62">
        <w:rPr>
          <w:sz w:val="22"/>
          <w:szCs w:val="22"/>
          <w:u w:val="single"/>
        </w:rPr>
        <w:t>Veikimo mechanizmas</w:t>
      </w:r>
    </w:p>
    <w:p w14:paraId="0B1EEA7E" w14:textId="77777777" w:rsidR="00823785" w:rsidRPr="00452D62" w:rsidRDefault="00823785" w:rsidP="00823785">
      <w:pPr>
        <w:rPr>
          <w:sz w:val="22"/>
          <w:szCs w:val="22"/>
          <w:u w:val="single"/>
        </w:rPr>
      </w:pPr>
      <w:r w:rsidRPr="00452D62">
        <w:rPr>
          <w:sz w:val="22"/>
          <w:szCs w:val="22"/>
        </w:rPr>
        <w:t>Rivaroksabanas yra labai selektyvus tiesioginis Xa faktoriaus inhibitorius, kuris vartojant per burną yra biologiškai pasisavinamas. Xa faktoriaus slopinimas sutrikdo vidinį ir išorinį kraujo krešėjimo kaskados kelią, kadangi slopina trombino gamybą ir trombų formavimąsi. Rivaroksabanas neslopina trombino (aktyvuoto II faktorius) ir jo poveikis trombocitams nebuvo nustatytas.</w:t>
      </w:r>
    </w:p>
    <w:p w14:paraId="3C168D96" w14:textId="77777777" w:rsidR="00823785" w:rsidRPr="00452D62" w:rsidRDefault="00823785" w:rsidP="00823785">
      <w:pPr>
        <w:rPr>
          <w:sz w:val="22"/>
          <w:szCs w:val="22"/>
          <w:u w:val="single"/>
        </w:rPr>
      </w:pPr>
    </w:p>
    <w:p w14:paraId="4842749B" w14:textId="77777777" w:rsidR="00823785" w:rsidRPr="00452D62" w:rsidRDefault="00823785" w:rsidP="00823785">
      <w:pPr>
        <w:rPr>
          <w:sz w:val="22"/>
          <w:szCs w:val="22"/>
        </w:rPr>
      </w:pPr>
      <w:r w:rsidRPr="00452D62">
        <w:rPr>
          <w:sz w:val="22"/>
          <w:szCs w:val="22"/>
          <w:u w:val="single"/>
        </w:rPr>
        <w:t>Farmakodinaminis poveikis</w:t>
      </w:r>
    </w:p>
    <w:p w14:paraId="3880323B" w14:textId="77777777" w:rsidR="00823785" w:rsidRPr="00452D62" w:rsidRDefault="00823785" w:rsidP="00823785">
      <w:pPr>
        <w:rPr>
          <w:sz w:val="22"/>
          <w:szCs w:val="22"/>
        </w:rPr>
      </w:pPr>
      <w:r w:rsidRPr="00452D62">
        <w:rPr>
          <w:sz w:val="22"/>
          <w:szCs w:val="22"/>
        </w:rPr>
        <w:t xml:space="preserve">Žmonėms nustatytas nuo dozės priklausomas Xa faktoriaus slopinimas. Protrombino laiką (angl. </w:t>
      </w:r>
      <w:r w:rsidRPr="00452D62">
        <w:rPr>
          <w:i/>
          <w:iCs/>
          <w:sz w:val="22"/>
          <w:szCs w:val="22"/>
        </w:rPr>
        <w:t xml:space="preserve">prothrombin time, </w:t>
      </w:r>
      <w:r w:rsidRPr="00452D62">
        <w:rPr>
          <w:sz w:val="22"/>
          <w:szCs w:val="22"/>
        </w:rPr>
        <w:t xml:space="preserve">PT) rivaroksabanas veikia priklausomai nuo dozės, poveikis stipriai koreliuoja su koncentracija kraujo plazmoje (r rodmuo lygus 0,98), jei tyrimui naudojamas </w:t>
      </w:r>
      <w:r w:rsidRPr="00452D62">
        <w:rPr>
          <w:i/>
          <w:iCs/>
          <w:sz w:val="22"/>
          <w:szCs w:val="22"/>
        </w:rPr>
        <w:t>Neoplastin</w:t>
      </w:r>
      <w:r w:rsidRPr="00452D62">
        <w:rPr>
          <w:sz w:val="22"/>
          <w:szCs w:val="22"/>
        </w:rPr>
        <w:t xml:space="preserve">. Naudojant kitus reagentus, gaunami skirtingi rezultatai. PT nuskaitymas turi būti atliekamas per keletą sekundžių, nes </w:t>
      </w:r>
      <w:r w:rsidRPr="00452D62">
        <w:rPr>
          <w:iCs/>
          <w:sz w:val="22"/>
          <w:szCs w:val="22"/>
        </w:rPr>
        <w:t>INR</w:t>
      </w:r>
      <w:r w:rsidRPr="00452D62">
        <w:rPr>
          <w:sz w:val="22"/>
          <w:szCs w:val="22"/>
        </w:rPr>
        <w:t xml:space="preserve"> yra kalibruotas ir patvirtintas kumarinams ir turi būti nenaudojamas jokiam kitam antikoaguliantui.</w:t>
      </w:r>
    </w:p>
    <w:p w14:paraId="2913C5B2" w14:textId="77777777" w:rsidR="00823785" w:rsidRPr="00452D62" w:rsidRDefault="00823785" w:rsidP="00823785">
      <w:pPr>
        <w:rPr>
          <w:sz w:val="22"/>
          <w:szCs w:val="22"/>
        </w:rPr>
      </w:pPr>
      <w:r w:rsidRPr="00452D62">
        <w:rPr>
          <w:sz w:val="22"/>
          <w:szCs w:val="22"/>
        </w:rPr>
        <w:t xml:space="preserve">Klinikinės farmakologijos tyrimo metu analizuojant rivaroksabano farmakodinaminio poveikio panaikinimą sveikiems suaugusiems tiriamiesiems (n=22), buvo įvertintas dviejų skirtingų PKK, t. y. 3-jų faktorių PKK (II, IX ir X faktorių) ir 4-ių faktorių PKK (II, VII, IX ir X faktorių), vienkartinės dozės (50 TV/kg) poveikis. 3-jų faktorių PKK sumažino </w:t>
      </w:r>
      <w:r w:rsidRPr="00452D62">
        <w:rPr>
          <w:i/>
          <w:iCs/>
          <w:sz w:val="22"/>
          <w:szCs w:val="22"/>
        </w:rPr>
        <w:t>Neoplastin</w:t>
      </w:r>
      <w:r w:rsidRPr="00452D62">
        <w:rPr>
          <w:sz w:val="22"/>
          <w:szCs w:val="22"/>
        </w:rPr>
        <w:t xml:space="preserve"> vidutinį PT maždaug 1,0 sekunde per 30 minučių, lyginant su maždaug 3,5 sekundžių sumažėjimu, stebėtu vartojant 4-faktorių PKK. Priešingai, 3-jų faktorių PKK sukėlė didesnį ir greitesnį poveikį bendram endogeninio trombino susiformavimo neutralizavimui, palyginti su 4-ių faktorių PKK (žr. 4.9 skyrių).</w:t>
      </w:r>
    </w:p>
    <w:p w14:paraId="02B795E5" w14:textId="77777777" w:rsidR="00D359DE" w:rsidRPr="00452D62" w:rsidRDefault="00823785" w:rsidP="00823785">
      <w:pPr>
        <w:rPr>
          <w:sz w:val="22"/>
          <w:szCs w:val="22"/>
        </w:rPr>
      </w:pPr>
      <w:r w:rsidRPr="00452D62">
        <w:rPr>
          <w:sz w:val="22"/>
          <w:szCs w:val="22"/>
        </w:rPr>
        <w:t xml:space="preserve">Dalinis aktyvintas tromboplastino laikas (DATL) ir </w:t>
      </w:r>
      <w:r w:rsidRPr="00452D62">
        <w:rPr>
          <w:i/>
          <w:sz w:val="22"/>
          <w:szCs w:val="22"/>
        </w:rPr>
        <w:t>HepTest</w:t>
      </w:r>
      <w:r w:rsidRPr="00452D62">
        <w:rPr>
          <w:sz w:val="22"/>
          <w:szCs w:val="22"/>
        </w:rPr>
        <w:t xml:space="preserve"> rodmuo pailgėja taip pat priklausomai nuo dozės, tačiau šie tyrimai nerekomenduojami rivaroksabano farmakodinaminiam poveikiui įvertinti. Įprastinėmis klinikinėmis sąlygomis gydant rivaroksabanu krešėjimo parametrų stebėti nereikia.</w:t>
      </w:r>
    </w:p>
    <w:p w14:paraId="76940358" w14:textId="212EB499" w:rsidR="00823785" w:rsidRPr="00452D62" w:rsidRDefault="00823785" w:rsidP="00823785">
      <w:pPr>
        <w:rPr>
          <w:sz w:val="22"/>
          <w:szCs w:val="22"/>
        </w:rPr>
      </w:pPr>
      <w:r w:rsidRPr="00452D62">
        <w:rPr>
          <w:sz w:val="22"/>
          <w:szCs w:val="22"/>
        </w:rPr>
        <w:t>Vis dėlto, esant klinikinėms indikacijoms, rivaroksabano lygį galima išmatuoti kalibruotu kiekybiniu anti-Xa faktoriaus tyrimu (žr. 5.2 skyrių).</w:t>
      </w:r>
    </w:p>
    <w:p w14:paraId="27514453" w14:textId="77777777" w:rsidR="00823785" w:rsidRPr="00452D62" w:rsidRDefault="00823785" w:rsidP="00823785">
      <w:pPr>
        <w:rPr>
          <w:sz w:val="22"/>
          <w:szCs w:val="22"/>
        </w:rPr>
      </w:pPr>
    </w:p>
    <w:p w14:paraId="73B6F9A5" w14:textId="77777777" w:rsidR="00823785" w:rsidRPr="00452D62" w:rsidRDefault="00823785" w:rsidP="00823785">
      <w:pPr>
        <w:rPr>
          <w:sz w:val="22"/>
          <w:szCs w:val="22"/>
          <w:u w:val="single"/>
        </w:rPr>
      </w:pPr>
      <w:r w:rsidRPr="00452D62">
        <w:rPr>
          <w:sz w:val="22"/>
          <w:szCs w:val="22"/>
          <w:u w:val="single"/>
        </w:rPr>
        <w:t>Klinikinis veiksmingumas ir saugumas</w:t>
      </w:r>
    </w:p>
    <w:p w14:paraId="4D941272" w14:textId="77777777" w:rsidR="00823785" w:rsidRPr="00452D62" w:rsidRDefault="00823785" w:rsidP="00823785">
      <w:pPr>
        <w:rPr>
          <w:i/>
          <w:iCs/>
          <w:sz w:val="22"/>
          <w:szCs w:val="22"/>
          <w:u w:val="single"/>
        </w:rPr>
      </w:pPr>
      <w:r w:rsidRPr="00452D62">
        <w:rPr>
          <w:i/>
          <w:iCs/>
          <w:sz w:val="22"/>
          <w:szCs w:val="22"/>
          <w:u w:val="single"/>
        </w:rPr>
        <w:t>ŪKS</w:t>
      </w:r>
    </w:p>
    <w:p w14:paraId="449481A5" w14:textId="39E12AE0" w:rsidR="00823785" w:rsidRPr="00452D62" w:rsidRDefault="00823785" w:rsidP="00823785">
      <w:pPr>
        <w:rPr>
          <w:sz w:val="22"/>
          <w:szCs w:val="22"/>
        </w:rPr>
      </w:pPr>
      <w:r w:rsidRPr="00452D62">
        <w:rPr>
          <w:sz w:val="22"/>
          <w:szCs w:val="22"/>
        </w:rPr>
        <w:t>Rivaroksabano klinikinė programa buvo suplanuota siekiant įrodyti rivaroksabano veiksmingumą kardiovaskulinės (KV) mirties, miokardo infarkto (MI) ar insulto profilaktikai tiriamiesiems, kurie neseniai patyrė ŪKS (miokardo infarktą su ST segmento pakilimu [STEMI], miokardo infarktą be ST segmento pakilimo [NSTEMI] arba nestabilią krūtinės anginą [NKA]). Pagrindinio dvigubai koduoto ATLAS ŪKS 2 TIMI 51 tyrimo metu 15526 pacientai buvo atsitiktinai suskirstyti santykiu 1:1:1, juos priskiriant vienai iš trijų gydymo grupių: per burną vartoti rivaroksabano po 2,5 mg du kartus per parą, per burną vartoti rivaroksabano po 5 mg du kartus per parą arba vartoti placebo du kartus per parą, kartu vartojant ASR arba ASR su tienopiridinu (klopidogreliu ar tiklopidinu). ŪKS patyrę pacientai buvo jaunesni kaip 55 metų ir arba sirgo cukriniu diabetu, arba buvo anksčiau patyrę MI. Gydymo trukmės mediana buvo 13 mėnesių, bendra gydymo trukmė – iki beveik 3 metų. 93,2 % pacientų kartu vartojo ASR ir tienopiridiną, o 6,8 % pacientų – tik ASR. Tarp pacientų, kuriems buvo skirtas dvigubas antitrombozinis gydymas, 98,8 % vartojo klopidogrelį, 0,9 % – tiklopidiną ir 0,3 % – prazugrelį. Pirmąją rivaroksabano dozę pacientai pavartojo praėjus mažiausiai 24 valandoms ir iki 7 dienų (vidutiniškai 4,7 dienos) po hospitalizavimo, tačiau</w:t>
      </w:r>
      <w:r w:rsidRPr="00452D62">
        <w:rPr>
          <w:iCs/>
          <w:sz w:val="22"/>
          <w:szCs w:val="22"/>
        </w:rPr>
        <w:t xml:space="preserve"> kiek įmanoma anksčiau po to, kai </w:t>
      </w:r>
      <w:r w:rsidRPr="00452D62">
        <w:rPr>
          <w:sz w:val="22"/>
          <w:szCs w:val="22"/>
        </w:rPr>
        <w:t xml:space="preserve">stabilizuotas ŪKS reiškinys (įskaitant revaskuliarizacijos procedūras) ir </w:t>
      </w:r>
      <w:r w:rsidRPr="00452D62">
        <w:rPr>
          <w:iCs/>
          <w:sz w:val="22"/>
          <w:szCs w:val="22"/>
        </w:rPr>
        <w:t>kai įprastai nutraukiamas parenterinis gydymas antikoaguliantais</w:t>
      </w:r>
      <w:r w:rsidRPr="00452D62">
        <w:rPr>
          <w:sz w:val="22"/>
          <w:szCs w:val="22"/>
        </w:rPr>
        <w:t>.</w:t>
      </w:r>
    </w:p>
    <w:p w14:paraId="103E75CE" w14:textId="77777777" w:rsidR="00823785" w:rsidRPr="00452D62" w:rsidRDefault="00823785" w:rsidP="00823785">
      <w:pPr>
        <w:rPr>
          <w:sz w:val="22"/>
          <w:szCs w:val="22"/>
        </w:rPr>
      </w:pPr>
      <w:r w:rsidRPr="00452D62">
        <w:rPr>
          <w:sz w:val="22"/>
          <w:szCs w:val="22"/>
        </w:rPr>
        <w:t>Abi rivaroksabano dozavimo schemos (ir po 2,5 mg du kartus per parą, ir po 5 mg du kartus parą) buvo veiksmingos mažinant KV reiškinių dažnį kartu taikant įprastinį antitrombocitinį gydymą. Vartojant po 2,5 mg du kartus per parą, sumažėjo mirtingumas, ir buvo įrodyta, kad mažesnė dozė sukelia mažesnę kraujavimo riziką, todėl aterotrombozinių reiškinių profilaktikai suaugusiems pacientams, patyrusiems ŪKS su padidėjusiais kardiologinių žymenų rodmenimis, rekomenduojama vartoti po 2,5 mg rivaroksabano du kartus per parą kartu su acetilsalicilo rūgštimi (ASR) arba kartu su ASR ir klopidogreliu ar tiklopidinu.</w:t>
      </w:r>
    </w:p>
    <w:p w14:paraId="473A11AA" w14:textId="77777777" w:rsidR="00823785" w:rsidRPr="00452D62" w:rsidRDefault="00823785" w:rsidP="00823785">
      <w:pPr>
        <w:rPr>
          <w:sz w:val="22"/>
          <w:szCs w:val="22"/>
        </w:rPr>
      </w:pPr>
      <w:r w:rsidRPr="00452D62">
        <w:rPr>
          <w:sz w:val="22"/>
          <w:szCs w:val="22"/>
        </w:rPr>
        <w:t xml:space="preserve">Palyginti su placebu, rivaroksabanas reikšmingai sumažino pagrindinės sudėtinės vertinamosios baigties, kurią sudarė KV mirtis, MI ar insultas, riziką. Naudingą poveikį lėmė KV mirties ir MI skaičiaus sumažėjimas, toks poveikis pasireiškė anksti ir tęsėsi visą gydymo laikotarpį, esant pastoviam gydymo efektui (žr. 4 lentelę ir 1 paveikslą). Be to, reikšmingai sumažėjo pirmosios antrinės vertinamosios baigties (mirties dėl bet kokios priežasties, MI ar insulto) rizika. Papildoma retrospektyvinė analizė parodė, kad, palyginti su placebu, nominaliai reikšmingai sumažėjo stento trombozių dažnis (žr. 4 lentelę). Pagrindinės saugumo baigties (didžiojo kraujavimo reiškinių, nesusijusių su vainikinės arterijos apeinamosios jungties operacija (angl. </w:t>
      </w:r>
      <w:r w:rsidRPr="00452D62">
        <w:rPr>
          <w:i/>
          <w:iCs/>
          <w:sz w:val="22"/>
          <w:szCs w:val="22"/>
        </w:rPr>
        <w:t>non-coronary artery bypass graft,</w:t>
      </w:r>
      <w:r w:rsidRPr="00452D62">
        <w:rPr>
          <w:sz w:val="22"/>
          <w:szCs w:val="22"/>
        </w:rPr>
        <w:t xml:space="preserve"> CABG) taikant trombolizę po miokardo infarkto (angl. </w:t>
      </w:r>
      <w:r w:rsidRPr="00452D62">
        <w:rPr>
          <w:i/>
          <w:iCs/>
          <w:sz w:val="22"/>
          <w:szCs w:val="22"/>
        </w:rPr>
        <w:t>Thrombolysis In Myocardial Infarction,</w:t>
      </w:r>
      <w:r w:rsidRPr="00452D62">
        <w:rPr>
          <w:sz w:val="22"/>
          <w:szCs w:val="22"/>
        </w:rPr>
        <w:t xml:space="preserve"> TIMI)) dažnis rivaroksabanu gydomiems pacientams buvo didesnis, palyginti su placebą vartojusiais pacientais (žr. 6 lentelę). Vis dėlto mirtinų kraujavimo reiškinių, hipotenzijos, kurią reikėjo gydyti intraveniniais inotropiniais vaistiniais preparatais, ir chirurginės intervencijos dėl besitęsiančio kraujavimo, dažnis rivaroksabano ir placebo vartojusiems tiriamiesiems buvo panašūs.</w:t>
      </w:r>
    </w:p>
    <w:p w14:paraId="19C47895" w14:textId="77777777" w:rsidR="00823785" w:rsidRPr="00452D62" w:rsidRDefault="00823785" w:rsidP="00823785">
      <w:pPr>
        <w:rPr>
          <w:sz w:val="22"/>
          <w:szCs w:val="22"/>
        </w:rPr>
      </w:pPr>
      <w:r w:rsidRPr="00452D62">
        <w:rPr>
          <w:sz w:val="22"/>
          <w:szCs w:val="22"/>
        </w:rPr>
        <w:t>5 lentelėje pateikiami veiksmingumo rezultatai gydant pacientus, kuriems atliekama perkutaninė vainikinė intervencija (PVI). Šiame PVI pacientų pogrupyje saugumo rezultatai buvo panašūs į bendrus saugumo rezultatus.</w:t>
      </w:r>
    </w:p>
    <w:p w14:paraId="2152AD18" w14:textId="0E36B190" w:rsidR="00823785" w:rsidRPr="00452D62" w:rsidRDefault="00823785" w:rsidP="00823785">
      <w:pPr>
        <w:rPr>
          <w:sz w:val="22"/>
          <w:szCs w:val="22"/>
        </w:rPr>
      </w:pPr>
      <w:r w:rsidRPr="00452D62">
        <w:rPr>
          <w:sz w:val="22"/>
          <w:szCs w:val="22"/>
        </w:rPr>
        <w:t>Insulto/PSIP anksčiau nepatyrę pacientai, kuriems buvo padidėję biologiniai žymenys (troponino arba CK-MB kiekis), sudarė 80 % tyrimo populiacijos. Šios pacientų grupės rezultatai irgi atitiko bendrus veiksmingumo ir saugumo rezultatus.</w:t>
      </w:r>
    </w:p>
    <w:p w14:paraId="7BC737B3" w14:textId="77777777" w:rsidR="00823785" w:rsidRPr="00452D62" w:rsidRDefault="00823785" w:rsidP="00823785">
      <w:pPr>
        <w:tabs>
          <w:tab w:val="clear" w:pos="567"/>
        </w:tabs>
        <w:suppressAutoHyphens w:val="0"/>
        <w:autoSpaceDE w:val="0"/>
        <w:autoSpaceDN w:val="0"/>
        <w:adjustRightInd w:val="0"/>
        <w:spacing w:line="240" w:lineRule="auto"/>
        <w:rPr>
          <w:rFonts w:eastAsia="Calibri"/>
          <w:color w:val="auto"/>
          <w:sz w:val="22"/>
          <w:szCs w:val="22"/>
          <w:lang w:eastAsia="en-US"/>
        </w:rPr>
      </w:pPr>
    </w:p>
    <w:p w14:paraId="24B0C0E5" w14:textId="2A9F58F7" w:rsidR="00823785" w:rsidRPr="00452D62" w:rsidRDefault="00823785" w:rsidP="00823785">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b/>
          <w:bCs/>
          <w:color w:val="auto"/>
          <w:sz w:val="22"/>
          <w:szCs w:val="22"/>
          <w:lang w:eastAsia="en-US"/>
        </w:rPr>
        <w:t>4 lentelė. Veiksmingumo rezultatai, gauti III fazės ATLAS ŪKS 2 TIMI 51 tyrimo metu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95"/>
        <w:gridCol w:w="3767"/>
        <w:gridCol w:w="2398"/>
      </w:tblGrid>
      <w:tr w:rsidR="00823785" w:rsidRPr="00452D62" w14:paraId="1097008E" w14:textId="77777777" w:rsidTr="006453B9">
        <w:tc>
          <w:tcPr>
            <w:tcW w:w="2943" w:type="dxa"/>
            <w:shd w:val="clear" w:color="auto" w:fill="auto"/>
          </w:tcPr>
          <w:p w14:paraId="2BE4D634" w14:textId="77777777" w:rsidR="00823785" w:rsidRPr="00452D62" w:rsidRDefault="00823785" w:rsidP="006453B9">
            <w:pPr>
              <w:tabs>
                <w:tab w:val="clear" w:pos="567"/>
              </w:tabs>
              <w:suppressAutoHyphens w:val="0"/>
              <w:spacing w:line="240" w:lineRule="auto"/>
              <w:rPr>
                <w:rFonts w:eastAsia="Calibri"/>
                <w:color w:val="auto"/>
                <w:sz w:val="22"/>
                <w:szCs w:val="22"/>
                <w:lang w:eastAsia="en-US"/>
              </w:rPr>
            </w:pPr>
            <w:r w:rsidRPr="00452D62">
              <w:rPr>
                <w:rFonts w:eastAsia="Calibri"/>
                <w:b/>
                <w:bCs/>
                <w:color w:val="auto"/>
                <w:position w:val="5"/>
                <w:sz w:val="22"/>
                <w:szCs w:val="22"/>
                <w:lang w:eastAsia="en-US"/>
              </w:rPr>
              <w:t>Tyrimo populiacija</w:t>
            </w:r>
          </w:p>
        </w:tc>
        <w:tc>
          <w:tcPr>
            <w:tcW w:w="6267" w:type="dxa"/>
            <w:gridSpan w:val="2"/>
            <w:shd w:val="clear" w:color="auto" w:fill="auto"/>
          </w:tcPr>
          <w:p w14:paraId="04FA4789" w14:textId="77777777" w:rsidR="00823785" w:rsidRPr="00452D62" w:rsidRDefault="00823785" w:rsidP="006453B9">
            <w:pPr>
              <w:tabs>
                <w:tab w:val="clear" w:pos="567"/>
              </w:tabs>
              <w:suppressAutoHyphens w:val="0"/>
              <w:spacing w:line="240" w:lineRule="auto"/>
              <w:rPr>
                <w:rFonts w:eastAsia="Calibri"/>
                <w:color w:val="auto"/>
                <w:sz w:val="22"/>
                <w:szCs w:val="22"/>
                <w:lang w:eastAsia="en-US"/>
              </w:rPr>
            </w:pPr>
            <w:r w:rsidRPr="00452D62">
              <w:rPr>
                <w:rFonts w:eastAsia="Calibri"/>
                <w:b/>
                <w:bCs/>
                <w:color w:val="auto"/>
                <w:spacing w:val="1"/>
                <w:position w:val="-1"/>
                <w:sz w:val="22"/>
                <w:szCs w:val="22"/>
                <w:lang w:eastAsia="en-US"/>
              </w:rPr>
              <w:t>Pacientai, kurie neseniai patyrė ūminį koronarinį sindromą</w:t>
            </w:r>
            <w:r w:rsidRPr="00452D62">
              <w:rPr>
                <w:rFonts w:eastAsia="Calibri"/>
                <w:b/>
                <w:color w:val="auto"/>
                <w:sz w:val="22"/>
                <w:szCs w:val="22"/>
                <w:vertAlign w:val="superscript"/>
                <w:lang w:eastAsia="en-US"/>
              </w:rPr>
              <w:t>a)</w:t>
            </w:r>
          </w:p>
        </w:tc>
      </w:tr>
      <w:tr w:rsidR="00823785" w:rsidRPr="00452D62" w14:paraId="5021CFBC" w14:textId="77777777" w:rsidTr="006453B9">
        <w:tc>
          <w:tcPr>
            <w:tcW w:w="2943" w:type="dxa"/>
            <w:shd w:val="clear" w:color="auto" w:fill="auto"/>
          </w:tcPr>
          <w:p w14:paraId="0BFCFA64" w14:textId="77777777" w:rsidR="00823785" w:rsidRPr="00452D62" w:rsidRDefault="00823785" w:rsidP="006453B9">
            <w:pPr>
              <w:tabs>
                <w:tab w:val="clear" w:pos="567"/>
              </w:tabs>
              <w:suppressAutoHyphens w:val="0"/>
              <w:autoSpaceDE w:val="0"/>
              <w:autoSpaceDN w:val="0"/>
              <w:adjustRightInd w:val="0"/>
              <w:spacing w:line="240" w:lineRule="auto"/>
              <w:rPr>
                <w:rFonts w:eastAsia="Calibri"/>
                <w:b/>
                <w:color w:val="auto"/>
                <w:sz w:val="22"/>
                <w:szCs w:val="22"/>
                <w:lang w:eastAsia="en-US"/>
              </w:rPr>
            </w:pPr>
            <w:r w:rsidRPr="00452D62">
              <w:rPr>
                <w:rFonts w:eastAsia="Calibri"/>
                <w:b/>
                <w:color w:val="auto"/>
                <w:sz w:val="22"/>
                <w:szCs w:val="22"/>
                <w:lang w:eastAsia="en-US"/>
              </w:rPr>
              <w:t>Gydymo dozė</w:t>
            </w:r>
          </w:p>
        </w:tc>
        <w:tc>
          <w:tcPr>
            <w:tcW w:w="3828" w:type="dxa"/>
            <w:shd w:val="clear" w:color="auto" w:fill="auto"/>
          </w:tcPr>
          <w:p w14:paraId="031E87A7" w14:textId="77777777" w:rsidR="00823785" w:rsidRPr="00452D62" w:rsidRDefault="00823785" w:rsidP="006453B9">
            <w:pPr>
              <w:tabs>
                <w:tab w:val="clear" w:pos="567"/>
              </w:tabs>
              <w:suppressAutoHyphens w:val="0"/>
              <w:autoSpaceDE w:val="0"/>
              <w:autoSpaceDN w:val="0"/>
              <w:adjustRightInd w:val="0"/>
              <w:spacing w:line="240" w:lineRule="auto"/>
              <w:jc w:val="center"/>
              <w:rPr>
                <w:rFonts w:eastAsia="Calibri"/>
                <w:b/>
                <w:color w:val="auto"/>
                <w:sz w:val="22"/>
                <w:szCs w:val="22"/>
                <w:lang w:eastAsia="en-US"/>
              </w:rPr>
            </w:pPr>
            <w:r w:rsidRPr="00452D62">
              <w:rPr>
                <w:rFonts w:eastAsia="Calibri"/>
                <w:b/>
                <w:color w:val="auto"/>
                <w:sz w:val="22"/>
                <w:szCs w:val="22"/>
                <w:lang w:eastAsia="en-US"/>
              </w:rPr>
              <w:t>Rivaroksabanas 2,5 mg du kartus per parą, N=5114</w:t>
            </w:r>
          </w:p>
          <w:p w14:paraId="4546C36C" w14:textId="6346A126" w:rsidR="00823785" w:rsidRPr="00452D62" w:rsidRDefault="00823785" w:rsidP="006453B9">
            <w:pPr>
              <w:tabs>
                <w:tab w:val="clear" w:pos="567"/>
              </w:tabs>
              <w:suppressAutoHyphens w:val="0"/>
              <w:autoSpaceDE w:val="0"/>
              <w:autoSpaceDN w:val="0"/>
              <w:adjustRightInd w:val="0"/>
              <w:spacing w:line="240" w:lineRule="auto"/>
              <w:jc w:val="center"/>
              <w:rPr>
                <w:rFonts w:eastAsia="Calibri"/>
                <w:b/>
                <w:color w:val="auto"/>
                <w:sz w:val="22"/>
                <w:szCs w:val="22"/>
                <w:lang w:eastAsia="en-US"/>
              </w:rPr>
            </w:pPr>
            <w:r w:rsidRPr="00452D62">
              <w:rPr>
                <w:rFonts w:eastAsia="Calibri"/>
                <w:b/>
                <w:color w:val="auto"/>
                <w:sz w:val="22"/>
                <w:szCs w:val="22"/>
                <w:lang w:eastAsia="en-US"/>
              </w:rPr>
              <w:t>n (%)</w:t>
            </w:r>
          </w:p>
          <w:p w14:paraId="46C3D117" w14:textId="27A125B8" w:rsidR="00823785" w:rsidRPr="00452D62" w:rsidRDefault="00823785" w:rsidP="006453B9">
            <w:pPr>
              <w:tabs>
                <w:tab w:val="clear" w:pos="567"/>
              </w:tabs>
              <w:suppressAutoHyphens w:val="0"/>
              <w:autoSpaceDE w:val="0"/>
              <w:autoSpaceDN w:val="0"/>
              <w:adjustRightInd w:val="0"/>
              <w:spacing w:line="240" w:lineRule="auto"/>
              <w:jc w:val="center"/>
              <w:rPr>
                <w:rFonts w:eastAsia="Calibri"/>
                <w:b/>
                <w:color w:val="auto"/>
                <w:sz w:val="22"/>
                <w:szCs w:val="22"/>
                <w:lang w:eastAsia="en-US"/>
              </w:rPr>
            </w:pPr>
            <w:r w:rsidRPr="00452D62">
              <w:rPr>
                <w:rFonts w:eastAsia="Calibri"/>
                <w:b/>
                <w:color w:val="auto"/>
                <w:sz w:val="22"/>
                <w:szCs w:val="22"/>
                <w:lang w:eastAsia="en-US"/>
              </w:rPr>
              <w:t>Rizikos santykis (RS) (95 % PI) p rodmuo</w:t>
            </w:r>
            <w:r w:rsidRPr="00452D62">
              <w:rPr>
                <w:rFonts w:eastAsia="Calibri"/>
                <w:b/>
                <w:color w:val="auto"/>
                <w:sz w:val="22"/>
                <w:szCs w:val="22"/>
                <w:vertAlign w:val="superscript"/>
                <w:lang w:eastAsia="en-US"/>
              </w:rPr>
              <w:t>b)</w:t>
            </w:r>
          </w:p>
        </w:tc>
        <w:tc>
          <w:tcPr>
            <w:tcW w:w="2439" w:type="dxa"/>
            <w:shd w:val="clear" w:color="auto" w:fill="auto"/>
          </w:tcPr>
          <w:p w14:paraId="61393B71" w14:textId="77777777" w:rsidR="00823785" w:rsidRPr="00452D62" w:rsidRDefault="00823785" w:rsidP="006453B9">
            <w:pPr>
              <w:tabs>
                <w:tab w:val="clear" w:pos="567"/>
              </w:tabs>
              <w:suppressAutoHyphens w:val="0"/>
              <w:autoSpaceDE w:val="0"/>
              <w:autoSpaceDN w:val="0"/>
              <w:adjustRightInd w:val="0"/>
              <w:spacing w:line="240" w:lineRule="auto"/>
              <w:jc w:val="center"/>
              <w:rPr>
                <w:rFonts w:eastAsia="Calibri"/>
                <w:b/>
                <w:color w:val="auto"/>
                <w:sz w:val="22"/>
                <w:szCs w:val="22"/>
                <w:lang w:eastAsia="en-US"/>
              </w:rPr>
            </w:pPr>
            <w:r w:rsidRPr="00452D62">
              <w:rPr>
                <w:rFonts w:eastAsia="Calibri"/>
                <w:b/>
                <w:color w:val="auto"/>
                <w:sz w:val="22"/>
                <w:szCs w:val="22"/>
                <w:lang w:eastAsia="en-US"/>
              </w:rPr>
              <w:t>Placebas</w:t>
            </w:r>
          </w:p>
          <w:p w14:paraId="6BAA40F4" w14:textId="77777777" w:rsidR="00823785" w:rsidRPr="00452D62" w:rsidRDefault="00823785" w:rsidP="006453B9">
            <w:pPr>
              <w:tabs>
                <w:tab w:val="clear" w:pos="567"/>
              </w:tabs>
              <w:suppressAutoHyphens w:val="0"/>
              <w:autoSpaceDE w:val="0"/>
              <w:autoSpaceDN w:val="0"/>
              <w:adjustRightInd w:val="0"/>
              <w:spacing w:line="240" w:lineRule="auto"/>
              <w:jc w:val="center"/>
              <w:rPr>
                <w:rFonts w:eastAsia="Calibri"/>
                <w:b/>
                <w:color w:val="auto"/>
                <w:sz w:val="22"/>
                <w:szCs w:val="22"/>
                <w:lang w:eastAsia="en-US"/>
              </w:rPr>
            </w:pPr>
            <w:r w:rsidRPr="00452D62">
              <w:rPr>
                <w:rFonts w:eastAsia="Calibri"/>
                <w:b/>
                <w:color w:val="auto"/>
                <w:sz w:val="22"/>
                <w:szCs w:val="22"/>
                <w:lang w:eastAsia="en-US"/>
              </w:rPr>
              <w:t>N=5113</w:t>
            </w:r>
          </w:p>
          <w:p w14:paraId="7D8AC7D9" w14:textId="6C30C16F" w:rsidR="00823785" w:rsidRPr="00452D62" w:rsidRDefault="00823785" w:rsidP="006453B9">
            <w:pPr>
              <w:tabs>
                <w:tab w:val="clear" w:pos="567"/>
              </w:tabs>
              <w:suppressAutoHyphens w:val="0"/>
              <w:autoSpaceDE w:val="0"/>
              <w:autoSpaceDN w:val="0"/>
              <w:adjustRightInd w:val="0"/>
              <w:spacing w:line="240" w:lineRule="auto"/>
              <w:jc w:val="center"/>
              <w:rPr>
                <w:rFonts w:eastAsia="Calibri"/>
                <w:b/>
                <w:color w:val="auto"/>
                <w:sz w:val="22"/>
                <w:szCs w:val="22"/>
                <w:lang w:eastAsia="en-US"/>
              </w:rPr>
            </w:pPr>
            <w:r w:rsidRPr="00452D62">
              <w:rPr>
                <w:rFonts w:eastAsia="Calibri"/>
                <w:b/>
                <w:color w:val="auto"/>
                <w:sz w:val="22"/>
                <w:szCs w:val="22"/>
                <w:lang w:eastAsia="en-US"/>
              </w:rPr>
              <w:t>n (%)</w:t>
            </w:r>
          </w:p>
        </w:tc>
      </w:tr>
      <w:tr w:rsidR="00823785" w:rsidRPr="00452D62" w14:paraId="7595F514" w14:textId="77777777" w:rsidTr="006453B9">
        <w:tc>
          <w:tcPr>
            <w:tcW w:w="2943" w:type="dxa"/>
            <w:shd w:val="clear" w:color="auto" w:fill="auto"/>
          </w:tcPr>
          <w:p w14:paraId="3C2B3B89"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KV mirtis, MI arba insultas</w:t>
            </w:r>
          </w:p>
        </w:tc>
        <w:tc>
          <w:tcPr>
            <w:tcW w:w="3828" w:type="dxa"/>
            <w:shd w:val="clear" w:color="auto" w:fill="auto"/>
          </w:tcPr>
          <w:p w14:paraId="6197C13F" w14:textId="2579A501"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313 (6,1 %)</w:t>
            </w:r>
          </w:p>
          <w:p w14:paraId="15DD7CDC" w14:textId="77777777" w:rsidR="00823785" w:rsidRPr="00452D62" w:rsidRDefault="00823785" w:rsidP="006453B9">
            <w:pPr>
              <w:tabs>
                <w:tab w:val="clear" w:pos="567"/>
                <w:tab w:val="left" w:pos="2146"/>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0,84 (0,72, 0,97) p=0,020*</w:t>
            </w:r>
          </w:p>
        </w:tc>
        <w:tc>
          <w:tcPr>
            <w:tcW w:w="2439" w:type="dxa"/>
            <w:shd w:val="clear" w:color="auto" w:fill="auto"/>
          </w:tcPr>
          <w:p w14:paraId="6D0BB7C5" w14:textId="46BBDD92"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376 (7,4 %)</w:t>
            </w:r>
          </w:p>
        </w:tc>
      </w:tr>
      <w:tr w:rsidR="00823785" w:rsidRPr="00452D62" w14:paraId="584DB98D" w14:textId="77777777" w:rsidTr="006453B9">
        <w:tc>
          <w:tcPr>
            <w:tcW w:w="2943" w:type="dxa"/>
            <w:shd w:val="clear" w:color="auto" w:fill="auto"/>
          </w:tcPr>
          <w:p w14:paraId="14E7EB7E"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Mirtis dėl bet kokios priežasties, MI arba insultas</w:t>
            </w:r>
          </w:p>
        </w:tc>
        <w:tc>
          <w:tcPr>
            <w:tcW w:w="3828" w:type="dxa"/>
            <w:shd w:val="clear" w:color="auto" w:fill="auto"/>
          </w:tcPr>
          <w:p w14:paraId="2041F18E" w14:textId="30300B72"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320 (6,3 %)</w:t>
            </w:r>
          </w:p>
          <w:p w14:paraId="1CDC9194" w14:textId="77777777"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0,83 (0,72, 0,97) p=0,016*</w:t>
            </w:r>
          </w:p>
        </w:tc>
        <w:tc>
          <w:tcPr>
            <w:tcW w:w="2439" w:type="dxa"/>
            <w:shd w:val="clear" w:color="auto" w:fill="auto"/>
          </w:tcPr>
          <w:p w14:paraId="54C9AF0F" w14:textId="3E33F359"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386 (7,5 %)</w:t>
            </w:r>
          </w:p>
        </w:tc>
      </w:tr>
      <w:tr w:rsidR="00823785" w:rsidRPr="00452D62" w14:paraId="1ACB0FF4" w14:textId="77777777" w:rsidTr="006453B9">
        <w:tc>
          <w:tcPr>
            <w:tcW w:w="2943" w:type="dxa"/>
            <w:shd w:val="clear" w:color="auto" w:fill="auto"/>
          </w:tcPr>
          <w:p w14:paraId="38D42DAA"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KV mirtis</w:t>
            </w:r>
          </w:p>
        </w:tc>
        <w:tc>
          <w:tcPr>
            <w:tcW w:w="3828" w:type="dxa"/>
            <w:shd w:val="clear" w:color="auto" w:fill="auto"/>
          </w:tcPr>
          <w:p w14:paraId="3EE8ABA0" w14:textId="6A0B7C7D"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94 (1,8 %)</w:t>
            </w:r>
          </w:p>
          <w:p w14:paraId="7F0CDCEE" w14:textId="77777777"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0,66 (0,51, 0,86) p=0,002**</w:t>
            </w:r>
          </w:p>
        </w:tc>
        <w:tc>
          <w:tcPr>
            <w:tcW w:w="2439" w:type="dxa"/>
            <w:shd w:val="clear" w:color="auto" w:fill="auto"/>
          </w:tcPr>
          <w:p w14:paraId="2B84A56D" w14:textId="55B3BB79"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143 (2,8 %)</w:t>
            </w:r>
          </w:p>
        </w:tc>
      </w:tr>
      <w:tr w:rsidR="00823785" w:rsidRPr="00452D62" w14:paraId="09C3070A" w14:textId="77777777" w:rsidTr="006453B9">
        <w:tc>
          <w:tcPr>
            <w:tcW w:w="2943" w:type="dxa"/>
            <w:shd w:val="clear" w:color="auto" w:fill="auto"/>
          </w:tcPr>
          <w:p w14:paraId="7B2FD6CF"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Mirtis dėl bet kokios priežasties</w:t>
            </w:r>
          </w:p>
        </w:tc>
        <w:tc>
          <w:tcPr>
            <w:tcW w:w="3828" w:type="dxa"/>
            <w:shd w:val="clear" w:color="auto" w:fill="auto"/>
          </w:tcPr>
          <w:p w14:paraId="7550B4DD" w14:textId="6B2BF8A8"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103 (2,0 %)</w:t>
            </w:r>
          </w:p>
          <w:p w14:paraId="34377141" w14:textId="77777777"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0,68 (0,53, 0,87) p=0,002**</w:t>
            </w:r>
          </w:p>
        </w:tc>
        <w:tc>
          <w:tcPr>
            <w:tcW w:w="2439" w:type="dxa"/>
            <w:shd w:val="clear" w:color="auto" w:fill="auto"/>
          </w:tcPr>
          <w:p w14:paraId="4E00A4E7" w14:textId="10EF2DDC"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153 (3,0 %)</w:t>
            </w:r>
          </w:p>
        </w:tc>
      </w:tr>
      <w:tr w:rsidR="00823785" w:rsidRPr="00452D62" w14:paraId="1244B860" w14:textId="77777777" w:rsidTr="006453B9">
        <w:tc>
          <w:tcPr>
            <w:tcW w:w="2943" w:type="dxa"/>
            <w:shd w:val="clear" w:color="auto" w:fill="auto"/>
          </w:tcPr>
          <w:p w14:paraId="19F1CB4C"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MI</w:t>
            </w:r>
          </w:p>
        </w:tc>
        <w:tc>
          <w:tcPr>
            <w:tcW w:w="3828" w:type="dxa"/>
            <w:shd w:val="clear" w:color="auto" w:fill="auto"/>
          </w:tcPr>
          <w:p w14:paraId="6C10F314" w14:textId="42BF08E5"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205 (4,0 %)</w:t>
            </w:r>
          </w:p>
          <w:p w14:paraId="614A499D" w14:textId="77777777" w:rsidR="00823785" w:rsidRPr="00452D62" w:rsidRDefault="00823785" w:rsidP="006453B9">
            <w:pPr>
              <w:tabs>
                <w:tab w:val="clear" w:pos="567"/>
                <w:tab w:val="left" w:pos="1060"/>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0,90 (0,75, 1,09) p=0,270</w:t>
            </w:r>
          </w:p>
        </w:tc>
        <w:tc>
          <w:tcPr>
            <w:tcW w:w="2439" w:type="dxa"/>
            <w:shd w:val="clear" w:color="auto" w:fill="auto"/>
          </w:tcPr>
          <w:p w14:paraId="79F6F5E8" w14:textId="35C506F8"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229 (4,5 %)</w:t>
            </w:r>
          </w:p>
        </w:tc>
      </w:tr>
      <w:tr w:rsidR="00823785" w:rsidRPr="00452D62" w14:paraId="5CFAEFF4" w14:textId="77777777" w:rsidTr="006453B9">
        <w:tc>
          <w:tcPr>
            <w:tcW w:w="2943" w:type="dxa"/>
            <w:shd w:val="clear" w:color="auto" w:fill="auto"/>
          </w:tcPr>
          <w:p w14:paraId="7161EE59"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Insultas</w:t>
            </w:r>
          </w:p>
        </w:tc>
        <w:tc>
          <w:tcPr>
            <w:tcW w:w="3828" w:type="dxa"/>
            <w:shd w:val="clear" w:color="auto" w:fill="auto"/>
          </w:tcPr>
          <w:p w14:paraId="5501C45E" w14:textId="62A92066"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46 (0,9 %)</w:t>
            </w:r>
          </w:p>
          <w:p w14:paraId="3FD723B0" w14:textId="77777777"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1,13 (0,74, 1,73) p=0,562</w:t>
            </w:r>
          </w:p>
        </w:tc>
        <w:tc>
          <w:tcPr>
            <w:tcW w:w="2439" w:type="dxa"/>
            <w:shd w:val="clear" w:color="auto" w:fill="auto"/>
          </w:tcPr>
          <w:p w14:paraId="3B80F31A" w14:textId="0D4CCDC3"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41 (0,8 %)</w:t>
            </w:r>
          </w:p>
        </w:tc>
      </w:tr>
      <w:tr w:rsidR="00823785" w:rsidRPr="00452D62" w14:paraId="51F28077" w14:textId="77777777" w:rsidTr="006453B9">
        <w:tc>
          <w:tcPr>
            <w:tcW w:w="2943" w:type="dxa"/>
            <w:shd w:val="clear" w:color="auto" w:fill="auto"/>
          </w:tcPr>
          <w:p w14:paraId="21D456BC"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Stento trombozė</w:t>
            </w:r>
          </w:p>
        </w:tc>
        <w:tc>
          <w:tcPr>
            <w:tcW w:w="3828" w:type="dxa"/>
            <w:shd w:val="clear" w:color="auto" w:fill="auto"/>
          </w:tcPr>
          <w:p w14:paraId="6A101DC5" w14:textId="567E6A1C"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61 (1,2 %)</w:t>
            </w:r>
          </w:p>
          <w:p w14:paraId="0753069B" w14:textId="77777777"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0,70 (0,51, 0,97) p=0,033**</w:t>
            </w:r>
          </w:p>
        </w:tc>
        <w:tc>
          <w:tcPr>
            <w:tcW w:w="2439" w:type="dxa"/>
            <w:shd w:val="clear" w:color="auto" w:fill="auto"/>
          </w:tcPr>
          <w:p w14:paraId="17311B56" w14:textId="4AB99DD2"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87 (1,7 %)</w:t>
            </w:r>
          </w:p>
        </w:tc>
      </w:tr>
    </w:tbl>
    <w:p w14:paraId="5F374758" w14:textId="77777777" w:rsidR="00823785" w:rsidRPr="00452D62" w:rsidRDefault="00823785" w:rsidP="00823785">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 xml:space="preserve">a) modifikuota ketintų gydytų tiriamųjų (angl. </w:t>
      </w:r>
      <w:r w:rsidRPr="00452D62">
        <w:rPr>
          <w:rFonts w:eastAsia="Calibri"/>
          <w:i/>
          <w:iCs/>
          <w:color w:val="auto"/>
          <w:sz w:val="22"/>
          <w:szCs w:val="22"/>
          <w:lang w:eastAsia="en-US"/>
        </w:rPr>
        <w:t>intent to treat</w:t>
      </w:r>
      <w:r w:rsidRPr="00452D62">
        <w:rPr>
          <w:rFonts w:eastAsia="Calibri"/>
          <w:color w:val="auto"/>
          <w:sz w:val="22"/>
          <w:szCs w:val="22"/>
          <w:lang w:eastAsia="en-US"/>
        </w:rPr>
        <w:t>) grupė (</w:t>
      </w:r>
      <w:r w:rsidRPr="00452D62">
        <w:rPr>
          <w:rFonts w:eastAsia="Calibri"/>
          <w:i/>
          <w:iCs/>
          <w:color w:val="auto"/>
          <w:sz w:val="22"/>
          <w:szCs w:val="22"/>
          <w:lang w:eastAsia="en-US"/>
        </w:rPr>
        <w:t>intent to treat</w:t>
      </w:r>
      <w:r w:rsidRPr="000877E9">
        <w:rPr>
          <w:rFonts w:eastAsia="Calibri"/>
          <w:color w:val="auto"/>
          <w:sz w:val="22"/>
          <w:szCs w:val="22"/>
          <w:lang w:eastAsia="en-US"/>
        </w:rPr>
        <w:t xml:space="preserve"> bendrosios analizės grupė stento trombozei)</w:t>
      </w:r>
    </w:p>
    <w:p w14:paraId="66B8ED4F" w14:textId="77777777" w:rsidR="00823785" w:rsidRPr="00452D62" w:rsidRDefault="00823785" w:rsidP="00823785">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 xml:space="preserve">b) palyginti su placebu; </w:t>
      </w:r>
      <w:r w:rsidRPr="00452D62">
        <w:rPr>
          <w:rFonts w:eastAsia="Calibri"/>
          <w:i/>
          <w:iCs/>
          <w:color w:val="auto"/>
          <w:sz w:val="22"/>
          <w:szCs w:val="22"/>
          <w:lang w:eastAsia="en-US"/>
        </w:rPr>
        <w:t>Log-Rank</w:t>
      </w:r>
      <w:r w:rsidRPr="00452D62">
        <w:rPr>
          <w:rFonts w:eastAsia="Calibri"/>
          <w:color w:val="auto"/>
          <w:sz w:val="22"/>
          <w:szCs w:val="22"/>
          <w:lang w:eastAsia="en-US"/>
        </w:rPr>
        <w:t xml:space="preserve"> p rodmuo</w:t>
      </w:r>
    </w:p>
    <w:p w14:paraId="5F74D094" w14:textId="77777777" w:rsidR="00823785" w:rsidRPr="00452D62" w:rsidRDefault="00823785" w:rsidP="00823785">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 statistiškai pranašesnis</w:t>
      </w:r>
    </w:p>
    <w:p w14:paraId="1F72B8A6" w14:textId="77777777" w:rsidR="00823785" w:rsidRPr="00452D62" w:rsidRDefault="00823785" w:rsidP="00823785">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 nominaliai reikšmingas</w:t>
      </w:r>
    </w:p>
    <w:p w14:paraId="0F228DF3" w14:textId="77777777" w:rsidR="00823785" w:rsidRPr="00452D62" w:rsidRDefault="00823785" w:rsidP="00823785">
      <w:pPr>
        <w:tabs>
          <w:tab w:val="clear" w:pos="567"/>
        </w:tabs>
        <w:suppressAutoHyphens w:val="0"/>
        <w:autoSpaceDE w:val="0"/>
        <w:autoSpaceDN w:val="0"/>
        <w:adjustRightInd w:val="0"/>
        <w:spacing w:line="240" w:lineRule="auto"/>
        <w:rPr>
          <w:rFonts w:eastAsia="Calibri"/>
          <w:color w:val="auto"/>
          <w:sz w:val="22"/>
          <w:szCs w:val="22"/>
          <w:lang w:eastAsia="en-US"/>
        </w:rPr>
      </w:pPr>
    </w:p>
    <w:p w14:paraId="3BAC6E5B" w14:textId="77777777" w:rsidR="00823785" w:rsidRPr="00452D62" w:rsidRDefault="00823785" w:rsidP="00823785">
      <w:pPr>
        <w:tabs>
          <w:tab w:val="clear" w:pos="567"/>
        </w:tabs>
        <w:suppressAutoHyphens w:val="0"/>
        <w:autoSpaceDE w:val="0"/>
        <w:autoSpaceDN w:val="0"/>
        <w:adjustRightInd w:val="0"/>
        <w:spacing w:line="240" w:lineRule="auto"/>
        <w:rPr>
          <w:rFonts w:eastAsia="Calibri"/>
          <w:b/>
          <w:bCs/>
          <w:color w:val="auto"/>
          <w:sz w:val="22"/>
          <w:szCs w:val="22"/>
          <w:lang w:eastAsia="en-US"/>
        </w:rPr>
      </w:pPr>
      <w:r w:rsidRPr="00452D62">
        <w:rPr>
          <w:rFonts w:eastAsia="Calibri"/>
          <w:b/>
          <w:bCs/>
          <w:color w:val="auto"/>
          <w:sz w:val="22"/>
          <w:szCs w:val="22"/>
          <w:lang w:eastAsia="en-US"/>
        </w:rPr>
        <w:t>5 lentelė. Veiksmingumo rezultatai, gauti III fazės ATLAS ŪKS 2 TIMI 51 tyrimo metu pacientams, kuriems atliekama PKI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18"/>
        <w:gridCol w:w="3506"/>
        <w:gridCol w:w="2536"/>
      </w:tblGrid>
      <w:tr w:rsidR="00823785" w:rsidRPr="00452D62" w14:paraId="404B653E" w14:textId="77777777" w:rsidTr="006453B9">
        <w:tc>
          <w:tcPr>
            <w:tcW w:w="3070" w:type="dxa"/>
            <w:shd w:val="clear" w:color="auto" w:fill="auto"/>
          </w:tcPr>
          <w:p w14:paraId="6112730C" w14:textId="77777777" w:rsidR="00823785" w:rsidRPr="00452D62" w:rsidRDefault="00823785" w:rsidP="006453B9">
            <w:pPr>
              <w:tabs>
                <w:tab w:val="clear" w:pos="567"/>
              </w:tabs>
              <w:suppressAutoHyphens w:val="0"/>
              <w:spacing w:line="240" w:lineRule="auto"/>
              <w:rPr>
                <w:rFonts w:eastAsia="Calibri"/>
                <w:color w:val="auto"/>
                <w:sz w:val="22"/>
                <w:szCs w:val="22"/>
                <w:lang w:eastAsia="en-US"/>
              </w:rPr>
            </w:pPr>
            <w:r w:rsidRPr="00452D62">
              <w:rPr>
                <w:rFonts w:eastAsia="Calibri"/>
                <w:b/>
                <w:bCs/>
                <w:color w:val="auto"/>
                <w:position w:val="5"/>
                <w:sz w:val="22"/>
                <w:szCs w:val="22"/>
                <w:lang w:eastAsia="en-US"/>
              </w:rPr>
              <w:t>Tyrimo populiacija</w:t>
            </w:r>
          </w:p>
        </w:tc>
        <w:tc>
          <w:tcPr>
            <w:tcW w:w="6140" w:type="dxa"/>
            <w:gridSpan w:val="2"/>
            <w:shd w:val="clear" w:color="auto" w:fill="auto"/>
          </w:tcPr>
          <w:p w14:paraId="1BD472F8"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b/>
                <w:bCs/>
                <w:color w:val="auto"/>
                <w:sz w:val="22"/>
                <w:szCs w:val="22"/>
                <w:lang w:eastAsia="en-US"/>
              </w:rPr>
              <w:t>Neseniai ūminį koronarinį sindromą patyrę pacientai, kuriems taikoma PKI</w:t>
            </w:r>
            <w:r w:rsidRPr="00452D62">
              <w:rPr>
                <w:rFonts w:eastAsia="Calibri"/>
                <w:b/>
                <w:color w:val="auto"/>
                <w:sz w:val="22"/>
                <w:szCs w:val="22"/>
                <w:vertAlign w:val="superscript"/>
                <w:lang w:eastAsia="en-US"/>
              </w:rPr>
              <w:t>a)</w:t>
            </w:r>
          </w:p>
        </w:tc>
      </w:tr>
      <w:tr w:rsidR="00823785" w:rsidRPr="00452D62" w14:paraId="213B6F30" w14:textId="77777777" w:rsidTr="006453B9">
        <w:tc>
          <w:tcPr>
            <w:tcW w:w="3070" w:type="dxa"/>
            <w:shd w:val="clear" w:color="auto" w:fill="auto"/>
          </w:tcPr>
          <w:p w14:paraId="2777CA80" w14:textId="77777777" w:rsidR="00823785" w:rsidRPr="00452D62" w:rsidRDefault="00823785" w:rsidP="006453B9">
            <w:pPr>
              <w:tabs>
                <w:tab w:val="clear" w:pos="567"/>
              </w:tabs>
              <w:suppressAutoHyphens w:val="0"/>
              <w:autoSpaceDE w:val="0"/>
              <w:autoSpaceDN w:val="0"/>
              <w:adjustRightInd w:val="0"/>
              <w:spacing w:line="240" w:lineRule="auto"/>
              <w:rPr>
                <w:rFonts w:eastAsia="Calibri"/>
                <w:b/>
                <w:color w:val="auto"/>
                <w:sz w:val="22"/>
                <w:szCs w:val="22"/>
                <w:lang w:eastAsia="en-US"/>
              </w:rPr>
            </w:pPr>
            <w:r w:rsidRPr="00452D62">
              <w:rPr>
                <w:rFonts w:eastAsia="Calibri"/>
                <w:b/>
                <w:color w:val="auto"/>
                <w:sz w:val="22"/>
                <w:szCs w:val="22"/>
                <w:lang w:eastAsia="en-US"/>
              </w:rPr>
              <w:t>Gydymo dozė</w:t>
            </w:r>
          </w:p>
        </w:tc>
        <w:tc>
          <w:tcPr>
            <w:tcW w:w="3559" w:type="dxa"/>
            <w:shd w:val="clear" w:color="auto" w:fill="auto"/>
          </w:tcPr>
          <w:p w14:paraId="39A05536" w14:textId="77777777" w:rsidR="00823785" w:rsidRPr="00452D62" w:rsidRDefault="00823785" w:rsidP="006453B9">
            <w:pPr>
              <w:tabs>
                <w:tab w:val="clear" w:pos="567"/>
              </w:tabs>
              <w:suppressAutoHyphens w:val="0"/>
              <w:autoSpaceDE w:val="0"/>
              <w:autoSpaceDN w:val="0"/>
              <w:adjustRightInd w:val="0"/>
              <w:spacing w:line="240" w:lineRule="auto"/>
              <w:jc w:val="center"/>
              <w:rPr>
                <w:rFonts w:eastAsia="Calibri"/>
                <w:b/>
                <w:color w:val="auto"/>
                <w:sz w:val="22"/>
                <w:szCs w:val="22"/>
                <w:lang w:eastAsia="en-US"/>
              </w:rPr>
            </w:pPr>
            <w:r w:rsidRPr="00452D62">
              <w:rPr>
                <w:rFonts w:eastAsia="Calibri"/>
                <w:b/>
                <w:color w:val="auto"/>
                <w:sz w:val="22"/>
                <w:szCs w:val="22"/>
                <w:lang w:eastAsia="en-US"/>
              </w:rPr>
              <w:t>Rivaroksabanas 2,5 mg du kartus per parą, N=3114</w:t>
            </w:r>
          </w:p>
          <w:p w14:paraId="56F1C1BF" w14:textId="4DE85F79" w:rsidR="00823785" w:rsidRPr="00452D62" w:rsidRDefault="00823785" w:rsidP="006453B9">
            <w:pPr>
              <w:tabs>
                <w:tab w:val="clear" w:pos="567"/>
              </w:tabs>
              <w:suppressAutoHyphens w:val="0"/>
              <w:autoSpaceDE w:val="0"/>
              <w:autoSpaceDN w:val="0"/>
              <w:adjustRightInd w:val="0"/>
              <w:spacing w:line="240" w:lineRule="auto"/>
              <w:jc w:val="center"/>
              <w:rPr>
                <w:rFonts w:eastAsia="Calibri"/>
                <w:b/>
                <w:color w:val="auto"/>
                <w:sz w:val="22"/>
                <w:szCs w:val="22"/>
                <w:lang w:eastAsia="en-US"/>
              </w:rPr>
            </w:pPr>
            <w:r w:rsidRPr="00452D62">
              <w:rPr>
                <w:rFonts w:eastAsia="Calibri"/>
                <w:b/>
                <w:color w:val="auto"/>
                <w:sz w:val="22"/>
                <w:szCs w:val="22"/>
                <w:lang w:eastAsia="en-US"/>
              </w:rPr>
              <w:t>n (%)</w:t>
            </w:r>
          </w:p>
          <w:p w14:paraId="13A2A105" w14:textId="66A38B28" w:rsidR="00823785" w:rsidRPr="00452D62" w:rsidRDefault="00823785" w:rsidP="006453B9">
            <w:pPr>
              <w:tabs>
                <w:tab w:val="clear" w:pos="567"/>
              </w:tabs>
              <w:suppressAutoHyphens w:val="0"/>
              <w:autoSpaceDE w:val="0"/>
              <w:autoSpaceDN w:val="0"/>
              <w:adjustRightInd w:val="0"/>
              <w:spacing w:line="240" w:lineRule="auto"/>
              <w:jc w:val="center"/>
              <w:rPr>
                <w:rFonts w:eastAsia="Calibri"/>
                <w:b/>
                <w:color w:val="auto"/>
                <w:sz w:val="22"/>
                <w:szCs w:val="22"/>
                <w:lang w:eastAsia="en-US"/>
              </w:rPr>
            </w:pPr>
            <w:r w:rsidRPr="00452D62">
              <w:rPr>
                <w:rFonts w:eastAsia="Calibri"/>
                <w:b/>
                <w:color w:val="auto"/>
                <w:sz w:val="22"/>
                <w:szCs w:val="22"/>
                <w:lang w:eastAsia="en-US"/>
              </w:rPr>
              <w:t>RS (95 % PI) p rodmuo</w:t>
            </w:r>
            <w:r w:rsidRPr="00452D62">
              <w:rPr>
                <w:rFonts w:eastAsia="Calibri"/>
                <w:b/>
                <w:color w:val="auto"/>
                <w:sz w:val="22"/>
                <w:szCs w:val="22"/>
                <w:vertAlign w:val="superscript"/>
                <w:lang w:eastAsia="en-US"/>
              </w:rPr>
              <w:t>b)</w:t>
            </w:r>
          </w:p>
        </w:tc>
        <w:tc>
          <w:tcPr>
            <w:tcW w:w="2581" w:type="dxa"/>
            <w:shd w:val="clear" w:color="auto" w:fill="auto"/>
          </w:tcPr>
          <w:p w14:paraId="6107EE1E" w14:textId="77777777" w:rsidR="00823785" w:rsidRPr="00452D62" w:rsidRDefault="00823785" w:rsidP="006453B9">
            <w:pPr>
              <w:tabs>
                <w:tab w:val="clear" w:pos="567"/>
              </w:tabs>
              <w:suppressAutoHyphens w:val="0"/>
              <w:autoSpaceDE w:val="0"/>
              <w:autoSpaceDN w:val="0"/>
              <w:adjustRightInd w:val="0"/>
              <w:spacing w:line="240" w:lineRule="auto"/>
              <w:jc w:val="center"/>
              <w:rPr>
                <w:rFonts w:eastAsia="Calibri"/>
                <w:b/>
                <w:color w:val="auto"/>
                <w:sz w:val="22"/>
                <w:szCs w:val="22"/>
                <w:lang w:eastAsia="en-US"/>
              </w:rPr>
            </w:pPr>
            <w:r w:rsidRPr="00452D62">
              <w:rPr>
                <w:rFonts w:eastAsia="Calibri"/>
                <w:b/>
                <w:color w:val="auto"/>
                <w:sz w:val="22"/>
                <w:szCs w:val="22"/>
                <w:lang w:eastAsia="en-US"/>
              </w:rPr>
              <w:t>Placebas</w:t>
            </w:r>
          </w:p>
          <w:p w14:paraId="0846E2AC" w14:textId="77777777" w:rsidR="00823785" w:rsidRPr="00452D62" w:rsidRDefault="00823785" w:rsidP="006453B9">
            <w:pPr>
              <w:tabs>
                <w:tab w:val="clear" w:pos="567"/>
              </w:tabs>
              <w:suppressAutoHyphens w:val="0"/>
              <w:autoSpaceDE w:val="0"/>
              <w:autoSpaceDN w:val="0"/>
              <w:adjustRightInd w:val="0"/>
              <w:spacing w:line="240" w:lineRule="auto"/>
              <w:jc w:val="center"/>
              <w:rPr>
                <w:rFonts w:eastAsia="Calibri"/>
                <w:b/>
                <w:color w:val="auto"/>
                <w:sz w:val="22"/>
                <w:szCs w:val="22"/>
                <w:lang w:eastAsia="en-US"/>
              </w:rPr>
            </w:pPr>
            <w:r w:rsidRPr="00452D62">
              <w:rPr>
                <w:rFonts w:eastAsia="Calibri"/>
                <w:b/>
                <w:color w:val="auto"/>
                <w:sz w:val="22"/>
                <w:szCs w:val="22"/>
                <w:lang w:eastAsia="en-US"/>
              </w:rPr>
              <w:t>N=3096</w:t>
            </w:r>
          </w:p>
          <w:p w14:paraId="227297EF" w14:textId="2B1E7472" w:rsidR="00823785" w:rsidRPr="00452D62" w:rsidRDefault="00823785" w:rsidP="006453B9">
            <w:pPr>
              <w:tabs>
                <w:tab w:val="clear" w:pos="567"/>
              </w:tabs>
              <w:suppressAutoHyphens w:val="0"/>
              <w:autoSpaceDE w:val="0"/>
              <w:autoSpaceDN w:val="0"/>
              <w:adjustRightInd w:val="0"/>
              <w:spacing w:line="240" w:lineRule="auto"/>
              <w:jc w:val="center"/>
              <w:rPr>
                <w:rFonts w:eastAsia="Calibri"/>
                <w:b/>
                <w:color w:val="auto"/>
                <w:sz w:val="22"/>
                <w:szCs w:val="22"/>
                <w:lang w:eastAsia="en-US"/>
              </w:rPr>
            </w:pPr>
            <w:r w:rsidRPr="00452D62">
              <w:rPr>
                <w:rFonts w:eastAsia="Calibri"/>
                <w:b/>
                <w:color w:val="auto"/>
                <w:sz w:val="22"/>
                <w:szCs w:val="22"/>
                <w:lang w:eastAsia="en-US"/>
              </w:rPr>
              <w:t>n (%)</w:t>
            </w:r>
          </w:p>
        </w:tc>
      </w:tr>
      <w:tr w:rsidR="00823785" w:rsidRPr="00452D62" w14:paraId="057D0AA1" w14:textId="77777777" w:rsidTr="006453B9">
        <w:tc>
          <w:tcPr>
            <w:tcW w:w="3070" w:type="dxa"/>
            <w:shd w:val="clear" w:color="auto" w:fill="auto"/>
          </w:tcPr>
          <w:p w14:paraId="0025433B"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KV mirtis, miokardo infarktas arba insultas</w:t>
            </w:r>
          </w:p>
        </w:tc>
        <w:tc>
          <w:tcPr>
            <w:tcW w:w="3559" w:type="dxa"/>
            <w:shd w:val="clear" w:color="auto" w:fill="auto"/>
          </w:tcPr>
          <w:p w14:paraId="3090EA27" w14:textId="4A65F701"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153 (4,9 %)</w:t>
            </w:r>
          </w:p>
          <w:p w14:paraId="4273AB18" w14:textId="77777777" w:rsidR="00823785" w:rsidRPr="00452D62" w:rsidRDefault="00823785" w:rsidP="006453B9">
            <w:pPr>
              <w:tabs>
                <w:tab w:val="clear" w:pos="567"/>
                <w:tab w:val="left" w:pos="2146"/>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0,94 (0,75, 1,17) p=0,572</w:t>
            </w:r>
          </w:p>
        </w:tc>
        <w:tc>
          <w:tcPr>
            <w:tcW w:w="2581" w:type="dxa"/>
            <w:shd w:val="clear" w:color="auto" w:fill="auto"/>
          </w:tcPr>
          <w:p w14:paraId="6A77802C" w14:textId="44C1C70A"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165 (5,3 %)</w:t>
            </w:r>
          </w:p>
        </w:tc>
      </w:tr>
      <w:tr w:rsidR="00823785" w:rsidRPr="00452D62" w14:paraId="40414B60" w14:textId="77777777" w:rsidTr="006453B9">
        <w:tc>
          <w:tcPr>
            <w:tcW w:w="3070" w:type="dxa"/>
            <w:shd w:val="clear" w:color="auto" w:fill="auto"/>
          </w:tcPr>
          <w:p w14:paraId="290D7285"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KV mirtis</w:t>
            </w:r>
          </w:p>
        </w:tc>
        <w:tc>
          <w:tcPr>
            <w:tcW w:w="3559" w:type="dxa"/>
            <w:shd w:val="clear" w:color="auto" w:fill="auto"/>
          </w:tcPr>
          <w:p w14:paraId="03EF1C5B" w14:textId="58FDB721"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24 (0,8 %)</w:t>
            </w:r>
          </w:p>
          <w:p w14:paraId="071F7FD7" w14:textId="77777777"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0,54 (0,33, 0,89) p=0,013**</w:t>
            </w:r>
          </w:p>
        </w:tc>
        <w:tc>
          <w:tcPr>
            <w:tcW w:w="2581" w:type="dxa"/>
            <w:shd w:val="clear" w:color="auto" w:fill="auto"/>
          </w:tcPr>
          <w:p w14:paraId="5E781818" w14:textId="1867476E"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45 (1,5 %)</w:t>
            </w:r>
          </w:p>
        </w:tc>
      </w:tr>
      <w:tr w:rsidR="00823785" w:rsidRPr="00452D62" w14:paraId="5019D87D" w14:textId="77777777" w:rsidTr="006453B9">
        <w:tc>
          <w:tcPr>
            <w:tcW w:w="3070" w:type="dxa"/>
            <w:shd w:val="clear" w:color="auto" w:fill="auto"/>
          </w:tcPr>
          <w:p w14:paraId="23F588FA"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Mirtis dėl bet kokios priežasties</w:t>
            </w:r>
          </w:p>
        </w:tc>
        <w:tc>
          <w:tcPr>
            <w:tcW w:w="3559" w:type="dxa"/>
            <w:shd w:val="clear" w:color="auto" w:fill="auto"/>
          </w:tcPr>
          <w:p w14:paraId="1D94B644" w14:textId="4D2C03A7"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31 (1,0 %)</w:t>
            </w:r>
          </w:p>
          <w:p w14:paraId="6D210134" w14:textId="77777777"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0,64 (0,41, 1,01) p=0,053</w:t>
            </w:r>
          </w:p>
        </w:tc>
        <w:tc>
          <w:tcPr>
            <w:tcW w:w="2581" w:type="dxa"/>
            <w:shd w:val="clear" w:color="auto" w:fill="auto"/>
          </w:tcPr>
          <w:p w14:paraId="26381211" w14:textId="2C94FC74"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49 (1,6 %)</w:t>
            </w:r>
          </w:p>
        </w:tc>
      </w:tr>
      <w:tr w:rsidR="00823785" w:rsidRPr="00452D62" w14:paraId="6AEC0815" w14:textId="77777777" w:rsidTr="006453B9">
        <w:tc>
          <w:tcPr>
            <w:tcW w:w="3070" w:type="dxa"/>
            <w:shd w:val="clear" w:color="auto" w:fill="auto"/>
          </w:tcPr>
          <w:p w14:paraId="0A9303BD"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MI</w:t>
            </w:r>
          </w:p>
        </w:tc>
        <w:tc>
          <w:tcPr>
            <w:tcW w:w="3559" w:type="dxa"/>
            <w:shd w:val="clear" w:color="auto" w:fill="auto"/>
          </w:tcPr>
          <w:p w14:paraId="45031259" w14:textId="6AA5BF5C"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115 (3,7 %)</w:t>
            </w:r>
          </w:p>
          <w:p w14:paraId="21E3AC03" w14:textId="77777777" w:rsidR="00823785" w:rsidRPr="00452D62" w:rsidRDefault="00823785" w:rsidP="006453B9">
            <w:pPr>
              <w:tabs>
                <w:tab w:val="clear" w:pos="567"/>
                <w:tab w:val="left" w:pos="1060"/>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1,03 (0,79, 1,33) p=0,829</w:t>
            </w:r>
          </w:p>
        </w:tc>
        <w:tc>
          <w:tcPr>
            <w:tcW w:w="2581" w:type="dxa"/>
            <w:shd w:val="clear" w:color="auto" w:fill="auto"/>
          </w:tcPr>
          <w:p w14:paraId="364AB41A" w14:textId="73AB28BA"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113 (3,6 %)</w:t>
            </w:r>
          </w:p>
        </w:tc>
      </w:tr>
      <w:tr w:rsidR="00823785" w:rsidRPr="00452D62" w14:paraId="11122DA6" w14:textId="77777777" w:rsidTr="006453B9">
        <w:tc>
          <w:tcPr>
            <w:tcW w:w="3070" w:type="dxa"/>
            <w:shd w:val="clear" w:color="auto" w:fill="auto"/>
          </w:tcPr>
          <w:p w14:paraId="7BFF0822"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Insultas</w:t>
            </w:r>
          </w:p>
        </w:tc>
        <w:tc>
          <w:tcPr>
            <w:tcW w:w="3559" w:type="dxa"/>
            <w:shd w:val="clear" w:color="auto" w:fill="auto"/>
          </w:tcPr>
          <w:p w14:paraId="01E7FFF5" w14:textId="08464E87"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27 (0,9 %)</w:t>
            </w:r>
          </w:p>
          <w:p w14:paraId="3C531A5E" w14:textId="77777777"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1,30 (0,74, 2,31) p=0,360</w:t>
            </w:r>
          </w:p>
        </w:tc>
        <w:tc>
          <w:tcPr>
            <w:tcW w:w="2581" w:type="dxa"/>
            <w:shd w:val="clear" w:color="auto" w:fill="auto"/>
          </w:tcPr>
          <w:p w14:paraId="5B27631D" w14:textId="0C3F3456"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21 (0,7 %)</w:t>
            </w:r>
          </w:p>
        </w:tc>
      </w:tr>
      <w:tr w:rsidR="00823785" w:rsidRPr="00452D62" w14:paraId="21513481" w14:textId="77777777" w:rsidTr="006453B9">
        <w:tc>
          <w:tcPr>
            <w:tcW w:w="3070" w:type="dxa"/>
            <w:shd w:val="clear" w:color="auto" w:fill="auto"/>
          </w:tcPr>
          <w:p w14:paraId="016DF22E"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Stento trombozė</w:t>
            </w:r>
          </w:p>
        </w:tc>
        <w:tc>
          <w:tcPr>
            <w:tcW w:w="3559" w:type="dxa"/>
            <w:shd w:val="clear" w:color="auto" w:fill="auto"/>
          </w:tcPr>
          <w:p w14:paraId="71F07D04" w14:textId="6FC78FEC"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47 (1,5 %)</w:t>
            </w:r>
          </w:p>
          <w:p w14:paraId="31F8E609" w14:textId="77777777"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0,66 (0,46, 0,95) p=0,026**</w:t>
            </w:r>
          </w:p>
        </w:tc>
        <w:tc>
          <w:tcPr>
            <w:tcW w:w="2581" w:type="dxa"/>
            <w:shd w:val="clear" w:color="auto" w:fill="auto"/>
          </w:tcPr>
          <w:p w14:paraId="349DB5B8" w14:textId="55E931EA"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71 (2,3 %)</w:t>
            </w:r>
          </w:p>
        </w:tc>
      </w:tr>
    </w:tbl>
    <w:p w14:paraId="4357F87A" w14:textId="77777777" w:rsidR="00823785" w:rsidRPr="00452D62" w:rsidRDefault="00823785" w:rsidP="00823785">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 xml:space="preserve">a) modifikuota ketintų gydytų tiriamųjų (angl. </w:t>
      </w:r>
      <w:r w:rsidRPr="00452D62">
        <w:rPr>
          <w:rFonts w:eastAsia="Calibri"/>
          <w:i/>
          <w:iCs/>
          <w:color w:val="auto"/>
          <w:sz w:val="22"/>
          <w:szCs w:val="22"/>
          <w:lang w:eastAsia="en-US"/>
        </w:rPr>
        <w:t>intent to treat</w:t>
      </w:r>
      <w:r w:rsidRPr="00452D62">
        <w:rPr>
          <w:rFonts w:eastAsia="Calibri"/>
          <w:color w:val="auto"/>
          <w:sz w:val="22"/>
          <w:szCs w:val="22"/>
          <w:lang w:eastAsia="en-US"/>
        </w:rPr>
        <w:t>) grupė (</w:t>
      </w:r>
      <w:r w:rsidRPr="00452D62">
        <w:rPr>
          <w:rFonts w:eastAsia="Calibri"/>
          <w:i/>
          <w:iCs/>
          <w:color w:val="auto"/>
          <w:sz w:val="22"/>
          <w:szCs w:val="22"/>
          <w:lang w:eastAsia="en-US"/>
        </w:rPr>
        <w:t>intent to treat</w:t>
      </w:r>
      <w:r w:rsidRPr="000877E9">
        <w:rPr>
          <w:rFonts w:eastAsia="Calibri"/>
          <w:color w:val="auto"/>
          <w:sz w:val="22"/>
          <w:szCs w:val="22"/>
          <w:lang w:eastAsia="en-US"/>
        </w:rPr>
        <w:t xml:space="preserve"> bendrosios analizės grupė stento trombozei)</w:t>
      </w:r>
    </w:p>
    <w:p w14:paraId="20E44254" w14:textId="77777777" w:rsidR="00823785" w:rsidRPr="00452D62" w:rsidRDefault="00823785" w:rsidP="00823785">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 xml:space="preserve">b) palyginti su placebu; </w:t>
      </w:r>
      <w:r w:rsidRPr="00452D62">
        <w:rPr>
          <w:rFonts w:eastAsia="Calibri"/>
          <w:i/>
          <w:iCs/>
          <w:color w:val="auto"/>
          <w:sz w:val="22"/>
          <w:szCs w:val="22"/>
          <w:lang w:eastAsia="en-US"/>
        </w:rPr>
        <w:t>Log-Rank</w:t>
      </w:r>
      <w:r w:rsidRPr="00452D62">
        <w:rPr>
          <w:rFonts w:eastAsia="Calibri"/>
          <w:color w:val="auto"/>
          <w:sz w:val="22"/>
          <w:szCs w:val="22"/>
          <w:lang w:eastAsia="en-US"/>
        </w:rPr>
        <w:t xml:space="preserve"> p rodmuo</w:t>
      </w:r>
    </w:p>
    <w:p w14:paraId="6FD15A78" w14:textId="77777777" w:rsidR="00823785" w:rsidRPr="00452D62" w:rsidRDefault="00823785" w:rsidP="00823785">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 nominaliai reikšmingas</w:t>
      </w:r>
    </w:p>
    <w:p w14:paraId="4D889226" w14:textId="77777777" w:rsidR="00823785" w:rsidRPr="00452D62" w:rsidRDefault="00823785" w:rsidP="00823785">
      <w:pPr>
        <w:tabs>
          <w:tab w:val="clear" w:pos="567"/>
        </w:tabs>
        <w:suppressAutoHyphens w:val="0"/>
        <w:autoSpaceDE w:val="0"/>
        <w:autoSpaceDN w:val="0"/>
        <w:adjustRightInd w:val="0"/>
        <w:spacing w:line="240" w:lineRule="auto"/>
        <w:rPr>
          <w:rFonts w:eastAsia="Calibri"/>
          <w:color w:val="auto"/>
          <w:sz w:val="22"/>
          <w:szCs w:val="22"/>
          <w:lang w:eastAsia="en-US"/>
        </w:rPr>
      </w:pPr>
    </w:p>
    <w:p w14:paraId="0B5B8CA8" w14:textId="3E24B9EC" w:rsidR="00823785" w:rsidRPr="00452D62" w:rsidRDefault="00823785" w:rsidP="00823785">
      <w:pPr>
        <w:tabs>
          <w:tab w:val="clear" w:pos="567"/>
        </w:tabs>
        <w:suppressAutoHyphens w:val="0"/>
        <w:autoSpaceDE w:val="0"/>
        <w:autoSpaceDN w:val="0"/>
        <w:adjustRightInd w:val="0"/>
        <w:spacing w:line="240" w:lineRule="auto"/>
        <w:rPr>
          <w:rFonts w:eastAsia="Calibri"/>
          <w:b/>
          <w:bCs/>
          <w:color w:val="auto"/>
          <w:sz w:val="22"/>
          <w:szCs w:val="22"/>
          <w:lang w:eastAsia="en-US"/>
        </w:rPr>
      </w:pPr>
      <w:r w:rsidRPr="00452D62">
        <w:rPr>
          <w:rFonts w:eastAsia="Calibri"/>
          <w:b/>
          <w:bCs/>
          <w:color w:val="auto"/>
          <w:sz w:val="22"/>
          <w:szCs w:val="22"/>
          <w:lang w:eastAsia="en-US"/>
        </w:rPr>
        <w:t>6 lentelė. Saugumo rezultatai, gauti III fazės ATLAS ŪKS 2 TIMI 51 tyrimo metu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1"/>
        <w:gridCol w:w="3504"/>
        <w:gridCol w:w="2535"/>
      </w:tblGrid>
      <w:tr w:rsidR="00823785" w:rsidRPr="00452D62" w14:paraId="2319777E" w14:textId="77777777" w:rsidTr="006453B9">
        <w:tc>
          <w:tcPr>
            <w:tcW w:w="3070" w:type="dxa"/>
            <w:shd w:val="clear" w:color="auto" w:fill="auto"/>
          </w:tcPr>
          <w:p w14:paraId="522FBC22" w14:textId="77777777" w:rsidR="00823785" w:rsidRPr="00452D62" w:rsidRDefault="00823785" w:rsidP="006453B9">
            <w:pPr>
              <w:tabs>
                <w:tab w:val="clear" w:pos="567"/>
              </w:tabs>
              <w:suppressAutoHyphens w:val="0"/>
              <w:spacing w:line="240" w:lineRule="auto"/>
              <w:rPr>
                <w:rFonts w:eastAsia="Calibri"/>
                <w:color w:val="auto"/>
                <w:sz w:val="22"/>
                <w:szCs w:val="22"/>
                <w:lang w:eastAsia="en-US"/>
              </w:rPr>
            </w:pPr>
            <w:r w:rsidRPr="00452D62">
              <w:rPr>
                <w:rFonts w:eastAsia="Calibri"/>
                <w:b/>
                <w:bCs/>
                <w:color w:val="auto"/>
                <w:position w:val="5"/>
                <w:sz w:val="22"/>
                <w:szCs w:val="22"/>
                <w:lang w:eastAsia="en-US"/>
              </w:rPr>
              <w:t>Tyrimo populiacija</w:t>
            </w:r>
          </w:p>
        </w:tc>
        <w:tc>
          <w:tcPr>
            <w:tcW w:w="6140" w:type="dxa"/>
            <w:gridSpan w:val="2"/>
            <w:shd w:val="clear" w:color="auto" w:fill="auto"/>
          </w:tcPr>
          <w:p w14:paraId="0C51398C" w14:textId="77777777" w:rsidR="00823785" w:rsidRPr="00452D62" w:rsidRDefault="00823785" w:rsidP="006453B9">
            <w:pPr>
              <w:tabs>
                <w:tab w:val="clear" w:pos="567"/>
              </w:tabs>
              <w:suppressAutoHyphens w:val="0"/>
              <w:autoSpaceDE w:val="0"/>
              <w:autoSpaceDN w:val="0"/>
              <w:adjustRightInd w:val="0"/>
              <w:spacing w:line="223" w:lineRule="exact"/>
              <w:ind w:right="-20"/>
              <w:rPr>
                <w:rFonts w:eastAsia="Calibri"/>
                <w:color w:val="auto"/>
                <w:sz w:val="22"/>
                <w:szCs w:val="22"/>
                <w:lang w:eastAsia="en-US"/>
              </w:rPr>
            </w:pPr>
            <w:r w:rsidRPr="00452D62">
              <w:rPr>
                <w:rFonts w:eastAsia="Calibri"/>
                <w:b/>
                <w:bCs/>
                <w:color w:val="auto"/>
                <w:spacing w:val="1"/>
                <w:sz w:val="22"/>
                <w:szCs w:val="22"/>
                <w:lang w:eastAsia="en-US"/>
              </w:rPr>
              <w:t>Neseniai ūminį koronarinį sindromą patyrę pacientai</w:t>
            </w:r>
            <w:r w:rsidRPr="00452D62">
              <w:rPr>
                <w:rFonts w:eastAsia="Calibri"/>
                <w:b/>
                <w:bCs/>
                <w:color w:val="auto"/>
                <w:spacing w:val="2"/>
                <w:sz w:val="22"/>
                <w:szCs w:val="22"/>
                <w:vertAlign w:val="superscript"/>
                <w:lang w:eastAsia="en-US"/>
              </w:rPr>
              <w:t>a</w:t>
            </w:r>
            <w:r w:rsidRPr="00452D62">
              <w:rPr>
                <w:rFonts w:eastAsia="Calibri"/>
                <w:b/>
                <w:bCs/>
                <w:color w:val="auto"/>
                <w:sz w:val="22"/>
                <w:szCs w:val="22"/>
                <w:vertAlign w:val="superscript"/>
                <w:lang w:eastAsia="en-US"/>
              </w:rPr>
              <w:t>)</w:t>
            </w:r>
          </w:p>
        </w:tc>
      </w:tr>
      <w:tr w:rsidR="00823785" w:rsidRPr="00452D62" w14:paraId="795C04DD" w14:textId="77777777" w:rsidTr="006453B9">
        <w:tc>
          <w:tcPr>
            <w:tcW w:w="3070" w:type="dxa"/>
            <w:shd w:val="clear" w:color="auto" w:fill="auto"/>
          </w:tcPr>
          <w:p w14:paraId="2309E921" w14:textId="77777777" w:rsidR="00823785" w:rsidRPr="00452D62" w:rsidRDefault="00823785" w:rsidP="006453B9">
            <w:pPr>
              <w:tabs>
                <w:tab w:val="clear" w:pos="567"/>
              </w:tabs>
              <w:suppressAutoHyphens w:val="0"/>
              <w:autoSpaceDE w:val="0"/>
              <w:autoSpaceDN w:val="0"/>
              <w:adjustRightInd w:val="0"/>
              <w:spacing w:line="240" w:lineRule="auto"/>
              <w:rPr>
                <w:rFonts w:eastAsia="Calibri"/>
                <w:b/>
                <w:color w:val="auto"/>
                <w:sz w:val="22"/>
                <w:szCs w:val="22"/>
                <w:lang w:eastAsia="en-US"/>
              </w:rPr>
            </w:pPr>
            <w:r w:rsidRPr="00452D62">
              <w:rPr>
                <w:rFonts w:eastAsia="Calibri"/>
                <w:b/>
                <w:color w:val="auto"/>
                <w:sz w:val="22"/>
                <w:szCs w:val="22"/>
                <w:lang w:eastAsia="en-US"/>
              </w:rPr>
              <w:t>Gydymo dozė</w:t>
            </w:r>
          </w:p>
        </w:tc>
        <w:tc>
          <w:tcPr>
            <w:tcW w:w="3559" w:type="dxa"/>
            <w:shd w:val="clear" w:color="auto" w:fill="auto"/>
          </w:tcPr>
          <w:p w14:paraId="4E414DFC" w14:textId="77777777" w:rsidR="00823785" w:rsidRPr="00452D62" w:rsidRDefault="00823785" w:rsidP="006453B9">
            <w:pPr>
              <w:tabs>
                <w:tab w:val="clear" w:pos="567"/>
              </w:tabs>
              <w:suppressAutoHyphens w:val="0"/>
              <w:autoSpaceDE w:val="0"/>
              <w:autoSpaceDN w:val="0"/>
              <w:adjustRightInd w:val="0"/>
              <w:spacing w:line="240" w:lineRule="auto"/>
              <w:jc w:val="center"/>
              <w:rPr>
                <w:rFonts w:eastAsia="Calibri"/>
                <w:b/>
                <w:color w:val="auto"/>
                <w:sz w:val="22"/>
                <w:szCs w:val="22"/>
                <w:lang w:eastAsia="en-US"/>
              </w:rPr>
            </w:pPr>
            <w:r w:rsidRPr="00452D62">
              <w:rPr>
                <w:rFonts w:eastAsia="Calibri"/>
                <w:b/>
                <w:color w:val="auto"/>
                <w:sz w:val="22"/>
                <w:szCs w:val="22"/>
                <w:lang w:eastAsia="en-US"/>
              </w:rPr>
              <w:t>Rivaroksabanas 2,5 mg du kartus per parą, N=5115</w:t>
            </w:r>
          </w:p>
          <w:p w14:paraId="3A59A2D3" w14:textId="6E2CCE79" w:rsidR="00823785" w:rsidRPr="00452D62" w:rsidRDefault="00823785" w:rsidP="006453B9">
            <w:pPr>
              <w:tabs>
                <w:tab w:val="clear" w:pos="567"/>
              </w:tabs>
              <w:suppressAutoHyphens w:val="0"/>
              <w:autoSpaceDE w:val="0"/>
              <w:autoSpaceDN w:val="0"/>
              <w:adjustRightInd w:val="0"/>
              <w:spacing w:line="240" w:lineRule="auto"/>
              <w:jc w:val="center"/>
              <w:rPr>
                <w:rFonts w:eastAsia="Calibri"/>
                <w:b/>
                <w:color w:val="auto"/>
                <w:sz w:val="22"/>
                <w:szCs w:val="22"/>
                <w:lang w:eastAsia="en-US"/>
              </w:rPr>
            </w:pPr>
            <w:r w:rsidRPr="00452D62">
              <w:rPr>
                <w:rFonts w:eastAsia="Calibri"/>
                <w:b/>
                <w:color w:val="auto"/>
                <w:sz w:val="22"/>
                <w:szCs w:val="22"/>
                <w:lang w:eastAsia="en-US"/>
              </w:rPr>
              <w:t>n (%)</w:t>
            </w:r>
          </w:p>
          <w:p w14:paraId="1BC8502C" w14:textId="47F9EA73" w:rsidR="00823785" w:rsidRPr="00452D62" w:rsidRDefault="00823785" w:rsidP="006453B9">
            <w:pPr>
              <w:tabs>
                <w:tab w:val="clear" w:pos="567"/>
              </w:tabs>
              <w:suppressAutoHyphens w:val="0"/>
              <w:autoSpaceDE w:val="0"/>
              <w:autoSpaceDN w:val="0"/>
              <w:adjustRightInd w:val="0"/>
              <w:spacing w:line="240" w:lineRule="auto"/>
              <w:jc w:val="center"/>
              <w:rPr>
                <w:rFonts w:eastAsia="Calibri"/>
                <w:b/>
                <w:color w:val="auto"/>
                <w:sz w:val="22"/>
                <w:szCs w:val="22"/>
                <w:lang w:eastAsia="en-US"/>
              </w:rPr>
            </w:pPr>
            <w:r w:rsidRPr="00452D62">
              <w:rPr>
                <w:rFonts w:eastAsia="Calibri"/>
                <w:b/>
                <w:color w:val="auto"/>
                <w:sz w:val="22"/>
                <w:szCs w:val="22"/>
                <w:lang w:eastAsia="en-US"/>
              </w:rPr>
              <w:t>RS (95% PI) p rodmuo</w:t>
            </w:r>
            <w:r w:rsidRPr="00452D62">
              <w:rPr>
                <w:rFonts w:eastAsia="Calibri"/>
                <w:b/>
                <w:color w:val="auto"/>
                <w:sz w:val="22"/>
                <w:szCs w:val="22"/>
                <w:vertAlign w:val="superscript"/>
                <w:lang w:eastAsia="en-US"/>
              </w:rPr>
              <w:t>b)</w:t>
            </w:r>
          </w:p>
        </w:tc>
        <w:tc>
          <w:tcPr>
            <w:tcW w:w="2581" w:type="dxa"/>
            <w:shd w:val="clear" w:color="auto" w:fill="auto"/>
          </w:tcPr>
          <w:p w14:paraId="6EB86174" w14:textId="77777777" w:rsidR="00823785" w:rsidRPr="00452D62" w:rsidRDefault="00823785" w:rsidP="006453B9">
            <w:pPr>
              <w:tabs>
                <w:tab w:val="clear" w:pos="567"/>
              </w:tabs>
              <w:suppressAutoHyphens w:val="0"/>
              <w:autoSpaceDE w:val="0"/>
              <w:autoSpaceDN w:val="0"/>
              <w:adjustRightInd w:val="0"/>
              <w:spacing w:line="240" w:lineRule="auto"/>
              <w:jc w:val="center"/>
              <w:rPr>
                <w:rFonts w:eastAsia="Calibri"/>
                <w:b/>
                <w:color w:val="auto"/>
                <w:sz w:val="22"/>
                <w:szCs w:val="22"/>
                <w:lang w:eastAsia="en-US"/>
              </w:rPr>
            </w:pPr>
            <w:r w:rsidRPr="00452D62">
              <w:rPr>
                <w:rFonts w:eastAsia="Calibri"/>
                <w:b/>
                <w:color w:val="auto"/>
                <w:sz w:val="22"/>
                <w:szCs w:val="22"/>
                <w:lang w:eastAsia="en-US"/>
              </w:rPr>
              <w:t>Placebas</w:t>
            </w:r>
          </w:p>
          <w:p w14:paraId="327F8532" w14:textId="77777777" w:rsidR="00823785" w:rsidRPr="00452D62" w:rsidRDefault="00823785" w:rsidP="006453B9">
            <w:pPr>
              <w:tabs>
                <w:tab w:val="clear" w:pos="567"/>
              </w:tabs>
              <w:suppressAutoHyphens w:val="0"/>
              <w:autoSpaceDE w:val="0"/>
              <w:autoSpaceDN w:val="0"/>
              <w:adjustRightInd w:val="0"/>
              <w:spacing w:line="240" w:lineRule="auto"/>
              <w:jc w:val="center"/>
              <w:rPr>
                <w:rFonts w:eastAsia="Calibri"/>
                <w:b/>
                <w:color w:val="auto"/>
                <w:sz w:val="22"/>
                <w:szCs w:val="22"/>
                <w:lang w:eastAsia="en-US"/>
              </w:rPr>
            </w:pPr>
            <w:r w:rsidRPr="00452D62">
              <w:rPr>
                <w:rFonts w:eastAsia="Calibri"/>
                <w:b/>
                <w:color w:val="auto"/>
                <w:sz w:val="22"/>
                <w:szCs w:val="22"/>
                <w:lang w:eastAsia="en-US"/>
              </w:rPr>
              <w:t>N=5125</w:t>
            </w:r>
          </w:p>
          <w:p w14:paraId="612591EC" w14:textId="59A4063B" w:rsidR="00823785" w:rsidRPr="00452D62" w:rsidRDefault="00823785" w:rsidP="006453B9">
            <w:pPr>
              <w:tabs>
                <w:tab w:val="clear" w:pos="567"/>
              </w:tabs>
              <w:suppressAutoHyphens w:val="0"/>
              <w:autoSpaceDE w:val="0"/>
              <w:autoSpaceDN w:val="0"/>
              <w:adjustRightInd w:val="0"/>
              <w:spacing w:line="240" w:lineRule="auto"/>
              <w:jc w:val="center"/>
              <w:rPr>
                <w:rFonts w:eastAsia="Calibri"/>
                <w:b/>
                <w:color w:val="auto"/>
                <w:sz w:val="22"/>
                <w:szCs w:val="22"/>
                <w:lang w:eastAsia="en-US"/>
              </w:rPr>
            </w:pPr>
            <w:r w:rsidRPr="00452D62">
              <w:rPr>
                <w:rFonts w:eastAsia="Calibri"/>
                <w:b/>
                <w:color w:val="auto"/>
                <w:sz w:val="22"/>
                <w:szCs w:val="22"/>
                <w:lang w:eastAsia="en-US"/>
              </w:rPr>
              <w:t>n(%)</w:t>
            </w:r>
          </w:p>
        </w:tc>
      </w:tr>
      <w:tr w:rsidR="00823785" w:rsidRPr="00452D62" w14:paraId="49AB79F9" w14:textId="77777777" w:rsidTr="006453B9">
        <w:tc>
          <w:tcPr>
            <w:tcW w:w="3070" w:type="dxa"/>
            <w:shd w:val="clear" w:color="auto" w:fill="auto"/>
          </w:tcPr>
          <w:p w14:paraId="5A339555"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Ne CABG TIMI didžiojo kraujavimo reiškinys</w:t>
            </w:r>
          </w:p>
        </w:tc>
        <w:tc>
          <w:tcPr>
            <w:tcW w:w="3559" w:type="dxa"/>
            <w:shd w:val="clear" w:color="auto" w:fill="auto"/>
          </w:tcPr>
          <w:p w14:paraId="07F4D23F" w14:textId="048FF814"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65 (1,3 %)</w:t>
            </w:r>
          </w:p>
          <w:p w14:paraId="563271BC" w14:textId="77777777" w:rsidR="00823785" w:rsidRPr="00452D62" w:rsidRDefault="00823785" w:rsidP="006453B9">
            <w:pPr>
              <w:tabs>
                <w:tab w:val="clear" w:pos="567"/>
                <w:tab w:val="left" w:pos="2146"/>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3,46 (2,08, 5,77) p=&lt; 0,001*</w:t>
            </w:r>
          </w:p>
        </w:tc>
        <w:tc>
          <w:tcPr>
            <w:tcW w:w="2581" w:type="dxa"/>
            <w:shd w:val="clear" w:color="auto" w:fill="auto"/>
          </w:tcPr>
          <w:p w14:paraId="684211A3" w14:textId="222CC74C"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19 (0,4 %)</w:t>
            </w:r>
          </w:p>
        </w:tc>
      </w:tr>
      <w:tr w:rsidR="00823785" w:rsidRPr="00452D62" w14:paraId="41635393" w14:textId="77777777" w:rsidTr="006453B9">
        <w:tc>
          <w:tcPr>
            <w:tcW w:w="3070" w:type="dxa"/>
            <w:shd w:val="clear" w:color="auto" w:fill="auto"/>
          </w:tcPr>
          <w:p w14:paraId="5273248A"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Mirtį sukėlęs kraujavimas</w:t>
            </w:r>
          </w:p>
        </w:tc>
        <w:tc>
          <w:tcPr>
            <w:tcW w:w="3559" w:type="dxa"/>
            <w:shd w:val="clear" w:color="auto" w:fill="auto"/>
          </w:tcPr>
          <w:p w14:paraId="264DAF3B" w14:textId="2AE672A5"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6 (0,1 %)</w:t>
            </w:r>
          </w:p>
          <w:p w14:paraId="0D482FE5" w14:textId="77777777"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0,67 (0,24, 1,89) p=0,450</w:t>
            </w:r>
          </w:p>
        </w:tc>
        <w:tc>
          <w:tcPr>
            <w:tcW w:w="2581" w:type="dxa"/>
            <w:shd w:val="clear" w:color="auto" w:fill="auto"/>
          </w:tcPr>
          <w:p w14:paraId="25622648" w14:textId="65C8FB15"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9 (0,2 %)</w:t>
            </w:r>
          </w:p>
        </w:tc>
      </w:tr>
      <w:tr w:rsidR="00823785" w:rsidRPr="00452D62" w14:paraId="5647A623" w14:textId="77777777" w:rsidTr="006453B9">
        <w:tc>
          <w:tcPr>
            <w:tcW w:w="3070" w:type="dxa"/>
            <w:shd w:val="clear" w:color="auto" w:fill="auto"/>
          </w:tcPr>
          <w:p w14:paraId="1A8A09D1"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Simptominis intrakranijinis kraujavimas</w:t>
            </w:r>
          </w:p>
        </w:tc>
        <w:tc>
          <w:tcPr>
            <w:tcW w:w="3559" w:type="dxa"/>
            <w:shd w:val="clear" w:color="auto" w:fill="auto"/>
          </w:tcPr>
          <w:p w14:paraId="3CA7617B" w14:textId="6A5537FB"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14 (0,3 %)</w:t>
            </w:r>
          </w:p>
          <w:p w14:paraId="7C537B41" w14:textId="77777777"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2,83 (1,02, 7,86) p=0,037</w:t>
            </w:r>
          </w:p>
        </w:tc>
        <w:tc>
          <w:tcPr>
            <w:tcW w:w="2581" w:type="dxa"/>
            <w:shd w:val="clear" w:color="auto" w:fill="auto"/>
          </w:tcPr>
          <w:p w14:paraId="29AC6912" w14:textId="625192D7"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5 (0,1 %)</w:t>
            </w:r>
          </w:p>
        </w:tc>
      </w:tr>
      <w:tr w:rsidR="00823785" w:rsidRPr="00452D62" w14:paraId="7B9BF489" w14:textId="77777777" w:rsidTr="006453B9">
        <w:tc>
          <w:tcPr>
            <w:tcW w:w="3070" w:type="dxa"/>
            <w:shd w:val="clear" w:color="auto" w:fill="auto"/>
          </w:tcPr>
          <w:p w14:paraId="15BD7B50"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Hipotenzija, kurią reikėjo gydyti intraveniniais inotropiniais vaistiniais preparatais</w:t>
            </w:r>
          </w:p>
        </w:tc>
        <w:tc>
          <w:tcPr>
            <w:tcW w:w="3559" w:type="dxa"/>
            <w:shd w:val="clear" w:color="auto" w:fill="auto"/>
          </w:tcPr>
          <w:p w14:paraId="21306370" w14:textId="6E7B2934" w:rsidR="00823785" w:rsidRPr="00452D62" w:rsidRDefault="00823785" w:rsidP="006453B9">
            <w:pPr>
              <w:tabs>
                <w:tab w:val="clear" w:pos="567"/>
                <w:tab w:val="left" w:pos="1060"/>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3 (0,1 %)</w:t>
            </w:r>
          </w:p>
        </w:tc>
        <w:tc>
          <w:tcPr>
            <w:tcW w:w="2581" w:type="dxa"/>
            <w:shd w:val="clear" w:color="auto" w:fill="auto"/>
          </w:tcPr>
          <w:p w14:paraId="58637C14" w14:textId="05E8ADB3"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3 (0,1 %)</w:t>
            </w:r>
          </w:p>
        </w:tc>
      </w:tr>
      <w:tr w:rsidR="00823785" w:rsidRPr="00452D62" w14:paraId="521584C1" w14:textId="77777777" w:rsidTr="006453B9">
        <w:tc>
          <w:tcPr>
            <w:tcW w:w="3070" w:type="dxa"/>
            <w:shd w:val="clear" w:color="auto" w:fill="auto"/>
          </w:tcPr>
          <w:p w14:paraId="290133D7"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Chirurginė intervencija dėl besitęsiančio kraujavimo</w:t>
            </w:r>
          </w:p>
        </w:tc>
        <w:tc>
          <w:tcPr>
            <w:tcW w:w="3559" w:type="dxa"/>
            <w:shd w:val="clear" w:color="auto" w:fill="auto"/>
          </w:tcPr>
          <w:p w14:paraId="2E2E938D" w14:textId="4A5C5E9B"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7 (0,1 %)</w:t>
            </w:r>
          </w:p>
        </w:tc>
        <w:tc>
          <w:tcPr>
            <w:tcW w:w="2581" w:type="dxa"/>
            <w:shd w:val="clear" w:color="auto" w:fill="auto"/>
          </w:tcPr>
          <w:p w14:paraId="4BDF56E6" w14:textId="54A62B16"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9 (0,2 %)</w:t>
            </w:r>
          </w:p>
        </w:tc>
      </w:tr>
      <w:tr w:rsidR="00823785" w:rsidRPr="00452D62" w14:paraId="3A888CE8" w14:textId="77777777" w:rsidTr="006453B9">
        <w:tc>
          <w:tcPr>
            <w:tcW w:w="3070" w:type="dxa"/>
            <w:shd w:val="clear" w:color="auto" w:fill="auto"/>
          </w:tcPr>
          <w:p w14:paraId="1E92B9BB"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4 ar daugiau kraujo vienetų perpylimas per 48 valandas</w:t>
            </w:r>
          </w:p>
        </w:tc>
        <w:tc>
          <w:tcPr>
            <w:tcW w:w="3559" w:type="dxa"/>
            <w:shd w:val="clear" w:color="auto" w:fill="auto"/>
          </w:tcPr>
          <w:p w14:paraId="7DEBF7B2" w14:textId="05CFCF7A"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19 (0,4 %)</w:t>
            </w:r>
          </w:p>
        </w:tc>
        <w:tc>
          <w:tcPr>
            <w:tcW w:w="2581" w:type="dxa"/>
            <w:shd w:val="clear" w:color="auto" w:fill="auto"/>
          </w:tcPr>
          <w:p w14:paraId="608A73C7" w14:textId="10571EB1" w:rsidR="00823785" w:rsidRPr="00452D62"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452D62">
              <w:rPr>
                <w:rFonts w:eastAsia="Calibri"/>
                <w:color w:val="auto"/>
                <w:sz w:val="22"/>
                <w:szCs w:val="22"/>
                <w:lang w:eastAsia="en-US"/>
              </w:rPr>
              <w:t>6 (0,1 %)</w:t>
            </w:r>
          </w:p>
        </w:tc>
      </w:tr>
    </w:tbl>
    <w:p w14:paraId="2392848A" w14:textId="77777777" w:rsidR="00823785" w:rsidRPr="00452D62" w:rsidRDefault="00823785" w:rsidP="00823785">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a) saugumo populiacija, taikytas gydymas</w:t>
      </w:r>
    </w:p>
    <w:p w14:paraId="46F356F5" w14:textId="77777777" w:rsidR="00823785" w:rsidRPr="00452D62" w:rsidRDefault="00823785" w:rsidP="00823785">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 xml:space="preserve">b) palyginti su placebu; </w:t>
      </w:r>
      <w:r w:rsidRPr="00452D62">
        <w:rPr>
          <w:rFonts w:eastAsia="Calibri"/>
          <w:i/>
          <w:iCs/>
          <w:color w:val="auto"/>
          <w:sz w:val="22"/>
          <w:szCs w:val="22"/>
          <w:lang w:eastAsia="en-US"/>
        </w:rPr>
        <w:t>Log-Rank</w:t>
      </w:r>
      <w:r w:rsidRPr="00452D62">
        <w:rPr>
          <w:rFonts w:eastAsia="Calibri"/>
          <w:color w:val="auto"/>
          <w:sz w:val="22"/>
          <w:szCs w:val="22"/>
          <w:lang w:eastAsia="en-US"/>
        </w:rPr>
        <w:t xml:space="preserve"> p rodmuo</w:t>
      </w:r>
    </w:p>
    <w:p w14:paraId="005BD105" w14:textId="77777777" w:rsidR="00823785" w:rsidRPr="008C3DF7" w:rsidRDefault="00823785" w:rsidP="00823785">
      <w:pPr>
        <w:tabs>
          <w:tab w:val="clear" w:pos="567"/>
        </w:tabs>
        <w:suppressAutoHyphens w:val="0"/>
        <w:autoSpaceDE w:val="0"/>
        <w:autoSpaceDN w:val="0"/>
        <w:adjustRightInd w:val="0"/>
        <w:spacing w:line="240" w:lineRule="auto"/>
        <w:rPr>
          <w:rFonts w:eastAsia="Calibri"/>
          <w:color w:val="auto"/>
          <w:sz w:val="22"/>
          <w:szCs w:val="22"/>
        </w:rPr>
      </w:pPr>
      <w:r w:rsidRPr="00452D62">
        <w:rPr>
          <w:rFonts w:eastAsia="Calibri"/>
          <w:color w:val="auto"/>
          <w:sz w:val="22"/>
          <w:szCs w:val="22"/>
          <w:lang w:eastAsia="en-US"/>
        </w:rPr>
        <w:t>* statistiškai reikšmingas</w:t>
      </w:r>
    </w:p>
    <w:p w14:paraId="5D6E6263" w14:textId="77777777" w:rsidR="00823785" w:rsidRPr="00452D62" w:rsidRDefault="00823785" w:rsidP="00823785">
      <w:pPr>
        <w:tabs>
          <w:tab w:val="clear" w:pos="567"/>
        </w:tabs>
        <w:suppressAutoHyphens w:val="0"/>
        <w:autoSpaceDE w:val="0"/>
        <w:autoSpaceDN w:val="0"/>
        <w:adjustRightInd w:val="0"/>
        <w:spacing w:line="240" w:lineRule="auto"/>
        <w:rPr>
          <w:rFonts w:eastAsia="Calibri"/>
          <w:color w:val="auto"/>
          <w:sz w:val="22"/>
          <w:szCs w:val="22"/>
          <w:lang w:eastAsia="en-US"/>
        </w:rPr>
      </w:pPr>
    </w:p>
    <w:p w14:paraId="6EC16B4C" w14:textId="21FD636F" w:rsidR="00823785" w:rsidRPr="00452D62" w:rsidRDefault="00823785" w:rsidP="00823785">
      <w:pPr>
        <w:widowControl w:val="0"/>
        <w:tabs>
          <w:tab w:val="clear" w:pos="567"/>
        </w:tabs>
        <w:suppressAutoHyphens w:val="0"/>
        <w:autoSpaceDE w:val="0"/>
        <w:autoSpaceDN w:val="0"/>
        <w:adjustRightInd w:val="0"/>
        <w:spacing w:line="240" w:lineRule="auto"/>
        <w:rPr>
          <w:rFonts w:eastAsia="Calibri"/>
          <w:b/>
          <w:color w:val="auto"/>
          <w:sz w:val="22"/>
          <w:szCs w:val="22"/>
          <w:lang w:eastAsia="en-US"/>
        </w:rPr>
      </w:pPr>
      <w:r w:rsidRPr="00452D62">
        <w:rPr>
          <w:rFonts w:eastAsia="Calibri"/>
          <w:b/>
          <w:color w:val="auto"/>
          <w:sz w:val="22"/>
          <w:szCs w:val="22"/>
          <w:lang w:eastAsia="en-US"/>
        </w:rPr>
        <w:t>1 paveikslas. Laikas iki pagrindinės vertinamosios baigties (KV mirties, MI arba insulto) pirmojo pasireiškimo</w:t>
      </w:r>
    </w:p>
    <w:p w14:paraId="0D3E2A17" w14:textId="77777777" w:rsidR="00823785" w:rsidRPr="008C3DF7" w:rsidRDefault="00823785" w:rsidP="00823785">
      <w:pPr>
        <w:tabs>
          <w:tab w:val="clear" w:pos="567"/>
        </w:tabs>
        <w:suppressAutoHyphens w:val="0"/>
        <w:autoSpaceDE w:val="0"/>
        <w:autoSpaceDN w:val="0"/>
        <w:adjustRightInd w:val="0"/>
        <w:spacing w:line="240" w:lineRule="auto"/>
        <w:rPr>
          <w:rFonts w:eastAsia="Calibri"/>
          <w:b/>
          <w:color w:val="auto"/>
          <w:sz w:val="22"/>
          <w:szCs w:val="22"/>
        </w:rPr>
      </w:pPr>
    </w:p>
    <w:p w14:paraId="24E161FD" w14:textId="7F8549CE" w:rsidR="00823785" w:rsidRPr="00AE1B80" w:rsidRDefault="00823785" w:rsidP="00823785">
      <w:pPr>
        <w:tabs>
          <w:tab w:val="clear" w:pos="567"/>
        </w:tabs>
        <w:suppressAutoHyphens w:val="0"/>
        <w:autoSpaceDE w:val="0"/>
        <w:autoSpaceDN w:val="0"/>
        <w:adjustRightInd w:val="0"/>
        <w:spacing w:line="240" w:lineRule="auto"/>
        <w:rPr>
          <w:color w:val="auto"/>
          <w:sz w:val="22"/>
          <w:szCs w:val="22"/>
          <w:lang w:val="sl-SI" w:eastAsia="sl-SI"/>
        </w:rPr>
      </w:pPr>
      <w:r w:rsidRPr="00AE1B80">
        <w:rPr>
          <w:noProof/>
          <w:color w:val="auto"/>
          <w:sz w:val="22"/>
          <w:szCs w:val="22"/>
          <w:lang w:eastAsia="lt-LT"/>
        </w:rPr>
        <w:drawing>
          <wp:inline distT="0" distB="0" distL="0" distR="0" wp14:anchorId="4F750026" wp14:editId="56939A8E">
            <wp:extent cx="5771515" cy="4066540"/>
            <wp:effectExtent l="0" t="0" r="635" b="0"/>
            <wp:docPr id="4" name="Paveikslėli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71515" cy="4066540"/>
                    </a:xfrm>
                    <a:prstGeom prst="rect">
                      <a:avLst/>
                    </a:prstGeom>
                    <a:noFill/>
                  </pic:spPr>
                </pic:pic>
              </a:graphicData>
            </a:graphic>
          </wp:inline>
        </w:drawing>
      </w:r>
    </w:p>
    <w:p w14:paraId="7578F223" w14:textId="77777777" w:rsidR="00823785" w:rsidRPr="00452D62" w:rsidRDefault="00823785" w:rsidP="00823785">
      <w:pPr>
        <w:tabs>
          <w:tab w:val="clear" w:pos="567"/>
        </w:tabs>
        <w:suppressAutoHyphens w:val="0"/>
        <w:autoSpaceDE w:val="0"/>
        <w:autoSpaceDN w:val="0"/>
        <w:adjustRightInd w:val="0"/>
        <w:spacing w:line="210" w:lineRule="exact"/>
        <w:ind w:right="-20"/>
        <w:rPr>
          <w:rFonts w:eastAsia="Calibri"/>
          <w:color w:val="auto"/>
          <w:sz w:val="22"/>
          <w:szCs w:val="22"/>
          <w:u w:val="single"/>
          <w:lang w:eastAsia="en-US"/>
        </w:rPr>
      </w:pPr>
    </w:p>
    <w:p w14:paraId="3BEE10A4" w14:textId="77777777" w:rsidR="00823785" w:rsidRPr="00452D62" w:rsidRDefault="00823785" w:rsidP="00823785">
      <w:pPr>
        <w:rPr>
          <w:i/>
          <w:iCs/>
          <w:sz w:val="22"/>
          <w:szCs w:val="22"/>
          <w:u w:val="single"/>
        </w:rPr>
      </w:pPr>
      <w:r w:rsidRPr="00452D62">
        <w:rPr>
          <w:i/>
          <w:iCs/>
          <w:sz w:val="22"/>
          <w:szCs w:val="22"/>
          <w:u w:val="single"/>
        </w:rPr>
        <w:t>VAL/PAL</w:t>
      </w:r>
    </w:p>
    <w:p w14:paraId="37013B05" w14:textId="50E5F88D" w:rsidR="00823785" w:rsidRPr="00452D62" w:rsidRDefault="00823785" w:rsidP="00823785">
      <w:pPr>
        <w:rPr>
          <w:sz w:val="22"/>
          <w:szCs w:val="22"/>
        </w:rPr>
      </w:pPr>
      <w:r w:rsidRPr="00452D62">
        <w:rPr>
          <w:sz w:val="22"/>
          <w:szCs w:val="22"/>
        </w:rPr>
        <w:t>III fazės tyrimas COMPASS (27395 pacientai, 78,0 % vyrų, 22,0 % moterų) parodė rivaroksabano veiksmingumą ir saugumą, vaistinį preparatą vartojant VAL arba simptomine PAL sergančių pacientų, kuriems buvo didelė išeminių reiškinių rizika, pagrindinės sudėtinės vertinamosios baigties KV mirties, MI arba insulto profilaktikai. Pacientai buvo stebimi 23 mėnesius (mediana) ir ne ilgiau kaip 3,9 metų.</w:t>
      </w:r>
    </w:p>
    <w:p w14:paraId="454207AE" w14:textId="77777777" w:rsidR="00823785" w:rsidRPr="00452D62" w:rsidRDefault="00823785" w:rsidP="00823785">
      <w:pPr>
        <w:rPr>
          <w:sz w:val="22"/>
          <w:szCs w:val="22"/>
        </w:rPr>
      </w:pPr>
    </w:p>
    <w:p w14:paraId="112D8863" w14:textId="77777777" w:rsidR="00823785" w:rsidRPr="00452D62" w:rsidRDefault="00823785" w:rsidP="00823785">
      <w:pPr>
        <w:rPr>
          <w:sz w:val="22"/>
          <w:szCs w:val="22"/>
        </w:rPr>
      </w:pPr>
      <w:r w:rsidRPr="00452D62">
        <w:rPr>
          <w:sz w:val="22"/>
          <w:szCs w:val="22"/>
        </w:rPr>
        <w:t>Tiriamieji, kuriems nereikėjo nuolatinio gydymo protonų siurblio inhibitoriumi, buvo atsitiktinai priskirti vartoti pantoprazolą arba placebą. Po to visi pacientai santykiu 1:1:1 buvo atsitiktinai priskirti vartoti po 2,5 mg rivaroksabano du kartus per parą/ASR 100 mg vieną kartą per parą, po 5 mg rivaroksabano du kartus per parą arba vien tik ASR 100 mg vieną kartą per parą ir atitinkamus placebo preparatus.</w:t>
      </w:r>
    </w:p>
    <w:p w14:paraId="1AD60034" w14:textId="77777777" w:rsidR="00823785" w:rsidRPr="00452D62" w:rsidRDefault="00823785" w:rsidP="00823785">
      <w:pPr>
        <w:rPr>
          <w:sz w:val="22"/>
          <w:szCs w:val="22"/>
        </w:rPr>
      </w:pPr>
    </w:p>
    <w:p w14:paraId="1ED2943F" w14:textId="77777777" w:rsidR="00823785" w:rsidRPr="00452D62" w:rsidRDefault="00823785" w:rsidP="00823785">
      <w:pPr>
        <w:rPr>
          <w:sz w:val="22"/>
          <w:szCs w:val="22"/>
        </w:rPr>
      </w:pPr>
      <w:r w:rsidRPr="00452D62">
        <w:rPr>
          <w:sz w:val="22"/>
          <w:szCs w:val="22"/>
        </w:rPr>
        <w:t>VAL sergantiems pacientams buvo nustatyta kelias kraujagysles pažeidžianti VAL ir (arba) juos anksčiau buvo ištikęs MI. Jaunesniems kaip 65 metų pacientams turėjo būti nustatyta aterosklerozė, apimanti bent du kraujagyslių baseinus, arba bent du papildomi kardiovaskulinės rizikos veiksniai.</w:t>
      </w:r>
    </w:p>
    <w:p w14:paraId="0F8E080F" w14:textId="77777777" w:rsidR="00823785" w:rsidRPr="00452D62" w:rsidRDefault="00823785" w:rsidP="00823785">
      <w:pPr>
        <w:rPr>
          <w:sz w:val="22"/>
          <w:szCs w:val="22"/>
        </w:rPr>
      </w:pPr>
    </w:p>
    <w:p w14:paraId="56D7F2C0" w14:textId="217D2A24" w:rsidR="00823785" w:rsidRPr="00452D62" w:rsidRDefault="00823785" w:rsidP="00823785">
      <w:pPr>
        <w:rPr>
          <w:sz w:val="22"/>
          <w:szCs w:val="22"/>
        </w:rPr>
      </w:pPr>
      <w:r w:rsidRPr="00452D62">
        <w:rPr>
          <w:sz w:val="22"/>
          <w:szCs w:val="22"/>
        </w:rPr>
        <w:t>PAL sergantiems pacientams anksčiau buvo atliktos intervencijos (pvz., jungties suformavimo operacijos arba perkutaninės transluminalinės angioplastikos arba galūnės ar pėdos amputacijos dėl arterijų kraujagyslių ligos), buvo protarpinis šlubavimas su kulkšnies/rankos kraujospūdžio santykiu &lt; 0,90 ir (arba) reikšminga periferinių arterijų stenozė ar ankstesnė miego arterijos revaskuliarizacija arba besimptomė miego arterijos stenozė ≥ 50 %.</w:t>
      </w:r>
    </w:p>
    <w:p w14:paraId="35889EA5" w14:textId="77777777" w:rsidR="00823785" w:rsidRPr="00452D62" w:rsidRDefault="00823785" w:rsidP="00823785">
      <w:pPr>
        <w:rPr>
          <w:sz w:val="22"/>
          <w:szCs w:val="22"/>
        </w:rPr>
      </w:pPr>
    </w:p>
    <w:p w14:paraId="553AF330" w14:textId="59C676A7" w:rsidR="00823785" w:rsidRPr="00452D62" w:rsidRDefault="00823785" w:rsidP="00823785">
      <w:pPr>
        <w:rPr>
          <w:sz w:val="22"/>
          <w:szCs w:val="22"/>
        </w:rPr>
      </w:pPr>
      <w:r w:rsidRPr="00452D62">
        <w:rPr>
          <w:sz w:val="22"/>
          <w:szCs w:val="22"/>
        </w:rPr>
        <w:t>Neįtraukimo į tyrimą kriterijai buvo poreikis gydyti dviem antitrombocitiniais vaistiniais preparatais arba ne ASR antitrombocitiniais vaistiniais preparatais ar geriamaisiais antikoaguliantais, pacientai, kuriems yra didelė kraujavimo rizika, širdies nepakankamumas su &lt; 30 % išstūmimo frakcija arba III ar IV klasės širdies nepakankamumas pagal Niujorko širdies asociacijos klasifikaciją, bet koks išeminis, nelakūninis insultas paskutiniojo mėnesio laikotarpiu arba bet koks buvęs hemoraginis ar lakūninis insultas.</w:t>
      </w:r>
    </w:p>
    <w:p w14:paraId="51904AB5" w14:textId="77777777" w:rsidR="00823785" w:rsidRPr="00452D62" w:rsidRDefault="00823785" w:rsidP="00823785">
      <w:pPr>
        <w:rPr>
          <w:sz w:val="22"/>
          <w:szCs w:val="22"/>
        </w:rPr>
      </w:pPr>
    </w:p>
    <w:p w14:paraId="278EEC87" w14:textId="77777777" w:rsidR="00823785" w:rsidRPr="00452D62" w:rsidRDefault="00823785" w:rsidP="00823785">
      <w:pPr>
        <w:rPr>
          <w:sz w:val="22"/>
          <w:szCs w:val="22"/>
        </w:rPr>
      </w:pPr>
      <w:r w:rsidRPr="00452D62">
        <w:rPr>
          <w:sz w:val="22"/>
          <w:szCs w:val="22"/>
        </w:rPr>
        <w:t>Rivaroksabanas (po 2,5 mg du kartus per parą), vartojamas kartu su ASR (100 mg vieną kartą per parą), buvo pranašesnis už ASR 100 mg mažinant pagrindinės sudėtinės vertinamosios baigties KV mirties, MI ir insulto riziką (žr. 7 lentelę ir 2 paveikslą).</w:t>
      </w:r>
    </w:p>
    <w:p w14:paraId="3114CAAA" w14:textId="77777777" w:rsidR="00823785" w:rsidRPr="00452D62" w:rsidRDefault="00823785" w:rsidP="00823785">
      <w:pPr>
        <w:rPr>
          <w:sz w:val="22"/>
          <w:szCs w:val="22"/>
        </w:rPr>
      </w:pPr>
    </w:p>
    <w:p w14:paraId="05AFAA83" w14:textId="77777777" w:rsidR="00823785" w:rsidRPr="00452D62" w:rsidRDefault="00823785" w:rsidP="00823785">
      <w:pPr>
        <w:rPr>
          <w:sz w:val="22"/>
          <w:szCs w:val="22"/>
        </w:rPr>
      </w:pPr>
      <w:r w:rsidRPr="00452D62">
        <w:rPr>
          <w:sz w:val="22"/>
          <w:szCs w:val="22"/>
        </w:rPr>
        <w:t xml:space="preserve">Pacientams, gydytiems rivaroksabanu (po 2,5 mg du kartus per parą) kartu su ASR (100 mg vieną kartą per parą), reikšmingai padažnėjo pagrindinės saugumo vertinamosios baigties (didžiojo kraujavimo reiškinių pagal modifikuotą tarptautinės trombozės ir hemostazės asociacijos (angl. </w:t>
      </w:r>
      <w:r w:rsidRPr="00452D62">
        <w:rPr>
          <w:i/>
          <w:iCs/>
          <w:sz w:val="22"/>
          <w:szCs w:val="22"/>
        </w:rPr>
        <w:t>International Society on Thrombosis and Haemostasis</w:t>
      </w:r>
      <w:r w:rsidRPr="00452D62">
        <w:rPr>
          <w:sz w:val="22"/>
          <w:szCs w:val="22"/>
        </w:rPr>
        <w:t>, ISTH) skalę atvejų, palyginti su pacientais, kurie vartojo ASR 100 mg vieną kartą per parą (žr. 8 lentelę).</w:t>
      </w:r>
    </w:p>
    <w:p w14:paraId="3F2D1365" w14:textId="03F98048" w:rsidR="00823785" w:rsidRPr="00452D62" w:rsidRDefault="00823785" w:rsidP="00823785">
      <w:pPr>
        <w:rPr>
          <w:sz w:val="22"/>
          <w:szCs w:val="22"/>
        </w:rPr>
      </w:pPr>
      <w:r w:rsidRPr="00452D62">
        <w:rPr>
          <w:sz w:val="22"/>
          <w:szCs w:val="22"/>
        </w:rPr>
        <w:t>Pagrindinės veiksmingumo vertinamosios baigties atžvilgiu, rivaroksabanu (po 2,5 mg du kartus per parą) kartu su ASR (100 mg vieną kartą per parą) vartojimo nauda, palyginti su ASR 100 mg vieną kartą per parą vartojimu, lėmė RS=0,89 (95 % PI 0,7</w:t>
      </w:r>
      <w:r w:rsidRPr="00452D62">
        <w:rPr>
          <w:sz w:val="22"/>
          <w:szCs w:val="22"/>
        </w:rPr>
        <w:noBreakHyphen/>
        <w:t>1,1) ≥ 75 metų pacientams (dažnis: 6,3 %, palyginti su 7,0 %) ir RS=0,70 (95 % PI 0,6-0,8) &lt; 75 metų pacientams (dažnis 3,6 %, palyginti su 5,0%). Vertinant didįjį kraujavimą pagal modifikuotą ISTH skalę, pastebėtas rizikos padidėjimas lėmė RS 2,12 (95 % PI 1,5</w:t>
      </w:r>
      <w:r w:rsidRPr="00452D62">
        <w:rPr>
          <w:sz w:val="22"/>
          <w:szCs w:val="22"/>
        </w:rPr>
        <w:noBreakHyphen/>
        <w:t>3,0) ≥ 75 metų pacientams (5,2 %, palyginti su 2,5 %) ir RS=1,53 (95 % PI 1,2</w:t>
      </w:r>
      <w:r w:rsidRPr="00452D62">
        <w:rPr>
          <w:sz w:val="22"/>
          <w:szCs w:val="22"/>
        </w:rPr>
        <w:noBreakHyphen/>
        <w:t>1,9) &lt; 75 metų pacientams (2,6 %, palyginti su 1,7 %).</w:t>
      </w:r>
    </w:p>
    <w:p w14:paraId="3F4DDF2F" w14:textId="77777777" w:rsidR="00823785" w:rsidRPr="00452D62" w:rsidRDefault="00823785" w:rsidP="00823785">
      <w:pPr>
        <w:rPr>
          <w:sz w:val="22"/>
          <w:szCs w:val="22"/>
        </w:rPr>
      </w:pPr>
    </w:p>
    <w:p w14:paraId="2977F195" w14:textId="77777777" w:rsidR="00823785" w:rsidRPr="00452D62" w:rsidRDefault="00823785" w:rsidP="00823785">
      <w:pPr>
        <w:rPr>
          <w:b/>
          <w:bCs/>
          <w:sz w:val="22"/>
          <w:szCs w:val="22"/>
        </w:rPr>
      </w:pPr>
      <w:r w:rsidRPr="00452D62">
        <w:rPr>
          <w:b/>
          <w:bCs/>
          <w:sz w:val="22"/>
          <w:szCs w:val="22"/>
        </w:rPr>
        <w:t>Pantoprazolo 40 mg dozės vartojimas vieną kartą per parą kartu su antitromboziniu tiriamuoju vaistiniu preparatu pacientams, kuriems klinikinio poreikio vartoti protonų pompos inhibitorių nebuvo, nesukėlė palankaus poveikio viršutinės virškinimo trakto dalies reiškinių (sudėtinės vertinamosios baigties, kurią sudarė viršutinės virškinimo trakto dalies kraujavimas, viršutinės virškinimo trakto dalies išopėjimas ar viršutinės virškinimo trakto dalies obstrukcija ar perforacija) profilaktikai; viršutinės virškinimo trakto dalies reiškinių atvejų dažnis buvo 0,39/100 paciento metams pantoprazolo 40 mg dozės vartojimo vieną kartą per parą grupėje ir 0,44/100 paciento metams placebo vartojimo kartą per parą grupėje.</w:t>
      </w:r>
    </w:p>
    <w:p w14:paraId="797B9CFE" w14:textId="77777777" w:rsidR="00823785" w:rsidRPr="00452D62" w:rsidRDefault="00823785" w:rsidP="00823785">
      <w:pPr>
        <w:rPr>
          <w:sz w:val="22"/>
          <w:szCs w:val="22"/>
        </w:rPr>
      </w:pPr>
    </w:p>
    <w:p w14:paraId="1642C180" w14:textId="10DC64DB" w:rsidR="00823785" w:rsidRPr="00452D62" w:rsidRDefault="00823785" w:rsidP="00823785">
      <w:pPr>
        <w:tabs>
          <w:tab w:val="clear" w:pos="567"/>
        </w:tabs>
        <w:suppressAutoHyphens w:val="0"/>
        <w:autoSpaceDE w:val="0"/>
        <w:autoSpaceDN w:val="0"/>
        <w:adjustRightInd w:val="0"/>
        <w:spacing w:line="210" w:lineRule="exact"/>
        <w:ind w:right="-20"/>
        <w:rPr>
          <w:rFonts w:eastAsia="Calibri"/>
          <w:b/>
          <w:color w:val="auto"/>
          <w:sz w:val="22"/>
          <w:szCs w:val="22"/>
          <w:lang w:eastAsia="en-US"/>
        </w:rPr>
      </w:pPr>
      <w:r w:rsidRPr="00452D62">
        <w:rPr>
          <w:rFonts w:eastAsia="Calibri"/>
          <w:b/>
          <w:color w:val="auto"/>
          <w:sz w:val="22"/>
          <w:szCs w:val="22"/>
          <w:lang w:eastAsia="en-US"/>
        </w:rPr>
        <w:t>7 lentelė. III fazės tyrimo COMPASS veiksmingumo rezultatai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1139"/>
        <w:gridCol w:w="1038"/>
        <w:gridCol w:w="1139"/>
        <w:gridCol w:w="915"/>
        <w:gridCol w:w="1549"/>
        <w:gridCol w:w="1570"/>
      </w:tblGrid>
      <w:tr w:rsidR="00823785" w:rsidRPr="00452D62" w14:paraId="25964281" w14:textId="77777777" w:rsidTr="006453B9">
        <w:tc>
          <w:tcPr>
            <w:tcW w:w="1871" w:type="dxa"/>
            <w:shd w:val="clear" w:color="auto" w:fill="auto"/>
          </w:tcPr>
          <w:p w14:paraId="1A05FD7B" w14:textId="77777777" w:rsidR="00823785" w:rsidRPr="00452D62" w:rsidRDefault="00823785" w:rsidP="006453B9">
            <w:pPr>
              <w:tabs>
                <w:tab w:val="clear" w:pos="567"/>
              </w:tabs>
              <w:suppressAutoHyphens w:val="0"/>
              <w:spacing w:line="240" w:lineRule="auto"/>
              <w:rPr>
                <w:rFonts w:eastAsia="Calibri"/>
                <w:color w:val="auto"/>
                <w:sz w:val="22"/>
                <w:szCs w:val="22"/>
                <w:lang w:eastAsia="en-US"/>
              </w:rPr>
            </w:pPr>
            <w:r w:rsidRPr="00452D62">
              <w:rPr>
                <w:rFonts w:eastAsia="Calibri"/>
                <w:b/>
                <w:bCs/>
                <w:color w:val="auto"/>
                <w:position w:val="5"/>
                <w:sz w:val="22"/>
                <w:szCs w:val="22"/>
                <w:lang w:eastAsia="en-US"/>
              </w:rPr>
              <w:t>Tyrimo populiacija</w:t>
            </w:r>
          </w:p>
        </w:tc>
        <w:tc>
          <w:tcPr>
            <w:tcW w:w="4059" w:type="dxa"/>
            <w:gridSpan w:val="4"/>
            <w:shd w:val="clear" w:color="auto" w:fill="auto"/>
          </w:tcPr>
          <w:p w14:paraId="72DA1113" w14:textId="77777777" w:rsidR="00823785" w:rsidRPr="00452D62" w:rsidRDefault="00823785" w:rsidP="006453B9">
            <w:pPr>
              <w:tabs>
                <w:tab w:val="clear" w:pos="567"/>
              </w:tabs>
              <w:suppressAutoHyphens w:val="0"/>
              <w:autoSpaceDE w:val="0"/>
              <w:autoSpaceDN w:val="0"/>
              <w:adjustRightInd w:val="0"/>
              <w:spacing w:line="223" w:lineRule="exact"/>
              <w:ind w:right="-20"/>
              <w:rPr>
                <w:rFonts w:eastAsia="Calibri"/>
                <w:color w:val="auto"/>
                <w:sz w:val="22"/>
                <w:szCs w:val="22"/>
                <w:lang w:eastAsia="en-US"/>
              </w:rPr>
            </w:pPr>
            <w:r w:rsidRPr="00452D62">
              <w:rPr>
                <w:rFonts w:eastAsia="Calibri"/>
                <w:b/>
                <w:bCs/>
                <w:color w:val="auto"/>
                <w:spacing w:val="1"/>
                <w:sz w:val="22"/>
                <w:szCs w:val="22"/>
                <w:lang w:eastAsia="en-US"/>
              </w:rPr>
              <w:t>Pacientai, sergantys VAL arba PAL</w:t>
            </w:r>
            <w:r w:rsidRPr="00452D62">
              <w:rPr>
                <w:rFonts w:eastAsia="Calibri"/>
                <w:b/>
                <w:bCs/>
                <w:color w:val="auto"/>
                <w:spacing w:val="2"/>
                <w:sz w:val="22"/>
                <w:szCs w:val="22"/>
                <w:vertAlign w:val="superscript"/>
                <w:lang w:eastAsia="en-US"/>
              </w:rPr>
              <w:t>a</w:t>
            </w:r>
            <w:r w:rsidRPr="00452D62">
              <w:rPr>
                <w:rFonts w:eastAsia="Calibri"/>
                <w:b/>
                <w:bCs/>
                <w:color w:val="auto"/>
                <w:sz w:val="22"/>
                <w:szCs w:val="22"/>
                <w:vertAlign w:val="superscript"/>
                <w:lang w:eastAsia="en-US"/>
              </w:rPr>
              <w:t>)</w:t>
            </w:r>
          </w:p>
        </w:tc>
        <w:tc>
          <w:tcPr>
            <w:tcW w:w="3356" w:type="dxa"/>
            <w:gridSpan w:val="2"/>
            <w:shd w:val="clear" w:color="auto" w:fill="auto"/>
          </w:tcPr>
          <w:p w14:paraId="32CE0B5A" w14:textId="77777777" w:rsidR="00823785" w:rsidRPr="00452D62" w:rsidRDefault="00823785" w:rsidP="006453B9">
            <w:pPr>
              <w:tabs>
                <w:tab w:val="clear" w:pos="567"/>
              </w:tabs>
              <w:suppressAutoHyphens w:val="0"/>
              <w:autoSpaceDE w:val="0"/>
              <w:autoSpaceDN w:val="0"/>
              <w:adjustRightInd w:val="0"/>
              <w:spacing w:line="223" w:lineRule="exact"/>
              <w:ind w:right="-20"/>
              <w:rPr>
                <w:rFonts w:eastAsia="Calibri"/>
                <w:b/>
                <w:bCs/>
                <w:color w:val="auto"/>
                <w:spacing w:val="1"/>
                <w:sz w:val="22"/>
                <w:szCs w:val="22"/>
                <w:lang w:eastAsia="en-US"/>
              </w:rPr>
            </w:pPr>
          </w:p>
        </w:tc>
      </w:tr>
      <w:tr w:rsidR="00823785" w:rsidRPr="00452D62" w14:paraId="0F9CE62E" w14:textId="77777777" w:rsidTr="006453B9">
        <w:tc>
          <w:tcPr>
            <w:tcW w:w="1871" w:type="dxa"/>
            <w:shd w:val="clear" w:color="auto" w:fill="auto"/>
          </w:tcPr>
          <w:p w14:paraId="10821B4B" w14:textId="77777777" w:rsidR="00823785" w:rsidRPr="00452D62" w:rsidRDefault="00823785" w:rsidP="006453B9">
            <w:pPr>
              <w:tabs>
                <w:tab w:val="clear" w:pos="567"/>
              </w:tabs>
              <w:suppressAutoHyphens w:val="0"/>
              <w:autoSpaceDE w:val="0"/>
              <w:autoSpaceDN w:val="0"/>
              <w:adjustRightInd w:val="0"/>
              <w:spacing w:line="240" w:lineRule="auto"/>
              <w:rPr>
                <w:rFonts w:eastAsia="Calibri"/>
                <w:b/>
                <w:color w:val="auto"/>
                <w:sz w:val="22"/>
                <w:szCs w:val="22"/>
                <w:lang w:eastAsia="en-US"/>
              </w:rPr>
            </w:pPr>
            <w:r w:rsidRPr="00452D62">
              <w:rPr>
                <w:rFonts w:eastAsia="Calibri"/>
                <w:b/>
                <w:color w:val="auto"/>
                <w:sz w:val="22"/>
                <w:szCs w:val="22"/>
                <w:lang w:eastAsia="en-US"/>
              </w:rPr>
              <w:t>Gydymo dozė</w:t>
            </w:r>
          </w:p>
        </w:tc>
        <w:tc>
          <w:tcPr>
            <w:tcW w:w="2196" w:type="dxa"/>
            <w:gridSpan w:val="2"/>
            <w:shd w:val="clear" w:color="auto" w:fill="auto"/>
          </w:tcPr>
          <w:p w14:paraId="6A5DCA36" w14:textId="77777777" w:rsidR="00823785" w:rsidRPr="00452D62" w:rsidRDefault="00823785" w:rsidP="006453B9">
            <w:pPr>
              <w:tabs>
                <w:tab w:val="clear" w:pos="567"/>
              </w:tabs>
              <w:suppressAutoHyphens w:val="0"/>
              <w:autoSpaceDE w:val="0"/>
              <w:autoSpaceDN w:val="0"/>
              <w:adjustRightInd w:val="0"/>
              <w:spacing w:line="240" w:lineRule="auto"/>
              <w:rPr>
                <w:rFonts w:eastAsia="Calibri"/>
                <w:b/>
                <w:color w:val="auto"/>
                <w:sz w:val="22"/>
                <w:szCs w:val="22"/>
                <w:lang w:eastAsia="en-US"/>
              </w:rPr>
            </w:pPr>
            <w:r w:rsidRPr="00452D62">
              <w:rPr>
                <w:rFonts w:eastAsia="Calibri"/>
                <w:b/>
                <w:color w:val="auto"/>
                <w:sz w:val="22"/>
                <w:szCs w:val="22"/>
                <w:lang w:eastAsia="en-US"/>
              </w:rPr>
              <w:t>Rivaroksabanas 2,5 mg DKP kartu su ASR 100 mg VKP</w:t>
            </w:r>
          </w:p>
          <w:p w14:paraId="2B235BC6" w14:textId="77777777" w:rsidR="00823785" w:rsidRPr="00452D62" w:rsidRDefault="00823785" w:rsidP="006453B9">
            <w:pPr>
              <w:tabs>
                <w:tab w:val="clear" w:pos="567"/>
              </w:tabs>
              <w:suppressAutoHyphens w:val="0"/>
              <w:autoSpaceDE w:val="0"/>
              <w:autoSpaceDN w:val="0"/>
              <w:adjustRightInd w:val="0"/>
              <w:spacing w:line="240" w:lineRule="auto"/>
              <w:rPr>
                <w:rFonts w:eastAsia="Calibri"/>
                <w:b/>
                <w:color w:val="auto"/>
                <w:sz w:val="22"/>
                <w:szCs w:val="22"/>
                <w:lang w:eastAsia="en-US"/>
              </w:rPr>
            </w:pPr>
            <w:r w:rsidRPr="00452D62">
              <w:rPr>
                <w:rFonts w:eastAsia="Calibri"/>
                <w:b/>
                <w:color w:val="auto"/>
                <w:sz w:val="22"/>
                <w:szCs w:val="22"/>
                <w:lang w:eastAsia="en-US"/>
              </w:rPr>
              <w:t>N=9152</w:t>
            </w:r>
          </w:p>
        </w:tc>
        <w:tc>
          <w:tcPr>
            <w:tcW w:w="1863" w:type="dxa"/>
            <w:gridSpan w:val="2"/>
            <w:shd w:val="clear" w:color="auto" w:fill="auto"/>
          </w:tcPr>
          <w:p w14:paraId="068492D3" w14:textId="77777777" w:rsidR="00823785" w:rsidRPr="00452D62" w:rsidRDefault="00823785" w:rsidP="006453B9">
            <w:pPr>
              <w:tabs>
                <w:tab w:val="clear" w:pos="567"/>
              </w:tabs>
              <w:suppressAutoHyphens w:val="0"/>
              <w:autoSpaceDE w:val="0"/>
              <w:autoSpaceDN w:val="0"/>
              <w:adjustRightInd w:val="0"/>
              <w:spacing w:line="240" w:lineRule="auto"/>
              <w:rPr>
                <w:rFonts w:eastAsia="Calibri"/>
                <w:b/>
                <w:color w:val="auto"/>
                <w:sz w:val="22"/>
                <w:szCs w:val="22"/>
                <w:lang w:eastAsia="en-US"/>
              </w:rPr>
            </w:pPr>
            <w:r w:rsidRPr="00452D62">
              <w:rPr>
                <w:rFonts w:eastAsia="Calibri"/>
                <w:b/>
                <w:color w:val="auto"/>
                <w:sz w:val="22"/>
                <w:szCs w:val="22"/>
                <w:lang w:eastAsia="en-US"/>
              </w:rPr>
              <w:t>ASR 100 mg VKP</w:t>
            </w:r>
          </w:p>
          <w:p w14:paraId="27015E9A" w14:textId="77777777" w:rsidR="00823785" w:rsidRPr="00452D62" w:rsidRDefault="00823785" w:rsidP="006453B9">
            <w:pPr>
              <w:tabs>
                <w:tab w:val="clear" w:pos="567"/>
              </w:tabs>
              <w:suppressAutoHyphens w:val="0"/>
              <w:autoSpaceDE w:val="0"/>
              <w:autoSpaceDN w:val="0"/>
              <w:adjustRightInd w:val="0"/>
              <w:spacing w:line="240" w:lineRule="auto"/>
              <w:rPr>
                <w:rFonts w:eastAsia="Calibri"/>
                <w:b/>
                <w:color w:val="auto"/>
                <w:sz w:val="22"/>
                <w:szCs w:val="22"/>
                <w:lang w:eastAsia="en-US"/>
              </w:rPr>
            </w:pPr>
            <w:r w:rsidRPr="00452D62">
              <w:rPr>
                <w:rFonts w:eastAsia="Calibri"/>
                <w:b/>
                <w:color w:val="auto"/>
                <w:sz w:val="22"/>
                <w:szCs w:val="22"/>
                <w:lang w:eastAsia="en-US"/>
              </w:rPr>
              <w:t>N=9126</w:t>
            </w:r>
          </w:p>
        </w:tc>
        <w:tc>
          <w:tcPr>
            <w:tcW w:w="3356" w:type="dxa"/>
            <w:gridSpan w:val="2"/>
            <w:shd w:val="clear" w:color="auto" w:fill="auto"/>
          </w:tcPr>
          <w:p w14:paraId="7A970B64" w14:textId="77777777" w:rsidR="00823785" w:rsidRPr="00452D62" w:rsidRDefault="00823785" w:rsidP="006453B9">
            <w:pPr>
              <w:tabs>
                <w:tab w:val="clear" w:pos="567"/>
              </w:tabs>
              <w:suppressAutoHyphens w:val="0"/>
              <w:autoSpaceDE w:val="0"/>
              <w:autoSpaceDN w:val="0"/>
              <w:adjustRightInd w:val="0"/>
              <w:spacing w:line="240" w:lineRule="auto"/>
              <w:jc w:val="center"/>
              <w:rPr>
                <w:rFonts w:eastAsia="Calibri"/>
                <w:b/>
                <w:color w:val="auto"/>
                <w:sz w:val="22"/>
                <w:szCs w:val="22"/>
                <w:lang w:eastAsia="en-US"/>
              </w:rPr>
            </w:pPr>
          </w:p>
        </w:tc>
      </w:tr>
      <w:tr w:rsidR="00823785" w:rsidRPr="00452D62" w14:paraId="04FD0E31" w14:textId="77777777" w:rsidTr="006453B9">
        <w:tc>
          <w:tcPr>
            <w:tcW w:w="1871" w:type="dxa"/>
            <w:shd w:val="clear" w:color="auto" w:fill="auto"/>
          </w:tcPr>
          <w:p w14:paraId="11372717"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p>
        </w:tc>
        <w:tc>
          <w:tcPr>
            <w:tcW w:w="1097" w:type="dxa"/>
            <w:shd w:val="clear" w:color="auto" w:fill="auto"/>
          </w:tcPr>
          <w:p w14:paraId="0BE34F90" w14:textId="77777777" w:rsidR="00823785" w:rsidRPr="00452D62" w:rsidRDefault="00823785" w:rsidP="006453B9">
            <w:pPr>
              <w:tabs>
                <w:tab w:val="clear" w:pos="567"/>
                <w:tab w:val="left" w:pos="2146"/>
              </w:tabs>
              <w:suppressAutoHyphens w:val="0"/>
              <w:autoSpaceDE w:val="0"/>
              <w:autoSpaceDN w:val="0"/>
              <w:adjustRightInd w:val="0"/>
              <w:spacing w:line="240" w:lineRule="auto"/>
              <w:rPr>
                <w:rFonts w:eastAsia="Calibri"/>
                <w:b/>
                <w:bCs/>
                <w:color w:val="auto"/>
                <w:sz w:val="22"/>
                <w:szCs w:val="22"/>
                <w:lang w:eastAsia="en-US"/>
              </w:rPr>
            </w:pPr>
            <w:r w:rsidRPr="00452D62">
              <w:rPr>
                <w:rFonts w:eastAsia="Calibri"/>
                <w:b/>
                <w:bCs/>
                <w:color w:val="auto"/>
                <w:sz w:val="22"/>
                <w:szCs w:val="22"/>
                <w:lang w:eastAsia="en-US"/>
              </w:rPr>
              <w:t>Pacientai, kuriems buvo reiškinių</w:t>
            </w:r>
          </w:p>
        </w:tc>
        <w:tc>
          <w:tcPr>
            <w:tcW w:w="1099" w:type="dxa"/>
            <w:shd w:val="clear" w:color="auto" w:fill="auto"/>
          </w:tcPr>
          <w:p w14:paraId="2A6FEF40" w14:textId="5718D282" w:rsidR="00823785" w:rsidRPr="00452D62" w:rsidRDefault="00823785" w:rsidP="006453B9">
            <w:pPr>
              <w:tabs>
                <w:tab w:val="clear" w:pos="567"/>
                <w:tab w:val="left" w:pos="2146"/>
              </w:tabs>
              <w:suppressAutoHyphens w:val="0"/>
              <w:autoSpaceDE w:val="0"/>
              <w:autoSpaceDN w:val="0"/>
              <w:adjustRightInd w:val="0"/>
              <w:spacing w:line="240" w:lineRule="auto"/>
              <w:rPr>
                <w:rFonts w:eastAsia="Calibri"/>
                <w:b/>
                <w:bCs/>
                <w:color w:val="auto"/>
                <w:sz w:val="22"/>
                <w:szCs w:val="22"/>
                <w:lang w:eastAsia="en-US"/>
              </w:rPr>
            </w:pPr>
            <w:r w:rsidRPr="00452D62">
              <w:rPr>
                <w:rFonts w:eastAsia="Calibri"/>
                <w:b/>
                <w:bCs/>
                <w:color w:val="auto"/>
                <w:sz w:val="22"/>
                <w:szCs w:val="22"/>
                <w:lang w:eastAsia="en-US"/>
              </w:rPr>
              <w:t xml:space="preserve">KM % </w:t>
            </w:r>
          </w:p>
        </w:tc>
        <w:tc>
          <w:tcPr>
            <w:tcW w:w="931" w:type="dxa"/>
            <w:shd w:val="clear" w:color="auto" w:fill="auto"/>
          </w:tcPr>
          <w:p w14:paraId="233A3CF9" w14:textId="77777777" w:rsidR="00823785" w:rsidRPr="00452D62" w:rsidRDefault="00823785" w:rsidP="006453B9">
            <w:pPr>
              <w:tabs>
                <w:tab w:val="clear" w:pos="567"/>
              </w:tabs>
              <w:suppressAutoHyphens w:val="0"/>
              <w:autoSpaceDE w:val="0"/>
              <w:autoSpaceDN w:val="0"/>
              <w:adjustRightInd w:val="0"/>
              <w:spacing w:line="240" w:lineRule="auto"/>
              <w:rPr>
                <w:rFonts w:eastAsia="Calibri"/>
                <w:b/>
                <w:bCs/>
                <w:color w:val="auto"/>
                <w:sz w:val="22"/>
                <w:szCs w:val="22"/>
                <w:lang w:eastAsia="en-US"/>
              </w:rPr>
            </w:pPr>
            <w:r w:rsidRPr="00452D62">
              <w:rPr>
                <w:rFonts w:eastAsia="Calibri"/>
                <w:b/>
                <w:bCs/>
                <w:color w:val="auto"/>
                <w:sz w:val="22"/>
                <w:szCs w:val="22"/>
                <w:lang w:eastAsia="en-US"/>
              </w:rPr>
              <w:t>Pacientai, kuriems buvo reiškinių</w:t>
            </w:r>
          </w:p>
        </w:tc>
        <w:tc>
          <w:tcPr>
            <w:tcW w:w="932" w:type="dxa"/>
            <w:shd w:val="clear" w:color="auto" w:fill="auto"/>
          </w:tcPr>
          <w:p w14:paraId="0C41E451" w14:textId="6E50B684" w:rsidR="00823785" w:rsidRPr="00452D62" w:rsidRDefault="00823785" w:rsidP="006453B9">
            <w:pPr>
              <w:tabs>
                <w:tab w:val="clear" w:pos="567"/>
              </w:tabs>
              <w:suppressAutoHyphens w:val="0"/>
              <w:autoSpaceDE w:val="0"/>
              <w:autoSpaceDN w:val="0"/>
              <w:adjustRightInd w:val="0"/>
              <w:spacing w:line="240" w:lineRule="auto"/>
              <w:rPr>
                <w:rFonts w:eastAsia="Calibri"/>
                <w:b/>
                <w:bCs/>
                <w:color w:val="auto"/>
                <w:sz w:val="22"/>
                <w:szCs w:val="22"/>
                <w:lang w:eastAsia="en-US"/>
              </w:rPr>
            </w:pPr>
            <w:r w:rsidRPr="00452D62">
              <w:rPr>
                <w:rFonts w:eastAsia="Calibri"/>
                <w:b/>
                <w:bCs/>
                <w:color w:val="auto"/>
                <w:sz w:val="22"/>
                <w:szCs w:val="22"/>
                <w:lang w:eastAsia="en-US"/>
              </w:rPr>
              <w:t>KM %</w:t>
            </w:r>
          </w:p>
        </w:tc>
        <w:tc>
          <w:tcPr>
            <w:tcW w:w="1678" w:type="dxa"/>
            <w:shd w:val="clear" w:color="auto" w:fill="auto"/>
          </w:tcPr>
          <w:p w14:paraId="56E0B251" w14:textId="77777777" w:rsidR="00823785" w:rsidRPr="00452D62" w:rsidRDefault="00823785" w:rsidP="006453B9">
            <w:pPr>
              <w:tabs>
                <w:tab w:val="clear" w:pos="567"/>
              </w:tabs>
              <w:suppressAutoHyphens w:val="0"/>
              <w:autoSpaceDE w:val="0"/>
              <w:autoSpaceDN w:val="0"/>
              <w:adjustRightInd w:val="0"/>
              <w:spacing w:line="240" w:lineRule="auto"/>
              <w:rPr>
                <w:rFonts w:eastAsia="Calibri"/>
                <w:b/>
                <w:bCs/>
                <w:color w:val="auto"/>
                <w:sz w:val="22"/>
                <w:szCs w:val="22"/>
                <w:lang w:eastAsia="en-US"/>
              </w:rPr>
            </w:pPr>
            <w:r w:rsidRPr="00452D62">
              <w:rPr>
                <w:rFonts w:eastAsia="Calibri"/>
                <w:b/>
                <w:bCs/>
                <w:color w:val="auto"/>
                <w:sz w:val="22"/>
                <w:szCs w:val="22"/>
                <w:lang w:eastAsia="en-US"/>
              </w:rPr>
              <w:t>RS</w:t>
            </w:r>
          </w:p>
          <w:p w14:paraId="0525C4CA" w14:textId="2976D85F" w:rsidR="00823785" w:rsidRPr="00452D62" w:rsidRDefault="00823785" w:rsidP="006453B9">
            <w:pPr>
              <w:tabs>
                <w:tab w:val="clear" w:pos="567"/>
              </w:tabs>
              <w:suppressAutoHyphens w:val="0"/>
              <w:autoSpaceDE w:val="0"/>
              <w:autoSpaceDN w:val="0"/>
              <w:adjustRightInd w:val="0"/>
              <w:spacing w:line="240" w:lineRule="auto"/>
              <w:rPr>
                <w:rFonts w:eastAsia="Calibri"/>
                <w:b/>
                <w:bCs/>
                <w:color w:val="auto"/>
                <w:sz w:val="22"/>
                <w:szCs w:val="22"/>
                <w:lang w:eastAsia="en-US"/>
              </w:rPr>
            </w:pPr>
            <w:r w:rsidRPr="00452D62">
              <w:rPr>
                <w:rFonts w:eastAsia="Calibri"/>
                <w:b/>
                <w:bCs/>
                <w:color w:val="auto"/>
                <w:sz w:val="22"/>
                <w:szCs w:val="22"/>
                <w:lang w:eastAsia="en-US"/>
              </w:rPr>
              <w:t>(95 % PI)</w:t>
            </w:r>
          </w:p>
        </w:tc>
        <w:tc>
          <w:tcPr>
            <w:tcW w:w="1678" w:type="dxa"/>
            <w:shd w:val="clear" w:color="auto" w:fill="auto"/>
          </w:tcPr>
          <w:p w14:paraId="14FB3A6C" w14:textId="77777777" w:rsidR="00823785" w:rsidRPr="00452D62" w:rsidRDefault="00823785" w:rsidP="006453B9">
            <w:pPr>
              <w:tabs>
                <w:tab w:val="clear" w:pos="567"/>
              </w:tabs>
              <w:suppressAutoHyphens w:val="0"/>
              <w:autoSpaceDE w:val="0"/>
              <w:autoSpaceDN w:val="0"/>
              <w:adjustRightInd w:val="0"/>
              <w:spacing w:line="240" w:lineRule="auto"/>
              <w:rPr>
                <w:rFonts w:eastAsia="Calibri"/>
                <w:b/>
                <w:bCs/>
                <w:color w:val="auto"/>
                <w:sz w:val="22"/>
                <w:szCs w:val="22"/>
                <w:lang w:eastAsia="en-US"/>
              </w:rPr>
            </w:pPr>
            <w:r w:rsidRPr="00452D62">
              <w:rPr>
                <w:rFonts w:eastAsia="Calibri"/>
                <w:b/>
                <w:bCs/>
                <w:color w:val="auto"/>
                <w:sz w:val="22"/>
                <w:szCs w:val="22"/>
                <w:lang w:eastAsia="en-US"/>
              </w:rPr>
              <w:t>p rodmuo</w:t>
            </w:r>
            <w:r w:rsidRPr="00452D62">
              <w:rPr>
                <w:rFonts w:eastAsia="Calibri"/>
                <w:b/>
                <w:bCs/>
                <w:color w:val="auto"/>
                <w:sz w:val="22"/>
                <w:szCs w:val="22"/>
                <w:vertAlign w:val="superscript"/>
                <w:lang w:eastAsia="en-US"/>
              </w:rPr>
              <w:t>b)</w:t>
            </w:r>
          </w:p>
        </w:tc>
      </w:tr>
      <w:tr w:rsidR="00823785" w:rsidRPr="00452D62" w14:paraId="1869B09A" w14:textId="77777777" w:rsidTr="006453B9">
        <w:tc>
          <w:tcPr>
            <w:tcW w:w="9286" w:type="dxa"/>
            <w:gridSpan w:val="7"/>
            <w:shd w:val="clear" w:color="auto" w:fill="auto"/>
          </w:tcPr>
          <w:p w14:paraId="7B160FD1"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p>
        </w:tc>
      </w:tr>
      <w:tr w:rsidR="00823785" w:rsidRPr="00452D62" w14:paraId="48163979" w14:textId="77777777" w:rsidTr="006453B9">
        <w:tc>
          <w:tcPr>
            <w:tcW w:w="1871" w:type="dxa"/>
            <w:shd w:val="clear" w:color="auto" w:fill="auto"/>
          </w:tcPr>
          <w:p w14:paraId="29A8B82C"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Insultas, MI arba KV mirtis</w:t>
            </w:r>
          </w:p>
        </w:tc>
        <w:tc>
          <w:tcPr>
            <w:tcW w:w="1097" w:type="dxa"/>
            <w:shd w:val="clear" w:color="auto" w:fill="auto"/>
          </w:tcPr>
          <w:p w14:paraId="48AE3A9D" w14:textId="4F577613" w:rsidR="00823785" w:rsidRPr="00452D62"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379 (4,1 %)</w:t>
            </w:r>
          </w:p>
        </w:tc>
        <w:tc>
          <w:tcPr>
            <w:tcW w:w="1099" w:type="dxa"/>
            <w:shd w:val="clear" w:color="auto" w:fill="auto"/>
          </w:tcPr>
          <w:p w14:paraId="5F0B6F93" w14:textId="69598E44" w:rsidR="00823785" w:rsidRPr="00452D62"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 xml:space="preserve">5,20 % </w:t>
            </w:r>
          </w:p>
        </w:tc>
        <w:tc>
          <w:tcPr>
            <w:tcW w:w="931" w:type="dxa"/>
            <w:shd w:val="clear" w:color="auto" w:fill="auto"/>
          </w:tcPr>
          <w:p w14:paraId="54C452BC" w14:textId="2BB3BEF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496 (5,4 %)</w:t>
            </w:r>
          </w:p>
        </w:tc>
        <w:tc>
          <w:tcPr>
            <w:tcW w:w="932" w:type="dxa"/>
            <w:shd w:val="clear" w:color="auto" w:fill="auto"/>
          </w:tcPr>
          <w:p w14:paraId="0AA6EB90" w14:textId="29B1D1AA"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7,17 %</w:t>
            </w:r>
          </w:p>
        </w:tc>
        <w:tc>
          <w:tcPr>
            <w:tcW w:w="1678" w:type="dxa"/>
            <w:shd w:val="clear" w:color="auto" w:fill="auto"/>
          </w:tcPr>
          <w:p w14:paraId="40A7B10E"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0,76</w:t>
            </w:r>
          </w:p>
          <w:p w14:paraId="7C403355"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 xml:space="preserve">(0,66;0,86) </w:t>
            </w:r>
          </w:p>
        </w:tc>
        <w:tc>
          <w:tcPr>
            <w:tcW w:w="1678" w:type="dxa"/>
            <w:shd w:val="clear" w:color="auto" w:fill="auto"/>
          </w:tcPr>
          <w:p w14:paraId="45FE4E7F"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p=0,00004*</w:t>
            </w:r>
          </w:p>
        </w:tc>
      </w:tr>
      <w:tr w:rsidR="00823785" w:rsidRPr="00452D62" w14:paraId="6C9E1341" w14:textId="77777777" w:rsidTr="006453B9">
        <w:tc>
          <w:tcPr>
            <w:tcW w:w="1871" w:type="dxa"/>
            <w:shd w:val="clear" w:color="auto" w:fill="auto"/>
          </w:tcPr>
          <w:p w14:paraId="17A7C0E9" w14:textId="77777777" w:rsidR="00823785" w:rsidRPr="00452D62" w:rsidRDefault="00823785" w:rsidP="006453B9">
            <w:pPr>
              <w:numPr>
                <w:ilvl w:val="0"/>
                <w:numId w:val="10"/>
              </w:numPr>
              <w:tabs>
                <w:tab w:val="clear" w:pos="567"/>
              </w:tabs>
              <w:suppressAutoHyphens w:val="0"/>
              <w:autoSpaceDE w:val="0"/>
              <w:autoSpaceDN w:val="0"/>
              <w:adjustRightInd w:val="0"/>
              <w:spacing w:line="240" w:lineRule="auto"/>
              <w:contextualSpacing/>
              <w:rPr>
                <w:rFonts w:eastAsia="Calibri"/>
                <w:color w:val="auto"/>
                <w:sz w:val="22"/>
                <w:szCs w:val="22"/>
                <w:lang w:eastAsia="en-US"/>
              </w:rPr>
            </w:pPr>
            <w:r w:rsidRPr="00452D62">
              <w:rPr>
                <w:rFonts w:eastAsia="Calibri"/>
                <w:color w:val="auto"/>
                <w:sz w:val="22"/>
                <w:szCs w:val="22"/>
                <w:lang w:eastAsia="en-US"/>
              </w:rPr>
              <w:t>Insultas</w:t>
            </w:r>
          </w:p>
        </w:tc>
        <w:tc>
          <w:tcPr>
            <w:tcW w:w="1097" w:type="dxa"/>
            <w:shd w:val="clear" w:color="auto" w:fill="auto"/>
          </w:tcPr>
          <w:p w14:paraId="19A057FB" w14:textId="25C5289F" w:rsidR="00823785" w:rsidRPr="00452D62"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 xml:space="preserve">83 (0,9 %) </w:t>
            </w:r>
          </w:p>
        </w:tc>
        <w:tc>
          <w:tcPr>
            <w:tcW w:w="1099" w:type="dxa"/>
            <w:shd w:val="clear" w:color="auto" w:fill="auto"/>
          </w:tcPr>
          <w:p w14:paraId="375BE78A" w14:textId="17B428A4" w:rsidR="00823785" w:rsidRPr="00452D62"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 xml:space="preserve">1,17 % </w:t>
            </w:r>
          </w:p>
        </w:tc>
        <w:tc>
          <w:tcPr>
            <w:tcW w:w="931" w:type="dxa"/>
            <w:shd w:val="clear" w:color="auto" w:fill="auto"/>
          </w:tcPr>
          <w:p w14:paraId="5BCE6B2E" w14:textId="7587DCFD"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 xml:space="preserve">142 (1,6 %) </w:t>
            </w:r>
          </w:p>
        </w:tc>
        <w:tc>
          <w:tcPr>
            <w:tcW w:w="932" w:type="dxa"/>
            <w:shd w:val="clear" w:color="auto" w:fill="auto"/>
          </w:tcPr>
          <w:p w14:paraId="18F29995" w14:textId="7835C5B3"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 xml:space="preserve">2,23 % </w:t>
            </w:r>
          </w:p>
        </w:tc>
        <w:tc>
          <w:tcPr>
            <w:tcW w:w="1678" w:type="dxa"/>
            <w:shd w:val="clear" w:color="auto" w:fill="auto"/>
          </w:tcPr>
          <w:p w14:paraId="2DFAA2C0"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0,58</w:t>
            </w:r>
          </w:p>
          <w:p w14:paraId="03426D61"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(0,44;0,76)</w:t>
            </w:r>
          </w:p>
        </w:tc>
        <w:tc>
          <w:tcPr>
            <w:tcW w:w="1678" w:type="dxa"/>
            <w:shd w:val="clear" w:color="auto" w:fill="auto"/>
          </w:tcPr>
          <w:p w14:paraId="266ADC9C"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p=0,00006</w:t>
            </w:r>
          </w:p>
        </w:tc>
      </w:tr>
      <w:tr w:rsidR="00823785" w:rsidRPr="00452D62" w14:paraId="1BA1BE36" w14:textId="77777777" w:rsidTr="006453B9">
        <w:tc>
          <w:tcPr>
            <w:tcW w:w="1871" w:type="dxa"/>
            <w:shd w:val="clear" w:color="auto" w:fill="auto"/>
          </w:tcPr>
          <w:p w14:paraId="07559981" w14:textId="77777777" w:rsidR="00823785" w:rsidRPr="00452D62" w:rsidRDefault="00823785" w:rsidP="006453B9">
            <w:pPr>
              <w:numPr>
                <w:ilvl w:val="0"/>
                <w:numId w:val="10"/>
              </w:numPr>
              <w:tabs>
                <w:tab w:val="clear" w:pos="567"/>
              </w:tabs>
              <w:suppressAutoHyphens w:val="0"/>
              <w:autoSpaceDE w:val="0"/>
              <w:autoSpaceDN w:val="0"/>
              <w:adjustRightInd w:val="0"/>
              <w:spacing w:line="240" w:lineRule="auto"/>
              <w:contextualSpacing/>
              <w:rPr>
                <w:rFonts w:eastAsia="Calibri"/>
                <w:color w:val="auto"/>
                <w:sz w:val="22"/>
                <w:szCs w:val="22"/>
                <w:lang w:eastAsia="en-US"/>
              </w:rPr>
            </w:pPr>
            <w:r w:rsidRPr="00452D62">
              <w:rPr>
                <w:rFonts w:eastAsia="Calibri"/>
                <w:color w:val="auto"/>
                <w:sz w:val="22"/>
                <w:szCs w:val="22"/>
                <w:lang w:eastAsia="en-US"/>
              </w:rPr>
              <w:t xml:space="preserve">MI </w:t>
            </w:r>
          </w:p>
        </w:tc>
        <w:tc>
          <w:tcPr>
            <w:tcW w:w="1097" w:type="dxa"/>
            <w:shd w:val="clear" w:color="auto" w:fill="auto"/>
          </w:tcPr>
          <w:p w14:paraId="79EEAB1F" w14:textId="41EE6488" w:rsidR="00823785" w:rsidRPr="00452D62"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178 (1,9 %)</w:t>
            </w:r>
          </w:p>
        </w:tc>
        <w:tc>
          <w:tcPr>
            <w:tcW w:w="1099" w:type="dxa"/>
            <w:shd w:val="clear" w:color="auto" w:fill="auto"/>
          </w:tcPr>
          <w:p w14:paraId="5427CC7B" w14:textId="71937CA9" w:rsidR="00823785" w:rsidRPr="00452D62"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2,46 %</w:t>
            </w:r>
          </w:p>
        </w:tc>
        <w:tc>
          <w:tcPr>
            <w:tcW w:w="931" w:type="dxa"/>
            <w:shd w:val="clear" w:color="auto" w:fill="auto"/>
          </w:tcPr>
          <w:p w14:paraId="15DC6D38" w14:textId="422255A2"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205 (2,2 %)</w:t>
            </w:r>
          </w:p>
        </w:tc>
        <w:tc>
          <w:tcPr>
            <w:tcW w:w="932" w:type="dxa"/>
            <w:shd w:val="clear" w:color="auto" w:fill="auto"/>
          </w:tcPr>
          <w:p w14:paraId="4456AB5A" w14:textId="3A3BF39B"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2,94 %</w:t>
            </w:r>
          </w:p>
        </w:tc>
        <w:tc>
          <w:tcPr>
            <w:tcW w:w="1678" w:type="dxa"/>
            <w:shd w:val="clear" w:color="auto" w:fill="auto"/>
          </w:tcPr>
          <w:p w14:paraId="4BF86367"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0,86</w:t>
            </w:r>
          </w:p>
          <w:p w14:paraId="130A39BE"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(0,70;1,05)</w:t>
            </w:r>
          </w:p>
        </w:tc>
        <w:tc>
          <w:tcPr>
            <w:tcW w:w="1678" w:type="dxa"/>
            <w:shd w:val="clear" w:color="auto" w:fill="auto"/>
          </w:tcPr>
          <w:p w14:paraId="0A55E0E7"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p=0,14458</w:t>
            </w:r>
          </w:p>
        </w:tc>
      </w:tr>
      <w:tr w:rsidR="00823785" w:rsidRPr="00452D62" w14:paraId="07BF7CBA" w14:textId="77777777" w:rsidTr="006453B9">
        <w:tc>
          <w:tcPr>
            <w:tcW w:w="1871" w:type="dxa"/>
            <w:shd w:val="clear" w:color="auto" w:fill="auto"/>
          </w:tcPr>
          <w:p w14:paraId="270ACB40" w14:textId="77777777" w:rsidR="00823785" w:rsidRPr="00452D62" w:rsidRDefault="00823785" w:rsidP="006453B9">
            <w:pPr>
              <w:numPr>
                <w:ilvl w:val="0"/>
                <w:numId w:val="10"/>
              </w:numPr>
              <w:tabs>
                <w:tab w:val="clear" w:pos="567"/>
              </w:tabs>
              <w:suppressAutoHyphens w:val="0"/>
              <w:autoSpaceDE w:val="0"/>
              <w:autoSpaceDN w:val="0"/>
              <w:adjustRightInd w:val="0"/>
              <w:spacing w:line="240" w:lineRule="auto"/>
              <w:contextualSpacing/>
              <w:rPr>
                <w:rFonts w:eastAsia="Calibri"/>
                <w:color w:val="auto"/>
                <w:sz w:val="22"/>
                <w:szCs w:val="22"/>
                <w:lang w:eastAsia="en-US"/>
              </w:rPr>
            </w:pPr>
            <w:r w:rsidRPr="00452D62">
              <w:rPr>
                <w:rFonts w:eastAsia="Calibri"/>
                <w:color w:val="auto"/>
                <w:sz w:val="22"/>
                <w:szCs w:val="22"/>
                <w:lang w:eastAsia="en-US"/>
              </w:rPr>
              <w:t>KV mirtis</w:t>
            </w:r>
          </w:p>
        </w:tc>
        <w:tc>
          <w:tcPr>
            <w:tcW w:w="1097" w:type="dxa"/>
            <w:shd w:val="clear" w:color="auto" w:fill="auto"/>
          </w:tcPr>
          <w:p w14:paraId="6424217A" w14:textId="28FD4D4A" w:rsidR="00823785" w:rsidRPr="00452D62"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160 (1,7 %)</w:t>
            </w:r>
          </w:p>
        </w:tc>
        <w:tc>
          <w:tcPr>
            <w:tcW w:w="1099" w:type="dxa"/>
            <w:shd w:val="clear" w:color="auto" w:fill="auto"/>
          </w:tcPr>
          <w:p w14:paraId="59252D3F" w14:textId="188ACA68" w:rsidR="00823785" w:rsidRPr="00452D62"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2,19 %</w:t>
            </w:r>
          </w:p>
        </w:tc>
        <w:tc>
          <w:tcPr>
            <w:tcW w:w="931" w:type="dxa"/>
            <w:shd w:val="clear" w:color="auto" w:fill="auto"/>
          </w:tcPr>
          <w:p w14:paraId="0245A142" w14:textId="1F83A5F0"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203 (2,2 %)</w:t>
            </w:r>
          </w:p>
        </w:tc>
        <w:tc>
          <w:tcPr>
            <w:tcW w:w="932" w:type="dxa"/>
            <w:shd w:val="clear" w:color="auto" w:fill="auto"/>
          </w:tcPr>
          <w:p w14:paraId="44480C83" w14:textId="1881BDD5"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2,88 %</w:t>
            </w:r>
          </w:p>
        </w:tc>
        <w:tc>
          <w:tcPr>
            <w:tcW w:w="1678" w:type="dxa"/>
            <w:shd w:val="clear" w:color="auto" w:fill="auto"/>
          </w:tcPr>
          <w:p w14:paraId="1B14C587"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0,78</w:t>
            </w:r>
          </w:p>
          <w:p w14:paraId="06EA7E8C"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(0,64;0,96)</w:t>
            </w:r>
          </w:p>
        </w:tc>
        <w:tc>
          <w:tcPr>
            <w:tcW w:w="1678" w:type="dxa"/>
            <w:shd w:val="clear" w:color="auto" w:fill="auto"/>
          </w:tcPr>
          <w:p w14:paraId="6D0584AB"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p=0,02053</w:t>
            </w:r>
          </w:p>
        </w:tc>
      </w:tr>
      <w:tr w:rsidR="00823785" w:rsidRPr="00452D62" w14:paraId="7409FD7B" w14:textId="77777777" w:rsidTr="006453B9">
        <w:tc>
          <w:tcPr>
            <w:tcW w:w="9286" w:type="dxa"/>
            <w:gridSpan w:val="7"/>
            <w:shd w:val="clear" w:color="auto" w:fill="auto"/>
          </w:tcPr>
          <w:p w14:paraId="58208E90"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p>
        </w:tc>
      </w:tr>
      <w:tr w:rsidR="00823785" w:rsidRPr="00452D62" w14:paraId="170C1A68" w14:textId="77777777" w:rsidTr="006453B9">
        <w:tc>
          <w:tcPr>
            <w:tcW w:w="1871" w:type="dxa"/>
            <w:shd w:val="clear" w:color="auto" w:fill="auto"/>
          </w:tcPr>
          <w:p w14:paraId="3E4E495A"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Mirtis dėl bet kokios priežasties</w:t>
            </w:r>
          </w:p>
        </w:tc>
        <w:tc>
          <w:tcPr>
            <w:tcW w:w="1097" w:type="dxa"/>
            <w:shd w:val="clear" w:color="auto" w:fill="auto"/>
          </w:tcPr>
          <w:p w14:paraId="5C60CA4D" w14:textId="445C5F75" w:rsidR="00823785" w:rsidRPr="00452D62"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313 (3,4 %)</w:t>
            </w:r>
          </w:p>
        </w:tc>
        <w:tc>
          <w:tcPr>
            <w:tcW w:w="1099" w:type="dxa"/>
            <w:shd w:val="clear" w:color="auto" w:fill="auto"/>
          </w:tcPr>
          <w:p w14:paraId="083DC631" w14:textId="26C6E57F" w:rsidR="00823785" w:rsidRPr="00452D62"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4,50 %</w:t>
            </w:r>
          </w:p>
        </w:tc>
        <w:tc>
          <w:tcPr>
            <w:tcW w:w="931" w:type="dxa"/>
            <w:shd w:val="clear" w:color="auto" w:fill="auto"/>
          </w:tcPr>
          <w:p w14:paraId="44E8ED96" w14:textId="375EF262"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378 (4,1 %)</w:t>
            </w:r>
          </w:p>
        </w:tc>
        <w:tc>
          <w:tcPr>
            <w:tcW w:w="932" w:type="dxa"/>
            <w:shd w:val="clear" w:color="auto" w:fill="auto"/>
          </w:tcPr>
          <w:p w14:paraId="36EF7EA4" w14:textId="50856AC0"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5,57 %</w:t>
            </w:r>
          </w:p>
        </w:tc>
        <w:tc>
          <w:tcPr>
            <w:tcW w:w="1678" w:type="dxa"/>
            <w:shd w:val="clear" w:color="auto" w:fill="auto"/>
          </w:tcPr>
          <w:p w14:paraId="1CDA29AE"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0,82</w:t>
            </w:r>
          </w:p>
          <w:p w14:paraId="787DB25A"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(0,71;0,96)</w:t>
            </w:r>
          </w:p>
        </w:tc>
        <w:tc>
          <w:tcPr>
            <w:tcW w:w="1678" w:type="dxa"/>
            <w:shd w:val="clear" w:color="auto" w:fill="auto"/>
          </w:tcPr>
          <w:p w14:paraId="0930251A"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p>
        </w:tc>
      </w:tr>
      <w:tr w:rsidR="00823785" w:rsidRPr="00452D62" w14:paraId="3E316F64" w14:textId="77777777" w:rsidTr="006453B9">
        <w:tc>
          <w:tcPr>
            <w:tcW w:w="1871" w:type="dxa"/>
            <w:shd w:val="clear" w:color="auto" w:fill="auto"/>
          </w:tcPr>
          <w:p w14:paraId="465DD7F4"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Ūminė galūnių išemija</w:t>
            </w:r>
          </w:p>
        </w:tc>
        <w:tc>
          <w:tcPr>
            <w:tcW w:w="1097" w:type="dxa"/>
            <w:shd w:val="clear" w:color="auto" w:fill="auto"/>
          </w:tcPr>
          <w:p w14:paraId="1932931F" w14:textId="295D16BA" w:rsidR="00823785" w:rsidRPr="00452D62"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22 (0,2 %)</w:t>
            </w:r>
          </w:p>
        </w:tc>
        <w:tc>
          <w:tcPr>
            <w:tcW w:w="1099" w:type="dxa"/>
            <w:shd w:val="clear" w:color="auto" w:fill="auto"/>
          </w:tcPr>
          <w:p w14:paraId="4442B9D1" w14:textId="733DA247" w:rsidR="00823785" w:rsidRPr="00452D62"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0,27 %</w:t>
            </w:r>
          </w:p>
        </w:tc>
        <w:tc>
          <w:tcPr>
            <w:tcW w:w="931" w:type="dxa"/>
            <w:shd w:val="clear" w:color="auto" w:fill="auto"/>
          </w:tcPr>
          <w:p w14:paraId="4EDF718C" w14:textId="1E876D4A"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40 (0,4 %)</w:t>
            </w:r>
          </w:p>
        </w:tc>
        <w:tc>
          <w:tcPr>
            <w:tcW w:w="932" w:type="dxa"/>
            <w:shd w:val="clear" w:color="auto" w:fill="auto"/>
          </w:tcPr>
          <w:p w14:paraId="6D13F3E7" w14:textId="4C786E26"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0,60 %</w:t>
            </w:r>
          </w:p>
        </w:tc>
        <w:tc>
          <w:tcPr>
            <w:tcW w:w="1678" w:type="dxa"/>
            <w:shd w:val="clear" w:color="auto" w:fill="auto"/>
          </w:tcPr>
          <w:p w14:paraId="3180E246"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0,55</w:t>
            </w:r>
          </w:p>
          <w:p w14:paraId="38756CEC"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(0,32;0,92)</w:t>
            </w:r>
          </w:p>
        </w:tc>
        <w:tc>
          <w:tcPr>
            <w:tcW w:w="1678" w:type="dxa"/>
            <w:shd w:val="clear" w:color="auto" w:fill="auto"/>
          </w:tcPr>
          <w:p w14:paraId="0BE07D3E"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p>
        </w:tc>
      </w:tr>
    </w:tbl>
    <w:p w14:paraId="098B2E31" w14:textId="77777777" w:rsidR="00823785" w:rsidRPr="000877E9" w:rsidRDefault="00823785" w:rsidP="00823785">
      <w:pPr>
        <w:tabs>
          <w:tab w:val="clear" w:pos="567"/>
        </w:tabs>
        <w:suppressAutoHyphens w:val="0"/>
        <w:autoSpaceDE w:val="0"/>
        <w:autoSpaceDN w:val="0"/>
        <w:adjustRightInd w:val="0"/>
        <w:spacing w:line="240" w:lineRule="auto"/>
        <w:ind w:right="-23"/>
        <w:rPr>
          <w:rFonts w:eastAsia="Calibri"/>
          <w:color w:val="auto"/>
          <w:sz w:val="22"/>
          <w:szCs w:val="22"/>
          <w:lang w:eastAsia="en-US"/>
        </w:rPr>
      </w:pPr>
      <w:r w:rsidRPr="00452D62">
        <w:rPr>
          <w:rFonts w:eastAsia="Calibri"/>
          <w:color w:val="auto"/>
          <w:sz w:val="22"/>
          <w:szCs w:val="22"/>
          <w:lang w:eastAsia="en-US"/>
        </w:rPr>
        <w:t xml:space="preserve">a) modifikuota ketintų gydytų tiriamųjų (angl. </w:t>
      </w:r>
      <w:r w:rsidRPr="00452D62">
        <w:rPr>
          <w:rFonts w:eastAsia="Calibri"/>
          <w:i/>
          <w:iCs/>
          <w:color w:val="auto"/>
          <w:sz w:val="22"/>
          <w:szCs w:val="22"/>
          <w:lang w:eastAsia="en-US"/>
        </w:rPr>
        <w:t>intent to treat</w:t>
      </w:r>
      <w:r w:rsidRPr="00452D62">
        <w:rPr>
          <w:rFonts w:eastAsia="Calibri"/>
          <w:color w:val="auto"/>
          <w:sz w:val="22"/>
          <w:szCs w:val="22"/>
          <w:lang w:eastAsia="en-US"/>
        </w:rPr>
        <w:t>) grupė, pirminė analizė</w:t>
      </w:r>
    </w:p>
    <w:p w14:paraId="3B77BFA1" w14:textId="77777777" w:rsidR="00823785" w:rsidRPr="00452D62" w:rsidRDefault="00823785" w:rsidP="00823785">
      <w:pPr>
        <w:tabs>
          <w:tab w:val="clear" w:pos="567"/>
        </w:tabs>
        <w:suppressAutoHyphens w:val="0"/>
        <w:autoSpaceDE w:val="0"/>
        <w:autoSpaceDN w:val="0"/>
        <w:adjustRightInd w:val="0"/>
        <w:spacing w:line="240" w:lineRule="auto"/>
        <w:ind w:right="-23"/>
        <w:rPr>
          <w:rFonts w:eastAsia="Calibri"/>
          <w:color w:val="auto"/>
          <w:sz w:val="22"/>
          <w:szCs w:val="22"/>
          <w:lang w:eastAsia="en-US"/>
        </w:rPr>
      </w:pPr>
      <w:r w:rsidRPr="00452D62">
        <w:rPr>
          <w:rFonts w:eastAsia="Calibri"/>
          <w:color w:val="auto"/>
          <w:sz w:val="22"/>
          <w:szCs w:val="22"/>
          <w:lang w:eastAsia="en-US"/>
        </w:rPr>
        <w:t xml:space="preserve">b) palyginti su ASR 100 mg; </w:t>
      </w:r>
      <w:r w:rsidRPr="00452D62">
        <w:rPr>
          <w:rFonts w:eastAsia="Calibri"/>
          <w:i/>
          <w:iCs/>
          <w:color w:val="auto"/>
          <w:sz w:val="22"/>
          <w:szCs w:val="22"/>
          <w:lang w:eastAsia="en-US"/>
        </w:rPr>
        <w:t>Log-Rank</w:t>
      </w:r>
      <w:r w:rsidRPr="00452D62">
        <w:rPr>
          <w:rFonts w:eastAsia="Calibri"/>
          <w:color w:val="auto"/>
          <w:sz w:val="22"/>
          <w:szCs w:val="22"/>
          <w:lang w:eastAsia="en-US"/>
        </w:rPr>
        <w:t xml:space="preserve"> p rodmuo</w:t>
      </w:r>
    </w:p>
    <w:p w14:paraId="7BFF554F" w14:textId="77777777" w:rsidR="00823785" w:rsidRPr="00452D62" w:rsidRDefault="00823785" w:rsidP="00823785">
      <w:pPr>
        <w:tabs>
          <w:tab w:val="clear" w:pos="567"/>
        </w:tabs>
        <w:suppressAutoHyphens w:val="0"/>
        <w:autoSpaceDE w:val="0"/>
        <w:autoSpaceDN w:val="0"/>
        <w:adjustRightInd w:val="0"/>
        <w:spacing w:line="240" w:lineRule="auto"/>
        <w:ind w:right="-23"/>
        <w:rPr>
          <w:rFonts w:eastAsia="Calibri"/>
          <w:color w:val="auto"/>
          <w:sz w:val="22"/>
          <w:szCs w:val="22"/>
          <w:lang w:eastAsia="en-US"/>
        </w:rPr>
      </w:pPr>
      <w:r w:rsidRPr="00452D62">
        <w:rPr>
          <w:rFonts w:eastAsia="Calibri"/>
          <w:color w:val="auto"/>
          <w:sz w:val="22"/>
          <w:szCs w:val="22"/>
          <w:lang w:eastAsia="en-US"/>
        </w:rPr>
        <w:t>* pagrindinės veiksmingumo vertinamosios baigties rizikos sumažėjimas buvo statistiškai pranašesnis.</w:t>
      </w:r>
    </w:p>
    <w:p w14:paraId="0D789F07" w14:textId="43267F79" w:rsidR="00823785" w:rsidRPr="00452D62" w:rsidRDefault="00823785" w:rsidP="00823785">
      <w:pPr>
        <w:tabs>
          <w:tab w:val="clear" w:pos="567"/>
        </w:tabs>
        <w:suppressAutoHyphens w:val="0"/>
        <w:autoSpaceDE w:val="0"/>
        <w:autoSpaceDN w:val="0"/>
        <w:adjustRightInd w:val="0"/>
        <w:spacing w:line="240" w:lineRule="auto"/>
        <w:ind w:right="-23"/>
        <w:rPr>
          <w:rFonts w:eastAsia="Calibri"/>
          <w:color w:val="auto"/>
          <w:sz w:val="22"/>
          <w:szCs w:val="22"/>
          <w:lang w:eastAsia="en-US"/>
        </w:rPr>
      </w:pPr>
      <w:r w:rsidRPr="00452D62">
        <w:rPr>
          <w:rFonts w:eastAsia="Calibri"/>
          <w:color w:val="auto"/>
          <w:sz w:val="22"/>
          <w:szCs w:val="22"/>
          <w:lang w:eastAsia="en-US"/>
        </w:rPr>
        <w:t xml:space="preserve">DKP: du kartus per parą; PI: pasikliautinasis intervalas; KM %: kumuliacinės dažnio rizikos įverčiai pagal </w:t>
      </w:r>
      <w:r w:rsidRPr="00452D62">
        <w:rPr>
          <w:rFonts w:eastAsia="Calibri"/>
          <w:i/>
          <w:iCs/>
          <w:color w:val="auto"/>
          <w:sz w:val="22"/>
          <w:szCs w:val="22"/>
          <w:lang w:eastAsia="en-US"/>
        </w:rPr>
        <w:t>Kaplano-Mejerio</w:t>
      </w:r>
      <w:r w:rsidRPr="00452D62">
        <w:rPr>
          <w:rFonts w:eastAsia="Calibri"/>
          <w:color w:val="auto"/>
          <w:sz w:val="22"/>
          <w:szCs w:val="22"/>
          <w:lang w:eastAsia="en-US"/>
        </w:rPr>
        <w:t xml:space="preserve"> metodą, apskaičiuoti po 900 dienų; KV: kardiovaskulinė; MI: miokardo infarktas; VKP: vieną kartą per parą</w:t>
      </w:r>
    </w:p>
    <w:p w14:paraId="67799599" w14:textId="77777777" w:rsidR="00823785" w:rsidRPr="00452D62" w:rsidRDefault="00823785" w:rsidP="00823785">
      <w:pPr>
        <w:tabs>
          <w:tab w:val="clear" w:pos="567"/>
        </w:tabs>
        <w:suppressAutoHyphens w:val="0"/>
        <w:autoSpaceDE w:val="0"/>
        <w:autoSpaceDN w:val="0"/>
        <w:adjustRightInd w:val="0"/>
        <w:spacing w:line="240" w:lineRule="auto"/>
        <w:ind w:right="-23"/>
        <w:rPr>
          <w:rFonts w:eastAsia="Calibri"/>
          <w:color w:val="auto"/>
          <w:sz w:val="22"/>
          <w:szCs w:val="22"/>
          <w:lang w:eastAsia="en-US"/>
        </w:rPr>
      </w:pPr>
    </w:p>
    <w:p w14:paraId="3E6D086A" w14:textId="7215DCA1" w:rsidR="00823785" w:rsidRPr="00452D62" w:rsidRDefault="00823785" w:rsidP="00823785">
      <w:pPr>
        <w:tabs>
          <w:tab w:val="clear" w:pos="567"/>
        </w:tabs>
        <w:suppressAutoHyphens w:val="0"/>
        <w:autoSpaceDE w:val="0"/>
        <w:autoSpaceDN w:val="0"/>
        <w:adjustRightInd w:val="0"/>
        <w:spacing w:line="210" w:lineRule="exact"/>
        <w:ind w:right="-20"/>
        <w:rPr>
          <w:rFonts w:eastAsia="Calibri"/>
          <w:b/>
          <w:color w:val="auto"/>
          <w:sz w:val="22"/>
          <w:szCs w:val="22"/>
          <w:lang w:eastAsia="en-US"/>
        </w:rPr>
      </w:pPr>
      <w:r w:rsidRPr="00452D62">
        <w:rPr>
          <w:rFonts w:eastAsia="Calibri"/>
          <w:b/>
          <w:color w:val="auto"/>
          <w:sz w:val="22"/>
          <w:szCs w:val="22"/>
          <w:lang w:eastAsia="en-US"/>
        </w:rPr>
        <w:t>8 lentelė. III fazės tyrimo COMPASS saugumo rezultatai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10"/>
        <w:gridCol w:w="2498"/>
        <w:gridCol w:w="1785"/>
        <w:gridCol w:w="1767"/>
      </w:tblGrid>
      <w:tr w:rsidR="00823785" w:rsidRPr="00452D62" w14:paraId="452FEC4A" w14:textId="77777777" w:rsidTr="006453B9">
        <w:tc>
          <w:tcPr>
            <w:tcW w:w="3085" w:type="dxa"/>
            <w:shd w:val="clear" w:color="auto" w:fill="auto"/>
          </w:tcPr>
          <w:p w14:paraId="77E8B1AE" w14:textId="77777777" w:rsidR="00823785" w:rsidRPr="00452D62" w:rsidRDefault="00823785" w:rsidP="006453B9">
            <w:pPr>
              <w:tabs>
                <w:tab w:val="clear" w:pos="567"/>
              </w:tabs>
              <w:suppressAutoHyphens w:val="0"/>
              <w:spacing w:line="240" w:lineRule="auto"/>
              <w:rPr>
                <w:rFonts w:eastAsia="Calibri"/>
                <w:color w:val="auto"/>
                <w:sz w:val="22"/>
                <w:szCs w:val="22"/>
                <w:lang w:eastAsia="en-US"/>
              </w:rPr>
            </w:pPr>
            <w:r w:rsidRPr="00452D62">
              <w:rPr>
                <w:rFonts w:eastAsia="Calibri"/>
                <w:b/>
                <w:bCs/>
                <w:color w:val="auto"/>
                <w:position w:val="5"/>
                <w:sz w:val="22"/>
                <w:szCs w:val="22"/>
                <w:lang w:eastAsia="en-US"/>
              </w:rPr>
              <w:t>Tyrimo populiacija</w:t>
            </w:r>
          </w:p>
        </w:tc>
        <w:tc>
          <w:tcPr>
            <w:tcW w:w="6201" w:type="dxa"/>
            <w:gridSpan w:val="3"/>
            <w:shd w:val="clear" w:color="auto" w:fill="auto"/>
          </w:tcPr>
          <w:p w14:paraId="34F564FC" w14:textId="77777777" w:rsidR="00823785" w:rsidRPr="00452D62" w:rsidRDefault="00823785" w:rsidP="006453B9">
            <w:pPr>
              <w:tabs>
                <w:tab w:val="clear" w:pos="567"/>
              </w:tabs>
              <w:suppressAutoHyphens w:val="0"/>
              <w:autoSpaceDE w:val="0"/>
              <w:autoSpaceDN w:val="0"/>
              <w:adjustRightInd w:val="0"/>
              <w:spacing w:line="223" w:lineRule="exact"/>
              <w:ind w:right="-20"/>
              <w:jc w:val="center"/>
              <w:rPr>
                <w:rFonts w:eastAsia="Calibri"/>
                <w:b/>
                <w:bCs/>
                <w:color w:val="auto"/>
                <w:spacing w:val="1"/>
                <w:sz w:val="22"/>
                <w:szCs w:val="22"/>
                <w:lang w:eastAsia="en-US"/>
              </w:rPr>
            </w:pPr>
            <w:r w:rsidRPr="00452D62">
              <w:rPr>
                <w:rFonts w:eastAsia="Calibri"/>
                <w:b/>
                <w:bCs/>
                <w:color w:val="auto"/>
                <w:spacing w:val="1"/>
                <w:sz w:val="22"/>
                <w:szCs w:val="22"/>
                <w:lang w:eastAsia="en-US"/>
              </w:rPr>
              <w:t>Pacientai, sergantys VAL arba PAL</w:t>
            </w:r>
            <w:r w:rsidRPr="00452D62">
              <w:rPr>
                <w:rFonts w:eastAsia="Calibri"/>
                <w:b/>
                <w:bCs/>
                <w:color w:val="auto"/>
                <w:spacing w:val="2"/>
                <w:sz w:val="22"/>
                <w:szCs w:val="22"/>
                <w:vertAlign w:val="superscript"/>
                <w:lang w:eastAsia="en-US"/>
              </w:rPr>
              <w:t>a</w:t>
            </w:r>
            <w:r w:rsidRPr="00452D62">
              <w:rPr>
                <w:rFonts w:eastAsia="Calibri"/>
                <w:b/>
                <w:bCs/>
                <w:color w:val="auto"/>
                <w:sz w:val="22"/>
                <w:szCs w:val="22"/>
                <w:vertAlign w:val="superscript"/>
                <w:lang w:eastAsia="en-US"/>
              </w:rPr>
              <w:t>)</w:t>
            </w:r>
          </w:p>
        </w:tc>
      </w:tr>
      <w:tr w:rsidR="00823785" w:rsidRPr="00452D62" w14:paraId="5BF8A9C3" w14:textId="77777777" w:rsidTr="006453B9">
        <w:tc>
          <w:tcPr>
            <w:tcW w:w="3085" w:type="dxa"/>
            <w:shd w:val="clear" w:color="auto" w:fill="auto"/>
          </w:tcPr>
          <w:p w14:paraId="5A88BD6E" w14:textId="77777777" w:rsidR="00823785" w:rsidRPr="00452D62" w:rsidRDefault="00823785" w:rsidP="006453B9">
            <w:pPr>
              <w:tabs>
                <w:tab w:val="clear" w:pos="567"/>
              </w:tabs>
              <w:suppressAutoHyphens w:val="0"/>
              <w:autoSpaceDE w:val="0"/>
              <w:autoSpaceDN w:val="0"/>
              <w:adjustRightInd w:val="0"/>
              <w:spacing w:line="240" w:lineRule="auto"/>
              <w:rPr>
                <w:rFonts w:eastAsia="Calibri"/>
                <w:b/>
                <w:color w:val="auto"/>
                <w:sz w:val="22"/>
                <w:szCs w:val="22"/>
                <w:lang w:eastAsia="en-US"/>
              </w:rPr>
            </w:pPr>
            <w:r w:rsidRPr="00452D62">
              <w:rPr>
                <w:rFonts w:eastAsia="Calibri"/>
                <w:b/>
                <w:color w:val="auto"/>
                <w:sz w:val="22"/>
                <w:szCs w:val="22"/>
                <w:lang w:eastAsia="en-US"/>
              </w:rPr>
              <w:t>Gydymo dozė</w:t>
            </w:r>
          </w:p>
        </w:tc>
        <w:tc>
          <w:tcPr>
            <w:tcW w:w="2552" w:type="dxa"/>
            <w:shd w:val="clear" w:color="auto" w:fill="auto"/>
          </w:tcPr>
          <w:p w14:paraId="4AD80A0A" w14:textId="77777777" w:rsidR="00823785" w:rsidRPr="00452D62" w:rsidRDefault="00823785" w:rsidP="006453B9">
            <w:pPr>
              <w:tabs>
                <w:tab w:val="clear" w:pos="567"/>
              </w:tabs>
              <w:suppressAutoHyphens w:val="0"/>
              <w:autoSpaceDE w:val="0"/>
              <w:autoSpaceDN w:val="0"/>
              <w:adjustRightInd w:val="0"/>
              <w:spacing w:line="240" w:lineRule="auto"/>
              <w:rPr>
                <w:rFonts w:eastAsia="Calibri"/>
                <w:b/>
                <w:color w:val="auto"/>
                <w:sz w:val="22"/>
                <w:szCs w:val="22"/>
                <w:lang w:eastAsia="en-US"/>
              </w:rPr>
            </w:pPr>
            <w:r w:rsidRPr="00452D62">
              <w:rPr>
                <w:rFonts w:eastAsia="Calibri"/>
                <w:b/>
                <w:color w:val="auto"/>
                <w:sz w:val="22"/>
                <w:szCs w:val="22"/>
                <w:lang w:eastAsia="en-US"/>
              </w:rPr>
              <w:t xml:space="preserve">Rivaroksabanas 2,5 mg DKP kartu su ASR 100 mg VKP, N=9152 </w:t>
            </w:r>
          </w:p>
          <w:p w14:paraId="5D05FCBF" w14:textId="36F50C5D" w:rsidR="00823785" w:rsidRPr="00452D62" w:rsidRDefault="00823785" w:rsidP="006453B9">
            <w:pPr>
              <w:tabs>
                <w:tab w:val="clear" w:pos="567"/>
              </w:tabs>
              <w:suppressAutoHyphens w:val="0"/>
              <w:autoSpaceDE w:val="0"/>
              <w:autoSpaceDN w:val="0"/>
              <w:adjustRightInd w:val="0"/>
              <w:spacing w:line="240" w:lineRule="auto"/>
              <w:rPr>
                <w:rFonts w:eastAsia="Calibri"/>
                <w:b/>
                <w:color w:val="auto"/>
                <w:sz w:val="22"/>
                <w:szCs w:val="22"/>
                <w:lang w:eastAsia="en-US"/>
              </w:rPr>
            </w:pPr>
            <w:r w:rsidRPr="00452D62">
              <w:rPr>
                <w:rFonts w:eastAsia="Calibri"/>
                <w:b/>
                <w:color w:val="auto"/>
                <w:sz w:val="22"/>
                <w:szCs w:val="22"/>
                <w:lang w:eastAsia="en-US"/>
              </w:rPr>
              <w:t>n (KR %)</w:t>
            </w:r>
          </w:p>
        </w:tc>
        <w:tc>
          <w:tcPr>
            <w:tcW w:w="1842" w:type="dxa"/>
            <w:shd w:val="clear" w:color="auto" w:fill="auto"/>
          </w:tcPr>
          <w:p w14:paraId="49BE006E" w14:textId="77777777" w:rsidR="00823785" w:rsidRPr="00452D62" w:rsidRDefault="00823785" w:rsidP="006453B9">
            <w:pPr>
              <w:tabs>
                <w:tab w:val="clear" w:pos="567"/>
              </w:tabs>
              <w:suppressAutoHyphens w:val="0"/>
              <w:autoSpaceDE w:val="0"/>
              <w:autoSpaceDN w:val="0"/>
              <w:adjustRightInd w:val="0"/>
              <w:spacing w:line="240" w:lineRule="auto"/>
              <w:rPr>
                <w:rFonts w:eastAsia="Calibri"/>
                <w:b/>
                <w:color w:val="auto"/>
                <w:sz w:val="22"/>
                <w:szCs w:val="22"/>
                <w:lang w:eastAsia="en-US"/>
              </w:rPr>
            </w:pPr>
            <w:r w:rsidRPr="00452D62">
              <w:rPr>
                <w:rFonts w:eastAsia="Calibri"/>
                <w:b/>
                <w:color w:val="auto"/>
                <w:sz w:val="22"/>
                <w:szCs w:val="22"/>
                <w:lang w:eastAsia="en-US"/>
              </w:rPr>
              <w:t>ASR 100 mg VKP</w:t>
            </w:r>
          </w:p>
          <w:p w14:paraId="19235C06" w14:textId="77777777" w:rsidR="00823785" w:rsidRPr="00452D62" w:rsidRDefault="00823785" w:rsidP="006453B9">
            <w:pPr>
              <w:tabs>
                <w:tab w:val="clear" w:pos="567"/>
              </w:tabs>
              <w:suppressAutoHyphens w:val="0"/>
              <w:autoSpaceDE w:val="0"/>
              <w:autoSpaceDN w:val="0"/>
              <w:adjustRightInd w:val="0"/>
              <w:spacing w:line="240" w:lineRule="auto"/>
              <w:rPr>
                <w:rFonts w:eastAsia="Calibri"/>
                <w:b/>
                <w:color w:val="auto"/>
                <w:sz w:val="22"/>
                <w:szCs w:val="22"/>
                <w:lang w:eastAsia="en-US"/>
              </w:rPr>
            </w:pPr>
            <w:r w:rsidRPr="00452D62">
              <w:rPr>
                <w:rFonts w:eastAsia="Calibri"/>
                <w:b/>
                <w:color w:val="auto"/>
                <w:sz w:val="22"/>
                <w:szCs w:val="22"/>
                <w:lang w:eastAsia="en-US"/>
              </w:rPr>
              <w:t>N=9126</w:t>
            </w:r>
          </w:p>
          <w:p w14:paraId="7C8E0068" w14:textId="71E82998" w:rsidR="00823785" w:rsidRPr="00452D62" w:rsidRDefault="00823785" w:rsidP="006453B9">
            <w:pPr>
              <w:tabs>
                <w:tab w:val="clear" w:pos="567"/>
              </w:tabs>
              <w:suppressAutoHyphens w:val="0"/>
              <w:autoSpaceDE w:val="0"/>
              <w:autoSpaceDN w:val="0"/>
              <w:adjustRightInd w:val="0"/>
              <w:spacing w:line="240" w:lineRule="auto"/>
              <w:rPr>
                <w:rFonts w:eastAsia="Calibri"/>
                <w:b/>
                <w:color w:val="auto"/>
                <w:sz w:val="22"/>
                <w:szCs w:val="22"/>
                <w:lang w:eastAsia="en-US"/>
              </w:rPr>
            </w:pPr>
            <w:r w:rsidRPr="00452D62">
              <w:rPr>
                <w:rFonts w:eastAsia="Calibri"/>
                <w:b/>
                <w:color w:val="auto"/>
                <w:sz w:val="22"/>
                <w:szCs w:val="22"/>
                <w:lang w:eastAsia="en-US"/>
              </w:rPr>
              <w:t>n (KR %)</w:t>
            </w:r>
          </w:p>
        </w:tc>
        <w:tc>
          <w:tcPr>
            <w:tcW w:w="1807" w:type="dxa"/>
            <w:shd w:val="clear" w:color="auto" w:fill="auto"/>
          </w:tcPr>
          <w:p w14:paraId="6EB298C1" w14:textId="729095F1" w:rsidR="00823785" w:rsidRPr="00452D62" w:rsidRDefault="00823785" w:rsidP="006453B9">
            <w:pPr>
              <w:tabs>
                <w:tab w:val="clear" w:pos="567"/>
              </w:tabs>
              <w:suppressAutoHyphens w:val="0"/>
              <w:autoSpaceDE w:val="0"/>
              <w:autoSpaceDN w:val="0"/>
              <w:adjustRightInd w:val="0"/>
              <w:spacing w:line="240" w:lineRule="auto"/>
              <w:jc w:val="center"/>
              <w:rPr>
                <w:rFonts w:eastAsia="Calibri"/>
                <w:b/>
                <w:color w:val="auto"/>
                <w:sz w:val="22"/>
                <w:szCs w:val="22"/>
                <w:lang w:eastAsia="en-US"/>
              </w:rPr>
            </w:pPr>
            <w:r w:rsidRPr="00452D62">
              <w:rPr>
                <w:rFonts w:eastAsia="Calibri"/>
                <w:b/>
                <w:color w:val="auto"/>
                <w:sz w:val="22"/>
                <w:szCs w:val="22"/>
                <w:lang w:eastAsia="en-US"/>
              </w:rPr>
              <w:t xml:space="preserve">Rizikos santykis (95 % PI) </w:t>
            </w:r>
          </w:p>
          <w:p w14:paraId="549B116F" w14:textId="77777777" w:rsidR="00823785" w:rsidRPr="00452D62" w:rsidRDefault="00823785" w:rsidP="006453B9">
            <w:pPr>
              <w:tabs>
                <w:tab w:val="clear" w:pos="567"/>
              </w:tabs>
              <w:suppressAutoHyphens w:val="0"/>
              <w:autoSpaceDE w:val="0"/>
              <w:autoSpaceDN w:val="0"/>
              <w:adjustRightInd w:val="0"/>
              <w:spacing w:line="240" w:lineRule="auto"/>
              <w:jc w:val="center"/>
              <w:rPr>
                <w:rFonts w:eastAsia="Calibri"/>
                <w:b/>
                <w:color w:val="auto"/>
                <w:sz w:val="22"/>
                <w:szCs w:val="22"/>
                <w:lang w:eastAsia="en-US"/>
              </w:rPr>
            </w:pPr>
            <w:r w:rsidRPr="00452D62">
              <w:rPr>
                <w:rFonts w:eastAsia="Calibri"/>
                <w:b/>
                <w:color w:val="auto"/>
                <w:sz w:val="22"/>
                <w:szCs w:val="22"/>
                <w:lang w:eastAsia="en-US"/>
              </w:rPr>
              <w:t>p rodmuo</w:t>
            </w:r>
            <w:r w:rsidRPr="00452D62">
              <w:rPr>
                <w:rFonts w:eastAsia="Calibri"/>
                <w:b/>
                <w:color w:val="auto"/>
                <w:sz w:val="22"/>
                <w:szCs w:val="22"/>
                <w:vertAlign w:val="superscript"/>
                <w:lang w:eastAsia="en-US"/>
              </w:rPr>
              <w:t>b)</w:t>
            </w:r>
          </w:p>
        </w:tc>
      </w:tr>
      <w:tr w:rsidR="00823785" w:rsidRPr="00452D62" w14:paraId="4FA842C1" w14:textId="77777777" w:rsidTr="006453B9">
        <w:tc>
          <w:tcPr>
            <w:tcW w:w="3085" w:type="dxa"/>
            <w:shd w:val="clear" w:color="auto" w:fill="auto"/>
          </w:tcPr>
          <w:p w14:paraId="6D9580E5"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Didysis kraujavimas pagal modifikuotą ISTH skalę</w:t>
            </w:r>
          </w:p>
        </w:tc>
        <w:tc>
          <w:tcPr>
            <w:tcW w:w="2552" w:type="dxa"/>
            <w:shd w:val="clear" w:color="auto" w:fill="auto"/>
          </w:tcPr>
          <w:p w14:paraId="1B7EAFFA" w14:textId="2FD523C8" w:rsidR="00823785" w:rsidRPr="00452D62"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288 (3,9 %)</w:t>
            </w:r>
          </w:p>
          <w:p w14:paraId="6631DB1E" w14:textId="77777777" w:rsidR="00823785" w:rsidRPr="00452D62"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p>
        </w:tc>
        <w:tc>
          <w:tcPr>
            <w:tcW w:w="1842" w:type="dxa"/>
            <w:shd w:val="clear" w:color="auto" w:fill="auto"/>
          </w:tcPr>
          <w:p w14:paraId="21AFEAD0" w14:textId="1ECA726B"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 xml:space="preserve">170 (2,5 %) </w:t>
            </w:r>
          </w:p>
        </w:tc>
        <w:tc>
          <w:tcPr>
            <w:tcW w:w="1807" w:type="dxa"/>
            <w:shd w:val="clear" w:color="auto" w:fill="auto"/>
          </w:tcPr>
          <w:p w14:paraId="74CFEA07"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1,70 (1,40;2,05)</w:t>
            </w:r>
          </w:p>
          <w:p w14:paraId="6751FEC9"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p &lt; 0,00001</w:t>
            </w:r>
          </w:p>
        </w:tc>
      </w:tr>
      <w:tr w:rsidR="00823785" w:rsidRPr="00452D62" w14:paraId="1ED6F3C4" w14:textId="77777777" w:rsidTr="006453B9">
        <w:tc>
          <w:tcPr>
            <w:tcW w:w="3085" w:type="dxa"/>
            <w:shd w:val="clear" w:color="auto" w:fill="auto"/>
          </w:tcPr>
          <w:p w14:paraId="0515C8DF" w14:textId="77777777" w:rsidR="00823785" w:rsidRPr="00452D62" w:rsidRDefault="00823785" w:rsidP="006453B9">
            <w:pPr>
              <w:numPr>
                <w:ilvl w:val="0"/>
                <w:numId w:val="10"/>
              </w:numPr>
              <w:tabs>
                <w:tab w:val="clear" w:pos="567"/>
              </w:tabs>
              <w:suppressAutoHyphens w:val="0"/>
              <w:autoSpaceDE w:val="0"/>
              <w:autoSpaceDN w:val="0"/>
              <w:adjustRightInd w:val="0"/>
              <w:spacing w:line="240" w:lineRule="auto"/>
              <w:contextualSpacing/>
              <w:rPr>
                <w:rFonts w:eastAsia="Calibri"/>
                <w:color w:val="auto"/>
                <w:sz w:val="22"/>
                <w:szCs w:val="22"/>
                <w:lang w:eastAsia="en-US"/>
              </w:rPr>
            </w:pPr>
            <w:r w:rsidRPr="00452D62">
              <w:rPr>
                <w:rFonts w:eastAsia="Calibri"/>
                <w:color w:val="auto"/>
                <w:sz w:val="22"/>
                <w:szCs w:val="22"/>
                <w:lang w:eastAsia="en-US"/>
              </w:rPr>
              <w:t>Mirtinas kraujavimo reiškinys</w:t>
            </w:r>
          </w:p>
        </w:tc>
        <w:tc>
          <w:tcPr>
            <w:tcW w:w="2552" w:type="dxa"/>
            <w:shd w:val="clear" w:color="auto" w:fill="auto"/>
          </w:tcPr>
          <w:p w14:paraId="2FC7D5ED" w14:textId="579446A4" w:rsidR="00823785" w:rsidRPr="00452D62"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15 (0,2 %)</w:t>
            </w:r>
          </w:p>
        </w:tc>
        <w:tc>
          <w:tcPr>
            <w:tcW w:w="1842" w:type="dxa"/>
            <w:shd w:val="clear" w:color="auto" w:fill="auto"/>
          </w:tcPr>
          <w:p w14:paraId="2066A071" w14:textId="6E66DE43"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10 (0,2 %)</w:t>
            </w:r>
          </w:p>
        </w:tc>
        <w:tc>
          <w:tcPr>
            <w:tcW w:w="1807" w:type="dxa"/>
            <w:shd w:val="clear" w:color="auto" w:fill="auto"/>
          </w:tcPr>
          <w:p w14:paraId="1C25E37F"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1,49 (0,67;3,33)</w:t>
            </w:r>
          </w:p>
          <w:p w14:paraId="74954DCF"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p=0,32164</w:t>
            </w:r>
          </w:p>
        </w:tc>
      </w:tr>
      <w:tr w:rsidR="00823785" w:rsidRPr="00452D62" w14:paraId="0E32A72C" w14:textId="77777777" w:rsidTr="006453B9">
        <w:tc>
          <w:tcPr>
            <w:tcW w:w="3085" w:type="dxa"/>
            <w:shd w:val="clear" w:color="auto" w:fill="auto"/>
          </w:tcPr>
          <w:p w14:paraId="37525988" w14:textId="77777777" w:rsidR="00823785" w:rsidRPr="00452D62" w:rsidRDefault="00823785" w:rsidP="006453B9">
            <w:pPr>
              <w:numPr>
                <w:ilvl w:val="0"/>
                <w:numId w:val="10"/>
              </w:numPr>
              <w:tabs>
                <w:tab w:val="clear" w:pos="567"/>
              </w:tabs>
              <w:suppressAutoHyphens w:val="0"/>
              <w:autoSpaceDE w:val="0"/>
              <w:autoSpaceDN w:val="0"/>
              <w:adjustRightInd w:val="0"/>
              <w:spacing w:line="240" w:lineRule="auto"/>
              <w:contextualSpacing/>
              <w:rPr>
                <w:rFonts w:eastAsia="Calibri"/>
                <w:color w:val="auto"/>
                <w:sz w:val="22"/>
                <w:szCs w:val="22"/>
                <w:lang w:eastAsia="en-US"/>
              </w:rPr>
            </w:pPr>
            <w:r w:rsidRPr="00452D62">
              <w:rPr>
                <w:rFonts w:eastAsia="Calibri"/>
                <w:color w:val="auto"/>
                <w:sz w:val="22"/>
                <w:szCs w:val="22"/>
                <w:lang w:eastAsia="en-US"/>
              </w:rPr>
              <w:t>Simptominis ypač svarbaus organo kraujavimas (nemirtinas)</w:t>
            </w:r>
          </w:p>
        </w:tc>
        <w:tc>
          <w:tcPr>
            <w:tcW w:w="2552" w:type="dxa"/>
            <w:shd w:val="clear" w:color="auto" w:fill="auto"/>
          </w:tcPr>
          <w:p w14:paraId="6D417A24" w14:textId="7B69A4A0" w:rsidR="00823785" w:rsidRPr="00452D62"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63 (0,9 %)</w:t>
            </w:r>
          </w:p>
        </w:tc>
        <w:tc>
          <w:tcPr>
            <w:tcW w:w="1842" w:type="dxa"/>
            <w:shd w:val="clear" w:color="auto" w:fill="auto"/>
          </w:tcPr>
          <w:p w14:paraId="03F798B7" w14:textId="1EDD8ABC"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49 (0,7 %)</w:t>
            </w:r>
          </w:p>
        </w:tc>
        <w:tc>
          <w:tcPr>
            <w:tcW w:w="1807" w:type="dxa"/>
            <w:shd w:val="clear" w:color="auto" w:fill="auto"/>
          </w:tcPr>
          <w:p w14:paraId="4CAA4BAB"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1,28 (0,88;1,86)</w:t>
            </w:r>
          </w:p>
          <w:p w14:paraId="3C25B8E3"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p=0,19679</w:t>
            </w:r>
          </w:p>
        </w:tc>
      </w:tr>
      <w:tr w:rsidR="00823785" w:rsidRPr="00452D62" w14:paraId="5F996A71" w14:textId="77777777" w:rsidTr="006453B9">
        <w:tc>
          <w:tcPr>
            <w:tcW w:w="3085" w:type="dxa"/>
            <w:shd w:val="clear" w:color="auto" w:fill="auto"/>
          </w:tcPr>
          <w:p w14:paraId="4843FA22" w14:textId="77777777" w:rsidR="00823785" w:rsidRPr="00452D62" w:rsidRDefault="00823785" w:rsidP="006453B9">
            <w:pPr>
              <w:numPr>
                <w:ilvl w:val="0"/>
                <w:numId w:val="10"/>
              </w:numPr>
              <w:tabs>
                <w:tab w:val="clear" w:pos="567"/>
              </w:tabs>
              <w:suppressAutoHyphens w:val="0"/>
              <w:autoSpaceDE w:val="0"/>
              <w:autoSpaceDN w:val="0"/>
              <w:adjustRightInd w:val="0"/>
              <w:spacing w:line="240" w:lineRule="auto"/>
              <w:contextualSpacing/>
              <w:rPr>
                <w:rFonts w:eastAsia="Calibri"/>
                <w:color w:val="auto"/>
                <w:sz w:val="22"/>
                <w:szCs w:val="22"/>
                <w:lang w:eastAsia="en-US"/>
              </w:rPr>
            </w:pPr>
            <w:r w:rsidRPr="00452D62">
              <w:rPr>
                <w:rFonts w:eastAsia="Calibri"/>
                <w:color w:val="auto"/>
                <w:sz w:val="22"/>
                <w:szCs w:val="22"/>
                <w:lang w:eastAsia="en-US"/>
              </w:rPr>
              <w:t>Operuotos vietos kraujavimas, dėl kurio prireikė pakartotinės operacijos (nemirtinas, ne ypač svarbaus organo)</w:t>
            </w:r>
          </w:p>
        </w:tc>
        <w:tc>
          <w:tcPr>
            <w:tcW w:w="2552" w:type="dxa"/>
            <w:shd w:val="clear" w:color="auto" w:fill="auto"/>
          </w:tcPr>
          <w:p w14:paraId="72DFB833" w14:textId="34200479" w:rsidR="00823785" w:rsidRPr="00452D62"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10 (0,1 %)</w:t>
            </w:r>
          </w:p>
        </w:tc>
        <w:tc>
          <w:tcPr>
            <w:tcW w:w="1842" w:type="dxa"/>
            <w:shd w:val="clear" w:color="auto" w:fill="auto"/>
          </w:tcPr>
          <w:p w14:paraId="0BAA722B" w14:textId="4B5855F2"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8 (0,1 %)</w:t>
            </w:r>
          </w:p>
        </w:tc>
        <w:tc>
          <w:tcPr>
            <w:tcW w:w="1807" w:type="dxa"/>
            <w:shd w:val="clear" w:color="auto" w:fill="auto"/>
          </w:tcPr>
          <w:p w14:paraId="24EA95FE"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1,24 (0,49;3,14)</w:t>
            </w:r>
          </w:p>
          <w:p w14:paraId="5688F7DB"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p=0,65119</w:t>
            </w:r>
          </w:p>
        </w:tc>
      </w:tr>
      <w:tr w:rsidR="00823785" w:rsidRPr="00452D62" w14:paraId="1662506C" w14:textId="77777777" w:rsidTr="006453B9">
        <w:tc>
          <w:tcPr>
            <w:tcW w:w="3085" w:type="dxa"/>
            <w:shd w:val="clear" w:color="auto" w:fill="auto"/>
          </w:tcPr>
          <w:p w14:paraId="1B9561BF" w14:textId="77777777" w:rsidR="00823785" w:rsidRPr="00452D62" w:rsidRDefault="00823785" w:rsidP="006453B9">
            <w:pPr>
              <w:numPr>
                <w:ilvl w:val="0"/>
                <w:numId w:val="10"/>
              </w:numPr>
              <w:tabs>
                <w:tab w:val="clear" w:pos="567"/>
              </w:tabs>
              <w:suppressAutoHyphens w:val="0"/>
              <w:autoSpaceDE w:val="0"/>
              <w:autoSpaceDN w:val="0"/>
              <w:adjustRightInd w:val="0"/>
              <w:spacing w:line="240" w:lineRule="auto"/>
              <w:contextualSpacing/>
              <w:rPr>
                <w:rFonts w:eastAsia="Calibri"/>
                <w:color w:val="auto"/>
                <w:sz w:val="22"/>
                <w:szCs w:val="22"/>
                <w:lang w:eastAsia="en-US"/>
              </w:rPr>
            </w:pPr>
            <w:r w:rsidRPr="00452D62">
              <w:rPr>
                <w:rFonts w:eastAsia="Calibri"/>
                <w:color w:val="auto"/>
                <w:sz w:val="22"/>
                <w:szCs w:val="22"/>
                <w:lang w:eastAsia="en-US"/>
              </w:rPr>
              <w:t>Kraujavimas, dėl kurio prireikė hospitalizacijos (nemirtinas, ne ypač svarbaus organo, neprireikė pakartotinės operacijos)</w:t>
            </w:r>
          </w:p>
        </w:tc>
        <w:tc>
          <w:tcPr>
            <w:tcW w:w="2552" w:type="dxa"/>
            <w:shd w:val="clear" w:color="auto" w:fill="auto"/>
          </w:tcPr>
          <w:p w14:paraId="4CD3970E" w14:textId="16E60367" w:rsidR="00823785" w:rsidRPr="00452D62"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208 (2,9 %)</w:t>
            </w:r>
          </w:p>
        </w:tc>
        <w:tc>
          <w:tcPr>
            <w:tcW w:w="1842" w:type="dxa"/>
            <w:shd w:val="clear" w:color="auto" w:fill="auto"/>
          </w:tcPr>
          <w:p w14:paraId="6C56D68A" w14:textId="111D3BC5"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109 (1,6 %)</w:t>
            </w:r>
          </w:p>
        </w:tc>
        <w:tc>
          <w:tcPr>
            <w:tcW w:w="1807" w:type="dxa"/>
            <w:shd w:val="clear" w:color="auto" w:fill="auto"/>
          </w:tcPr>
          <w:p w14:paraId="5A715FE5"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1,91 (1,51;2,41)</w:t>
            </w:r>
          </w:p>
          <w:p w14:paraId="4A78C675"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p &lt; 0,00001</w:t>
            </w:r>
          </w:p>
        </w:tc>
      </w:tr>
      <w:tr w:rsidR="00823785" w:rsidRPr="00452D62" w14:paraId="15812112" w14:textId="77777777" w:rsidTr="006453B9">
        <w:tc>
          <w:tcPr>
            <w:tcW w:w="3085" w:type="dxa"/>
            <w:shd w:val="clear" w:color="auto" w:fill="auto"/>
          </w:tcPr>
          <w:p w14:paraId="54B3F183" w14:textId="77777777" w:rsidR="00823785" w:rsidRPr="00452D62" w:rsidRDefault="00823785" w:rsidP="006453B9">
            <w:pPr>
              <w:tabs>
                <w:tab w:val="clear" w:pos="567"/>
              </w:tabs>
              <w:suppressAutoHyphens w:val="0"/>
              <w:autoSpaceDE w:val="0"/>
              <w:autoSpaceDN w:val="0"/>
              <w:adjustRightInd w:val="0"/>
              <w:spacing w:line="240" w:lineRule="auto"/>
              <w:ind w:left="360"/>
              <w:contextualSpacing/>
              <w:rPr>
                <w:rFonts w:eastAsia="Calibri"/>
                <w:color w:val="auto"/>
                <w:sz w:val="22"/>
                <w:szCs w:val="22"/>
                <w:lang w:eastAsia="en-US"/>
              </w:rPr>
            </w:pPr>
            <w:r w:rsidRPr="00452D62">
              <w:rPr>
                <w:rFonts w:eastAsia="Calibri"/>
                <w:color w:val="auto"/>
                <w:sz w:val="22"/>
                <w:szCs w:val="22"/>
                <w:lang w:eastAsia="en-US"/>
              </w:rPr>
              <w:t>Su nakvyne ligoninėje</w:t>
            </w:r>
          </w:p>
        </w:tc>
        <w:tc>
          <w:tcPr>
            <w:tcW w:w="2552" w:type="dxa"/>
            <w:shd w:val="clear" w:color="auto" w:fill="auto"/>
          </w:tcPr>
          <w:p w14:paraId="164503DC" w14:textId="298AB4A2" w:rsidR="00823785" w:rsidRPr="00452D62"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172 (2,3 %)</w:t>
            </w:r>
          </w:p>
        </w:tc>
        <w:tc>
          <w:tcPr>
            <w:tcW w:w="1842" w:type="dxa"/>
            <w:shd w:val="clear" w:color="auto" w:fill="auto"/>
          </w:tcPr>
          <w:p w14:paraId="70B1DD85" w14:textId="494069F1"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90 (1,3 %)</w:t>
            </w:r>
          </w:p>
        </w:tc>
        <w:tc>
          <w:tcPr>
            <w:tcW w:w="1807" w:type="dxa"/>
            <w:shd w:val="clear" w:color="auto" w:fill="auto"/>
          </w:tcPr>
          <w:p w14:paraId="728C25E8"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1,91 (1,48;2,46)</w:t>
            </w:r>
          </w:p>
          <w:p w14:paraId="05973962"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p &lt; 0,00001</w:t>
            </w:r>
          </w:p>
        </w:tc>
      </w:tr>
      <w:tr w:rsidR="00823785" w:rsidRPr="00452D62" w14:paraId="4D1F949B" w14:textId="77777777" w:rsidTr="006453B9">
        <w:tc>
          <w:tcPr>
            <w:tcW w:w="3085" w:type="dxa"/>
            <w:shd w:val="clear" w:color="auto" w:fill="auto"/>
          </w:tcPr>
          <w:p w14:paraId="15DE796C" w14:textId="77777777" w:rsidR="00823785" w:rsidRPr="00452D62" w:rsidRDefault="00823785" w:rsidP="006453B9">
            <w:pPr>
              <w:tabs>
                <w:tab w:val="clear" w:pos="567"/>
              </w:tabs>
              <w:suppressAutoHyphens w:val="0"/>
              <w:autoSpaceDE w:val="0"/>
              <w:autoSpaceDN w:val="0"/>
              <w:adjustRightInd w:val="0"/>
              <w:spacing w:line="240" w:lineRule="auto"/>
              <w:ind w:left="360"/>
              <w:contextualSpacing/>
              <w:rPr>
                <w:rFonts w:eastAsia="Calibri"/>
                <w:color w:val="auto"/>
                <w:sz w:val="22"/>
                <w:szCs w:val="22"/>
                <w:lang w:eastAsia="en-US"/>
              </w:rPr>
            </w:pPr>
            <w:r w:rsidRPr="00452D62">
              <w:rPr>
                <w:rFonts w:eastAsia="Calibri"/>
                <w:color w:val="auto"/>
                <w:sz w:val="22"/>
                <w:szCs w:val="22"/>
                <w:lang w:eastAsia="en-US"/>
              </w:rPr>
              <w:t>Be nakvynės ligoninėje</w:t>
            </w:r>
          </w:p>
        </w:tc>
        <w:tc>
          <w:tcPr>
            <w:tcW w:w="2552" w:type="dxa"/>
            <w:shd w:val="clear" w:color="auto" w:fill="auto"/>
          </w:tcPr>
          <w:p w14:paraId="12E4DB76" w14:textId="472D1A24" w:rsidR="00823785" w:rsidRPr="00452D62"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36 (0,5 %)</w:t>
            </w:r>
          </w:p>
        </w:tc>
        <w:tc>
          <w:tcPr>
            <w:tcW w:w="1842" w:type="dxa"/>
            <w:shd w:val="clear" w:color="auto" w:fill="auto"/>
          </w:tcPr>
          <w:p w14:paraId="70C3EC52" w14:textId="2850BDE2"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21 (0,3 %)</w:t>
            </w:r>
          </w:p>
        </w:tc>
        <w:tc>
          <w:tcPr>
            <w:tcW w:w="1807" w:type="dxa"/>
            <w:shd w:val="clear" w:color="auto" w:fill="auto"/>
          </w:tcPr>
          <w:p w14:paraId="274DF74F"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1,70 (0,99;2,92)</w:t>
            </w:r>
          </w:p>
          <w:p w14:paraId="75154C5D"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p=0,04983</w:t>
            </w:r>
          </w:p>
        </w:tc>
      </w:tr>
      <w:tr w:rsidR="00823785" w:rsidRPr="00452D62" w14:paraId="07351B9B" w14:textId="77777777" w:rsidTr="006453B9">
        <w:tc>
          <w:tcPr>
            <w:tcW w:w="3085" w:type="dxa"/>
            <w:shd w:val="clear" w:color="auto" w:fill="auto"/>
          </w:tcPr>
          <w:p w14:paraId="4F94CBDC" w14:textId="77777777" w:rsidR="00823785" w:rsidRPr="00452D62" w:rsidRDefault="00823785" w:rsidP="006453B9">
            <w:pPr>
              <w:tabs>
                <w:tab w:val="clear" w:pos="567"/>
              </w:tabs>
              <w:suppressAutoHyphens w:val="0"/>
              <w:autoSpaceDE w:val="0"/>
              <w:autoSpaceDN w:val="0"/>
              <w:adjustRightInd w:val="0"/>
              <w:spacing w:line="240" w:lineRule="auto"/>
              <w:contextualSpacing/>
              <w:rPr>
                <w:rFonts w:eastAsia="Calibri"/>
                <w:color w:val="auto"/>
                <w:sz w:val="22"/>
                <w:szCs w:val="22"/>
                <w:lang w:eastAsia="en-US"/>
              </w:rPr>
            </w:pPr>
            <w:r w:rsidRPr="00452D62">
              <w:rPr>
                <w:rFonts w:eastAsia="Calibri"/>
                <w:color w:val="auto"/>
                <w:sz w:val="22"/>
                <w:szCs w:val="22"/>
                <w:lang w:eastAsia="en-US"/>
              </w:rPr>
              <w:t>Didysis kraujavimas į virškinimo traktą</w:t>
            </w:r>
          </w:p>
        </w:tc>
        <w:tc>
          <w:tcPr>
            <w:tcW w:w="2552" w:type="dxa"/>
            <w:shd w:val="clear" w:color="auto" w:fill="auto"/>
          </w:tcPr>
          <w:p w14:paraId="1A5D90B0" w14:textId="3C9142AC" w:rsidR="00823785" w:rsidRPr="00452D62"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140 (2,0 %)</w:t>
            </w:r>
          </w:p>
        </w:tc>
        <w:tc>
          <w:tcPr>
            <w:tcW w:w="1842" w:type="dxa"/>
            <w:shd w:val="clear" w:color="auto" w:fill="auto"/>
          </w:tcPr>
          <w:p w14:paraId="12847AA5" w14:textId="2BB78379"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65 (1,1 %)</w:t>
            </w:r>
          </w:p>
        </w:tc>
        <w:tc>
          <w:tcPr>
            <w:tcW w:w="1807" w:type="dxa"/>
            <w:shd w:val="clear" w:color="auto" w:fill="auto"/>
          </w:tcPr>
          <w:p w14:paraId="7F61C316"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2,15 (1,60;2,89)</w:t>
            </w:r>
          </w:p>
          <w:p w14:paraId="64861734"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p &lt; 0,00001</w:t>
            </w:r>
          </w:p>
        </w:tc>
      </w:tr>
      <w:tr w:rsidR="00823785" w:rsidRPr="00452D62" w14:paraId="2A162AF8" w14:textId="77777777" w:rsidTr="006453B9">
        <w:tc>
          <w:tcPr>
            <w:tcW w:w="3085" w:type="dxa"/>
            <w:shd w:val="clear" w:color="auto" w:fill="auto"/>
          </w:tcPr>
          <w:p w14:paraId="1B70CA80" w14:textId="77777777" w:rsidR="00823785" w:rsidRPr="00452D62" w:rsidRDefault="00823785" w:rsidP="006453B9">
            <w:pPr>
              <w:tabs>
                <w:tab w:val="clear" w:pos="567"/>
              </w:tabs>
              <w:suppressAutoHyphens w:val="0"/>
              <w:autoSpaceDE w:val="0"/>
              <w:autoSpaceDN w:val="0"/>
              <w:adjustRightInd w:val="0"/>
              <w:spacing w:line="240" w:lineRule="auto"/>
              <w:contextualSpacing/>
              <w:rPr>
                <w:rFonts w:eastAsia="Calibri"/>
                <w:color w:val="auto"/>
                <w:sz w:val="22"/>
                <w:szCs w:val="22"/>
                <w:lang w:eastAsia="en-US"/>
              </w:rPr>
            </w:pPr>
            <w:r w:rsidRPr="00452D62">
              <w:rPr>
                <w:rFonts w:eastAsia="Calibri"/>
                <w:color w:val="auto"/>
                <w:sz w:val="22"/>
                <w:szCs w:val="22"/>
                <w:lang w:eastAsia="en-US"/>
              </w:rPr>
              <w:t xml:space="preserve">Didysis intrakranijinis kraujavimas </w:t>
            </w:r>
          </w:p>
        </w:tc>
        <w:tc>
          <w:tcPr>
            <w:tcW w:w="2552" w:type="dxa"/>
            <w:shd w:val="clear" w:color="auto" w:fill="auto"/>
          </w:tcPr>
          <w:p w14:paraId="51154506" w14:textId="3A3B7B45" w:rsidR="00823785" w:rsidRPr="00452D62"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28 (0,4%)</w:t>
            </w:r>
          </w:p>
        </w:tc>
        <w:tc>
          <w:tcPr>
            <w:tcW w:w="1842" w:type="dxa"/>
            <w:shd w:val="clear" w:color="auto" w:fill="auto"/>
          </w:tcPr>
          <w:p w14:paraId="3805DDAF" w14:textId="16F4D664"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24 (0,3%)</w:t>
            </w:r>
          </w:p>
        </w:tc>
        <w:tc>
          <w:tcPr>
            <w:tcW w:w="1807" w:type="dxa"/>
            <w:shd w:val="clear" w:color="auto" w:fill="auto"/>
          </w:tcPr>
          <w:p w14:paraId="541648A2"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1,16 (0,67;2.00)</w:t>
            </w:r>
          </w:p>
          <w:p w14:paraId="75ED4252"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p=0,59858</w:t>
            </w:r>
          </w:p>
        </w:tc>
      </w:tr>
    </w:tbl>
    <w:p w14:paraId="2F7B2437" w14:textId="77777777" w:rsidR="00823785" w:rsidRPr="000877E9" w:rsidRDefault="00823785" w:rsidP="00823785">
      <w:pPr>
        <w:tabs>
          <w:tab w:val="clear" w:pos="567"/>
        </w:tabs>
        <w:suppressAutoHyphens w:val="0"/>
        <w:autoSpaceDE w:val="0"/>
        <w:autoSpaceDN w:val="0"/>
        <w:adjustRightInd w:val="0"/>
        <w:spacing w:line="240" w:lineRule="auto"/>
        <w:ind w:right="-23"/>
        <w:rPr>
          <w:rFonts w:eastAsia="Calibri"/>
          <w:color w:val="auto"/>
          <w:sz w:val="22"/>
          <w:szCs w:val="22"/>
          <w:lang w:eastAsia="en-US"/>
        </w:rPr>
      </w:pPr>
      <w:r w:rsidRPr="00452D62">
        <w:rPr>
          <w:rFonts w:eastAsia="Calibri"/>
          <w:color w:val="auto"/>
          <w:sz w:val="22"/>
          <w:szCs w:val="22"/>
          <w:lang w:eastAsia="en-US"/>
        </w:rPr>
        <w:t xml:space="preserve">a) modifikuota ketintų gydytų tiriamųjų (angl. </w:t>
      </w:r>
      <w:r w:rsidRPr="00452D62">
        <w:rPr>
          <w:rFonts w:eastAsia="Calibri"/>
          <w:i/>
          <w:iCs/>
          <w:color w:val="auto"/>
          <w:sz w:val="22"/>
          <w:szCs w:val="22"/>
          <w:lang w:eastAsia="en-US"/>
        </w:rPr>
        <w:t>intent to treat</w:t>
      </w:r>
      <w:r w:rsidRPr="00452D62">
        <w:rPr>
          <w:rFonts w:eastAsia="Calibri"/>
          <w:color w:val="auto"/>
          <w:sz w:val="22"/>
          <w:szCs w:val="22"/>
          <w:lang w:eastAsia="en-US"/>
        </w:rPr>
        <w:t>) grupė, pirminė analizė</w:t>
      </w:r>
    </w:p>
    <w:p w14:paraId="22292DB2" w14:textId="77777777" w:rsidR="00823785" w:rsidRPr="00452D62" w:rsidRDefault="00823785" w:rsidP="00823785">
      <w:pPr>
        <w:tabs>
          <w:tab w:val="clear" w:pos="567"/>
        </w:tabs>
        <w:suppressAutoHyphens w:val="0"/>
        <w:autoSpaceDE w:val="0"/>
        <w:autoSpaceDN w:val="0"/>
        <w:adjustRightInd w:val="0"/>
        <w:spacing w:line="240" w:lineRule="auto"/>
        <w:ind w:right="-23"/>
        <w:rPr>
          <w:rFonts w:eastAsia="Calibri"/>
          <w:color w:val="auto"/>
          <w:sz w:val="22"/>
          <w:szCs w:val="22"/>
          <w:lang w:eastAsia="en-US"/>
        </w:rPr>
      </w:pPr>
      <w:r w:rsidRPr="00452D62">
        <w:rPr>
          <w:rFonts w:eastAsia="Calibri"/>
          <w:color w:val="auto"/>
          <w:sz w:val="22"/>
          <w:szCs w:val="22"/>
          <w:lang w:eastAsia="en-US"/>
        </w:rPr>
        <w:t xml:space="preserve">b) palyginti su ASR 100 mg; </w:t>
      </w:r>
      <w:r w:rsidRPr="00452D62">
        <w:rPr>
          <w:rFonts w:eastAsia="Calibri"/>
          <w:i/>
          <w:iCs/>
          <w:color w:val="auto"/>
          <w:sz w:val="22"/>
          <w:szCs w:val="22"/>
          <w:lang w:eastAsia="en-US"/>
        </w:rPr>
        <w:t>Log-Rank</w:t>
      </w:r>
      <w:r w:rsidRPr="00452D62">
        <w:rPr>
          <w:rFonts w:eastAsia="Calibri"/>
          <w:color w:val="auto"/>
          <w:sz w:val="22"/>
          <w:szCs w:val="22"/>
          <w:lang w:eastAsia="en-US"/>
        </w:rPr>
        <w:t xml:space="preserve"> p rodmuo</w:t>
      </w:r>
    </w:p>
    <w:p w14:paraId="20CAC5BB" w14:textId="77777777" w:rsidR="00823785" w:rsidRPr="00452D62" w:rsidRDefault="00823785" w:rsidP="00823785">
      <w:pPr>
        <w:tabs>
          <w:tab w:val="clear" w:pos="567"/>
        </w:tabs>
        <w:suppressAutoHyphens w:val="0"/>
        <w:autoSpaceDE w:val="0"/>
        <w:autoSpaceDN w:val="0"/>
        <w:adjustRightInd w:val="0"/>
        <w:spacing w:line="240" w:lineRule="auto"/>
        <w:ind w:right="-23"/>
        <w:rPr>
          <w:rFonts w:eastAsia="Calibri"/>
          <w:color w:val="auto"/>
          <w:sz w:val="22"/>
          <w:szCs w:val="22"/>
          <w:lang w:eastAsia="en-US"/>
        </w:rPr>
      </w:pPr>
      <w:r w:rsidRPr="00452D62">
        <w:rPr>
          <w:rFonts w:eastAsia="Calibri"/>
          <w:color w:val="auto"/>
          <w:sz w:val="22"/>
          <w:szCs w:val="22"/>
          <w:lang w:eastAsia="en-US"/>
        </w:rPr>
        <w:t xml:space="preserve">DKP: du kartus per parą; PI: pasikliautinasis intervalas; KR: kumuliacinė atvejų rizika (angl. </w:t>
      </w:r>
      <w:r w:rsidRPr="00452D62">
        <w:rPr>
          <w:rFonts w:eastAsia="Calibri"/>
          <w:i/>
          <w:iCs/>
          <w:color w:val="auto"/>
          <w:sz w:val="22"/>
          <w:szCs w:val="22"/>
          <w:lang w:eastAsia="en-US"/>
        </w:rPr>
        <w:t>Cumulative incidence risk</w:t>
      </w:r>
      <w:r w:rsidRPr="00452D62">
        <w:rPr>
          <w:rFonts w:eastAsia="Calibri"/>
          <w:color w:val="auto"/>
          <w:sz w:val="22"/>
          <w:szCs w:val="22"/>
          <w:lang w:eastAsia="en-US"/>
        </w:rPr>
        <w:t xml:space="preserve">, įverčiai pagal Kaplano-Mejerio metodą) po 30 mėnesių; ISTH: Tarptautinė trombozės ir hemostazės draugija (angl. </w:t>
      </w:r>
      <w:r w:rsidRPr="00452D62">
        <w:rPr>
          <w:rFonts w:eastAsia="Calibri"/>
          <w:i/>
          <w:iCs/>
          <w:color w:val="auto"/>
          <w:sz w:val="22"/>
          <w:szCs w:val="22"/>
          <w:lang w:eastAsia="en-US"/>
        </w:rPr>
        <w:t>International Society on Thrombosis and Haemostasis</w:t>
      </w:r>
      <w:r w:rsidRPr="00452D62">
        <w:rPr>
          <w:rFonts w:eastAsia="Calibri"/>
          <w:color w:val="auto"/>
          <w:sz w:val="22"/>
          <w:szCs w:val="22"/>
          <w:lang w:eastAsia="en-US"/>
        </w:rPr>
        <w:t>); VKP: vieną kartą per parą</w:t>
      </w:r>
    </w:p>
    <w:p w14:paraId="1E105607" w14:textId="77777777" w:rsidR="00823785" w:rsidRPr="00452D62" w:rsidRDefault="00823785" w:rsidP="00823785">
      <w:pPr>
        <w:tabs>
          <w:tab w:val="clear" w:pos="567"/>
        </w:tabs>
        <w:suppressAutoHyphens w:val="0"/>
        <w:autoSpaceDE w:val="0"/>
        <w:autoSpaceDN w:val="0"/>
        <w:adjustRightInd w:val="0"/>
        <w:spacing w:line="240" w:lineRule="auto"/>
        <w:ind w:right="-23"/>
        <w:rPr>
          <w:rFonts w:eastAsia="Calibri"/>
          <w:b/>
          <w:color w:val="auto"/>
          <w:sz w:val="22"/>
          <w:szCs w:val="22"/>
          <w:u w:val="single"/>
          <w:lang w:eastAsia="en-US"/>
        </w:rPr>
      </w:pPr>
    </w:p>
    <w:p w14:paraId="73C0FBC5" w14:textId="77777777" w:rsidR="00823785" w:rsidRPr="00452D62" w:rsidRDefault="00823785" w:rsidP="00823785">
      <w:pPr>
        <w:tabs>
          <w:tab w:val="clear" w:pos="567"/>
        </w:tabs>
        <w:suppressAutoHyphens w:val="0"/>
        <w:spacing w:line="240" w:lineRule="auto"/>
        <w:rPr>
          <w:rFonts w:eastAsia="Calibri"/>
          <w:b/>
          <w:color w:val="auto"/>
          <w:sz w:val="22"/>
          <w:szCs w:val="22"/>
          <w:lang w:eastAsia="en-US"/>
        </w:rPr>
      </w:pPr>
      <w:r w:rsidRPr="00452D62">
        <w:rPr>
          <w:rFonts w:eastAsia="Calibri"/>
          <w:b/>
          <w:color w:val="auto"/>
          <w:sz w:val="22"/>
          <w:szCs w:val="22"/>
          <w:lang w:eastAsia="en-US"/>
        </w:rPr>
        <w:br w:type="page"/>
      </w:r>
    </w:p>
    <w:p w14:paraId="4D879B5E" w14:textId="4BBDF9BC" w:rsidR="00823785" w:rsidRPr="00452D62" w:rsidRDefault="00823785" w:rsidP="00823785">
      <w:pPr>
        <w:tabs>
          <w:tab w:val="clear" w:pos="567"/>
        </w:tabs>
        <w:suppressAutoHyphens w:val="0"/>
        <w:autoSpaceDE w:val="0"/>
        <w:autoSpaceDN w:val="0"/>
        <w:adjustRightInd w:val="0"/>
        <w:spacing w:line="210" w:lineRule="exact"/>
        <w:ind w:right="-20"/>
        <w:rPr>
          <w:rFonts w:eastAsia="Calibri"/>
          <w:b/>
          <w:color w:val="auto"/>
          <w:sz w:val="22"/>
          <w:szCs w:val="22"/>
          <w:lang w:eastAsia="en-US"/>
        </w:rPr>
      </w:pPr>
      <w:r w:rsidRPr="00452D62">
        <w:rPr>
          <w:rFonts w:eastAsia="Calibri"/>
          <w:b/>
          <w:color w:val="auto"/>
          <w:sz w:val="22"/>
          <w:szCs w:val="22"/>
          <w:lang w:eastAsia="en-US"/>
        </w:rPr>
        <w:t>2 paveikslas. Laikas iki pirmojo pagrindinės vertinamosios baigties (insulto, miokardo infarkto, kardiovaskulinės mirties) pasireiškimo COMPASS tyrimo metu</w:t>
      </w:r>
    </w:p>
    <w:p w14:paraId="66604714" w14:textId="77777777" w:rsidR="00823785" w:rsidRPr="00452D62" w:rsidRDefault="00823785" w:rsidP="00823785">
      <w:pPr>
        <w:tabs>
          <w:tab w:val="clear" w:pos="567"/>
        </w:tabs>
        <w:suppressAutoHyphens w:val="0"/>
        <w:autoSpaceDE w:val="0"/>
        <w:autoSpaceDN w:val="0"/>
        <w:adjustRightInd w:val="0"/>
        <w:spacing w:line="240" w:lineRule="auto"/>
        <w:ind w:right="-20"/>
        <w:rPr>
          <w:rFonts w:eastAsia="Calibri"/>
          <w:b/>
          <w:color w:val="auto"/>
          <w:sz w:val="22"/>
          <w:szCs w:val="22"/>
          <w:u w:val="single"/>
          <w:lang w:eastAsia="en-US"/>
        </w:rPr>
      </w:pPr>
    </w:p>
    <w:p w14:paraId="1693B39E" w14:textId="77777777" w:rsidR="00823785" w:rsidRPr="00452D62" w:rsidRDefault="00823785" w:rsidP="00823785">
      <w:pPr>
        <w:tabs>
          <w:tab w:val="clear" w:pos="567"/>
        </w:tabs>
        <w:suppressAutoHyphens w:val="0"/>
        <w:autoSpaceDE w:val="0"/>
        <w:autoSpaceDN w:val="0"/>
        <w:adjustRightInd w:val="0"/>
        <w:spacing w:line="240" w:lineRule="auto"/>
        <w:ind w:right="-20"/>
        <w:rPr>
          <w:rFonts w:eastAsia="Calibri"/>
          <w:b/>
          <w:color w:val="auto"/>
          <w:sz w:val="22"/>
          <w:szCs w:val="22"/>
          <w:lang w:eastAsia="en-US"/>
        </w:rPr>
      </w:pPr>
      <w:r w:rsidRPr="00452D62">
        <w:rPr>
          <w:rFonts w:eastAsia="Calibri"/>
          <w:b/>
          <w:noProof/>
          <w:color w:val="auto"/>
          <w:sz w:val="22"/>
          <w:szCs w:val="22"/>
          <w:lang w:eastAsia="lt-LT"/>
        </w:rPr>
        <w:drawing>
          <wp:inline distT="0" distB="0" distL="0" distR="0" wp14:anchorId="779D10E0" wp14:editId="5F9D52AA">
            <wp:extent cx="5759450" cy="3329162"/>
            <wp:effectExtent l="0" t="0" r="0" b="5080"/>
            <wp:docPr id="5" name="Paveikslėlis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59450" cy="3329162"/>
                    </a:xfrm>
                    <a:prstGeom prst="rect">
                      <a:avLst/>
                    </a:prstGeom>
                    <a:noFill/>
                    <a:ln>
                      <a:noFill/>
                    </a:ln>
                  </pic:spPr>
                </pic:pic>
              </a:graphicData>
            </a:graphic>
          </wp:inline>
        </w:drawing>
      </w:r>
    </w:p>
    <w:p w14:paraId="3B5E76B6" w14:textId="77777777" w:rsidR="00823785" w:rsidRPr="008C3DF7" w:rsidRDefault="00823785" w:rsidP="00823785">
      <w:pPr>
        <w:tabs>
          <w:tab w:val="clear" w:pos="567"/>
        </w:tabs>
        <w:suppressAutoHyphens w:val="0"/>
        <w:autoSpaceDE w:val="0"/>
        <w:autoSpaceDN w:val="0"/>
        <w:adjustRightInd w:val="0"/>
        <w:spacing w:line="240" w:lineRule="auto"/>
        <w:ind w:right="-20"/>
        <w:rPr>
          <w:rFonts w:eastAsia="Calibri"/>
          <w:b/>
          <w:color w:val="auto"/>
          <w:sz w:val="22"/>
          <w:szCs w:val="22"/>
        </w:rPr>
      </w:pPr>
    </w:p>
    <w:p w14:paraId="31FCF471" w14:textId="77777777" w:rsidR="00823785" w:rsidRPr="00452D62" w:rsidRDefault="00823785" w:rsidP="00823785">
      <w:pPr>
        <w:tabs>
          <w:tab w:val="clear" w:pos="567"/>
        </w:tabs>
        <w:suppressAutoHyphens w:val="0"/>
        <w:autoSpaceDE w:val="0"/>
        <w:autoSpaceDN w:val="0"/>
        <w:adjustRightInd w:val="0"/>
        <w:spacing w:line="240" w:lineRule="auto"/>
        <w:ind w:right="-20"/>
        <w:rPr>
          <w:sz w:val="22"/>
          <w:szCs w:val="22"/>
        </w:rPr>
      </w:pPr>
      <w:r w:rsidRPr="00452D62">
        <w:rPr>
          <w:sz w:val="22"/>
          <w:szCs w:val="22"/>
        </w:rPr>
        <w:t>DKP: du kartus per parą; VKP: vieną kartą per parą; PI: pasikliautinasis intervalas</w:t>
      </w:r>
    </w:p>
    <w:p w14:paraId="503A6219" w14:textId="77777777" w:rsidR="00823785" w:rsidRPr="00452D62" w:rsidRDefault="00823785" w:rsidP="00823785">
      <w:pPr>
        <w:tabs>
          <w:tab w:val="clear" w:pos="567"/>
        </w:tabs>
        <w:suppressAutoHyphens w:val="0"/>
        <w:autoSpaceDE w:val="0"/>
        <w:autoSpaceDN w:val="0"/>
        <w:adjustRightInd w:val="0"/>
        <w:spacing w:line="240" w:lineRule="auto"/>
        <w:ind w:right="-20"/>
        <w:rPr>
          <w:sz w:val="22"/>
          <w:szCs w:val="22"/>
        </w:rPr>
      </w:pPr>
    </w:p>
    <w:p w14:paraId="6AD24B1F" w14:textId="77777777" w:rsidR="00823785" w:rsidRPr="00452D62" w:rsidRDefault="00823785" w:rsidP="00823785">
      <w:pPr>
        <w:tabs>
          <w:tab w:val="clear" w:pos="567"/>
        </w:tabs>
        <w:suppressAutoHyphens w:val="0"/>
        <w:autoSpaceDE w:val="0"/>
        <w:autoSpaceDN w:val="0"/>
        <w:adjustRightInd w:val="0"/>
        <w:spacing w:line="240" w:lineRule="auto"/>
        <w:ind w:right="-20"/>
        <w:rPr>
          <w:sz w:val="22"/>
          <w:szCs w:val="22"/>
          <w:u w:val="single"/>
        </w:rPr>
      </w:pPr>
      <w:r w:rsidRPr="00452D62">
        <w:rPr>
          <w:sz w:val="22"/>
          <w:szCs w:val="22"/>
          <w:u w:val="single"/>
        </w:rPr>
        <w:t>Pacientai, kuriems dėl simptominės PAL neseniai atlikta apatinės galūnės revaskuliarizacijos procedūra</w:t>
      </w:r>
    </w:p>
    <w:p w14:paraId="2098CFA3" w14:textId="77777777" w:rsidR="00823785" w:rsidRPr="00452D62" w:rsidRDefault="00823785" w:rsidP="00823785">
      <w:pPr>
        <w:tabs>
          <w:tab w:val="clear" w:pos="567"/>
        </w:tabs>
        <w:suppressAutoHyphens w:val="0"/>
        <w:autoSpaceDE w:val="0"/>
        <w:autoSpaceDN w:val="0"/>
        <w:adjustRightInd w:val="0"/>
        <w:spacing w:line="240" w:lineRule="auto"/>
        <w:ind w:right="-20"/>
        <w:rPr>
          <w:sz w:val="22"/>
          <w:szCs w:val="22"/>
        </w:rPr>
      </w:pPr>
      <w:r w:rsidRPr="00452D62">
        <w:rPr>
          <w:sz w:val="22"/>
          <w:szCs w:val="22"/>
        </w:rPr>
        <w:t xml:space="preserve">Pagrindinio III fazės dvigubai koduoto tyrimo </w:t>
      </w:r>
      <w:r w:rsidRPr="00452D62">
        <w:rPr>
          <w:b/>
          <w:sz w:val="22"/>
          <w:szCs w:val="22"/>
        </w:rPr>
        <w:t>VOYAGER PAD</w:t>
      </w:r>
      <w:r w:rsidRPr="00452D62">
        <w:rPr>
          <w:sz w:val="22"/>
          <w:szCs w:val="22"/>
        </w:rPr>
        <w:t xml:space="preserve"> metu 6564 pacientai, kuriems dėl simptominės PAL neseniai sėkmingai atlikta apatinės galūnės revaskuliarizacijos procedūra (chirurginė arba endovaskulinė, įskaitant hibridines procedūras), buvo atsitiktinės atrankos būdu santykiu 1:1 priskirti vienai iš dviejų antitrombozinio gydymo grupių: jiems buvo skiriama po 2,5 mg rivaroksabano du kartus per parą kartu su Amg vieną kartą per parą arba tik ASR 100 mg vieną kartą per parą. Pacientams buvo leidžiama papildomai standartinėmis dozėmis vieną kartą per parą vartoti klopidogrelio iki 6 mėnesių. Tyrimo tikslas buvo parodyti rivaroksabano, vartojamo kartu su ASR, veiksmingumą ir saugumą miokardo infarkto, išeminio insulto, mirties nuo širdies ir kraujagyslių ligų, ūminės galūnės išemijos arba didelės amputacijos dėl kraujagyslių sutrikimų profilaktikai, gydant pacientus, kuriems dėl simptominės PAL neseniai sėkmingai atlikta apatinės galūnės revaskuliarizacijos procedūra. Į tyrimą buvo įtraukti pacientai, kurių amžius ≥ 50 metų ir kuriems patvirtinta vidutinio sunkumo arba sunki simptominė apatinės galūnės aterosklerozinė PAL, pagrįsta visais šiais požymiais: klinikiniais (t. y. ribota funkcija), anatominiais (t. y. distaliau nuo išorinės klubinės arterijos vaizdo tyrimais patvirtinta PAL) ir hemodinaminiais (kulkšnies-žasto indeksas [KŽI] ≤ 0,80 arba nykščio-žasto indeksas [NŽI] ≤ 0,60 pacientams, kuriems anksčiau nebuvo atlikta galūnės revaskuliarizacija, arba KŽI ≤</w:t>
      </w:r>
      <w:r w:rsidRPr="00AE1B80">
        <w:rPr>
          <w:sz w:val="22"/>
          <w:szCs w:val="22"/>
        </w:rPr>
        <w:t> </w:t>
      </w:r>
      <w:r w:rsidRPr="00452D62">
        <w:rPr>
          <w:sz w:val="22"/>
          <w:szCs w:val="22"/>
        </w:rPr>
        <w:t>0,85 arba NŽI ≤ 0,65 pacientams, kuriems anksčiau atlikta apatinės galūnės revaskuliarizacija). Pacientai, kuriems reikėjo &gt; 6 mėnesių trukmės gydymo dviem antitrombocitiniais vaistiniais preparatais arba bet kokio papildomo gydymo antitrombocitiniais vaistiniais preparatais, išskyrus ASR ir klopidogrelį, arba gydymo geriamaisiais antikoaguliantais, pacientai, anksčiau patyrę intrakranijinį kraujavimą, insultą arba PSIP, ir pacientai, kurių aGFG &lt; 15 ml/min, nebuvo įtraukti į tyrimą.</w:t>
      </w:r>
    </w:p>
    <w:p w14:paraId="21625EEF" w14:textId="338EF895" w:rsidR="00823785" w:rsidRPr="00452D62" w:rsidRDefault="00823785" w:rsidP="00823785">
      <w:pPr>
        <w:tabs>
          <w:tab w:val="clear" w:pos="567"/>
        </w:tabs>
        <w:suppressAutoHyphens w:val="0"/>
        <w:autoSpaceDE w:val="0"/>
        <w:autoSpaceDN w:val="0"/>
        <w:adjustRightInd w:val="0"/>
        <w:spacing w:line="240" w:lineRule="auto"/>
        <w:ind w:right="-20"/>
        <w:rPr>
          <w:sz w:val="22"/>
          <w:szCs w:val="22"/>
        </w:rPr>
      </w:pPr>
      <w:r w:rsidRPr="00452D62">
        <w:rPr>
          <w:sz w:val="22"/>
          <w:szCs w:val="22"/>
        </w:rPr>
        <w:t>Vidutinė pacientų stebėjimo trukmė buvo 24 mėnesiai, o ilgiausia stebėjimo trukmė buvo 4,1 metų. Į tyrimą įtrauktų pacientų amžiaus vidurkis buvo 67 metai, o &gt; 75 metų amžiaus asmenys sudarė 17 % pacientų populiacijos. Laiko nuo atskaitinės revaskuliarizacijos procedūros iki tiriamojo gydymo pradžios mediana visoje populiacijoje buvo 5 dienos (6 dienos po chirurginės revaskuliarizacijos ir 4 dienos po endovaskulinės revaskuliarizacijos, įskaitant hibridines procedūras). Iš viso 53,0 % pacientų buvo taikytas trumpalaikis bazinis gydymas klopidogreliu, kurio trukmės mediana buvo 31 diena. Remiantis tyrimo protokolu, tiriamąjį gydymą buvo galima pradėti kuo greičiau, bet ne vėliau kaip po 10 dienų nuo sėkminga įvardijamos revaskuliarizacijos procedūros ir tik tada, kai pasiekiama hemostazė. Rivaroksabanas po 2,5 mg du kartus per parą, vartojamas kartu su ASR 100 mg vieną kartą per parą, buvo pranašesnis už vien tik ASR, mažinant pagrindinių baigčių suminį rodiklį, kurį sudarė miokardo infarkto, išeminio insulto, mirties nuo širdies ir kraujagyslių ligų, ūminės galūnės išemijos ir didelės amputacijos dėl kraujagyslių sutrikimų reiškiniai (žr. 9 lentelę). Pacientams, gydytiems rivaroksabanu ir ASR, padidėjo pagrindinis saugumo baigčių rodiklis, apibūdinantis didžiojo kraujavimo reiškinius pagal TIMI, o mirtino ar intrakranijinio kraujavimo reiškinių jiems nepadaugėjo (žr. 10 lentelę).</w:t>
      </w:r>
    </w:p>
    <w:p w14:paraId="55E0AB93" w14:textId="77777777" w:rsidR="00823785" w:rsidRPr="00452D62" w:rsidRDefault="00823785" w:rsidP="00823785">
      <w:pPr>
        <w:tabs>
          <w:tab w:val="clear" w:pos="567"/>
        </w:tabs>
        <w:suppressAutoHyphens w:val="0"/>
        <w:autoSpaceDE w:val="0"/>
        <w:autoSpaceDN w:val="0"/>
        <w:adjustRightInd w:val="0"/>
        <w:spacing w:line="240" w:lineRule="auto"/>
        <w:ind w:right="-20"/>
        <w:rPr>
          <w:sz w:val="22"/>
          <w:szCs w:val="22"/>
        </w:rPr>
      </w:pPr>
      <w:r w:rsidRPr="00452D62">
        <w:rPr>
          <w:sz w:val="22"/>
          <w:szCs w:val="22"/>
        </w:rPr>
        <w:t>Antrinės veiksmingumo baigtys buvo tiriamos iš anksto numatyta, hierarchine tvarka (žr. 9 lentelę).</w:t>
      </w:r>
    </w:p>
    <w:p w14:paraId="2722FB73" w14:textId="77777777" w:rsidR="00823785" w:rsidRPr="00452D62" w:rsidRDefault="00823785" w:rsidP="00823785">
      <w:pPr>
        <w:tabs>
          <w:tab w:val="clear" w:pos="567"/>
        </w:tabs>
        <w:suppressAutoHyphens w:val="0"/>
        <w:autoSpaceDE w:val="0"/>
        <w:autoSpaceDN w:val="0"/>
        <w:adjustRightInd w:val="0"/>
        <w:spacing w:line="240" w:lineRule="auto"/>
        <w:ind w:right="-20"/>
        <w:rPr>
          <w:sz w:val="22"/>
          <w:szCs w:val="22"/>
        </w:rPr>
      </w:pPr>
    </w:p>
    <w:p w14:paraId="0415247A" w14:textId="77777777" w:rsidR="00823785" w:rsidRPr="00452D62" w:rsidRDefault="00823785" w:rsidP="00823785">
      <w:pPr>
        <w:widowControl w:val="0"/>
        <w:rPr>
          <w:rFonts w:eastAsia="Calibri"/>
          <w:b/>
          <w:sz w:val="22"/>
          <w:szCs w:val="22"/>
        </w:rPr>
      </w:pPr>
      <w:r w:rsidRPr="00452D62">
        <w:rPr>
          <w:rFonts w:eastAsia="Calibri"/>
          <w:b/>
          <w:sz w:val="22"/>
          <w:szCs w:val="22"/>
        </w:rPr>
        <w:t>9 lentelė. III fazės tyrimo VOYAGER PAD veiksmingumo rezultatai</w:t>
      </w:r>
    </w:p>
    <w:tbl>
      <w:tblPr>
        <w:tblW w:w="9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40"/>
        <w:gridCol w:w="2695"/>
        <w:gridCol w:w="2127"/>
        <w:gridCol w:w="1766"/>
      </w:tblGrid>
      <w:tr w:rsidR="00823785" w:rsidRPr="00452D62" w14:paraId="778A9BB2" w14:textId="77777777" w:rsidTr="006453B9">
        <w:tc>
          <w:tcPr>
            <w:tcW w:w="1543" w:type="pct"/>
            <w:shd w:val="clear" w:color="auto" w:fill="auto"/>
            <w:hideMark/>
          </w:tcPr>
          <w:p w14:paraId="3A250A8D" w14:textId="77777777" w:rsidR="00823785" w:rsidRPr="00452D62" w:rsidRDefault="00823785" w:rsidP="006453B9">
            <w:pPr>
              <w:widowControl w:val="0"/>
              <w:rPr>
                <w:rFonts w:eastAsia="Calibri"/>
                <w:b/>
                <w:sz w:val="22"/>
                <w:szCs w:val="22"/>
              </w:rPr>
            </w:pPr>
            <w:r w:rsidRPr="00452D62">
              <w:rPr>
                <w:rFonts w:eastAsia="Calibri"/>
                <w:b/>
                <w:bCs/>
                <w:sz w:val="22"/>
                <w:szCs w:val="22"/>
              </w:rPr>
              <w:t>Tyrimo populiacija</w:t>
            </w:r>
          </w:p>
        </w:tc>
        <w:tc>
          <w:tcPr>
            <w:tcW w:w="3457" w:type="pct"/>
            <w:gridSpan w:val="3"/>
            <w:shd w:val="clear" w:color="auto" w:fill="auto"/>
            <w:hideMark/>
          </w:tcPr>
          <w:p w14:paraId="3A129FD6" w14:textId="77777777" w:rsidR="00823785" w:rsidRPr="00452D62" w:rsidRDefault="00823785" w:rsidP="006453B9">
            <w:pPr>
              <w:widowControl w:val="0"/>
              <w:rPr>
                <w:rFonts w:eastAsia="Calibri"/>
                <w:b/>
                <w:sz w:val="22"/>
                <w:szCs w:val="22"/>
              </w:rPr>
            </w:pPr>
            <w:r w:rsidRPr="00452D62">
              <w:rPr>
                <w:rFonts w:eastAsia="Calibri"/>
                <w:b/>
                <w:sz w:val="22"/>
                <w:szCs w:val="22"/>
              </w:rPr>
              <w:t>Pacientai, kuriems dėl simptominės PAL neseniai atlikta apatinės galūnės revaskuliarizacijos procedūra</w:t>
            </w:r>
            <w:r w:rsidRPr="00452D62">
              <w:rPr>
                <w:rFonts w:eastAsia="Calibri"/>
                <w:b/>
                <w:bCs/>
                <w:sz w:val="22"/>
                <w:szCs w:val="22"/>
                <w:vertAlign w:val="superscript"/>
              </w:rPr>
              <w:t>a)</w:t>
            </w:r>
          </w:p>
        </w:tc>
      </w:tr>
      <w:tr w:rsidR="00823785" w:rsidRPr="00452D62" w14:paraId="72537FAB" w14:textId="77777777" w:rsidTr="006453B9">
        <w:tc>
          <w:tcPr>
            <w:tcW w:w="1543" w:type="pct"/>
            <w:shd w:val="clear" w:color="auto" w:fill="auto"/>
            <w:hideMark/>
          </w:tcPr>
          <w:p w14:paraId="1B83FC65" w14:textId="77777777" w:rsidR="00823785" w:rsidRPr="00452D62" w:rsidRDefault="00823785" w:rsidP="006453B9">
            <w:pPr>
              <w:widowControl w:val="0"/>
              <w:rPr>
                <w:rFonts w:eastAsia="Calibri"/>
                <w:b/>
                <w:sz w:val="22"/>
                <w:szCs w:val="22"/>
              </w:rPr>
            </w:pPr>
            <w:r w:rsidRPr="00452D62">
              <w:rPr>
                <w:rFonts w:eastAsia="Calibri"/>
                <w:b/>
                <w:bCs/>
                <w:sz w:val="22"/>
                <w:szCs w:val="22"/>
              </w:rPr>
              <w:t>Vaistinių preparatų dozavimas</w:t>
            </w:r>
          </w:p>
        </w:tc>
        <w:tc>
          <w:tcPr>
            <w:tcW w:w="1414" w:type="pct"/>
            <w:shd w:val="clear" w:color="auto" w:fill="auto"/>
            <w:hideMark/>
          </w:tcPr>
          <w:p w14:paraId="31766491" w14:textId="77777777" w:rsidR="00823785" w:rsidRPr="00452D62" w:rsidRDefault="00823785" w:rsidP="006453B9">
            <w:pPr>
              <w:widowControl w:val="0"/>
              <w:rPr>
                <w:rFonts w:eastAsia="Calibri"/>
                <w:b/>
                <w:sz w:val="22"/>
                <w:szCs w:val="22"/>
              </w:rPr>
            </w:pPr>
            <w:r w:rsidRPr="00452D62">
              <w:rPr>
                <w:rFonts w:eastAsia="Calibri"/>
                <w:b/>
                <w:sz w:val="22"/>
                <w:szCs w:val="22"/>
              </w:rPr>
              <w:t>Rivaroksabanas po 2,5 mg DKP kartu su ASR 100 mg VKP,</w:t>
            </w:r>
          </w:p>
          <w:p w14:paraId="25FCD928" w14:textId="18B28B08" w:rsidR="00823785" w:rsidRPr="00452D62" w:rsidRDefault="00823785" w:rsidP="006453B9">
            <w:pPr>
              <w:widowControl w:val="0"/>
              <w:rPr>
                <w:rFonts w:eastAsia="Calibri"/>
                <w:b/>
                <w:sz w:val="22"/>
                <w:szCs w:val="22"/>
              </w:rPr>
            </w:pPr>
            <w:r w:rsidRPr="00452D62">
              <w:rPr>
                <w:rFonts w:eastAsia="Calibri"/>
                <w:b/>
                <w:sz w:val="22"/>
                <w:szCs w:val="22"/>
              </w:rPr>
              <w:t>N = 3</w:t>
            </w:r>
            <w:r w:rsidR="00D66FC3" w:rsidRPr="00452D62">
              <w:rPr>
                <w:rFonts w:eastAsia="Calibri"/>
                <w:b/>
                <w:sz w:val="22"/>
                <w:szCs w:val="22"/>
              </w:rPr>
              <w:t xml:space="preserve"> </w:t>
            </w:r>
            <w:r w:rsidRPr="00452D62">
              <w:rPr>
                <w:rFonts w:eastAsia="Calibri"/>
                <w:b/>
                <w:sz w:val="22"/>
                <w:szCs w:val="22"/>
              </w:rPr>
              <w:t>286</w:t>
            </w:r>
          </w:p>
          <w:p w14:paraId="70239C22" w14:textId="0EE33137" w:rsidR="00823785" w:rsidRPr="00452D62" w:rsidRDefault="00823785" w:rsidP="006453B9">
            <w:pPr>
              <w:widowControl w:val="0"/>
              <w:rPr>
                <w:rFonts w:eastAsia="Calibri"/>
                <w:b/>
                <w:sz w:val="22"/>
                <w:szCs w:val="22"/>
              </w:rPr>
            </w:pPr>
            <w:r w:rsidRPr="00452D62">
              <w:rPr>
                <w:rFonts w:eastAsia="Calibri"/>
                <w:b/>
                <w:sz w:val="22"/>
                <w:szCs w:val="22"/>
              </w:rPr>
              <w:t>n (NA rizikos %)</w:t>
            </w:r>
            <w:r w:rsidRPr="00452D62">
              <w:rPr>
                <w:rFonts w:eastAsia="Calibri"/>
                <w:b/>
                <w:sz w:val="22"/>
                <w:szCs w:val="22"/>
                <w:vertAlign w:val="superscript"/>
              </w:rPr>
              <w:t>c)</w:t>
            </w:r>
          </w:p>
        </w:tc>
        <w:tc>
          <w:tcPr>
            <w:tcW w:w="1116" w:type="pct"/>
            <w:shd w:val="clear" w:color="auto" w:fill="auto"/>
            <w:hideMark/>
          </w:tcPr>
          <w:p w14:paraId="2129C4EE" w14:textId="77777777" w:rsidR="00823785" w:rsidRPr="00452D62" w:rsidRDefault="00823785" w:rsidP="006453B9">
            <w:pPr>
              <w:widowControl w:val="0"/>
              <w:rPr>
                <w:rFonts w:eastAsia="Calibri"/>
                <w:b/>
                <w:sz w:val="22"/>
                <w:szCs w:val="22"/>
              </w:rPr>
            </w:pPr>
            <w:r w:rsidRPr="00452D62">
              <w:rPr>
                <w:rFonts w:eastAsia="Calibri"/>
                <w:b/>
                <w:sz w:val="22"/>
                <w:szCs w:val="22"/>
              </w:rPr>
              <w:t>ASR 100 mg VKP</w:t>
            </w:r>
          </w:p>
          <w:p w14:paraId="5A74AC9C" w14:textId="77777777" w:rsidR="00823785" w:rsidRPr="00452D62" w:rsidRDefault="00823785" w:rsidP="006453B9">
            <w:pPr>
              <w:widowControl w:val="0"/>
              <w:rPr>
                <w:rFonts w:eastAsia="Calibri"/>
                <w:b/>
                <w:sz w:val="22"/>
                <w:szCs w:val="22"/>
              </w:rPr>
            </w:pPr>
          </w:p>
          <w:p w14:paraId="490EC7D2" w14:textId="77777777" w:rsidR="00823785" w:rsidRPr="00452D62" w:rsidRDefault="00823785" w:rsidP="006453B9">
            <w:pPr>
              <w:widowControl w:val="0"/>
              <w:rPr>
                <w:rFonts w:eastAsia="Calibri"/>
                <w:b/>
                <w:sz w:val="22"/>
                <w:szCs w:val="22"/>
              </w:rPr>
            </w:pPr>
          </w:p>
          <w:p w14:paraId="57149363" w14:textId="6029BCF9" w:rsidR="00823785" w:rsidRPr="00452D62" w:rsidRDefault="00823785" w:rsidP="006453B9">
            <w:pPr>
              <w:widowControl w:val="0"/>
              <w:rPr>
                <w:rFonts w:eastAsia="Calibri"/>
                <w:b/>
                <w:sz w:val="22"/>
                <w:szCs w:val="22"/>
              </w:rPr>
            </w:pPr>
            <w:r w:rsidRPr="00452D62">
              <w:rPr>
                <w:rFonts w:eastAsia="Calibri"/>
                <w:b/>
                <w:sz w:val="22"/>
                <w:szCs w:val="22"/>
              </w:rPr>
              <w:t>N = 3</w:t>
            </w:r>
            <w:r w:rsidR="00D66FC3" w:rsidRPr="00452D62">
              <w:rPr>
                <w:rFonts w:eastAsia="Calibri"/>
                <w:b/>
                <w:sz w:val="22"/>
                <w:szCs w:val="22"/>
              </w:rPr>
              <w:t xml:space="preserve"> </w:t>
            </w:r>
            <w:r w:rsidRPr="00452D62">
              <w:rPr>
                <w:rFonts w:eastAsia="Calibri"/>
                <w:b/>
                <w:sz w:val="22"/>
                <w:szCs w:val="22"/>
              </w:rPr>
              <w:t>278</w:t>
            </w:r>
          </w:p>
          <w:p w14:paraId="4B671D79" w14:textId="3CE3D097" w:rsidR="00823785" w:rsidRPr="00452D62" w:rsidRDefault="00823785" w:rsidP="006453B9">
            <w:pPr>
              <w:widowControl w:val="0"/>
              <w:rPr>
                <w:rFonts w:eastAsia="Calibri"/>
                <w:b/>
                <w:sz w:val="22"/>
                <w:szCs w:val="22"/>
              </w:rPr>
            </w:pPr>
            <w:r w:rsidRPr="00452D62">
              <w:rPr>
                <w:rFonts w:eastAsia="Calibri"/>
                <w:b/>
                <w:sz w:val="22"/>
                <w:szCs w:val="22"/>
              </w:rPr>
              <w:t>n (NA rizikos %)</w:t>
            </w:r>
            <w:r w:rsidRPr="00452D62">
              <w:rPr>
                <w:rFonts w:eastAsia="Calibri"/>
                <w:b/>
                <w:sz w:val="22"/>
                <w:szCs w:val="22"/>
                <w:vertAlign w:val="superscript"/>
              </w:rPr>
              <w:t>c)</w:t>
            </w:r>
          </w:p>
        </w:tc>
        <w:tc>
          <w:tcPr>
            <w:tcW w:w="927" w:type="pct"/>
            <w:shd w:val="clear" w:color="auto" w:fill="auto"/>
            <w:hideMark/>
          </w:tcPr>
          <w:p w14:paraId="4DE282FF" w14:textId="0AC600E2" w:rsidR="00823785" w:rsidRPr="00452D62" w:rsidRDefault="00823785" w:rsidP="006453B9">
            <w:pPr>
              <w:widowControl w:val="0"/>
              <w:rPr>
                <w:rFonts w:eastAsia="Calibri"/>
                <w:b/>
                <w:sz w:val="22"/>
                <w:szCs w:val="22"/>
              </w:rPr>
            </w:pPr>
            <w:r w:rsidRPr="00452D62">
              <w:rPr>
                <w:rFonts w:eastAsia="Calibri"/>
                <w:b/>
                <w:sz w:val="22"/>
                <w:szCs w:val="22"/>
              </w:rPr>
              <w:t xml:space="preserve">Rizikos santykis (95 % PI) </w:t>
            </w:r>
            <w:r w:rsidRPr="00452D62">
              <w:rPr>
                <w:rFonts w:eastAsia="Calibri"/>
                <w:b/>
                <w:sz w:val="22"/>
                <w:szCs w:val="22"/>
                <w:vertAlign w:val="superscript"/>
              </w:rPr>
              <w:t>d)</w:t>
            </w:r>
          </w:p>
          <w:p w14:paraId="05C85AE4" w14:textId="77777777" w:rsidR="00823785" w:rsidRPr="00452D62" w:rsidRDefault="00823785" w:rsidP="006453B9">
            <w:pPr>
              <w:widowControl w:val="0"/>
              <w:rPr>
                <w:rFonts w:eastAsia="Calibri"/>
                <w:b/>
                <w:sz w:val="22"/>
                <w:szCs w:val="22"/>
              </w:rPr>
            </w:pPr>
          </w:p>
        </w:tc>
      </w:tr>
      <w:tr w:rsidR="00823785" w:rsidRPr="00452D62" w14:paraId="1FC2DD93" w14:textId="77777777" w:rsidTr="006453B9">
        <w:tc>
          <w:tcPr>
            <w:tcW w:w="1543" w:type="pct"/>
            <w:shd w:val="clear" w:color="auto" w:fill="auto"/>
          </w:tcPr>
          <w:p w14:paraId="0855AEB9" w14:textId="77777777" w:rsidR="00823785" w:rsidRPr="00452D62" w:rsidRDefault="00823785" w:rsidP="006453B9">
            <w:pPr>
              <w:widowControl w:val="0"/>
              <w:rPr>
                <w:rFonts w:eastAsia="Calibri"/>
                <w:b/>
                <w:bCs/>
                <w:sz w:val="22"/>
                <w:szCs w:val="22"/>
              </w:rPr>
            </w:pPr>
            <w:r w:rsidRPr="00452D62">
              <w:rPr>
                <w:rFonts w:eastAsia="Calibri"/>
                <w:b/>
                <w:sz w:val="22"/>
                <w:szCs w:val="22"/>
              </w:rPr>
              <w:t>Pagrindinė veiksmingumo baigtis</w:t>
            </w:r>
            <w:r w:rsidRPr="00452D62">
              <w:rPr>
                <w:rFonts w:eastAsia="Calibri"/>
                <w:b/>
                <w:sz w:val="22"/>
                <w:szCs w:val="22"/>
                <w:vertAlign w:val="superscript"/>
              </w:rPr>
              <w:t>b)</w:t>
            </w:r>
          </w:p>
        </w:tc>
        <w:tc>
          <w:tcPr>
            <w:tcW w:w="1414" w:type="pct"/>
            <w:shd w:val="clear" w:color="auto" w:fill="auto"/>
          </w:tcPr>
          <w:p w14:paraId="5A1C9C63" w14:textId="691C9147" w:rsidR="00823785" w:rsidRPr="00452D62" w:rsidRDefault="00823785" w:rsidP="006453B9">
            <w:pPr>
              <w:widowControl w:val="0"/>
              <w:rPr>
                <w:rFonts w:eastAsia="Calibri"/>
                <w:b/>
                <w:bCs/>
                <w:sz w:val="22"/>
                <w:szCs w:val="22"/>
              </w:rPr>
            </w:pPr>
            <w:r w:rsidRPr="00452D62">
              <w:rPr>
                <w:rFonts w:eastAsia="Calibri"/>
                <w:b/>
                <w:sz w:val="22"/>
                <w:szCs w:val="22"/>
              </w:rPr>
              <w:t>508 (15,5 %)</w:t>
            </w:r>
          </w:p>
        </w:tc>
        <w:tc>
          <w:tcPr>
            <w:tcW w:w="1116" w:type="pct"/>
            <w:shd w:val="clear" w:color="auto" w:fill="auto"/>
          </w:tcPr>
          <w:p w14:paraId="16A8701D" w14:textId="07FE2CF5" w:rsidR="00823785" w:rsidRPr="00452D62" w:rsidRDefault="00823785" w:rsidP="006453B9">
            <w:pPr>
              <w:widowControl w:val="0"/>
              <w:rPr>
                <w:rFonts w:eastAsia="Calibri"/>
                <w:b/>
                <w:bCs/>
                <w:sz w:val="22"/>
                <w:szCs w:val="22"/>
              </w:rPr>
            </w:pPr>
            <w:r w:rsidRPr="00452D62">
              <w:rPr>
                <w:rFonts w:eastAsia="Calibri"/>
                <w:b/>
                <w:sz w:val="22"/>
                <w:szCs w:val="22"/>
              </w:rPr>
              <w:t>584 (17,8 %)</w:t>
            </w:r>
          </w:p>
        </w:tc>
        <w:tc>
          <w:tcPr>
            <w:tcW w:w="927" w:type="pct"/>
            <w:shd w:val="clear" w:color="auto" w:fill="auto"/>
          </w:tcPr>
          <w:p w14:paraId="56E1BC76" w14:textId="77777777" w:rsidR="00823785" w:rsidRPr="00452D62" w:rsidRDefault="00823785" w:rsidP="006453B9">
            <w:pPr>
              <w:widowControl w:val="0"/>
              <w:rPr>
                <w:rFonts w:eastAsia="Calibri"/>
                <w:b/>
                <w:sz w:val="22"/>
                <w:szCs w:val="22"/>
              </w:rPr>
            </w:pPr>
            <w:r w:rsidRPr="00452D62">
              <w:rPr>
                <w:rFonts w:eastAsia="Calibri"/>
                <w:b/>
                <w:sz w:val="22"/>
                <w:szCs w:val="22"/>
              </w:rPr>
              <w:t>0,85 (0,76;0,96)</w:t>
            </w:r>
          </w:p>
          <w:p w14:paraId="2D07CFFD" w14:textId="77777777" w:rsidR="00823785" w:rsidRPr="00452D62" w:rsidRDefault="00823785" w:rsidP="006453B9">
            <w:pPr>
              <w:widowControl w:val="0"/>
              <w:rPr>
                <w:rFonts w:eastAsia="Calibri"/>
                <w:b/>
                <w:sz w:val="22"/>
                <w:szCs w:val="22"/>
              </w:rPr>
            </w:pPr>
            <w:r w:rsidRPr="00452D62">
              <w:rPr>
                <w:rFonts w:eastAsia="Calibri"/>
                <w:b/>
                <w:sz w:val="22"/>
                <w:szCs w:val="22"/>
              </w:rPr>
              <w:t xml:space="preserve">p = 0,0043 </w:t>
            </w:r>
            <w:r w:rsidRPr="00452D62">
              <w:rPr>
                <w:rFonts w:eastAsia="Calibri"/>
                <w:b/>
                <w:sz w:val="22"/>
                <w:szCs w:val="22"/>
                <w:vertAlign w:val="superscript"/>
              </w:rPr>
              <w:t>e)</w:t>
            </w:r>
            <w:r w:rsidRPr="00452D62">
              <w:rPr>
                <w:rFonts w:eastAsia="Calibri"/>
                <w:b/>
                <w:sz w:val="22"/>
                <w:szCs w:val="22"/>
              </w:rPr>
              <w:t>*</w:t>
            </w:r>
          </w:p>
        </w:tc>
      </w:tr>
      <w:tr w:rsidR="00823785" w:rsidRPr="00452D62" w14:paraId="62579430" w14:textId="77777777" w:rsidTr="006453B9">
        <w:tc>
          <w:tcPr>
            <w:tcW w:w="1543" w:type="pct"/>
            <w:shd w:val="clear" w:color="auto" w:fill="auto"/>
          </w:tcPr>
          <w:p w14:paraId="11BB20E1" w14:textId="77777777" w:rsidR="00823785" w:rsidRPr="00452D62" w:rsidRDefault="00823785" w:rsidP="006453B9">
            <w:pPr>
              <w:widowControl w:val="0"/>
              <w:ind w:left="142"/>
              <w:rPr>
                <w:rFonts w:eastAsia="Calibri"/>
                <w:sz w:val="22"/>
                <w:szCs w:val="22"/>
              </w:rPr>
            </w:pPr>
            <w:r w:rsidRPr="00452D62">
              <w:rPr>
                <w:rFonts w:eastAsia="Calibri"/>
                <w:sz w:val="22"/>
                <w:szCs w:val="22"/>
              </w:rPr>
              <w:t>- MI</w:t>
            </w:r>
          </w:p>
        </w:tc>
        <w:tc>
          <w:tcPr>
            <w:tcW w:w="1414" w:type="pct"/>
            <w:shd w:val="clear" w:color="auto" w:fill="auto"/>
          </w:tcPr>
          <w:p w14:paraId="52E90E5C" w14:textId="3D0F7684" w:rsidR="00823785" w:rsidRPr="00452D62" w:rsidRDefault="00823785" w:rsidP="006453B9">
            <w:pPr>
              <w:widowControl w:val="0"/>
              <w:rPr>
                <w:rFonts w:eastAsia="Calibri"/>
                <w:b/>
                <w:bCs/>
                <w:sz w:val="22"/>
                <w:szCs w:val="22"/>
              </w:rPr>
            </w:pPr>
            <w:r w:rsidRPr="00452D62">
              <w:rPr>
                <w:rFonts w:eastAsia="Calibri"/>
                <w:sz w:val="22"/>
                <w:szCs w:val="22"/>
              </w:rPr>
              <w:t>131 (4,0 %)</w:t>
            </w:r>
          </w:p>
        </w:tc>
        <w:tc>
          <w:tcPr>
            <w:tcW w:w="1116" w:type="pct"/>
            <w:shd w:val="clear" w:color="auto" w:fill="auto"/>
          </w:tcPr>
          <w:p w14:paraId="51D8C938" w14:textId="154272AF" w:rsidR="00823785" w:rsidRPr="00452D62" w:rsidRDefault="00823785" w:rsidP="006453B9">
            <w:pPr>
              <w:widowControl w:val="0"/>
              <w:rPr>
                <w:rFonts w:eastAsia="Calibri"/>
                <w:b/>
                <w:bCs/>
                <w:sz w:val="22"/>
                <w:szCs w:val="22"/>
              </w:rPr>
            </w:pPr>
            <w:r w:rsidRPr="00452D62">
              <w:rPr>
                <w:rFonts w:eastAsia="Calibri"/>
                <w:sz w:val="22"/>
                <w:szCs w:val="22"/>
              </w:rPr>
              <w:t>148 (4,5 %)</w:t>
            </w:r>
          </w:p>
        </w:tc>
        <w:tc>
          <w:tcPr>
            <w:tcW w:w="927" w:type="pct"/>
            <w:shd w:val="clear" w:color="auto" w:fill="auto"/>
          </w:tcPr>
          <w:p w14:paraId="04AC5578" w14:textId="77777777" w:rsidR="00823785" w:rsidRPr="00452D62" w:rsidRDefault="00823785" w:rsidP="006453B9">
            <w:pPr>
              <w:widowControl w:val="0"/>
              <w:rPr>
                <w:rFonts w:eastAsia="Calibri"/>
                <w:sz w:val="22"/>
                <w:szCs w:val="22"/>
              </w:rPr>
            </w:pPr>
            <w:r w:rsidRPr="00452D62">
              <w:rPr>
                <w:rFonts w:eastAsia="Calibri"/>
                <w:sz w:val="22"/>
                <w:szCs w:val="22"/>
              </w:rPr>
              <w:t>0,88 (0,70;1,12)</w:t>
            </w:r>
          </w:p>
        </w:tc>
      </w:tr>
      <w:tr w:rsidR="00823785" w:rsidRPr="00452D62" w14:paraId="426DEDAC" w14:textId="77777777" w:rsidTr="006453B9">
        <w:tc>
          <w:tcPr>
            <w:tcW w:w="1543" w:type="pct"/>
            <w:shd w:val="clear" w:color="auto" w:fill="auto"/>
          </w:tcPr>
          <w:p w14:paraId="54DCED19" w14:textId="77777777" w:rsidR="00823785" w:rsidRPr="00452D62" w:rsidRDefault="00823785" w:rsidP="006453B9">
            <w:pPr>
              <w:widowControl w:val="0"/>
              <w:ind w:left="142"/>
              <w:rPr>
                <w:rFonts w:eastAsia="Calibri"/>
                <w:sz w:val="22"/>
                <w:szCs w:val="22"/>
              </w:rPr>
            </w:pPr>
            <w:r w:rsidRPr="00452D62">
              <w:rPr>
                <w:rFonts w:eastAsia="Calibri"/>
                <w:sz w:val="22"/>
                <w:szCs w:val="22"/>
              </w:rPr>
              <w:t>- Išeminis insultas</w:t>
            </w:r>
          </w:p>
        </w:tc>
        <w:tc>
          <w:tcPr>
            <w:tcW w:w="1414" w:type="pct"/>
            <w:shd w:val="clear" w:color="auto" w:fill="auto"/>
          </w:tcPr>
          <w:p w14:paraId="3A80B4FE" w14:textId="3136570D" w:rsidR="00823785" w:rsidRPr="00452D62" w:rsidRDefault="00823785" w:rsidP="006453B9">
            <w:pPr>
              <w:widowControl w:val="0"/>
              <w:rPr>
                <w:rFonts w:eastAsia="Calibri"/>
                <w:b/>
                <w:bCs/>
                <w:sz w:val="22"/>
                <w:szCs w:val="22"/>
              </w:rPr>
            </w:pPr>
            <w:r w:rsidRPr="00452D62">
              <w:rPr>
                <w:rFonts w:eastAsia="Calibri"/>
                <w:sz w:val="22"/>
                <w:szCs w:val="22"/>
              </w:rPr>
              <w:t>71 (2,2 %)</w:t>
            </w:r>
          </w:p>
        </w:tc>
        <w:tc>
          <w:tcPr>
            <w:tcW w:w="1116" w:type="pct"/>
            <w:shd w:val="clear" w:color="auto" w:fill="auto"/>
          </w:tcPr>
          <w:p w14:paraId="76AC571A" w14:textId="0CB65F66" w:rsidR="00823785" w:rsidRPr="00452D62" w:rsidRDefault="00823785" w:rsidP="006453B9">
            <w:pPr>
              <w:widowControl w:val="0"/>
              <w:rPr>
                <w:rFonts w:eastAsia="Calibri"/>
                <w:b/>
                <w:bCs/>
                <w:sz w:val="22"/>
                <w:szCs w:val="22"/>
              </w:rPr>
            </w:pPr>
            <w:r w:rsidRPr="00452D62">
              <w:rPr>
                <w:rFonts w:eastAsia="Calibri"/>
                <w:sz w:val="22"/>
                <w:szCs w:val="22"/>
              </w:rPr>
              <w:t>82 (2,5 %)</w:t>
            </w:r>
          </w:p>
        </w:tc>
        <w:tc>
          <w:tcPr>
            <w:tcW w:w="927" w:type="pct"/>
            <w:shd w:val="clear" w:color="auto" w:fill="auto"/>
          </w:tcPr>
          <w:p w14:paraId="4C9670B0" w14:textId="77777777" w:rsidR="00823785" w:rsidRPr="00452D62" w:rsidRDefault="00823785" w:rsidP="006453B9">
            <w:pPr>
              <w:widowControl w:val="0"/>
              <w:rPr>
                <w:rFonts w:eastAsia="Calibri"/>
                <w:sz w:val="22"/>
                <w:szCs w:val="22"/>
              </w:rPr>
            </w:pPr>
            <w:r w:rsidRPr="00452D62">
              <w:rPr>
                <w:rFonts w:eastAsia="Calibri"/>
                <w:sz w:val="22"/>
                <w:szCs w:val="22"/>
              </w:rPr>
              <w:t>0,87 (0,63;1,19)</w:t>
            </w:r>
          </w:p>
        </w:tc>
      </w:tr>
      <w:tr w:rsidR="00823785" w:rsidRPr="00452D62" w14:paraId="35D31D5F" w14:textId="77777777" w:rsidTr="006453B9">
        <w:tc>
          <w:tcPr>
            <w:tcW w:w="1543" w:type="pct"/>
            <w:shd w:val="clear" w:color="auto" w:fill="auto"/>
          </w:tcPr>
          <w:p w14:paraId="0E43C23E" w14:textId="77777777" w:rsidR="00823785" w:rsidRPr="00452D62" w:rsidRDefault="00823785" w:rsidP="006453B9">
            <w:pPr>
              <w:widowControl w:val="0"/>
              <w:ind w:left="142"/>
              <w:rPr>
                <w:rFonts w:eastAsia="Calibri"/>
                <w:sz w:val="22"/>
                <w:szCs w:val="22"/>
              </w:rPr>
            </w:pPr>
            <w:r w:rsidRPr="00452D62">
              <w:rPr>
                <w:rFonts w:eastAsia="Calibri"/>
                <w:sz w:val="22"/>
                <w:szCs w:val="22"/>
              </w:rPr>
              <w:t>- Mirtis nuo ŠKL</w:t>
            </w:r>
          </w:p>
        </w:tc>
        <w:tc>
          <w:tcPr>
            <w:tcW w:w="1414" w:type="pct"/>
            <w:shd w:val="clear" w:color="auto" w:fill="auto"/>
          </w:tcPr>
          <w:p w14:paraId="587F876F" w14:textId="4B767F15" w:rsidR="00823785" w:rsidRPr="00452D62" w:rsidRDefault="00823785" w:rsidP="006453B9">
            <w:pPr>
              <w:widowControl w:val="0"/>
              <w:rPr>
                <w:rFonts w:eastAsia="Calibri"/>
                <w:b/>
                <w:bCs/>
                <w:sz w:val="22"/>
                <w:szCs w:val="22"/>
              </w:rPr>
            </w:pPr>
            <w:r w:rsidRPr="00452D62">
              <w:rPr>
                <w:rFonts w:eastAsia="Calibri"/>
                <w:sz w:val="22"/>
                <w:szCs w:val="22"/>
              </w:rPr>
              <w:t>199 (6,1 %)</w:t>
            </w:r>
          </w:p>
        </w:tc>
        <w:tc>
          <w:tcPr>
            <w:tcW w:w="1116" w:type="pct"/>
            <w:shd w:val="clear" w:color="auto" w:fill="auto"/>
          </w:tcPr>
          <w:p w14:paraId="2F7B8F08" w14:textId="1BF616DB" w:rsidR="00823785" w:rsidRPr="00452D62" w:rsidRDefault="00823785" w:rsidP="006453B9">
            <w:pPr>
              <w:widowControl w:val="0"/>
              <w:rPr>
                <w:rFonts w:eastAsia="Calibri"/>
                <w:b/>
                <w:bCs/>
                <w:sz w:val="22"/>
                <w:szCs w:val="22"/>
              </w:rPr>
            </w:pPr>
            <w:r w:rsidRPr="00452D62">
              <w:rPr>
                <w:rFonts w:eastAsia="Calibri"/>
                <w:sz w:val="22"/>
                <w:szCs w:val="22"/>
              </w:rPr>
              <w:t>174 (5,3 %)</w:t>
            </w:r>
          </w:p>
        </w:tc>
        <w:tc>
          <w:tcPr>
            <w:tcW w:w="927" w:type="pct"/>
            <w:shd w:val="clear" w:color="auto" w:fill="auto"/>
          </w:tcPr>
          <w:p w14:paraId="322AFA5A" w14:textId="77777777" w:rsidR="00823785" w:rsidRPr="00452D62" w:rsidRDefault="00823785" w:rsidP="006453B9">
            <w:pPr>
              <w:widowControl w:val="0"/>
              <w:rPr>
                <w:rFonts w:eastAsia="Calibri"/>
                <w:sz w:val="22"/>
                <w:szCs w:val="22"/>
              </w:rPr>
            </w:pPr>
            <w:r w:rsidRPr="00452D62">
              <w:rPr>
                <w:rFonts w:eastAsia="Calibri"/>
                <w:sz w:val="22"/>
                <w:szCs w:val="22"/>
              </w:rPr>
              <w:t>1,14 (0,93;1,40)</w:t>
            </w:r>
          </w:p>
        </w:tc>
      </w:tr>
      <w:tr w:rsidR="00823785" w:rsidRPr="00452D62" w14:paraId="763626C6" w14:textId="77777777" w:rsidTr="006453B9">
        <w:tc>
          <w:tcPr>
            <w:tcW w:w="1543" w:type="pct"/>
            <w:shd w:val="clear" w:color="auto" w:fill="auto"/>
          </w:tcPr>
          <w:p w14:paraId="7F1A94B5" w14:textId="77777777" w:rsidR="00823785" w:rsidRPr="000877E9" w:rsidRDefault="00823785" w:rsidP="006453B9">
            <w:pPr>
              <w:widowControl w:val="0"/>
              <w:ind w:left="142"/>
              <w:rPr>
                <w:rFonts w:eastAsia="Calibri"/>
                <w:sz w:val="22"/>
                <w:szCs w:val="22"/>
              </w:rPr>
            </w:pPr>
            <w:r w:rsidRPr="00452D62">
              <w:rPr>
                <w:rFonts w:eastAsia="Calibri"/>
                <w:sz w:val="22"/>
                <w:szCs w:val="22"/>
              </w:rPr>
              <w:t xml:space="preserve">- Ūminė galūnės išemija </w:t>
            </w:r>
            <w:r w:rsidRPr="00452D62">
              <w:rPr>
                <w:rFonts w:eastAsia="Calibri"/>
                <w:sz w:val="22"/>
                <w:szCs w:val="22"/>
                <w:vertAlign w:val="superscript"/>
              </w:rPr>
              <w:t>f)</w:t>
            </w:r>
          </w:p>
        </w:tc>
        <w:tc>
          <w:tcPr>
            <w:tcW w:w="1414" w:type="pct"/>
            <w:shd w:val="clear" w:color="auto" w:fill="auto"/>
          </w:tcPr>
          <w:p w14:paraId="39C7E3BB" w14:textId="4AD79B50" w:rsidR="00823785" w:rsidRPr="00452D62" w:rsidRDefault="00823785" w:rsidP="006453B9">
            <w:pPr>
              <w:widowControl w:val="0"/>
              <w:rPr>
                <w:rFonts w:eastAsia="Calibri"/>
                <w:b/>
                <w:bCs/>
                <w:sz w:val="22"/>
                <w:szCs w:val="22"/>
              </w:rPr>
            </w:pPr>
            <w:r w:rsidRPr="00452D62">
              <w:rPr>
                <w:rFonts w:eastAsia="Calibri"/>
                <w:sz w:val="22"/>
                <w:szCs w:val="22"/>
              </w:rPr>
              <w:t>155 (4,7 %)</w:t>
            </w:r>
          </w:p>
        </w:tc>
        <w:tc>
          <w:tcPr>
            <w:tcW w:w="1116" w:type="pct"/>
            <w:shd w:val="clear" w:color="auto" w:fill="auto"/>
          </w:tcPr>
          <w:p w14:paraId="44786010" w14:textId="4C6E180A" w:rsidR="00823785" w:rsidRPr="00452D62" w:rsidRDefault="00823785" w:rsidP="006453B9">
            <w:pPr>
              <w:widowControl w:val="0"/>
              <w:rPr>
                <w:rFonts w:eastAsia="Calibri"/>
                <w:b/>
                <w:bCs/>
                <w:sz w:val="22"/>
                <w:szCs w:val="22"/>
              </w:rPr>
            </w:pPr>
            <w:r w:rsidRPr="00452D62">
              <w:rPr>
                <w:rFonts w:eastAsia="Calibri"/>
                <w:sz w:val="22"/>
                <w:szCs w:val="22"/>
              </w:rPr>
              <w:t>227 (6,9 %)</w:t>
            </w:r>
          </w:p>
        </w:tc>
        <w:tc>
          <w:tcPr>
            <w:tcW w:w="927" w:type="pct"/>
            <w:shd w:val="clear" w:color="auto" w:fill="auto"/>
          </w:tcPr>
          <w:p w14:paraId="590A2B90" w14:textId="77777777" w:rsidR="00823785" w:rsidRPr="00452D62" w:rsidRDefault="00823785" w:rsidP="006453B9">
            <w:pPr>
              <w:widowControl w:val="0"/>
              <w:rPr>
                <w:rFonts w:eastAsia="Calibri"/>
                <w:sz w:val="22"/>
                <w:szCs w:val="22"/>
              </w:rPr>
            </w:pPr>
            <w:r w:rsidRPr="00452D62">
              <w:rPr>
                <w:rFonts w:eastAsia="Calibri"/>
                <w:sz w:val="22"/>
                <w:szCs w:val="22"/>
              </w:rPr>
              <w:t>0,67 (0,55;0,82)</w:t>
            </w:r>
          </w:p>
        </w:tc>
      </w:tr>
      <w:tr w:rsidR="00823785" w:rsidRPr="00452D62" w14:paraId="55556988" w14:textId="77777777" w:rsidTr="006453B9">
        <w:tc>
          <w:tcPr>
            <w:tcW w:w="1543" w:type="pct"/>
            <w:shd w:val="clear" w:color="auto" w:fill="auto"/>
          </w:tcPr>
          <w:p w14:paraId="167A769D" w14:textId="77777777" w:rsidR="00823785" w:rsidRPr="00452D62" w:rsidRDefault="00823785" w:rsidP="006453B9">
            <w:pPr>
              <w:widowControl w:val="0"/>
              <w:ind w:left="142"/>
              <w:rPr>
                <w:rFonts w:eastAsia="Calibri"/>
                <w:sz w:val="22"/>
                <w:szCs w:val="22"/>
              </w:rPr>
            </w:pPr>
            <w:r w:rsidRPr="00452D62">
              <w:rPr>
                <w:rFonts w:eastAsia="Calibri"/>
                <w:sz w:val="22"/>
                <w:szCs w:val="22"/>
              </w:rPr>
              <w:t>- Didelė amputacija dėl kraujagyslių sutrikimų</w:t>
            </w:r>
          </w:p>
        </w:tc>
        <w:tc>
          <w:tcPr>
            <w:tcW w:w="1414" w:type="pct"/>
            <w:shd w:val="clear" w:color="auto" w:fill="auto"/>
          </w:tcPr>
          <w:p w14:paraId="73252219" w14:textId="369D1884" w:rsidR="00823785" w:rsidRPr="00452D62" w:rsidRDefault="00823785" w:rsidP="006453B9">
            <w:pPr>
              <w:widowControl w:val="0"/>
              <w:rPr>
                <w:rFonts w:eastAsia="Calibri"/>
                <w:b/>
                <w:bCs/>
                <w:sz w:val="22"/>
                <w:szCs w:val="22"/>
              </w:rPr>
            </w:pPr>
            <w:r w:rsidRPr="00452D62">
              <w:rPr>
                <w:rFonts w:eastAsia="Calibri"/>
                <w:sz w:val="22"/>
                <w:szCs w:val="22"/>
              </w:rPr>
              <w:t>103 (3,1 %)</w:t>
            </w:r>
          </w:p>
        </w:tc>
        <w:tc>
          <w:tcPr>
            <w:tcW w:w="1116" w:type="pct"/>
            <w:shd w:val="clear" w:color="auto" w:fill="auto"/>
          </w:tcPr>
          <w:p w14:paraId="729A1AB5" w14:textId="43C25479" w:rsidR="00823785" w:rsidRPr="00452D62" w:rsidRDefault="00823785" w:rsidP="006453B9">
            <w:pPr>
              <w:widowControl w:val="0"/>
              <w:rPr>
                <w:rFonts w:eastAsia="Calibri"/>
                <w:b/>
                <w:bCs/>
                <w:sz w:val="22"/>
                <w:szCs w:val="22"/>
              </w:rPr>
            </w:pPr>
            <w:r w:rsidRPr="00452D62">
              <w:rPr>
                <w:rFonts w:eastAsia="Calibri"/>
                <w:sz w:val="22"/>
                <w:szCs w:val="22"/>
              </w:rPr>
              <w:t>115 (3,5 %)</w:t>
            </w:r>
          </w:p>
        </w:tc>
        <w:tc>
          <w:tcPr>
            <w:tcW w:w="927" w:type="pct"/>
            <w:shd w:val="clear" w:color="auto" w:fill="auto"/>
          </w:tcPr>
          <w:p w14:paraId="1CFF74E3" w14:textId="77777777" w:rsidR="00823785" w:rsidRPr="00452D62" w:rsidRDefault="00823785" w:rsidP="006453B9">
            <w:pPr>
              <w:widowControl w:val="0"/>
              <w:rPr>
                <w:rFonts w:eastAsia="Calibri"/>
                <w:sz w:val="22"/>
                <w:szCs w:val="22"/>
              </w:rPr>
            </w:pPr>
            <w:r w:rsidRPr="00452D62">
              <w:rPr>
                <w:rFonts w:eastAsia="Calibri"/>
                <w:sz w:val="22"/>
                <w:szCs w:val="22"/>
              </w:rPr>
              <w:t>0,89 (0,68;1,16)</w:t>
            </w:r>
          </w:p>
          <w:p w14:paraId="0F33E7EF" w14:textId="77777777" w:rsidR="00823785" w:rsidRPr="00452D62" w:rsidRDefault="00823785" w:rsidP="006453B9">
            <w:pPr>
              <w:widowControl w:val="0"/>
              <w:rPr>
                <w:rFonts w:eastAsia="Calibri"/>
                <w:sz w:val="22"/>
                <w:szCs w:val="22"/>
              </w:rPr>
            </w:pPr>
          </w:p>
        </w:tc>
      </w:tr>
      <w:tr w:rsidR="00823785" w:rsidRPr="00452D62" w14:paraId="07C46B7F" w14:textId="77777777" w:rsidTr="006453B9">
        <w:tc>
          <w:tcPr>
            <w:tcW w:w="1543" w:type="pct"/>
            <w:shd w:val="clear" w:color="auto" w:fill="auto"/>
          </w:tcPr>
          <w:p w14:paraId="48BE589A" w14:textId="77777777" w:rsidR="00823785" w:rsidRPr="00452D62" w:rsidRDefault="00823785" w:rsidP="006453B9">
            <w:pPr>
              <w:widowControl w:val="0"/>
              <w:rPr>
                <w:rFonts w:eastAsia="Calibri"/>
                <w:b/>
                <w:sz w:val="22"/>
                <w:szCs w:val="22"/>
              </w:rPr>
            </w:pPr>
            <w:r w:rsidRPr="00452D62">
              <w:rPr>
                <w:rFonts w:eastAsia="Calibri"/>
                <w:b/>
                <w:sz w:val="22"/>
                <w:szCs w:val="22"/>
              </w:rPr>
              <w:t>Antrinė veiksmingumo baigtis</w:t>
            </w:r>
          </w:p>
        </w:tc>
        <w:tc>
          <w:tcPr>
            <w:tcW w:w="1414" w:type="pct"/>
            <w:shd w:val="clear" w:color="auto" w:fill="auto"/>
          </w:tcPr>
          <w:p w14:paraId="4959EFC0" w14:textId="77777777" w:rsidR="00823785" w:rsidRPr="00452D62" w:rsidRDefault="00823785" w:rsidP="006453B9">
            <w:pPr>
              <w:widowControl w:val="0"/>
              <w:rPr>
                <w:rFonts w:eastAsia="Calibri"/>
                <w:b/>
                <w:bCs/>
                <w:sz w:val="22"/>
                <w:szCs w:val="22"/>
              </w:rPr>
            </w:pPr>
          </w:p>
        </w:tc>
        <w:tc>
          <w:tcPr>
            <w:tcW w:w="1116" w:type="pct"/>
            <w:shd w:val="clear" w:color="auto" w:fill="auto"/>
          </w:tcPr>
          <w:p w14:paraId="1A4F707E" w14:textId="77777777" w:rsidR="00823785" w:rsidRPr="00452D62" w:rsidRDefault="00823785" w:rsidP="006453B9">
            <w:pPr>
              <w:widowControl w:val="0"/>
              <w:rPr>
                <w:rFonts w:eastAsia="Calibri"/>
                <w:b/>
                <w:bCs/>
                <w:sz w:val="22"/>
                <w:szCs w:val="22"/>
              </w:rPr>
            </w:pPr>
          </w:p>
        </w:tc>
        <w:tc>
          <w:tcPr>
            <w:tcW w:w="927" w:type="pct"/>
            <w:shd w:val="clear" w:color="auto" w:fill="auto"/>
          </w:tcPr>
          <w:p w14:paraId="749B6025" w14:textId="77777777" w:rsidR="00823785" w:rsidRPr="00452D62" w:rsidRDefault="00823785" w:rsidP="006453B9">
            <w:pPr>
              <w:widowControl w:val="0"/>
              <w:rPr>
                <w:rFonts w:eastAsia="Calibri"/>
                <w:b/>
                <w:sz w:val="22"/>
                <w:szCs w:val="22"/>
              </w:rPr>
            </w:pPr>
          </w:p>
        </w:tc>
      </w:tr>
      <w:tr w:rsidR="00823785" w:rsidRPr="00452D62" w14:paraId="0D189086" w14:textId="77777777" w:rsidTr="006453B9">
        <w:tc>
          <w:tcPr>
            <w:tcW w:w="1543" w:type="pct"/>
            <w:shd w:val="clear" w:color="auto" w:fill="auto"/>
          </w:tcPr>
          <w:p w14:paraId="155CAAF3" w14:textId="77777777" w:rsidR="00823785" w:rsidRPr="00452D62" w:rsidRDefault="00823785" w:rsidP="006453B9">
            <w:pPr>
              <w:widowControl w:val="0"/>
              <w:ind w:left="142"/>
              <w:rPr>
                <w:rFonts w:eastAsia="Calibri"/>
                <w:sz w:val="22"/>
                <w:szCs w:val="22"/>
              </w:rPr>
            </w:pPr>
            <w:r w:rsidRPr="00452D62">
              <w:rPr>
                <w:rFonts w:eastAsia="Calibri"/>
                <w:sz w:val="22"/>
                <w:szCs w:val="22"/>
              </w:rPr>
              <w:t>Neplanuota atskaitinė galūnės revaskuliarizacija dėl pasikartojančios galūnės išemijos</w:t>
            </w:r>
          </w:p>
        </w:tc>
        <w:tc>
          <w:tcPr>
            <w:tcW w:w="1414" w:type="pct"/>
            <w:shd w:val="clear" w:color="auto" w:fill="auto"/>
          </w:tcPr>
          <w:p w14:paraId="1F16EE84" w14:textId="112F7B9A" w:rsidR="00823785" w:rsidRPr="00452D62" w:rsidRDefault="00823785" w:rsidP="006453B9">
            <w:pPr>
              <w:widowControl w:val="0"/>
              <w:rPr>
                <w:rFonts w:eastAsia="Calibri"/>
                <w:b/>
                <w:bCs/>
                <w:sz w:val="22"/>
                <w:szCs w:val="22"/>
              </w:rPr>
            </w:pPr>
            <w:r w:rsidRPr="00452D62">
              <w:rPr>
                <w:rFonts w:eastAsia="Calibri"/>
                <w:sz w:val="22"/>
                <w:szCs w:val="22"/>
              </w:rPr>
              <w:t>584 (17,8 %)</w:t>
            </w:r>
          </w:p>
        </w:tc>
        <w:tc>
          <w:tcPr>
            <w:tcW w:w="1116" w:type="pct"/>
            <w:shd w:val="clear" w:color="auto" w:fill="auto"/>
          </w:tcPr>
          <w:p w14:paraId="4DC9074F" w14:textId="65A58E06" w:rsidR="00823785" w:rsidRPr="00452D62" w:rsidRDefault="00823785" w:rsidP="006453B9">
            <w:pPr>
              <w:widowControl w:val="0"/>
              <w:rPr>
                <w:rFonts w:eastAsia="Calibri"/>
                <w:b/>
                <w:bCs/>
                <w:sz w:val="22"/>
                <w:szCs w:val="22"/>
              </w:rPr>
            </w:pPr>
            <w:r w:rsidRPr="00452D62">
              <w:rPr>
                <w:rFonts w:eastAsia="Calibri"/>
                <w:sz w:val="22"/>
                <w:szCs w:val="22"/>
              </w:rPr>
              <w:t>655 (20,0 %)</w:t>
            </w:r>
          </w:p>
        </w:tc>
        <w:tc>
          <w:tcPr>
            <w:tcW w:w="927" w:type="pct"/>
            <w:shd w:val="clear" w:color="auto" w:fill="auto"/>
          </w:tcPr>
          <w:p w14:paraId="342A34DF" w14:textId="77777777" w:rsidR="00823785" w:rsidRPr="00452D62" w:rsidRDefault="00823785" w:rsidP="006453B9">
            <w:pPr>
              <w:widowControl w:val="0"/>
              <w:rPr>
                <w:rFonts w:eastAsia="Calibri"/>
                <w:sz w:val="22"/>
                <w:szCs w:val="22"/>
              </w:rPr>
            </w:pPr>
            <w:r w:rsidRPr="00452D62">
              <w:rPr>
                <w:rFonts w:eastAsia="Calibri"/>
                <w:sz w:val="22"/>
                <w:szCs w:val="22"/>
              </w:rPr>
              <w:t>0,88 (0,79;0,99)</w:t>
            </w:r>
          </w:p>
          <w:p w14:paraId="523B1A50" w14:textId="77777777" w:rsidR="00823785" w:rsidRPr="00452D62" w:rsidRDefault="00823785" w:rsidP="006453B9">
            <w:pPr>
              <w:widowControl w:val="0"/>
              <w:rPr>
                <w:rFonts w:eastAsia="Calibri"/>
                <w:sz w:val="22"/>
                <w:szCs w:val="22"/>
              </w:rPr>
            </w:pPr>
            <w:r w:rsidRPr="00452D62">
              <w:rPr>
                <w:rFonts w:eastAsia="Calibri"/>
                <w:sz w:val="22"/>
                <w:szCs w:val="22"/>
              </w:rPr>
              <w:t xml:space="preserve">p = 0,0140 </w:t>
            </w:r>
            <w:r w:rsidRPr="00452D62">
              <w:rPr>
                <w:rFonts w:eastAsia="Calibri"/>
                <w:sz w:val="22"/>
                <w:szCs w:val="22"/>
                <w:vertAlign w:val="superscript"/>
              </w:rPr>
              <w:t>e)</w:t>
            </w:r>
            <w:r w:rsidRPr="00452D62">
              <w:rPr>
                <w:rFonts w:eastAsia="Calibri"/>
                <w:sz w:val="22"/>
                <w:szCs w:val="22"/>
              </w:rPr>
              <w:t>*</w:t>
            </w:r>
          </w:p>
          <w:p w14:paraId="406D5DF5" w14:textId="77777777" w:rsidR="00823785" w:rsidRPr="00452D62" w:rsidRDefault="00823785" w:rsidP="006453B9">
            <w:pPr>
              <w:widowControl w:val="0"/>
              <w:rPr>
                <w:rFonts w:eastAsia="Calibri"/>
                <w:sz w:val="22"/>
                <w:szCs w:val="22"/>
              </w:rPr>
            </w:pPr>
          </w:p>
          <w:p w14:paraId="3EBA5340" w14:textId="77777777" w:rsidR="00823785" w:rsidRPr="00452D62" w:rsidRDefault="00823785" w:rsidP="006453B9">
            <w:pPr>
              <w:widowControl w:val="0"/>
              <w:rPr>
                <w:rFonts w:eastAsia="Calibri"/>
                <w:sz w:val="22"/>
                <w:szCs w:val="22"/>
              </w:rPr>
            </w:pPr>
          </w:p>
        </w:tc>
      </w:tr>
      <w:tr w:rsidR="00823785" w:rsidRPr="00452D62" w14:paraId="6D5CBFDE" w14:textId="77777777" w:rsidTr="006453B9">
        <w:tc>
          <w:tcPr>
            <w:tcW w:w="1543" w:type="pct"/>
            <w:shd w:val="clear" w:color="auto" w:fill="auto"/>
          </w:tcPr>
          <w:p w14:paraId="026D2918" w14:textId="77777777" w:rsidR="00823785" w:rsidRPr="00452D62" w:rsidRDefault="00823785" w:rsidP="006453B9">
            <w:pPr>
              <w:widowControl w:val="0"/>
              <w:ind w:left="142"/>
              <w:rPr>
                <w:rFonts w:eastAsia="Calibri"/>
                <w:sz w:val="22"/>
                <w:szCs w:val="22"/>
              </w:rPr>
            </w:pPr>
            <w:r w:rsidRPr="00452D62">
              <w:rPr>
                <w:rFonts w:eastAsia="Calibri"/>
                <w:sz w:val="22"/>
                <w:szCs w:val="22"/>
              </w:rPr>
              <w:t>Hospitalizacija dėl trombinio pobūdžio vainikinių ar periferinių kraujagyslių sutrikimų (bet kurios apatinės galūnės)</w:t>
            </w:r>
          </w:p>
        </w:tc>
        <w:tc>
          <w:tcPr>
            <w:tcW w:w="1414" w:type="pct"/>
            <w:shd w:val="clear" w:color="auto" w:fill="auto"/>
          </w:tcPr>
          <w:p w14:paraId="30CE2AFA" w14:textId="1B46562C" w:rsidR="00823785" w:rsidRPr="00452D62" w:rsidRDefault="00823785" w:rsidP="006453B9">
            <w:pPr>
              <w:widowControl w:val="0"/>
              <w:rPr>
                <w:rFonts w:eastAsia="Calibri"/>
                <w:b/>
                <w:bCs/>
                <w:sz w:val="22"/>
                <w:szCs w:val="22"/>
              </w:rPr>
            </w:pPr>
            <w:r w:rsidRPr="00452D62">
              <w:rPr>
                <w:rFonts w:eastAsia="Calibri"/>
                <w:sz w:val="22"/>
                <w:szCs w:val="22"/>
              </w:rPr>
              <w:t>262 (8,0 %)</w:t>
            </w:r>
          </w:p>
        </w:tc>
        <w:tc>
          <w:tcPr>
            <w:tcW w:w="1116" w:type="pct"/>
            <w:shd w:val="clear" w:color="auto" w:fill="auto"/>
          </w:tcPr>
          <w:p w14:paraId="70538792" w14:textId="74648F3A" w:rsidR="00823785" w:rsidRPr="00452D62" w:rsidRDefault="00823785" w:rsidP="006453B9">
            <w:pPr>
              <w:widowControl w:val="0"/>
              <w:rPr>
                <w:rFonts w:eastAsia="Calibri"/>
                <w:b/>
                <w:bCs/>
                <w:sz w:val="22"/>
                <w:szCs w:val="22"/>
              </w:rPr>
            </w:pPr>
            <w:r w:rsidRPr="00452D62">
              <w:rPr>
                <w:rFonts w:eastAsia="Calibri"/>
                <w:sz w:val="22"/>
                <w:szCs w:val="22"/>
              </w:rPr>
              <w:t>356 (10,9 %)</w:t>
            </w:r>
          </w:p>
        </w:tc>
        <w:tc>
          <w:tcPr>
            <w:tcW w:w="927" w:type="pct"/>
            <w:shd w:val="clear" w:color="auto" w:fill="auto"/>
          </w:tcPr>
          <w:p w14:paraId="4F84D935" w14:textId="77777777" w:rsidR="00823785" w:rsidRPr="00452D62" w:rsidRDefault="00823785" w:rsidP="006453B9">
            <w:pPr>
              <w:widowControl w:val="0"/>
              <w:rPr>
                <w:rFonts w:eastAsia="Calibri"/>
                <w:sz w:val="22"/>
                <w:szCs w:val="22"/>
              </w:rPr>
            </w:pPr>
            <w:r w:rsidRPr="00452D62">
              <w:rPr>
                <w:rFonts w:eastAsia="Calibri"/>
                <w:sz w:val="22"/>
                <w:szCs w:val="22"/>
              </w:rPr>
              <w:t>0,72 (0,62;0,85)</w:t>
            </w:r>
          </w:p>
          <w:p w14:paraId="368DB91F" w14:textId="77777777" w:rsidR="00823785" w:rsidRPr="00452D62" w:rsidRDefault="00823785" w:rsidP="006453B9">
            <w:pPr>
              <w:widowControl w:val="0"/>
              <w:rPr>
                <w:rFonts w:eastAsia="Calibri"/>
                <w:sz w:val="22"/>
                <w:szCs w:val="22"/>
              </w:rPr>
            </w:pPr>
            <w:r w:rsidRPr="00452D62">
              <w:rPr>
                <w:rFonts w:eastAsia="Calibri"/>
                <w:sz w:val="22"/>
                <w:szCs w:val="22"/>
              </w:rPr>
              <w:t xml:space="preserve">p &lt; 0,0001 </w:t>
            </w:r>
            <w:r w:rsidRPr="00452D62">
              <w:rPr>
                <w:rFonts w:eastAsia="Calibri"/>
                <w:sz w:val="22"/>
                <w:szCs w:val="22"/>
                <w:vertAlign w:val="superscript"/>
              </w:rPr>
              <w:t>e)</w:t>
            </w:r>
            <w:r w:rsidRPr="00452D62">
              <w:rPr>
                <w:rFonts w:eastAsia="Calibri"/>
                <w:sz w:val="22"/>
                <w:szCs w:val="22"/>
              </w:rPr>
              <w:t>*</w:t>
            </w:r>
          </w:p>
          <w:p w14:paraId="76039F31" w14:textId="77777777" w:rsidR="00823785" w:rsidRPr="00452D62" w:rsidRDefault="00823785" w:rsidP="006453B9">
            <w:pPr>
              <w:widowControl w:val="0"/>
              <w:rPr>
                <w:rFonts w:eastAsia="Calibri"/>
                <w:sz w:val="22"/>
                <w:szCs w:val="22"/>
              </w:rPr>
            </w:pPr>
          </w:p>
          <w:p w14:paraId="03FF1F34" w14:textId="77777777" w:rsidR="00823785" w:rsidRPr="00452D62" w:rsidRDefault="00823785" w:rsidP="006453B9">
            <w:pPr>
              <w:widowControl w:val="0"/>
              <w:rPr>
                <w:rFonts w:eastAsia="Calibri"/>
                <w:sz w:val="22"/>
                <w:szCs w:val="22"/>
              </w:rPr>
            </w:pPr>
          </w:p>
        </w:tc>
      </w:tr>
      <w:tr w:rsidR="00823785" w:rsidRPr="00452D62" w14:paraId="64BB6761" w14:textId="77777777" w:rsidTr="006453B9">
        <w:tc>
          <w:tcPr>
            <w:tcW w:w="1543" w:type="pct"/>
            <w:tcBorders>
              <w:top w:val="single" w:sz="4" w:space="0" w:color="auto"/>
              <w:left w:val="single" w:sz="4" w:space="0" w:color="auto"/>
              <w:bottom w:val="single" w:sz="4" w:space="0" w:color="auto"/>
              <w:right w:val="single" w:sz="4" w:space="0" w:color="auto"/>
            </w:tcBorders>
            <w:shd w:val="clear" w:color="auto" w:fill="auto"/>
          </w:tcPr>
          <w:p w14:paraId="1A398769" w14:textId="77777777" w:rsidR="00823785" w:rsidRPr="00452D62" w:rsidRDefault="00823785" w:rsidP="006453B9">
            <w:pPr>
              <w:widowControl w:val="0"/>
              <w:ind w:left="142"/>
              <w:rPr>
                <w:rFonts w:eastAsia="Calibri"/>
                <w:b/>
                <w:bCs/>
                <w:sz w:val="22"/>
                <w:szCs w:val="22"/>
              </w:rPr>
            </w:pPr>
            <w:r w:rsidRPr="00452D62">
              <w:rPr>
                <w:rFonts w:eastAsia="Calibri"/>
                <w:sz w:val="22"/>
                <w:szCs w:val="22"/>
              </w:rPr>
              <w:t>Mirtis dėl bet kokios priežasties</w:t>
            </w:r>
          </w:p>
        </w:tc>
        <w:tc>
          <w:tcPr>
            <w:tcW w:w="1414" w:type="pct"/>
            <w:tcBorders>
              <w:top w:val="single" w:sz="4" w:space="0" w:color="auto"/>
              <w:left w:val="single" w:sz="4" w:space="0" w:color="auto"/>
              <w:bottom w:val="single" w:sz="4" w:space="0" w:color="auto"/>
              <w:right w:val="single" w:sz="4" w:space="0" w:color="auto"/>
            </w:tcBorders>
            <w:shd w:val="clear" w:color="auto" w:fill="auto"/>
          </w:tcPr>
          <w:p w14:paraId="2C0C8004" w14:textId="50D79B95" w:rsidR="00823785" w:rsidRPr="00452D62" w:rsidRDefault="00823785" w:rsidP="006453B9">
            <w:pPr>
              <w:widowControl w:val="0"/>
              <w:rPr>
                <w:rFonts w:eastAsia="Calibri"/>
                <w:b/>
                <w:bCs/>
                <w:sz w:val="22"/>
                <w:szCs w:val="22"/>
              </w:rPr>
            </w:pPr>
            <w:r w:rsidRPr="00452D62">
              <w:rPr>
                <w:rFonts w:eastAsia="Calibri"/>
                <w:sz w:val="22"/>
                <w:szCs w:val="22"/>
              </w:rPr>
              <w:t>321 (9,8 %)</w:t>
            </w:r>
          </w:p>
        </w:tc>
        <w:tc>
          <w:tcPr>
            <w:tcW w:w="1116" w:type="pct"/>
            <w:tcBorders>
              <w:top w:val="single" w:sz="4" w:space="0" w:color="auto"/>
              <w:left w:val="single" w:sz="4" w:space="0" w:color="auto"/>
              <w:bottom w:val="single" w:sz="4" w:space="0" w:color="auto"/>
              <w:right w:val="single" w:sz="4" w:space="0" w:color="auto"/>
            </w:tcBorders>
            <w:shd w:val="clear" w:color="auto" w:fill="auto"/>
          </w:tcPr>
          <w:p w14:paraId="7697EE1E" w14:textId="7A78722D" w:rsidR="00823785" w:rsidRPr="00452D62" w:rsidRDefault="00823785" w:rsidP="006453B9">
            <w:pPr>
              <w:widowControl w:val="0"/>
              <w:rPr>
                <w:rFonts w:eastAsia="Calibri"/>
                <w:b/>
                <w:bCs/>
                <w:sz w:val="22"/>
                <w:szCs w:val="22"/>
              </w:rPr>
            </w:pPr>
            <w:r w:rsidRPr="00452D62">
              <w:rPr>
                <w:rFonts w:eastAsia="Calibri"/>
                <w:sz w:val="22"/>
                <w:szCs w:val="22"/>
              </w:rPr>
              <w:t>297 (9,1 %)</w:t>
            </w:r>
          </w:p>
        </w:tc>
        <w:tc>
          <w:tcPr>
            <w:tcW w:w="927" w:type="pct"/>
            <w:tcBorders>
              <w:top w:val="single" w:sz="4" w:space="0" w:color="auto"/>
              <w:left w:val="single" w:sz="4" w:space="0" w:color="auto"/>
              <w:bottom w:val="single" w:sz="4" w:space="0" w:color="auto"/>
              <w:right w:val="single" w:sz="4" w:space="0" w:color="auto"/>
            </w:tcBorders>
            <w:shd w:val="clear" w:color="auto" w:fill="auto"/>
          </w:tcPr>
          <w:p w14:paraId="3D96FED8" w14:textId="77777777" w:rsidR="00823785" w:rsidRPr="00452D62" w:rsidRDefault="00823785" w:rsidP="006453B9">
            <w:pPr>
              <w:widowControl w:val="0"/>
              <w:rPr>
                <w:rFonts w:eastAsia="Calibri"/>
                <w:sz w:val="22"/>
                <w:szCs w:val="22"/>
              </w:rPr>
            </w:pPr>
            <w:r w:rsidRPr="00452D62">
              <w:rPr>
                <w:rFonts w:eastAsia="Calibri"/>
                <w:sz w:val="22"/>
                <w:szCs w:val="22"/>
              </w:rPr>
              <w:t>1,08 (0,92;1,27)</w:t>
            </w:r>
          </w:p>
        </w:tc>
      </w:tr>
      <w:tr w:rsidR="00823785" w:rsidRPr="00452D62" w14:paraId="2E27EEC6" w14:textId="77777777" w:rsidTr="006453B9">
        <w:tc>
          <w:tcPr>
            <w:tcW w:w="1543" w:type="pct"/>
            <w:tcBorders>
              <w:top w:val="single" w:sz="4" w:space="0" w:color="auto"/>
              <w:left w:val="single" w:sz="4" w:space="0" w:color="auto"/>
              <w:bottom w:val="single" w:sz="4" w:space="0" w:color="auto"/>
              <w:right w:val="single" w:sz="4" w:space="0" w:color="auto"/>
            </w:tcBorders>
            <w:shd w:val="clear" w:color="auto" w:fill="auto"/>
          </w:tcPr>
          <w:p w14:paraId="0479D5F3" w14:textId="77777777" w:rsidR="00823785" w:rsidRPr="00452D62" w:rsidRDefault="00823785" w:rsidP="006453B9">
            <w:pPr>
              <w:widowControl w:val="0"/>
              <w:ind w:left="142"/>
              <w:rPr>
                <w:rFonts w:eastAsia="Calibri"/>
                <w:b/>
                <w:bCs/>
                <w:sz w:val="22"/>
                <w:szCs w:val="22"/>
              </w:rPr>
            </w:pPr>
            <w:r w:rsidRPr="00452D62">
              <w:rPr>
                <w:rFonts w:eastAsia="Calibri"/>
                <w:sz w:val="22"/>
                <w:szCs w:val="22"/>
              </w:rPr>
              <w:t>VTE reiškiniai</w:t>
            </w:r>
          </w:p>
        </w:tc>
        <w:tc>
          <w:tcPr>
            <w:tcW w:w="1414" w:type="pct"/>
            <w:tcBorders>
              <w:top w:val="single" w:sz="4" w:space="0" w:color="auto"/>
              <w:left w:val="single" w:sz="4" w:space="0" w:color="auto"/>
              <w:bottom w:val="single" w:sz="4" w:space="0" w:color="auto"/>
              <w:right w:val="single" w:sz="4" w:space="0" w:color="auto"/>
            </w:tcBorders>
            <w:shd w:val="clear" w:color="auto" w:fill="auto"/>
          </w:tcPr>
          <w:p w14:paraId="5111795C" w14:textId="79C11A63" w:rsidR="00823785" w:rsidRPr="00452D62" w:rsidRDefault="00823785" w:rsidP="006453B9">
            <w:pPr>
              <w:widowControl w:val="0"/>
              <w:rPr>
                <w:rFonts w:eastAsia="Calibri"/>
                <w:b/>
                <w:bCs/>
                <w:sz w:val="22"/>
                <w:szCs w:val="22"/>
              </w:rPr>
            </w:pPr>
            <w:r w:rsidRPr="00452D62">
              <w:rPr>
                <w:rFonts w:eastAsia="Calibri"/>
                <w:sz w:val="22"/>
                <w:szCs w:val="22"/>
              </w:rPr>
              <w:t>25 (0,8 %)</w:t>
            </w:r>
          </w:p>
        </w:tc>
        <w:tc>
          <w:tcPr>
            <w:tcW w:w="1116" w:type="pct"/>
            <w:tcBorders>
              <w:top w:val="single" w:sz="4" w:space="0" w:color="auto"/>
              <w:left w:val="single" w:sz="4" w:space="0" w:color="auto"/>
              <w:bottom w:val="single" w:sz="4" w:space="0" w:color="auto"/>
              <w:right w:val="single" w:sz="4" w:space="0" w:color="auto"/>
            </w:tcBorders>
            <w:shd w:val="clear" w:color="auto" w:fill="auto"/>
          </w:tcPr>
          <w:p w14:paraId="26698D19" w14:textId="001E337E" w:rsidR="00823785" w:rsidRPr="00452D62" w:rsidRDefault="00823785" w:rsidP="006453B9">
            <w:pPr>
              <w:widowControl w:val="0"/>
              <w:rPr>
                <w:rFonts w:eastAsia="Calibri"/>
                <w:b/>
                <w:bCs/>
                <w:sz w:val="22"/>
                <w:szCs w:val="22"/>
              </w:rPr>
            </w:pPr>
            <w:r w:rsidRPr="00452D62">
              <w:rPr>
                <w:rFonts w:eastAsia="Calibri"/>
                <w:sz w:val="22"/>
                <w:szCs w:val="22"/>
              </w:rPr>
              <w:t>41 (1,3 %)</w:t>
            </w:r>
          </w:p>
        </w:tc>
        <w:tc>
          <w:tcPr>
            <w:tcW w:w="927" w:type="pct"/>
            <w:tcBorders>
              <w:top w:val="single" w:sz="4" w:space="0" w:color="auto"/>
              <w:left w:val="single" w:sz="4" w:space="0" w:color="auto"/>
              <w:bottom w:val="single" w:sz="4" w:space="0" w:color="auto"/>
              <w:right w:val="single" w:sz="4" w:space="0" w:color="auto"/>
            </w:tcBorders>
            <w:shd w:val="clear" w:color="auto" w:fill="auto"/>
          </w:tcPr>
          <w:p w14:paraId="3A56C748" w14:textId="77777777" w:rsidR="00823785" w:rsidRPr="00452D62" w:rsidRDefault="00823785" w:rsidP="006453B9">
            <w:pPr>
              <w:widowControl w:val="0"/>
              <w:rPr>
                <w:rFonts w:eastAsia="Calibri"/>
                <w:sz w:val="22"/>
                <w:szCs w:val="22"/>
              </w:rPr>
            </w:pPr>
            <w:r w:rsidRPr="00452D62">
              <w:rPr>
                <w:rFonts w:eastAsia="Calibri"/>
                <w:sz w:val="22"/>
                <w:szCs w:val="22"/>
              </w:rPr>
              <w:t>0,61 (0,37;1,00)</w:t>
            </w:r>
          </w:p>
        </w:tc>
      </w:tr>
    </w:tbl>
    <w:p w14:paraId="4CFFDEB2" w14:textId="77777777" w:rsidR="00823785" w:rsidRPr="00452D62" w:rsidRDefault="00823785" w:rsidP="00823785">
      <w:pPr>
        <w:tabs>
          <w:tab w:val="clear" w:pos="567"/>
        </w:tabs>
        <w:suppressAutoHyphens w:val="0"/>
        <w:autoSpaceDE w:val="0"/>
        <w:autoSpaceDN w:val="0"/>
        <w:adjustRightInd w:val="0"/>
        <w:spacing w:line="240" w:lineRule="auto"/>
        <w:ind w:right="-20"/>
        <w:rPr>
          <w:sz w:val="22"/>
          <w:szCs w:val="22"/>
        </w:rPr>
      </w:pPr>
      <w:r w:rsidRPr="00452D62">
        <w:rPr>
          <w:sz w:val="22"/>
          <w:szCs w:val="22"/>
        </w:rPr>
        <w:t xml:space="preserve">a) Ketintų gydyti tiriamųjų analizės grupė, pirminės analizės; koreguota NKBVK </w:t>
      </w:r>
    </w:p>
    <w:p w14:paraId="0F0F386C" w14:textId="77777777" w:rsidR="00823785" w:rsidRPr="00452D62" w:rsidRDefault="00823785" w:rsidP="00823785">
      <w:pPr>
        <w:tabs>
          <w:tab w:val="clear" w:pos="567"/>
        </w:tabs>
        <w:suppressAutoHyphens w:val="0"/>
        <w:autoSpaceDE w:val="0"/>
        <w:autoSpaceDN w:val="0"/>
        <w:adjustRightInd w:val="0"/>
        <w:spacing w:line="240" w:lineRule="auto"/>
        <w:ind w:right="-20"/>
        <w:rPr>
          <w:sz w:val="22"/>
          <w:szCs w:val="22"/>
        </w:rPr>
      </w:pPr>
      <w:r w:rsidRPr="00452D62">
        <w:rPr>
          <w:sz w:val="22"/>
          <w:szCs w:val="22"/>
        </w:rPr>
        <w:t xml:space="preserve">b) MI, išeminio insulto, mirties nuo širdies ir kraujagyslių ligų (mirties nuo širdies ir kraujagyslių ligų ir mirties dėl nežinomų priežasčių), ŪGI ir didelės amputacijos dėl kraujagyslių sutrikimų suminis rodiklis </w:t>
      </w:r>
    </w:p>
    <w:p w14:paraId="55F42DF9" w14:textId="77777777" w:rsidR="00823785" w:rsidRPr="00452D62" w:rsidRDefault="00823785" w:rsidP="00823785">
      <w:pPr>
        <w:tabs>
          <w:tab w:val="clear" w:pos="567"/>
        </w:tabs>
        <w:suppressAutoHyphens w:val="0"/>
        <w:autoSpaceDE w:val="0"/>
        <w:autoSpaceDN w:val="0"/>
        <w:adjustRightInd w:val="0"/>
        <w:spacing w:line="240" w:lineRule="auto"/>
        <w:ind w:right="-20"/>
        <w:rPr>
          <w:sz w:val="22"/>
          <w:szCs w:val="22"/>
        </w:rPr>
      </w:pPr>
      <w:r w:rsidRPr="00452D62">
        <w:rPr>
          <w:sz w:val="22"/>
          <w:szCs w:val="22"/>
        </w:rPr>
        <w:t xml:space="preserve">c) Analizuojant tiriamojo duomenis, skaičiuojamas tik pirmąkart pasireiškęs baigties kriterijų atitinkantis reiškinys </w:t>
      </w:r>
    </w:p>
    <w:p w14:paraId="13947FC7" w14:textId="21AA0F10" w:rsidR="00823785" w:rsidRPr="00452D62" w:rsidRDefault="00823785" w:rsidP="00823785">
      <w:pPr>
        <w:tabs>
          <w:tab w:val="clear" w:pos="567"/>
        </w:tabs>
        <w:suppressAutoHyphens w:val="0"/>
        <w:autoSpaceDE w:val="0"/>
        <w:autoSpaceDN w:val="0"/>
        <w:adjustRightInd w:val="0"/>
        <w:spacing w:line="240" w:lineRule="auto"/>
        <w:ind w:right="-20"/>
        <w:rPr>
          <w:sz w:val="22"/>
          <w:szCs w:val="22"/>
        </w:rPr>
      </w:pPr>
      <w:r w:rsidRPr="00452D62">
        <w:rPr>
          <w:sz w:val="22"/>
          <w:szCs w:val="22"/>
        </w:rPr>
        <w:t>d) SR (95 % PI) yra pagrįsta Cox proporcingos rizikos modeliu, stratifikuotu pagal procedūros tipą ir klopidogrelio vartojimą, gydymą traktuojant kaip vienintelį kovariantą</w:t>
      </w:r>
    </w:p>
    <w:p w14:paraId="42F6B25C" w14:textId="77777777" w:rsidR="00823785" w:rsidRPr="00452D62" w:rsidRDefault="00823785" w:rsidP="00823785">
      <w:pPr>
        <w:tabs>
          <w:tab w:val="clear" w:pos="567"/>
        </w:tabs>
        <w:suppressAutoHyphens w:val="0"/>
        <w:autoSpaceDE w:val="0"/>
        <w:autoSpaceDN w:val="0"/>
        <w:adjustRightInd w:val="0"/>
        <w:spacing w:line="240" w:lineRule="auto"/>
        <w:ind w:right="-20"/>
        <w:rPr>
          <w:sz w:val="22"/>
          <w:szCs w:val="22"/>
        </w:rPr>
      </w:pPr>
      <w:r w:rsidRPr="00452D62">
        <w:rPr>
          <w:sz w:val="22"/>
          <w:szCs w:val="22"/>
        </w:rPr>
        <w:t xml:space="preserve">e) Vienpusė p vertė yra pagrįsta </w:t>
      </w:r>
      <w:r w:rsidRPr="00452D62">
        <w:rPr>
          <w:i/>
          <w:sz w:val="22"/>
          <w:szCs w:val="22"/>
        </w:rPr>
        <w:t>Log-Rank</w:t>
      </w:r>
      <w:r w:rsidRPr="00452D62">
        <w:rPr>
          <w:sz w:val="22"/>
          <w:szCs w:val="22"/>
        </w:rPr>
        <w:t xml:space="preserve"> testu, stratifikuotu pagal procedūros tipą ir klopidogrelio vartojimą gydymo metu traktuojant kaip faktorių </w:t>
      </w:r>
    </w:p>
    <w:p w14:paraId="0D254EB0" w14:textId="77777777" w:rsidR="00823785" w:rsidRPr="00452D62" w:rsidRDefault="00823785" w:rsidP="00823785">
      <w:pPr>
        <w:tabs>
          <w:tab w:val="clear" w:pos="567"/>
        </w:tabs>
        <w:suppressAutoHyphens w:val="0"/>
        <w:autoSpaceDE w:val="0"/>
        <w:autoSpaceDN w:val="0"/>
        <w:adjustRightInd w:val="0"/>
        <w:spacing w:line="240" w:lineRule="auto"/>
        <w:ind w:right="-20"/>
        <w:rPr>
          <w:sz w:val="22"/>
          <w:szCs w:val="22"/>
        </w:rPr>
      </w:pPr>
      <w:r w:rsidRPr="00452D62">
        <w:rPr>
          <w:sz w:val="22"/>
          <w:szCs w:val="22"/>
        </w:rPr>
        <w:t xml:space="preserve">f) Ūminė galūnės išemija apibūdinama kaip staiga reikšmingai pablogėjusi galūnės perfuzija, kai naujai nustatomas pulso nebuvimas arba būtina terapinė intervencija (t. y. trombolizė, trombektomija arba skubi revaskuliarizacija), dėl kurių reikalinga hospitalizacija </w:t>
      </w:r>
    </w:p>
    <w:p w14:paraId="6B48728D" w14:textId="77777777" w:rsidR="00823785" w:rsidRPr="00452D62" w:rsidRDefault="00823785" w:rsidP="00823785">
      <w:pPr>
        <w:tabs>
          <w:tab w:val="clear" w:pos="567"/>
        </w:tabs>
        <w:suppressAutoHyphens w:val="0"/>
        <w:autoSpaceDE w:val="0"/>
        <w:autoSpaceDN w:val="0"/>
        <w:adjustRightInd w:val="0"/>
        <w:spacing w:line="240" w:lineRule="auto"/>
        <w:ind w:right="-20"/>
        <w:rPr>
          <w:sz w:val="22"/>
          <w:szCs w:val="22"/>
        </w:rPr>
      </w:pPr>
      <w:r w:rsidRPr="00452D62">
        <w:rPr>
          <w:sz w:val="22"/>
          <w:szCs w:val="22"/>
        </w:rPr>
        <w:t xml:space="preserve">* Veiksmingumo baigties sumažėjimas buvo statistiškai pranašesnis </w:t>
      </w:r>
    </w:p>
    <w:p w14:paraId="555F8967" w14:textId="77777777" w:rsidR="00823785" w:rsidRPr="00452D62" w:rsidRDefault="00823785" w:rsidP="00823785">
      <w:pPr>
        <w:tabs>
          <w:tab w:val="clear" w:pos="567"/>
        </w:tabs>
        <w:suppressAutoHyphens w:val="0"/>
        <w:autoSpaceDE w:val="0"/>
        <w:autoSpaceDN w:val="0"/>
        <w:adjustRightInd w:val="0"/>
        <w:spacing w:line="240" w:lineRule="auto"/>
        <w:ind w:right="-20"/>
        <w:rPr>
          <w:sz w:val="22"/>
          <w:szCs w:val="22"/>
        </w:rPr>
      </w:pPr>
      <w:r w:rsidRPr="00452D62">
        <w:rPr>
          <w:sz w:val="22"/>
          <w:szCs w:val="22"/>
        </w:rPr>
        <w:t>ŪGI: ūminė galūnės išemija; DKP: du kartus per parą; VKP: vieną kartą per parą; PI: pasikliautinasis intervalas; MI: miokardo infarktas; ŠKL: širdies ir kraujagyslių ligos; NKBVK: Nepriklausomas klinikinių baigčių vertinimo komitetas</w:t>
      </w:r>
    </w:p>
    <w:p w14:paraId="4D2709C3" w14:textId="77777777" w:rsidR="00823785" w:rsidRPr="00452D62" w:rsidRDefault="00823785" w:rsidP="00823785">
      <w:pPr>
        <w:tabs>
          <w:tab w:val="clear" w:pos="567"/>
        </w:tabs>
        <w:suppressAutoHyphens w:val="0"/>
        <w:autoSpaceDE w:val="0"/>
        <w:autoSpaceDN w:val="0"/>
        <w:adjustRightInd w:val="0"/>
        <w:spacing w:line="240" w:lineRule="auto"/>
        <w:ind w:right="-20"/>
        <w:rPr>
          <w:sz w:val="22"/>
          <w:szCs w:val="22"/>
        </w:rPr>
      </w:pPr>
    </w:p>
    <w:p w14:paraId="6DAE5368" w14:textId="77777777" w:rsidR="00823785" w:rsidRPr="00452D62" w:rsidRDefault="00823785" w:rsidP="00823785">
      <w:pPr>
        <w:widowControl w:val="0"/>
        <w:rPr>
          <w:rFonts w:eastAsia="Calibri"/>
          <w:b/>
          <w:sz w:val="22"/>
          <w:szCs w:val="22"/>
        </w:rPr>
      </w:pPr>
      <w:r w:rsidRPr="00452D62">
        <w:rPr>
          <w:rFonts w:eastAsia="Calibri"/>
          <w:b/>
          <w:sz w:val="22"/>
          <w:szCs w:val="22"/>
        </w:rPr>
        <w:t>10 lentelė. III fazės tyrimo VOYAGER PAD saugumo rezultatai</w:t>
      </w:r>
    </w:p>
    <w:tbl>
      <w:tblPr>
        <w:tblW w:w="9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40"/>
        <w:gridCol w:w="2695"/>
        <w:gridCol w:w="2127"/>
        <w:gridCol w:w="1766"/>
      </w:tblGrid>
      <w:tr w:rsidR="00823785" w:rsidRPr="00452D62" w14:paraId="62275B9C" w14:textId="77777777" w:rsidTr="006453B9">
        <w:tc>
          <w:tcPr>
            <w:tcW w:w="1543" w:type="pct"/>
            <w:shd w:val="clear" w:color="auto" w:fill="auto"/>
            <w:hideMark/>
          </w:tcPr>
          <w:p w14:paraId="53C2A741" w14:textId="77777777" w:rsidR="00823785" w:rsidRPr="00452D62" w:rsidRDefault="00823785" w:rsidP="006453B9">
            <w:pPr>
              <w:widowControl w:val="0"/>
              <w:rPr>
                <w:rFonts w:eastAsia="Calibri"/>
                <w:b/>
                <w:sz w:val="22"/>
                <w:szCs w:val="22"/>
              </w:rPr>
            </w:pPr>
            <w:r w:rsidRPr="00452D62">
              <w:rPr>
                <w:rFonts w:eastAsia="Calibri"/>
                <w:b/>
                <w:bCs/>
                <w:sz w:val="22"/>
                <w:szCs w:val="22"/>
              </w:rPr>
              <w:t>Tyrimo populiacija</w:t>
            </w:r>
          </w:p>
        </w:tc>
        <w:tc>
          <w:tcPr>
            <w:tcW w:w="3457" w:type="pct"/>
            <w:gridSpan w:val="3"/>
            <w:shd w:val="clear" w:color="auto" w:fill="auto"/>
            <w:hideMark/>
          </w:tcPr>
          <w:p w14:paraId="6D9746CC" w14:textId="77777777" w:rsidR="00823785" w:rsidRPr="00452D62" w:rsidRDefault="00823785" w:rsidP="006453B9">
            <w:pPr>
              <w:widowControl w:val="0"/>
              <w:rPr>
                <w:rFonts w:eastAsia="Calibri"/>
                <w:b/>
                <w:sz w:val="22"/>
                <w:szCs w:val="22"/>
              </w:rPr>
            </w:pPr>
            <w:r w:rsidRPr="00452D62">
              <w:rPr>
                <w:rFonts w:eastAsia="Calibri"/>
                <w:b/>
                <w:sz w:val="22"/>
                <w:szCs w:val="22"/>
              </w:rPr>
              <w:t>Pacientai, kuriems dėl simptominės PAL neseniai atlikta apatinės</w:t>
            </w:r>
          </w:p>
          <w:p w14:paraId="5F83E64F" w14:textId="77777777" w:rsidR="00823785" w:rsidRPr="00452D62" w:rsidRDefault="00823785" w:rsidP="006453B9">
            <w:pPr>
              <w:widowControl w:val="0"/>
              <w:rPr>
                <w:rFonts w:eastAsia="Calibri"/>
                <w:b/>
                <w:sz w:val="22"/>
                <w:szCs w:val="22"/>
              </w:rPr>
            </w:pPr>
            <w:r w:rsidRPr="00452D62">
              <w:rPr>
                <w:rFonts w:eastAsia="Calibri"/>
                <w:b/>
                <w:sz w:val="22"/>
                <w:szCs w:val="22"/>
              </w:rPr>
              <w:t>galūnės revaskuliarizacijos procedūra</w:t>
            </w:r>
            <w:r w:rsidRPr="00452D62">
              <w:rPr>
                <w:rFonts w:eastAsia="Calibri"/>
                <w:b/>
                <w:bCs/>
                <w:sz w:val="22"/>
                <w:szCs w:val="22"/>
                <w:vertAlign w:val="superscript"/>
              </w:rPr>
              <w:t>a)</w:t>
            </w:r>
          </w:p>
        </w:tc>
      </w:tr>
      <w:tr w:rsidR="00823785" w:rsidRPr="00452D62" w14:paraId="0D43C771" w14:textId="77777777" w:rsidTr="006453B9">
        <w:tc>
          <w:tcPr>
            <w:tcW w:w="1543" w:type="pct"/>
            <w:shd w:val="clear" w:color="auto" w:fill="auto"/>
            <w:hideMark/>
          </w:tcPr>
          <w:p w14:paraId="1AF253A1" w14:textId="77777777" w:rsidR="00823785" w:rsidRPr="00452D62" w:rsidRDefault="00823785" w:rsidP="006453B9">
            <w:pPr>
              <w:widowControl w:val="0"/>
              <w:rPr>
                <w:rFonts w:eastAsia="Calibri"/>
                <w:b/>
                <w:sz w:val="22"/>
                <w:szCs w:val="22"/>
              </w:rPr>
            </w:pPr>
            <w:r w:rsidRPr="00452D62">
              <w:rPr>
                <w:rFonts w:eastAsia="Calibri"/>
                <w:b/>
                <w:bCs/>
                <w:sz w:val="22"/>
                <w:szCs w:val="22"/>
              </w:rPr>
              <w:t>Vaistinių preparatų dozavimas</w:t>
            </w:r>
          </w:p>
        </w:tc>
        <w:tc>
          <w:tcPr>
            <w:tcW w:w="1414" w:type="pct"/>
            <w:shd w:val="clear" w:color="auto" w:fill="auto"/>
            <w:hideMark/>
          </w:tcPr>
          <w:p w14:paraId="5D7F06CD" w14:textId="77777777" w:rsidR="00823785" w:rsidRPr="00452D62" w:rsidRDefault="00823785" w:rsidP="006453B9">
            <w:pPr>
              <w:widowControl w:val="0"/>
              <w:rPr>
                <w:rFonts w:eastAsia="Calibri"/>
                <w:b/>
                <w:sz w:val="22"/>
                <w:szCs w:val="22"/>
              </w:rPr>
            </w:pPr>
            <w:r w:rsidRPr="00452D62">
              <w:rPr>
                <w:rFonts w:eastAsia="Calibri"/>
                <w:b/>
                <w:sz w:val="22"/>
                <w:szCs w:val="22"/>
              </w:rPr>
              <w:t>Rivaroksabanas po 2,5 mg DKP kartu su ASR 100 mg VKP,</w:t>
            </w:r>
          </w:p>
          <w:p w14:paraId="6D34D2F7" w14:textId="312ED0DC" w:rsidR="00823785" w:rsidRPr="00452D62" w:rsidRDefault="00823785" w:rsidP="006453B9">
            <w:pPr>
              <w:widowControl w:val="0"/>
              <w:rPr>
                <w:rFonts w:eastAsia="Calibri"/>
                <w:b/>
                <w:sz w:val="22"/>
                <w:szCs w:val="22"/>
              </w:rPr>
            </w:pPr>
            <w:r w:rsidRPr="00452D62">
              <w:rPr>
                <w:rFonts w:eastAsia="Calibri"/>
                <w:b/>
                <w:sz w:val="22"/>
                <w:szCs w:val="22"/>
              </w:rPr>
              <w:t>N = 3</w:t>
            </w:r>
            <w:r w:rsidR="00D66FC3" w:rsidRPr="00452D62">
              <w:rPr>
                <w:rFonts w:eastAsia="Calibri"/>
                <w:b/>
                <w:sz w:val="22"/>
                <w:szCs w:val="22"/>
              </w:rPr>
              <w:t xml:space="preserve"> </w:t>
            </w:r>
            <w:r w:rsidRPr="00452D62">
              <w:rPr>
                <w:rFonts w:eastAsia="Calibri"/>
                <w:b/>
                <w:sz w:val="22"/>
                <w:szCs w:val="22"/>
              </w:rPr>
              <w:t>256</w:t>
            </w:r>
          </w:p>
          <w:p w14:paraId="1E8E4E89" w14:textId="1410ABB0" w:rsidR="00823785" w:rsidRPr="00452D62" w:rsidRDefault="00823785" w:rsidP="006453B9">
            <w:pPr>
              <w:widowControl w:val="0"/>
              <w:rPr>
                <w:rFonts w:eastAsia="Calibri"/>
                <w:b/>
                <w:sz w:val="22"/>
                <w:szCs w:val="22"/>
              </w:rPr>
            </w:pPr>
            <w:r w:rsidRPr="00452D62">
              <w:rPr>
                <w:rFonts w:eastAsia="Calibri"/>
                <w:b/>
                <w:sz w:val="22"/>
                <w:szCs w:val="22"/>
              </w:rPr>
              <w:t>n (NA rizikos %)</w:t>
            </w:r>
            <w:r w:rsidRPr="00452D62">
              <w:rPr>
                <w:rFonts w:eastAsia="Calibri"/>
                <w:b/>
                <w:sz w:val="22"/>
                <w:szCs w:val="22"/>
                <w:vertAlign w:val="superscript"/>
              </w:rPr>
              <w:t>b)</w:t>
            </w:r>
          </w:p>
        </w:tc>
        <w:tc>
          <w:tcPr>
            <w:tcW w:w="1116" w:type="pct"/>
            <w:shd w:val="clear" w:color="auto" w:fill="auto"/>
            <w:hideMark/>
          </w:tcPr>
          <w:p w14:paraId="54679A89" w14:textId="77777777" w:rsidR="00823785" w:rsidRPr="00452D62" w:rsidRDefault="00823785" w:rsidP="006453B9">
            <w:pPr>
              <w:widowControl w:val="0"/>
              <w:rPr>
                <w:rFonts w:eastAsia="Calibri"/>
                <w:b/>
                <w:sz w:val="22"/>
                <w:szCs w:val="22"/>
              </w:rPr>
            </w:pPr>
            <w:r w:rsidRPr="00452D62">
              <w:rPr>
                <w:rFonts w:eastAsia="Calibri"/>
                <w:b/>
                <w:sz w:val="22"/>
                <w:szCs w:val="22"/>
              </w:rPr>
              <w:t>ASR 100 mg VKP</w:t>
            </w:r>
          </w:p>
          <w:p w14:paraId="25A05F86" w14:textId="77777777" w:rsidR="00823785" w:rsidRPr="00452D62" w:rsidRDefault="00823785" w:rsidP="006453B9">
            <w:pPr>
              <w:widowControl w:val="0"/>
              <w:rPr>
                <w:rFonts w:eastAsia="Calibri"/>
                <w:b/>
                <w:sz w:val="22"/>
                <w:szCs w:val="22"/>
              </w:rPr>
            </w:pPr>
          </w:p>
          <w:p w14:paraId="147D64C9" w14:textId="77777777" w:rsidR="00823785" w:rsidRPr="00452D62" w:rsidRDefault="00823785" w:rsidP="006453B9">
            <w:pPr>
              <w:widowControl w:val="0"/>
              <w:rPr>
                <w:rFonts w:eastAsia="Calibri"/>
                <w:b/>
                <w:sz w:val="22"/>
                <w:szCs w:val="22"/>
              </w:rPr>
            </w:pPr>
          </w:p>
          <w:p w14:paraId="299022FA" w14:textId="7CD956A2" w:rsidR="00823785" w:rsidRPr="00452D62" w:rsidRDefault="00823785" w:rsidP="006453B9">
            <w:pPr>
              <w:widowControl w:val="0"/>
              <w:rPr>
                <w:rFonts w:eastAsia="Calibri"/>
                <w:b/>
                <w:sz w:val="22"/>
                <w:szCs w:val="22"/>
              </w:rPr>
            </w:pPr>
            <w:r w:rsidRPr="00452D62">
              <w:rPr>
                <w:rFonts w:eastAsia="Calibri"/>
                <w:b/>
                <w:sz w:val="22"/>
                <w:szCs w:val="22"/>
              </w:rPr>
              <w:t>N = 3</w:t>
            </w:r>
            <w:r w:rsidR="00D66FC3" w:rsidRPr="00452D62">
              <w:rPr>
                <w:rFonts w:eastAsia="Calibri"/>
                <w:b/>
                <w:sz w:val="22"/>
                <w:szCs w:val="22"/>
              </w:rPr>
              <w:t xml:space="preserve"> </w:t>
            </w:r>
            <w:r w:rsidRPr="00452D62">
              <w:rPr>
                <w:rFonts w:eastAsia="Calibri"/>
                <w:b/>
                <w:sz w:val="22"/>
                <w:szCs w:val="22"/>
              </w:rPr>
              <w:t>248</w:t>
            </w:r>
          </w:p>
          <w:p w14:paraId="199A8DE4" w14:textId="5E973CC0" w:rsidR="00823785" w:rsidRPr="00452D62" w:rsidRDefault="00823785" w:rsidP="006453B9">
            <w:pPr>
              <w:widowControl w:val="0"/>
              <w:rPr>
                <w:rFonts w:eastAsia="Calibri"/>
                <w:b/>
                <w:sz w:val="22"/>
                <w:szCs w:val="22"/>
              </w:rPr>
            </w:pPr>
            <w:r w:rsidRPr="00452D62">
              <w:rPr>
                <w:rFonts w:eastAsia="Calibri"/>
                <w:b/>
                <w:sz w:val="22"/>
                <w:szCs w:val="22"/>
              </w:rPr>
              <w:t>n (NA rizikos %)</w:t>
            </w:r>
            <w:r w:rsidRPr="00452D62">
              <w:rPr>
                <w:rFonts w:eastAsia="Calibri"/>
                <w:b/>
                <w:sz w:val="22"/>
                <w:szCs w:val="22"/>
                <w:vertAlign w:val="superscript"/>
              </w:rPr>
              <w:t>b)</w:t>
            </w:r>
          </w:p>
        </w:tc>
        <w:tc>
          <w:tcPr>
            <w:tcW w:w="927" w:type="pct"/>
            <w:shd w:val="clear" w:color="auto" w:fill="auto"/>
            <w:hideMark/>
          </w:tcPr>
          <w:p w14:paraId="594218BA" w14:textId="77777777" w:rsidR="00823785" w:rsidRPr="00452D62" w:rsidRDefault="00823785" w:rsidP="006453B9">
            <w:pPr>
              <w:widowControl w:val="0"/>
              <w:rPr>
                <w:rFonts w:eastAsia="Calibri"/>
                <w:b/>
                <w:sz w:val="22"/>
                <w:szCs w:val="22"/>
              </w:rPr>
            </w:pPr>
            <w:r w:rsidRPr="00452D62">
              <w:rPr>
                <w:rFonts w:eastAsia="Calibri"/>
                <w:b/>
                <w:sz w:val="22"/>
                <w:szCs w:val="22"/>
              </w:rPr>
              <w:t>Rizikos santykis</w:t>
            </w:r>
          </w:p>
          <w:p w14:paraId="57BB7A8D" w14:textId="6B028C55" w:rsidR="00823785" w:rsidRPr="00452D62" w:rsidRDefault="00823785" w:rsidP="006453B9">
            <w:pPr>
              <w:widowControl w:val="0"/>
              <w:rPr>
                <w:rFonts w:eastAsia="Calibri"/>
                <w:b/>
                <w:sz w:val="22"/>
                <w:szCs w:val="22"/>
              </w:rPr>
            </w:pPr>
            <w:r w:rsidRPr="00452D62">
              <w:rPr>
                <w:rFonts w:eastAsia="Calibri"/>
                <w:b/>
                <w:sz w:val="22"/>
                <w:szCs w:val="22"/>
              </w:rPr>
              <w:t xml:space="preserve">(95 % PI) </w:t>
            </w:r>
            <w:r w:rsidRPr="00452D62">
              <w:rPr>
                <w:rFonts w:eastAsia="Calibri"/>
                <w:b/>
                <w:sz w:val="22"/>
                <w:szCs w:val="22"/>
                <w:vertAlign w:val="superscript"/>
              </w:rPr>
              <w:t>c)</w:t>
            </w:r>
          </w:p>
          <w:p w14:paraId="4E594B0A" w14:textId="77777777" w:rsidR="00823785" w:rsidRPr="00452D62" w:rsidRDefault="00823785" w:rsidP="006453B9">
            <w:pPr>
              <w:widowControl w:val="0"/>
              <w:rPr>
                <w:rFonts w:eastAsia="Calibri"/>
                <w:b/>
                <w:sz w:val="22"/>
                <w:szCs w:val="22"/>
              </w:rPr>
            </w:pPr>
          </w:p>
          <w:p w14:paraId="52A093FA" w14:textId="77777777" w:rsidR="00823785" w:rsidRPr="00452D62" w:rsidRDefault="00823785" w:rsidP="006453B9">
            <w:pPr>
              <w:widowControl w:val="0"/>
              <w:rPr>
                <w:rFonts w:eastAsia="Calibri"/>
                <w:b/>
                <w:sz w:val="22"/>
                <w:szCs w:val="22"/>
              </w:rPr>
            </w:pPr>
            <w:r w:rsidRPr="00452D62">
              <w:rPr>
                <w:rFonts w:eastAsia="Calibri"/>
                <w:b/>
                <w:sz w:val="22"/>
                <w:szCs w:val="22"/>
              </w:rPr>
              <w:t>p vertė</w:t>
            </w:r>
            <w:r w:rsidRPr="00452D62">
              <w:rPr>
                <w:rFonts w:eastAsia="Calibri"/>
                <w:sz w:val="22"/>
                <w:szCs w:val="22"/>
                <w:vertAlign w:val="superscript"/>
              </w:rPr>
              <w:t>d)</w:t>
            </w:r>
          </w:p>
          <w:p w14:paraId="7559B363" w14:textId="77777777" w:rsidR="00823785" w:rsidRPr="00452D62" w:rsidRDefault="00823785" w:rsidP="006453B9">
            <w:pPr>
              <w:widowControl w:val="0"/>
              <w:rPr>
                <w:rFonts w:eastAsia="Calibri"/>
                <w:b/>
                <w:sz w:val="22"/>
                <w:szCs w:val="22"/>
              </w:rPr>
            </w:pPr>
          </w:p>
        </w:tc>
      </w:tr>
      <w:tr w:rsidR="00823785" w:rsidRPr="00452D62" w14:paraId="4D947363" w14:textId="77777777" w:rsidTr="006453B9">
        <w:tc>
          <w:tcPr>
            <w:tcW w:w="1543" w:type="pct"/>
            <w:shd w:val="clear" w:color="auto" w:fill="auto"/>
          </w:tcPr>
          <w:p w14:paraId="7C46F1DE" w14:textId="77777777" w:rsidR="00823785" w:rsidRPr="00452D62" w:rsidRDefault="00823785" w:rsidP="006453B9">
            <w:pPr>
              <w:widowControl w:val="0"/>
              <w:rPr>
                <w:rFonts w:eastAsia="Calibri"/>
                <w:sz w:val="22"/>
                <w:szCs w:val="22"/>
              </w:rPr>
            </w:pPr>
            <w:r w:rsidRPr="00452D62">
              <w:rPr>
                <w:rFonts w:eastAsia="Calibri"/>
                <w:sz w:val="22"/>
                <w:szCs w:val="22"/>
              </w:rPr>
              <w:t>TIMI didysis kraujavimas</w:t>
            </w:r>
          </w:p>
          <w:p w14:paraId="48B9DE37" w14:textId="77777777" w:rsidR="00823785" w:rsidRPr="00452D62" w:rsidRDefault="00823785" w:rsidP="006453B9">
            <w:pPr>
              <w:widowControl w:val="0"/>
              <w:rPr>
                <w:rFonts w:eastAsia="Calibri"/>
                <w:sz w:val="22"/>
                <w:szCs w:val="22"/>
              </w:rPr>
            </w:pPr>
            <w:r w:rsidRPr="00452D62">
              <w:rPr>
                <w:rFonts w:eastAsia="Calibri"/>
                <w:sz w:val="22"/>
                <w:szCs w:val="22"/>
              </w:rPr>
              <w:t>(CABG / ne CABG)</w:t>
            </w:r>
          </w:p>
        </w:tc>
        <w:tc>
          <w:tcPr>
            <w:tcW w:w="1414" w:type="pct"/>
            <w:shd w:val="clear" w:color="auto" w:fill="auto"/>
          </w:tcPr>
          <w:p w14:paraId="1D8EB488" w14:textId="5BCE7903" w:rsidR="00823785" w:rsidRPr="00452D62" w:rsidRDefault="00823785" w:rsidP="006453B9">
            <w:pPr>
              <w:widowControl w:val="0"/>
              <w:rPr>
                <w:rFonts w:eastAsia="Calibri"/>
                <w:b/>
                <w:bCs/>
                <w:sz w:val="22"/>
                <w:szCs w:val="22"/>
              </w:rPr>
            </w:pPr>
            <w:r w:rsidRPr="00452D62">
              <w:rPr>
                <w:rFonts w:eastAsia="Calibri"/>
                <w:sz w:val="22"/>
                <w:szCs w:val="22"/>
              </w:rPr>
              <w:t>62 (1,9 %)</w:t>
            </w:r>
          </w:p>
        </w:tc>
        <w:tc>
          <w:tcPr>
            <w:tcW w:w="1116" w:type="pct"/>
            <w:shd w:val="clear" w:color="auto" w:fill="auto"/>
          </w:tcPr>
          <w:p w14:paraId="06B08300" w14:textId="1B0543BB" w:rsidR="00823785" w:rsidRPr="00452D62" w:rsidRDefault="00823785" w:rsidP="006453B9">
            <w:pPr>
              <w:widowControl w:val="0"/>
              <w:rPr>
                <w:rFonts w:eastAsia="Calibri"/>
                <w:b/>
                <w:bCs/>
                <w:sz w:val="22"/>
                <w:szCs w:val="22"/>
              </w:rPr>
            </w:pPr>
            <w:r w:rsidRPr="00452D62">
              <w:rPr>
                <w:rFonts w:eastAsia="Calibri"/>
                <w:sz w:val="22"/>
                <w:szCs w:val="22"/>
              </w:rPr>
              <w:t>44 (1,4 %)</w:t>
            </w:r>
          </w:p>
        </w:tc>
        <w:tc>
          <w:tcPr>
            <w:tcW w:w="927" w:type="pct"/>
            <w:shd w:val="clear" w:color="auto" w:fill="auto"/>
          </w:tcPr>
          <w:p w14:paraId="3C9E5651" w14:textId="77777777" w:rsidR="00823785" w:rsidRPr="00452D62" w:rsidRDefault="00823785" w:rsidP="006453B9">
            <w:pPr>
              <w:widowControl w:val="0"/>
              <w:rPr>
                <w:rFonts w:eastAsia="Calibri"/>
                <w:sz w:val="22"/>
                <w:szCs w:val="22"/>
              </w:rPr>
            </w:pPr>
            <w:r w:rsidRPr="00452D62">
              <w:rPr>
                <w:rFonts w:eastAsia="Calibri"/>
                <w:sz w:val="22"/>
                <w:szCs w:val="22"/>
              </w:rPr>
              <w:t>1,43 (0,97;2,10)</w:t>
            </w:r>
          </w:p>
          <w:p w14:paraId="21622790" w14:textId="77777777" w:rsidR="00823785" w:rsidRPr="00452D62" w:rsidRDefault="00823785" w:rsidP="006453B9">
            <w:pPr>
              <w:widowControl w:val="0"/>
              <w:rPr>
                <w:rFonts w:eastAsia="Calibri"/>
                <w:sz w:val="22"/>
                <w:szCs w:val="22"/>
              </w:rPr>
            </w:pPr>
            <w:r w:rsidRPr="00452D62">
              <w:rPr>
                <w:rFonts w:eastAsia="Calibri"/>
                <w:sz w:val="22"/>
                <w:szCs w:val="22"/>
              </w:rPr>
              <w:t>p = 0,0695</w:t>
            </w:r>
          </w:p>
        </w:tc>
      </w:tr>
      <w:tr w:rsidR="00823785" w:rsidRPr="00452D62" w14:paraId="4694A944" w14:textId="77777777" w:rsidTr="006453B9">
        <w:tc>
          <w:tcPr>
            <w:tcW w:w="1543" w:type="pct"/>
            <w:shd w:val="clear" w:color="auto" w:fill="auto"/>
          </w:tcPr>
          <w:p w14:paraId="531B8005" w14:textId="77777777" w:rsidR="00823785" w:rsidRPr="00452D62" w:rsidRDefault="00823785" w:rsidP="006453B9">
            <w:pPr>
              <w:widowControl w:val="0"/>
              <w:ind w:left="142"/>
              <w:rPr>
                <w:rFonts w:eastAsia="Calibri"/>
                <w:sz w:val="22"/>
                <w:szCs w:val="22"/>
              </w:rPr>
            </w:pPr>
            <w:r w:rsidRPr="00452D62">
              <w:rPr>
                <w:rFonts w:eastAsia="Calibri"/>
                <w:sz w:val="22"/>
                <w:szCs w:val="22"/>
              </w:rPr>
              <w:t>- Mirtinas kraujavimas</w:t>
            </w:r>
          </w:p>
        </w:tc>
        <w:tc>
          <w:tcPr>
            <w:tcW w:w="1414" w:type="pct"/>
            <w:shd w:val="clear" w:color="auto" w:fill="auto"/>
          </w:tcPr>
          <w:p w14:paraId="610B1E99" w14:textId="34041608" w:rsidR="00823785" w:rsidRPr="00452D62" w:rsidRDefault="00823785" w:rsidP="006453B9">
            <w:pPr>
              <w:widowControl w:val="0"/>
              <w:rPr>
                <w:rFonts w:eastAsia="Calibri"/>
                <w:b/>
                <w:bCs/>
                <w:sz w:val="22"/>
                <w:szCs w:val="22"/>
              </w:rPr>
            </w:pPr>
            <w:r w:rsidRPr="00452D62">
              <w:rPr>
                <w:rFonts w:eastAsia="Calibri"/>
                <w:sz w:val="22"/>
                <w:szCs w:val="22"/>
              </w:rPr>
              <w:t>6 (0,2 %)</w:t>
            </w:r>
          </w:p>
        </w:tc>
        <w:tc>
          <w:tcPr>
            <w:tcW w:w="1116" w:type="pct"/>
            <w:shd w:val="clear" w:color="auto" w:fill="auto"/>
          </w:tcPr>
          <w:p w14:paraId="02A1CB2C" w14:textId="1BCDF41F" w:rsidR="00823785" w:rsidRPr="00452D62" w:rsidRDefault="00823785" w:rsidP="006453B9">
            <w:pPr>
              <w:widowControl w:val="0"/>
              <w:rPr>
                <w:rFonts w:eastAsia="Calibri"/>
                <w:b/>
                <w:bCs/>
                <w:sz w:val="22"/>
                <w:szCs w:val="22"/>
              </w:rPr>
            </w:pPr>
            <w:r w:rsidRPr="00452D62">
              <w:rPr>
                <w:rFonts w:eastAsia="Calibri"/>
                <w:sz w:val="22"/>
                <w:szCs w:val="22"/>
              </w:rPr>
              <w:t>6 (0,2 %)</w:t>
            </w:r>
          </w:p>
        </w:tc>
        <w:tc>
          <w:tcPr>
            <w:tcW w:w="927" w:type="pct"/>
            <w:shd w:val="clear" w:color="auto" w:fill="auto"/>
          </w:tcPr>
          <w:p w14:paraId="13FC0691" w14:textId="77777777" w:rsidR="00823785" w:rsidRPr="00452D62" w:rsidRDefault="00823785" w:rsidP="006453B9">
            <w:pPr>
              <w:widowControl w:val="0"/>
              <w:rPr>
                <w:rFonts w:eastAsia="Calibri"/>
                <w:sz w:val="22"/>
                <w:szCs w:val="22"/>
              </w:rPr>
            </w:pPr>
            <w:r w:rsidRPr="00452D62">
              <w:rPr>
                <w:rFonts w:eastAsia="Calibri"/>
                <w:sz w:val="22"/>
                <w:szCs w:val="22"/>
              </w:rPr>
              <w:t>1,02 (0,33;3,15)</w:t>
            </w:r>
          </w:p>
        </w:tc>
      </w:tr>
      <w:tr w:rsidR="00823785" w:rsidRPr="00452D62" w14:paraId="51E92C05" w14:textId="77777777" w:rsidTr="006453B9">
        <w:tc>
          <w:tcPr>
            <w:tcW w:w="1543" w:type="pct"/>
            <w:shd w:val="clear" w:color="auto" w:fill="auto"/>
          </w:tcPr>
          <w:p w14:paraId="502E7636" w14:textId="77777777" w:rsidR="00823785" w:rsidRPr="00452D62" w:rsidRDefault="00823785" w:rsidP="006453B9">
            <w:pPr>
              <w:widowControl w:val="0"/>
              <w:ind w:left="142"/>
              <w:rPr>
                <w:rFonts w:eastAsia="Calibri"/>
                <w:sz w:val="22"/>
                <w:szCs w:val="22"/>
              </w:rPr>
            </w:pPr>
            <w:r w:rsidRPr="00452D62">
              <w:rPr>
                <w:rFonts w:eastAsia="Calibri"/>
                <w:sz w:val="22"/>
                <w:szCs w:val="22"/>
              </w:rPr>
              <w:t>- Intrakranijinis kraujavimas</w:t>
            </w:r>
          </w:p>
        </w:tc>
        <w:tc>
          <w:tcPr>
            <w:tcW w:w="1414" w:type="pct"/>
            <w:shd w:val="clear" w:color="auto" w:fill="auto"/>
          </w:tcPr>
          <w:p w14:paraId="2179CDA9" w14:textId="471AFA1D" w:rsidR="00823785" w:rsidRPr="00452D62" w:rsidRDefault="00823785" w:rsidP="006453B9">
            <w:pPr>
              <w:widowControl w:val="0"/>
              <w:rPr>
                <w:rFonts w:eastAsia="Calibri"/>
                <w:b/>
                <w:bCs/>
                <w:sz w:val="22"/>
                <w:szCs w:val="22"/>
              </w:rPr>
            </w:pPr>
            <w:r w:rsidRPr="00452D62">
              <w:rPr>
                <w:rFonts w:eastAsia="Calibri"/>
                <w:sz w:val="22"/>
                <w:szCs w:val="22"/>
              </w:rPr>
              <w:t>13 (0,4 %)</w:t>
            </w:r>
          </w:p>
        </w:tc>
        <w:tc>
          <w:tcPr>
            <w:tcW w:w="1116" w:type="pct"/>
            <w:shd w:val="clear" w:color="auto" w:fill="auto"/>
          </w:tcPr>
          <w:p w14:paraId="58D39047" w14:textId="70FA14DB" w:rsidR="00823785" w:rsidRPr="00452D62" w:rsidRDefault="00823785" w:rsidP="006453B9">
            <w:pPr>
              <w:widowControl w:val="0"/>
              <w:rPr>
                <w:rFonts w:eastAsia="Calibri"/>
                <w:b/>
                <w:bCs/>
                <w:sz w:val="22"/>
                <w:szCs w:val="22"/>
              </w:rPr>
            </w:pPr>
            <w:r w:rsidRPr="00452D62">
              <w:rPr>
                <w:rFonts w:eastAsia="Calibri"/>
                <w:sz w:val="22"/>
                <w:szCs w:val="22"/>
              </w:rPr>
              <w:t>17 (0,5 %)</w:t>
            </w:r>
          </w:p>
        </w:tc>
        <w:tc>
          <w:tcPr>
            <w:tcW w:w="927" w:type="pct"/>
            <w:shd w:val="clear" w:color="auto" w:fill="auto"/>
          </w:tcPr>
          <w:p w14:paraId="4752E35C" w14:textId="77777777" w:rsidR="00823785" w:rsidRPr="00452D62" w:rsidRDefault="00823785" w:rsidP="006453B9">
            <w:pPr>
              <w:widowControl w:val="0"/>
              <w:rPr>
                <w:rFonts w:eastAsia="Calibri"/>
                <w:sz w:val="22"/>
                <w:szCs w:val="22"/>
              </w:rPr>
            </w:pPr>
            <w:r w:rsidRPr="00452D62">
              <w:rPr>
                <w:rFonts w:eastAsia="Calibri"/>
                <w:sz w:val="22"/>
                <w:szCs w:val="22"/>
              </w:rPr>
              <w:t>0,78 (0,38;1,61)</w:t>
            </w:r>
          </w:p>
        </w:tc>
      </w:tr>
      <w:tr w:rsidR="00823785" w:rsidRPr="00452D62" w14:paraId="128A8DCE" w14:textId="77777777" w:rsidTr="006453B9">
        <w:tc>
          <w:tcPr>
            <w:tcW w:w="1543" w:type="pct"/>
            <w:shd w:val="clear" w:color="auto" w:fill="auto"/>
          </w:tcPr>
          <w:p w14:paraId="794A8F5C" w14:textId="44FF0C18" w:rsidR="00823785" w:rsidRPr="00452D62" w:rsidRDefault="00823785" w:rsidP="006453B9">
            <w:pPr>
              <w:widowControl w:val="0"/>
              <w:ind w:left="164"/>
              <w:rPr>
                <w:rFonts w:eastAsia="Calibri"/>
                <w:sz w:val="22"/>
                <w:szCs w:val="22"/>
              </w:rPr>
            </w:pPr>
            <w:r w:rsidRPr="00452D62">
              <w:rPr>
                <w:rFonts w:eastAsia="Calibri"/>
                <w:sz w:val="22"/>
                <w:szCs w:val="22"/>
              </w:rPr>
              <w:t>- Atviras kraujavimas, susijęs su staigiai sumažėjusiu Hb ≥ 5 g/dl / Hkt ≥ 15 %</w:t>
            </w:r>
          </w:p>
        </w:tc>
        <w:tc>
          <w:tcPr>
            <w:tcW w:w="1414" w:type="pct"/>
            <w:shd w:val="clear" w:color="auto" w:fill="auto"/>
          </w:tcPr>
          <w:p w14:paraId="3C6AAA91" w14:textId="077FDC59" w:rsidR="00823785" w:rsidRPr="00452D62" w:rsidRDefault="00823785" w:rsidP="006453B9">
            <w:pPr>
              <w:widowControl w:val="0"/>
              <w:rPr>
                <w:rFonts w:eastAsia="Calibri"/>
                <w:b/>
                <w:bCs/>
                <w:sz w:val="22"/>
                <w:szCs w:val="22"/>
              </w:rPr>
            </w:pPr>
            <w:r w:rsidRPr="00452D62">
              <w:rPr>
                <w:rFonts w:eastAsia="Calibri"/>
                <w:sz w:val="22"/>
                <w:szCs w:val="22"/>
              </w:rPr>
              <w:t>46 (1,4 %)</w:t>
            </w:r>
          </w:p>
        </w:tc>
        <w:tc>
          <w:tcPr>
            <w:tcW w:w="1116" w:type="pct"/>
            <w:shd w:val="clear" w:color="auto" w:fill="auto"/>
          </w:tcPr>
          <w:p w14:paraId="631E571D" w14:textId="4F34FDD3" w:rsidR="00823785" w:rsidRPr="00452D62" w:rsidRDefault="00823785" w:rsidP="006453B9">
            <w:pPr>
              <w:widowControl w:val="0"/>
              <w:rPr>
                <w:rFonts w:eastAsia="Calibri"/>
                <w:b/>
                <w:bCs/>
                <w:sz w:val="22"/>
                <w:szCs w:val="22"/>
              </w:rPr>
            </w:pPr>
            <w:r w:rsidRPr="00452D62">
              <w:rPr>
                <w:rFonts w:eastAsia="Calibri"/>
                <w:sz w:val="22"/>
                <w:szCs w:val="22"/>
              </w:rPr>
              <w:t>24 (0,7 %)</w:t>
            </w:r>
          </w:p>
        </w:tc>
        <w:tc>
          <w:tcPr>
            <w:tcW w:w="927" w:type="pct"/>
            <w:shd w:val="clear" w:color="auto" w:fill="auto"/>
          </w:tcPr>
          <w:p w14:paraId="1E00D698" w14:textId="77777777" w:rsidR="00823785" w:rsidRPr="00452D62" w:rsidRDefault="00823785" w:rsidP="006453B9">
            <w:pPr>
              <w:widowControl w:val="0"/>
              <w:rPr>
                <w:rFonts w:eastAsia="Calibri"/>
                <w:sz w:val="22"/>
                <w:szCs w:val="22"/>
              </w:rPr>
            </w:pPr>
            <w:r w:rsidRPr="00452D62">
              <w:rPr>
                <w:rFonts w:eastAsia="Calibri"/>
                <w:sz w:val="22"/>
                <w:szCs w:val="22"/>
              </w:rPr>
              <w:t>1,94 (1,18;3,17)</w:t>
            </w:r>
          </w:p>
          <w:p w14:paraId="21353DA4" w14:textId="77777777" w:rsidR="00823785" w:rsidRPr="00452D62" w:rsidRDefault="00823785" w:rsidP="006453B9">
            <w:pPr>
              <w:widowControl w:val="0"/>
              <w:rPr>
                <w:rFonts w:eastAsia="Calibri"/>
                <w:sz w:val="22"/>
                <w:szCs w:val="22"/>
              </w:rPr>
            </w:pPr>
          </w:p>
        </w:tc>
      </w:tr>
      <w:tr w:rsidR="00823785" w:rsidRPr="00452D62" w14:paraId="2320A0B2" w14:textId="77777777" w:rsidTr="006453B9">
        <w:tc>
          <w:tcPr>
            <w:tcW w:w="1543" w:type="pct"/>
            <w:shd w:val="clear" w:color="auto" w:fill="auto"/>
          </w:tcPr>
          <w:p w14:paraId="686EC76A" w14:textId="77777777" w:rsidR="00823785" w:rsidRPr="00452D62" w:rsidRDefault="00823785" w:rsidP="006453B9">
            <w:pPr>
              <w:widowControl w:val="0"/>
              <w:ind w:left="142"/>
              <w:rPr>
                <w:rFonts w:eastAsia="Calibri"/>
                <w:sz w:val="22"/>
                <w:szCs w:val="22"/>
              </w:rPr>
            </w:pPr>
            <w:r w:rsidRPr="00452D62">
              <w:rPr>
                <w:rFonts w:eastAsia="Calibri"/>
                <w:sz w:val="22"/>
                <w:szCs w:val="22"/>
              </w:rPr>
              <w:t>ISTH didysis kraujavimas</w:t>
            </w:r>
          </w:p>
        </w:tc>
        <w:tc>
          <w:tcPr>
            <w:tcW w:w="1414" w:type="pct"/>
            <w:shd w:val="clear" w:color="auto" w:fill="auto"/>
          </w:tcPr>
          <w:p w14:paraId="7CE51475" w14:textId="3EFA6A09" w:rsidR="00823785" w:rsidRPr="00452D62" w:rsidRDefault="00823785" w:rsidP="006453B9">
            <w:pPr>
              <w:widowControl w:val="0"/>
              <w:rPr>
                <w:rFonts w:eastAsia="Calibri"/>
                <w:b/>
                <w:bCs/>
                <w:sz w:val="22"/>
                <w:szCs w:val="22"/>
              </w:rPr>
            </w:pPr>
            <w:r w:rsidRPr="00452D62">
              <w:rPr>
                <w:rFonts w:eastAsia="Calibri"/>
                <w:sz w:val="22"/>
                <w:szCs w:val="22"/>
              </w:rPr>
              <w:t>140 (4,3 %)</w:t>
            </w:r>
          </w:p>
        </w:tc>
        <w:tc>
          <w:tcPr>
            <w:tcW w:w="1116" w:type="pct"/>
            <w:shd w:val="clear" w:color="auto" w:fill="auto"/>
          </w:tcPr>
          <w:p w14:paraId="7B4EBC5E" w14:textId="27C2A1B4" w:rsidR="00823785" w:rsidRPr="00452D62" w:rsidRDefault="00823785" w:rsidP="006453B9">
            <w:pPr>
              <w:widowControl w:val="0"/>
              <w:rPr>
                <w:rFonts w:eastAsia="Calibri"/>
                <w:b/>
                <w:bCs/>
                <w:sz w:val="22"/>
                <w:szCs w:val="22"/>
              </w:rPr>
            </w:pPr>
            <w:r w:rsidRPr="00452D62">
              <w:rPr>
                <w:rFonts w:eastAsia="Calibri"/>
                <w:sz w:val="22"/>
                <w:szCs w:val="22"/>
              </w:rPr>
              <w:t>100 (3,1 %)</w:t>
            </w:r>
          </w:p>
        </w:tc>
        <w:tc>
          <w:tcPr>
            <w:tcW w:w="927" w:type="pct"/>
            <w:shd w:val="clear" w:color="auto" w:fill="auto"/>
          </w:tcPr>
          <w:p w14:paraId="169D69B2" w14:textId="77777777" w:rsidR="00823785" w:rsidRPr="00452D62" w:rsidRDefault="00823785" w:rsidP="006453B9">
            <w:pPr>
              <w:widowControl w:val="0"/>
              <w:rPr>
                <w:rFonts w:eastAsia="Calibri"/>
                <w:sz w:val="22"/>
                <w:szCs w:val="22"/>
              </w:rPr>
            </w:pPr>
            <w:r w:rsidRPr="00452D62">
              <w:rPr>
                <w:rFonts w:eastAsia="Calibri"/>
                <w:sz w:val="22"/>
                <w:szCs w:val="22"/>
              </w:rPr>
              <w:t>1,42 (1,10;1,84)</w:t>
            </w:r>
          </w:p>
          <w:p w14:paraId="2FEC9BC5" w14:textId="77777777" w:rsidR="00823785" w:rsidRPr="00452D62" w:rsidRDefault="00823785" w:rsidP="006453B9">
            <w:pPr>
              <w:widowControl w:val="0"/>
              <w:rPr>
                <w:rFonts w:eastAsia="Calibri"/>
                <w:sz w:val="22"/>
                <w:szCs w:val="22"/>
              </w:rPr>
            </w:pPr>
            <w:r w:rsidRPr="00452D62">
              <w:rPr>
                <w:rFonts w:eastAsia="Calibri"/>
                <w:sz w:val="22"/>
                <w:szCs w:val="22"/>
              </w:rPr>
              <w:t>p = 0,0068</w:t>
            </w:r>
          </w:p>
        </w:tc>
      </w:tr>
      <w:tr w:rsidR="00823785" w:rsidRPr="00452D62" w14:paraId="1447F769" w14:textId="77777777" w:rsidTr="006453B9">
        <w:tc>
          <w:tcPr>
            <w:tcW w:w="1543" w:type="pct"/>
            <w:shd w:val="clear" w:color="auto" w:fill="auto"/>
          </w:tcPr>
          <w:p w14:paraId="35C1951F" w14:textId="77777777" w:rsidR="00823785" w:rsidRPr="00452D62" w:rsidRDefault="00823785" w:rsidP="006453B9">
            <w:pPr>
              <w:widowControl w:val="0"/>
              <w:ind w:left="142"/>
              <w:rPr>
                <w:rFonts w:eastAsia="Calibri"/>
                <w:sz w:val="22"/>
                <w:szCs w:val="22"/>
              </w:rPr>
            </w:pPr>
            <w:r w:rsidRPr="00452D62">
              <w:rPr>
                <w:rFonts w:eastAsia="Calibri"/>
                <w:sz w:val="22"/>
                <w:szCs w:val="22"/>
              </w:rPr>
              <w:t>- Mirtinas kraujavimas</w:t>
            </w:r>
          </w:p>
        </w:tc>
        <w:tc>
          <w:tcPr>
            <w:tcW w:w="1414" w:type="pct"/>
            <w:shd w:val="clear" w:color="auto" w:fill="auto"/>
          </w:tcPr>
          <w:p w14:paraId="5E82928A" w14:textId="70C24656" w:rsidR="00823785" w:rsidRPr="00452D62" w:rsidRDefault="00823785" w:rsidP="006453B9">
            <w:pPr>
              <w:widowControl w:val="0"/>
              <w:rPr>
                <w:rFonts w:eastAsia="Calibri"/>
                <w:b/>
                <w:bCs/>
                <w:sz w:val="22"/>
                <w:szCs w:val="22"/>
              </w:rPr>
            </w:pPr>
            <w:r w:rsidRPr="00452D62">
              <w:rPr>
                <w:rFonts w:eastAsia="Calibri"/>
                <w:sz w:val="22"/>
                <w:szCs w:val="22"/>
              </w:rPr>
              <w:t>6 (0,2 %)</w:t>
            </w:r>
          </w:p>
        </w:tc>
        <w:tc>
          <w:tcPr>
            <w:tcW w:w="1116" w:type="pct"/>
            <w:shd w:val="clear" w:color="auto" w:fill="auto"/>
          </w:tcPr>
          <w:p w14:paraId="523C8E86" w14:textId="68114A2D" w:rsidR="00823785" w:rsidRPr="00452D62" w:rsidRDefault="00823785" w:rsidP="006453B9">
            <w:pPr>
              <w:widowControl w:val="0"/>
              <w:rPr>
                <w:rFonts w:eastAsia="Calibri"/>
                <w:b/>
                <w:bCs/>
                <w:sz w:val="22"/>
                <w:szCs w:val="22"/>
              </w:rPr>
            </w:pPr>
            <w:r w:rsidRPr="00452D62">
              <w:rPr>
                <w:rFonts w:eastAsia="Calibri"/>
                <w:sz w:val="22"/>
                <w:szCs w:val="22"/>
              </w:rPr>
              <w:t>8 (0,2 %)</w:t>
            </w:r>
          </w:p>
        </w:tc>
        <w:tc>
          <w:tcPr>
            <w:tcW w:w="927" w:type="pct"/>
            <w:shd w:val="clear" w:color="auto" w:fill="auto"/>
          </w:tcPr>
          <w:p w14:paraId="78349513" w14:textId="77777777" w:rsidR="00823785" w:rsidRPr="00452D62" w:rsidRDefault="00823785" w:rsidP="006453B9">
            <w:pPr>
              <w:widowControl w:val="0"/>
              <w:rPr>
                <w:rFonts w:eastAsia="Calibri"/>
                <w:sz w:val="22"/>
                <w:szCs w:val="22"/>
              </w:rPr>
            </w:pPr>
            <w:r w:rsidRPr="00452D62">
              <w:rPr>
                <w:rFonts w:eastAsia="Calibri"/>
                <w:sz w:val="22"/>
                <w:szCs w:val="22"/>
              </w:rPr>
              <w:t>0,76 (0,26;2,19)</w:t>
            </w:r>
          </w:p>
        </w:tc>
      </w:tr>
      <w:tr w:rsidR="00823785" w:rsidRPr="00452D62" w14:paraId="0F92A23B" w14:textId="77777777" w:rsidTr="006453B9">
        <w:tc>
          <w:tcPr>
            <w:tcW w:w="1543" w:type="pct"/>
            <w:shd w:val="clear" w:color="auto" w:fill="auto"/>
          </w:tcPr>
          <w:p w14:paraId="27EB3436" w14:textId="77777777" w:rsidR="00823785" w:rsidRPr="00452D62" w:rsidRDefault="00823785" w:rsidP="006453B9">
            <w:pPr>
              <w:widowControl w:val="0"/>
              <w:ind w:left="164"/>
              <w:rPr>
                <w:rFonts w:eastAsia="Calibri"/>
                <w:sz w:val="22"/>
                <w:szCs w:val="22"/>
              </w:rPr>
            </w:pPr>
            <w:r w:rsidRPr="00452D62">
              <w:rPr>
                <w:rFonts w:eastAsia="Calibri"/>
                <w:sz w:val="22"/>
                <w:szCs w:val="22"/>
              </w:rPr>
              <w:t>- Ne mirtinas kritinių organų kraujavimas</w:t>
            </w:r>
          </w:p>
        </w:tc>
        <w:tc>
          <w:tcPr>
            <w:tcW w:w="1414" w:type="pct"/>
            <w:shd w:val="clear" w:color="auto" w:fill="auto"/>
          </w:tcPr>
          <w:p w14:paraId="053ED6E2" w14:textId="7A5780C7" w:rsidR="00823785" w:rsidRPr="00452D62" w:rsidRDefault="00823785" w:rsidP="006453B9">
            <w:pPr>
              <w:widowControl w:val="0"/>
              <w:rPr>
                <w:rFonts w:eastAsia="Calibri"/>
                <w:b/>
                <w:bCs/>
                <w:sz w:val="22"/>
                <w:szCs w:val="22"/>
              </w:rPr>
            </w:pPr>
            <w:r w:rsidRPr="00452D62">
              <w:rPr>
                <w:rFonts w:eastAsia="Calibri"/>
                <w:sz w:val="22"/>
                <w:szCs w:val="22"/>
              </w:rPr>
              <w:t>29 (0,9 %)</w:t>
            </w:r>
          </w:p>
        </w:tc>
        <w:tc>
          <w:tcPr>
            <w:tcW w:w="1116" w:type="pct"/>
            <w:shd w:val="clear" w:color="auto" w:fill="auto"/>
          </w:tcPr>
          <w:p w14:paraId="56C658B8" w14:textId="09F449BB" w:rsidR="00823785" w:rsidRPr="00452D62" w:rsidRDefault="00823785" w:rsidP="006453B9">
            <w:pPr>
              <w:widowControl w:val="0"/>
              <w:rPr>
                <w:rFonts w:eastAsia="Calibri"/>
                <w:b/>
                <w:bCs/>
                <w:sz w:val="22"/>
                <w:szCs w:val="22"/>
              </w:rPr>
            </w:pPr>
            <w:r w:rsidRPr="00452D62">
              <w:rPr>
                <w:rFonts w:eastAsia="Calibri"/>
                <w:sz w:val="22"/>
                <w:szCs w:val="22"/>
              </w:rPr>
              <w:t>26 (0,8 %)</w:t>
            </w:r>
          </w:p>
        </w:tc>
        <w:tc>
          <w:tcPr>
            <w:tcW w:w="927" w:type="pct"/>
            <w:shd w:val="clear" w:color="auto" w:fill="auto"/>
          </w:tcPr>
          <w:p w14:paraId="124662AA" w14:textId="77777777" w:rsidR="00823785" w:rsidRPr="00452D62" w:rsidRDefault="00823785" w:rsidP="006453B9">
            <w:pPr>
              <w:widowControl w:val="0"/>
              <w:rPr>
                <w:rFonts w:eastAsia="Calibri"/>
                <w:sz w:val="22"/>
                <w:szCs w:val="22"/>
              </w:rPr>
            </w:pPr>
            <w:r w:rsidRPr="00452D62">
              <w:rPr>
                <w:rFonts w:eastAsia="Calibri"/>
                <w:sz w:val="22"/>
                <w:szCs w:val="22"/>
              </w:rPr>
              <w:t>1,14 (0,67;1,93)</w:t>
            </w:r>
          </w:p>
          <w:p w14:paraId="3143C2BD" w14:textId="77777777" w:rsidR="00823785" w:rsidRPr="00452D62" w:rsidRDefault="00823785" w:rsidP="006453B9">
            <w:pPr>
              <w:widowControl w:val="0"/>
              <w:rPr>
                <w:rFonts w:eastAsia="Calibri"/>
                <w:b/>
                <w:sz w:val="22"/>
                <w:szCs w:val="22"/>
              </w:rPr>
            </w:pPr>
          </w:p>
        </w:tc>
      </w:tr>
      <w:tr w:rsidR="00823785" w:rsidRPr="00452D62" w14:paraId="73064E4D" w14:textId="77777777" w:rsidTr="006453B9">
        <w:tc>
          <w:tcPr>
            <w:tcW w:w="1543" w:type="pct"/>
            <w:shd w:val="clear" w:color="auto" w:fill="auto"/>
          </w:tcPr>
          <w:p w14:paraId="0766758C" w14:textId="77777777" w:rsidR="00823785" w:rsidRPr="00452D62" w:rsidRDefault="00823785" w:rsidP="006453B9">
            <w:pPr>
              <w:widowControl w:val="0"/>
              <w:rPr>
                <w:rFonts w:eastAsia="Calibri"/>
                <w:sz w:val="22"/>
                <w:szCs w:val="22"/>
              </w:rPr>
            </w:pPr>
            <w:r w:rsidRPr="00452D62">
              <w:rPr>
                <w:rFonts w:eastAsia="Calibri"/>
                <w:sz w:val="22"/>
                <w:szCs w:val="22"/>
              </w:rPr>
              <w:t>Pagal ISTH kliniškai reikšmingas ne didysis kraujavimas</w:t>
            </w:r>
          </w:p>
        </w:tc>
        <w:tc>
          <w:tcPr>
            <w:tcW w:w="1414" w:type="pct"/>
            <w:shd w:val="clear" w:color="auto" w:fill="auto"/>
          </w:tcPr>
          <w:p w14:paraId="00B8339C" w14:textId="7BBD5316" w:rsidR="00823785" w:rsidRPr="00452D62" w:rsidRDefault="00823785" w:rsidP="006453B9">
            <w:pPr>
              <w:widowControl w:val="0"/>
              <w:rPr>
                <w:rFonts w:eastAsia="Calibri"/>
                <w:b/>
                <w:bCs/>
                <w:sz w:val="22"/>
                <w:szCs w:val="22"/>
              </w:rPr>
            </w:pPr>
            <w:r w:rsidRPr="00452D62">
              <w:rPr>
                <w:rFonts w:eastAsia="Calibri"/>
                <w:sz w:val="22"/>
                <w:szCs w:val="22"/>
              </w:rPr>
              <w:t>246 (7,6 %)</w:t>
            </w:r>
          </w:p>
        </w:tc>
        <w:tc>
          <w:tcPr>
            <w:tcW w:w="1116" w:type="pct"/>
            <w:shd w:val="clear" w:color="auto" w:fill="auto"/>
          </w:tcPr>
          <w:p w14:paraId="35A0A08B" w14:textId="29297020" w:rsidR="00823785" w:rsidRPr="00452D62" w:rsidRDefault="00823785" w:rsidP="006453B9">
            <w:pPr>
              <w:widowControl w:val="0"/>
              <w:rPr>
                <w:rFonts w:eastAsia="Calibri"/>
                <w:b/>
                <w:bCs/>
                <w:sz w:val="22"/>
                <w:szCs w:val="22"/>
              </w:rPr>
            </w:pPr>
            <w:r w:rsidRPr="00452D62">
              <w:rPr>
                <w:rFonts w:eastAsia="Calibri"/>
                <w:sz w:val="22"/>
                <w:szCs w:val="22"/>
              </w:rPr>
              <w:t>139 (4,3 %)</w:t>
            </w:r>
          </w:p>
        </w:tc>
        <w:tc>
          <w:tcPr>
            <w:tcW w:w="927" w:type="pct"/>
            <w:shd w:val="clear" w:color="auto" w:fill="auto"/>
          </w:tcPr>
          <w:p w14:paraId="6E3BC92A" w14:textId="77777777" w:rsidR="00823785" w:rsidRPr="00452D62" w:rsidRDefault="00823785" w:rsidP="006453B9">
            <w:pPr>
              <w:widowControl w:val="0"/>
              <w:rPr>
                <w:rFonts w:eastAsia="Calibri"/>
                <w:sz w:val="22"/>
                <w:szCs w:val="22"/>
              </w:rPr>
            </w:pPr>
            <w:r w:rsidRPr="00452D62">
              <w:rPr>
                <w:rFonts w:eastAsia="Calibri"/>
                <w:sz w:val="22"/>
                <w:szCs w:val="22"/>
              </w:rPr>
              <w:t>1,81 (1,47;2,23)</w:t>
            </w:r>
          </w:p>
          <w:p w14:paraId="06A13F4E" w14:textId="77777777" w:rsidR="00823785" w:rsidRPr="00452D62" w:rsidRDefault="00823785" w:rsidP="006453B9">
            <w:pPr>
              <w:widowControl w:val="0"/>
              <w:rPr>
                <w:rFonts w:eastAsia="Calibri"/>
                <w:sz w:val="22"/>
                <w:szCs w:val="22"/>
              </w:rPr>
            </w:pPr>
          </w:p>
        </w:tc>
      </w:tr>
    </w:tbl>
    <w:p w14:paraId="53F6DE4D" w14:textId="77777777" w:rsidR="00823785" w:rsidRPr="00452D62" w:rsidRDefault="00823785" w:rsidP="00823785">
      <w:pPr>
        <w:tabs>
          <w:tab w:val="clear" w:pos="567"/>
        </w:tabs>
        <w:suppressAutoHyphens w:val="0"/>
        <w:autoSpaceDE w:val="0"/>
        <w:autoSpaceDN w:val="0"/>
        <w:adjustRightInd w:val="0"/>
        <w:spacing w:line="240" w:lineRule="auto"/>
        <w:ind w:right="-20"/>
        <w:rPr>
          <w:sz w:val="22"/>
          <w:szCs w:val="22"/>
        </w:rPr>
      </w:pPr>
      <w:r w:rsidRPr="00452D62">
        <w:rPr>
          <w:sz w:val="22"/>
          <w:szCs w:val="22"/>
        </w:rPr>
        <w:t xml:space="preserve">a) Saugumo analizės grupė (visi tiriamieji, kurie buvo atrinkti atsitiktinių imčių būdu ir suvartojo bent vieną tiriamųjų vaistinių preparatų dozę), NKBVK: Nepriklausomas klinikinių baigčių vertinimo komitetas </w:t>
      </w:r>
    </w:p>
    <w:p w14:paraId="40BB1367" w14:textId="35BF3C4A" w:rsidR="00823785" w:rsidRPr="00452D62" w:rsidRDefault="00823785" w:rsidP="00823785">
      <w:pPr>
        <w:tabs>
          <w:tab w:val="clear" w:pos="567"/>
        </w:tabs>
        <w:suppressAutoHyphens w:val="0"/>
        <w:autoSpaceDE w:val="0"/>
        <w:autoSpaceDN w:val="0"/>
        <w:adjustRightInd w:val="0"/>
        <w:spacing w:line="240" w:lineRule="auto"/>
        <w:ind w:right="-20"/>
        <w:rPr>
          <w:sz w:val="22"/>
          <w:szCs w:val="22"/>
        </w:rPr>
      </w:pPr>
      <w:r w:rsidRPr="00452D62">
        <w:rPr>
          <w:sz w:val="22"/>
          <w:szCs w:val="22"/>
        </w:rPr>
        <w:t xml:space="preserve">b) n = tiriamųjų, kuriems nustatyti reiškiniai, skaičius, N = tiriamųjų, kuriems buvo rizika, skaičius, % = 100 × n/N, n/100 pacientų metų = tiriamųjų, kuriems nustatyti reiškiniai, skaičiaus ir suminio rizikos laiko santykis </w:t>
      </w:r>
    </w:p>
    <w:p w14:paraId="63E431AE" w14:textId="0478B35C" w:rsidR="00823785" w:rsidRPr="00452D62" w:rsidRDefault="00823785" w:rsidP="00823785">
      <w:pPr>
        <w:tabs>
          <w:tab w:val="clear" w:pos="567"/>
        </w:tabs>
        <w:suppressAutoHyphens w:val="0"/>
        <w:autoSpaceDE w:val="0"/>
        <w:autoSpaceDN w:val="0"/>
        <w:adjustRightInd w:val="0"/>
        <w:spacing w:line="240" w:lineRule="auto"/>
        <w:ind w:right="-20"/>
        <w:rPr>
          <w:sz w:val="22"/>
          <w:szCs w:val="22"/>
        </w:rPr>
      </w:pPr>
      <w:r w:rsidRPr="00452D62">
        <w:rPr>
          <w:sz w:val="22"/>
          <w:szCs w:val="22"/>
        </w:rPr>
        <w:t xml:space="preserve">c) SR (95 % PI) yra pagrįsta Cox proporcingos rizikos modeliu, stratifikuotu pagal procedūros tipą ir klopidogrelio vartojimą, gydymą traktuojant kaip vienintelį kovariantą </w:t>
      </w:r>
    </w:p>
    <w:p w14:paraId="4452C331" w14:textId="77777777" w:rsidR="00823785" w:rsidRPr="00452D62" w:rsidRDefault="00823785" w:rsidP="00823785">
      <w:pPr>
        <w:tabs>
          <w:tab w:val="clear" w:pos="567"/>
        </w:tabs>
        <w:suppressAutoHyphens w:val="0"/>
        <w:autoSpaceDE w:val="0"/>
        <w:autoSpaceDN w:val="0"/>
        <w:adjustRightInd w:val="0"/>
        <w:spacing w:line="240" w:lineRule="auto"/>
        <w:ind w:right="-20"/>
        <w:rPr>
          <w:sz w:val="22"/>
          <w:szCs w:val="22"/>
        </w:rPr>
      </w:pPr>
      <w:r w:rsidRPr="00452D62">
        <w:rPr>
          <w:sz w:val="22"/>
          <w:szCs w:val="22"/>
        </w:rPr>
        <w:t xml:space="preserve">d) Dvipusė p vertė yra pagrįsta </w:t>
      </w:r>
      <w:r w:rsidRPr="00452D62">
        <w:rPr>
          <w:i/>
          <w:sz w:val="22"/>
          <w:szCs w:val="22"/>
        </w:rPr>
        <w:t>Log-Rank</w:t>
      </w:r>
      <w:r w:rsidRPr="00452D62">
        <w:rPr>
          <w:sz w:val="22"/>
          <w:szCs w:val="22"/>
        </w:rPr>
        <w:t xml:space="preserve"> testu, stratifikuotu pagal procedūros tipą ir klopidogrelio vartojimą, gydymo metu traktuojant kaip faktorių</w:t>
      </w:r>
    </w:p>
    <w:p w14:paraId="3617069E" w14:textId="77777777" w:rsidR="00823785" w:rsidRPr="00452D62" w:rsidRDefault="00823785" w:rsidP="00823785">
      <w:pPr>
        <w:tabs>
          <w:tab w:val="clear" w:pos="567"/>
        </w:tabs>
        <w:suppressAutoHyphens w:val="0"/>
        <w:autoSpaceDE w:val="0"/>
        <w:autoSpaceDN w:val="0"/>
        <w:adjustRightInd w:val="0"/>
        <w:spacing w:line="240" w:lineRule="auto"/>
        <w:ind w:right="-20"/>
        <w:rPr>
          <w:sz w:val="22"/>
          <w:szCs w:val="22"/>
        </w:rPr>
      </w:pPr>
    </w:p>
    <w:p w14:paraId="2C65B0BE" w14:textId="77777777" w:rsidR="00823785" w:rsidRPr="00452D62" w:rsidRDefault="00823785" w:rsidP="00823785">
      <w:pPr>
        <w:tabs>
          <w:tab w:val="clear" w:pos="567"/>
        </w:tabs>
        <w:suppressAutoHyphens w:val="0"/>
        <w:autoSpaceDE w:val="0"/>
        <w:autoSpaceDN w:val="0"/>
        <w:adjustRightInd w:val="0"/>
        <w:spacing w:line="240" w:lineRule="auto"/>
        <w:ind w:right="-20"/>
        <w:rPr>
          <w:sz w:val="22"/>
          <w:szCs w:val="22"/>
          <w:u w:val="single"/>
        </w:rPr>
      </w:pPr>
      <w:r w:rsidRPr="00452D62">
        <w:rPr>
          <w:sz w:val="22"/>
          <w:szCs w:val="22"/>
          <w:u w:val="single"/>
        </w:rPr>
        <w:t>VAL su širdies nepakankamumu</w:t>
      </w:r>
    </w:p>
    <w:p w14:paraId="543A3E97" w14:textId="69EBA79B" w:rsidR="00823785" w:rsidRPr="00452D62" w:rsidRDefault="00823785" w:rsidP="00823785">
      <w:pPr>
        <w:tabs>
          <w:tab w:val="clear" w:pos="567"/>
        </w:tabs>
        <w:suppressAutoHyphens w:val="0"/>
        <w:autoSpaceDE w:val="0"/>
        <w:autoSpaceDN w:val="0"/>
        <w:adjustRightInd w:val="0"/>
        <w:spacing w:line="240" w:lineRule="auto"/>
        <w:ind w:right="-20"/>
        <w:rPr>
          <w:sz w:val="22"/>
          <w:szCs w:val="22"/>
        </w:rPr>
      </w:pPr>
      <w:r w:rsidRPr="00452D62">
        <w:rPr>
          <w:b/>
          <w:sz w:val="22"/>
          <w:szCs w:val="22"/>
        </w:rPr>
        <w:t>COMMANDER HF</w:t>
      </w:r>
      <w:r w:rsidRPr="00452D62">
        <w:rPr>
          <w:sz w:val="22"/>
          <w:szCs w:val="22"/>
        </w:rPr>
        <w:t xml:space="preserve"> klinikiniame tyrime dalyvavo 5022 pacientai, kurie sirgo širdies nepakankamumu ir reikšminga vainikinių arterijų liga (VAL) ir buvo hospitalizuoti dėl dekompensuoto širdies nepakankamumo (ŠN). Šie pacientai atsitiktiniu būdu buvo priskirti vienai iš dviejų gydymo grupių: vartoti po 2,5 mg rivaroksabano du kartus per parą (N=2507) arba atitinkamą placebą (N=2515). Bendra gydymo trukmės mediana tyrimo metu buvo 504 dienos. Pacientai mažiausiai 3 mėnesius turėjo sirgti simptominiu ŠN ir kairiojo skilvelio išstūmimo frakcija (KSIF) vienerių metų laikotarpiu iki įtraukimo į tyrimą turėjo būti ≤ 40 %. Tyrimo pradžioje skilvelio išstūmimo frakcijos mediana buvo 34 % (kvartilių intervalas (angl. </w:t>
      </w:r>
      <w:r w:rsidRPr="00452D62">
        <w:rPr>
          <w:i/>
          <w:iCs/>
          <w:sz w:val="22"/>
          <w:szCs w:val="22"/>
        </w:rPr>
        <w:t>interquartile range</w:t>
      </w:r>
      <w:r w:rsidRPr="00452D62">
        <w:rPr>
          <w:sz w:val="22"/>
          <w:szCs w:val="22"/>
        </w:rPr>
        <w:t>, IQR): 28</w:t>
      </w:r>
      <w:r w:rsidRPr="00452D62">
        <w:rPr>
          <w:sz w:val="22"/>
          <w:szCs w:val="22"/>
        </w:rPr>
        <w:noBreakHyphen/>
        <w:t xml:space="preserve">38 %), o 53 % tiriamųjų priklausė III arba IV klasei pagal Niujorko širdies asociacijos (angl. </w:t>
      </w:r>
      <w:r w:rsidRPr="00452D62">
        <w:rPr>
          <w:i/>
          <w:iCs/>
          <w:sz w:val="22"/>
          <w:szCs w:val="22"/>
        </w:rPr>
        <w:t>New York Heart Association</w:t>
      </w:r>
      <w:r w:rsidRPr="00452D62">
        <w:rPr>
          <w:sz w:val="22"/>
          <w:szCs w:val="22"/>
        </w:rPr>
        <w:t>, NYHA) klasifikaciją.</w:t>
      </w:r>
    </w:p>
    <w:p w14:paraId="59801154" w14:textId="12986CFF" w:rsidR="00823785" w:rsidRPr="00452D62" w:rsidRDefault="00823785" w:rsidP="00823785">
      <w:pPr>
        <w:tabs>
          <w:tab w:val="clear" w:pos="567"/>
        </w:tabs>
        <w:suppressAutoHyphens w:val="0"/>
        <w:autoSpaceDE w:val="0"/>
        <w:autoSpaceDN w:val="0"/>
        <w:adjustRightInd w:val="0"/>
        <w:spacing w:line="240" w:lineRule="auto"/>
        <w:ind w:right="-20"/>
        <w:rPr>
          <w:sz w:val="22"/>
          <w:szCs w:val="22"/>
        </w:rPr>
      </w:pPr>
      <w:r w:rsidRPr="00452D62">
        <w:rPr>
          <w:sz w:val="22"/>
          <w:szCs w:val="22"/>
        </w:rPr>
        <w:t>Pagrindinė veiksmingumo analizė (t. y. sudėtinė mirties nuo bet kurios priežasties, MI arba insulto baigtis) neparodė statistiškai reikšmingo skirtumo tarp grupės, vartojusios po 2,5 mg rivaroksabano du kartus per parą, ir placebo grupės; RS=0,94 (95 % PI 0,84–1,05)), p=0,270. Mirčių nuo bet kurios priežasties atvejų skaičius rivaroksabano ir placebo grupėse nesiskyrė (atvejų dažnis 100 paciento metų; 11,41, palyginti su 11,63, RS: 0,98; 95 % PI: 0,87</w:t>
      </w:r>
      <w:r w:rsidRPr="00452D62">
        <w:rPr>
          <w:sz w:val="22"/>
          <w:szCs w:val="22"/>
        </w:rPr>
        <w:noBreakHyphen/>
        <w:t>1,10; p=0,743). MI atvejų dažnis 100 paciento metų (vartojant rivaroksabano, palyginti su placebu) buvo 2,08, palyginti su 2,52 (RS: 0,83; 95 % PI: 0,63</w:t>
      </w:r>
      <w:r w:rsidRPr="00452D62">
        <w:rPr>
          <w:sz w:val="22"/>
          <w:szCs w:val="22"/>
        </w:rPr>
        <w:noBreakHyphen/>
        <w:t>1,08; p=0,165), o insulto atvejų dažnis 100 paciento metų buvo 1,08, palyginti su 1,62 (RS: 0,66; 95 % PI: 0,47</w:t>
      </w:r>
      <w:r w:rsidRPr="00452D62">
        <w:rPr>
          <w:sz w:val="22"/>
          <w:szCs w:val="22"/>
        </w:rPr>
        <w:noBreakHyphen/>
        <w:t>0,95; p=0,023). Pagrindinės saugumo baigties (t. y. sudėtinė mirtino kraujavimo arba intrakranijinio kraujavimo, galinčio sukelti nuolatinę negalią, baigtis) reiškinių atsirado 18 (0,7 %) pacientų, vartojusių po 2,5 mg rivaroksabano du kartus per parą, ir 23 (0,9 %) pacientams, vartojusiems placebo (RS=0,80; 95 % PI 0,43</w:t>
      </w:r>
      <w:r w:rsidRPr="00452D62">
        <w:rPr>
          <w:sz w:val="22"/>
          <w:szCs w:val="22"/>
        </w:rPr>
        <w:noBreakHyphen/>
        <w:t>1,49; p=0,484). Rivaroksabano grupėje, palyginti su placebo grupe, buvo statistiškai reikšmingas padidėjo didžiojo kraujavimo pagal ISTH dažnis (atvejų dažnis 100 paciento metų: 2,04, palyginti su 1,21, RS: 1,68; 95 % PI 1,18</w:t>
      </w:r>
      <w:r w:rsidRPr="00452D62">
        <w:rPr>
          <w:sz w:val="22"/>
          <w:szCs w:val="22"/>
        </w:rPr>
        <w:noBreakHyphen/>
        <w:t>2,39; p=0,003).</w:t>
      </w:r>
    </w:p>
    <w:p w14:paraId="2125A1A1" w14:textId="77777777" w:rsidR="00823785" w:rsidRPr="00452D62" w:rsidRDefault="00823785" w:rsidP="00823785">
      <w:pPr>
        <w:tabs>
          <w:tab w:val="clear" w:pos="567"/>
        </w:tabs>
        <w:suppressAutoHyphens w:val="0"/>
        <w:autoSpaceDE w:val="0"/>
        <w:autoSpaceDN w:val="0"/>
        <w:adjustRightInd w:val="0"/>
        <w:spacing w:line="240" w:lineRule="auto"/>
        <w:ind w:right="-20"/>
        <w:rPr>
          <w:rFonts w:eastAsia="Calibri"/>
          <w:color w:val="auto"/>
          <w:sz w:val="22"/>
          <w:szCs w:val="22"/>
          <w:lang w:eastAsia="en-US"/>
        </w:rPr>
      </w:pPr>
      <w:r w:rsidRPr="00452D62">
        <w:rPr>
          <w:sz w:val="22"/>
          <w:szCs w:val="22"/>
        </w:rPr>
        <w:t>Pacientams, sergantiems lengvu arba vidutinio sunkumo širdies nepakankamumu, gydymo poveikis COMPASS klinikinio tyrimo pogrupyje buvo panašus į nustatytąjį visoje tyrimo populiacijoje (žr. VAL/PAL skyrių).</w:t>
      </w:r>
    </w:p>
    <w:p w14:paraId="3BB6565C" w14:textId="77777777" w:rsidR="00823785" w:rsidRPr="00452D62" w:rsidRDefault="00823785" w:rsidP="00823785">
      <w:pPr>
        <w:spacing w:line="240" w:lineRule="auto"/>
        <w:rPr>
          <w:sz w:val="22"/>
          <w:szCs w:val="22"/>
        </w:rPr>
      </w:pPr>
    </w:p>
    <w:p w14:paraId="5D1BDC17" w14:textId="77777777" w:rsidR="00823785" w:rsidRPr="00452D62" w:rsidRDefault="00823785" w:rsidP="00823785">
      <w:pPr>
        <w:rPr>
          <w:sz w:val="22"/>
          <w:szCs w:val="22"/>
          <w:u w:val="single"/>
        </w:rPr>
      </w:pPr>
      <w:r w:rsidRPr="00452D62">
        <w:rPr>
          <w:sz w:val="22"/>
          <w:szCs w:val="22"/>
          <w:u w:val="single"/>
        </w:rPr>
        <w:t>Didelės rizikos trigubai teigiamu antifosfolipidiniu sindromu sergantys pacientai</w:t>
      </w:r>
    </w:p>
    <w:p w14:paraId="10D741F0" w14:textId="03447426" w:rsidR="00823785" w:rsidRPr="00452D62" w:rsidRDefault="00823785" w:rsidP="00823785">
      <w:pPr>
        <w:rPr>
          <w:sz w:val="22"/>
          <w:szCs w:val="22"/>
        </w:rPr>
      </w:pPr>
      <w:r w:rsidRPr="00452D62">
        <w:rPr>
          <w:sz w:val="22"/>
          <w:szCs w:val="22"/>
        </w:rPr>
        <w:t>Atliekant tyrėjo remiamą, atsitiktinių imčių, atvirą daugiacentrį tyrimą su koduotu vertinamųjų baigčių vertinimu, buvo lyginamas rivaroksabano ir varfarino poveikis gydant pacientus, kuriems diagnozuotas antifosfolipidinis sindromas ir nustatyta didelė tromboembolijos reiškinių rizika (visų trijų antifosfolipidinių antikūnų, t. y. vilkligės antikoaguliantų, antikardiolipino antikūnų ir anti-beta 2-glikoproteino I antikūnų, tyrimų rezultatai buvo teigiami) ir praeityje buvo nustatyta trombozė. Tyrimas buvo nutrauktas anksčiau nei numatyta į tyrimą įtraukus 120 pacientų, nes rivaroksabano tyrimo grupėje buvo nustatyta itin daug nepageidaujamų reiškinių atvejų. Vidutinė stebėjimo laikotarpio trukmė buvo 569 dienos. 59 pacientai buvo atsitiktinai priskirti vartoti rivaroksabano 20 mg dozę (15 mg dozę pacientams, kurių kreatinino klirensas (KrKl) &lt; 50 ml/min.), 61 pacientui buvo skirtas varfarinas (INR 2,0–3,0). Tromboembolinių reiškinių nustatyta 12 % pacientų, kuriems buvo paskirtas rivaroksabanas (4 išeminio insulto ir 3 miokardo infarkto atvejai). Pacientų, kuriems buvo paskirtas varfarinas, grupėje nepageidaujamų reiškinių nenustatyta. Didysis kraujavimas pasireiškė 4 (7 %) rivaroksabano grupės pacientams ir 2 (3 %) varfarino grupės pacientams.</w:t>
      </w:r>
    </w:p>
    <w:p w14:paraId="2D095706" w14:textId="77777777" w:rsidR="00823785" w:rsidRPr="00452D62" w:rsidRDefault="00823785" w:rsidP="00823785">
      <w:pPr>
        <w:rPr>
          <w:b/>
          <w:sz w:val="22"/>
          <w:szCs w:val="22"/>
        </w:rPr>
      </w:pPr>
    </w:p>
    <w:p w14:paraId="5A5C5BEB" w14:textId="77777777" w:rsidR="00823785" w:rsidRPr="00452D62" w:rsidRDefault="00823785" w:rsidP="00823785">
      <w:pPr>
        <w:rPr>
          <w:sz w:val="22"/>
          <w:szCs w:val="22"/>
        </w:rPr>
      </w:pPr>
      <w:r w:rsidRPr="00452D62">
        <w:rPr>
          <w:sz w:val="22"/>
          <w:szCs w:val="22"/>
          <w:u w:val="single"/>
        </w:rPr>
        <w:t>Vaikų populiacija</w:t>
      </w:r>
    </w:p>
    <w:p w14:paraId="243F1EF0" w14:textId="26D2538A" w:rsidR="00823785" w:rsidRPr="00452D62" w:rsidRDefault="00823785" w:rsidP="00823785">
      <w:pPr>
        <w:rPr>
          <w:iCs/>
          <w:sz w:val="22"/>
          <w:szCs w:val="22"/>
        </w:rPr>
      </w:pPr>
      <w:r w:rsidRPr="00452D62">
        <w:rPr>
          <w:sz w:val="22"/>
          <w:szCs w:val="22"/>
        </w:rPr>
        <w:t>Europos vaistų agentūra nereikalauja įsipareigoti pateikti tyrimų, atliktų su rivaroksabano referentiniu vaistiniu preparatu visuose vaikų populiacijos pogrupiuose tromboembolijos reiškinių profilaktikai, rezultatų (informaciją apie vartojimą vaikams žr. 4.2 skyriuje).</w:t>
      </w:r>
    </w:p>
    <w:p w14:paraId="2492AB7D" w14:textId="77777777" w:rsidR="00823785" w:rsidRPr="00452D62" w:rsidRDefault="00823785" w:rsidP="00823785">
      <w:pPr>
        <w:ind w:right="-2"/>
        <w:rPr>
          <w:iCs/>
          <w:sz w:val="22"/>
          <w:szCs w:val="22"/>
        </w:rPr>
      </w:pPr>
    </w:p>
    <w:p w14:paraId="29C9AD22"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5.2</w:t>
      </w:r>
      <w:r w:rsidRPr="00452D62">
        <w:rPr>
          <w:b/>
          <w:color w:val="auto"/>
          <w:kern w:val="28"/>
          <w:sz w:val="22"/>
          <w:szCs w:val="22"/>
          <w:lang w:eastAsia="en-US"/>
        </w:rPr>
        <w:tab/>
        <w:t>Farmakokinetinės savybės</w:t>
      </w:r>
    </w:p>
    <w:p w14:paraId="3903B935" w14:textId="77777777" w:rsidR="00823785" w:rsidRPr="00452D62" w:rsidRDefault="00823785" w:rsidP="00823785">
      <w:pPr>
        <w:ind w:left="567" w:hanging="567"/>
        <w:rPr>
          <w:sz w:val="22"/>
          <w:szCs w:val="22"/>
        </w:rPr>
      </w:pPr>
    </w:p>
    <w:p w14:paraId="5EE50782" w14:textId="77777777" w:rsidR="00823785" w:rsidRPr="00452D62" w:rsidRDefault="00823785" w:rsidP="00823785">
      <w:pPr>
        <w:rPr>
          <w:sz w:val="22"/>
          <w:szCs w:val="22"/>
        </w:rPr>
      </w:pPr>
      <w:r w:rsidRPr="00452D62">
        <w:rPr>
          <w:sz w:val="22"/>
          <w:szCs w:val="22"/>
          <w:u w:val="single"/>
        </w:rPr>
        <w:t>Absorbcija</w:t>
      </w:r>
    </w:p>
    <w:p w14:paraId="135DFD97" w14:textId="77777777" w:rsidR="00823785" w:rsidRPr="00452D62" w:rsidRDefault="00823785" w:rsidP="00823785">
      <w:pPr>
        <w:rPr>
          <w:sz w:val="22"/>
          <w:szCs w:val="22"/>
        </w:rPr>
      </w:pPr>
      <w:r w:rsidRPr="00452D62">
        <w:rPr>
          <w:sz w:val="22"/>
          <w:szCs w:val="22"/>
        </w:rPr>
        <w:t>Rivaroksabanas yra greitai absorbuojamas, didžiausia koncentracija (C</w:t>
      </w:r>
      <w:r w:rsidRPr="00452D62">
        <w:rPr>
          <w:sz w:val="22"/>
          <w:szCs w:val="22"/>
          <w:vertAlign w:val="subscript"/>
        </w:rPr>
        <w:t>max</w:t>
      </w:r>
      <w:r w:rsidRPr="00452D62">
        <w:rPr>
          <w:sz w:val="22"/>
          <w:szCs w:val="22"/>
        </w:rPr>
        <w:t>) atsiranda praėjus 2</w:t>
      </w:r>
      <w:r w:rsidRPr="00452D62">
        <w:rPr>
          <w:sz w:val="22"/>
          <w:szCs w:val="22"/>
        </w:rPr>
        <w:noBreakHyphen/>
        <w:t>4 valandoms po tabletės suvartojimo.</w:t>
      </w:r>
    </w:p>
    <w:p w14:paraId="17D64AE5" w14:textId="7428895A" w:rsidR="00823785" w:rsidRPr="00452D62" w:rsidRDefault="00823785" w:rsidP="00823785">
      <w:pPr>
        <w:rPr>
          <w:sz w:val="22"/>
          <w:szCs w:val="22"/>
        </w:rPr>
      </w:pPr>
      <w:r w:rsidRPr="00452D62">
        <w:rPr>
          <w:sz w:val="22"/>
          <w:szCs w:val="22"/>
        </w:rPr>
        <w:t>Išgertas rivaroksabanas beveik visas absorbuojamas ir biologinis geriamojo rivaroksabano prieinamumas, suvartojus 2,5 mg ir 10 mg dozės tabletę, yra didelis (80</w:t>
      </w:r>
      <w:r w:rsidRPr="00452D62">
        <w:rPr>
          <w:sz w:val="22"/>
          <w:szCs w:val="22"/>
        </w:rPr>
        <w:noBreakHyphen/>
        <w:t>100 %), nepriklausomai nuo to, ar vaistinis preparatas suvartotas valgio metu, ar kitu laiku. Vartojant 2,5 mg ir 10 mg dozes, maistas nedaro įtakos rivaroksabano AUC ar C</w:t>
      </w:r>
      <w:r w:rsidRPr="00452D62">
        <w:rPr>
          <w:sz w:val="22"/>
          <w:szCs w:val="22"/>
          <w:vertAlign w:val="subscript"/>
        </w:rPr>
        <w:t>max</w:t>
      </w:r>
      <w:r w:rsidRPr="00452D62">
        <w:rPr>
          <w:sz w:val="22"/>
          <w:szCs w:val="22"/>
        </w:rPr>
        <w:t>. Rivaroksabano 2,5 mg ir 10 mg tabletes galima vartoti valgio metu arba kitu laiku.</w:t>
      </w:r>
    </w:p>
    <w:p w14:paraId="13040025" w14:textId="534EF281" w:rsidR="00823785" w:rsidRPr="00452D62" w:rsidRDefault="00823785" w:rsidP="00823785">
      <w:pPr>
        <w:rPr>
          <w:sz w:val="22"/>
          <w:szCs w:val="22"/>
        </w:rPr>
      </w:pPr>
      <w:r w:rsidRPr="00452D62">
        <w:rPr>
          <w:sz w:val="22"/>
          <w:szCs w:val="22"/>
        </w:rPr>
        <w:t>Rivaroksabano farmakokinetika yra maždaug tiesinė, kai jo skiriama iki maždaug 15 mg vieną kartą per parą. Skiriant didesnes rivaroksabano dozes, gaunama dėl tirpumo savybių ribota absorbcija su sumažėjusiu biologiniu prieinamumu ir sumažėjusiu absorbcijos greičiu, didinant dozę. Tai labiau pastebima, kai rivaroksabano vartojama nevalgius, nei vartojant valgio metu. Rivaroksabano farmakokinetikos kintamumas yra vidutinis, kintamumas tarp pacientų (CV %) svyruoja nuo 30 % iki 40 %.</w:t>
      </w:r>
    </w:p>
    <w:p w14:paraId="1B8653D3" w14:textId="7F8E5DD0" w:rsidR="00823785" w:rsidRPr="00452D62" w:rsidRDefault="00823785" w:rsidP="00823785">
      <w:pPr>
        <w:rPr>
          <w:sz w:val="22"/>
          <w:szCs w:val="22"/>
        </w:rPr>
      </w:pPr>
      <w:r w:rsidRPr="00452D62">
        <w:rPr>
          <w:sz w:val="22"/>
          <w:szCs w:val="22"/>
        </w:rPr>
        <w:t>Rivaroksabano absorbcija priklauso nuo jo atpalaidavimo vietos virškinimo trakte. Nustatyta, kad tada, kai rivaroksabano granulės atpalaiduojamos proksimalinėje plonosios žarnos dalyje, palyginti su tablete, AUC ir C</w:t>
      </w:r>
      <w:r w:rsidRPr="00452D62">
        <w:rPr>
          <w:sz w:val="22"/>
          <w:szCs w:val="22"/>
          <w:vertAlign w:val="subscript"/>
        </w:rPr>
        <w:t xml:space="preserve">max </w:t>
      </w:r>
      <w:r w:rsidRPr="00452D62">
        <w:rPr>
          <w:sz w:val="22"/>
          <w:szCs w:val="22"/>
        </w:rPr>
        <w:t>sumažėja 29 % ir 56 %. Kai rivaroksabanas atpalaiduojamas distalinėje plonosios žarnos dalyje arba kylančioje gaubtinėje žarnoje, ekspozicija dar labiau sumažėja. Taigi reikia vengti skirti rivaroksabano, kai jis atsipalaiduoja distaliau nuo skrandžio, nes tai gali sumažinti absorbciją ir atitinkamai rivaroksabano ekspoziciją.</w:t>
      </w:r>
    </w:p>
    <w:p w14:paraId="0B4A8AF7" w14:textId="77777777" w:rsidR="00823785" w:rsidRPr="00452D62" w:rsidRDefault="00823785" w:rsidP="00823785">
      <w:pPr>
        <w:rPr>
          <w:sz w:val="22"/>
          <w:szCs w:val="22"/>
          <w:u w:val="single"/>
        </w:rPr>
      </w:pPr>
      <w:r w:rsidRPr="00452D62">
        <w:rPr>
          <w:sz w:val="22"/>
          <w:szCs w:val="22"/>
        </w:rPr>
        <w:t>20 mg rivaroksabano tabletės, kuri suvartojama per burną, ją sutraiškius ir išmaišius obuolių tyrėje arba paruošus suspensiją vandenyje ir supylus per skrandžio vamzdelį, po to pavartojant skysto maisto, biologinis prieinamumas (AUC ir C</w:t>
      </w:r>
      <w:r w:rsidRPr="00452D62">
        <w:rPr>
          <w:sz w:val="22"/>
          <w:szCs w:val="22"/>
          <w:vertAlign w:val="subscript"/>
        </w:rPr>
        <w:t>max</w:t>
      </w:r>
      <w:r w:rsidRPr="00452D62">
        <w:rPr>
          <w:sz w:val="22"/>
          <w:szCs w:val="22"/>
        </w:rPr>
        <w:t>), palyginti su nepažeista tablete, buvo panašus. Atsižvelgiant į nuspėjamas ir dozei proporcingas rivaroksabano farmakokinetinės savybes, tikėtina, kad šio tyrimo metu gauti biologinio prieinamumo rezultatai tinka ir mažesnėms rivaroksabano dozėms.</w:t>
      </w:r>
    </w:p>
    <w:p w14:paraId="45C1D9E1" w14:textId="77777777" w:rsidR="00823785" w:rsidRPr="00452D62" w:rsidRDefault="00823785" w:rsidP="00823785">
      <w:pPr>
        <w:rPr>
          <w:sz w:val="22"/>
          <w:szCs w:val="22"/>
          <w:u w:val="single"/>
        </w:rPr>
      </w:pPr>
    </w:p>
    <w:p w14:paraId="38D076C3" w14:textId="77777777" w:rsidR="00823785" w:rsidRPr="00452D62" w:rsidRDefault="00823785" w:rsidP="00823785">
      <w:pPr>
        <w:rPr>
          <w:sz w:val="22"/>
          <w:szCs w:val="22"/>
        </w:rPr>
      </w:pPr>
      <w:r w:rsidRPr="00452D62">
        <w:rPr>
          <w:sz w:val="22"/>
          <w:szCs w:val="22"/>
          <w:u w:val="single"/>
        </w:rPr>
        <w:t>Pasiskirstymas</w:t>
      </w:r>
    </w:p>
    <w:p w14:paraId="3068F181" w14:textId="13B1F6B7" w:rsidR="00823785" w:rsidRPr="00452D62" w:rsidRDefault="00823785" w:rsidP="00823785">
      <w:pPr>
        <w:tabs>
          <w:tab w:val="clear" w:pos="567"/>
        </w:tabs>
        <w:rPr>
          <w:sz w:val="22"/>
          <w:szCs w:val="22"/>
        </w:rPr>
      </w:pPr>
      <w:r w:rsidRPr="00452D62">
        <w:rPr>
          <w:sz w:val="22"/>
          <w:szCs w:val="22"/>
        </w:rPr>
        <w:t>Daug (maždaug 92</w:t>
      </w:r>
      <w:r w:rsidRPr="00452D62">
        <w:rPr>
          <w:sz w:val="22"/>
          <w:szCs w:val="22"/>
        </w:rPr>
        <w:noBreakHyphen/>
        <w:t>95 %) vaistinio preparato prisijungia prie žmogaus plazmos baltymų, daugiausia serumo albumino. Pasiskirstymo tūris yra vidutinis, V</w:t>
      </w:r>
      <w:r w:rsidRPr="00452D62">
        <w:rPr>
          <w:sz w:val="22"/>
          <w:szCs w:val="22"/>
          <w:vertAlign w:val="subscript"/>
        </w:rPr>
        <w:t xml:space="preserve">ss </w:t>
      </w:r>
      <w:r w:rsidRPr="00452D62">
        <w:rPr>
          <w:sz w:val="22"/>
          <w:szCs w:val="22"/>
        </w:rPr>
        <w:t>yra maždaug 50 litrų.</w:t>
      </w:r>
    </w:p>
    <w:p w14:paraId="4505B376" w14:textId="77777777" w:rsidR="00823785" w:rsidRPr="00452D62" w:rsidRDefault="00823785" w:rsidP="00823785">
      <w:pPr>
        <w:ind w:left="567" w:hanging="567"/>
        <w:rPr>
          <w:sz w:val="22"/>
          <w:szCs w:val="22"/>
        </w:rPr>
      </w:pPr>
    </w:p>
    <w:p w14:paraId="06C2884B" w14:textId="77777777" w:rsidR="00823785" w:rsidRPr="00452D62" w:rsidRDefault="00823785" w:rsidP="00823785">
      <w:pPr>
        <w:rPr>
          <w:sz w:val="22"/>
          <w:szCs w:val="22"/>
        </w:rPr>
      </w:pPr>
      <w:r w:rsidRPr="00452D62">
        <w:rPr>
          <w:sz w:val="22"/>
          <w:szCs w:val="22"/>
          <w:u w:val="single"/>
        </w:rPr>
        <w:t>Biotransformacija ir eliminacija</w:t>
      </w:r>
    </w:p>
    <w:p w14:paraId="6FF3513A" w14:textId="77777777" w:rsidR="00823785" w:rsidRPr="00452D62" w:rsidRDefault="00823785" w:rsidP="00823785">
      <w:pPr>
        <w:rPr>
          <w:sz w:val="22"/>
          <w:szCs w:val="22"/>
        </w:rPr>
      </w:pPr>
      <w:r w:rsidRPr="00452D62">
        <w:rPr>
          <w:sz w:val="22"/>
          <w:szCs w:val="22"/>
        </w:rPr>
        <w:t>Maždaug 2/3 suvartotos rivaroksabano dozės suardoma metabolizmo metu ir pusė to kiekio yra pašalinama per inkstus, o pusė su išmatomis. Likusi 1/3 suvartotos dozės dalis šalinama nepakitusia veikliosios medžiagos forma su šlapimu tiesioginės ekskrecijos per inkstus būdu, daugiausiai aktyvios inkstų sekrecijos būdu.</w:t>
      </w:r>
    </w:p>
    <w:p w14:paraId="64800FCF" w14:textId="77777777" w:rsidR="00823785" w:rsidRPr="00452D62" w:rsidRDefault="00823785" w:rsidP="00823785">
      <w:pPr>
        <w:rPr>
          <w:sz w:val="22"/>
          <w:szCs w:val="22"/>
        </w:rPr>
      </w:pPr>
      <w:r w:rsidRPr="00452D62">
        <w:rPr>
          <w:sz w:val="22"/>
          <w:szCs w:val="22"/>
        </w:rPr>
        <w:t xml:space="preserve">Rivaroksabanas yra metabolizuojamas CYP3A4, CYP2J2 ir nuo CYP nepriklausomais mechanizmais. Morfolinono dalies oksidacinis irimas ir amido jungčių hidrolizė yra pagrindinės biotransformacijos sritys. Remiantis </w:t>
      </w:r>
      <w:r w:rsidRPr="00452D62">
        <w:rPr>
          <w:i/>
          <w:iCs/>
          <w:sz w:val="22"/>
          <w:szCs w:val="22"/>
        </w:rPr>
        <w:t xml:space="preserve">in vitro </w:t>
      </w:r>
      <w:r w:rsidRPr="00452D62">
        <w:rPr>
          <w:sz w:val="22"/>
          <w:szCs w:val="22"/>
        </w:rPr>
        <w:t>tyrimais, rivaroksabanas yra P-gp (P-glikoproteino) ir Bcrp (krūties vėžio atsparumo baltymo) pernašos baltymų substratas.</w:t>
      </w:r>
    </w:p>
    <w:p w14:paraId="1FEB6E37" w14:textId="77777777" w:rsidR="00823785" w:rsidRPr="00452D62" w:rsidRDefault="00823785" w:rsidP="00823785">
      <w:pPr>
        <w:rPr>
          <w:sz w:val="22"/>
          <w:szCs w:val="22"/>
          <w:u w:val="single"/>
        </w:rPr>
      </w:pPr>
      <w:r w:rsidRPr="00452D62">
        <w:rPr>
          <w:sz w:val="22"/>
          <w:szCs w:val="22"/>
        </w:rPr>
        <w:t>Nepakitęs rivaroksabanas yra svarbiausias darinys žmogaus kraujo plazmoje, labai svarbių ar aktyvių cirkuliuojančių metabolitų nėra. Sisteminis klirensas yra apie 10 l/val., dėl to rivaroksabaną galima priskirti prie mažo klirenso medžiagų. 1 mg dozę suleidus į veną, pusinės eliminacijos laikas trunka maždaug 4,5 valandos. Suvartoto per burną vaistinio preparato eliminaciją riboja absorbcijos greitis. Rivaroksabano galutinis pusinės eliminacijos iš kraujo plazmos laikas jauniems asmenims trunka nuo 5 iki 9 valandų, senyviems asmenims – nuo 11 iki 13 valandų.</w:t>
      </w:r>
    </w:p>
    <w:p w14:paraId="25EFEAAE" w14:textId="77777777" w:rsidR="00823785" w:rsidRPr="00452D62" w:rsidRDefault="00823785" w:rsidP="00823785">
      <w:pPr>
        <w:rPr>
          <w:sz w:val="22"/>
          <w:szCs w:val="22"/>
          <w:u w:val="single"/>
        </w:rPr>
      </w:pPr>
    </w:p>
    <w:p w14:paraId="000ADF9E" w14:textId="77777777" w:rsidR="00823785" w:rsidRPr="00452D62" w:rsidRDefault="00823785" w:rsidP="00823785">
      <w:pPr>
        <w:rPr>
          <w:i/>
          <w:iCs/>
          <w:sz w:val="22"/>
          <w:szCs w:val="22"/>
        </w:rPr>
      </w:pPr>
      <w:r w:rsidRPr="00452D62">
        <w:rPr>
          <w:sz w:val="22"/>
          <w:szCs w:val="22"/>
          <w:u w:val="single"/>
        </w:rPr>
        <w:t>Ypatingos populiacijos</w:t>
      </w:r>
    </w:p>
    <w:p w14:paraId="3C317209" w14:textId="77777777" w:rsidR="00823785" w:rsidRPr="00452D62" w:rsidRDefault="00823785" w:rsidP="00823785">
      <w:pPr>
        <w:rPr>
          <w:sz w:val="22"/>
          <w:szCs w:val="22"/>
        </w:rPr>
      </w:pPr>
      <w:r w:rsidRPr="00452D62">
        <w:rPr>
          <w:i/>
          <w:iCs/>
          <w:sz w:val="22"/>
          <w:szCs w:val="22"/>
        </w:rPr>
        <w:t>Lytis</w:t>
      </w:r>
    </w:p>
    <w:p w14:paraId="4FF0A19B" w14:textId="77777777" w:rsidR="00823785" w:rsidRPr="00452D62" w:rsidRDefault="00823785" w:rsidP="00823785">
      <w:pPr>
        <w:tabs>
          <w:tab w:val="clear" w:pos="567"/>
          <w:tab w:val="left" w:pos="0"/>
        </w:tabs>
        <w:rPr>
          <w:sz w:val="22"/>
          <w:szCs w:val="22"/>
        </w:rPr>
      </w:pPr>
      <w:r w:rsidRPr="00452D62">
        <w:rPr>
          <w:sz w:val="22"/>
          <w:szCs w:val="22"/>
        </w:rPr>
        <w:t>Kliniškai reikšmingų farmakokinetikos ir farmakodinamikos skirtumų tarp vyrų ir moterų nenustatyta.</w:t>
      </w:r>
    </w:p>
    <w:p w14:paraId="5D7492B8" w14:textId="77777777" w:rsidR="00823785" w:rsidRPr="00452D62" w:rsidRDefault="00823785" w:rsidP="00823785">
      <w:pPr>
        <w:ind w:left="567" w:hanging="567"/>
        <w:rPr>
          <w:sz w:val="22"/>
          <w:szCs w:val="22"/>
        </w:rPr>
      </w:pPr>
    </w:p>
    <w:p w14:paraId="5C2D8DC2" w14:textId="77777777" w:rsidR="00823785" w:rsidRPr="00452D62" w:rsidRDefault="00823785" w:rsidP="00823785">
      <w:pPr>
        <w:rPr>
          <w:sz w:val="22"/>
          <w:szCs w:val="22"/>
        </w:rPr>
      </w:pPr>
      <w:r w:rsidRPr="00452D62">
        <w:rPr>
          <w:i/>
          <w:iCs/>
          <w:sz w:val="22"/>
          <w:szCs w:val="22"/>
        </w:rPr>
        <w:t>Senyvi pacientai</w:t>
      </w:r>
    </w:p>
    <w:p w14:paraId="5AA4416A" w14:textId="77777777" w:rsidR="00823785" w:rsidRPr="00452D62" w:rsidRDefault="00823785" w:rsidP="00823785">
      <w:pPr>
        <w:rPr>
          <w:i/>
          <w:iCs/>
          <w:sz w:val="22"/>
          <w:szCs w:val="22"/>
        </w:rPr>
      </w:pPr>
      <w:r w:rsidRPr="00452D62">
        <w:rPr>
          <w:sz w:val="22"/>
          <w:szCs w:val="22"/>
        </w:rPr>
        <w:t>Senyviems pacientams nustatyta didesnė koncentracija kraujo plazmoje nei jaunesniems pacientams. Vidutiniai AUC rodmenys buvo maždaug 1,5 karto didesni daugiausia dėl sumažėjusio (tariamojo) bendro ir inkstų klirenso. Dozės koreguoti nereikia.</w:t>
      </w:r>
    </w:p>
    <w:p w14:paraId="6A6E5599" w14:textId="77777777" w:rsidR="00823785" w:rsidRPr="00452D62" w:rsidRDefault="00823785" w:rsidP="00823785">
      <w:pPr>
        <w:rPr>
          <w:i/>
          <w:iCs/>
          <w:sz w:val="22"/>
          <w:szCs w:val="22"/>
        </w:rPr>
      </w:pPr>
    </w:p>
    <w:p w14:paraId="25D6C379" w14:textId="77777777" w:rsidR="00823785" w:rsidRPr="00452D62" w:rsidRDefault="00823785" w:rsidP="00823785">
      <w:pPr>
        <w:rPr>
          <w:sz w:val="22"/>
          <w:szCs w:val="22"/>
        </w:rPr>
      </w:pPr>
      <w:r w:rsidRPr="00452D62">
        <w:rPr>
          <w:i/>
          <w:iCs/>
          <w:sz w:val="22"/>
          <w:szCs w:val="22"/>
        </w:rPr>
        <w:t>Skirtingos svorio kategorijos</w:t>
      </w:r>
    </w:p>
    <w:p w14:paraId="3B15BA38" w14:textId="2D529197" w:rsidR="00823785" w:rsidRPr="00452D62" w:rsidRDefault="00823785" w:rsidP="00823785">
      <w:pPr>
        <w:rPr>
          <w:i/>
          <w:iCs/>
          <w:sz w:val="22"/>
          <w:szCs w:val="22"/>
        </w:rPr>
      </w:pPr>
      <w:r w:rsidRPr="00452D62">
        <w:rPr>
          <w:sz w:val="22"/>
          <w:szCs w:val="22"/>
        </w:rPr>
        <w:t>Svorio kraštutinumai (&lt; 50 kg arba &gt; 120 kg) darė mažą įtaką rivaroksabano koncentracijai kraujo plazmoje (mažiau nei 25 %). Dozės koreguoti nereikia.</w:t>
      </w:r>
    </w:p>
    <w:p w14:paraId="4B95D833" w14:textId="77777777" w:rsidR="00823785" w:rsidRPr="00452D62" w:rsidRDefault="00823785" w:rsidP="00823785">
      <w:pPr>
        <w:rPr>
          <w:i/>
          <w:iCs/>
          <w:sz w:val="22"/>
          <w:szCs w:val="22"/>
        </w:rPr>
      </w:pPr>
    </w:p>
    <w:p w14:paraId="4E93FEE8" w14:textId="77777777" w:rsidR="00823785" w:rsidRPr="00452D62" w:rsidRDefault="00823785" w:rsidP="00823785">
      <w:pPr>
        <w:rPr>
          <w:sz w:val="22"/>
          <w:szCs w:val="22"/>
        </w:rPr>
      </w:pPr>
      <w:r w:rsidRPr="00452D62">
        <w:rPr>
          <w:i/>
          <w:iCs/>
          <w:sz w:val="22"/>
          <w:szCs w:val="22"/>
        </w:rPr>
        <w:t>Etniniai skirtumai</w:t>
      </w:r>
    </w:p>
    <w:p w14:paraId="1EA6F714" w14:textId="77777777" w:rsidR="00823785" w:rsidRPr="00452D62" w:rsidRDefault="00823785" w:rsidP="00823785">
      <w:pPr>
        <w:rPr>
          <w:i/>
          <w:iCs/>
          <w:sz w:val="22"/>
          <w:szCs w:val="22"/>
        </w:rPr>
      </w:pPr>
      <w:r w:rsidRPr="00452D62">
        <w:rPr>
          <w:sz w:val="22"/>
          <w:szCs w:val="22"/>
        </w:rPr>
        <w:t>Atsižvelgiant į rivaroksabano farmakokinetiką ir farmakodinamiką, kliniškai reikšmingų skirtumų tarp baltųjų, afroamerikiečių, ispanų, japonų ar kinų etninių grupių pacientų nepastebėta.</w:t>
      </w:r>
    </w:p>
    <w:p w14:paraId="06618A38" w14:textId="77777777" w:rsidR="00823785" w:rsidRPr="00452D62" w:rsidRDefault="00823785" w:rsidP="00823785">
      <w:pPr>
        <w:rPr>
          <w:i/>
          <w:iCs/>
          <w:sz w:val="22"/>
          <w:szCs w:val="22"/>
        </w:rPr>
      </w:pPr>
    </w:p>
    <w:p w14:paraId="6700328D" w14:textId="77777777" w:rsidR="00823785" w:rsidRPr="00452D62" w:rsidRDefault="00823785" w:rsidP="00823785">
      <w:pPr>
        <w:rPr>
          <w:sz w:val="22"/>
          <w:szCs w:val="22"/>
        </w:rPr>
      </w:pPr>
      <w:r w:rsidRPr="00452D62">
        <w:rPr>
          <w:i/>
          <w:iCs/>
          <w:sz w:val="22"/>
          <w:szCs w:val="22"/>
        </w:rPr>
        <w:t>Sutrikusi kepenų funkcija</w:t>
      </w:r>
    </w:p>
    <w:p w14:paraId="0DA02B82" w14:textId="77777777" w:rsidR="00823785" w:rsidRPr="00452D62" w:rsidRDefault="00823785" w:rsidP="00823785">
      <w:pPr>
        <w:rPr>
          <w:sz w:val="22"/>
          <w:szCs w:val="22"/>
        </w:rPr>
      </w:pPr>
      <w:r w:rsidRPr="00452D62">
        <w:rPr>
          <w:sz w:val="22"/>
          <w:szCs w:val="22"/>
        </w:rPr>
        <w:t xml:space="preserve">Ciroze sergantiems pacientams, kuriems buvo lengvas kepenų funkcijos sutrikimas (A klasė pagal </w:t>
      </w:r>
      <w:r w:rsidRPr="00452D62">
        <w:rPr>
          <w:i/>
          <w:sz w:val="22"/>
          <w:szCs w:val="22"/>
        </w:rPr>
        <w:t>Child Pugh</w:t>
      </w:r>
      <w:r w:rsidRPr="00452D62">
        <w:rPr>
          <w:sz w:val="22"/>
          <w:szCs w:val="22"/>
        </w:rPr>
        <w:t xml:space="preserve">), nustatyta tik nedidelių rivaroksabano farmakokinetikos pokyčių (vidutiniškai 1,2 karto padidėjęs rivaroksabano AUC), ir rodmenys beveik atitiko atitinkamos sveikų asmenų kontrolinės grupės rodmenis. Pacientams, kuriems dėl cirozės yra vidutinio sunkumo kepenų funkcijos sutrikimas (B pagal </w:t>
      </w:r>
      <w:r w:rsidRPr="00452D62">
        <w:rPr>
          <w:i/>
          <w:sz w:val="22"/>
          <w:szCs w:val="22"/>
        </w:rPr>
        <w:t>Child Pugh</w:t>
      </w:r>
      <w:r w:rsidRPr="00452D62">
        <w:rPr>
          <w:sz w:val="22"/>
          <w:szCs w:val="22"/>
        </w:rPr>
        <w:t>), rivaroksabano vidutinis AUC buvo reikšmingai 2,3 karto didesnis, palyginti su sveikų savanorių rodmeniu. Laisvos medžiagos AUC padidėjo 2,6 karto. Tokiems pacientams rivaroksabano eliminacija per inkstus taip pat buvo sulėtėjusi, panašiai kaip ir pacientų, kuriems yra vidutinio laipsnio inkstų funkcijos sutrikimas. Duomenų apie pacientus, kuriems yra sunkus kepenų funkcijos sutrikimas, nėra.</w:t>
      </w:r>
    </w:p>
    <w:p w14:paraId="54B1DD5D" w14:textId="77777777" w:rsidR="00823785" w:rsidRPr="00452D62" w:rsidRDefault="00823785" w:rsidP="00823785">
      <w:pPr>
        <w:rPr>
          <w:sz w:val="22"/>
          <w:szCs w:val="22"/>
        </w:rPr>
      </w:pPr>
      <w:r w:rsidRPr="00452D62">
        <w:rPr>
          <w:sz w:val="22"/>
          <w:szCs w:val="22"/>
        </w:rPr>
        <w:t>Xa faktoriaus aktyvumo slopinimas pacientams, kuriems buvo vidutinio sunkumo kepenų funkcijos sutrikimas, buvo padidėjęs 2,6 karto, palyginti su sveikų savanorių rodmeniu, PT buvo pailgėjęs panašiai – 2,1 karto. Pacientai, kuriems yra vidutinio sunkumo kepenų funkcijos sutrikimas, buvo jautresni rivaroksabano poveikiui, todėl jų FK/FD santykis tarp koncentracijos ir PT buvo statesnis.</w:t>
      </w:r>
    </w:p>
    <w:p w14:paraId="46860909" w14:textId="77777777" w:rsidR="00823785" w:rsidRPr="00452D62" w:rsidRDefault="00823785" w:rsidP="00823785">
      <w:pPr>
        <w:tabs>
          <w:tab w:val="clear" w:pos="567"/>
          <w:tab w:val="left" w:pos="0"/>
        </w:tabs>
        <w:rPr>
          <w:sz w:val="22"/>
          <w:szCs w:val="22"/>
        </w:rPr>
      </w:pPr>
      <w:r w:rsidRPr="00452D62">
        <w:rPr>
          <w:sz w:val="22"/>
          <w:szCs w:val="22"/>
        </w:rPr>
        <w:t xml:space="preserve">Rivaroksabano draudžiama vartoti pacientams, kurie serga kepenų liga, susijusia su koagulopatija ir kliniškai reikšminga kraujavimo rizika, įskaitant pacientus, kuriems yra cirozė (B ir C pagal </w:t>
      </w:r>
      <w:r w:rsidRPr="00452D62">
        <w:rPr>
          <w:i/>
          <w:sz w:val="22"/>
          <w:szCs w:val="22"/>
        </w:rPr>
        <w:t>Child</w:t>
      </w:r>
      <w:r w:rsidRPr="00452D62">
        <w:rPr>
          <w:sz w:val="22"/>
          <w:szCs w:val="22"/>
        </w:rPr>
        <w:t xml:space="preserve"> </w:t>
      </w:r>
      <w:r w:rsidRPr="00452D62">
        <w:rPr>
          <w:i/>
          <w:sz w:val="22"/>
          <w:szCs w:val="22"/>
        </w:rPr>
        <w:t>Pugh</w:t>
      </w:r>
      <w:r w:rsidRPr="00452D62">
        <w:rPr>
          <w:sz w:val="22"/>
          <w:szCs w:val="22"/>
        </w:rPr>
        <w:t>) (žr. 4.3 skyrių).</w:t>
      </w:r>
    </w:p>
    <w:p w14:paraId="1F15665A" w14:textId="77777777" w:rsidR="00823785" w:rsidRPr="00452D62" w:rsidRDefault="00823785" w:rsidP="00823785">
      <w:pPr>
        <w:ind w:left="567" w:hanging="567"/>
        <w:rPr>
          <w:sz w:val="22"/>
          <w:szCs w:val="22"/>
        </w:rPr>
      </w:pPr>
    </w:p>
    <w:p w14:paraId="13045A7F" w14:textId="77777777" w:rsidR="00823785" w:rsidRPr="00452D62" w:rsidRDefault="00823785" w:rsidP="00823785">
      <w:pPr>
        <w:rPr>
          <w:sz w:val="22"/>
          <w:szCs w:val="22"/>
        </w:rPr>
      </w:pPr>
      <w:r w:rsidRPr="00452D62">
        <w:rPr>
          <w:i/>
          <w:iCs/>
          <w:sz w:val="22"/>
          <w:szCs w:val="22"/>
        </w:rPr>
        <w:t>Sutrikusi inkstų funkcija</w:t>
      </w:r>
    </w:p>
    <w:p w14:paraId="29107EC6" w14:textId="77777777" w:rsidR="00823785" w:rsidRPr="00452D62" w:rsidRDefault="00823785" w:rsidP="00823785">
      <w:pPr>
        <w:rPr>
          <w:sz w:val="22"/>
          <w:szCs w:val="22"/>
        </w:rPr>
      </w:pPr>
      <w:r w:rsidRPr="00452D62">
        <w:rPr>
          <w:sz w:val="22"/>
          <w:szCs w:val="22"/>
        </w:rPr>
        <w:t>Rivaroksabano ekspozicijos padidėjimas koreliavo su inkstų funkcijos susilpnėjimu vertinant kreatinino klirenso tyrimus. Asmenims, kuriems buvo lengvas (kreatinino klirensas 50</w:t>
      </w:r>
      <w:r w:rsidRPr="00452D62">
        <w:rPr>
          <w:sz w:val="22"/>
          <w:szCs w:val="22"/>
        </w:rPr>
        <w:noBreakHyphen/>
        <w:t>80 ml/min.), vidutinio sunkumo (kreatinino klirensas 30</w:t>
      </w:r>
      <w:r w:rsidRPr="00452D62">
        <w:rPr>
          <w:sz w:val="22"/>
          <w:szCs w:val="22"/>
        </w:rPr>
        <w:noBreakHyphen/>
        <w:t>49 ml/min.) ir sunkus (kreatinino klirensas 15</w:t>
      </w:r>
      <w:r w:rsidRPr="00452D62">
        <w:rPr>
          <w:sz w:val="22"/>
          <w:szCs w:val="22"/>
        </w:rPr>
        <w:noBreakHyphen/>
        <w:t>29 ml/min.) inkstų funkcijos sutrikimas, rivaroksabano koncentracija kraujo plazmoje (AUC) buvo padidėjusi atitinkamai 1,4, 1,5 ir 1,6 karto. Atitinkamai buvo ryškesnis farmakodinaminio poveikio sustiprėjimas. Asmenims, kuriems buvo lengvas, vidutinio sunkumo ir sunkus inkstų funkcijos sutrikimas, bendras Xa faktoriaus aktyvumo slopinimas buvo padidėjęs atitinkamai 1,5, 1,9 ir 2,0 karto, palyginti su sveikų savanorių rodmenimis; PT pailgėjo atitinkamai 1,3, 2,2 ir 2,4 karto. Duomenų apie pacientus, kurių kreatinino klirensas &lt; 15 ml/min., nėra.</w:t>
      </w:r>
    </w:p>
    <w:p w14:paraId="78DC3417" w14:textId="77777777" w:rsidR="00823785" w:rsidRPr="00452D62" w:rsidRDefault="00823785" w:rsidP="00823785">
      <w:pPr>
        <w:rPr>
          <w:sz w:val="22"/>
          <w:szCs w:val="22"/>
        </w:rPr>
      </w:pPr>
      <w:r w:rsidRPr="00452D62">
        <w:rPr>
          <w:sz w:val="22"/>
          <w:szCs w:val="22"/>
        </w:rPr>
        <w:t>Daug rivaroksabano prisijungia prie kraujo plazmos baltymų, todėl jo pašalinimas dialize nėra tikėtinas.</w:t>
      </w:r>
    </w:p>
    <w:p w14:paraId="32C73F1B" w14:textId="6DDBAA40" w:rsidR="00823785" w:rsidRPr="00452D62" w:rsidRDefault="00823785" w:rsidP="00823785">
      <w:pPr>
        <w:tabs>
          <w:tab w:val="clear" w:pos="567"/>
          <w:tab w:val="left" w:pos="0"/>
        </w:tabs>
        <w:rPr>
          <w:sz w:val="22"/>
          <w:szCs w:val="22"/>
        </w:rPr>
      </w:pPr>
      <w:r w:rsidRPr="00452D62">
        <w:rPr>
          <w:sz w:val="22"/>
          <w:szCs w:val="22"/>
        </w:rPr>
        <w:t>Vartojimas nerekomenduojamas pacientams, kurių kreatinino klirensas yra &lt; 15 ml/min. Pacientams, kurių kreatinino klirensas yra 15</w:t>
      </w:r>
      <w:r w:rsidRPr="00452D62">
        <w:rPr>
          <w:sz w:val="22"/>
          <w:szCs w:val="22"/>
        </w:rPr>
        <w:noBreakHyphen/>
        <w:t>29 ml/min., rivaroksabano reikia skirti atsargiai (žr. 4.4 skyrių).</w:t>
      </w:r>
    </w:p>
    <w:p w14:paraId="20CCC641" w14:textId="77777777" w:rsidR="00823785" w:rsidRPr="00452D62" w:rsidRDefault="00823785" w:rsidP="00823785">
      <w:pPr>
        <w:ind w:left="567" w:hanging="567"/>
        <w:rPr>
          <w:sz w:val="22"/>
          <w:szCs w:val="22"/>
        </w:rPr>
      </w:pPr>
    </w:p>
    <w:p w14:paraId="6ADE5E1D" w14:textId="77777777" w:rsidR="00823785" w:rsidRPr="00452D62" w:rsidRDefault="00823785" w:rsidP="00823785">
      <w:pPr>
        <w:rPr>
          <w:sz w:val="22"/>
          <w:szCs w:val="22"/>
        </w:rPr>
      </w:pPr>
      <w:r w:rsidRPr="00452D62">
        <w:rPr>
          <w:sz w:val="22"/>
          <w:szCs w:val="22"/>
          <w:u w:val="single"/>
        </w:rPr>
        <w:t>Farmakokinetikos duomenys pacientams</w:t>
      </w:r>
    </w:p>
    <w:p w14:paraId="6FCD68B5" w14:textId="53A80FCB" w:rsidR="00823785" w:rsidRPr="00452D62" w:rsidRDefault="00823785" w:rsidP="00823785">
      <w:pPr>
        <w:rPr>
          <w:sz w:val="22"/>
          <w:szCs w:val="22"/>
          <w:u w:val="single"/>
        </w:rPr>
      </w:pPr>
      <w:r w:rsidRPr="00452D62">
        <w:rPr>
          <w:sz w:val="22"/>
          <w:szCs w:val="22"/>
        </w:rPr>
        <w:t>ŪKS patyrusiems pacientams, vartojusiems po 2,5 mg rivaroksabano du kartus per parą aterotrombozinių reiškinių profilaktikai, geometrinis koncentracijos vidurkis (90 % prognozavimo intervalas), praėjus 2-4 val. ir maždaug 12 val. po dozės pavartojimo (apytikriai tai atitinka didžiausią ir mažiausią koncentraciją laikotarpiu tarp dozių) buvo atitinkamai 47 (13-123) μg/l ir 9,2 (4,4-18) μg/l.</w:t>
      </w:r>
    </w:p>
    <w:p w14:paraId="3636D06E" w14:textId="77777777" w:rsidR="00823785" w:rsidRPr="00452D62" w:rsidRDefault="00823785" w:rsidP="00823785">
      <w:pPr>
        <w:rPr>
          <w:sz w:val="22"/>
          <w:szCs w:val="22"/>
          <w:u w:val="single"/>
        </w:rPr>
      </w:pPr>
    </w:p>
    <w:p w14:paraId="6FE6DC5B" w14:textId="77777777" w:rsidR="00823785" w:rsidRPr="00452D62" w:rsidRDefault="00823785" w:rsidP="00823785">
      <w:pPr>
        <w:rPr>
          <w:sz w:val="22"/>
          <w:szCs w:val="22"/>
        </w:rPr>
      </w:pPr>
      <w:r w:rsidRPr="00452D62">
        <w:rPr>
          <w:sz w:val="22"/>
          <w:szCs w:val="22"/>
          <w:u w:val="single"/>
        </w:rPr>
        <w:t>Santykis tarp farmakokinetikos ir farmakodinamikos</w:t>
      </w:r>
    </w:p>
    <w:p w14:paraId="06A08B72" w14:textId="77777777" w:rsidR="00823785" w:rsidRPr="00452D62" w:rsidRDefault="00823785" w:rsidP="00823785">
      <w:pPr>
        <w:rPr>
          <w:sz w:val="22"/>
          <w:szCs w:val="22"/>
          <w:u w:val="single"/>
        </w:rPr>
      </w:pPr>
      <w:r w:rsidRPr="00452D62">
        <w:rPr>
          <w:sz w:val="22"/>
          <w:szCs w:val="22"/>
        </w:rPr>
        <w:t xml:space="preserve">Santykis tarp farmakokinetikos ir farmakodinamikos (FK/FD) buvo vertinimas tiriant rivaroksabano koncentraciją kraujo plazmoje ir keletą farmakodinamikos rodmenų (Xa faktoriaus slopinimą, PT, DATL, </w:t>
      </w:r>
      <w:r w:rsidRPr="00452D62">
        <w:rPr>
          <w:i/>
          <w:sz w:val="22"/>
          <w:szCs w:val="22"/>
        </w:rPr>
        <w:t>Heptest</w:t>
      </w:r>
      <w:r w:rsidRPr="00452D62">
        <w:rPr>
          <w:sz w:val="22"/>
          <w:szCs w:val="22"/>
        </w:rPr>
        <w:t>), vartojant įvairias dozes (po 5</w:t>
      </w:r>
      <w:r w:rsidRPr="00452D62">
        <w:rPr>
          <w:sz w:val="22"/>
          <w:szCs w:val="22"/>
        </w:rPr>
        <w:noBreakHyphen/>
        <w:t>30 mg du kartus per parą). Rivaroksabano koncentracijos ir Xa faktoriaus aktyvumo santykį geriausiai apibūdina E</w:t>
      </w:r>
      <w:r w:rsidRPr="00452D62">
        <w:rPr>
          <w:sz w:val="22"/>
          <w:szCs w:val="22"/>
          <w:vertAlign w:val="subscript"/>
        </w:rPr>
        <w:t xml:space="preserve">max </w:t>
      </w:r>
      <w:r w:rsidRPr="00452D62">
        <w:rPr>
          <w:sz w:val="22"/>
          <w:szCs w:val="22"/>
        </w:rPr>
        <w:t xml:space="preserve">modelis. Vertinant PT, geriau duomenis apibūdino tiesinių atkarpų modelis. Priklausomai nuo naudotų skirtingų PT reagentų, pasvirimo reikšmės buvo labai skirtingos. PT tyrimui naudojant </w:t>
      </w:r>
      <w:r w:rsidRPr="00452D62">
        <w:rPr>
          <w:i/>
          <w:iCs/>
          <w:sz w:val="22"/>
          <w:szCs w:val="22"/>
        </w:rPr>
        <w:t>Neoplastin</w:t>
      </w:r>
      <w:r w:rsidRPr="00452D62">
        <w:rPr>
          <w:sz w:val="22"/>
          <w:szCs w:val="22"/>
        </w:rPr>
        <w:t>, bazinis PT buvo apie 13 sekundžių, o pasvirimas buvo apie 3</w:t>
      </w:r>
      <w:r w:rsidRPr="00452D62">
        <w:rPr>
          <w:sz w:val="22"/>
          <w:szCs w:val="22"/>
        </w:rPr>
        <w:noBreakHyphen/>
        <w:t>4 sekundžių/(100 μg/l). FK/FD tyrimų rezultatai II ir III fazės tyrimų metu atitiko duomenis, kurie buvo gauti su sveikais asmenimis.</w:t>
      </w:r>
    </w:p>
    <w:p w14:paraId="5812359B" w14:textId="77777777" w:rsidR="00823785" w:rsidRPr="00452D62" w:rsidRDefault="00823785" w:rsidP="00823785">
      <w:pPr>
        <w:rPr>
          <w:sz w:val="22"/>
          <w:szCs w:val="22"/>
          <w:u w:val="single"/>
        </w:rPr>
      </w:pPr>
    </w:p>
    <w:p w14:paraId="4D9F670E" w14:textId="77777777" w:rsidR="00823785" w:rsidRPr="00452D62" w:rsidRDefault="00823785" w:rsidP="00823785">
      <w:pPr>
        <w:rPr>
          <w:sz w:val="22"/>
          <w:szCs w:val="22"/>
        </w:rPr>
      </w:pPr>
      <w:r w:rsidRPr="00452D62">
        <w:rPr>
          <w:sz w:val="22"/>
          <w:szCs w:val="22"/>
          <w:u w:val="single"/>
        </w:rPr>
        <w:t>Vaikų populiacija</w:t>
      </w:r>
    </w:p>
    <w:p w14:paraId="77416591" w14:textId="621EB817" w:rsidR="00823785" w:rsidRPr="00452D62" w:rsidRDefault="00823785" w:rsidP="00823785">
      <w:pPr>
        <w:tabs>
          <w:tab w:val="clear" w:pos="567"/>
          <w:tab w:val="left" w:pos="0"/>
        </w:tabs>
        <w:rPr>
          <w:iCs/>
          <w:sz w:val="22"/>
          <w:szCs w:val="22"/>
        </w:rPr>
      </w:pPr>
      <w:r w:rsidRPr="00452D62">
        <w:rPr>
          <w:sz w:val="22"/>
          <w:szCs w:val="22"/>
        </w:rPr>
        <w:t xml:space="preserve">Saugumas ir veiksmingumas vaikams ir jaunesniems kaip 18 metų paaugliams </w:t>
      </w:r>
      <w:r w:rsidR="00B26215" w:rsidRPr="00452D62">
        <w:rPr>
          <w:sz w:val="22"/>
          <w:szCs w:val="22"/>
        </w:rPr>
        <w:t>ŪKS ir VAL ir (arba) PAL indikacijoms</w:t>
      </w:r>
      <w:r w:rsidR="00D359DE" w:rsidRPr="00452D62">
        <w:rPr>
          <w:sz w:val="22"/>
          <w:szCs w:val="22"/>
        </w:rPr>
        <w:t xml:space="preserve"> </w:t>
      </w:r>
      <w:r w:rsidRPr="00452D62">
        <w:rPr>
          <w:sz w:val="22"/>
          <w:szCs w:val="22"/>
        </w:rPr>
        <w:t>nenustatyti.</w:t>
      </w:r>
    </w:p>
    <w:p w14:paraId="22E25195" w14:textId="77777777" w:rsidR="00823785" w:rsidRPr="00452D62" w:rsidRDefault="00823785" w:rsidP="00823785">
      <w:pPr>
        <w:ind w:right="-2"/>
        <w:rPr>
          <w:iCs/>
          <w:sz w:val="22"/>
          <w:szCs w:val="22"/>
        </w:rPr>
      </w:pPr>
    </w:p>
    <w:p w14:paraId="5F6075CD" w14:textId="77777777" w:rsidR="00823785" w:rsidRPr="00452D62" w:rsidRDefault="00823785" w:rsidP="00823785">
      <w:pPr>
        <w:widowControl w:val="0"/>
        <w:suppressAutoHyphens w:val="0"/>
        <w:spacing w:line="240" w:lineRule="auto"/>
        <w:ind w:left="567" w:hanging="567"/>
        <w:outlineLvl w:val="2"/>
        <w:rPr>
          <w:sz w:val="22"/>
          <w:szCs w:val="22"/>
        </w:rPr>
      </w:pPr>
      <w:r w:rsidRPr="00452D62">
        <w:rPr>
          <w:b/>
          <w:color w:val="auto"/>
          <w:kern w:val="28"/>
          <w:sz w:val="22"/>
          <w:szCs w:val="22"/>
          <w:lang w:eastAsia="en-US"/>
        </w:rPr>
        <w:t>5.3</w:t>
      </w:r>
      <w:r w:rsidRPr="00452D62">
        <w:rPr>
          <w:b/>
          <w:color w:val="auto"/>
          <w:kern w:val="28"/>
          <w:sz w:val="22"/>
          <w:szCs w:val="22"/>
          <w:lang w:eastAsia="en-US"/>
        </w:rPr>
        <w:tab/>
        <w:t>Ikiklinikinių saugumo tyrimų duomenys</w:t>
      </w:r>
    </w:p>
    <w:p w14:paraId="12942DEA" w14:textId="77777777" w:rsidR="00823785" w:rsidRPr="00452D62" w:rsidRDefault="00823785" w:rsidP="00823785">
      <w:pPr>
        <w:rPr>
          <w:sz w:val="22"/>
          <w:szCs w:val="22"/>
        </w:rPr>
      </w:pPr>
    </w:p>
    <w:p w14:paraId="59B227D3" w14:textId="77777777" w:rsidR="00823785" w:rsidRPr="00452D62" w:rsidRDefault="00823785" w:rsidP="00823785">
      <w:pPr>
        <w:rPr>
          <w:sz w:val="22"/>
          <w:szCs w:val="22"/>
        </w:rPr>
      </w:pPr>
      <w:r w:rsidRPr="00452D62">
        <w:rPr>
          <w:sz w:val="22"/>
          <w:szCs w:val="22"/>
        </w:rPr>
        <w:t>Įprastų farmakologinio saugumo, vienkartinės dozės toksiškumo, fototoksiškumo, genotoksiškumo, galimo kancerogeniškumo ir toksinio poveikio jaunikliams ikiklinikinių tyrimų duomenys specifinio pavojaus žmogui nerodo.</w:t>
      </w:r>
    </w:p>
    <w:p w14:paraId="22AE9DE0" w14:textId="77777777" w:rsidR="00823785" w:rsidRPr="00452D62" w:rsidRDefault="00823785" w:rsidP="00823785">
      <w:pPr>
        <w:rPr>
          <w:sz w:val="22"/>
          <w:szCs w:val="22"/>
        </w:rPr>
      </w:pPr>
      <w:r w:rsidRPr="00452D62">
        <w:rPr>
          <w:sz w:val="22"/>
          <w:szCs w:val="22"/>
        </w:rPr>
        <w:t>Poveikis, nustatytas kartotinių dozių toksiškumo tyrimų metu, daugiausia pasireiškė dėl nenormaliai stipraus farmakodinaminio rivaroksabano poveikio. Atliekant tyrimus su žiurkėmis, buvo nustatyti didesni IgG ir IgA kiekiai kraujo plazmoje, esant kliniškai reikšmingai ekspozicijai.</w:t>
      </w:r>
    </w:p>
    <w:p w14:paraId="1FEB5426" w14:textId="77777777" w:rsidR="00823785" w:rsidRPr="00452D62" w:rsidRDefault="00823785" w:rsidP="00823785">
      <w:pPr>
        <w:rPr>
          <w:sz w:val="22"/>
          <w:szCs w:val="22"/>
        </w:rPr>
      </w:pPr>
      <w:r w:rsidRPr="00452D62">
        <w:rPr>
          <w:sz w:val="22"/>
          <w:szCs w:val="22"/>
        </w:rPr>
        <w:t>Poveikio žiurkių patinų arba patelių vaisingumui nepastebėta. Tyrimai su gyvūnais parodė toksinį poveikį reprodukcijai, jis buvo susijęs su farmakologiniu rivaroksabano veikimo mechanizmu (pvz., hemoraginės komplikacijos). Nustatytas toksinis poveikis embrionui ir vaisiui (vaisiaus žūtis po implantacijos, kaulėjimo proceso sulėtėjimas arba progresavimas, daugybinės šviesios dėmės kepenyse) ir didesnis bendrųjų sklaidos defektų dažnis bei pakitimai placentoje, esant kliniškai reikšmingoms koncentracijoms kraujo plazmoje. Prenatalinių ir postnatalinių tyrimų su žiurkėmis duomenimis, skiriant vaikingoms patelėms toksiškas dozes, nustatytas sumažėjęs atsivestų jauniklių išgyvenamumas.</w:t>
      </w:r>
    </w:p>
    <w:p w14:paraId="2207EB02" w14:textId="77777777" w:rsidR="00823785" w:rsidRPr="00452D62" w:rsidRDefault="00823785" w:rsidP="00823785">
      <w:pPr>
        <w:rPr>
          <w:sz w:val="22"/>
          <w:szCs w:val="22"/>
        </w:rPr>
      </w:pPr>
    </w:p>
    <w:p w14:paraId="24CF5DDB" w14:textId="77777777" w:rsidR="00823785" w:rsidRPr="00452D62" w:rsidRDefault="00823785" w:rsidP="00823785">
      <w:pPr>
        <w:rPr>
          <w:sz w:val="22"/>
          <w:szCs w:val="22"/>
        </w:rPr>
      </w:pPr>
    </w:p>
    <w:p w14:paraId="425061E4" w14:textId="77777777" w:rsidR="00823785" w:rsidRPr="00452D62" w:rsidRDefault="00823785" w:rsidP="00823785">
      <w:pPr>
        <w:widowControl w:val="0"/>
        <w:suppressAutoHyphens w:val="0"/>
        <w:spacing w:line="240" w:lineRule="auto"/>
        <w:ind w:left="567" w:hanging="567"/>
        <w:outlineLvl w:val="1"/>
        <w:rPr>
          <w:b/>
          <w:bCs/>
          <w:color w:val="auto"/>
          <w:sz w:val="22"/>
          <w:szCs w:val="22"/>
          <w:lang w:eastAsia="en-US"/>
        </w:rPr>
      </w:pPr>
      <w:r w:rsidRPr="00452D62">
        <w:rPr>
          <w:b/>
          <w:bCs/>
          <w:color w:val="auto"/>
          <w:sz w:val="22"/>
          <w:szCs w:val="22"/>
          <w:lang w:eastAsia="en-US"/>
        </w:rPr>
        <w:t>6.</w:t>
      </w:r>
      <w:r w:rsidRPr="00452D62">
        <w:rPr>
          <w:b/>
          <w:bCs/>
          <w:color w:val="auto"/>
          <w:sz w:val="22"/>
          <w:szCs w:val="22"/>
          <w:lang w:eastAsia="en-US"/>
        </w:rPr>
        <w:tab/>
        <w:t>FARMACINĖ INFORMACIJA</w:t>
      </w:r>
    </w:p>
    <w:p w14:paraId="20C83EAC" w14:textId="77777777" w:rsidR="00823785" w:rsidRPr="00452D62" w:rsidRDefault="00823785" w:rsidP="00823785">
      <w:pPr>
        <w:rPr>
          <w:sz w:val="22"/>
          <w:szCs w:val="22"/>
        </w:rPr>
      </w:pPr>
    </w:p>
    <w:p w14:paraId="3D1913F7"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6.1</w:t>
      </w:r>
      <w:r w:rsidRPr="00452D62">
        <w:rPr>
          <w:b/>
          <w:color w:val="auto"/>
          <w:kern w:val="28"/>
          <w:sz w:val="22"/>
          <w:szCs w:val="22"/>
          <w:lang w:eastAsia="en-US"/>
        </w:rPr>
        <w:tab/>
        <w:t>Pagalbinių medžiagų sąrašas</w:t>
      </w:r>
    </w:p>
    <w:p w14:paraId="061FCF83" w14:textId="77777777" w:rsidR="00823785" w:rsidRPr="00452D62" w:rsidRDefault="00823785" w:rsidP="00823785">
      <w:pPr>
        <w:rPr>
          <w:i/>
          <w:sz w:val="22"/>
          <w:szCs w:val="22"/>
        </w:rPr>
      </w:pPr>
    </w:p>
    <w:p w14:paraId="0D6893D5" w14:textId="77777777" w:rsidR="00823785" w:rsidRPr="00452D62" w:rsidRDefault="00823785" w:rsidP="00823785">
      <w:pPr>
        <w:rPr>
          <w:sz w:val="22"/>
          <w:szCs w:val="22"/>
          <w:u w:val="single"/>
        </w:rPr>
      </w:pPr>
      <w:r w:rsidRPr="00452D62">
        <w:rPr>
          <w:sz w:val="22"/>
          <w:szCs w:val="22"/>
          <w:u w:val="single"/>
        </w:rPr>
        <w:t>Tabletės branduolys</w:t>
      </w:r>
    </w:p>
    <w:p w14:paraId="7FFC118A" w14:textId="77777777" w:rsidR="00823785" w:rsidRPr="00452D62" w:rsidRDefault="00823785" w:rsidP="00823785">
      <w:pPr>
        <w:rPr>
          <w:sz w:val="22"/>
          <w:szCs w:val="22"/>
        </w:rPr>
      </w:pPr>
      <w:r w:rsidRPr="00452D62">
        <w:rPr>
          <w:sz w:val="22"/>
          <w:szCs w:val="22"/>
        </w:rPr>
        <w:t>Manitolis</w:t>
      </w:r>
    </w:p>
    <w:p w14:paraId="0439E00F" w14:textId="1F1F4047" w:rsidR="00823785" w:rsidRPr="00452D62" w:rsidRDefault="00823785" w:rsidP="00823785">
      <w:pPr>
        <w:rPr>
          <w:sz w:val="22"/>
          <w:szCs w:val="22"/>
        </w:rPr>
      </w:pPr>
      <w:r w:rsidRPr="00452D62">
        <w:rPr>
          <w:sz w:val="22"/>
          <w:szCs w:val="22"/>
        </w:rPr>
        <w:t>Mikrokristalinė celiuliozė</w:t>
      </w:r>
    </w:p>
    <w:p w14:paraId="3B555BEB" w14:textId="77777777" w:rsidR="00823785" w:rsidRPr="00452D62" w:rsidRDefault="00823785" w:rsidP="00823785">
      <w:pPr>
        <w:rPr>
          <w:sz w:val="22"/>
          <w:szCs w:val="22"/>
        </w:rPr>
      </w:pPr>
      <w:r w:rsidRPr="00452D62">
        <w:rPr>
          <w:sz w:val="22"/>
          <w:szCs w:val="22"/>
        </w:rPr>
        <w:t>Makrogolis</w:t>
      </w:r>
    </w:p>
    <w:p w14:paraId="54B41040" w14:textId="77777777" w:rsidR="00823785" w:rsidRPr="00452D62" w:rsidRDefault="00823785" w:rsidP="00823785">
      <w:pPr>
        <w:rPr>
          <w:sz w:val="22"/>
          <w:szCs w:val="22"/>
        </w:rPr>
      </w:pPr>
      <w:r w:rsidRPr="00452D62">
        <w:rPr>
          <w:sz w:val="22"/>
          <w:szCs w:val="22"/>
        </w:rPr>
        <w:t>Poloksameras</w:t>
      </w:r>
    </w:p>
    <w:p w14:paraId="1AE044D7" w14:textId="0CF1B458" w:rsidR="00823785" w:rsidRPr="00452D62" w:rsidRDefault="00823785" w:rsidP="00823785">
      <w:pPr>
        <w:rPr>
          <w:sz w:val="22"/>
          <w:szCs w:val="22"/>
        </w:rPr>
      </w:pPr>
      <w:r w:rsidRPr="00452D62">
        <w:rPr>
          <w:sz w:val="22"/>
          <w:szCs w:val="22"/>
        </w:rPr>
        <w:t>Natrio laurilsulfatas</w:t>
      </w:r>
    </w:p>
    <w:p w14:paraId="28BD9A90" w14:textId="2FA05190" w:rsidR="00823785" w:rsidRPr="00452D62" w:rsidRDefault="00823785" w:rsidP="00823785">
      <w:pPr>
        <w:rPr>
          <w:sz w:val="22"/>
          <w:szCs w:val="22"/>
        </w:rPr>
      </w:pPr>
      <w:r w:rsidRPr="00452D62">
        <w:rPr>
          <w:sz w:val="22"/>
          <w:szCs w:val="22"/>
        </w:rPr>
        <w:t>Kroskarmeliozės natrio druska</w:t>
      </w:r>
    </w:p>
    <w:p w14:paraId="0CDF5178" w14:textId="77777777" w:rsidR="00823785" w:rsidRPr="00452D62" w:rsidRDefault="00823785" w:rsidP="00823785">
      <w:pPr>
        <w:rPr>
          <w:sz w:val="22"/>
          <w:szCs w:val="22"/>
        </w:rPr>
      </w:pPr>
      <w:r w:rsidRPr="00452D62">
        <w:rPr>
          <w:sz w:val="22"/>
          <w:szCs w:val="22"/>
        </w:rPr>
        <w:t>Koloidinis bevandenis silicio dioksidas</w:t>
      </w:r>
    </w:p>
    <w:p w14:paraId="6E45232F" w14:textId="77777777" w:rsidR="00823785" w:rsidRPr="00452D62" w:rsidRDefault="00823785" w:rsidP="00823785">
      <w:pPr>
        <w:rPr>
          <w:sz w:val="22"/>
          <w:szCs w:val="22"/>
        </w:rPr>
      </w:pPr>
      <w:r w:rsidRPr="00452D62">
        <w:rPr>
          <w:sz w:val="22"/>
          <w:szCs w:val="22"/>
        </w:rPr>
        <w:t>Natrio stearilfumaratas</w:t>
      </w:r>
    </w:p>
    <w:p w14:paraId="6D63C3EC" w14:textId="77777777" w:rsidR="00823785" w:rsidRPr="00452D62" w:rsidRDefault="00823785" w:rsidP="00823785">
      <w:pPr>
        <w:rPr>
          <w:sz w:val="22"/>
          <w:szCs w:val="22"/>
          <w:u w:val="single"/>
        </w:rPr>
      </w:pPr>
    </w:p>
    <w:p w14:paraId="27602CB2" w14:textId="77777777" w:rsidR="00823785" w:rsidRPr="00452D62" w:rsidRDefault="00823785" w:rsidP="00823785">
      <w:pPr>
        <w:rPr>
          <w:sz w:val="22"/>
          <w:szCs w:val="22"/>
        </w:rPr>
      </w:pPr>
      <w:r w:rsidRPr="00452D62">
        <w:rPr>
          <w:sz w:val="22"/>
          <w:szCs w:val="22"/>
          <w:u w:val="single"/>
        </w:rPr>
        <w:t>Tabletės plėvelė</w:t>
      </w:r>
    </w:p>
    <w:p w14:paraId="2F9F7B29" w14:textId="77777777" w:rsidR="00823785" w:rsidRPr="00452D62" w:rsidRDefault="00823785" w:rsidP="00823785">
      <w:pPr>
        <w:rPr>
          <w:sz w:val="22"/>
          <w:szCs w:val="22"/>
        </w:rPr>
      </w:pPr>
      <w:r w:rsidRPr="00452D62">
        <w:rPr>
          <w:sz w:val="22"/>
          <w:szCs w:val="22"/>
        </w:rPr>
        <w:t>Hipromeliozė</w:t>
      </w:r>
    </w:p>
    <w:p w14:paraId="1444AD36" w14:textId="77777777" w:rsidR="00823785" w:rsidRPr="00452D62" w:rsidRDefault="00823785" w:rsidP="00823785">
      <w:pPr>
        <w:rPr>
          <w:sz w:val="22"/>
          <w:szCs w:val="22"/>
        </w:rPr>
      </w:pPr>
      <w:r w:rsidRPr="00452D62">
        <w:rPr>
          <w:sz w:val="22"/>
          <w:szCs w:val="22"/>
        </w:rPr>
        <w:t>Makrogolis</w:t>
      </w:r>
    </w:p>
    <w:p w14:paraId="29B5B7E0" w14:textId="77777777" w:rsidR="00823785" w:rsidRPr="00452D62" w:rsidRDefault="00823785" w:rsidP="00823785">
      <w:pPr>
        <w:rPr>
          <w:sz w:val="22"/>
          <w:szCs w:val="22"/>
        </w:rPr>
      </w:pPr>
      <w:r w:rsidRPr="00452D62">
        <w:rPr>
          <w:sz w:val="22"/>
          <w:szCs w:val="22"/>
        </w:rPr>
        <w:t>Titano dioksidas (E171)</w:t>
      </w:r>
    </w:p>
    <w:p w14:paraId="3B5BDC40" w14:textId="77777777" w:rsidR="00823785" w:rsidRPr="00452D62" w:rsidRDefault="00823785" w:rsidP="00823785">
      <w:pPr>
        <w:rPr>
          <w:sz w:val="22"/>
          <w:szCs w:val="22"/>
        </w:rPr>
      </w:pPr>
      <w:r w:rsidRPr="00452D62">
        <w:rPr>
          <w:sz w:val="22"/>
          <w:szCs w:val="22"/>
        </w:rPr>
        <w:t>Geltonasis geležies oksidas (E172)</w:t>
      </w:r>
    </w:p>
    <w:p w14:paraId="4E1D4EDA" w14:textId="77777777" w:rsidR="00823785" w:rsidRPr="00452D62" w:rsidRDefault="00823785" w:rsidP="00823785">
      <w:pPr>
        <w:rPr>
          <w:sz w:val="22"/>
          <w:szCs w:val="22"/>
        </w:rPr>
      </w:pPr>
    </w:p>
    <w:p w14:paraId="5566E599"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6.2</w:t>
      </w:r>
      <w:r w:rsidRPr="00452D62">
        <w:rPr>
          <w:b/>
          <w:color w:val="auto"/>
          <w:kern w:val="28"/>
          <w:sz w:val="22"/>
          <w:szCs w:val="22"/>
          <w:lang w:eastAsia="en-US"/>
        </w:rPr>
        <w:tab/>
        <w:t>Nesuderinamumas</w:t>
      </w:r>
    </w:p>
    <w:p w14:paraId="678307B4" w14:textId="77777777" w:rsidR="00823785" w:rsidRPr="00452D62" w:rsidRDefault="00823785" w:rsidP="00823785">
      <w:pPr>
        <w:rPr>
          <w:sz w:val="22"/>
          <w:szCs w:val="22"/>
        </w:rPr>
      </w:pPr>
    </w:p>
    <w:p w14:paraId="28CB7E87" w14:textId="77777777" w:rsidR="00823785" w:rsidRPr="00452D62" w:rsidRDefault="00823785" w:rsidP="00823785">
      <w:pPr>
        <w:rPr>
          <w:sz w:val="22"/>
          <w:szCs w:val="22"/>
        </w:rPr>
      </w:pPr>
      <w:r w:rsidRPr="00452D62">
        <w:rPr>
          <w:sz w:val="22"/>
          <w:szCs w:val="22"/>
        </w:rPr>
        <w:t>Duomenys nebūtini.</w:t>
      </w:r>
    </w:p>
    <w:p w14:paraId="21C1B75E" w14:textId="77777777" w:rsidR="00823785" w:rsidRPr="00452D62" w:rsidRDefault="00823785" w:rsidP="00823785">
      <w:pPr>
        <w:rPr>
          <w:sz w:val="22"/>
          <w:szCs w:val="22"/>
        </w:rPr>
      </w:pPr>
    </w:p>
    <w:p w14:paraId="1FA45F13"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6.3</w:t>
      </w:r>
      <w:r w:rsidRPr="00452D62">
        <w:rPr>
          <w:b/>
          <w:color w:val="auto"/>
          <w:kern w:val="28"/>
          <w:sz w:val="22"/>
          <w:szCs w:val="22"/>
          <w:lang w:eastAsia="en-US"/>
        </w:rPr>
        <w:tab/>
        <w:t>Tinkamumo laikas</w:t>
      </w:r>
    </w:p>
    <w:p w14:paraId="7FE03224" w14:textId="77777777" w:rsidR="00823785" w:rsidRPr="00452D62" w:rsidRDefault="00823785" w:rsidP="00823785">
      <w:pPr>
        <w:rPr>
          <w:sz w:val="22"/>
          <w:szCs w:val="22"/>
        </w:rPr>
      </w:pPr>
    </w:p>
    <w:p w14:paraId="56F091E7" w14:textId="391C243F" w:rsidR="00823785" w:rsidRPr="000877E9" w:rsidRDefault="001270B2" w:rsidP="00823785">
      <w:pPr>
        <w:rPr>
          <w:sz w:val="22"/>
          <w:szCs w:val="22"/>
        </w:rPr>
      </w:pPr>
      <w:r w:rsidRPr="00452D62">
        <w:rPr>
          <w:sz w:val="22"/>
          <w:szCs w:val="22"/>
        </w:rPr>
        <w:t>3 m</w:t>
      </w:r>
      <w:r w:rsidRPr="000877E9">
        <w:rPr>
          <w:sz w:val="22"/>
          <w:szCs w:val="22"/>
        </w:rPr>
        <w:t>etai</w:t>
      </w:r>
    </w:p>
    <w:p w14:paraId="661A2A73" w14:textId="77777777" w:rsidR="00823785" w:rsidRPr="00452D62" w:rsidRDefault="00823785" w:rsidP="00823785">
      <w:pPr>
        <w:rPr>
          <w:sz w:val="22"/>
          <w:szCs w:val="22"/>
        </w:rPr>
      </w:pPr>
    </w:p>
    <w:p w14:paraId="14DB6E53"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6.4</w:t>
      </w:r>
      <w:r w:rsidRPr="00452D62">
        <w:rPr>
          <w:b/>
          <w:color w:val="auto"/>
          <w:kern w:val="28"/>
          <w:sz w:val="22"/>
          <w:szCs w:val="22"/>
          <w:lang w:eastAsia="en-US"/>
        </w:rPr>
        <w:tab/>
        <w:t>Specialios laikymo sąlygos</w:t>
      </w:r>
    </w:p>
    <w:p w14:paraId="412412E3" w14:textId="77777777" w:rsidR="00823785" w:rsidRPr="00452D62" w:rsidRDefault="00823785" w:rsidP="00823785">
      <w:pPr>
        <w:ind w:left="567" w:hanging="567"/>
        <w:rPr>
          <w:sz w:val="22"/>
          <w:szCs w:val="22"/>
        </w:rPr>
      </w:pPr>
    </w:p>
    <w:p w14:paraId="1FF552CD" w14:textId="77777777" w:rsidR="00823785" w:rsidRPr="00452D62" w:rsidRDefault="00823785" w:rsidP="00823785">
      <w:pPr>
        <w:rPr>
          <w:sz w:val="22"/>
          <w:szCs w:val="22"/>
        </w:rPr>
      </w:pPr>
      <w:r w:rsidRPr="00452D62">
        <w:rPr>
          <w:sz w:val="22"/>
          <w:szCs w:val="22"/>
        </w:rPr>
        <w:t>Šiam vaistiniam preparatui specialių laikymo sąlygų nereikia.</w:t>
      </w:r>
    </w:p>
    <w:p w14:paraId="21764F20" w14:textId="77777777" w:rsidR="00823785" w:rsidRPr="00452D62" w:rsidRDefault="00823785" w:rsidP="00823785">
      <w:pPr>
        <w:rPr>
          <w:sz w:val="22"/>
          <w:szCs w:val="22"/>
        </w:rPr>
      </w:pPr>
    </w:p>
    <w:p w14:paraId="52C6517F" w14:textId="77777777" w:rsidR="00823785" w:rsidRPr="00452D62" w:rsidRDefault="00823785" w:rsidP="00823785">
      <w:pPr>
        <w:widowControl w:val="0"/>
        <w:suppressAutoHyphens w:val="0"/>
        <w:spacing w:line="240" w:lineRule="auto"/>
        <w:ind w:left="567" w:hanging="567"/>
        <w:outlineLvl w:val="2"/>
        <w:rPr>
          <w:b/>
          <w:sz w:val="22"/>
          <w:szCs w:val="22"/>
        </w:rPr>
      </w:pPr>
      <w:r w:rsidRPr="00452D62">
        <w:rPr>
          <w:b/>
          <w:color w:val="auto"/>
          <w:kern w:val="28"/>
          <w:sz w:val="22"/>
          <w:szCs w:val="22"/>
          <w:lang w:eastAsia="en-US"/>
        </w:rPr>
        <w:t>6.5</w:t>
      </w:r>
      <w:r w:rsidRPr="00452D62">
        <w:rPr>
          <w:b/>
          <w:color w:val="auto"/>
          <w:kern w:val="28"/>
          <w:sz w:val="22"/>
          <w:szCs w:val="22"/>
          <w:lang w:eastAsia="en-US"/>
        </w:rPr>
        <w:tab/>
        <w:t>Talpyklės pobūdis ir jos turinys</w:t>
      </w:r>
    </w:p>
    <w:p w14:paraId="1D314AEF" w14:textId="77777777" w:rsidR="00823785" w:rsidRPr="00452D62" w:rsidRDefault="00823785" w:rsidP="00823785">
      <w:pPr>
        <w:rPr>
          <w:b/>
          <w:sz w:val="22"/>
          <w:szCs w:val="22"/>
        </w:rPr>
      </w:pPr>
    </w:p>
    <w:p w14:paraId="0714657B" w14:textId="77777777" w:rsidR="00823785" w:rsidRPr="00452D62" w:rsidRDefault="00823785" w:rsidP="00823785">
      <w:pPr>
        <w:rPr>
          <w:sz w:val="22"/>
          <w:szCs w:val="22"/>
        </w:rPr>
      </w:pPr>
      <w:r w:rsidRPr="00452D62">
        <w:rPr>
          <w:sz w:val="22"/>
          <w:szCs w:val="22"/>
        </w:rPr>
        <w:t>Lizdinė plokštelė (PVC/PVDC/PVC permatoma forminė folija//aliuminio folija): 10, 15, 30, 60, 90 ar 100 plėvele dengtų tablečių dėžutėje.</w:t>
      </w:r>
    </w:p>
    <w:p w14:paraId="3485CB11" w14:textId="77777777" w:rsidR="00823785" w:rsidRPr="00452D62" w:rsidRDefault="00823785" w:rsidP="00823785">
      <w:pPr>
        <w:rPr>
          <w:sz w:val="22"/>
          <w:szCs w:val="22"/>
        </w:rPr>
      </w:pPr>
      <w:r w:rsidRPr="00452D62">
        <w:rPr>
          <w:sz w:val="22"/>
          <w:szCs w:val="22"/>
        </w:rPr>
        <w:t>Perforuota dalomoji lizdinė plokštelė (PVC/PVDC/PVC permatoma forminė folija//aliuminio folija): 10 x 1, 30 x 1, 60 x 1, 90 x 1 ar 100 x 1 plėvele dengtų tablečių dėžutėje.</w:t>
      </w:r>
    </w:p>
    <w:p w14:paraId="0BCC2B89" w14:textId="77777777" w:rsidR="00823785" w:rsidRPr="00452D62" w:rsidRDefault="00823785" w:rsidP="00823785">
      <w:pPr>
        <w:rPr>
          <w:sz w:val="22"/>
          <w:szCs w:val="22"/>
        </w:rPr>
      </w:pPr>
      <w:r w:rsidRPr="00452D62">
        <w:rPr>
          <w:sz w:val="22"/>
          <w:szCs w:val="22"/>
        </w:rPr>
        <w:t>Lizdinė plokštelė (PVC/PVDC/PVC permatoma forminė folija//aliuminio folija), kalendorinė pakuotė: 14, 28, 42, 56 ar 98 plėvele dengtos tabletės dėžutėje.</w:t>
      </w:r>
    </w:p>
    <w:p w14:paraId="32AEF0E0" w14:textId="77777777" w:rsidR="00823785" w:rsidRPr="00452D62" w:rsidRDefault="00823785" w:rsidP="00823785">
      <w:pPr>
        <w:rPr>
          <w:sz w:val="22"/>
          <w:szCs w:val="22"/>
        </w:rPr>
      </w:pPr>
    </w:p>
    <w:p w14:paraId="7C5B8D80" w14:textId="77777777" w:rsidR="00823785" w:rsidRPr="00452D62" w:rsidRDefault="00823785" w:rsidP="00823785">
      <w:pPr>
        <w:rPr>
          <w:sz w:val="22"/>
          <w:szCs w:val="22"/>
        </w:rPr>
      </w:pPr>
      <w:r w:rsidRPr="00452D62">
        <w:rPr>
          <w:sz w:val="22"/>
          <w:szCs w:val="22"/>
        </w:rPr>
        <w:t>Kiekvienoje vaistinio preparato pakuotėje yra paciento budrumo kortelė.</w:t>
      </w:r>
    </w:p>
    <w:p w14:paraId="5F505651" w14:textId="77777777" w:rsidR="00823785" w:rsidRPr="00452D62" w:rsidRDefault="00823785" w:rsidP="00823785">
      <w:pPr>
        <w:rPr>
          <w:sz w:val="22"/>
          <w:szCs w:val="22"/>
        </w:rPr>
      </w:pPr>
    </w:p>
    <w:p w14:paraId="280C5425" w14:textId="77777777" w:rsidR="00823785" w:rsidRPr="00452D62" w:rsidRDefault="00823785" w:rsidP="00823785">
      <w:pPr>
        <w:rPr>
          <w:sz w:val="22"/>
          <w:szCs w:val="22"/>
        </w:rPr>
      </w:pPr>
      <w:r w:rsidRPr="00452D62">
        <w:rPr>
          <w:sz w:val="22"/>
          <w:szCs w:val="22"/>
        </w:rPr>
        <w:t>Gali būti tiekiamos ne visų dydžių pakuotės.</w:t>
      </w:r>
    </w:p>
    <w:p w14:paraId="7C04C66F" w14:textId="77777777" w:rsidR="00823785" w:rsidRPr="00452D62" w:rsidRDefault="00823785" w:rsidP="00823785">
      <w:pPr>
        <w:rPr>
          <w:sz w:val="22"/>
          <w:szCs w:val="22"/>
        </w:rPr>
      </w:pPr>
    </w:p>
    <w:p w14:paraId="5E3D9CF7"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bookmarkStart w:id="0" w:name="OLE_LINK1"/>
      <w:r w:rsidRPr="00452D62">
        <w:rPr>
          <w:b/>
          <w:color w:val="auto"/>
          <w:kern w:val="28"/>
          <w:sz w:val="22"/>
          <w:szCs w:val="22"/>
          <w:lang w:eastAsia="en-US"/>
        </w:rPr>
        <w:t>6.6</w:t>
      </w:r>
      <w:r w:rsidRPr="00452D62">
        <w:rPr>
          <w:b/>
          <w:color w:val="auto"/>
          <w:kern w:val="28"/>
          <w:sz w:val="22"/>
          <w:szCs w:val="22"/>
          <w:lang w:eastAsia="en-US"/>
        </w:rPr>
        <w:tab/>
        <w:t>Specialūs reikalavimai atliekoms tvarkyti ir vaistiniam preparatui ruošti</w:t>
      </w:r>
    </w:p>
    <w:bookmarkEnd w:id="0"/>
    <w:p w14:paraId="7CBB8751" w14:textId="77777777" w:rsidR="00823785" w:rsidRPr="00452D62" w:rsidRDefault="00823785" w:rsidP="00823785">
      <w:pPr>
        <w:rPr>
          <w:sz w:val="22"/>
          <w:szCs w:val="22"/>
        </w:rPr>
      </w:pPr>
    </w:p>
    <w:p w14:paraId="41433B97" w14:textId="77777777" w:rsidR="00823785" w:rsidRPr="00452D62" w:rsidRDefault="00823785" w:rsidP="00823785">
      <w:pPr>
        <w:rPr>
          <w:sz w:val="22"/>
          <w:szCs w:val="22"/>
        </w:rPr>
      </w:pPr>
      <w:r w:rsidRPr="00452D62">
        <w:rPr>
          <w:sz w:val="22"/>
          <w:szCs w:val="22"/>
        </w:rPr>
        <w:t>Specialių reikalavimų atliekoms tvarkyti nėra.</w:t>
      </w:r>
    </w:p>
    <w:p w14:paraId="4B51F1C9" w14:textId="77777777" w:rsidR="00823785" w:rsidRPr="00452D62" w:rsidRDefault="00823785" w:rsidP="00823785">
      <w:pPr>
        <w:rPr>
          <w:sz w:val="22"/>
          <w:szCs w:val="22"/>
        </w:rPr>
      </w:pPr>
    </w:p>
    <w:p w14:paraId="21B5955F" w14:textId="77777777" w:rsidR="00823785" w:rsidRPr="00452D62" w:rsidRDefault="00823785" w:rsidP="00823785">
      <w:pPr>
        <w:rPr>
          <w:sz w:val="22"/>
          <w:szCs w:val="22"/>
          <w:u w:val="single"/>
        </w:rPr>
      </w:pPr>
      <w:r w:rsidRPr="00452D62">
        <w:rPr>
          <w:sz w:val="22"/>
          <w:szCs w:val="22"/>
          <w:u w:val="single"/>
        </w:rPr>
        <w:t>Tablečių smulkinimas</w:t>
      </w:r>
    </w:p>
    <w:p w14:paraId="4E301FD3" w14:textId="77777777" w:rsidR="00823785" w:rsidRPr="00452D62" w:rsidRDefault="00823785" w:rsidP="00823785">
      <w:pPr>
        <w:rPr>
          <w:sz w:val="22"/>
          <w:szCs w:val="22"/>
        </w:rPr>
      </w:pPr>
      <w:r w:rsidRPr="00452D62">
        <w:rPr>
          <w:sz w:val="22"/>
          <w:szCs w:val="22"/>
        </w:rPr>
        <w:t>Rivaroksabano tabletes galima susmulkinti ir, sumaišius su 50 ml vandens, vartoti per nazogastrinį vamzdelį arba skrandžio maitinimo vamzdelį, įsitikinus, kad vamzdelis yra tinkamai įstatytas į skrandį. Po to vamzdelį reikia praskalauti vandeniu. Kadangi rivaroksabano absorbcija priklauso nuo veikliosios medžiagos atpalaidavimo vietos, reikia vengti rivaroksabaną skirti distaliau skrandžio, nes dėl to jis gali būti prasčiau absorbuojamas, ir dėl to gali sumažėti veikliosios medžiagos ekspozicija. Pavartojus 2,5 mg tablečių, enterinis maitinimas iškart nėra būtinas.</w:t>
      </w:r>
    </w:p>
    <w:p w14:paraId="1E5592DF" w14:textId="77777777" w:rsidR="00823785" w:rsidRPr="00452D62" w:rsidRDefault="00823785" w:rsidP="00823785">
      <w:pPr>
        <w:rPr>
          <w:sz w:val="22"/>
          <w:szCs w:val="22"/>
        </w:rPr>
      </w:pPr>
    </w:p>
    <w:p w14:paraId="53F040B0" w14:textId="77777777" w:rsidR="00823785" w:rsidRPr="00452D62" w:rsidRDefault="00823785" w:rsidP="00823785">
      <w:pPr>
        <w:widowControl w:val="0"/>
        <w:suppressAutoHyphens w:val="0"/>
        <w:spacing w:line="240" w:lineRule="auto"/>
        <w:ind w:left="567" w:hanging="567"/>
        <w:outlineLvl w:val="1"/>
        <w:rPr>
          <w:b/>
          <w:bCs/>
          <w:color w:val="auto"/>
          <w:sz w:val="22"/>
          <w:szCs w:val="22"/>
          <w:lang w:eastAsia="en-US"/>
        </w:rPr>
      </w:pPr>
      <w:r w:rsidRPr="00452D62">
        <w:rPr>
          <w:b/>
          <w:bCs/>
          <w:color w:val="auto"/>
          <w:sz w:val="22"/>
          <w:szCs w:val="22"/>
          <w:lang w:eastAsia="en-US"/>
        </w:rPr>
        <w:t>7.</w:t>
      </w:r>
      <w:r w:rsidRPr="00452D62">
        <w:rPr>
          <w:b/>
          <w:bCs/>
          <w:color w:val="auto"/>
          <w:sz w:val="22"/>
          <w:szCs w:val="22"/>
          <w:lang w:eastAsia="en-US"/>
        </w:rPr>
        <w:tab/>
        <w:t>REGISTRUOTOJAS</w:t>
      </w:r>
    </w:p>
    <w:p w14:paraId="42EE8B4F" w14:textId="77777777" w:rsidR="00823785" w:rsidRPr="00452D62" w:rsidRDefault="00823785" w:rsidP="00823785">
      <w:pPr>
        <w:rPr>
          <w:sz w:val="22"/>
          <w:szCs w:val="22"/>
        </w:rPr>
      </w:pPr>
    </w:p>
    <w:p w14:paraId="54633AB4" w14:textId="77777777" w:rsidR="00823785" w:rsidRPr="00452D62" w:rsidRDefault="00823785" w:rsidP="00823785">
      <w:pPr>
        <w:widowControl w:val="0"/>
        <w:tabs>
          <w:tab w:val="clear" w:pos="567"/>
          <w:tab w:val="left" w:pos="540"/>
        </w:tabs>
        <w:suppressAutoHyphens w:val="0"/>
        <w:spacing w:line="240" w:lineRule="auto"/>
        <w:rPr>
          <w:rFonts w:eastAsia="Calibri"/>
          <w:color w:val="auto"/>
          <w:sz w:val="22"/>
          <w:szCs w:val="22"/>
          <w:lang w:eastAsia="en-US"/>
        </w:rPr>
      </w:pPr>
      <w:r w:rsidRPr="00452D62">
        <w:rPr>
          <w:rFonts w:eastAsia="Calibri"/>
          <w:color w:val="auto"/>
          <w:sz w:val="22"/>
          <w:szCs w:val="22"/>
          <w:lang w:eastAsia="en-US"/>
        </w:rPr>
        <w:t>KRKA d.d. Novo mesto</w:t>
      </w:r>
    </w:p>
    <w:p w14:paraId="7DCFDF88" w14:textId="77777777" w:rsidR="00823785" w:rsidRPr="00452D62" w:rsidRDefault="00823785" w:rsidP="00823785">
      <w:pPr>
        <w:widowControl w:val="0"/>
        <w:tabs>
          <w:tab w:val="clear" w:pos="567"/>
          <w:tab w:val="left" w:pos="540"/>
        </w:tabs>
        <w:suppressAutoHyphens w:val="0"/>
        <w:spacing w:line="240" w:lineRule="auto"/>
        <w:rPr>
          <w:rFonts w:eastAsia="Calibri"/>
          <w:color w:val="auto"/>
          <w:sz w:val="22"/>
          <w:szCs w:val="22"/>
          <w:lang w:eastAsia="en-US"/>
        </w:rPr>
      </w:pPr>
      <w:r w:rsidRPr="00452D62">
        <w:rPr>
          <w:rFonts w:eastAsia="Calibri"/>
          <w:color w:val="auto"/>
          <w:sz w:val="22"/>
          <w:szCs w:val="22"/>
          <w:lang w:eastAsia="en-US"/>
        </w:rPr>
        <w:t>Šmarješka cesta 6</w:t>
      </w:r>
    </w:p>
    <w:p w14:paraId="2ABF63F0" w14:textId="77777777" w:rsidR="00823785" w:rsidRPr="00452D62" w:rsidRDefault="00823785" w:rsidP="00823785">
      <w:pPr>
        <w:widowControl w:val="0"/>
        <w:tabs>
          <w:tab w:val="clear" w:pos="567"/>
          <w:tab w:val="left" w:pos="540"/>
        </w:tabs>
        <w:suppressAutoHyphens w:val="0"/>
        <w:spacing w:line="240" w:lineRule="auto"/>
        <w:rPr>
          <w:rFonts w:eastAsia="Calibri"/>
          <w:color w:val="auto"/>
          <w:sz w:val="22"/>
          <w:szCs w:val="22"/>
          <w:lang w:eastAsia="en-US"/>
        </w:rPr>
      </w:pPr>
      <w:r w:rsidRPr="00452D62">
        <w:rPr>
          <w:rFonts w:eastAsia="Calibri"/>
          <w:color w:val="auto"/>
          <w:sz w:val="22"/>
          <w:szCs w:val="22"/>
          <w:lang w:eastAsia="en-US"/>
        </w:rPr>
        <w:t>8501 Novo mesto</w:t>
      </w:r>
    </w:p>
    <w:p w14:paraId="0B69A7A9" w14:textId="77777777" w:rsidR="00823785" w:rsidRPr="00452D62" w:rsidRDefault="00823785" w:rsidP="00823785">
      <w:pPr>
        <w:widowControl w:val="0"/>
        <w:tabs>
          <w:tab w:val="clear" w:pos="567"/>
          <w:tab w:val="left" w:pos="540"/>
        </w:tabs>
        <w:suppressAutoHyphens w:val="0"/>
        <w:spacing w:line="240" w:lineRule="auto"/>
        <w:rPr>
          <w:rFonts w:eastAsia="Calibri"/>
          <w:color w:val="auto"/>
          <w:sz w:val="22"/>
          <w:szCs w:val="22"/>
          <w:lang w:eastAsia="en-US"/>
        </w:rPr>
      </w:pPr>
      <w:r w:rsidRPr="00452D62">
        <w:rPr>
          <w:rFonts w:eastAsia="Calibri"/>
          <w:color w:val="auto"/>
          <w:sz w:val="22"/>
          <w:szCs w:val="22"/>
          <w:lang w:eastAsia="en-US"/>
        </w:rPr>
        <w:t>Slovėnija</w:t>
      </w:r>
    </w:p>
    <w:p w14:paraId="6F51BE15" w14:textId="77777777" w:rsidR="00823785" w:rsidRPr="00452D62" w:rsidRDefault="00823785" w:rsidP="00823785">
      <w:pPr>
        <w:rPr>
          <w:sz w:val="22"/>
          <w:szCs w:val="22"/>
        </w:rPr>
      </w:pPr>
    </w:p>
    <w:p w14:paraId="2DF6149B" w14:textId="77777777" w:rsidR="00823785" w:rsidRPr="00452D62" w:rsidRDefault="00823785" w:rsidP="00823785">
      <w:pPr>
        <w:rPr>
          <w:sz w:val="22"/>
          <w:szCs w:val="22"/>
        </w:rPr>
      </w:pPr>
    </w:p>
    <w:p w14:paraId="54814437" w14:textId="77777777" w:rsidR="00823785" w:rsidRPr="00452D62" w:rsidRDefault="00823785" w:rsidP="00823785">
      <w:pPr>
        <w:widowControl w:val="0"/>
        <w:suppressAutoHyphens w:val="0"/>
        <w:spacing w:line="240" w:lineRule="auto"/>
        <w:ind w:left="567" w:hanging="567"/>
        <w:outlineLvl w:val="1"/>
        <w:rPr>
          <w:b/>
          <w:bCs/>
          <w:color w:val="auto"/>
          <w:sz w:val="22"/>
          <w:szCs w:val="22"/>
          <w:lang w:eastAsia="en-US"/>
        </w:rPr>
      </w:pPr>
      <w:r w:rsidRPr="00452D62">
        <w:rPr>
          <w:b/>
          <w:bCs/>
          <w:color w:val="auto"/>
          <w:sz w:val="22"/>
          <w:szCs w:val="22"/>
          <w:lang w:eastAsia="en-US"/>
        </w:rPr>
        <w:t>8.</w:t>
      </w:r>
      <w:r w:rsidRPr="00452D62">
        <w:rPr>
          <w:b/>
          <w:bCs/>
          <w:color w:val="auto"/>
          <w:sz w:val="22"/>
          <w:szCs w:val="22"/>
          <w:lang w:eastAsia="en-US"/>
        </w:rPr>
        <w:tab/>
        <w:t>REGISTRACIJOS PAŽYMĖJIMO NUMERIS (-IAI)</w:t>
      </w:r>
    </w:p>
    <w:p w14:paraId="7E22DDE0" w14:textId="77777777" w:rsidR="00823785" w:rsidRPr="00452D62" w:rsidRDefault="00823785" w:rsidP="00823785">
      <w:pPr>
        <w:rPr>
          <w:sz w:val="22"/>
          <w:szCs w:val="22"/>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3020"/>
        <w:gridCol w:w="3020"/>
      </w:tblGrid>
      <w:tr w:rsidR="00823785" w:rsidRPr="00452D62" w14:paraId="23029C49" w14:textId="77777777" w:rsidTr="006453B9">
        <w:tc>
          <w:tcPr>
            <w:tcW w:w="3020" w:type="dxa"/>
          </w:tcPr>
          <w:p w14:paraId="1AA6C9CC" w14:textId="77777777" w:rsidR="00823785" w:rsidRPr="00DC472E" w:rsidRDefault="00823785" w:rsidP="006453B9">
            <w:pPr>
              <w:spacing w:line="240" w:lineRule="auto"/>
              <w:rPr>
                <w:rFonts w:ascii="Times New Roman" w:hAnsi="Times New Roman"/>
                <w:sz w:val="22"/>
                <w:szCs w:val="22"/>
                <w:u w:val="single"/>
              </w:rPr>
            </w:pPr>
            <w:r w:rsidRPr="00DC472E">
              <w:rPr>
                <w:rFonts w:ascii="Times New Roman" w:hAnsi="Times New Roman"/>
                <w:sz w:val="22"/>
                <w:szCs w:val="22"/>
                <w:u w:val="single"/>
              </w:rPr>
              <w:t>lizdinė plokštelė</w:t>
            </w:r>
          </w:p>
          <w:p w14:paraId="0B984E7C" w14:textId="77777777" w:rsidR="00823785" w:rsidRPr="00DC472E" w:rsidRDefault="00823785" w:rsidP="006453B9">
            <w:pPr>
              <w:spacing w:line="240" w:lineRule="auto"/>
              <w:rPr>
                <w:rFonts w:ascii="Times New Roman" w:hAnsi="Times New Roman"/>
                <w:sz w:val="22"/>
                <w:szCs w:val="22"/>
              </w:rPr>
            </w:pPr>
            <w:r w:rsidRPr="00DC472E">
              <w:rPr>
                <w:rFonts w:ascii="Times New Roman" w:hAnsi="Times New Roman"/>
                <w:sz w:val="22"/>
                <w:szCs w:val="22"/>
              </w:rPr>
              <w:t>LT/1/20/4558/001 – N10</w:t>
            </w:r>
          </w:p>
          <w:p w14:paraId="6D07A770" w14:textId="77777777" w:rsidR="00823785" w:rsidRPr="00DC472E" w:rsidRDefault="00823785" w:rsidP="006453B9">
            <w:pPr>
              <w:spacing w:line="240" w:lineRule="auto"/>
              <w:rPr>
                <w:rFonts w:ascii="Times New Roman" w:hAnsi="Times New Roman"/>
                <w:sz w:val="22"/>
                <w:szCs w:val="22"/>
              </w:rPr>
            </w:pPr>
            <w:r w:rsidRPr="00DC472E">
              <w:rPr>
                <w:rFonts w:ascii="Times New Roman" w:hAnsi="Times New Roman"/>
                <w:sz w:val="22"/>
                <w:szCs w:val="22"/>
              </w:rPr>
              <w:t>LT/1/20/4558/002 – N15</w:t>
            </w:r>
          </w:p>
          <w:p w14:paraId="59AF5CF6" w14:textId="77777777" w:rsidR="00823785" w:rsidRPr="00DC472E" w:rsidRDefault="00823785" w:rsidP="006453B9">
            <w:pPr>
              <w:spacing w:line="240" w:lineRule="auto"/>
              <w:rPr>
                <w:rFonts w:ascii="Times New Roman" w:hAnsi="Times New Roman"/>
                <w:sz w:val="22"/>
                <w:szCs w:val="22"/>
              </w:rPr>
            </w:pPr>
            <w:r w:rsidRPr="00DC472E">
              <w:rPr>
                <w:rFonts w:ascii="Times New Roman" w:hAnsi="Times New Roman"/>
                <w:sz w:val="22"/>
                <w:szCs w:val="22"/>
              </w:rPr>
              <w:t>LT/1/20/4558/003 – N30</w:t>
            </w:r>
          </w:p>
          <w:p w14:paraId="378E2B26" w14:textId="77777777" w:rsidR="00823785" w:rsidRPr="00DC472E" w:rsidRDefault="00823785" w:rsidP="006453B9">
            <w:pPr>
              <w:spacing w:line="240" w:lineRule="auto"/>
              <w:rPr>
                <w:rFonts w:ascii="Times New Roman" w:hAnsi="Times New Roman"/>
                <w:sz w:val="22"/>
                <w:szCs w:val="22"/>
              </w:rPr>
            </w:pPr>
            <w:r w:rsidRPr="00DC472E">
              <w:rPr>
                <w:rFonts w:ascii="Times New Roman" w:hAnsi="Times New Roman"/>
                <w:sz w:val="22"/>
                <w:szCs w:val="22"/>
              </w:rPr>
              <w:t>LT/1/20/4558/004 – N60</w:t>
            </w:r>
          </w:p>
          <w:p w14:paraId="641A2C37" w14:textId="77777777" w:rsidR="00823785" w:rsidRPr="00DC472E" w:rsidRDefault="00823785" w:rsidP="006453B9">
            <w:pPr>
              <w:spacing w:line="240" w:lineRule="auto"/>
              <w:rPr>
                <w:rFonts w:ascii="Times New Roman" w:hAnsi="Times New Roman"/>
                <w:sz w:val="22"/>
                <w:szCs w:val="22"/>
              </w:rPr>
            </w:pPr>
            <w:r w:rsidRPr="00DC472E">
              <w:rPr>
                <w:rFonts w:ascii="Times New Roman" w:hAnsi="Times New Roman"/>
                <w:sz w:val="22"/>
                <w:szCs w:val="22"/>
              </w:rPr>
              <w:t>LT/1/20/4558/005 – N90</w:t>
            </w:r>
          </w:p>
          <w:p w14:paraId="5B1F2AE5" w14:textId="77777777" w:rsidR="00823785" w:rsidRPr="00DC472E" w:rsidRDefault="00823785" w:rsidP="006453B9">
            <w:pPr>
              <w:spacing w:line="240" w:lineRule="auto"/>
              <w:rPr>
                <w:rFonts w:ascii="Times New Roman" w:hAnsi="Times New Roman"/>
                <w:sz w:val="22"/>
                <w:szCs w:val="22"/>
              </w:rPr>
            </w:pPr>
            <w:r w:rsidRPr="00DC472E">
              <w:rPr>
                <w:rFonts w:ascii="Times New Roman" w:hAnsi="Times New Roman"/>
                <w:sz w:val="22"/>
                <w:szCs w:val="22"/>
              </w:rPr>
              <w:t>LT/1/20/4558/006 – N100</w:t>
            </w:r>
          </w:p>
        </w:tc>
        <w:tc>
          <w:tcPr>
            <w:tcW w:w="3020" w:type="dxa"/>
          </w:tcPr>
          <w:p w14:paraId="55BD8921" w14:textId="77777777" w:rsidR="00823785" w:rsidRPr="00DC472E" w:rsidRDefault="00823785" w:rsidP="006453B9">
            <w:pPr>
              <w:spacing w:line="240" w:lineRule="auto"/>
              <w:rPr>
                <w:rFonts w:ascii="Times New Roman" w:hAnsi="Times New Roman"/>
                <w:sz w:val="22"/>
                <w:szCs w:val="22"/>
                <w:u w:val="single"/>
              </w:rPr>
            </w:pPr>
            <w:r w:rsidRPr="00DC472E">
              <w:rPr>
                <w:rFonts w:ascii="Times New Roman" w:hAnsi="Times New Roman"/>
                <w:sz w:val="22"/>
                <w:szCs w:val="22"/>
                <w:u w:val="single"/>
              </w:rPr>
              <w:t>dalomoji lizdinė plokštelė</w:t>
            </w:r>
          </w:p>
          <w:p w14:paraId="63428D14" w14:textId="77777777" w:rsidR="00823785" w:rsidRPr="00DC472E" w:rsidRDefault="00823785" w:rsidP="006453B9">
            <w:pPr>
              <w:spacing w:line="240" w:lineRule="auto"/>
              <w:rPr>
                <w:rFonts w:ascii="Times New Roman" w:hAnsi="Times New Roman"/>
                <w:sz w:val="22"/>
                <w:szCs w:val="22"/>
              </w:rPr>
            </w:pPr>
            <w:r w:rsidRPr="00DC472E">
              <w:rPr>
                <w:rFonts w:ascii="Times New Roman" w:hAnsi="Times New Roman"/>
                <w:sz w:val="22"/>
                <w:szCs w:val="22"/>
              </w:rPr>
              <w:t>LT/1/20/4558/007 – N10x1</w:t>
            </w:r>
          </w:p>
          <w:p w14:paraId="0B2B2D28" w14:textId="77777777" w:rsidR="00823785" w:rsidRPr="00DC472E" w:rsidRDefault="00823785" w:rsidP="006453B9">
            <w:pPr>
              <w:spacing w:line="240" w:lineRule="auto"/>
              <w:rPr>
                <w:rFonts w:ascii="Times New Roman" w:hAnsi="Times New Roman"/>
                <w:sz w:val="22"/>
                <w:szCs w:val="22"/>
              </w:rPr>
            </w:pPr>
            <w:r w:rsidRPr="00DC472E">
              <w:rPr>
                <w:rFonts w:ascii="Times New Roman" w:hAnsi="Times New Roman"/>
                <w:sz w:val="22"/>
                <w:szCs w:val="22"/>
              </w:rPr>
              <w:t>LT/1/20/4558/008 – N30x1</w:t>
            </w:r>
          </w:p>
          <w:p w14:paraId="127018CC" w14:textId="77777777" w:rsidR="00823785" w:rsidRPr="00DC472E" w:rsidRDefault="00823785" w:rsidP="006453B9">
            <w:pPr>
              <w:spacing w:line="240" w:lineRule="auto"/>
              <w:rPr>
                <w:rFonts w:ascii="Times New Roman" w:hAnsi="Times New Roman"/>
                <w:sz w:val="22"/>
                <w:szCs w:val="22"/>
              </w:rPr>
            </w:pPr>
            <w:r w:rsidRPr="00DC472E">
              <w:rPr>
                <w:rFonts w:ascii="Times New Roman" w:hAnsi="Times New Roman"/>
                <w:sz w:val="22"/>
                <w:szCs w:val="22"/>
              </w:rPr>
              <w:t>LT/1/20/4558/009 – N60x1</w:t>
            </w:r>
          </w:p>
          <w:p w14:paraId="7174059A" w14:textId="77777777" w:rsidR="00823785" w:rsidRPr="00DC472E" w:rsidRDefault="00823785" w:rsidP="006453B9">
            <w:pPr>
              <w:spacing w:line="240" w:lineRule="auto"/>
              <w:rPr>
                <w:rFonts w:ascii="Times New Roman" w:hAnsi="Times New Roman"/>
                <w:sz w:val="22"/>
                <w:szCs w:val="22"/>
              </w:rPr>
            </w:pPr>
            <w:r w:rsidRPr="00DC472E">
              <w:rPr>
                <w:rFonts w:ascii="Times New Roman" w:hAnsi="Times New Roman"/>
                <w:sz w:val="22"/>
                <w:szCs w:val="22"/>
              </w:rPr>
              <w:t>LT/1/20/4558/010 – N90x1</w:t>
            </w:r>
          </w:p>
          <w:p w14:paraId="0B07C754" w14:textId="77777777" w:rsidR="00823785" w:rsidRPr="00DC472E" w:rsidRDefault="00823785" w:rsidP="006453B9">
            <w:pPr>
              <w:spacing w:line="240" w:lineRule="auto"/>
              <w:rPr>
                <w:rFonts w:ascii="Times New Roman" w:hAnsi="Times New Roman"/>
                <w:sz w:val="22"/>
                <w:szCs w:val="22"/>
              </w:rPr>
            </w:pPr>
            <w:r w:rsidRPr="00DC472E">
              <w:rPr>
                <w:rFonts w:ascii="Times New Roman" w:hAnsi="Times New Roman"/>
                <w:sz w:val="22"/>
                <w:szCs w:val="22"/>
              </w:rPr>
              <w:t>LT/1/20/4558/011 – N100x1</w:t>
            </w:r>
          </w:p>
        </w:tc>
        <w:tc>
          <w:tcPr>
            <w:tcW w:w="3020" w:type="dxa"/>
          </w:tcPr>
          <w:p w14:paraId="4476A806" w14:textId="77777777" w:rsidR="00823785" w:rsidRPr="00DC472E" w:rsidRDefault="00823785" w:rsidP="006453B9">
            <w:pPr>
              <w:spacing w:line="240" w:lineRule="auto"/>
              <w:rPr>
                <w:rFonts w:ascii="Times New Roman" w:hAnsi="Times New Roman"/>
                <w:sz w:val="22"/>
                <w:szCs w:val="22"/>
                <w:u w:val="single"/>
              </w:rPr>
            </w:pPr>
            <w:r w:rsidRPr="00DC472E">
              <w:rPr>
                <w:rFonts w:ascii="Times New Roman" w:hAnsi="Times New Roman"/>
                <w:sz w:val="22"/>
                <w:szCs w:val="22"/>
                <w:u w:val="single"/>
              </w:rPr>
              <w:t>lizdinė plokštelė (kalendorinė)</w:t>
            </w:r>
          </w:p>
          <w:p w14:paraId="1718C519" w14:textId="77777777" w:rsidR="00823785" w:rsidRPr="00DC472E" w:rsidRDefault="00823785" w:rsidP="006453B9">
            <w:pPr>
              <w:spacing w:line="240" w:lineRule="auto"/>
              <w:rPr>
                <w:rFonts w:ascii="Times New Roman" w:hAnsi="Times New Roman"/>
                <w:sz w:val="22"/>
                <w:szCs w:val="22"/>
              </w:rPr>
            </w:pPr>
            <w:r w:rsidRPr="00DC472E">
              <w:rPr>
                <w:rFonts w:ascii="Times New Roman" w:hAnsi="Times New Roman"/>
                <w:sz w:val="22"/>
                <w:szCs w:val="22"/>
              </w:rPr>
              <w:t>LT/1/20/4558/012 – N14</w:t>
            </w:r>
          </w:p>
          <w:p w14:paraId="2C4E1E89" w14:textId="77777777" w:rsidR="00823785" w:rsidRPr="00DC472E" w:rsidRDefault="00823785" w:rsidP="006453B9">
            <w:pPr>
              <w:spacing w:line="240" w:lineRule="auto"/>
              <w:rPr>
                <w:rFonts w:ascii="Times New Roman" w:hAnsi="Times New Roman"/>
                <w:sz w:val="22"/>
                <w:szCs w:val="22"/>
              </w:rPr>
            </w:pPr>
            <w:r w:rsidRPr="00DC472E">
              <w:rPr>
                <w:rFonts w:ascii="Times New Roman" w:hAnsi="Times New Roman"/>
                <w:sz w:val="22"/>
                <w:szCs w:val="22"/>
              </w:rPr>
              <w:t xml:space="preserve">LT/1/20/4558/013 – N28 </w:t>
            </w:r>
          </w:p>
          <w:p w14:paraId="4BF62810" w14:textId="77777777" w:rsidR="00823785" w:rsidRPr="00DC472E" w:rsidRDefault="00823785" w:rsidP="006453B9">
            <w:pPr>
              <w:spacing w:line="240" w:lineRule="auto"/>
              <w:rPr>
                <w:rFonts w:ascii="Times New Roman" w:hAnsi="Times New Roman"/>
                <w:sz w:val="22"/>
                <w:szCs w:val="22"/>
              </w:rPr>
            </w:pPr>
            <w:r w:rsidRPr="00DC472E">
              <w:rPr>
                <w:rFonts w:ascii="Times New Roman" w:hAnsi="Times New Roman"/>
                <w:sz w:val="22"/>
                <w:szCs w:val="22"/>
              </w:rPr>
              <w:t xml:space="preserve">LT/1/20/4558/014 – N42 </w:t>
            </w:r>
          </w:p>
          <w:p w14:paraId="3D6BD3CA" w14:textId="77777777" w:rsidR="00823785" w:rsidRPr="00DC472E" w:rsidRDefault="00823785" w:rsidP="006453B9">
            <w:pPr>
              <w:spacing w:line="240" w:lineRule="auto"/>
              <w:rPr>
                <w:rFonts w:ascii="Times New Roman" w:hAnsi="Times New Roman"/>
                <w:sz w:val="22"/>
                <w:szCs w:val="22"/>
              </w:rPr>
            </w:pPr>
            <w:r w:rsidRPr="00DC472E">
              <w:rPr>
                <w:rFonts w:ascii="Times New Roman" w:hAnsi="Times New Roman"/>
                <w:sz w:val="22"/>
                <w:szCs w:val="22"/>
              </w:rPr>
              <w:t xml:space="preserve">LT/1/20/4558/015 – N56 </w:t>
            </w:r>
          </w:p>
          <w:p w14:paraId="6CA8CE63" w14:textId="77777777" w:rsidR="00823785" w:rsidRPr="00DC472E" w:rsidRDefault="00823785" w:rsidP="006453B9">
            <w:pPr>
              <w:spacing w:line="240" w:lineRule="auto"/>
              <w:rPr>
                <w:rFonts w:ascii="Times New Roman" w:hAnsi="Times New Roman"/>
                <w:sz w:val="22"/>
                <w:szCs w:val="22"/>
              </w:rPr>
            </w:pPr>
            <w:r w:rsidRPr="00DC472E">
              <w:rPr>
                <w:rFonts w:ascii="Times New Roman" w:hAnsi="Times New Roman"/>
                <w:sz w:val="22"/>
                <w:szCs w:val="22"/>
              </w:rPr>
              <w:t xml:space="preserve">LT/1/20/4558/016 – N98 </w:t>
            </w:r>
          </w:p>
        </w:tc>
      </w:tr>
    </w:tbl>
    <w:p w14:paraId="36325AC9" w14:textId="77777777" w:rsidR="00823785" w:rsidRPr="00452D62" w:rsidRDefault="00823785" w:rsidP="00823785">
      <w:pPr>
        <w:rPr>
          <w:bCs/>
          <w:sz w:val="22"/>
          <w:szCs w:val="22"/>
        </w:rPr>
      </w:pPr>
    </w:p>
    <w:p w14:paraId="44D1A8B0" w14:textId="77777777" w:rsidR="00823785" w:rsidRPr="00452D62" w:rsidRDefault="00823785" w:rsidP="00823785">
      <w:pPr>
        <w:rPr>
          <w:b/>
          <w:bCs/>
          <w:color w:val="auto"/>
          <w:sz w:val="22"/>
          <w:szCs w:val="22"/>
          <w:lang w:eastAsia="en-US"/>
        </w:rPr>
      </w:pPr>
    </w:p>
    <w:p w14:paraId="3A412F58" w14:textId="77777777" w:rsidR="00823785" w:rsidRPr="00452D62" w:rsidRDefault="00823785" w:rsidP="00823785">
      <w:pPr>
        <w:widowControl w:val="0"/>
        <w:suppressAutoHyphens w:val="0"/>
        <w:spacing w:line="240" w:lineRule="auto"/>
        <w:ind w:left="567" w:hanging="567"/>
        <w:outlineLvl w:val="1"/>
        <w:rPr>
          <w:b/>
          <w:bCs/>
          <w:color w:val="auto"/>
          <w:sz w:val="22"/>
          <w:szCs w:val="22"/>
          <w:lang w:eastAsia="en-US"/>
        </w:rPr>
      </w:pPr>
      <w:r w:rsidRPr="00452D62">
        <w:rPr>
          <w:b/>
          <w:bCs/>
          <w:color w:val="auto"/>
          <w:sz w:val="22"/>
          <w:szCs w:val="22"/>
          <w:lang w:eastAsia="en-US"/>
        </w:rPr>
        <w:t>9.</w:t>
      </w:r>
      <w:r w:rsidRPr="00452D62">
        <w:rPr>
          <w:b/>
          <w:bCs/>
          <w:color w:val="auto"/>
          <w:sz w:val="22"/>
          <w:szCs w:val="22"/>
          <w:lang w:eastAsia="en-US"/>
        </w:rPr>
        <w:tab/>
        <w:t>REGISTRAVIMO/PERREGISTRAVIMO DATA</w:t>
      </w:r>
    </w:p>
    <w:p w14:paraId="71C220C7" w14:textId="77777777" w:rsidR="00823785" w:rsidRPr="00452D62" w:rsidRDefault="00823785" w:rsidP="00823785">
      <w:pPr>
        <w:rPr>
          <w:i/>
          <w:sz w:val="22"/>
          <w:szCs w:val="22"/>
        </w:rPr>
      </w:pPr>
    </w:p>
    <w:p w14:paraId="3F705C04" w14:textId="77777777" w:rsidR="00823785" w:rsidRPr="00452D62" w:rsidRDefault="00823785" w:rsidP="00823785">
      <w:pPr>
        <w:spacing w:line="240" w:lineRule="auto"/>
        <w:rPr>
          <w:color w:val="auto"/>
          <w:sz w:val="22"/>
          <w:szCs w:val="22"/>
          <w:highlight w:val="lightGray"/>
          <w:lang w:eastAsia="en-US"/>
        </w:rPr>
      </w:pPr>
      <w:r w:rsidRPr="00452D62">
        <w:rPr>
          <w:noProof/>
          <w:snapToGrid w:val="0"/>
          <w:sz w:val="22"/>
          <w:szCs w:val="22"/>
        </w:rPr>
        <w:t>Registravimo data 2020 m. balandžio 29 d.</w:t>
      </w:r>
    </w:p>
    <w:p w14:paraId="5486EAAE" w14:textId="17C771FB" w:rsidR="00823785" w:rsidRPr="00DC472E" w:rsidRDefault="00701AC2" w:rsidP="00823785">
      <w:pPr>
        <w:spacing w:line="240" w:lineRule="auto"/>
        <w:rPr>
          <w:sz w:val="22"/>
          <w:szCs w:val="22"/>
        </w:rPr>
      </w:pPr>
      <w:r w:rsidRPr="00DC472E">
        <w:rPr>
          <w:sz w:val="22"/>
          <w:szCs w:val="22"/>
        </w:rPr>
        <w:t xml:space="preserve">Paskutinio perregistravimo </w:t>
      </w:r>
      <w:r w:rsidR="00891928">
        <w:rPr>
          <w:sz w:val="22"/>
          <w:szCs w:val="22"/>
        </w:rPr>
        <w:t>data 2024 m. spalio 9 d.</w:t>
      </w:r>
    </w:p>
    <w:p w14:paraId="1F1AA837" w14:textId="77777777" w:rsidR="00701AC2" w:rsidRPr="00AE1B80" w:rsidRDefault="00701AC2" w:rsidP="00823785">
      <w:pPr>
        <w:spacing w:line="240" w:lineRule="auto"/>
        <w:rPr>
          <w:sz w:val="22"/>
          <w:szCs w:val="22"/>
          <w:highlight w:val="lightGray"/>
        </w:rPr>
      </w:pPr>
    </w:p>
    <w:p w14:paraId="56E5FE42" w14:textId="77777777" w:rsidR="00823785" w:rsidRPr="00452D62" w:rsidRDefault="00823785" w:rsidP="00823785">
      <w:pPr>
        <w:rPr>
          <w:sz w:val="22"/>
          <w:szCs w:val="22"/>
        </w:rPr>
      </w:pPr>
    </w:p>
    <w:p w14:paraId="50581D24" w14:textId="77777777" w:rsidR="00823785" w:rsidRPr="000877E9" w:rsidRDefault="00823785" w:rsidP="00823785">
      <w:pPr>
        <w:widowControl w:val="0"/>
        <w:suppressAutoHyphens w:val="0"/>
        <w:spacing w:line="240" w:lineRule="auto"/>
        <w:ind w:left="567" w:hanging="567"/>
        <w:outlineLvl w:val="1"/>
        <w:rPr>
          <w:b/>
          <w:bCs/>
          <w:color w:val="auto"/>
          <w:sz w:val="22"/>
          <w:szCs w:val="22"/>
          <w:lang w:eastAsia="en-US"/>
        </w:rPr>
      </w:pPr>
      <w:r w:rsidRPr="000877E9">
        <w:rPr>
          <w:b/>
          <w:bCs/>
          <w:color w:val="auto"/>
          <w:sz w:val="22"/>
          <w:szCs w:val="22"/>
          <w:lang w:eastAsia="en-US"/>
        </w:rPr>
        <w:t>10.</w:t>
      </w:r>
      <w:r w:rsidRPr="000877E9">
        <w:rPr>
          <w:b/>
          <w:bCs/>
          <w:color w:val="auto"/>
          <w:sz w:val="22"/>
          <w:szCs w:val="22"/>
          <w:lang w:eastAsia="en-US"/>
        </w:rPr>
        <w:tab/>
        <w:t>TEKSTO PERŽIŪROS DATA</w:t>
      </w:r>
    </w:p>
    <w:p w14:paraId="5F62CEE2" w14:textId="77777777" w:rsidR="00823785" w:rsidRPr="000877E9" w:rsidRDefault="00823785" w:rsidP="00823785">
      <w:pPr>
        <w:rPr>
          <w:sz w:val="22"/>
          <w:szCs w:val="22"/>
        </w:rPr>
      </w:pPr>
    </w:p>
    <w:p w14:paraId="76E57B37" w14:textId="305B6F3E" w:rsidR="00823785" w:rsidRDefault="00891928" w:rsidP="00823785">
      <w:pPr>
        <w:tabs>
          <w:tab w:val="clear" w:pos="567"/>
        </w:tabs>
        <w:spacing w:line="100" w:lineRule="atLeast"/>
        <w:rPr>
          <w:sz w:val="22"/>
          <w:szCs w:val="22"/>
        </w:rPr>
      </w:pPr>
      <w:r>
        <w:rPr>
          <w:sz w:val="22"/>
          <w:szCs w:val="22"/>
        </w:rPr>
        <w:t>2024 m. spalio 9 d.</w:t>
      </w:r>
    </w:p>
    <w:p w14:paraId="0B40446D" w14:textId="77777777" w:rsidR="00891928" w:rsidRPr="000877E9" w:rsidRDefault="00891928" w:rsidP="00823785">
      <w:pPr>
        <w:tabs>
          <w:tab w:val="clear" w:pos="567"/>
        </w:tabs>
        <w:spacing w:line="100" w:lineRule="atLeast"/>
        <w:rPr>
          <w:sz w:val="22"/>
          <w:szCs w:val="22"/>
        </w:rPr>
      </w:pPr>
    </w:p>
    <w:p w14:paraId="5CB4DE32" w14:textId="65CC3754" w:rsidR="00823785" w:rsidRPr="00452D62" w:rsidRDefault="00823785" w:rsidP="00823785">
      <w:pPr>
        <w:tabs>
          <w:tab w:val="clear" w:pos="567"/>
          <w:tab w:val="left" w:pos="5954"/>
          <w:tab w:val="left" w:pos="6237"/>
          <w:tab w:val="left" w:pos="6663"/>
          <w:tab w:val="left" w:pos="6946"/>
        </w:tabs>
        <w:spacing w:line="100" w:lineRule="atLeast"/>
        <w:rPr>
          <w:b/>
          <w:sz w:val="22"/>
          <w:szCs w:val="22"/>
        </w:rPr>
      </w:pPr>
      <w:r w:rsidRPr="00452D62">
        <w:rPr>
          <w:rFonts w:eastAsia="SimSun"/>
          <w:sz w:val="22"/>
          <w:szCs w:val="22"/>
        </w:rPr>
        <w:t>Išsami informacija apie šį vaistinį preparatą pateikiama Valstybinės vaistų kontrolės tarnybos prie Lietuvos Respublikos sveikatos apsaugos ministerijos tinklalapyje</w:t>
      </w:r>
      <w:r w:rsidRPr="00452D62">
        <w:rPr>
          <w:rFonts w:eastAsia="SimSun"/>
          <w:i/>
          <w:sz w:val="22"/>
          <w:szCs w:val="22"/>
        </w:rPr>
        <w:t xml:space="preserve"> </w:t>
      </w:r>
      <w:r w:rsidR="00C329B3" w:rsidRPr="00C329B3">
        <w:rPr>
          <w:color w:val="0000EE"/>
          <w:sz w:val="22"/>
          <w:szCs w:val="22"/>
          <w:u w:val="single"/>
          <w:lang w:eastAsia="lt-LT"/>
        </w:rPr>
        <w:t>https://vvkt.lrv.lt/lt/.</w:t>
      </w:r>
    </w:p>
    <w:p w14:paraId="21BD0FB0" w14:textId="77777777" w:rsidR="00823785" w:rsidRPr="000877E9" w:rsidRDefault="00823785" w:rsidP="00823785">
      <w:pPr>
        <w:widowControl w:val="0"/>
        <w:suppressAutoHyphens w:val="0"/>
        <w:spacing w:line="240" w:lineRule="auto"/>
        <w:ind w:left="567" w:hanging="567"/>
        <w:outlineLvl w:val="1"/>
        <w:rPr>
          <w:b/>
          <w:iCs/>
          <w:sz w:val="22"/>
          <w:szCs w:val="22"/>
        </w:rPr>
      </w:pPr>
      <w:r w:rsidRPr="00AE1B80">
        <w:rPr>
          <w:sz w:val="22"/>
          <w:szCs w:val="22"/>
        </w:rPr>
        <w:br w:type="page"/>
      </w:r>
      <w:r w:rsidRPr="00452D62">
        <w:rPr>
          <w:b/>
          <w:sz w:val="22"/>
          <w:szCs w:val="22"/>
        </w:rPr>
        <w:t>1.</w:t>
      </w:r>
      <w:r w:rsidRPr="00452D62">
        <w:rPr>
          <w:b/>
          <w:sz w:val="22"/>
          <w:szCs w:val="22"/>
        </w:rPr>
        <w:tab/>
        <w:t xml:space="preserve">VAISTINIO PREPARATO </w:t>
      </w:r>
      <w:r w:rsidRPr="000877E9">
        <w:rPr>
          <w:b/>
          <w:bCs/>
          <w:color w:val="auto"/>
          <w:sz w:val="22"/>
          <w:szCs w:val="22"/>
          <w:lang w:eastAsia="en-US"/>
        </w:rPr>
        <w:t>PAVADINIMAS</w:t>
      </w:r>
    </w:p>
    <w:p w14:paraId="6D0F9F83" w14:textId="77777777" w:rsidR="00823785" w:rsidRPr="00452D62" w:rsidRDefault="00823785" w:rsidP="00823785">
      <w:pPr>
        <w:rPr>
          <w:iCs/>
          <w:sz w:val="22"/>
          <w:szCs w:val="22"/>
        </w:rPr>
      </w:pPr>
    </w:p>
    <w:p w14:paraId="0B6756DC" w14:textId="77777777" w:rsidR="00823785" w:rsidRPr="00452D62" w:rsidRDefault="00823785" w:rsidP="00823785">
      <w:pPr>
        <w:widowControl w:val="0"/>
        <w:rPr>
          <w:iCs/>
          <w:sz w:val="22"/>
          <w:szCs w:val="22"/>
        </w:rPr>
      </w:pPr>
      <w:r w:rsidRPr="00452D62">
        <w:rPr>
          <w:sz w:val="22"/>
          <w:szCs w:val="22"/>
          <w:lang w:eastAsia="en-US"/>
        </w:rPr>
        <w:t>Xerdoxo</w:t>
      </w:r>
      <w:r w:rsidRPr="00452D62">
        <w:rPr>
          <w:sz w:val="22"/>
          <w:szCs w:val="22"/>
        </w:rPr>
        <w:t xml:space="preserve"> 10 mg plėvele dengtos tabletės</w:t>
      </w:r>
    </w:p>
    <w:p w14:paraId="167BE98D" w14:textId="77777777" w:rsidR="00823785" w:rsidRPr="00452D62" w:rsidRDefault="00823785" w:rsidP="00823785">
      <w:pPr>
        <w:rPr>
          <w:iCs/>
          <w:sz w:val="22"/>
          <w:szCs w:val="22"/>
        </w:rPr>
      </w:pPr>
    </w:p>
    <w:p w14:paraId="2ABB7F78" w14:textId="77777777" w:rsidR="00823785" w:rsidRPr="00452D62" w:rsidRDefault="00823785" w:rsidP="00823785">
      <w:pPr>
        <w:rPr>
          <w:iCs/>
          <w:sz w:val="22"/>
          <w:szCs w:val="22"/>
        </w:rPr>
      </w:pPr>
    </w:p>
    <w:p w14:paraId="7615EFBD" w14:textId="77777777" w:rsidR="00823785" w:rsidRPr="00452D62" w:rsidRDefault="00823785" w:rsidP="00823785">
      <w:pPr>
        <w:widowControl w:val="0"/>
        <w:suppressAutoHyphens w:val="0"/>
        <w:spacing w:line="240" w:lineRule="auto"/>
        <w:ind w:left="567" w:hanging="567"/>
        <w:outlineLvl w:val="1"/>
        <w:rPr>
          <w:b/>
          <w:bCs/>
          <w:color w:val="auto"/>
          <w:sz w:val="22"/>
          <w:szCs w:val="22"/>
          <w:lang w:eastAsia="en-US"/>
        </w:rPr>
      </w:pPr>
      <w:r w:rsidRPr="00452D62">
        <w:rPr>
          <w:b/>
          <w:bCs/>
          <w:color w:val="auto"/>
          <w:sz w:val="22"/>
          <w:szCs w:val="22"/>
          <w:lang w:eastAsia="en-US"/>
        </w:rPr>
        <w:t>2.</w:t>
      </w:r>
      <w:r w:rsidRPr="00452D62">
        <w:rPr>
          <w:b/>
          <w:bCs/>
          <w:color w:val="auto"/>
          <w:sz w:val="22"/>
          <w:szCs w:val="22"/>
          <w:lang w:eastAsia="en-US"/>
        </w:rPr>
        <w:tab/>
        <w:t>KOKYBINĖ IR KIEKYBINĖ SUDĖTIS</w:t>
      </w:r>
    </w:p>
    <w:p w14:paraId="429B1AFF" w14:textId="77777777" w:rsidR="00823785" w:rsidRPr="00452D62" w:rsidRDefault="00823785" w:rsidP="00823785">
      <w:pPr>
        <w:rPr>
          <w:iCs/>
          <w:sz w:val="22"/>
          <w:szCs w:val="22"/>
        </w:rPr>
      </w:pPr>
    </w:p>
    <w:p w14:paraId="536793DC" w14:textId="77777777" w:rsidR="00823785" w:rsidRPr="00452D62" w:rsidRDefault="00823785" w:rsidP="00823785">
      <w:pPr>
        <w:rPr>
          <w:sz w:val="22"/>
          <w:szCs w:val="22"/>
        </w:rPr>
      </w:pPr>
      <w:r w:rsidRPr="00452D62">
        <w:rPr>
          <w:sz w:val="22"/>
          <w:szCs w:val="22"/>
        </w:rPr>
        <w:t>Kiekvienoje plėvele dengtoje tabletėje yra 10 mg rivaroksabano.</w:t>
      </w:r>
    </w:p>
    <w:p w14:paraId="47A035FD" w14:textId="77777777" w:rsidR="00823785" w:rsidRPr="00452D62" w:rsidRDefault="00823785" w:rsidP="00823785">
      <w:pPr>
        <w:rPr>
          <w:sz w:val="22"/>
          <w:szCs w:val="22"/>
        </w:rPr>
      </w:pPr>
    </w:p>
    <w:p w14:paraId="6844074B" w14:textId="77777777" w:rsidR="00823785" w:rsidRPr="00452D62" w:rsidRDefault="00823785" w:rsidP="00823785">
      <w:pPr>
        <w:rPr>
          <w:b/>
          <w:bCs/>
          <w:sz w:val="22"/>
          <w:szCs w:val="22"/>
        </w:rPr>
      </w:pPr>
      <w:r w:rsidRPr="00452D62">
        <w:rPr>
          <w:sz w:val="22"/>
          <w:szCs w:val="22"/>
        </w:rPr>
        <w:t>Visos pagalbinės medžiagos išvardytos 6.1 skyriuje.</w:t>
      </w:r>
    </w:p>
    <w:p w14:paraId="14D8C707" w14:textId="77777777" w:rsidR="00823785" w:rsidRPr="00452D62" w:rsidRDefault="00823785" w:rsidP="00823785">
      <w:pPr>
        <w:ind w:left="567" w:hanging="568"/>
        <w:rPr>
          <w:sz w:val="22"/>
          <w:szCs w:val="22"/>
        </w:rPr>
      </w:pPr>
    </w:p>
    <w:p w14:paraId="5B5817E8" w14:textId="77777777" w:rsidR="00823785" w:rsidRPr="00452D62" w:rsidRDefault="00823785" w:rsidP="00823785">
      <w:pPr>
        <w:ind w:left="567" w:hanging="568"/>
        <w:rPr>
          <w:sz w:val="22"/>
          <w:szCs w:val="22"/>
        </w:rPr>
      </w:pPr>
    </w:p>
    <w:p w14:paraId="5D99FA3E" w14:textId="77777777" w:rsidR="00823785" w:rsidRPr="00452D62" w:rsidRDefault="00823785" w:rsidP="00823785">
      <w:pPr>
        <w:widowControl w:val="0"/>
        <w:suppressAutoHyphens w:val="0"/>
        <w:spacing w:line="240" w:lineRule="auto"/>
        <w:ind w:left="567" w:hanging="567"/>
        <w:outlineLvl w:val="1"/>
        <w:rPr>
          <w:b/>
          <w:bCs/>
          <w:color w:val="auto"/>
          <w:sz w:val="22"/>
          <w:szCs w:val="22"/>
          <w:lang w:eastAsia="en-US"/>
        </w:rPr>
      </w:pPr>
      <w:r w:rsidRPr="00452D62">
        <w:rPr>
          <w:b/>
          <w:bCs/>
          <w:color w:val="auto"/>
          <w:sz w:val="22"/>
          <w:szCs w:val="22"/>
          <w:lang w:eastAsia="en-US"/>
        </w:rPr>
        <w:t>3.</w:t>
      </w:r>
      <w:r w:rsidRPr="00452D62">
        <w:rPr>
          <w:b/>
          <w:bCs/>
          <w:color w:val="auto"/>
          <w:sz w:val="22"/>
          <w:szCs w:val="22"/>
          <w:lang w:eastAsia="en-US"/>
        </w:rPr>
        <w:tab/>
        <w:t>FARMACINĖ FORMA</w:t>
      </w:r>
    </w:p>
    <w:p w14:paraId="772209FE" w14:textId="77777777" w:rsidR="00823785" w:rsidRPr="00452D62" w:rsidRDefault="00823785" w:rsidP="00823785">
      <w:pPr>
        <w:rPr>
          <w:sz w:val="22"/>
          <w:szCs w:val="22"/>
        </w:rPr>
      </w:pPr>
    </w:p>
    <w:p w14:paraId="6FE63D92" w14:textId="77777777" w:rsidR="00823785" w:rsidRPr="00452D62" w:rsidRDefault="00823785" w:rsidP="00823785">
      <w:pPr>
        <w:rPr>
          <w:sz w:val="22"/>
          <w:szCs w:val="22"/>
        </w:rPr>
      </w:pPr>
      <w:r w:rsidRPr="00452D62">
        <w:rPr>
          <w:sz w:val="22"/>
          <w:szCs w:val="22"/>
        </w:rPr>
        <w:t>Plėvele dengta tabletė (tabletė)</w:t>
      </w:r>
    </w:p>
    <w:p w14:paraId="6ED5043F" w14:textId="77777777" w:rsidR="00823785" w:rsidRPr="00452D62" w:rsidRDefault="00823785" w:rsidP="00823785">
      <w:pPr>
        <w:rPr>
          <w:sz w:val="22"/>
          <w:szCs w:val="22"/>
        </w:rPr>
      </w:pPr>
    </w:p>
    <w:p w14:paraId="7D10C89D" w14:textId="77777777" w:rsidR="00823785" w:rsidRPr="00452D62" w:rsidRDefault="00823785" w:rsidP="00823785">
      <w:pPr>
        <w:rPr>
          <w:sz w:val="22"/>
          <w:szCs w:val="22"/>
        </w:rPr>
      </w:pPr>
      <w:r w:rsidRPr="00452D62">
        <w:rPr>
          <w:sz w:val="22"/>
          <w:szCs w:val="22"/>
        </w:rPr>
        <w:t>Rusvai raudona, apvali, šiek tiek abipus išgaubta, plėvele dengta tabletė, kurios vienoje pusėje įspausta „10“.</w:t>
      </w:r>
    </w:p>
    <w:p w14:paraId="07ED2640" w14:textId="77777777" w:rsidR="00823785" w:rsidRPr="00452D62" w:rsidRDefault="00823785" w:rsidP="00823785">
      <w:pPr>
        <w:rPr>
          <w:sz w:val="22"/>
          <w:szCs w:val="22"/>
        </w:rPr>
      </w:pPr>
      <w:r w:rsidRPr="00452D62">
        <w:rPr>
          <w:sz w:val="22"/>
          <w:szCs w:val="22"/>
        </w:rPr>
        <w:t>Išmatavimai: skersmuo − apytiksliai 6,5 mm.</w:t>
      </w:r>
    </w:p>
    <w:p w14:paraId="2FE1186D" w14:textId="77777777" w:rsidR="00823785" w:rsidRPr="00452D62" w:rsidRDefault="00823785" w:rsidP="00823785">
      <w:pPr>
        <w:rPr>
          <w:sz w:val="22"/>
          <w:szCs w:val="22"/>
        </w:rPr>
      </w:pPr>
    </w:p>
    <w:p w14:paraId="6972E9C2" w14:textId="77777777" w:rsidR="00823785" w:rsidRPr="00452D62" w:rsidRDefault="00823785" w:rsidP="00823785">
      <w:pPr>
        <w:rPr>
          <w:sz w:val="22"/>
          <w:szCs w:val="22"/>
        </w:rPr>
      </w:pPr>
    </w:p>
    <w:p w14:paraId="787EA159" w14:textId="77777777" w:rsidR="00823785" w:rsidRPr="00452D62" w:rsidRDefault="00823785" w:rsidP="00823785">
      <w:pPr>
        <w:widowControl w:val="0"/>
        <w:suppressAutoHyphens w:val="0"/>
        <w:spacing w:line="240" w:lineRule="auto"/>
        <w:ind w:left="567" w:hanging="567"/>
        <w:outlineLvl w:val="1"/>
        <w:rPr>
          <w:b/>
          <w:bCs/>
          <w:color w:val="auto"/>
          <w:sz w:val="22"/>
          <w:szCs w:val="22"/>
          <w:lang w:eastAsia="en-US"/>
        </w:rPr>
      </w:pPr>
      <w:r w:rsidRPr="00452D62">
        <w:rPr>
          <w:b/>
          <w:bCs/>
          <w:color w:val="auto"/>
          <w:sz w:val="22"/>
          <w:szCs w:val="22"/>
          <w:lang w:eastAsia="en-US"/>
        </w:rPr>
        <w:t>4.</w:t>
      </w:r>
      <w:r w:rsidRPr="00452D62">
        <w:rPr>
          <w:b/>
          <w:bCs/>
          <w:color w:val="auto"/>
          <w:sz w:val="22"/>
          <w:szCs w:val="22"/>
          <w:lang w:eastAsia="en-US"/>
        </w:rPr>
        <w:tab/>
        <w:t>KLINIKINĖ INFORMACIJA</w:t>
      </w:r>
    </w:p>
    <w:p w14:paraId="2D00C66C" w14:textId="77777777" w:rsidR="00823785" w:rsidRPr="00452D62" w:rsidRDefault="00823785" w:rsidP="00823785">
      <w:pPr>
        <w:rPr>
          <w:sz w:val="22"/>
          <w:szCs w:val="22"/>
        </w:rPr>
      </w:pPr>
    </w:p>
    <w:p w14:paraId="11C8F714"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4.1</w:t>
      </w:r>
      <w:r w:rsidRPr="00452D62">
        <w:rPr>
          <w:b/>
          <w:color w:val="auto"/>
          <w:kern w:val="28"/>
          <w:sz w:val="22"/>
          <w:szCs w:val="22"/>
          <w:lang w:eastAsia="en-US"/>
        </w:rPr>
        <w:tab/>
        <w:t>Terapinės indikacijos</w:t>
      </w:r>
    </w:p>
    <w:p w14:paraId="65BB6592" w14:textId="77777777" w:rsidR="00823785" w:rsidRPr="00452D62" w:rsidRDefault="00823785" w:rsidP="00823785">
      <w:pPr>
        <w:rPr>
          <w:sz w:val="22"/>
          <w:szCs w:val="22"/>
        </w:rPr>
      </w:pPr>
    </w:p>
    <w:p w14:paraId="613491CA" w14:textId="77777777" w:rsidR="00823785" w:rsidRPr="00452D62" w:rsidRDefault="00823785" w:rsidP="00823785">
      <w:pPr>
        <w:rPr>
          <w:sz w:val="22"/>
          <w:szCs w:val="22"/>
          <w:lang w:eastAsia="en-US"/>
        </w:rPr>
      </w:pPr>
      <w:r w:rsidRPr="00452D62">
        <w:rPr>
          <w:sz w:val="22"/>
          <w:szCs w:val="22"/>
          <w:lang w:eastAsia="en-US"/>
        </w:rPr>
        <w:t>Venų tromboembolijos (VTE) profilaktika suaugusiems pacientams, kuriems atliekamos planinės klubo arba kelio sąnario pakeitimo operacijos.</w:t>
      </w:r>
    </w:p>
    <w:p w14:paraId="38C9E6F9" w14:textId="77777777" w:rsidR="00823785" w:rsidRPr="00452D62" w:rsidRDefault="00823785" w:rsidP="00823785">
      <w:pPr>
        <w:rPr>
          <w:sz w:val="22"/>
          <w:szCs w:val="22"/>
          <w:lang w:eastAsia="en-US"/>
        </w:rPr>
      </w:pPr>
    </w:p>
    <w:p w14:paraId="34AEAA36" w14:textId="6AB7B6F8" w:rsidR="00823785" w:rsidRPr="00452D62" w:rsidRDefault="00823785" w:rsidP="00823785">
      <w:pPr>
        <w:rPr>
          <w:sz w:val="22"/>
          <w:szCs w:val="22"/>
        </w:rPr>
      </w:pPr>
      <w:r w:rsidRPr="00452D62">
        <w:rPr>
          <w:sz w:val="22"/>
          <w:szCs w:val="22"/>
          <w:lang w:eastAsia="en-US"/>
        </w:rPr>
        <w:t>Giliųjų venų trombozės (GVT) bei plaučių embolijos (PE) gydymas ir pasikartojančios GVT bei PE profilaktika suaugusiesiems (apie PE sergančius pacientus, kurių hemodinamika yra nestabili, žr. 4.4 skyriuje)</w:t>
      </w:r>
      <w:r w:rsidRPr="00452D62">
        <w:rPr>
          <w:sz w:val="22"/>
          <w:szCs w:val="22"/>
        </w:rPr>
        <w:t>.</w:t>
      </w:r>
    </w:p>
    <w:p w14:paraId="2BC4A599" w14:textId="77777777" w:rsidR="00823785" w:rsidRPr="00452D62" w:rsidRDefault="00823785" w:rsidP="00823785">
      <w:pPr>
        <w:rPr>
          <w:sz w:val="22"/>
          <w:szCs w:val="22"/>
        </w:rPr>
      </w:pPr>
    </w:p>
    <w:p w14:paraId="3211991A" w14:textId="77777777" w:rsidR="00823785" w:rsidRPr="00452D62" w:rsidRDefault="00823785" w:rsidP="00823785">
      <w:pPr>
        <w:widowControl w:val="0"/>
        <w:suppressAutoHyphens w:val="0"/>
        <w:spacing w:line="240" w:lineRule="auto"/>
        <w:ind w:left="567" w:hanging="567"/>
        <w:outlineLvl w:val="2"/>
        <w:rPr>
          <w:sz w:val="22"/>
          <w:szCs w:val="22"/>
        </w:rPr>
      </w:pPr>
      <w:r w:rsidRPr="00452D62">
        <w:rPr>
          <w:b/>
          <w:color w:val="auto"/>
          <w:kern w:val="28"/>
          <w:sz w:val="22"/>
          <w:szCs w:val="22"/>
          <w:lang w:eastAsia="en-US"/>
        </w:rPr>
        <w:t>4.2</w:t>
      </w:r>
      <w:r w:rsidRPr="00452D62">
        <w:rPr>
          <w:b/>
          <w:color w:val="auto"/>
          <w:kern w:val="28"/>
          <w:sz w:val="22"/>
          <w:szCs w:val="22"/>
          <w:lang w:eastAsia="en-US"/>
        </w:rPr>
        <w:tab/>
        <w:t>Dozavimas ir vartojimo metodas</w:t>
      </w:r>
    </w:p>
    <w:p w14:paraId="682B4EF6" w14:textId="77777777" w:rsidR="00823785" w:rsidRPr="00452D62" w:rsidRDefault="00823785" w:rsidP="00823785">
      <w:pPr>
        <w:rPr>
          <w:sz w:val="22"/>
          <w:szCs w:val="22"/>
        </w:rPr>
      </w:pPr>
    </w:p>
    <w:p w14:paraId="60812F5F" w14:textId="77777777" w:rsidR="00823785" w:rsidRPr="00452D62" w:rsidRDefault="00823785" w:rsidP="00823785">
      <w:pPr>
        <w:rPr>
          <w:sz w:val="22"/>
          <w:szCs w:val="22"/>
          <w:u w:val="single"/>
        </w:rPr>
      </w:pPr>
      <w:r w:rsidRPr="00452D62">
        <w:rPr>
          <w:sz w:val="22"/>
          <w:szCs w:val="22"/>
          <w:u w:val="single"/>
        </w:rPr>
        <w:t>Dozavimas</w:t>
      </w:r>
    </w:p>
    <w:p w14:paraId="570340F4" w14:textId="77777777" w:rsidR="00823785" w:rsidRPr="00452D62" w:rsidRDefault="00823785" w:rsidP="00823785">
      <w:pPr>
        <w:rPr>
          <w:iCs/>
          <w:sz w:val="22"/>
          <w:szCs w:val="22"/>
        </w:rPr>
      </w:pPr>
    </w:p>
    <w:p w14:paraId="32DFAAA1" w14:textId="77777777" w:rsidR="00823785" w:rsidRPr="00452D62" w:rsidRDefault="00823785" w:rsidP="00823785">
      <w:pPr>
        <w:rPr>
          <w:i/>
          <w:sz w:val="22"/>
          <w:szCs w:val="22"/>
        </w:rPr>
      </w:pPr>
      <w:r w:rsidRPr="00452D62">
        <w:rPr>
          <w:i/>
          <w:sz w:val="22"/>
          <w:szCs w:val="22"/>
        </w:rPr>
        <w:t>VTE profilaktika suaugusiems pacientams, kuriems atliekamos planinės klubo arba kelio sąnario pakeitimo operacijos</w:t>
      </w:r>
    </w:p>
    <w:p w14:paraId="49A1C219" w14:textId="77777777" w:rsidR="00823785" w:rsidRPr="00452D62" w:rsidRDefault="00823785" w:rsidP="00823785">
      <w:pPr>
        <w:rPr>
          <w:iCs/>
          <w:sz w:val="22"/>
          <w:szCs w:val="22"/>
        </w:rPr>
      </w:pPr>
      <w:r w:rsidRPr="00452D62">
        <w:rPr>
          <w:iCs/>
          <w:sz w:val="22"/>
          <w:szCs w:val="22"/>
        </w:rPr>
        <w:t>Rekomenduojama rivaroksabano dozė yra 10 mg, ji vartojama per burną vieną kartą per parą. Pirmoji dozė turi būti suvartojama praėjus 6</w:t>
      </w:r>
      <w:r w:rsidRPr="00452D62">
        <w:rPr>
          <w:iCs/>
          <w:sz w:val="22"/>
          <w:szCs w:val="22"/>
        </w:rPr>
        <w:noBreakHyphen/>
        <w:t>10 valandų po operacijos, jei yra nusistovėjusi hemostazė.</w:t>
      </w:r>
    </w:p>
    <w:p w14:paraId="5DA00A3A" w14:textId="77777777" w:rsidR="00823785" w:rsidRPr="00452D62" w:rsidRDefault="00823785" w:rsidP="00823785">
      <w:pPr>
        <w:rPr>
          <w:iCs/>
          <w:sz w:val="22"/>
          <w:szCs w:val="22"/>
        </w:rPr>
      </w:pPr>
    </w:p>
    <w:p w14:paraId="5FB54868" w14:textId="77777777" w:rsidR="00823785" w:rsidRPr="00452D62" w:rsidRDefault="00823785" w:rsidP="00823785">
      <w:pPr>
        <w:rPr>
          <w:iCs/>
          <w:sz w:val="22"/>
          <w:szCs w:val="22"/>
        </w:rPr>
      </w:pPr>
      <w:r w:rsidRPr="00452D62">
        <w:rPr>
          <w:iCs/>
          <w:sz w:val="22"/>
          <w:szCs w:val="22"/>
        </w:rPr>
        <w:t xml:space="preserve">Gydymo trukmė priklauso nuo individualios paciento venų tromboembolijos rizikos, kuri nustatoma pagal ortopedinės operacijos tipą. </w:t>
      </w:r>
    </w:p>
    <w:p w14:paraId="48A7A8DB" w14:textId="77777777" w:rsidR="00823785" w:rsidRPr="00452D62" w:rsidRDefault="00823785" w:rsidP="00823785">
      <w:pPr>
        <w:numPr>
          <w:ilvl w:val="0"/>
          <w:numId w:val="18"/>
        </w:numPr>
        <w:ind w:left="567" w:hanging="567"/>
        <w:rPr>
          <w:sz w:val="22"/>
          <w:szCs w:val="22"/>
        </w:rPr>
      </w:pPr>
      <w:r w:rsidRPr="00452D62">
        <w:rPr>
          <w:sz w:val="22"/>
          <w:szCs w:val="22"/>
        </w:rPr>
        <w:t>Pacientams, kuriems atliekama didžioji klubo sąnario operacija, rekomenduojama 5 savaičių gydymo trukmė.</w:t>
      </w:r>
    </w:p>
    <w:p w14:paraId="6305A2B0" w14:textId="77777777" w:rsidR="00823785" w:rsidRPr="00452D62" w:rsidRDefault="00823785" w:rsidP="00823785">
      <w:pPr>
        <w:numPr>
          <w:ilvl w:val="0"/>
          <w:numId w:val="18"/>
        </w:numPr>
        <w:ind w:left="567" w:hanging="567"/>
        <w:rPr>
          <w:sz w:val="22"/>
          <w:szCs w:val="22"/>
        </w:rPr>
      </w:pPr>
      <w:r w:rsidRPr="00452D62">
        <w:rPr>
          <w:sz w:val="22"/>
          <w:szCs w:val="22"/>
        </w:rPr>
        <w:t>Pacientams, kuriems atliekama didžioji kelio sąnario operacija, rekomenduojama 2 savaičių gydymo trukmė.</w:t>
      </w:r>
    </w:p>
    <w:p w14:paraId="6A3F1E90" w14:textId="77777777" w:rsidR="00823785" w:rsidRPr="00452D62" w:rsidRDefault="00823785" w:rsidP="00823785">
      <w:pPr>
        <w:rPr>
          <w:sz w:val="22"/>
          <w:szCs w:val="22"/>
        </w:rPr>
      </w:pPr>
    </w:p>
    <w:p w14:paraId="12847858" w14:textId="77777777" w:rsidR="00823785" w:rsidRPr="00452D62" w:rsidRDefault="00823785" w:rsidP="00823785">
      <w:pPr>
        <w:rPr>
          <w:iCs/>
          <w:sz w:val="22"/>
          <w:szCs w:val="22"/>
        </w:rPr>
      </w:pPr>
      <w:r w:rsidRPr="00452D62">
        <w:rPr>
          <w:iCs/>
          <w:sz w:val="22"/>
          <w:szCs w:val="22"/>
        </w:rPr>
        <w:t>Jei praleidžiama dozė, pacientas Xerdoxo turi išgerti nedelsiant ir nuo kitos dienos tęsti vartojimą vieną kartą per parą kaip anksčiau.</w:t>
      </w:r>
    </w:p>
    <w:p w14:paraId="7F098F5F" w14:textId="77777777" w:rsidR="00823785" w:rsidRPr="00452D62" w:rsidRDefault="00823785" w:rsidP="00823785">
      <w:pPr>
        <w:rPr>
          <w:iCs/>
          <w:sz w:val="22"/>
          <w:szCs w:val="22"/>
        </w:rPr>
      </w:pPr>
    </w:p>
    <w:p w14:paraId="2CCE33B0" w14:textId="77777777" w:rsidR="00823785" w:rsidRPr="00452D62" w:rsidRDefault="00823785" w:rsidP="00823785">
      <w:pPr>
        <w:rPr>
          <w:i/>
          <w:sz w:val="22"/>
          <w:szCs w:val="22"/>
        </w:rPr>
      </w:pPr>
      <w:r w:rsidRPr="00452D62">
        <w:rPr>
          <w:i/>
          <w:sz w:val="22"/>
          <w:szCs w:val="22"/>
        </w:rPr>
        <w:t>GVT gydymas, PE gydymas ir pasikartojančios GVT bei PE profilaktika</w:t>
      </w:r>
    </w:p>
    <w:p w14:paraId="7DA1AA4B" w14:textId="77777777" w:rsidR="00823785" w:rsidRPr="00452D62" w:rsidRDefault="00823785" w:rsidP="00823785">
      <w:pPr>
        <w:rPr>
          <w:iCs/>
          <w:sz w:val="22"/>
          <w:szCs w:val="22"/>
        </w:rPr>
      </w:pPr>
      <w:r w:rsidRPr="00452D62">
        <w:rPr>
          <w:iCs/>
          <w:sz w:val="22"/>
          <w:szCs w:val="22"/>
        </w:rPr>
        <w:t>Pradedant gydyti ūminę GVT arba PE, pirmąsias tris savaites rekomenduojama dozė yra po 15 mg du kartus per parą; po to, tęsiant gydymą ir taikant pasikartojančios GVT bei PE profilaktiką, reikia vartoti 20 mg dozę vieną kartą per parą.</w:t>
      </w:r>
    </w:p>
    <w:p w14:paraId="3E0F0AC3" w14:textId="77777777" w:rsidR="00823785" w:rsidRPr="00452D62" w:rsidRDefault="00823785" w:rsidP="00823785">
      <w:pPr>
        <w:rPr>
          <w:iCs/>
          <w:sz w:val="22"/>
          <w:szCs w:val="22"/>
        </w:rPr>
      </w:pPr>
    </w:p>
    <w:p w14:paraId="621CBD12" w14:textId="77777777" w:rsidR="00823785" w:rsidRPr="00452D62" w:rsidRDefault="00823785" w:rsidP="00823785">
      <w:pPr>
        <w:rPr>
          <w:iCs/>
          <w:sz w:val="22"/>
          <w:szCs w:val="22"/>
        </w:rPr>
      </w:pPr>
      <w:r w:rsidRPr="00452D62">
        <w:rPr>
          <w:iCs/>
          <w:sz w:val="22"/>
          <w:szCs w:val="22"/>
        </w:rPr>
        <w:t>Pacientams, sergantiems GVT arba PE, kurią išprovokavo didieji laikini rizikos veiksniai (t. y. neseniai atlikta didžioji chirurginė operacija arba trauma), reikia apsvarstyti trumpalaikį gydymą (bent 3 mėnesius). Pacientams, sergantiems išprovokuota GVT arba PE, nesusijusia su didžiaisiais laikinais rizikos veiksniais, neišprovokuota GVT arba PE, arba anksčiau patyrusiems pasikartojančią GVT arba PE, reikia apsvarstyti ilgesnę gydymo trukmę.</w:t>
      </w:r>
    </w:p>
    <w:p w14:paraId="038E3A67" w14:textId="77777777" w:rsidR="00823785" w:rsidRPr="00452D62" w:rsidRDefault="00823785" w:rsidP="00823785">
      <w:pPr>
        <w:rPr>
          <w:iCs/>
          <w:sz w:val="22"/>
          <w:szCs w:val="22"/>
        </w:rPr>
      </w:pPr>
    </w:p>
    <w:p w14:paraId="02633340" w14:textId="77777777" w:rsidR="00823785" w:rsidRPr="00452D62" w:rsidRDefault="00823785" w:rsidP="00823785">
      <w:pPr>
        <w:rPr>
          <w:iCs/>
          <w:sz w:val="22"/>
          <w:szCs w:val="22"/>
        </w:rPr>
      </w:pPr>
      <w:r w:rsidRPr="00452D62">
        <w:rPr>
          <w:iCs/>
          <w:sz w:val="22"/>
          <w:szCs w:val="22"/>
        </w:rPr>
        <w:t>Kai taikytina tęstinė pasikartojančios GVT ir PE profilaktika (užbaigus bent 6 mėnesių trukmės GVT arba PE gydymą), rekomenduojama dozė yra 10 mg vieną kartą per parą. Pacientams, kuriems yra didelė pasikartojančios GVT arba PE rizika, pvz., sergantiems komplikuotomis gretutinėmis ligomis arba tęstinės profilaktikos laikotarpiu, vartojant 10 mg Xerdoxo dozę vieną kartą per parą, patyrusiems pasikartojančią GVT arba PE, reikia apsvarstyti 20 mg Xerdoxo dozės vartojimą kartą per parą.</w:t>
      </w:r>
    </w:p>
    <w:p w14:paraId="32B1C9B6" w14:textId="77777777" w:rsidR="00823785" w:rsidRPr="00452D62" w:rsidRDefault="00823785" w:rsidP="00823785">
      <w:pPr>
        <w:rPr>
          <w:iCs/>
          <w:sz w:val="22"/>
          <w:szCs w:val="22"/>
        </w:rPr>
      </w:pPr>
    </w:p>
    <w:p w14:paraId="69940C15" w14:textId="24F33C29" w:rsidR="00823785" w:rsidRPr="00452D62" w:rsidRDefault="00823785" w:rsidP="00823785">
      <w:pPr>
        <w:rPr>
          <w:iCs/>
          <w:sz w:val="22"/>
          <w:szCs w:val="22"/>
        </w:rPr>
      </w:pPr>
      <w:r w:rsidRPr="00452D62">
        <w:rPr>
          <w:iCs/>
          <w:sz w:val="22"/>
          <w:szCs w:val="22"/>
        </w:rPr>
        <w:t>Gydymo trukmę ir dozavimą reikia parinkti individualiai po to, kai kruopščiai įvertinama gydymo nauda ir kraujavimo rizika (žr. 4.4 skyrių).</w:t>
      </w:r>
    </w:p>
    <w:p w14:paraId="6FA05E9D" w14:textId="77777777" w:rsidR="00823785" w:rsidRPr="00452D62" w:rsidRDefault="00823785" w:rsidP="00823785">
      <w:pPr>
        <w:widowControl w:val="0"/>
        <w:tabs>
          <w:tab w:val="clear" w:pos="567"/>
        </w:tabs>
        <w:suppressAutoHyphens w:val="0"/>
        <w:spacing w:line="240" w:lineRule="auto"/>
        <w:rPr>
          <w:color w:val="auto"/>
          <w:sz w:val="22"/>
          <w:szCs w:val="22"/>
          <w:lang w:eastAsia="sl-SI"/>
        </w:rPr>
      </w:pPr>
    </w:p>
    <w:tbl>
      <w:tblPr>
        <w:tblW w:w="9223" w:type="dxa"/>
        <w:tblInd w:w="99" w:type="dxa"/>
        <w:tblLayout w:type="fixed"/>
        <w:tblCellMar>
          <w:left w:w="0" w:type="dxa"/>
          <w:right w:w="0" w:type="dxa"/>
        </w:tblCellMar>
        <w:tblLook w:val="01E0" w:firstRow="1" w:lastRow="1" w:firstColumn="1" w:lastColumn="1" w:noHBand="0" w:noVBand="0"/>
      </w:tblPr>
      <w:tblGrid>
        <w:gridCol w:w="2340"/>
        <w:gridCol w:w="2371"/>
        <w:gridCol w:w="2369"/>
        <w:gridCol w:w="2143"/>
      </w:tblGrid>
      <w:tr w:rsidR="00823785" w:rsidRPr="00452D62" w14:paraId="6A9A270F" w14:textId="77777777" w:rsidTr="006453B9">
        <w:trPr>
          <w:trHeight w:hRule="exact" w:val="324"/>
        </w:trPr>
        <w:tc>
          <w:tcPr>
            <w:tcW w:w="2340" w:type="dxa"/>
            <w:tcBorders>
              <w:top w:val="single" w:sz="4" w:space="0" w:color="000000"/>
              <w:left w:val="single" w:sz="4" w:space="0" w:color="000000"/>
              <w:bottom w:val="single" w:sz="4" w:space="0" w:color="000000"/>
              <w:right w:val="single" w:sz="4" w:space="0" w:color="000000"/>
            </w:tcBorders>
          </w:tcPr>
          <w:p w14:paraId="765A96D5" w14:textId="77777777" w:rsidR="00823785" w:rsidRPr="00452D62" w:rsidRDefault="00823785" w:rsidP="006453B9">
            <w:pPr>
              <w:widowControl w:val="0"/>
              <w:tabs>
                <w:tab w:val="clear" w:pos="567"/>
              </w:tabs>
              <w:suppressAutoHyphens w:val="0"/>
              <w:spacing w:line="240" w:lineRule="auto"/>
              <w:rPr>
                <w:color w:val="auto"/>
                <w:sz w:val="22"/>
                <w:szCs w:val="22"/>
                <w:lang w:eastAsia="sl-SI"/>
              </w:rPr>
            </w:pPr>
          </w:p>
        </w:tc>
        <w:tc>
          <w:tcPr>
            <w:tcW w:w="2371" w:type="dxa"/>
            <w:tcBorders>
              <w:top w:val="single" w:sz="4" w:space="0" w:color="000000"/>
              <w:left w:val="single" w:sz="4" w:space="0" w:color="000000"/>
              <w:bottom w:val="single" w:sz="4" w:space="0" w:color="000000"/>
              <w:right w:val="single" w:sz="4" w:space="0" w:color="000000"/>
            </w:tcBorders>
          </w:tcPr>
          <w:p w14:paraId="0C595581" w14:textId="77777777" w:rsidR="00823785" w:rsidRPr="00452D62" w:rsidRDefault="00823785" w:rsidP="006453B9">
            <w:pPr>
              <w:widowControl w:val="0"/>
              <w:tabs>
                <w:tab w:val="clear" w:pos="567"/>
              </w:tabs>
              <w:suppressAutoHyphens w:val="0"/>
              <w:spacing w:line="240" w:lineRule="auto"/>
              <w:ind w:right="-20"/>
              <w:rPr>
                <w:color w:val="auto"/>
                <w:sz w:val="22"/>
                <w:szCs w:val="22"/>
                <w:lang w:eastAsia="sl-SI"/>
              </w:rPr>
            </w:pPr>
            <w:r w:rsidRPr="00452D62">
              <w:rPr>
                <w:b/>
                <w:bCs/>
                <w:color w:val="auto"/>
                <w:sz w:val="22"/>
                <w:szCs w:val="22"/>
                <w:lang w:eastAsia="sl-SI"/>
              </w:rPr>
              <w:t>Laikotarpis</w:t>
            </w:r>
          </w:p>
        </w:tc>
        <w:tc>
          <w:tcPr>
            <w:tcW w:w="2369" w:type="dxa"/>
            <w:tcBorders>
              <w:top w:val="single" w:sz="4" w:space="0" w:color="000000"/>
              <w:left w:val="single" w:sz="4" w:space="0" w:color="000000"/>
              <w:bottom w:val="single" w:sz="4" w:space="0" w:color="000000"/>
              <w:right w:val="single" w:sz="4" w:space="0" w:color="000000"/>
            </w:tcBorders>
          </w:tcPr>
          <w:p w14:paraId="5A31ED89" w14:textId="77777777" w:rsidR="00823785" w:rsidRPr="00452D62" w:rsidRDefault="00823785" w:rsidP="006453B9">
            <w:pPr>
              <w:widowControl w:val="0"/>
              <w:tabs>
                <w:tab w:val="clear" w:pos="567"/>
              </w:tabs>
              <w:suppressAutoHyphens w:val="0"/>
              <w:spacing w:line="240" w:lineRule="auto"/>
              <w:ind w:right="-20"/>
              <w:rPr>
                <w:color w:val="auto"/>
                <w:sz w:val="22"/>
                <w:szCs w:val="22"/>
                <w:lang w:eastAsia="sl-SI"/>
              </w:rPr>
            </w:pPr>
            <w:r w:rsidRPr="00452D62">
              <w:rPr>
                <w:b/>
                <w:bCs/>
                <w:color w:val="auto"/>
                <w:sz w:val="22"/>
                <w:szCs w:val="22"/>
                <w:lang w:eastAsia="sl-SI"/>
              </w:rPr>
              <w:t>Dozavimo schema</w:t>
            </w:r>
          </w:p>
        </w:tc>
        <w:tc>
          <w:tcPr>
            <w:tcW w:w="2143" w:type="dxa"/>
            <w:tcBorders>
              <w:top w:val="single" w:sz="4" w:space="0" w:color="000000"/>
              <w:left w:val="single" w:sz="4" w:space="0" w:color="000000"/>
              <w:bottom w:val="single" w:sz="4" w:space="0" w:color="000000"/>
              <w:right w:val="single" w:sz="4" w:space="0" w:color="000000"/>
            </w:tcBorders>
          </w:tcPr>
          <w:p w14:paraId="48727909" w14:textId="77777777" w:rsidR="00823785" w:rsidRPr="00452D62" w:rsidRDefault="00823785" w:rsidP="006453B9">
            <w:pPr>
              <w:widowControl w:val="0"/>
              <w:tabs>
                <w:tab w:val="clear" w:pos="567"/>
              </w:tabs>
              <w:suppressAutoHyphens w:val="0"/>
              <w:spacing w:line="240" w:lineRule="auto"/>
              <w:ind w:right="-20"/>
              <w:rPr>
                <w:color w:val="auto"/>
                <w:sz w:val="22"/>
                <w:szCs w:val="22"/>
                <w:lang w:eastAsia="sl-SI"/>
              </w:rPr>
            </w:pPr>
            <w:r w:rsidRPr="00452D62">
              <w:rPr>
                <w:b/>
                <w:bCs/>
                <w:color w:val="auto"/>
                <w:sz w:val="22"/>
                <w:szCs w:val="22"/>
                <w:lang w:eastAsia="sl-SI"/>
              </w:rPr>
              <w:t>Bendroji paros dozė</w:t>
            </w:r>
          </w:p>
        </w:tc>
      </w:tr>
      <w:tr w:rsidR="00823785" w:rsidRPr="00452D62" w14:paraId="2CF7FE3D" w14:textId="77777777" w:rsidTr="006453B9">
        <w:trPr>
          <w:trHeight w:hRule="exact" w:val="509"/>
        </w:trPr>
        <w:tc>
          <w:tcPr>
            <w:tcW w:w="2340" w:type="dxa"/>
            <w:vMerge w:val="restart"/>
            <w:tcBorders>
              <w:top w:val="single" w:sz="4" w:space="0" w:color="000000"/>
              <w:left w:val="single" w:sz="4" w:space="0" w:color="000000"/>
              <w:right w:val="single" w:sz="4" w:space="0" w:color="000000"/>
            </w:tcBorders>
          </w:tcPr>
          <w:p w14:paraId="36D94DA8" w14:textId="77777777" w:rsidR="00823785" w:rsidRPr="00452D62" w:rsidRDefault="00823785" w:rsidP="006453B9">
            <w:pPr>
              <w:widowControl w:val="0"/>
              <w:tabs>
                <w:tab w:val="clear" w:pos="567"/>
              </w:tabs>
              <w:suppressAutoHyphens w:val="0"/>
              <w:spacing w:line="240" w:lineRule="auto"/>
              <w:ind w:right="-20"/>
              <w:rPr>
                <w:color w:val="auto"/>
                <w:sz w:val="22"/>
                <w:szCs w:val="22"/>
                <w:lang w:eastAsia="sl-SI"/>
              </w:rPr>
            </w:pPr>
            <w:r w:rsidRPr="00452D62">
              <w:rPr>
                <w:color w:val="auto"/>
                <w:sz w:val="22"/>
                <w:szCs w:val="22"/>
                <w:lang w:eastAsia="sl-SI"/>
              </w:rPr>
              <w:t>Pasikartojančios GVT bei PE gydymas ir profilaktika</w:t>
            </w:r>
          </w:p>
        </w:tc>
        <w:tc>
          <w:tcPr>
            <w:tcW w:w="2371" w:type="dxa"/>
            <w:tcBorders>
              <w:top w:val="single" w:sz="4" w:space="0" w:color="000000"/>
              <w:left w:val="single" w:sz="4" w:space="0" w:color="000000"/>
              <w:bottom w:val="single" w:sz="4" w:space="0" w:color="000000"/>
              <w:right w:val="single" w:sz="4" w:space="0" w:color="000000"/>
            </w:tcBorders>
          </w:tcPr>
          <w:p w14:paraId="4984EC63" w14:textId="77777777" w:rsidR="00823785" w:rsidRPr="00452D62" w:rsidRDefault="00823785" w:rsidP="006453B9">
            <w:pPr>
              <w:widowControl w:val="0"/>
              <w:tabs>
                <w:tab w:val="clear" w:pos="567"/>
              </w:tabs>
              <w:suppressAutoHyphens w:val="0"/>
              <w:spacing w:line="240" w:lineRule="auto"/>
              <w:ind w:right="-20"/>
              <w:rPr>
                <w:color w:val="auto"/>
                <w:sz w:val="22"/>
                <w:szCs w:val="22"/>
                <w:lang w:eastAsia="sl-SI"/>
              </w:rPr>
            </w:pPr>
            <w:r w:rsidRPr="00452D62">
              <w:rPr>
                <w:color w:val="auto"/>
                <w:sz w:val="22"/>
                <w:szCs w:val="22"/>
                <w:lang w:eastAsia="sl-SI"/>
              </w:rPr>
              <w:t>1</w:t>
            </w:r>
            <w:r w:rsidRPr="00452D62">
              <w:rPr>
                <w:color w:val="auto"/>
                <w:sz w:val="22"/>
                <w:szCs w:val="22"/>
                <w:lang w:eastAsia="sl-SI"/>
              </w:rPr>
              <w:noBreakHyphen/>
              <w:t>21 diena</w:t>
            </w:r>
          </w:p>
        </w:tc>
        <w:tc>
          <w:tcPr>
            <w:tcW w:w="2369" w:type="dxa"/>
            <w:tcBorders>
              <w:top w:val="single" w:sz="4" w:space="0" w:color="000000"/>
              <w:left w:val="single" w:sz="4" w:space="0" w:color="000000"/>
              <w:bottom w:val="single" w:sz="4" w:space="0" w:color="000000"/>
              <w:right w:val="single" w:sz="4" w:space="0" w:color="000000"/>
            </w:tcBorders>
          </w:tcPr>
          <w:p w14:paraId="0B6D8150" w14:textId="77777777" w:rsidR="00823785" w:rsidRPr="00452D62" w:rsidRDefault="00823785" w:rsidP="006453B9">
            <w:pPr>
              <w:widowControl w:val="0"/>
              <w:tabs>
                <w:tab w:val="clear" w:pos="567"/>
              </w:tabs>
              <w:suppressAutoHyphens w:val="0"/>
              <w:spacing w:line="240" w:lineRule="auto"/>
              <w:ind w:right="-20"/>
              <w:rPr>
                <w:color w:val="auto"/>
                <w:sz w:val="22"/>
                <w:szCs w:val="22"/>
                <w:lang w:eastAsia="sl-SI"/>
              </w:rPr>
            </w:pPr>
            <w:r w:rsidRPr="00452D62">
              <w:rPr>
                <w:color w:val="auto"/>
                <w:sz w:val="22"/>
                <w:szCs w:val="22"/>
                <w:lang w:eastAsia="sl-SI"/>
              </w:rPr>
              <w:t>Po 15 mg du kartus per parą</w:t>
            </w:r>
          </w:p>
        </w:tc>
        <w:tc>
          <w:tcPr>
            <w:tcW w:w="2143" w:type="dxa"/>
            <w:tcBorders>
              <w:top w:val="single" w:sz="4" w:space="0" w:color="000000"/>
              <w:left w:val="single" w:sz="4" w:space="0" w:color="000000"/>
              <w:bottom w:val="single" w:sz="4" w:space="0" w:color="000000"/>
              <w:right w:val="single" w:sz="4" w:space="0" w:color="000000"/>
            </w:tcBorders>
          </w:tcPr>
          <w:p w14:paraId="03068A65" w14:textId="77777777" w:rsidR="00823785" w:rsidRPr="00452D62" w:rsidRDefault="00823785" w:rsidP="006453B9">
            <w:pPr>
              <w:widowControl w:val="0"/>
              <w:tabs>
                <w:tab w:val="clear" w:pos="567"/>
              </w:tabs>
              <w:suppressAutoHyphens w:val="0"/>
              <w:spacing w:line="240" w:lineRule="auto"/>
              <w:ind w:right="-20"/>
              <w:rPr>
                <w:color w:val="auto"/>
                <w:sz w:val="22"/>
                <w:szCs w:val="22"/>
                <w:lang w:eastAsia="sl-SI"/>
              </w:rPr>
            </w:pPr>
            <w:r w:rsidRPr="00452D62">
              <w:rPr>
                <w:color w:val="auto"/>
                <w:sz w:val="22"/>
                <w:szCs w:val="22"/>
                <w:lang w:eastAsia="sl-SI"/>
              </w:rPr>
              <w:t>30 mg</w:t>
            </w:r>
          </w:p>
        </w:tc>
      </w:tr>
      <w:tr w:rsidR="00823785" w:rsidRPr="00452D62" w14:paraId="0E45A27D" w14:textId="77777777" w:rsidTr="006453B9">
        <w:trPr>
          <w:trHeight w:hRule="exact" w:val="529"/>
        </w:trPr>
        <w:tc>
          <w:tcPr>
            <w:tcW w:w="2340" w:type="dxa"/>
            <w:vMerge/>
            <w:tcBorders>
              <w:left w:val="single" w:sz="4" w:space="0" w:color="000000"/>
              <w:bottom w:val="single" w:sz="4" w:space="0" w:color="000000"/>
              <w:right w:val="single" w:sz="4" w:space="0" w:color="000000"/>
            </w:tcBorders>
          </w:tcPr>
          <w:p w14:paraId="40E130D2" w14:textId="77777777" w:rsidR="00823785" w:rsidRPr="00452D62" w:rsidRDefault="00823785" w:rsidP="006453B9">
            <w:pPr>
              <w:widowControl w:val="0"/>
              <w:tabs>
                <w:tab w:val="clear" w:pos="567"/>
              </w:tabs>
              <w:suppressAutoHyphens w:val="0"/>
              <w:spacing w:line="240" w:lineRule="auto"/>
              <w:rPr>
                <w:color w:val="auto"/>
                <w:sz w:val="22"/>
                <w:szCs w:val="22"/>
                <w:lang w:eastAsia="sl-SI"/>
              </w:rPr>
            </w:pPr>
          </w:p>
        </w:tc>
        <w:tc>
          <w:tcPr>
            <w:tcW w:w="2371" w:type="dxa"/>
            <w:tcBorders>
              <w:top w:val="single" w:sz="4" w:space="0" w:color="000000"/>
              <w:left w:val="single" w:sz="4" w:space="0" w:color="000000"/>
              <w:bottom w:val="single" w:sz="4" w:space="0" w:color="000000"/>
              <w:right w:val="single" w:sz="4" w:space="0" w:color="000000"/>
            </w:tcBorders>
          </w:tcPr>
          <w:p w14:paraId="1A1ABDC9" w14:textId="77777777" w:rsidR="00823785" w:rsidRPr="00452D62" w:rsidRDefault="00823785" w:rsidP="006453B9">
            <w:pPr>
              <w:widowControl w:val="0"/>
              <w:tabs>
                <w:tab w:val="clear" w:pos="567"/>
              </w:tabs>
              <w:suppressAutoHyphens w:val="0"/>
              <w:spacing w:line="240" w:lineRule="auto"/>
              <w:ind w:right="-20"/>
              <w:rPr>
                <w:color w:val="auto"/>
                <w:sz w:val="22"/>
                <w:szCs w:val="22"/>
                <w:lang w:eastAsia="sl-SI"/>
              </w:rPr>
            </w:pPr>
            <w:r w:rsidRPr="00452D62">
              <w:rPr>
                <w:color w:val="auto"/>
                <w:sz w:val="22"/>
                <w:szCs w:val="22"/>
                <w:lang w:eastAsia="sl-SI"/>
              </w:rPr>
              <w:t>Nuo 22 dienos</w:t>
            </w:r>
          </w:p>
        </w:tc>
        <w:tc>
          <w:tcPr>
            <w:tcW w:w="2369" w:type="dxa"/>
            <w:tcBorders>
              <w:top w:val="single" w:sz="4" w:space="0" w:color="000000"/>
              <w:left w:val="single" w:sz="4" w:space="0" w:color="000000"/>
              <w:bottom w:val="single" w:sz="4" w:space="0" w:color="000000"/>
              <w:right w:val="single" w:sz="4" w:space="0" w:color="000000"/>
            </w:tcBorders>
          </w:tcPr>
          <w:p w14:paraId="0EEF852A" w14:textId="77777777" w:rsidR="00823785" w:rsidRPr="00452D62" w:rsidRDefault="00823785" w:rsidP="006453B9">
            <w:pPr>
              <w:widowControl w:val="0"/>
              <w:tabs>
                <w:tab w:val="clear" w:pos="567"/>
              </w:tabs>
              <w:suppressAutoHyphens w:val="0"/>
              <w:spacing w:line="240" w:lineRule="auto"/>
              <w:ind w:right="-20"/>
              <w:rPr>
                <w:color w:val="auto"/>
                <w:sz w:val="22"/>
                <w:szCs w:val="22"/>
                <w:lang w:eastAsia="sl-SI"/>
              </w:rPr>
            </w:pPr>
            <w:r w:rsidRPr="00452D62">
              <w:rPr>
                <w:color w:val="auto"/>
                <w:sz w:val="22"/>
                <w:szCs w:val="22"/>
                <w:lang w:eastAsia="sl-SI"/>
              </w:rPr>
              <w:t>Po 20 mg vieną kartą per parą</w:t>
            </w:r>
          </w:p>
        </w:tc>
        <w:tc>
          <w:tcPr>
            <w:tcW w:w="2143" w:type="dxa"/>
            <w:tcBorders>
              <w:top w:val="single" w:sz="4" w:space="0" w:color="000000"/>
              <w:left w:val="single" w:sz="4" w:space="0" w:color="000000"/>
              <w:bottom w:val="single" w:sz="4" w:space="0" w:color="000000"/>
              <w:right w:val="single" w:sz="4" w:space="0" w:color="000000"/>
            </w:tcBorders>
          </w:tcPr>
          <w:p w14:paraId="15D45821" w14:textId="77777777" w:rsidR="00823785" w:rsidRPr="00452D62" w:rsidRDefault="00823785" w:rsidP="006453B9">
            <w:pPr>
              <w:widowControl w:val="0"/>
              <w:tabs>
                <w:tab w:val="clear" w:pos="567"/>
              </w:tabs>
              <w:suppressAutoHyphens w:val="0"/>
              <w:spacing w:line="240" w:lineRule="auto"/>
              <w:ind w:right="-20"/>
              <w:rPr>
                <w:color w:val="auto"/>
                <w:sz w:val="22"/>
                <w:szCs w:val="22"/>
                <w:lang w:eastAsia="sl-SI"/>
              </w:rPr>
            </w:pPr>
            <w:r w:rsidRPr="00452D62">
              <w:rPr>
                <w:color w:val="auto"/>
                <w:sz w:val="22"/>
                <w:szCs w:val="22"/>
                <w:lang w:eastAsia="sl-SI"/>
              </w:rPr>
              <w:t>20 mg</w:t>
            </w:r>
          </w:p>
        </w:tc>
      </w:tr>
      <w:tr w:rsidR="00823785" w:rsidRPr="00452D62" w14:paraId="79D16336" w14:textId="77777777" w:rsidTr="006453B9">
        <w:trPr>
          <w:trHeight w:hRule="exact" w:val="826"/>
        </w:trPr>
        <w:tc>
          <w:tcPr>
            <w:tcW w:w="2340" w:type="dxa"/>
            <w:tcBorders>
              <w:top w:val="single" w:sz="4" w:space="0" w:color="000000"/>
              <w:left w:val="single" w:sz="4" w:space="0" w:color="000000"/>
              <w:bottom w:val="single" w:sz="4" w:space="0" w:color="000000"/>
              <w:right w:val="single" w:sz="4" w:space="0" w:color="000000"/>
            </w:tcBorders>
          </w:tcPr>
          <w:p w14:paraId="2077473D" w14:textId="77777777" w:rsidR="00823785" w:rsidRPr="00452D62" w:rsidRDefault="00823785" w:rsidP="006453B9">
            <w:pPr>
              <w:widowControl w:val="0"/>
              <w:tabs>
                <w:tab w:val="clear" w:pos="567"/>
              </w:tabs>
              <w:suppressAutoHyphens w:val="0"/>
              <w:spacing w:line="240" w:lineRule="auto"/>
              <w:ind w:right="-20"/>
              <w:rPr>
                <w:color w:val="auto"/>
                <w:sz w:val="22"/>
                <w:szCs w:val="22"/>
                <w:lang w:eastAsia="sl-SI"/>
              </w:rPr>
            </w:pPr>
            <w:r w:rsidRPr="00452D62">
              <w:rPr>
                <w:color w:val="auto"/>
                <w:sz w:val="22"/>
                <w:szCs w:val="22"/>
                <w:lang w:eastAsia="sl-SI"/>
              </w:rPr>
              <w:t>Pasikartojančios GVT bei PE profilaktika</w:t>
            </w:r>
          </w:p>
        </w:tc>
        <w:tc>
          <w:tcPr>
            <w:tcW w:w="2371" w:type="dxa"/>
            <w:tcBorders>
              <w:top w:val="single" w:sz="4" w:space="0" w:color="000000"/>
              <w:left w:val="single" w:sz="4" w:space="0" w:color="000000"/>
              <w:bottom w:val="single" w:sz="4" w:space="0" w:color="000000"/>
              <w:right w:val="single" w:sz="4" w:space="0" w:color="000000"/>
            </w:tcBorders>
          </w:tcPr>
          <w:p w14:paraId="1AF4C0FC" w14:textId="77777777" w:rsidR="00823785" w:rsidRPr="00452D62" w:rsidRDefault="00823785" w:rsidP="006453B9">
            <w:pPr>
              <w:widowControl w:val="0"/>
              <w:tabs>
                <w:tab w:val="clear" w:pos="567"/>
              </w:tabs>
              <w:suppressAutoHyphens w:val="0"/>
              <w:spacing w:line="240" w:lineRule="auto"/>
              <w:ind w:right="171"/>
              <w:rPr>
                <w:color w:val="auto"/>
                <w:sz w:val="22"/>
                <w:szCs w:val="22"/>
                <w:lang w:eastAsia="sl-SI"/>
              </w:rPr>
            </w:pPr>
            <w:r w:rsidRPr="00452D62">
              <w:rPr>
                <w:color w:val="auto"/>
                <w:sz w:val="22"/>
                <w:szCs w:val="22"/>
                <w:lang w:eastAsia="sl-SI"/>
              </w:rPr>
              <w:t>Užbaigus bent 6 mėnesių trukmės GVT arba PE gydymą</w:t>
            </w:r>
          </w:p>
        </w:tc>
        <w:tc>
          <w:tcPr>
            <w:tcW w:w="2369" w:type="dxa"/>
            <w:tcBorders>
              <w:top w:val="single" w:sz="4" w:space="0" w:color="000000"/>
              <w:left w:val="single" w:sz="4" w:space="0" w:color="000000"/>
              <w:bottom w:val="single" w:sz="4" w:space="0" w:color="000000"/>
              <w:right w:val="single" w:sz="4" w:space="0" w:color="000000"/>
            </w:tcBorders>
          </w:tcPr>
          <w:p w14:paraId="3A9C4483" w14:textId="77777777" w:rsidR="00823785" w:rsidRPr="00452D62" w:rsidRDefault="00823785" w:rsidP="006453B9">
            <w:pPr>
              <w:widowControl w:val="0"/>
              <w:tabs>
                <w:tab w:val="clear" w:pos="567"/>
              </w:tabs>
              <w:suppressAutoHyphens w:val="0"/>
              <w:spacing w:line="240" w:lineRule="auto"/>
              <w:ind w:right="-20"/>
              <w:rPr>
                <w:color w:val="auto"/>
                <w:sz w:val="22"/>
                <w:szCs w:val="22"/>
                <w:lang w:eastAsia="sl-SI"/>
              </w:rPr>
            </w:pPr>
            <w:r w:rsidRPr="00452D62">
              <w:rPr>
                <w:color w:val="auto"/>
                <w:sz w:val="22"/>
                <w:szCs w:val="22"/>
                <w:lang w:eastAsia="sl-SI"/>
              </w:rPr>
              <w:t>Po 10 mg vieną kartą per parą arba po 20 mg du kartus per parą</w:t>
            </w:r>
          </w:p>
        </w:tc>
        <w:tc>
          <w:tcPr>
            <w:tcW w:w="2143" w:type="dxa"/>
            <w:tcBorders>
              <w:top w:val="single" w:sz="4" w:space="0" w:color="000000"/>
              <w:left w:val="single" w:sz="4" w:space="0" w:color="000000"/>
              <w:bottom w:val="single" w:sz="4" w:space="0" w:color="000000"/>
              <w:right w:val="single" w:sz="4" w:space="0" w:color="000000"/>
            </w:tcBorders>
          </w:tcPr>
          <w:p w14:paraId="17FD1B93" w14:textId="77777777" w:rsidR="00823785" w:rsidRPr="00452D62" w:rsidRDefault="00823785" w:rsidP="006453B9">
            <w:pPr>
              <w:widowControl w:val="0"/>
              <w:tabs>
                <w:tab w:val="clear" w:pos="567"/>
              </w:tabs>
              <w:suppressAutoHyphens w:val="0"/>
              <w:spacing w:line="240" w:lineRule="auto"/>
              <w:ind w:right="-20"/>
              <w:rPr>
                <w:color w:val="auto"/>
                <w:sz w:val="22"/>
                <w:szCs w:val="22"/>
                <w:lang w:eastAsia="sl-SI"/>
              </w:rPr>
            </w:pPr>
            <w:r w:rsidRPr="00452D62">
              <w:rPr>
                <w:color w:val="auto"/>
                <w:sz w:val="22"/>
                <w:szCs w:val="22"/>
                <w:lang w:eastAsia="sl-SI"/>
              </w:rPr>
              <w:t>10 mg</w:t>
            </w:r>
          </w:p>
          <w:p w14:paraId="6417A2E7" w14:textId="77777777" w:rsidR="00823785" w:rsidRPr="00452D62" w:rsidRDefault="00823785" w:rsidP="006453B9">
            <w:pPr>
              <w:widowControl w:val="0"/>
              <w:tabs>
                <w:tab w:val="clear" w:pos="567"/>
              </w:tabs>
              <w:suppressAutoHyphens w:val="0"/>
              <w:spacing w:line="240" w:lineRule="auto"/>
              <w:ind w:right="-20"/>
              <w:rPr>
                <w:color w:val="auto"/>
                <w:sz w:val="22"/>
                <w:szCs w:val="22"/>
                <w:lang w:eastAsia="sl-SI"/>
              </w:rPr>
            </w:pPr>
            <w:r w:rsidRPr="00452D62">
              <w:rPr>
                <w:color w:val="auto"/>
                <w:sz w:val="22"/>
                <w:szCs w:val="22"/>
                <w:lang w:eastAsia="sl-SI"/>
              </w:rPr>
              <w:t>arba 20 mg</w:t>
            </w:r>
          </w:p>
        </w:tc>
      </w:tr>
    </w:tbl>
    <w:p w14:paraId="70D81303" w14:textId="77777777" w:rsidR="00823785" w:rsidRPr="00452D62" w:rsidRDefault="00823785" w:rsidP="00823785">
      <w:pPr>
        <w:rPr>
          <w:iCs/>
          <w:sz w:val="22"/>
          <w:szCs w:val="22"/>
        </w:rPr>
      </w:pPr>
    </w:p>
    <w:p w14:paraId="2C5E58CC" w14:textId="77777777" w:rsidR="00823785" w:rsidRPr="00452D62" w:rsidRDefault="00823785" w:rsidP="00823785">
      <w:pPr>
        <w:rPr>
          <w:iCs/>
          <w:sz w:val="22"/>
          <w:szCs w:val="22"/>
        </w:rPr>
      </w:pPr>
      <w:r w:rsidRPr="00452D62">
        <w:rPr>
          <w:iCs/>
          <w:sz w:val="22"/>
          <w:szCs w:val="22"/>
        </w:rPr>
        <w:t>Jei pacientas pamiršo pavartoti dozę gydymo laikotarpiu, kai vartojama po 15 mg du kartus per parą (1</w:t>
      </w:r>
      <w:r w:rsidRPr="00452D62">
        <w:rPr>
          <w:iCs/>
          <w:sz w:val="22"/>
          <w:szCs w:val="22"/>
        </w:rPr>
        <w:noBreakHyphen/>
        <w:t>21 dieną), jis Xerdoxo turi išgerti nedelsdamas, taip užtikrindamas, kad per parą suvartos 30 mg Xerdoxo dozę. Tokiu atveju gali prireikti suvartoti dvi 15 mg tabletes iš karto. Kitą parą pacientas turi toliau vartoti po 15 mg du kartus per parą, kaip rekomenduojama.</w:t>
      </w:r>
    </w:p>
    <w:p w14:paraId="3A814394" w14:textId="77777777" w:rsidR="00823785" w:rsidRPr="00452D62" w:rsidRDefault="00823785" w:rsidP="00823785">
      <w:pPr>
        <w:rPr>
          <w:iCs/>
          <w:sz w:val="22"/>
          <w:szCs w:val="22"/>
        </w:rPr>
      </w:pPr>
    </w:p>
    <w:p w14:paraId="0C0A6AD2" w14:textId="77777777" w:rsidR="00823785" w:rsidRPr="00452D62" w:rsidRDefault="00823785" w:rsidP="00823785">
      <w:pPr>
        <w:rPr>
          <w:iCs/>
          <w:sz w:val="22"/>
          <w:szCs w:val="22"/>
        </w:rPr>
      </w:pPr>
      <w:r w:rsidRPr="00452D62">
        <w:rPr>
          <w:iCs/>
          <w:sz w:val="22"/>
          <w:szCs w:val="22"/>
        </w:rPr>
        <w:t>Jei pacientas pamiršo pavartoti dozę gydymo laikotarpiu, kai vaistinio preparato vartojama vieną kartą per parą, jis Xerdoxo turi išgerti nedelsdamas, o kitą dieną toliau vartoti vaistinį preparatą vieną kartą per parą, kaip rekomenduojama. Negalima vartoti dvigubos dozės tą pačią parą norint kompensuoti praleistą dozę.</w:t>
      </w:r>
    </w:p>
    <w:p w14:paraId="06B0BCE7" w14:textId="77777777" w:rsidR="00823785" w:rsidRPr="00452D62" w:rsidRDefault="00823785" w:rsidP="00823785">
      <w:pPr>
        <w:rPr>
          <w:iCs/>
          <w:sz w:val="22"/>
          <w:szCs w:val="22"/>
        </w:rPr>
      </w:pPr>
    </w:p>
    <w:p w14:paraId="454BAFC0" w14:textId="77777777" w:rsidR="00823785" w:rsidRPr="00452D62" w:rsidRDefault="00823785" w:rsidP="00823785">
      <w:pPr>
        <w:rPr>
          <w:iCs/>
          <w:sz w:val="22"/>
          <w:szCs w:val="22"/>
        </w:rPr>
      </w:pPr>
      <w:r w:rsidRPr="00452D62">
        <w:rPr>
          <w:i/>
          <w:iCs/>
          <w:sz w:val="22"/>
          <w:szCs w:val="22"/>
        </w:rPr>
        <w:t>Vitamino K antagonistų (VKA) keitimas Xerdoxo</w:t>
      </w:r>
    </w:p>
    <w:p w14:paraId="03A23DAF" w14:textId="77777777" w:rsidR="00823785" w:rsidRPr="00452D62" w:rsidRDefault="00823785" w:rsidP="00823785">
      <w:pPr>
        <w:rPr>
          <w:iCs/>
          <w:sz w:val="22"/>
          <w:szCs w:val="22"/>
        </w:rPr>
      </w:pPr>
      <w:r w:rsidRPr="00452D62">
        <w:rPr>
          <w:iCs/>
          <w:sz w:val="22"/>
          <w:szCs w:val="22"/>
        </w:rPr>
        <w:t xml:space="preserve">Pacientams, kurie gydomi nuo GVT ar PE ir kuriems taikoma jų pasikartojimo profilaktika, gydymą VKA reikia nutraukti ir gydymą Xerdoxo pradėti, kai tarptautinis normalizuotas santykis (angl. </w:t>
      </w:r>
      <w:r w:rsidRPr="00452D62">
        <w:rPr>
          <w:i/>
          <w:sz w:val="22"/>
          <w:szCs w:val="22"/>
        </w:rPr>
        <w:t>International Normalized Ratio</w:t>
      </w:r>
      <w:r w:rsidRPr="00452D62">
        <w:rPr>
          <w:iCs/>
          <w:sz w:val="22"/>
          <w:szCs w:val="22"/>
        </w:rPr>
        <w:t>, INR) yra ≤ 2,5.</w:t>
      </w:r>
    </w:p>
    <w:p w14:paraId="02250964" w14:textId="77777777" w:rsidR="00823785" w:rsidRPr="00452D62" w:rsidRDefault="00823785" w:rsidP="00823785">
      <w:pPr>
        <w:tabs>
          <w:tab w:val="clear" w:pos="567"/>
          <w:tab w:val="left" w:pos="1560"/>
        </w:tabs>
        <w:rPr>
          <w:iCs/>
          <w:sz w:val="22"/>
          <w:szCs w:val="22"/>
        </w:rPr>
      </w:pPr>
    </w:p>
    <w:p w14:paraId="61E5F840" w14:textId="2257B23C" w:rsidR="00823785" w:rsidRPr="00452D62" w:rsidRDefault="00823785" w:rsidP="00823785">
      <w:pPr>
        <w:rPr>
          <w:iCs/>
          <w:sz w:val="22"/>
          <w:szCs w:val="22"/>
        </w:rPr>
      </w:pPr>
      <w:r w:rsidRPr="00452D62">
        <w:rPr>
          <w:iCs/>
          <w:sz w:val="22"/>
          <w:szCs w:val="22"/>
        </w:rPr>
        <w:t>VKA keičiant Xerdoxo, pradėjus vartoti Xerdoxo INR rodmenys gali būti klaidingai padidėję. INR nėra patvirtintas Xerdoxo antikoaguliaciniam aktyvumui vertinti ir todėl neturi būti naudojamas (žr. 4.5 skyrių).</w:t>
      </w:r>
    </w:p>
    <w:p w14:paraId="4E718E90" w14:textId="77777777" w:rsidR="00823785" w:rsidRPr="00452D62" w:rsidRDefault="00823785" w:rsidP="00823785">
      <w:pPr>
        <w:rPr>
          <w:iCs/>
          <w:sz w:val="22"/>
          <w:szCs w:val="22"/>
        </w:rPr>
      </w:pPr>
    </w:p>
    <w:p w14:paraId="7576F696" w14:textId="77777777" w:rsidR="00823785" w:rsidRPr="00452D62" w:rsidRDefault="00823785" w:rsidP="00823785">
      <w:pPr>
        <w:rPr>
          <w:sz w:val="22"/>
          <w:szCs w:val="22"/>
        </w:rPr>
      </w:pPr>
      <w:r w:rsidRPr="00452D62">
        <w:rPr>
          <w:i/>
          <w:iCs/>
          <w:sz w:val="22"/>
          <w:szCs w:val="22"/>
        </w:rPr>
        <w:t>Xerdoxo keitimas vitamino K antagonistais (VKA)</w:t>
      </w:r>
    </w:p>
    <w:p w14:paraId="6FDED53F" w14:textId="77777777" w:rsidR="00823785" w:rsidRPr="00452D62" w:rsidRDefault="00823785" w:rsidP="00823785">
      <w:pPr>
        <w:rPr>
          <w:sz w:val="22"/>
          <w:szCs w:val="22"/>
        </w:rPr>
      </w:pPr>
      <w:r w:rsidRPr="00452D62">
        <w:rPr>
          <w:sz w:val="22"/>
          <w:szCs w:val="22"/>
        </w:rPr>
        <w:t>Xerdoxo keitimo VKA metu antikoaguliacija gali būti nepakankama. Bet kokiais antikoagulianto keitimo atvejais turi būti užtikrinta tęstinė pakankama antikoaguliacija. Reikia atkreipti dėmesį, kad Xerdoxo gali lemti INR padidėjimą.</w:t>
      </w:r>
    </w:p>
    <w:p w14:paraId="52A7BC5C" w14:textId="195D6A43" w:rsidR="00823785" w:rsidRPr="00452D62" w:rsidRDefault="00823785" w:rsidP="00823785">
      <w:pPr>
        <w:rPr>
          <w:sz w:val="22"/>
          <w:szCs w:val="22"/>
        </w:rPr>
      </w:pPr>
      <w:r w:rsidRPr="00452D62">
        <w:rPr>
          <w:sz w:val="22"/>
          <w:szCs w:val="22"/>
        </w:rPr>
        <w:t xml:space="preserve">Gydymą Xerdoxo keičiant į VKA, kartu skiriamas turi būti VKA tol, kol INR tampa ≥ 2,0. Pirmąsias dvi keitimo paras reikia skirti įprastinę pradinę VKA dozę, po to VKA dozę reikia parinkti atsižvelgiant į INR rodmenis. Kol pacientas vartoja ir Xerdoxo, ir VKA, </w:t>
      </w:r>
      <w:r w:rsidRPr="00452D62">
        <w:rPr>
          <w:iCs/>
          <w:sz w:val="22"/>
          <w:szCs w:val="22"/>
        </w:rPr>
        <w:t>INR</w:t>
      </w:r>
      <w:r w:rsidRPr="00452D62">
        <w:rPr>
          <w:sz w:val="22"/>
          <w:szCs w:val="22"/>
        </w:rPr>
        <w:t xml:space="preserve"> reikia tirti ne anksčiau nei 24 valandos po ankstesnės Xerdoxo dozės pavartojimo, tačiau prieš vartojant kitą Xerdoxo dozę. Nutraukus Xerdoxo vartojimą, </w:t>
      </w:r>
      <w:r w:rsidRPr="00452D62">
        <w:rPr>
          <w:iCs/>
          <w:sz w:val="22"/>
          <w:szCs w:val="22"/>
        </w:rPr>
        <w:t>INR</w:t>
      </w:r>
      <w:r w:rsidRPr="00452D62">
        <w:rPr>
          <w:sz w:val="22"/>
          <w:szCs w:val="22"/>
        </w:rPr>
        <w:t xml:space="preserve"> galima patikimai nustatyti praėjus ne mažiau kaip 24 valandoms po paskutiniosios dozės pavartojimo (žr. 4.5 ir 5.2 skyrius).</w:t>
      </w:r>
    </w:p>
    <w:p w14:paraId="07F1F39C" w14:textId="77777777" w:rsidR="00823785" w:rsidRPr="00452D62" w:rsidRDefault="00823785" w:rsidP="00823785">
      <w:pPr>
        <w:rPr>
          <w:sz w:val="22"/>
          <w:szCs w:val="22"/>
        </w:rPr>
      </w:pPr>
    </w:p>
    <w:p w14:paraId="681B6782" w14:textId="77777777" w:rsidR="00823785" w:rsidRPr="00452D62" w:rsidRDefault="00823785" w:rsidP="00823785">
      <w:pPr>
        <w:rPr>
          <w:sz w:val="22"/>
          <w:szCs w:val="22"/>
        </w:rPr>
      </w:pPr>
      <w:r w:rsidRPr="00452D62">
        <w:rPr>
          <w:i/>
          <w:iCs/>
          <w:sz w:val="22"/>
          <w:szCs w:val="22"/>
        </w:rPr>
        <w:t xml:space="preserve">Parenteriniu būdu vartojamų antikoaguliantų keitimas </w:t>
      </w:r>
      <w:r w:rsidRPr="00452D62">
        <w:rPr>
          <w:i/>
          <w:sz w:val="22"/>
          <w:szCs w:val="22"/>
        </w:rPr>
        <w:t>Xerdoxo</w:t>
      </w:r>
    </w:p>
    <w:p w14:paraId="7E5EDD22" w14:textId="77777777" w:rsidR="00823785" w:rsidRPr="00452D62" w:rsidRDefault="00823785" w:rsidP="00823785">
      <w:pPr>
        <w:rPr>
          <w:i/>
          <w:iCs/>
          <w:sz w:val="22"/>
          <w:szCs w:val="22"/>
        </w:rPr>
      </w:pPr>
      <w:r w:rsidRPr="00452D62">
        <w:rPr>
          <w:sz w:val="22"/>
          <w:szCs w:val="22"/>
        </w:rPr>
        <w:t>Parenteriniu būdu antikoaguliantų vartojantiems pacientams reikia nutraukti parenterinio antikoagulianto vartojimą ir pradėti vartoti Xerdoxo likus 0</w:t>
      </w:r>
      <w:r w:rsidRPr="00452D62">
        <w:rPr>
          <w:sz w:val="22"/>
          <w:szCs w:val="22"/>
        </w:rPr>
        <w:noBreakHyphen/>
        <w:t>2 val. iki to laiko, kai pagal numatytą dozavimo schemą turėtų būti vartojamas parenterinis vaistinis preparatas (pvz., mažos molekulinės masės heparinas), arba nepertraukiamai vartojamo parenterinio vaistinio preparato (pvz., intraveninio nefrakcionuoto heparino) nutraukimo metu.</w:t>
      </w:r>
    </w:p>
    <w:p w14:paraId="18566BAC" w14:textId="77777777" w:rsidR="00823785" w:rsidRPr="00452D62" w:rsidRDefault="00823785" w:rsidP="00823785">
      <w:pPr>
        <w:rPr>
          <w:i/>
          <w:iCs/>
          <w:sz w:val="22"/>
          <w:szCs w:val="22"/>
        </w:rPr>
      </w:pPr>
    </w:p>
    <w:p w14:paraId="466D64F3" w14:textId="77777777" w:rsidR="00823785" w:rsidRPr="00452D62" w:rsidRDefault="00823785" w:rsidP="00823785">
      <w:pPr>
        <w:rPr>
          <w:sz w:val="22"/>
          <w:szCs w:val="22"/>
        </w:rPr>
      </w:pPr>
      <w:r w:rsidRPr="00452D62">
        <w:rPr>
          <w:i/>
          <w:sz w:val="22"/>
          <w:szCs w:val="22"/>
        </w:rPr>
        <w:t>Xerdoxo</w:t>
      </w:r>
      <w:r w:rsidRPr="00452D62">
        <w:rPr>
          <w:i/>
          <w:iCs/>
          <w:sz w:val="22"/>
          <w:szCs w:val="22"/>
        </w:rPr>
        <w:t xml:space="preserve"> keitimas parenteriniu būdu vartojamais antikoaguliantais</w:t>
      </w:r>
    </w:p>
    <w:p w14:paraId="6DC69258" w14:textId="77777777" w:rsidR="00823785" w:rsidRPr="00452D62" w:rsidRDefault="00823785" w:rsidP="00823785">
      <w:pPr>
        <w:rPr>
          <w:sz w:val="22"/>
          <w:szCs w:val="22"/>
          <w:u w:val="single"/>
        </w:rPr>
      </w:pPr>
      <w:r w:rsidRPr="00452D62">
        <w:rPr>
          <w:sz w:val="22"/>
          <w:szCs w:val="22"/>
        </w:rPr>
        <w:t>Pirmąją parenteriniu būdu vartojamo antikoagulianto dozę reikia skirti tuo metu, kai turėjo būti vartojama kita Xerdoxo dozė.</w:t>
      </w:r>
    </w:p>
    <w:p w14:paraId="75E93287" w14:textId="77777777" w:rsidR="00823785" w:rsidRPr="00452D62" w:rsidRDefault="00823785" w:rsidP="00823785">
      <w:pPr>
        <w:rPr>
          <w:sz w:val="22"/>
          <w:szCs w:val="22"/>
          <w:u w:val="single"/>
        </w:rPr>
      </w:pPr>
    </w:p>
    <w:p w14:paraId="0E4448ED" w14:textId="77777777" w:rsidR="00823785" w:rsidRPr="00452D62" w:rsidRDefault="00823785" w:rsidP="00823785">
      <w:pPr>
        <w:rPr>
          <w:i/>
          <w:iCs/>
          <w:sz w:val="22"/>
          <w:szCs w:val="22"/>
        </w:rPr>
      </w:pPr>
      <w:r w:rsidRPr="00452D62">
        <w:rPr>
          <w:i/>
          <w:iCs/>
          <w:sz w:val="22"/>
          <w:szCs w:val="22"/>
          <w:u w:val="single"/>
        </w:rPr>
        <w:t>Ypatingos populiacijos</w:t>
      </w:r>
    </w:p>
    <w:p w14:paraId="6CAE6484" w14:textId="77777777" w:rsidR="00823785" w:rsidRPr="00452D62" w:rsidRDefault="00823785" w:rsidP="00823785">
      <w:pPr>
        <w:rPr>
          <w:sz w:val="22"/>
          <w:szCs w:val="22"/>
        </w:rPr>
      </w:pPr>
      <w:r w:rsidRPr="00452D62">
        <w:rPr>
          <w:i/>
          <w:sz w:val="22"/>
          <w:szCs w:val="22"/>
        </w:rPr>
        <w:t>Pacientams, kurių inkstų funkcija sutrikusi</w:t>
      </w:r>
    </w:p>
    <w:p w14:paraId="79531389" w14:textId="77777777" w:rsidR="00823785" w:rsidRPr="00452D62" w:rsidRDefault="00823785" w:rsidP="00823785">
      <w:pPr>
        <w:rPr>
          <w:sz w:val="22"/>
          <w:szCs w:val="22"/>
        </w:rPr>
      </w:pPr>
      <w:r w:rsidRPr="00452D62">
        <w:rPr>
          <w:sz w:val="22"/>
          <w:szCs w:val="22"/>
        </w:rPr>
        <w:t>Riboti klinikiniai duomenys rodo, kad pacientams, kuriems yra sunkus inkstų funkcijos sutrikimas (kreatinino klirensas 15</w:t>
      </w:r>
      <w:r w:rsidRPr="00452D62">
        <w:rPr>
          <w:sz w:val="22"/>
          <w:szCs w:val="22"/>
        </w:rPr>
        <w:noBreakHyphen/>
        <w:t>29 ml/min.), rivaroksabano koncentracija kraujo plazmoje būna reikšmingai padidėjusi. Taigi, šiems pacientams Xerdoxo reikia vartoti atsargiai. Nerekomenduojama vartoti pacientams, kurių kreatinino klirensas yra &lt; 15 ml/min. (žr. 4.4 ir 5.2 skyrius).</w:t>
      </w:r>
    </w:p>
    <w:p w14:paraId="03216B14" w14:textId="77777777" w:rsidR="00823785" w:rsidRPr="00452D62" w:rsidRDefault="00823785" w:rsidP="00823785">
      <w:pPr>
        <w:pStyle w:val="Default"/>
        <w:rPr>
          <w:sz w:val="22"/>
          <w:szCs w:val="22"/>
        </w:rPr>
      </w:pPr>
    </w:p>
    <w:p w14:paraId="34159EEE" w14:textId="77777777" w:rsidR="00823785" w:rsidRPr="00452D62" w:rsidRDefault="00823785" w:rsidP="00823785">
      <w:pPr>
        <w:numPr>
          <w:ilvl w:val="0"/>
          <w:numId w:val="18"/>
        </w:numPr>
        <w:ind w:left="567" w:hanging="567"/>
        <w:rPr>
          <w:sz w:val="22"/>
          <w:szCs w:val="22"/>
        </w:rPr>
      </w:pPr>
      <w:r w:rsidRPr="00452D62">
        <w:rPr>
          <w:sz w:val="22"/>
          <w:szCs w:val="22"/>
        </w:rPr>
        <w:t>VTE profilaktikai suaugusiems pacientams, kuriems atliekamos planinės klubo arba kelio sąnario pakeitimo operacijos ir kuriems yra lengvas inkstų funkcijos sutrikimas (kreatinino klirensas 50-80 ml/min.) arba vidutinio sunkumo inkstų funkcijos sutrikimas (kreatinino klirensas 30-49 ml/min.), dozės koreguoti nereikia (žr. 5.2 skyrių).</w:t>
      </w:r>
    </w:p>
    <w:p w14:paraId="3C7EE0F0" w14:textId="4AC09EF8" w:rsidR="00823785" w:rsidRPr="00452D62" w:rsidRDefault="00823785" w:rsidP="00823785">
      <w:pPr>
        <w:numPr>
          <w:ilvl w:val="0"/>
          <w:numId w:val="18"/>
        </w:numPr>
        <w:ind w:left="567" w:hanging="567"/>
        <w:rPr>
          <w:sz w:val="22"/>
          <w:szCs w:val="22"/>
        </w:rPr>
      </w:pPr>
      <w:r w:rsidRPr="00452D62">
        <w:rPr>
          <w:sz w:val="22"/>
          <w:szCs w:val="22"/>
        </w:rPr>
        <w:t>GVT gydymui, PE gydymui ir pasikartojančios GVT bei PE profilaktikai pacientams, kuriems yra lengvas inkstų funkcijos sutrikimas (kreatinino klirensas 50-80 ml/min.), dozės koreguoti nereikia (žr. 5.2 skyrių). Pacientams, kuriems yra vidutinio sunkumo (kreatinino klirensas 30</w:t>
      </w:r>
      <w:r w:rsidRPr="00452D62">
        <w:rPr>
          <w:sz w:val="22"/>
          <w:szCs w:val="22"/>
        </w:rPr>
        <w:noBreakHyphen/>
        <w:t>49 ml/min.) arba sunkus (kreatinino klirensas 15</w:t>
      </w:r>
      <w:r w:rsidRPr="00452D62">
        <w:rPr>
          <w:sz w:val="22"/>
          <w:szCs w:val="22"/>
        </w:rPr>
        <w:noBreakHyphen/>
        <w:t>29 ml/min.) inkstų funkcijos sutrikimas: pirmąsias tris savaites reikia skirti po 15 mg du kartus per parą. Po to, kai rekomenduojama dozė yra 20 mg vieną kartą per parą, jei paciento kraujavimo rizika yra didesnė už pasikartojančios PE ir GVT riziką, reikia apsvarstyti vieną kartą per parą vartojamos dozės sumažinimą nuo 20 mg iki 15 mg. Rekomendacijos vartoti 15 mg dozę yra paremtos farmakokinetiniu modeliavimu, bet kliniškai toks dozavimas nėra ištirtas (žr. 4.4, 5.1 ir 5.2 skyrius).</w:t>
      </w:r>
    </w:p>
    <w:p w14:paraId="6A8824D0" w14:textId="77777777" w:rsidR="00823785" w:rsidRPr="00452D62" w:rsidRDefault="00823785" w:rsidP="00823785">
      <w:pPr>
        <w:ind w:left="567"/>
        <w:rPr>
          <w:sz w:val="22"/>
          <w:szCs w:val="22"/>
        </w:rPr>
      </w:pPr>
      <w:r w:rsidRPr="00452D62">
        <w:rPr>
          <w:sz w:val="22"/>
          <w:szCs w:val="22"/>
        </w:rPr>
        <w:t>Kai rekomenduojama dozė yra 10 mg vieną kartą per parą, rekomenduojamos dozės koreguoti nereikia.</w:t>
      </w:r>
    </w:p>
    <w:p w14:paraId="03F9204D" w14:textId="77777777" w:rsidR="00823785" w:rsidRPr="00452D62" w:rsidRDefault="00823785" w:rsidP="00823785">
      <w:pPr>
        <w:rPr>
          <w:sz w:val="22"/>
          <w:szCs w:val="22"/>
        </w:rPr>
      </w:pPr>
    </w:p>
    <w:p w14:paraId="0758CA32" w14:textId="77777777" w:rsidR="00823785" w:rsidRPr="00452D62" w:rsidRDefault="00823785" w:rsidP="00823785">
      <w:pPr>
        <w:rPr>
          <w:sz w:val="22"/>
          <w:szCs w:val="22"/>
        </w:rPr>
      </w:pPr>
      <w:r w:rsidRPr="00452D62">
        <w:rPr>
          <w:i/>
          <w:sz w:val="22"/>
          <w:szCs w:val="22"/>
        </w:rPr>
        <w:t>Pacientams, kurių kepenų funkcija sutrikusi</w:t>
      </w:r>
    </w:p>
    <w:p w14:paraId="745197AF" w14:textId="77777777" w:rsidR="00823785" w:rsidRPr="00452D62" w:rsidRDefault="00823785" w:rsidP="00823785">
      <w:pPr>
        <w:rPr>
          <w:sz w:val="22"/>
          <w:szCs w:val="22"/>
        </w:rPr>
      </w:pPr>
      <w:r w:rsidRPr="00452D62">
        <w:rPr>
          <w:sz w:val="22"/>
          <w:szCs w:val="22"/>
        </w:rPr>
        <w:t xml:space="preserve">Xerdoxo draudžiama vartoti pacientams, sergantiems kepenų liga, susijusia su koaguliopatija ir kliniškai reikšmingo kraujavimo rizika, įskaitant pacientus, kuriems yra cirozė (B ir C pagal </w:t>
      </w:r>
      <w:r w:rsidRPr="00452D62">
        <w:rPr>
          <w:i/>
          <w:sz w:val="22"/>
          <w:szCs w:val="22"/>
        </w:rPr>
        <w:t>Child Pugh</w:t>
      </w:r>
      <w:r w:rsidRPr="00452D62">
        <w:rPr>
          <w:sz w:val="22"/>
          <w:szCs w:val="22"/>
        </w:rPr>
        <w:t>) (žr. 4.3 ir 5.2 skyrius).</w:t>
      </w:r>
    </w:p>
    <w:p w14:paraId="79350543" w14:textId="77777777" w:rsidR="00823785" w:rsidRPr="00452D62" w:rsidRDefault="00823785" w:rsidP="00823785">
      <w:pPr>
        <w:rPr>
          <w:sz w:val="22"/>
          <w:szCs w:val="22"/>
        </w:rPr>
      </w:pPr>
    </w:p>
    <w:p w14:paraId="0217E2BD" w14:textId="77777777" w:rsidR="00823785" w:rsidRPr="00452D62" w:rsidRDefault="00823785" w:rsidP="00823785">
      <w:pPr>
        <w:rPr>
          <w:sz w:val="22"/>
          <w:szCs w:val="22"/>
        </w:rPr>
      </w:pPr>
      <w:r w:rsidRPr="00452D62">
        <w:rPr>
          <w:i/>
          <w:sz w:val="22"/>
          <w:szCs w:val="22"/>
        </w:rPr>
        <w:t>Senyviems pacientams</w:t>
      </w:r>
    </w:p>
    <w:p w14:paraId="696228D3" w14:textId="5A9F5C85" w:rsidR="00823785" w:rsidRPr="00452D62" w:rsidRDefault="00823785" w:rsidP="00823785">
      <w:pPr>
        <w:rPr>
          <w:sz w:val="22"/>
          <w:szCs w:val="22"/>
        </w:rPr>
      </w:pPr>
      <w:r w:rsidRPr="00452D62">
        <w:rPr>
          <w:sz w:val="22"/>
          <w:szCs w:val="22"/>
        </w:rPr>
        <w:t>Dozės koreguoti nereikia (žr. 5.2 skyrių).</w:t>
      </w:r>
    </w:p>
    <w:p w14:paraId="75C52162" w14:textId="77777777" w:rsidR="00823785" w:rsidRPr="00452D62" w:rsidRDefault="00823785" w:rsidP="00823785">
      <w:pPr>
        <w:rPr>
          <w:sz w:val="22"/>
          <w:szCs w:val="22"/>
        </w:rPr>
      </w:pPr>
    </w:p>
    <w:p w14:paraId="269EB1AD" w14:textId="77777777" w:rsidR="00823785" w:rsidRPr="00452D62" w:rsidRDefault="00823785" w:rsidP="00823785">
      <w:pPr>
        <w:rPr>
          <w:sz w:val="22"/>
          <w:szCs w:val="22"/>
        </w:rPr>
      </w:pPr>
      <w:r w:rsidRPr="00452D62">
        <w:rPr>
          <w:i/>
          <w:sz w:val="22"/>
          <w:szCs w:val="22"/>
        </w:rPr>
        <w:t>Kūno svoris</w:t>
      </w:r>
    </w:p>
    <w:p w14:paraId="3113041A" w14:textId="2EAD3EA6" w:rsidR="00823785" w:rsidRPr="00452D62" w:rsidRDefault="00823785" w:rsidP="00823785">
      <w:pPr>
        <w:rPr>
          <w:i/>
          <w:sz w:val="22"/>
          <w:szCs w:val="22"/>
        </w:rPr>
      </w:pPr>
      <w:r w:rsidRPr="00452D62">
        <w:rPr>
          <w:sz w:val="22"/>
          <w:szCs w:val="22"/>
        </w:rPr>
        <w:t>Dozės koreguoti nereikia (žr. 5.2 skyrių).</w:t>
      </w:r>
    </w:p>
    <w:p w14:paraId="41913382" w14:textId="77777777" w:rsidR="00823785" w:rsidRPr="00452D62" w:rsidRDefault="00823785" w:rsidP="00823785">
      <w:pPr>
        <w:rPr>
          <w:i/>
          <w:sz w:val="22"/>
          <w:szCs w:val="22"/>
        </w:rPr>
      </w:pPr>
    </w:p>
    <w:p w14:paraId="7A71E8CD" w14:textId="77777777" w:rsidR="00823785" w:rsidRPr="00452D62" w:rsidRDefault="00823785" w:rsidP="00823785">
      <w:pPr>
        <w:rPr>
          <w:sz w:val="22"/>
          <w:szCs w:val="22"/>
        </w:rPr>
      </w:pPr>
      <w:r w:rsidRPr="00452D62">
        <w:rPr>
          <w:i/>
          <w:sz w:val="22"/>
          <w:szCs w:val="22"/>
        </w:rPr>
        <w:t>Lytis</w:t>
      </w:r>
    </w:p>
    <w:p w14:paraId="7EFCF3DC" w14:textId="77777777" w:rsidR="00823785" w:rsidRPr="00452D62" w:rsidRDefault="00823785" w:rsidP="00823785">
      <w:pPr>
        <w:rPr>
          <w:sz w:val="22"/>
          <w:szCs w:val="22"/>
        </w:rPr>
      </w:pPr>
      <w:r w:rsidRPr="00452D62">
        <w:rPr>
          <w:sz w:val="22"/>
          <w:szCs w:val="22"/>
        </w:rPr>
        <w:t>Dozės koreguoti nereikia (žr. 5.2 skyrių).</w:t>
      </w:r>
    </w:p>
    <w:p w14:paraId="492434A2" w14:textId="77777777" w:rsidR="00823785" w:rsidRPr="00452D62" w:rsidRDefault="00823785" w:rsidP="00823785">
      <w:pPr>
        <w:rPr>
          <w:sz w:val="22"/>
          <w:szCs w:val="22"/>
        </w:rPr>
      </w:pPr>
    </w:p>
    <w:p w14:paraId="0D04127B" w14:textId="77777777" w:rsidR="00823785" w:rsidRPr="00452D62" w:rsidRDefault="00823785" w:rsidP="00823785">
      <w:pPr>
        <w:rPr>
          <w:sz w:val="22"/>
          <w:szCs w:val="22"/>
        </w:rPr>
      </w:pPr>
      <w:r w:rsidRPr="00452D62">
        <w:rPr>
          <w:i/>
          <w:iCs/>
          <w:sz w:val="22"/>
          <w:szCs w:val="22"/>
        </w:rPr>
        <w:t xml:space="preserve">Vaikų populiacija </w:t>
      </w:r>
    </w:p>
    <w:p w14:paraId="7045B42D" w14:textId="77777777" w:rsidR="00823785" w:rsidRPr="00452D62" w:rsidRDefault="00823785" w:rsidP="00823785">
      <w:pPr>
        <w:rPr>
          <w:sz w:val="22"/>
          <w:szCs w:val="22"/>
          <w:u w:val="single"/>
        </w:rPr>
      </w:pPr>
      <w:r w:rsidRPr="00452D62">
        <w:rPr>
          <w:sz w:val="22"/>
          <w:szCs w:val="22"/>
        </w:rPr>
        <w:t>Rivaroksabano 10 mg tablečių saugumas ir veiksmingumas vaikams nuo 0 iki 18 metų amžiaus nenustatyti. Duomenų nėra. Taigi, Xerdoxo 10 mg tablečių vartoti jaunesniems kaip 18 metų amžiaus vaikams nerekomenduojama.</w:t>
      </w:r>
    </w:p>
    <w:p w14:paraId="3D1E04BB" w14:textId="77777777" w:rsidR="00823785" w:rsidRPr="00452D62" w:rsidRDefault="00823785" w:rsidP="00823785">
      <w:pPr>
        <w:rPr>
          <w:sz w:val="22"/>
          <w:szCs w:val="22"/>
          <w:u w:val="single"/>
        </w:rPr>
      </w:pPr>
    </w:p>
    <w:p w14:paraId="43A84071" w14:textId="77777777" w:rsidR="00823785" w:rsidRPr="00452D62" w:rsidRDefault="00823785" w:rsidP="00823785">
      <w:pPr>
        <w:rPr>
          <w:sz w:val="22"/>
          <w:szCs w:val="22"/>
        </w:rPr>
      </w:pPr>
      <w:r w:rsidRPr="00452D62">
        <w:rPr>
          <w:sz w:val="22"/>
          <w:szCs w:val="22"/>
          <w:u w:val="single"/>
        </w:rPr>
        <w:t>Vartojimo metodas</w:t>
      </w:r>
    </w:p>
    <w:p w14:paraId="28BD05F8" w14:textId="77777777" w:rsidR="00823785" w:rsidRPr="00452D62" w:rsidRDefault="00823785" w:rsidP="00823785">
      <w:pPr>
        <w:rPr>
          <w:sz w:val="22"/>
          <w:szCs w:val="22"/>
        </w:rPr>
      </w:pPr>
      <w:r w:rsidRPr="00452D62">
        <w:rPr>
          <w:sz w:val="22"/>
          <w:szCs w:val="22"/>
        </w:rPr>
        <w:t>Xerdoxo skirtas vartoti per burną.</w:t>
      </w:r>
    </w:p>
    <w:p w14:paraId="769AC98A" w14:textId="77777777" w:rsidR="00823785" w:rsidRPr="00452D62" w:rsidRDefault="00823785" w:rsidP="00823785">
      <w:pPr>
        <w:rPr>
          <w:sz w:val="22"/>
          <w:szCs w:val="22"/>
        </w:rPr>
      </w:pPr>
      <w:r w:rsidRPr="00452D62">
        <w:rPr>
          <w:sz w:val="22"/>
          <w:szCs w:val="22"/>
        </w:rPr>
        <w:t>Tabletes galima gerti valgio metu arba kitu laiku (žr. 4.5 ir 5.2 skyrius).</w:t>
      </w:r>
    </w:p>
    <w:p w14:paraId="2B32BA28" w14:textId="77777777" w:rsidR="00823785" w:rsidRPr="00452D62" w:rsidRDefault="00823785" w:rsidP="00823785">
      <w:pPr>
        <w:rPr>
          <w:sz w:val="22"/>
          <w:szCs w:val="22"/>
        </w:rPr>
      </w:pPr>
    </w:p>
    <w:p w14:paraId="541C504B" w14:textId="77777777" w:rsidR="00823785" w:rsidRPr="00452D62" w:rsidRDefault="00823785" w:rsidP="00823785">
      <w:pPr>
        <w:rPr>
          <w:i/>
          <w:sz w:val="22"/>
          <w:szCs w:val="22"/>
          <w:u w:val="single"/>
        </w:rPr>
      </w:pPr>
      <w:r w:rsidRPr="00452D62">
        <w:rPr>
          <w:i/>
          <w:sz w:val="22"/>
          <w:szCs w:val="22"/>
          <w:u w:val="single"/>
        </w:rPr>
        <w:t>Tablečių smulkinimas</w:t>
      </w:r>
    </w:p>
    <w:p w14:paraId="5D413D30" w14:textId="77777777" w:rsidR="00823785" w:rsidRPr="00452D62" w:rsidRDefault="00823785" w:rsidP="00823785">
      <w:pPr>
        <w:rPr>
          <w:sz w:val="22"/>
          <w:szCs w:val="22"/>
        </w:rPr>
      </w:pPr>
      <w:r w:rsidRPr="00452D62">
        <w:rPr>
          <w:sz w:val="22"/>
          <w:szCs w:val="22"/>
        </w:rPr>
        <w:t>Pacientams, kurie negali nuryti visos tabletės, prieš pat vartojimą Xerdoxo tabletę galima susmulkinti ir, sumaišius su vandeniu arba obuolių tyre, suvartoti per burną.</w:t>
      </w:r>
    </w:p>
    <w:p w14:paraId="2AD54284" w14:textId="3D3EB5C7" w:rsidR="00823785" w:rsidRPr="00452D62" w:rsidRDefault="00823785" w:rsidP="00823785">
      <w:pPr>
        <w:rPr>
          <w:b/>
          <w:bCs/>
          <w:sz w:val="22"/>
          <w:szCs w:val="22"/>
        </w:rPr>
      </w:pPr>
      <w:r w:rsidRPr="00452D62">
        <w:rPr>
          <w:sz w:val="22"/>
          <w:szCs w:val="22"/>
        </w:rPr>
        <w:t>Susmulkintą Xerdoxo tabletę galima vartoti ir per skrandžio vamzdelį (žr. 5.2 ir 6.6 skyrius).</w:t>
      </w:r>
    </w:p>
    <w:p w14:paraId="526580E4" w14:textId="77777777" w:rsidR="00823785" w:rsidRPr="00452D62" w:rsidRDefault="00823785" w:rsidP="00823785">
      <w:pPr>
        <w:ind w:left="567" w:hanging="568"/>
        <w:rPr>
          <w:b/>
          <w:bCs/>
          <w:sz w:val="22"/>
          <w:szCs w:val="22"/>
        </w:rPr>
      </w:pPr>
    </w:p>
    <w:p w14:paraId="1B0E9AD9"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4.3</w:t>
      </w:r>
      <w:r w:rsidRPr="00452D62">
        <w:rPr>
          <w:b/>
          <w:color w:val="auto"/>
          <w:kern w:val="28"/>
          <w:sz w:val="22"/>
          <w:szCs w:val="22"/>
          <w:lang w:eastAsia="en-US"/>
        </w:rPr>
        <w:tab/>
        <w:t>Kontraindikacijos</w:t>
      </w:r>
    </w:p>
    <w:p w14:paraId="1A573F84" w14:textId="77777777" w:rsidR="00823785" w:rsidRPr="00452D62" w:rsidRDefault="00823785" w:rsidP="00823785">
      <w:pPr>
        <w:rPr>
          <w:sz w:val="22"/>
          <w:szCs w:val="22"/>
        </w:rPr>
      </w:pPr>
    </w:p>
    <w:p w14:paraId="202C65C6" w14:textId="77777777" w:rsidR="00823785" w:rsidRPr="00452D62" w:rsidRDefault="00823785" w:rsidP="00823785">
      <w:pPr>
        <w:rPr>
          <w:sz w:val="22"/>
          <w:szCs w:val="22"/>
        </w:rPr>
      </w:pPr>
      <w:r w:rsidRPr="00452D62">
        <w:rPr>
          <w:sz w:val="22"/>
          <w:szCs w:val="22"/>
        </w:rPr>
        <w:t>Padidėjęs jautrumas veikliajai arba bet kuriai 6.1 skyriuje nurodytai pagalbinei medžiagai.</w:t>
      </w:r>
    </w:p>
    <w:p w14:paraId="624926F5" w14:textId="77777777" w:rsidR="00823785" w:rsidRPr="00452D62" w:rsidRDefault="00823785" w:rsidP="00823785">
      <w:pPr>
        <w:rPr>
          <w:sz w:val="22"/>
          <w:szCs w:val="22"/>
        </w:rPr>
      </w:pPr>
    </w:p>
    <w:p w14:paraId="2B687087" w14:textId="77777777" w:rsidR="00823785" w:rsidRPr="00452D62" w:rsidRDefault="00823785" w:rsidP="00823785">
      <w:pPr>
        <w:rPr>
          <w:sz w:val="22"/>
          <w:szCs w:val="22"/>
        </w:rPr>
      </w:pPr>
      <w:r w:rsidRPr="00452D62">
        <w:rPr>
          <w:sz w:val="22"/>
          <w:szCs w:val="22"/>
        </w:rPr>
        <w:t>Aktyvus kliniškai reikšmingas kraujavimas.</w:t>
      </w:r>
    </w:p>
    <w:p w14:paraId="60B1B79E" w14:textId="77777777" w:rsidR="00823785" w:rsidRPr="00452D62" w:rsidRDefault="00823785" w:rsidP="00823785">
      <w:pPr>
        <w:rPr>
          <w:sz w:val="22"/>
          <w:szCs w:val="22"/>
        </w:rPr>
      </w:pPr>
    </w:p>
    <w:p w14:paraId="1CDE1AAB" w14:textId="77777777" w:rsidR="00823785" w:rsidRPr="00452D62" w:rsidRDefault="00823785" w:rsidP="00823785">
      <w:pPr>
        <w:rPr>
          <w:sz w:val="22"/>
          <w:szCs w:val="22"/>
        </w:rPr>
      </w:pPr>
      <w:r w:rsidRPr="00452D62">
        <w:rPr>
          <w:sz w:val="22"/>
          <w:szCs w:val="22"/>
        </w:rPr>
        <w:t>Sužalojimas arba būklė, jeigu laikoma, jog yra didelė didžiojo kraujavimo rizika. Tai gali būti esamos arba neseniai buvusios virškinimo trakto opos, esami piktybiniai navikai, sukeliantys didelę kraujavimo riziką, neseniai buvusi galvos smegenų arba stuburo pažaida, neseniai buvusi galvos smegenų, stuburo arba akies chirurginė operacija, neseniai buvęs intrakranijinis kraujavimas, žinoma arba įtariama stemplės venų varikozė, arterioveninės formavimosi ydos, kraujagyslių aneurizmos arba didžiosios stuburo ar galvos smegenų kraujagyslių anomalijos.</w:t>
      </w:r>
    </w:p>
    <w:p w14:paraId="0FB1C5AD" w14:textId="77777777" w:rsidR="00823785" w:rsidRPr="00452D62" w:rsidRDefault="00823785" w:rsidP="00823785">
      <w:pPr>
        <w:rPr>
          <w:sz w:val="22"/>
          <w:szCs w:val="22"/>
        </w:rPr>
      </w:pPr>
    </w:p>
    <w:p w14:paraId="31F93020" w14:textId="77777777" w:rsidR="00823785" w:rsidRPr="00452D62" w:rsidRDefault="00823785" w:rsidP="00823785">
      <w:pPr>
        <w:rPr>
          <w:sz w:val="22"/>
          <w:szCs w:val="22"/>
        </w:rPr>
      </w:pPr>
      <w:r w:rsidRPr="00452D62">
        <w:rPr>
          <w:sz w:val="22"/>
          <w:szCs w:val="22"/>
        </w:rPr>
        <w:t>Tuo pačiu metu taikomas gydymas bet kuriais kitais antikoaguliantais, pvz., nefrakcionuotu heparinu (NFH), mažos molekulinės masės heparinais (enoksaparinu, dalteparinu ir kt.), heparino dariniais (fondaparinuksu ir kt.), geriamaisiais antikoaguliantais (varfarinu, dabigatrano eteksilatu, apiksabanu ir kt.), išskyrus specifinius gydymo antikoaguliantais keitimo atvejus (žr. 4.2 skyrių) arba kai NFH vartojamas tokiomis dozėmis, kurios būtinos, kad išliktų pralaidus centrinės venos arba arterijos kateteris (žr. 4.5 skyrių).</w:t>
      </w:r>
    </w:p>
    <w:p w14:paraId="3FB810E5" w14:textId="77777777" w:rsidR="00823785" w:rsidRPr="00452D62" w:rsidRDefault="00823785" w:rsidP="00823785">
      <w:pPr>
        <w:rPr>
          <w:sz w:val="22"/>
          <w:szCs w:val="22"/>
        </w:rPr>
      </w:pPr>
    </w:p>
    <w:p w14:paraId="136CEFCB" w14:textId="77777777" w:rsidR="00823785" w:rsidRPr="00452D62" w:rsidRDefault="00823785" w:rsidP="00823785">
      <w:pPr>
        <w:rPr>
          <w:sz w:val="22"/>
          <w:szCs w:val="22"/>
        </w:rPr>
      </w:pPr>
      <w:r w:rsidRPr="00452D62">
        <w:rPr>
          <w:sz w:val="22"/>
          <w:szCs w:val="22"/>
        </w:rPr>
        <w:t xml:space="preserve">Kepenų liga, susijusi su koaguliopatija ir kliniškai reikšmingo kraujavimo rizika, įskaitant pacientus, kuriems yra cirozė (B ir C pagal </w:t>
      </w:r>
      <w:r w:rsidRPr="00452D62">
        <w:rPr>
          <w:i/>
          <w:sz w:val="22"/>
          <w:szCs w:val="22"/>
        </w:rPr>
        <w:t>Child Pugh</w:t>
      </w:r>
      <w:r w:rsidRPr="00452D62">
        <w:rPr>
          <w:sz w:val="22"/>
          <w:szCs w:val="22"/>
        </w:rPr>
        <w:t>) (žr. 5.2 skyrių).</w:t>
      </w:r>
    </w:p>
    <w:p w14:paraId="553806FA" w14:textId="77777777" w:rsidR="00823785" w:rsidRPr="00452D62" w:rsidRDefault="00823785" w:rsidP="00823785">
      <w:pPr>
        <w:rPr>
          <w:sz w:val="22"/>
          <w:szCs w:val="22"/>
        </w:rPr>
      </w:pPr>
    </w:p>
    <w:p w14:paraId="6170828E" w14:textId="77777777" w:rsidR="00823785" w:rsidRPr="00452D62" w:rsidRDefault="00823785" w:rsidP="00823785">
      <w:pPr>
        <w:rPr>
          <w:sz w:val="22"/>
          <w:szCs w:val="22"/>
        </w:rPr>
      </w:pPr>
      <w:r w:rsidRPr="00452D62">
        <w:rPr>
          <w:sz w:val="22"/>
          <w:szCs w:val="22"/>
        </w:rPr>
        <w:t>Nėštumo ir žindymo laikotarpis (žr. 4.6 skyrių).</w:t>
      </w:r>
    </w:p>
    <w:p w14:paraId="344D6458" w14:textId="77777777" w:rsidR="00823785" w:rsidRPr="00452D62" w:rsidRDefault="00823785" w:rsidP="00823785">
      <w:pPr>
        <w:rPr>
          <w:sz w:val="22"/>
          <w:szCs w:val="22"/>
        </w:rPr>
      </w:pPr>
    </w:p>
    <w:p w14:paraId="180F46E2"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4.4</w:t>
      </w:r>
      <w:r w:rsidRPr="00452D62">
        <w:rPr>
          <w:b/>
          <w:color w:val="auto"/>
          <w:kern w:val="28"/>
          <w:sz w:val="22"/>
          <w:szCs w:val="22"/>
          <w:lang w:eastAsia="en-US"/>
        </w:rPr>
        <w:tab/>
        <w:t>Specialūs įspėjimai ir atsargumo priemonės</w:t>
      </w:r>
    </w:p>
    <w:p w14:paraId="1D1F0772" w14:textId="77777777" w:rsidR="00823785" w:rsidRPr="00452D62" w:rsidRDefault="00823785" w:rsidP="00823785">
      <w:pPr>
        <w:tabs>
          <w:tab w:val="clear" w:pos="567"/>
          <w:tab w:val="left" w:pos="0"/>
        </w:tabs>
        <w:rPr>
          <w:sz w:val="22"/>
          <w:szCs w:val="22"/>
        </w:rPr>
      </w:pPr>
    </w:p>
    <w:p w14:paraId="4A6D74DC" w14:textId="77777777" w:rsidR="00823785" w:rsidRPr="00452D62" w:rsidRDefault="00823785" w:rsidP="00823785">
      <w:pPr>
        <w:tabs>
          <w:tab w:val="clear" w:pos="567"/>
          <w:tab w:val="left" w:pos="0"/>
        </w:tabs>
        <w:rPr>
          <w:sz w:val="22"/>
          <w:szCs w:val="22"/>
        </w:rPr>
      </w:pPr>
      <w:r w:rsidRPr="00452D62">
        <w:rPr>
          <w:sz w:val="22"/>
          <w:szCs w:val="22"/>
        </w:rPr>
        <w:t>Gydymo laikotarpiu rekomenduojamas klinikinis stebėjimas, paremtas gydymo antikoaguliantais praktika.</w:t>
      </w:r>
    </w:p>
    <w:p w14:paraId="6428EA98" w14:textId="77777777" w:rsidR="00823785" w:rsidRPr="00452D62" w:rsidRDefault="00823785" w:rsidP="00823785">
      <w:pPr>
        <w:rPr>
          <w:sz w:val="22"/>
          <w:szCs w:val="22"/>
          <w:u w:val="single"/>
        </w:rPr>
      </w:pPr>
    </w:p>
    <w:p w14:paraId="10BCBEC9" w14:textId="77777777" w:rsidR="00823785" w:rsidRPr="00452D62" w:rsidRDefault="00823785" w:rsidP="00823785">
      <w:pPr>
        <w:rPr>
          <w:sz w:val="22"/>
          <w:szCs w:val="22"/>
        </w:rPr>
      </w:pPr>
      <w:r w:rsidRPr="00452D62">
        <w:rPr>
          <w:sz w:val="22"/>
          <w:szCs w:val="22"/>
          <w:u w:val="single"/>
        </w:rPr>
        <w:t>Kraujavimo rizika</w:t>
      </w:r>
    </w:p>
    <w:p w14:paraId="33EFD846" w14:textId="77777777" w:rsidR="00823785" w:rsidRPr="00452D62" w:rsidRDefault="00823785" w:rsidP="00823785">
      <w:pPr>
        <w:rPr>
          <w:sz w:val="22"/>
          <w:szCs w:val="22"/>
        </w:rPr>
      </w:pPr>
      <w:r w:rsidRPr="00452D62">
        <w:rPr>
          <w:sz w:val="22"/>
          <w:szCs w:val="22"/>
        </w:rPr>
        <w:t>Kaip ir gydant kitais antikoaguliantais, Xerdoxo vartojančius pacientus reikia atidžiai stebėti dėl kraujavimo požymių. Esant padidėjusios kraujavimo rizikos būklėms, šį vaistinį preparatą rekomenduojama vartoti atsargiai. Jei pasireiškia sunkus kraujavimas, Xerdoxo vartojimą reikia nutraukti (žr. 4.9 skyrių).</w:t>
      </w:r>
    </w:p>
    <w:p w14:paraId="1348B233" w14:textId="77777777" w:rsidR="00823785" w:rsidRPr="00452D62" w:rsidRDefault="00823785" w:rsidP="00823785">
      <w:pPr>
        <w:rPr>
          <w:sz w:val="22"/>
          <w:szCs w:val="22"/>
        </w:rPr>
      </w:pPr>
    </w:p>
    <w:p w14:paraId="66E90DEA" w14:textId="77777777" w:rsidR="00823785" w:rsidRPr="00452D62" w:rsidRDefault="00823785" w:rsidP="00823785">
      <w:pPr>
        <w:rPr>
          <w:sz w:val="22"/>
          <w:szCs w:val="22"/>
        </w:rPr>
      </w:pPr>
      <w:r w:rsidRPr="00452D62">
        <w:rPr>
          <w:sz w:val="22"/>
          <w:szCs w:val="22"/>
        </w:rPr>
        <w:t>Klinikinių tyrimų metu gleivinės kraujavimas (t. y. iš nosies, dantenų, virškinimo trakto, lytinių organų ir šlapimo takų, įskaitant nenormalų kraujavimą iš makšties arba sustiprėjusį menstruacinį kraujavimą) ir anemija dažniau buvo stebėti taikant ilgalaikį gydymą rivaroksabanu, palyginti su gydymu vien VKA. Taigi, papildant reikiamą klinikinį stebėjimą, slaptam kraujavimui nustatyti ir klinikinei akivaizdaus kraujavimo reikšmei įvertinti gali būti naudingi hemoglobino ir (arba) hematokrito laboratoriniai tyrimai, jei manoma, kad jie yra tinkami.</w:t>
      </w:r>
    </w:p>
    <w:p w14:paraId="15C7BD7A" w14:textId="77777777" w:rsidR="00823785" w:rsidRPr="00452D62" w:rsidRDefault="00823785" w:rsidP="00823785">
      <w:pPr>
        <w:rPr>
          <w:sz w:val="22"/>
          <w:szCs w:val="22"/>
        </w:rPr>
      </w:pPr>
    </w:p>
    <w:p w14:paraId="2ABCA147" w14:textId="29D05E00" w:rsidR="00823785" w:rsidRPr="00452D62" w:rsidRDefault="00823785" w:rsidP="00823785">
      <w:pPr>
        <w:rPr>
          <w:sz w:val="22"/>
          <w:szCs w:val="22"/>
        </w:rPr>
      </w:pPr>
      <w:r w:rsidRPr="00452D62">
        <w:rPr>
          <w:sz w:val="22"/>
          <w:szCs w:val="22"/>
        </w:rPr>
        <w:t>Keliems pacientų pogrupiams, kaip nurodyta toliau, yra padidėjusi kraujavimo rizika. Pradėjus gydymą, tokius pacientus reikia atidžiai stebėti dėl kraujavimo komplikacijų požymių bei simptomų ir anemijos (žr. 4.8 skyrių).</w:t>
      </w:r>
      <w:r w:rsidRPr="00AE1B80">
        <w:rPr>
          <w:sz w:val="22"/>
          <w:szCs w:val="22"/>
        </w:rPr>
        <w:t xml:space="preserve"> </w:t>
      </w:r>
      <w:r w:rsidRPr="00452D62">
        <w:rPr>
          <w:sz w:val="22"/>
          <w:szCs w:val="22"/>
        </w:rPr>
        <w:t>Pacientams, vartojantiems rivaroksabano VTE profilaktikai po planinės klubo arba kelio sąnario pakeitimo operacijos, tai gali būti atliekama atliekant reguliarias medicinines paciento apžiūras, atidžiai stebint chirurginės žaizdos drenažą ir periodiškai nustatant hemoglobino rodmenį. Bet koks nepaaiškinamas hemoglobino rodmens ar kraujospūdžio sumažėjimas turi paskatinti ieškoti kraujavimo vietos.</w:t>
      </w:r>
    </w:p>
    <w:p w14:paraId="2183DDDD" w14:textId="77777777" w:rsidR="00823785" w:rsidRPr="00452D62" w:rsidRDefault="00823785" w:rsidP="00823785">
      <w:pPr>
        <w:rPr>
          <w:sz w:val="22"/>
          <w:szCs w:val="22"/>
        </w:rPr>
      </w:pPr>
    </w:p>
    <w:p w14:paraId="5AE31C2F" w14:textId="77777777" w:rsidR="00823785" w:rsidRPr="00452D62" w:rsidRDefault="00823785" w:rsidP="00823785">
      <w:pPr>
        <w:rPr>
          <w:sz w:val="22"/>
          <w:szCs w:val="22"/>
          <w:u w:val="single"/>
        </w:rPr>
      </w:pPr>
      <w:r w:rsidRPr="00452D62">
        <w:rPr>
          <w:sz w:val="22"/>
          <w:szCs w:val="22"/>
        </w:rPr>
        <w:t>Nors gydant rivaroksabanu rutininis ekspozicijos stebėjimas nėra būtinas, išimtiniais atvejais, kai, žinant rivaroksabano ekspoziciją gali būti lengviau priimti klinikinį sprendimą, pvz., perdozavus arba skubios chirurginės operacijos atveju, gali būti naudinga rivaroksabano kiekį įvertinti naudojant kalibruotą kiekybinę anti-Xa faktoriaus analizę (žr. 5.1 ir 5.2 skyrius).</w:t>
      </w:r>
    </w:p>
    <w:p w14:paraId="55BD1A0E" w14:textId="77777777" w:rsidR="00823785" w:rsidRPr="00452D62" w:rsidRDefault="00823785" w:rsidP="00823785">
      <w:pPr>
        <w:rPr>
          <w:sz w:val="22"/>
          <w:szCs w:val="22"/>
          <w:u w:val="single"/>
        </w:rPr>
      </w:pPr>
    </w:p>
    <w:p w14:paraId="529D62E7" w14:textId="77777777" w:rsidR="00823785" w:rsidRPr="00452D62" w:rsidRDefault="00823785" w:rsidP="00823785">
      <w:pPr>
        <w:rPr>
          <w:sz w:val="22"/>
          <w:szCs w:val="22"/>
        </w:rPr>
      </w:pPr>
      <w:r w:rsidRPr="00452D62">
        <w:rPr>
          <w:sz w:val="22"/>
          <w:szCs w:val="22"/>
          <w:u w:val="single"/>
        </w:rPr>
        <w:t>Sutrikusi inkstų funkcija</w:t>
      </w:r>
    </w:p>
    <w:p w14:paraId="7AE80D42" w14:textId="77777777" w:rsidR="00823785" w:rsidRPr="00452D62" w:rsidRDefault="00823785" w:rsidP="00823785">
      <w:pPr>
        <w:rPr>
          <w:sz w:val="22"/>
          <w:szCs w:val="22"/>
        </w:rPr>
      </w:pPr>
      <w:r w:rsidRPr="00452D62">
        <w:rPr>
          <w:sz w:val="22"/>
          <w:szCs w:val="22"/>
        </w:rPr>
        <w:t>Pacientams, kuriems yra sunkus inkstų funkcijos sutrikimas (kreatinino klirensas &lt; 30 ml/min.), rivaroksabano kiekis kraujo plazmoje gali būti reikšmingai padidėjęs (vidutiniškai 1,6 karto) ir tai gali padidinti kraujavimo riziką. Pacientams, kurių kreatinino klirensas yra 15</w:t>
      </w:r>
      <w:r w:rsidRPr="00452D62">
        <w:rPr>
          <w:sz w:val="22"/>
          <w:szCs w:val="22"/>
        </w:rPr>
        <w:noBreakHyphen/>
        <w:t>29 ml/min., Xerdoxo reikia vartoti atsargiai. Xerdoxo nerekomenduojama vartoti pacientams, kurių kreatinino klirensas yra &lt; 15 ml/min. (žr. 4.2 ir 5.2 skyrius).</w:t>
      </w:r>
    </w:p>
    <w:p w14:paraId="335198E9" w14:textId="77777777" w:rsidR="00823785" w:rsidRPr="00452D62" w:rsidRDefault="00823785" w:rsidP="00823785">
      <w:pPr>
        <w:rPr>
          <w:sz w:val="22"/>
          <w:szCs w:val="22"/>
          <w:u w:val="single"/>
        </w:rPr>
      </w:pPr>
      <w:r w:rsidRPr="00452D62">
        <w:rPr>
          <w:sz w:val="22"/>
          <w:szCs w:val="22"/>
        </w:rPr>
        <w:t>Pacientams, kuriems yra vidutinio sunkumo inkstų funkcijos sutrikimas (kreatinino klirensas 30</w:t>
      </w:r>
      <w:r w:rsidRPr="00452D62">
        <w:rPr>
          <w:sz w:val="22"/>
          <w:szCs w:val="22"/>
        </w:rPr>
        <w:noBreakHyphen/>
        <w:t>49 ml/min.), kartu skiriant kitų vaistinių preparatų, kurie padidina rivaroksabano koncentraciją kraujo plazmoje, rivaroksabano būtina vartoti atsargiai (žr. 4.5 skyrių).</w:t>
      </w:r>
    </w:p>
    <w:p w14:paraId="5C63E6E7" w14:textId="77777777" w:rsidR="00823785" w:rsidRPr="00452D62" w:rsidRDefault="00823785" w:rsidP="00823785">
      <w:pPr>
        <w:rPr>
          <w:sz w:val="22"/>
          <w:szCs w:val="22"/>
          <w:u w:val="single"/>
        </w:rPr>
      </w:pPr>
    </w:p>
    <w:p w14:paraId="7F9E17F6" w14:textId="77777777" w:rsidR="00823785" w:rsidRPr="00452D62" w:rsidRDefault="00823785" w:rsidP="00823785">
      <w:pPr>
        <w:rPr>
          <w:sz w:val="22"/>
          <w:szCs w:val="22"/>
        </w:rPr>
      </w:pPr>
      <w:r w:rsidRPr="00452D62">
        <w:rPr>
          <w:sz w:val="22"/>
          <w:szCs w:val="22"/>
          <w:u w:val="single"/>
        </w:rPr>
        <w:t>Sąveika su kitais vaistiniais preparatais</w:t>
      </w:r>
    </w:p>
    <w:p w14:paraId="6F0A35B8" w14:textId="77777777" w:rsidR="00823785" w:rsidRPr="00452D62" w:rsidRDefault="00823785" w:rsidP="00823785">
      <w:pPr>
        <w:tabs>
          <w:tab w:val="clear" w:pos="567"/>
          <w:tab w:val="left" w:pos="0"/>
        </w:tabs>
        <w:rPr>
          <w:sz w:val="22"/>
          <w:szCs w:val="22"/>
        </w:rPr>
      </w:pPr>
      <w:r w:rsidRPr="00452D62">
        <w:rPr>
          <w:sz w:val="22"/>
          <w:szCs w:val="22"/>
        </w:rPr>
        <w:t>Xerdoxo nerekomenduojama skirti pacientams, kuriems taikomas sisteminis gydymas azolo grupės priešgrybeliniais vaistiniais preparatais (pvz., ketokonazolu, itrakonazolu, vorikonazolu ir pozakonazolu) arba ŽIV proteazės inhibitoriais (pvz., ritonaviru). Šios veikliosios medžiagos yra stiprūs ir CYP3A4, ir P-gp inhibitoriai ir dėl to rivaroksabano koncentracija kraujo plazmoje gali padidėti kliniškai reikšmingai (vidutiniškai 2,6 karto), o tai gali padidinti kraujavimo riziką (žr. 4.5 skyrių).</w:t>
      </w:r>
    </w:p>
    <w:p w14:paraId="75BBCFB3" w14:textId="77777777" w:rsidR="00823785" w:rsidRPr="00452D62" w:rsidRDefault="00823785" w:rsidP="00823785">
      <w:pPr>
        <w:rPr>
          <w:sz w:val="22"/>
          <w:szCs w:val="22"/>
        </w:rPr>
      </w:pPr>
    </w:p>
    <w:p w14:paraId="411BE99B" w14:textId="77777777" w:rsidR="00823785" w:rsidRPr="00452D62" w:rsidRDefault="00823785" w:rsidP="00823785">
      <w:pPr>
        <w:rPr>
          <w:sz w:val="22"/>
          <w:szCs w:val="22"/>
          <w:u w:val="single"/>
        </w:rPr>
      </w:pPr>
      <w:r w:rsidRPr="00452D62">
        <w:rPr>
          <w:sz w:val="22"/>
          <w:szCs w:val="22"/>
        </w:rPr>
        <w:t>Turi būti imamasi atsargumo priemonių, jeigu pacientai kartu gydomi hemostazę veikiančiais vaistiniais preparatais, pvz., nesteroidiniais vaistiniais preparatais nuo uždegimo (NVNU), acetilsalicilo rūgštimi (ASR) ir trombocitų agregacijos inhibitoriais</w:t>
      </w:r>
      <w:r w:rsidRPr="00AE1B80">
        <w:rPr>
          <w:sz w:val="22"/>
          <w:szCs w:val="22"/>
        </w:rPr>
        <w:t xml:space="preserve"> </w:t>
      </w:r>
      <w:r w:rsidRPr="00452D62">
        <w:rPr>
          <w:sz w:val="22"/>
          <w:szCs w:val="22"/>
        </w:rPr>
        <w:t>arba selektyviais serotonino reabsorbcijos inhibitoriais (SSRI) ir serotonino-norepinefrino reabsorbcijos inhibitoriais (SNRI). Pacientams, kuriems yra opinės virškinimo trakto ligos rizika, gali būti naudinga skirti atitinkamą profilaktinį gydymą (žr. 4.5 ir 5.1 skyrius).</w:t>
      </w:r>
    </w:p>
    <w:p w14:paraId="66DDC895" w14:textId="77777777" w:rsidR="00823785" w:rsidRPr="00452D62" w:rsidRDefault="00823785" w:rsidP="00823785">
      <w:pPr>
        <w:rPr>
          <w:sz w:val="22"/>
          <w:szCs w:val="22"/>
        </w:rPr>
      </w:pPr>
    </w:p>
    <w:p w14:paraId="6564DDD5" w14:textId="77777777" w:rsidR="00823785" w:rsidRPr="00452D62" w:rsidRDefault="00823785" w:rsidP="00823785">
      <w:pPr>
        <w:rPr>
          <w:sz w:val="22"/>
          <w:szCs w:val="22"/>
          <w:u w:val="single"/>
        </w:rPr>
      </w:pPr>
      <w:r w:rsidRPr="00452D62">
        <w:rPr>
          <w:sz w:val="22"/>
          <w:szCs w:val="22"/>
          <w:u w:val="single"/>
        </w:rPr>
        <w:t>Kiti kraujavimo rizikos veiksniai</w:t>
      </w:r>
    </w:p>
    <w:p w14:paraId="699F2F2F" w14:textId="77777777" w:rsidR="00823785" w:rsidRPr="00452D62" w:rsidRDefault="00823785" w:rsidP="00823785">
      <w:pPr>
        <w:rPr>
          <w:sz w:val="22"/>
          <w:szCs w:val="22"/>
        </w:rPr>
      </w:pPr>
      <w:r w:rsidRPr="00452D62">
        <w:rPr>
          <w:sz w:val="22"/>
          <w:szCs w:val="22"/>
        </w:rPr>
        <w:t>Rivaroksabanas, kaip ir kiti antitromboziniai vaistiniai preparatai, turi būti atsargiai vartojamas pacientams, kuriems padidėjusi kraujavimo rizika, pvz., jei yra:</w:t>
      </w:r>
    </w:p>
    <w:p w14:paraId="1AE2131D" w14:textId="77777777" w:rsidR="00823785" w:rsidRPr="00452D62" w:rsidRDefault="00823785" w:rsidP="00823785">
      <w:pPr>
        <w:numPr>
          <w:ilvl w:val="0"/>
          <w:numId w:val="19"/>
        </w:numPr>
        <w:ind w:left="567" w:hanging="567"/>
        <w:rPr>
          <w:sz w:val="22"/>
          <w:szCs w:val="22"/>
        </w:rPr>
      </w:pPr>
      <w:r w:rsidRPr="00452D62">
        <w:rPr>
          <w:sz w:val="22"/>
          <w:szCs w:val="22"/>
        </w:rPr>
        <w:t>įgimtų ar įgytų kraujavimo sutrikimų;</w:t>
      </w:r>
    </w:p>
    <w:p w14:paraId="6E040EBB" w14:textId="77777777" w:rsidR="00823785" w:rsidRPr="00452D62" w:rsidRDefault="00823785" w:rsidP="00823785">
      <w:pPr>
        <w:numPr>
          <w:ilvl w:val="0"/>
          <w:numId w:val="19"/>
        </w:numPr>
        <w:ind w:left="567" w:hanging="567"/>
        <w:rPr>
          <w:sz w:val="22"/>
          <w:szCs w:val="22"/>
        </w:rPr>
      </w:pPr>
      <w:r w:rsidRPr="00452D62">
        <w:rPr>
          <w:sz w:val="22"/>
          <w:szCs w:val="22"/>
        </w:rPr>
        <w:t>nekontroliuojama sunki arterinė hipertenzija;</w:t>
      </w:r>
    </w:p>
    <w:p w14:paraId="2CB61BEA" w14:textId="77777777" w:rsidR="00823785" w:rsidRPr="00452D62" w:rsidRDefault="00823785" w:rsidP="00823785">
      <w:pPr>
        <w:numPr>
          <w:ilvl w:val="0"/>
          <w:numId w:val="19"/>
        </w:numPr>
        <w:ind w:left="567" w:hanging="567"/>
        <w:rPr>
          <w:sz w:val="22"/>
          <w:szCs w:val="22"/>
        </w:rPr>
      </w:pPr>
      <w:r w:rsidRPr="00452D62">
        <w:rPr>
          <w:sz w:val="22"/>
          <w:szCs w:val="22"/>
        </w:rPr>
        <w:t>kitų virškinimo trakto ligų be aktyvaus išopėjimo, galinčių sukelti kraujavimo komplikacijų (pvz., uždegiminė žarnyno liga, ezofagitas, gastritas ir gastroezofaginio refliukso liga);</w:t>
      </w:r>
    </w:p>
    <w:p w14:paraId="61599CC6" w14:textId="77777777" w:rsidR="00823785" w:rsidRPr="00452D62" w:rsidRDefault="00823785" w:rsidP="00823785">
      <w:pPr>
        <w:numPr>
          <w:ilvl w:val="0"/>
          <w:numId w:val="19"/>
        </w:numPr>
        <w:ind w:left="567" w:hanging="567"/>
        <w:rPr>
          <w:sz w:val="22"/>
          <w:szCs w:val="22"/>
        </w:rPr>
      </w:pPr>
      <w:r w:rsidRPr="00452D62">
        <w:rPr>
          <w:sz w:val="22"/>
          <w:szCs w:val="22"/>
        </w:rPr>
        <w:t>kraujagyslinė retinopatija;</w:t>
      </w:r>
    </w:p>
    <w:p w14:paraId="45E03DAF" w14:textId="77777777" w:rsidR="00823785" w:rsidRPr="00452D62" w:rsidRDefault="00823785" w:rsidP="00823785">
      <w:pPr>
        <w:numPr>
          <w:ilvl w:val="0"/>
          <w:numId w:val="19"/>
        </w:numPr>
        <w:ind w:left="567" w:hanging="567"/>
        <w:rPr>
          <w:sz w:val="22"/>
          <w:szCs w:val="22"/>
        </w:rPr>
      </w:pPr>
      <w:r w:rsidRPr="00452D62">
        <w:rPr>
          <w:sz w:val="22"/>
          <w:szCs w:val="22"/>
        </w:rPr>
        <w:t>bronchektazės arba buvęs kraujavimas iš plaučių.</w:t>
      </w:r>
    </w:p>
    <w:p w14:paraId="46AB2FAD" w14:textId="77777777" w:rsidR="00823785" w:rsidRPr="00452D62" w:rsidRDefault="00823785" w:rsidP="00823785">
      <w:pPr>
        <w:rPr>
          <w:sz w:val="22"/>
          <w:szCs w:val="22"/>
          <w:u w:val="single"/>
        </w:rPr>
      </w:pPr>
    </w:p>
    <w:p w14:paraId="3050D62B" w14:textId="77777777" w:rsidR="00823785" w:rsidRPr="00452D62" w:rsidRDefault="00823785" w:rsidP="00823785">
      <w:pPr>
        <w:rPr>
          <w:sz w:val="22"/>
          <w:szCs w:val="22"/>
          <w:u w:val="single"/>
        </w:rPr>
      </w:pPr>
      <w:r w:rsidRPr="00452D62">
        <w:rPr>
          <w:sz w:val="22"/>
          <w:szCs w:val="22"/>
          <w:u w:val="single"/>
        </w:rPr>
        <w:t>Vėžiu sergantys pacientai</w:t>
      </w:r>
    </w:p>
    <w:p w14:paraId="2834ECB0" w14:textId="77777777" w:rsidR="00823785" w:rsidRPr="00452D62" w:rsidRDefault="00823785" w:rsidP="00823785">
      <w:pPr>
        <w:rPr>
          <w:sz w:val="22"/>
          <w:szCs w:val="22"/>
        </w:rPr>
      </w:pPr>
      <w:r w:rsidRPr="00452D62">
        <w:rPr>
          <w:sz w:val="22"/>
          <w:szCs w:val="22"/>
        </w:rPr>
        <w:t>Pacientams, sergantiems piktybine liga, tuo pačiu metu gali būti didesnė kraujavimo ir trombozės rizika. Turėtų būti įvertinta individuali antitrombozinio gydymo nauda lyginant su kraujavimo rizika pacientams, sergantiems aktyviu vėžiu, priklausomai nuo naviko lokalizacijos, priešvėžinio gydymo ir ligos stadijos. Virškinimo arba urogenitaliniame trakte esantys navikai buvo susiję su padidėjusia kraujavimo rizika gydant rivaroksabanu. Pacientams, sergantiems piktybiniais navikais, kurių kraujavimo rizika yra didelė, rivaroksabano vartoti negalima (žr. 4.3 skyrių).</w:t>
      </w:r>
    </w:p>
    <w:p w14:paraId="1168F734" w14:textId="77777777" w:rsidR="00823785" w:rsidRPr="00452D62" w:rsidRDefault="00823785" w:rsidP="00823785">
      <w:pPr>
        <w:rPr>
          <w:sz w:val="22"/>
          <w:szCs w:val="22"/>
          <w:u w:val="single"/>
        </w:rPr>
      </w:pPr>
    </w:p>
    <w:p w14:paraId="02E04283" w14:textId="77777777" w:rsidR="00823785" w:rsidRPr="00452D62" w:rsidRDefault="00823785" w:rsidP="00823785">
      <w:pPr>
        <w:rPr>
          <w:sz w:val="22"/>
          <w:szCs w:val="22"/>
          <w:u w:val="single"/>
        </w:rPr>
      </w:pPr>
      <w:r w:rsidRPr="00452D62">
        <w:rPr>
          <w:sz w:val="22"/>
          <w:szCs w:val="22"/>
          <w:u w:val="single"/>
        </w:rPr>
        <w:t>Pacientai, kuriems yra protezuoti širdies vožtuvai</w:t>
      </w:r>
    </w:p>
    <w:p w14:paraId="70644D0A" w14:textId="77777777" w:rsidR="00823785" w:rsidRPr="00452D62" w:rsidRDefault="00823785" w:rsidP="00823785">
      <w:pPr>
        <w:rPr>
          <w:sz w:val="22"/>
          <w:szCs w:val="22"/>
        </w:rPr>
      </w:pPr>
      <w:r w:rsidRPr="00452D62">
        <w:rPr>
          <w:sz w:val="22"/>
          <w:szCs w:val="22"/>
        </w:rPr>
        <w:t>Pacientams, kuriems neseniai atliktas transkateterinis aortos vožtuvo pakeitimas (TAVP), rivaroksabano trombų susidarymo profilaktikai vartoti nerekomenduojama. Rivaroksabano saugumas ir veiksmingumas pacientams, kuriems yra protezuoti širdies vožtuvai, neištirti, todėl nėra duomenų, patvirtinančių, kad rivaroksabanas šiems pacientams užtikrina pakankamą antikoaguliacinį poveikį. Tokių pacientų Xerdoxo gydyti nerekomenduojama.</w:t>
      </w:r>
    </w:p>
    <w:p w14:paraId="52EC7457" w14:textId="77777777" w:rsidR="00823785" w:rsidRPr="00452D62" w:rsidRDefault="00823785" w:rsidP="00823785">
      <w:pPr>
        <w:rPr>
          <w:sz w:val="22"/>
          <w:szCs w:val="22"/>
        </w:rPr>
      </w:pPr>
    </w:p>
    <w:p w14:paraId="54381A2D" w14:textId="77777777" w:rsidR="00823785" w:rsidRPr="00452D62" w:rsidRDefault="00823785" w:rsidP="00823785">
      <w:pPr>
        <w:pStyle w:val="Default"/>
        <w:rPr>
          <w:sz w:val="22"/>
          <w:szCs w:val="22"/>
          <w:u w:val="single"/>
        </w:rPr>
      </w:pPr>
      <w:r w:rsidRPr="00452D62">
        <w:rPr>
          <w:sz w:val="22"/>
          <w:szCs w:val="22"/>
          <w:u w:val="single"/>
        </w:rPr>
        <w:t>Antifosfolipidiniu sindromu sergantys pacientai</w:t>
      </w:r>
    </w:p>
    <w:p w14:paraId="075111C2" w14:textId="77777777" w:rsidR="00823785" w:rsidRPr="00452D62" w:rsidRDefault="00823785" w:rsidP="00823785">
      <w:pPr>
        <w:pStyle w:val="Default"/>
        <w:rPr>
          <w:sz w:val="22"/>
          <w:szCs w:val="22"/>
        </w:rPr>
      </w:pPr>
      <w:r w:rsidRPr="00452D62">
        <w:rPr>
          <w:sz w:val="22"/>
          <w:szCs w:val="22"/>
        </w:rPr>
        <w:t>Tiesioginio poveikio geriamųjų antikoaguliantų (TPGA), įskaitant rivaroksabaną, nerekomenduoja vartoti antifosfolipidiniu sindromu sergantiems pacientams, kuriems praeityje buvo nustatyta trombozė. Taikant gydymą TPGA, ypač tiems pacientams, kuriems nustatyti visų trijų pogrupių antifosfolipidiniai antikūnai (vilkligės antikoaguliantai, antikardiolipino antikūnai ir anti-beta 2-glikoproteino I antikūnai), kartotinių trombozės reiškinių dažnis gali būti didesnis, nei taikant gydymą vitamino K antagonistais.</w:t>
      </w:r>
    </w:p>
    <w:p w14:paraId="4C22F80C" w14:textId="77777777" w:rsidR="00823785" w:rsidRPr="00452D62" w:rsidRDefault="00823785" w:rsidP="00823785">
      <w:pPr>
        <w:rPr>
          <w:sz w:val="22"/>
          <w:szCs w:val="22"/>
        </w:rPr>
      </w:pPr>
    </w:p>
    <w:p w14:paraId="7492C384" w14:textId="77777777" w:rsidR="00823785" w:rsidRPr="00452D62" w:rsidRDefault="00823785" w:rsidP="00823785">
      <w:pPr>
        <w:rPr>
          <w:sz w:val="22"/>
          <w:szCs w:val="22"/>
          <w:u w:val="single"/>
        </w:rPr>
      </w:pPr>
      <w:r w:rsidRPr="00452D62">
        <w:rPr>
          <w:sz w:val="22"/>
          <w:szCs w:val="22"/>
          <w:u w:val="single"/>
        </w:rPr>
        <w:t>Šlaunikaulio lūžio operacija</w:t>
      </w:r>
    </w:p>
    <w:p w14:paraId="3D639304" w14:textId="77777777" w:rsidR="00823785" w:rsidRPr="00452D62" w:rsidRDefault="00823785" w:rsidP="00823785">
      <w:pPr>
        <w:rPr>
          <w:sz w:val="22"/>
          <w:szCs w:val="22"/>
        </w:rPr>
      </w:pPr>
      <w:r w:rsidRPr="00452D62">
        <w:rPr>
          <w:sz w:val="22"/>
          <w:szCs w:val="22"/>
        </w:rPr>
        <w:t>Intervencinių klinikinių tyrimų rivaroksabano veiksmingumui ir saugumui įvertinti pacientams, kuriems atliekama šlaunikaulio operacija dėl lūžio, neatlikta.</w:t>
      </w:r>
    </w:p>
    <w:p w14:paraId="300BE83B" w14:textId="77777777" w:rsidR="00823785" w:rsidRPr="00452D62" w:rsidRDefault="00823785" w:rsidP="00823785">
      <w:pPr>
        <w:rPr>
          <w:sz w:val="22"/>
          <w:szCs w:val="22"/>
        </w:rPr>
      </w:pPr>
    </w:p>
    <w:p w14:paraId="53D8E8DD" w14:textId="77777777" w:rsidR="00823785" w:rsidRPr="00452D62" w:rsidRDefault="00823785" w:rsidP="00823785">
      <w:pPr>
        <w:rPr>
          <w:sz w:val="22"/>
          <w:szCs w:val="22"/>
          <w:u w:val="single"/>
        </w:rPr>
      </w:pPr>
      <w:r w:rsidRPr="00452D62">
        <w:rPr>
          <w:sz w:val="22"/>
          <w:szCs w:val="22"/>
          <w:u w:val="single"/>
        </w:rPr>
        <w:t>PE sergantys pacientai, kurių hemodinamika yra nestabili, ir pacientai, kuriems būtina trombolizė arba plaučių embolektomija</w:t>
      </w:r>
    </w:p>
    <w:p w14:paraId="436A406D" w14:textId="77777777" w:rsidR="00823785" w:rsidRPr="00452D62" w:rsidRDefault="00823785" w:rsidP="00823785">
      <w:pPr>
        <w:rPr>
          <w:sz w:val="22"/>
          <w:szCs w:val="22"/>
        </w:rPr>
      </w:pPr>
      <w:r w:rsidRPr="00452D62">
        <w:rPr>
          <w:sz w:val="22"/>
          <w:szCs w:val="22"/>
        </w:rPr>
        <w:t>Gydant plaučių embolija sergančius pacientus, kurių hemodinamika yra nestabili arba kuriems gali būti taikoma trombolizė ar plaučių embolektomija, Xerdoxo nerekomenduojama vartoti kaip nefrakcionuotam heparinui alternatyvaus vaistinio preparato, nes rivaroksabano veiksmingumas ir saugumas šiomis klinikinėmis aplinkybėmis nėra ištirti.</w:t>
      </w:r>
    </w:p>
    <w:p w14:paraId="5E365CC7" w14:textId="77777777" w:rsidR="00823785" w:rsidRPr="00452D62" w:rsidRDefault="00823785" w:rsidP="00823785">
      <w:pPr>
        <w:rPr>
          <w:sz w:val="22"/>
          <w:szCs w:val="22"/>
        </w:rPr>
      </w:pPr>
    </w:p>
    <w:p w14:paraId="66922D8F" w14:textId="77777777" w:rsidR="00823785" w:rsidRPr="00452D62" w:rsidRDefault="00823785" w:rsidP="00823785">
      <w:pPr>
        <w:rPr>
          <w:sz w:val="22"/>
          <w:szCs w:val="22"/>
        </w:rPr>
      </w:pPr>
      <w:r w:rsidRPr="00452D62">
        <w:rPr>
          <w:sz w:val="22"/>
          <w:szCs w:val="22"/>
          <w:u w:val="single"/>
        </w:rPr>
        <w:t>Spinalinė/epidurinė anestezija arba punkcija</w:t>
      </w:r>
    </w:p>
    <w:p w14:paraId="10EABD0A" w14:textId="77777777" w:rsidR="00823785" w:rsidRPr="00452D62" w:rsidRDefault="00823785" w:rsidP="00823785">
      <w:pPr>
        <w:rPr>
          <w:sz w:val="22"/>
          <w:szCs w:val="22"/>
        </w:rPr>
      </w:pPr>
      <w:r w:rsidRPr="00452D62">
        <w:rPr>
          <w:sz w:val="22"/>
          <w:szCs w:val="22"/>
        </w:rPr>
        <w:t>Taikant neuroaksialinę anesteziją (spinalinę/epidurinę anesteziją) arba atliekant spinalinę/epidurinę punkciją pacientams, gydomiems antitromboziniais vaistiniais preparatais, tromboembolinių komplikacijų profilaktikai, yra rizika, kad formuosis epidurinė ar spinalinė hematoma, kuri gali sukelti ilgalaikį arba nuolatinį paralyžių. Šių reiškinių rizika gali padidėti po operacijos naudojant įstatytus epidurinius kateterius arba kartu vartojant vaistinių preparatų, veikiančių hemostazę. Rizika taip pat gali didėti trauminės ar pakartotinos epidurinės ar spinalinės punkcijos metu. Pacientai turi būti dažnai stebimi dėl neurologinių sutrikimų požymių ir simptomų (pvz., kojų tirpimo ar silpnumo, žarnyno ar šlapimo pūslės disfunkcijos). Jei pastebima neurologinių sutrikimų, būtina atlikti skubią diagnostiką ir skirti gydymą. Prieš neuroaksialinę intervenciją gydytojai turi įvertinti galimos naudos ir rizikos santykį pacientams, kuriems skirta antikoaguliantų, arba pacientams, kuriems turi būti skiriama antikoaguliantų trombozės profilaktikai.</w:t>
      </w:r>
    </w:p>
    <w:p w14:paraId="1862E64D" w14:textId="77777777" w:rsidR="00823785" w:rsidRPr="00452D62" w:rsidRDefault="00823785" w:rsidP="00823785">
      <w:pPr>
        <w:rPr>
          <w:sz w:val="22"/>
          <w:szCs w:val="22"/>
        </w:rPr>
      </w:pPr>
      <w:r w:rsidRPr="00452D62">
        <w:rPr>
          <w:sz w:val="22"/>
          <w:szCs w:val="22"/>
        </w:rPr>
        <w:t>Siekiant sumažinti galimą kraujavimo riziką, susijusią su rivaroksabano vartojimu taikant neuroaksialinę (spinalinę/epidurinę) anesteziją arba atliekant spinalinę punkciją, reikia atsižvelgti į rivaroksabano farmakokinetines savybes. Epidurinio kateterio įvedimą arba pašalinimą ar juosmeninę punkciją geriausia atlikti, kai rivaroksabano antikoaguliacinis poveikis yra įvertintas kaip mažas (žr. 5.2 skyrių).</w:t>
      </w:r>
    </w:p>
    <w:p w14:paraId="2529DE42" w14:textId="77777777" w:rsidR="00823785" w:rsidRPr="00452D62" w:rsidRDefault="00823785" w:rsidP="00823785">
      <w:pPr>
        <w:rPr>
          <w:sz w:val="22"/>
          <w:szCs w:val="22"/>
        </w:rPr>
      </w:pPr>
      <w:r w:rsidRPr="00452D62">
        <w:rPr>
          <w:sz w:val="22"/>
          <w:szCs w:val="22"/>
        </w:rPr>
        <w:t>Nuo paskutinės rivaroksabano dozės pavartojimo iki epidurinio kateterio išėmimo turi praeiti bent 18 valandų. Išėmus kateterį, kitą rivaroksabano dozę galima vartoti po ne mažiau kaip 6 valandų.</w:t>
      </w:r>
    </w:p>
    <w:p w14:paraId="52404BFD" w14:textId="77777777" w:rsidR="00823785" w:rsidRPr="00452D62" w:rsidRDefault="00823785" w:rsidP="00823785">
      <w:pPr>
        <w:rPr>
          <w:sz w:val="22"/>
          <w:szCs w:val="22"/>
          <w:u w:val="single"/>
        </w:rPr>
      </w:pPr>
      <w:r w:rsidRPr="00452D62">
        <w:rPr>
          <w:sz w:val="22"/>
          <w:szCs w:val="22"/>
        </w:rPr>
        <w:t>Jei įvyksta trauminis pradūrimas, rivaroksabano vartojimas yra pavėlinamas 24 valandoms.</w:t>
      </w:r>
    </w:p>
    <w:p w14:paraId="07B003BA" w14:textId="77777777" w:rsidR="00823785" w:rsidRPr="00452D62" w:rsidRDefault="00823785" w:rsidP="00823785">
      <w:pPr>
        <w:rPr>
          <w:sz w:val="22"/>
          <w:szCs w:val="22"/>
          <w:u w:val="single"/>
        </w:rPr>
      </w:pPr>
    </w:p>
    <w:p w14:paraId="068BAFBF" w14:textId="77777777" w:rsidR="00823785" w:rsidRPr="00452D62" w:rsidRDefault="00823785" w:rsidP="00823785">
      <w:pPr>
        <w:rPr>
          <w:sz w:val="22"/>
          <w:szCs w:val="22"/>
        </w:rPr>
      </w:pPr>
      <w:r w:rsidRPr="00452D62">
        <w:rPr>
          <w:sz w:val="22"/>
          <w:szCs w:val="22"/>
          <w:u w:val="single"/>
        </w:rPr>
        <w:t>Dozavimo rekomendacijos prieš invazines procedūras bei chirurgines intervencijas</w:t>
      </w:r>
      <w:r w:rsidRPr="00AE1B80">
        <w:rPr>
          <w:sz w:val="22"/>
          <w:szCs w:val="22"/>
          <w:u w:val="single"/>
        </w:rPr>
        <w:t xml:space="preserve"> (</w:t>
      </w:r>
      <w:r w:rsidRPr="00452D62">
        <w:rPr>
          <w:sz w:val="22"/>
          <w:szCs w:val="22"/>
          <w:u w:val="single"/>
        </w:rPr>
        <w:t>kitokias nei planinė klubo ar kelio sąnario keitimo operacija) ir po jų</w:t>
      </w:r>
    </w:p>
    <w:p w14:paraId="37E1D634" w14:textId="77777777" w:rsidR="00823785" w:rsidRPr="00452D62" w:rsidRDefault="00823785" w:rsidP="00823785">
      <w:pPr>
        <w:rPr>
          <w:sz w:val="22"/>
          <w:szCs w:val="22"/>
        </w:rPr>
      </w:pPr>
      <w:r w:rsidRPr="00452D62">
        <w:rPr>
          <w:sz w:val="22"/>
          <w:szCs w:val="22"/>
        </w:rPr>
        <w:t>Jeigu reikia atlikti invazinę procedūrą arba chirurginę intervenciją, Xerdoxo 10 mg vartojimą reikia nutraukti likus mažiausiai 24 valandoms iki intervencijos, jeigu galima ir remiantis klinikiniu gydytojo sprendimu.</w:t>
      </w:r>
    </w:p>
    <w:p w14:paraId="6DE35BFC" w14:textId="77777777" w:rsidR="00823785" w:rsidRPr="00452D62" w:rsidRDefault="00823785" w:rsidP="00823785">
      <w:pPr>
        <w:rPr>
          <w:sz w:val="22"/>
          <w:szCs w:val="22"/>
        </w:rPr>
      </w:pPr>
      <w:r w:rsidRPr="00452D62">
        <w:rPr>
          <w:sz w:val="22"/>
          <w:szCs w:val="22"/>
        </w:rPr>
        <w:t xml:space="preserve">Jeigu procedūros negalima atidėti, reikia įvertinti padidėjusios kraujavimo rizikos ir intervencijos skubumo santykį. </w:t>
      </w:r>
    </w:p>
    <w:p w14:paraId="464CBD3F" w14:textId="77777777" w:rsidR="00823785" w:rsidRPr="00452D62" w:rsidRDefault="00823785" w:rsidP="00823785">
      <w:pPr>
        <w:rPr>
          <w:sz w:val="22"/>
          <w:szCs w:val="22"/>
          <w:u w:val="single"/>
        </w:rPr>
      </w:pPr>
      <w:r w:rsidRPr="00452D62">
        <w:rPr>
          <w:sz w:val="22"/>
          <w:szCs w:val="22"/>
        </w:rPr>
        <w:t>Po invazinės procedūros ar chirurginės intervencijos kaip įmanoma greičiau reikia atnaujinti Xerdoxo vartojimą, jei gydantis gydytojas mano, kad klinikinė situacija leidžia tai padaryti ir yra nusistovėjusi pakankama hemostazė (žr. 5.2 skyrių).</w:t>
      </w:r>
    </w:p>
    <w:p w14:paraId="0904E68B" w14:textId="77777777" w:rsidR="00823785" w:rsidRPr="00452D62" w:rsidRDefault="00823785" w:rsidP="00823785">
      <w:pPr>
        <w:rPr>
          <w:sz w:val="22"/>
          <w:szCs w:val="22"/>
          <w:u w:val="single"/>
        </w:rPr>
      </w:pPr>
    </w:p>
    <w:p w14:paraId="1C0D0F02" w14:textId="77777777" w:rsidR="00823785" w:rsidRPr="00452D62" w:rsidRDefault="00823785" w:rsidP="00823785">
      <w:pPr>
        <w:rPr>
          <w:sz w:val="22"/>
          <w:szCs w:val="22"/>
        </w:rPr>
      </w:pPr>
      <w:r w:rsidRPr="00452D62">
        <w:rPr>
          <w:sz w:val="22"/>
          <w:szCs w:val="22"/>
          <w:u w:val="single"/>
        </w:rPr>
        <w:t>Senyvi pacientai</w:t>
      </w:r>
    </w:p>
    <w:p w14:paraId="3C056F28" w14:textId="77777777" w:rsidR="00823785" w:rsidRPr="00452D62" w:rsidRDefault="00823785" w:rsidP="00823785">
      <w:pPr>
        <w:ind w:left="567" w:hanging="567"/>
        <w:rPr>
          <w:sz w:val="22"/>
          <w:szCs w:val="22"/>
        </w:rPr>
      </w:pPr>
      <w:r w:rsidRPr="00452D62">
        <w:rPr>
          <w:sz w:val="22"/>
          <w:szCs w:val="22"/>
        </w:rPr>
        <w:t>Didėjantis amžius gali didinti kraujavimo riziką (žr. 5.2 skyrių).</w:t>
      </w:r>
    </w:p>
    <w:p w14:paraId="37862A8C" w14:textId="77777777" w:rsidR="00823785" w:rsidRPr="00452D62" w:rsidRDefault="00823785" w:rsidP="00823785">
      <w:pPr>
        <w:ind w:left="567" w:hanging="567"/>
        <w:rPr>
          <w:sz w:val="22"/>
          <w:szCs w:val="22"/>
        </w:rPr>
      </w:pPr>
    </w:p>
    <w:p w14:paraId="311B0E9B" w14:textId="77777777" w:rsidR="00823785" w:rsidRPr="00452D62" w:rsidRDefault="00823785" w:rsidP="00823785">
      <w:pPr>
        <w:rPr>
          <w:sz w:val="22"/>
          <w:szCs w:val="22"/>
        </w:rPr>
      </w:pPr>
      <w:r w:rsidRPr="00452D62">
        <w:rPr>
          <w:sz w:val="22"/>
          <w:szCs w:val="22"/>
          <w:u w:val="single"/>
        </w:rPr>
        <w:t>Dermatologinės reakcijos</w:t>
      </w:r>
    </w:p>
    <w:p w14:paraId="760C30AA" w14:textId="77777777" w:rsidR="00823785" w:rsidRPr="00452D62" w:rsidRDefault="00823785" w:rsidP="00823785">
      <w:pPr>
        <w:rPr>
          <w:sz w:val="22"/>
          <w:szCs w:val="22"/>
          <w:u w:val="single"/>
        </w:rPr>
      </w:pPr>
      <w:r w:rsidRPr="00452D62">
        <w:rPr>
          <w:sz w:val="22"/>
          <w:szCs w:val="22"/>
        </w:rPr>
        <w:t>Poregistracinio stebėjimo metu buvo pranešta apie sunkias odos reakcijas, susijusias su rivaroksabano vartojimu, įskaitant Stivenso-Džonsono (</w:t>
      </w:r>
      <w:r w:rsidRPr="00452D62">
        <w:rPr>
          <w:i/>
          <w:sz w:val="22"/>
          <w:szCs w:val="22"/>
        </w:rPr>
        <w:t>Stevens-Johnson</w:t>
      </w:r>
      <w:r w:rsidRPr="00452D62">
        <w:rPr>
          <w:iCs/>
          <w:sz w:val="22"/>
          <w:szCs w:val="22"/>
        </w:rPr>
        <w:t>)</w:t>
      </w:r>
      <w:r w:rsidRPr="00452D62">
        <w:rPr>
          <w:i/>
          <w:iCs/>
          <w:sz w:val="22"/>
          <w:szCs w:val="22"/>
        </w:rPr>
        <w:t xml:space="preserve"> </w:t>
      </w:r>
      <w:r w:rsidRPr="00452D62">
        <w:rPr>
          <w:sz w:val="22"/>
          <w:szCs w:val="22"/>
        </w:rPr>
        <w:t>sindromą, toksinę epidermio nekrolizę bei vaistinio preparato sukelto išbėrimo su eozinofilija ir sisteminiais simptomais</w:t>
      </w:r>
      <w:r w:rsidRPr="00AE1B80">
        <w:rPr>
          <w:sz w:val="22"/>
          <w:szCs w:val="22"/>
        </w:rPr>
        <w:t xml:space="preserve"> </w:t>
      </w:r>
      <w:r w:rsidRPr="00452D62">
        <w:rPr>
          <w:sz w:val="22"/>
          <w:szCs w:val="22"/>
        </w:rPr>
        <w:t xml:space="preserve">(angl. </w:t>
      </w:r>
      <w:r w:rsidRPr="00452D62">
        <w:rPr>
          <w:i/>
          <w:iCs/>
          <w:sz w:val="22"/>
          <w:szCs w:val="22"/>
        </w:rPr>
        <w:t>drug rash with eosinophilia and systemic symptoms</w:t>
      </w:r>
      <w:r w:rsidRPr="00452D62">
        <w:rPr>
          <w:sz w:val="22"/>
          <w:szCs w:val="22"/>
        </w:rPr>
        <w:t>, DRESS) sindromą (žr. 4.8 skyrių). Pacientams šių reakcijų didžiausia rizika būna gydymo pradžioje: daugeliu atvejų nepageidaujamos reakcijos pasireiškė pirmosiomis gydymo savaitėmis. Pirmą kartą atsiradus sunkiam odos išbėrimui (pvz., plintančiam, intensyviam ir (arba) pūslėms) arba bet kokiam kitam padidėjusio jautrumo požymiui, susijusiam su gleivinės pažeidimu, rivaroksabano vartojimas turi būti nutrauktas.</w:t>
      </w:r>
    </w:p>
    <w:p w14:paraId="4CB3DA3A" w14:textId="77777777" w:rsidR="00823785" w:rsidRPr="00452D62" w:rsidRDefault="00823785" w:rsidP="00823785">
      <w:pPr>
        <w:rPr>
          <w:sz w:val="22"/>
          <w:szCs w:val="22"/>
          <w:u w:val="single"/>
        </w:rPr>
      </w:pPr>
    </w:p>
    <w:p w14:paraId="2AC7AF46" w14:textId="77777777" w:rsidR="00823785" w:rsidRPr="00452D62" w:rsidRDefault="00823785" w:rsidP="00823785">
      <w:pPr>
        <w:rPr>
          <w:sz w:val="22"/>
          <w:szCs w:val="22"/>
        </w:rPr>
      </w:pPr>
      <w:r w:rsidRPr="00452D62">
        <w:rPr>
          <w:sz w:val="22"/>
          <w:szCs w:val="22"/>
          <w:u w:val="single"/>
        </w:rPr>
        <w:t>Informacija apie pagalbines medžiagas</w:t>
      </w:r>
    </w:p>
    <w:p w14:paraId="499BDFDA" w14:textId="77777777" w:rsidR="00823785" w:rsidRPr="00452D62" w:rsidRDefault="00823785" w:rsidP="00823785">
      <w:pPr>
        <w:tabs>
          <w:tab w:val="clear" w:pos="567"/>
          <w:tab w:val="left" w:pos="0"/>
        </w:tabs>
        <w:rPr>
          <w:sz w:val="22"/>
          <w:szCs w:val="22"/>
        </w:rPr>
      </w:pPr>
      <w:r w:rsidRPr="00452D62">
        <w:rPr>
          <w:sz w:val="22"/>
          <w:szCs w:val="22"/>
        </w:rPr>
        <w:t>Šio vaistinio preparato vienoje plėvele dengtoje tabletėje yra mažiau kaip 1 mmol (23 mg) natrio, t. y. jis beveik neturi reikšmės.</w:t>
      </w:r>
    </w:p>
    <w:p w14:paraId="7BE79CB6" w14:textId="77777777" w:rsidR="00823785" w:rsidRPr="00452D62" w:rsidRDefault="00823785" w:rsidP="00823785">
      <w:pPr>
        <w:ind w:left="567" w:hanging="567"/>
        <w:rPr>
          <w:sz w:val="22"/>
          <w:szCs w:val="22"/>
        </w:rPr>
      </w:pPr>
    </w:p>
    <w:p w14:paraId="7F73EF3E"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4.5</w:t>
      </w:r>
      <w:r w:rsidRPr="00452D62">
        <w:rPr>
          <w:b/>
          <w:color w:val="auto"/>
          <w:kern w:val="28"/>
          <w:sz w:val="22"/>
          <w:szCs w:val="22"/>
          <w:lang w:eastAsia="en-US"/>
        </w:rPr>
        <w:tab/>
        <w:t>Sąveika su kitais vaistiniais preparatais ir kitokia sąveika</w:t>
      </w:r>
    </w:p>
    <w:p w14:paraId="1DAE2AEA" w14:textId="77777777" w:rsidR="00823785" w:rsidRPr="00452D62" w:rsidRDefault="00823785" w:rsidP="00823785">
      <w:pPr>
        <w:rPr>
          <w:sz w:val="22"/>
          <w:szCs w:val="22"/>
        </w:rPr>
      </w:pPr>
    </w:p>
    <w:p w14:paraId="3DB1238E" w14:textId="77777777" w:rsidR="00823785" w:rsidRPr="00452D62" w:rsidRDefault="00823785" w:rsidP="00823785">
      <w:pPr>
        <w:rPr>
          <w:sz w:val="22"/>
          <w:szCs w:val="22"/>
        </w:rPr>
      </w:pPr>
      <w:r w:rsidRPr="00452D62">
        <w:rPr>
          <w:sz w:val="22"/>
          <w:szCs w:val="22"/>
          <w:u w:val="single"/>
        </w:rPr>
        <w:t>CYP3A4 ir P-gp inhibitoriai</w:t>
      </w:r>
    </w:p>
    <w:p w14:paraId="4FADE28A" w14:textId="77777777" w:rsidR="00823785" w:rsidRPr="00452D62" w:rsidRDefault="00823785" w:rsidP="00823785">
      <w:pPr>
        <w:rPr>
          <w:sz w:val="22"/>
          <w:szCs w:val="22"/>
        </w:rPr>
      </w:pPr>
      <w:r w:rsidRPr="00452D62">
        <w:rPr>
          <w:sz w:val="22"/>
          <w:szCs w:val="22"/>
        </w:rPr>
        <w:t>Kartu vartojant rivaroksabano ir ketokonazolo (400 mg kartą per parą) arba ritonaviro (600 mg du kartus per parą), 2,6 karto/2,5 karto padidėjo vidutinis rivaroksabano plotas po koncentracijos kreive laiko atžvilgiu (AUC) ir 1,7 karto/1,6 karto padidėjo vidutinė rivaroksabano C</w:t>
      </w:r>
      <w:r w:rsidRPr="00452D62">
        <w:rPr>
          <w:sz w:val="22"/>
          <w:szCs w:val="22"/>
          <w:vertAlign w:val="subscript"/>
        </w:rPr>
        <w:t>max</w:t>
      </w:r>
      <w:r w:rsidRPr="00452D62">
        <w:rPr>
          <w:sz w:val="22"/>
          <w:szCs w:val="22"/>
        </w:rPr>
        <w:t>, kartu reikšmingai sustiprėjo farmakodinaminis poveikis, o dėl to gali padidėti kraujavimo rizika. Taigi, Xerdoxo nerekomenduojama skirti pacientams, kuriems taikomas sisteminis gydymas azolo grupės priešgrybeliniais vaistiniais preparatais, pvz., ketokonazolu, itrakonazolu, vorikonazolu ir pozakonazolu, arba ŽIV proteazės inhibitoriais. Šios veikliosios medžiagos yra stiprūs tiek CYP3A4, tiek P-gp inhibitoriai (žr. 4.4 skyrių).</w:t>
      </w:r>
    </w:p>
    <w:p w14:paraId="5CD8ADCF" w14:textId="77777777" w:rsidR="00823785" w:rsidRPr="00452D62" w:rsidRDefault="00823785" w:rsidP="00823785">
      <w:pPr>
        <w:rPr>
          <w:sz w:val="22"/>
          <w:szCs w:val="22"/>
        </w:rPr>
      </w:pPr>
    </w:p>
    <w:p w14:paraId="7F90CAB1" w14:textId="77777777" w:rsidR="00823785" w:rsidRPr="00452D62" w:rsidRDefault="00823785" w:rsidP="00823785">
      <w:pPr>
        <w:rPr>
          <w:sz w:val="22"/>
          <w:szCs w:val="22"/>
        </w:rPr>
      </w:pPr>
      <w:r w:rsidRPr="00452D62">
        <w:rPr>
          <w:sz w:val="22"/>
          <w:szCs w:val="22"/>
        </w:rPr>
        <w:t>Manoma, kad veikliosios medžiagos, stipriai slopinančios vieną iš rivaroksabano šalinimo mechanizmų (susijusių su CYP3A4 arba P-gp), rivaroksabano koncentraciją kraujo plazmoje didina mažiau. Pavyzdžiui, klaritromicinas (500 mg du kartus per parą), kuris yra laikomas stipriu CYP3A4 inhibitoriumi ir vidutinio stiprumo P-gp inhibitoriumi, vidutinį rivaroksabano AUC padidino 1,5 karto, o C</w:t>
      </w:r>
      <w:r w:rsidRPr="00452D62">
        <w:rPr>
          <w:sz w:val="22"/>
          <w:szCs w:val="22"/>
          <w:vertAlign w:val="subscript"/>
        </w:rPr>
        <w:t xml:space="preserve">max  </w:t>
      </w:r>
      <w:r w:rsidRPr="00452D62">
        <w:rPr>
          <w:sz w:val="22"/>
          <w:szCs w:val="22"/>
        </w:rPr>
        <w:t>padidino 1,4 karto.</w:t>
      </w:r>
      <w:r w:rsidRPr="00AE1B80">
        <w:rPr>
          <w:sz w:val="22"/>
          <w:szCs w:val="22"/>
        </w:rPr>
        <w:t xml:space="preserve"> </w:t>
      </w:r>
      <w:r w:rsidRPr="00452D62">
        <w:rPr>
          <w:sz w:val="22"/>
          <w:szCs w:val="22"/>
        </w:rPr>
        <w:t>Tikėtina, kad daugumai pacientų sąveika su klaritromicinu nėra kliniškai reikšminga, tačiau ji gali būti reikšminga didelės rizikos pacientams. (Informacija apie pacientus, kurių inkstų funkcija yra sutrikusi, pateikiama 4.4 skyriuje).</w:t>
      </w:r>
    </w:p>
    <w:p w14:paraId="70BCE91A" w14:textId="77777777" w:rsidR="00823785" w:rsidRPr="00452D62" w:rsidRDefault="00823785" w:rsidP="00823785">
      <w:pPr>
        <w:rPr>
          <w:sz w:val="22"/>
          <w:szCs w:val="22"/>
        </w:rPr>
      </w:pPr>
    </w:p>
    <w:p w14:paraId="1A476D94" w14:textId="77777777" w:rsidR="00823785" w:rsidRPr="00452D62" w:rsidRDefault="00823785" w:rsidP="00823785">
      <w:pPr>
        <w:rPr>
          <w:sz w:val="22"/>
          <w:szCs w:val="22"/>
        </w:rPr>
      </w:pPr>
      <w:r w:rsidRPr="00452D62">
        <w:rPr>
          <w:sz w:val="22"/>
          <w:szCs w:val="22"/>
        </w:rPr>
        <w:t>Eritromicinas (500 mg tris kartus per parą), kuris vidutiniškai slopina CYP3A4 ir P-gp, vidutinius rivaroksabano AUC ir C</w:t>
      </w:r>
      <w:r w:rsidRPr="00452D62">
        <w:rPr>
          <w:sz w:val="22"/>
          <w:szCs w:val="22"/>
          <w:vertAlign w:val="subscript"/>
        </w:rPr>
        <w:t xml:space="preserve">max </w:t>
      </w:r>
      <w:r w:rsidRPr="00452D62">
        <w:rPr>
          <w:sz w:val="22"/>
          <w:szCs w:val="22"/>
        </w:rPr>
        <w:t>rodmenis padidino 1,3 karto. Tikėtina, kad daugumai pacientų sąveika su eritromicinu nėra kliniškai reikšminga, tačiau ji gali būti reikšminga didelės rizikos pacientams.</w:t>
      </w:r>
    </w:p>
    <w:p w14:paraId="4143863B" w14:textId="77777777" w:rsidR="00823785" w:rsidRPr="00452D62" w:rsidRDefault="00823785" w:rsidP="00823785">
      <w:pPr>
        <w:rPr>
          <w:sz w:val="22"/>
          <w:szCs w:val="22"/>
        </w:rPr>
      </w:pPr>
      <w:r w:rsidRPr="00452D62">
        <w:rPr>
          <w:sz w:val="22"/>
          <w:szCs w:val="22"/>
        </w:rPr>
        <w:t>Tiriamiesiems, kuriems buvo lengvas inkstų funkcijos sutrikimas, eritromicinas (po 500 mg tris kartus per parą) vidutinį rivaroksabano AUC padidino 1,8 karto, o C</w:t>
      </w:r>
      <w:r w:rsidRPr="00452D62">
        <w:rPr>
          <w:sz w:val="22"/>
          <w:szCs w:val="22"/>
          <w:vertAlign w:val="subscript"/>
        </w:rPr>
        <w:t>max</w:t>
      </w:r>
      <w:r w:rsidRPr="00452D62">
        <w:rPr>
          <w:sz w:val="22"/>
          <w:szCs w:val="22"/>
        </w:rPr>
        <w:t xml:space="preserve"> padidino 1,6 karto, palyginti su tiriamaisiais, kurių inkstų funkcija normali. Tiriamiesiems, kuriems buvo vidutinio sunkumo inkstų funkcijos sutrikimas, eritromicinas vidutinį rivaroksabano AUC padidino 2,0 karto, o C</w:t>
      </w:r>
      <w:r w:rsidRPr="00452D62">
        <w:rPr>
          <w:sz w:val="22"/>
          <w:szCs w:val="22"/>
          <w:vertAlign w:val="subscript"/>
        </w:rPr>
        <w:t>max</w:t>
      </w:r>
      <w:r w:rsidRPr="00452D62">
        <w:rPr>
          <w:sz w:val="22"/>
          <w:szCs w:val="22"/>
        </w:rPr>
        <w:t xml:space="preserve"> padidino 1,6 karto, palyginti su tiriamaisiais, kurių inkstų funkcija normali. Eritromicino ir inkstų funkcijos sutrikimo poveikis yra suminis (žr. 4.4 skyrių).</w:t>
      </w:r>
    </w:p>
    <w:p w14:paraId="56815981" w14:textId="77777777" w:rsidR="00823785" w:rsidRPr="00452D62" w:rsidRDefault="00823785" w:rsidP="00823785">
      <w:pPr>
        <w:rPr>
          <w:sz w:val="22"/>
          <w:szCs w:val="22"/>
        </w:rPr>
      </w:pPr>
    </w:p>
    <w:p w14:paraId="3B537C0F" w14:textId="77777777" w:rsidR="00823785" w:rsidRPr="00452D62" w:rsidRDefault="00823785" w:rsidP="00823785">
      <w:pPr>
        <w:rPr>
          <w:sz w:val="22"/>
          <w:szCs w:val="22"/>
        </w:rPr>
      </w:pPr>
      <w:r w:rsidRPr="00452D62">
        <w:rPr>
          <w:sz w:val="22"/>
          <w:szCs w:val="22"/>
        </w:rPr>
        <w:t>Flukonazolas (400 mg kartą per parą), laikomas vidutinio stiprumo CYP3A4 inhibitoriumi, vidutinį rivaroksabano AUC padidino 1,4 karto, o C</w:t>
      </w:r>
      <w:r w:rsidRPr="00452D62">
        <w:rPr>
          <w:sz w:val="22"/>
          <w:szCs w:val="22"/>
          <w:vertAlign w:val="subscript"/>
        </w:rPr>
        <w:t>max</w:t>
      </w:r>
      <w:r w:rsidRPr="00452D62">
        <w:rPr>
          <w:sz w:val="22"/>
          <w:szCs w:val="22"/>
        </w:rPr>
        <w:t xml:space="preserve"> padidino 1,3 karto. Tikėtina, kad daugumai pacientų sąveika su flukonazolu nėra kliniškai reikšminga, tačiau ji gali būti reikšminga didelės rizikos pacientams. (Informacija apie pacientus, kurių inkstų funkcija yra sutrikusi, pateikiama 4.4 skyriuje).</w:t>
      </w:r>
    </w:p>
    <w:p w14:paraId="0CCB2F42" w14:textId="77777777" w:rsidR="00823785" w:rsidRPr="00452D62" w:rsidRDefault="00823785" w:rsidP="00823785">
      <w:pPr>
        <w:rPr>
          <w:sz w:val="22"/>
          <w:szCs w:val="22"/>
        </w:rPr>
      </w:pPr>
    </w:p>
    <w:p w14:paraId="69E0A85A" w14:textId="77777777" w:rsidR="00823785" w:rsidRPr="00452D62" w:rsidRDefault="00823785" w:rsidP="00823785">
      <w:pPr>
        <w:rPr>
          <w:sz w:val="22"/>
          <w:szCs w:val="22"/>
          <w:u w:val="single"/>
        </w:rPr>
      </w:pPr>
      <w:r w:rsidRPr="00452D62">
        <w:rPr>
          <w:sz w:val="22"/>
          <w:szCs w:val="22"/>
        </w:rPr>
        <w:t>Klinikinių duomenų apie dronedaroną yra nedaug, todėl jo reikia vengti vartoti kartu su rivaroksabanu.</w:t>
      </w:r>
    </w:p>
    <w:p w14:paraId="6AA7796E" w14:textId="77777777" w:rsidR="00823785" w:rsidRPr="00452D62" w:rsidRDefault="00823785" w:rsidP="00823785">
      <w:pPr>
        <w:rPr>
          <w:sz w:val="22"/>
          <w:szCs w:val="22"/>
          <w:u w:val="single"/>
        </w:rPr>
      </w:pPr>
    </w:p>
    <w:p w14:paraId="35EA7104" w14:textId="77777777" w:rsidR="00823785" w:rsidRPr="00452D62" w:rsidRDefault="00823785" w:rsidP="00823785">
      <w:pPr>
        <w:rPr>
          <w:sz w:val="22"/>
          <w:szCs w:val="22"/>
        </w:rPr>
      </w:pPr>
      <w:r w:rsidRPr="00452D62">
        <w:rPr>
          <w:sz w:val="22"/>
          <w:szCs w:val="22"/>
          <w:u w:val="single"/>
        </w:rPr>
        <w:t>Antikoaguliantai</w:t>
      </w:r>
    </w:p>
    <w:p w14:paraId="7DFE6A2F" w14:textId="77777777" w:rsidR="00823785" w:rsidRPr="00452D62" w:rsidRDefault="00823785" w:rsidP="00823785">
      <w:pPr>
        <w:rPr>
          <w:sz w:val="22"/>
          <w:szCs w:val="22"/>
        </w:rPr>
      </w:pPr>
      <w:r w:rsidRPr="00452D62">
        <w:rPr>
          <w:sz w:val="22"/>
          <w:szCs w:val="22"/>
        </w:rPr>
        <w:t xml:space="preserve">Enoksaparino (40 mg vienkartinė dozė) vartojant kartu su rivaroksabanu (10 mg vienkartinė dozė), pastebėtas suminis poveikis anti-Xa faktoriaus aktyvumui be jokio papildomo poveikio krešėjimo tyrimams (protrombino laikui angl. (angl. </w:t>
      </w:r>
      <w:r w:rsidRPr="00452D62">
        <w:rPr>
          <w:i/>
          <w:iCs/>
          <w:sz w:val="22"/>
          <w:szCs w:val="22"/>
        </w:rPr>
        <w:t>prothrombin time</w:t>
      </w:r>
      <w:r w:rsidRPr="00452D62">
        <w:rPr>
          <w:sz w:val="22"/>
          <w:szCs w:val="22"/>
        </w:rPr>
        <w:t xml:space="preserve">, </w:t>
      </w:r>
      <w:r w:rsidRPr="00452D62">
        <w:rPr>
          <w:i/>
          <w:iCs/>
          <w:sz w:val="22"/>
          <w:szCs w:val="22"/>
        </w:rPr>
        <w:t>PT</w:t>
      </w:r>
      <w:r w:rsidRPr="00452D62">
        <w:rPr>
          <w:sz w:val="22"/>
          <w:szCs w:val="22"/>
        </w:rPr>
        <w:t xml:space="preserve"> ), daliniam aktyvintam tromboplastino laikui (DATL)). Enoksaparinas neveikė rivaroksabano farmakokinetikos. Jeigu pacientas kartu gydomas bet kokiais kitais antikoaguliantais, dėl padidėjusios kraujavimo rizikos reikia imtis atsargumo priemonių (žr. 4.3 ir 4.4 skyrius).</w:t>
      </w:r>
    </w:p>
    <w:p w14:paraId="243C9512" w14:textId="77777777" w:rsidR="00823785" w:rsidRPr="00452D62" w:rsidRDefault="00823785" w:rsidP="00823785">
      <w:pPr>
        <w:rPr>
          <w:sz w:val="22"/>
          <w:szCs w:val="22"/>
        </w:rPr>
      </w:pPr>
    </w:p>
    <w:p w14:paraId="432FA117" w14:textId="77777777" w:rsidR="00823785" w:rsidRPr="00452D62" w:rsidRDefault="00823785" w:rsidP="00823785">
      <w:pPr>
        <w:rPr>
          <w:sz w:val="22"/>
          <w:szCs w:val="22"/>
        </w:rPr>
      </w:pPr>
      <w:r w:rsidRPr="00452D62">
        <w:rPr>
          <w:sz w:val="22"/>
          <w:szCs w:val="22"/>
          <w:u w:val="single"/>
        </w:rPr>
        <w:t>NVNU/trombocitų agregacijos inhibitoriai</w:t>
      </w:r>
    </w:p>
    <w:p w14:paraId="1543C91F" w14:textId="77777777" w:rsidR="00823785" w:rsidRPr="00452D62" w:rsidRDefault="00823785" w:rsidP="00823785">
      <w:pPr>
        <w:rPr>
          <w:sz w:val="22"/>
          <w:szCs w:val="22"/>
        </w:rPr>
      </w:pPr>
      <w:r w:rsidRPr="00452D62">
        <w:rPr>
          <w:sz w:val="22"/>
          <w:szCs w:val="22"/>
        </w:rPr>
        <w:t>Vartojant rivaroksabano (15 mg) kartu su 500 mg naprokseno doze, jokio kliniškai reikšmingo kraujavimo laiko pailgėjimo nenustatyta. Nepaisant to, gali būti asmenų, kuriems farmakodinaminis atsakas gali būti stipresnis.</w:t>
      </w:r>
    </w:p>
    <w:p w14:paraId="648774F7" w14:textId="77777777" w:rsidR="00823785" w:rsidRPr="00452D62" w:rsidRDefault="00823785" w:rsidP="00823785">
      <w:pPr>
        <w:rPr>
          <w:sz w:val="22"/>
          <w:szCs w:val="22"/>
        </w:rPr>
      </w:pPr>
      <w:r w:rsidRPr="00452D62">
        <w:rPr>
          <w:sz w:val="22"/>
          <w:szCs w:val="22"/>
        </w:rPr>
        <w:t>Rivaroksabano vartojant kartu su 500 mg acetilsalicilo rūgšties doze, jokios kliniškai reikšmingos farmakokinetinės ar farmakodinaminės sąveikos nenustatyta.</w:t>
      </w:r>
    </w:p>
    <w:p w14:paraId="3B9F053E" w14:textId="77777777" w:rsidR="00823785" w:rsidRPr="00452D62" w:rsidRDefault="00823785" w:rsidP="00823785">
      <w:pPr>
        <w:rPr>
          <w:sz w:val="22"/>
          <w:szCs w:val="22"/>
        </w:rPr>
      </w:pPr>
      <w:r w:rsidRPr="00452D62">
        <w:rPr>
          <w:sz w:val="22"/>
          <w:szCs w:val="22"/>
        </w:rPr>
        <w:t>Kartu vartojant klopidogrelio (vartota 300 mg įsotinamoji dozė ir po to 75 mg palaikomoji dozė), nenustatyta jokios farmakokinetinės sąveikos su rivaroksabanu (vartota 15 mg dozė), tačiau pacientų pogrupiui buvo nustatytas reikšmingas kraujavimo laiko pailgėjimas ir tai nekoreliavo su trombocitų agregacija ir P-selektino arba GPIIb/IIIa receptorių lygiais.</w:t>
      </w:r>
    </w:p>
    <w:p w14:paraId="5E98E95F" w14:textId="77777777" w:rsidR="00823785" w:rsidRPr="00452D62" w:rsidRDefault="00823785" w:rsidP="00823785">
      <w:pPr>
        <w:rPr>
          <w:sz w:val="22"/>
          <w:szCs w:val="22"/>
          <w:u w:val="single"/>
        </w:rPr>
      </w:pPr>
      <w:r w:rsidRPr="00452D62">
        <w:rPr>
          <w:sz w:val="22"/>
          <w:szCs w:val="22"/>
        </w:rPr>
        <w:t>Turi būti imamasi atsargumo priemonių, jeigu pacientams taikomas gydymas nesteroidiniais vaistiniais preparatais nuo uždegimo (NVNU) (įskaitant acetilsalicilo rūgštį) ir trombocitų agregacijos inhibitoriais, nes šie vaistiniai preparatai paprastai didina kraujavimo riziką (žr. 4.4 skyrių).</w:t>
      </w:r>
    </w:p>
    <w:p w14:paraId="2B3DD727" w14:textId="77777777" w:rsidR="00823785" w:rsidRPr="00452D62" w:rsidRDefault="00823785" w:rsidP="00823785">
      <w:pPr>
        <w:rPr>
          <w:sz w:val="22"/>
          <w:szCs w:val="22"/>
          <w:u w:val="single"/>
        </w:rPr>
      </w:pPr>
    </w:p>
    <w:p w14:paraId="7E73AD62" w14:textId="77777777" w:rsidR="00823785" w:rsidRPr="00452D62" w:rsidRDefault="00823785" w:rsidP="00823785">
      <w:pPr>
        <w:rPr>
          <w:sz w:val="22"/>
          <w:szCs w:val="22"/>
          <w:u w:val="single"/>
        </w:rPr>
      </w:pPr>
      <w:r w:rsidRPr="00452D62">
        <w:rPr>
          <w:sz w:val="22"/>
          <w:szCs w:val="22"/>
          <w:u w:val="single"/>
        </w:rPr>
        <w:t>SSRI/SNRI</w:t>
      </w:r>
    </w:p>
    <w:p w14:paraId="36CF8DFA" w14:textId="77777777" w:rsidR="00823785" w:rsidRPr="00452D62" w:rsidRDefault="00823785" w:rsidP="00823785">
      <w:pPr>
        <w:rPr>
          <w:sz w:val="22"/>
          <w:szCs w:val="22"/>
        </w:rPr>
      </w:pPr>
      <w:r w:rsidRPr="00452D62">
        <w:rPr>
          <w:sz w:val="22"/>
          <w:szCs w:val="22"/>
        </w:rPr>
        <w:t>Kaip ir vartojant kitų antikoaguliantų, yra tikimybė, kad pacientams, kartu vartojantiems SSRI arba SNRI, dėl jų poveikio trombocitams, apie kurį buvo pranešta, gali padidėti kraujavimo rizika. Kai vykdant rivaroksabano klinikinę programą kartu buvo vartojama minėtų vaistinių preparatų, visose gydymo grupėse nustatyti skaitine reikšme didesni didžiojo ir ne didžiojo kliniškai reikšmingo kraujavimo dažnio rodmenys.</w:t>
      </w:r>
    </w:p>
    <w:p w14:paraId="53866F95" w14:textId="77777777" w:rsidR="00823785" w:rsidRPr="00452D62" w:rsidRDefault="00823785" w:rsidP="00823785">
      <w:pPr>
        <w:rPr>
          <w:sz w:val="22"/>
          <w:szCs w:val="22"/>
          <w:u w:val="single"/>
        </w:rPr>
      </w:pPr>
    </w:p>
    <w:p w14:paraId="67739712" w14:textId="77777777" w:rsidR="00823785" w:rsidRPr="00452D62" w:rsidRDefault="00823785" w:rsidP="00823785">
      <w:pPr>
        <w:rPr>
          <w:sz w:val="22"/>
          <w:szCs w:val="22"/>
        </w:rPr>
      </w:pPr>
      <w:r w:rsidRPr="00452D62">
        <w:rPr>
          <w:sz w:val="22"/>
          <w:szCs w:val="22"/>
          <w:u w:val="single"/>
        </w:rPr>
        <w:t>Varfarinas</w:t>
      </w:r>
    </w:p>
    <w:p w14:paraId="5877759D" w14:textId="77777777" w:rsidR="00823785" w:rsidRPr="00452D62" w:rsidRDefault="00823785" w:rsidP="00823785">
      <w:pPr>
        <w:rPr>
          <w:sz w:val="22"/>
          <w:szCs w:val="22"/>
        </w:rPr>
      </w:pPr>
      <w:r w:rsidRPr="00452D62">
        <w:rPr>
          <w:sz w:val="22"/>
          <w:szCs w:val="22"/>
        </w:rPr>
        <w:t>Keičiant gydymą vitamino K antagonistu varfarinu (</w:t>
      </w:r>
      <w:r w:rsidRPr="00452D62">
        <w:rPr>
          <w:iCs/>
          <w:sz w:val="22"/>
          <w:szCs w:val="22"/>
        </w:rPr>
        <w:t>INR</w:t>
      </w:r>
      <w:r w:rsidRPr="00452D62">
        <w:rPr>
          <w:sz w:val="22"/>
          <w:szCs w:val="22"/>
        </w:rPr>
        <w:t xml:space="preserve"> nuo 2,0 iki 3,0) į gydymą rivaroksabanu (20 mg) arba gydymą rivaroksabanu (20 mg) keičiant į gydymą varfarinu (</w:t>
      </w:r>
      <w:r w:rsidRPr="00452D62">
        <w:rPr>
          <w:iCs/>
          <w:sz w:val="22"/>
          <w:szCs w:val="22"/>
        </w:rPr>
        <w:t>INR</w:t>
      </w:r>
      <w:r w:rsidRPr="00452D62">
        <w:rPr>
          <w:sz w:val="22"/>
          <w:szCs w:val="22"/>
        </w:rPr>
        <w:t xml:space="preserve"> nuo 2,0 iki 3,0), protrombino laikas/</w:t>
      </w:r>
      <w:r w:rsidRPr="00452D62">
        <w:rPr>
          <w:iCs/>
          <w:sz w:val="22"/>
          <w:szCs w:val="22"/>
        </w:rPr>
        <w:t>INR</w:t>
      </w:r>
      <w:r w:rsidRPr="00452D62">
        <w:rPr>
          <w:sz w:val="22"/>
          <w:szCs w:val="22"/>
        </w:rPr>
        <w:t xml:space="preserve"> (Neoplastin) padidėjo daugiau nei iki suminės reikšmės (atskirais atvejais </w:t>
      </w:r>
      <w:r w:rsidRPr="00452D62">
        <w:rPr>
          <w:iCs/>
          <w:sz w:val="22"/>
          <w:szCs w:val="22"/>
        </w:rPr>
        <w:t>INR</w:t>
      </w:r>
      <w:r w:rsidRPr="00452D62">
        <w:rPr>
          <w:sz w:val="22"/>
          <w:szCs w:val="22"/>
        </w:rPr>
        <w:t xml:space="preserve"> rodmuo buvo iki 12), tuo tarpu kai poveikis DATL, Xa faktoriaus aktyvumo slopinimui ir endogeninio trombino potencialui (ETP) buvo suminis.</w:t>
      </w:r>
    </w:p>
    <w:p w14:paraId="79E7ED56" w14:textId="77777777" w:rsidR="00823785" w:rsidRPr="00452D62" w:rsidRDefault="00823785" w:rsidP="00823785">
      <w:pPr>
        <w:rPr>
          <w:sz w:val="22"/>
          <w:szCs w:val="22"/>
        </w:rPr>
      </w:pPr>
      <w:r w:rsidRPr="00452D62">
        <w:rPr>
          <w:sz w:val="22"/>
          <w:szCs w:val="22"/>
        </w:rPr>
        <w:t xml:space="preserve">Norint ištirti rivaroksabano farmakodinaminį poveikį gydymo keitimo metu, galima atlikti antifaktoriaus Xa aktyvumo, PiCT ir </w:t>
      </w:r>
      <w:r w:rsidRPr="00452D62">
        <w:rPr>
          <w:i/>
          <w:sz w:val="22"/>
          <w:szCs w:val="22"/>
        </w:rPr>
        <w:t>Heptest</w:t>
      </w:r>
      <w:r w:rsidRPr="00452D62">
        <w:rPr>
          <w:sz w:val="22"/>
          <w:szCs w:val="22"/>
        </w:rPr>
        <w:t xml:space="preserve"> tyrimus, kadangi varfarinas įtakos šiems tyrimams nedaro. Ketvirtą parą po paskutinės varfarino dozės pavartojimo visi tyrimai (įskaitant protrombino laiką, DATL, Xa faktoriaus aktyvumo slopinimą ir ETP) rodė tik rivaroksabano poveikį.</w:t>
      </w:r>
    </w:p>
    <w:p w14:paraId="5188EC42" w14:textId="77777777" w:rsidR="00823785" w:rsidRPr="00452D62" w:rsidRDefault="00823785" w:rsidP="00823785">
      <w:pPr>
        <w:rPr>
          <w:sz w:val="22"/>
          <w:szCs w:val="22"/>
        </w:rPr>
      </w:pPr>
      <w:r w:rsidRPr="00452D62">
        <w:rPr>
          <w:sz w:val="22"/>
          <w:szCs w:val="22"/>
        </w:rPr>
        <w:t xml:space="preserve">Norint ištirti varfarino farmakodinaminį poveikį gydymo keitimo metu, galima atlikti </w:t>
      </w:r>
      <w:r w:rsidRPr="00452D62">
        <w:rPr>
          <w:iCs/>
          <w:sz w:val="22"/>
          <w:szCs w:val="22"/>
        </w:rPr>
        <w:t>INR</w:t>
      </w:r>
      <w:r w:rsidRPr="00452D62">
        <w:rPr>
          <w:sz w:val="22"/>
          <w:szCs w:val="22"/>
        </w:rPr>
        <w:t xml:space="preserve"> tyrimą, kai rivaroksabano koncentracija yra mažiausia (C</w:t>
      </w:r>
      <w:r w:rsidRPr="00452D62">
        <w:rPr>
          <w:sz w:val="22"/>
          <w:szCs w:val="22"/>
          <w:vertAlign w:val="subscript"/>
        </w:rPr>
        <w:t>trough</w:t>
      </w:r>
      <w:r w:rsidRPr="00452D62">
        <w:rPr>
          <w:sz w:val="22"/>
          <w:szCs w:val="22"/>
        </w:rPr>
        <w:t>) (praėjus 24 valandoms po paskutinio rivaroksabano pavartojimo), nes tuo metu tyrimas bus mažiausiai paveiktas rivaroksabano.</w:t>
      </w:r>
    </w:p>
    <w:p w14:paraId="0CDC8F19" w14:textId="77777777" w:rsidR="00823785" w:rsidRPr="00452D62" w:rsidRDefault="00823785" w:rsidP="00823785">
      <w:pPr>
        <w:rPr>
          <w:sz w:val="22"/>
          <w:szCs w:val="22"/>
          <w:u w:val="single"/>
        </w:rPr>
      </w:pPr>
      <w:r w:rsidRPr="00452D62">
        <w:rPr>
          <w:sz w:val="22"/>
          <w:szCs w:val="22"/>
        </w:rPr>
        <w:t>Farmakokinetinės varfarino ir rivaroksabano sąveikos nenustatyta.</w:t>
      </w:r>
    </w:p>
    <w:p w14:paraId="046A73DF" w14:textId="77777777" w:rsidR="00823785" w:rsidRPr="00452D62" w:rsidRDefault="00823785" w:rsidP="00823785">
      <w:pPr>
        <w:rPr>
          <w:sz w:val="22"/>
          <w:szCs w:val="22"/>
          <w:u w:val="single"/>
        </w:rPr>
      </w:pPr>
    </w:p>
    <w:p w14:paraId="02EBF7ED" w14:textId="77777777" w:rsidR="00823785" w:rsidRPr="00452D62" w:rsidRDefault="00823785" w:rsidP="00823785">
      <w:pPr>
        <w:rPr>
          <w:sz w:val="22"/>
          <w:szCs w:val="22"/>
        </w:rPr>
      </w:pPr>
      <w:r w:rsidRPr="00452D62">
        <w:rPr>
          <w:sz w:val="22"/>
          <w:szCs w:val="22"/>
          <w:u w:val="single"/>
        </w:rPr>
        <w:t>CYP3A4 induktoriai</w:t>
      </w:r>
    </w:p>
    <w:p w14:paraId="3192DE45" w14:textId="1F4AE16C" w:rsidR="00823785" w:rsidRPr="00452D62" w:rsidRDefault="00823785" w:rsidP="00823785">
      <w:pPr>
        <w:rPr>
          <w:sz w:val="22"/>
          <w:szCs w:val="22"/>
          <w:u w:val="single"/>
        </w:rPr>
      </w:pPr>
      <w:r w:rsidRPr="00452D62">
        <w:rPr>
          <w:sz w:val="22"/>
          <w:szCs w:val="22"/>
        </w:rPr>
        <w:t xml:space="preserve">Rivaroksabano vartojant kartu su stipriu CYP3A4 induktoriumi rifampicinu, vidutinis rivaroksabano AUC sumažėjo maždaug 50 % ir kartu susilpnėjo farmakodinaminis poveikis. Rivaroksabano vartojant kartu su kitais stipriais CYP3A4 induktoriais (pvz., fenitoinu, karbamazepinu, fenobarbitaliu arba jonažolių </w:t>
      </w:r>
      <w:r w:rsidRPr="00452D62">
        <w:rPr>
          <w:i/>
          <w:iCs/>
          <w:sz w:val="22"/>
          <w:szCs w:val="22"/>
        </w:rPr>
        <w:t xml:space="preserve">(Hypericum perforatum) </w:t>
      </w:r>
      <w:r w:rsidRPr="00452D62">
        <w:rPr>
          <w:sz w:val="22"/>
          <w:szCs w:val="22"/>
        </w:rPr>
        <w:t>preparatais), gali sumažėti rivaroksabano koncentracija kraujo plazmoje. Taigi reikia vengti kartu skirti stipriai veikiančių CYP3A4 induktorių, nebent pacientas yra atidžiai stebimas dėl trombozės požymių ir simptomų.</w:t>
      </w:r>
    </w:p>
    <w:p w14:paraId="6A65C61F" w14:textId="77777777" w:rsidR="00823785" w:rsidRPr="00452D62" w:rsidRDefault="00823785" w:rsidP="00823785">
      <w:pPr>
        <w:rPr>
          <w:sz w:val="22"/>
          <w:szCs w:val="22"/>
          <w:u w:val="single"/>
        </w:rPr>
      </w:pPr>
    </w:p>
    <w:p w14:paraId="5D6E87EC" w14:textId="77777777" w:rsidR="00823785" w:rsidRPr="00452D62" w:rsidRDefault="00823785" w:rsidP="00823785">
      <w:pPr>
        <w:rPr>
          <w:sz w:val="22"/>
          <w:szCs w:val="22"/>
        </w:rPr>
      </w:pPr>
      <w:r w:rsidRPr="00452D62">
        <w:rPr>
          <w:sz w:val="22"/>
          <w:szCs w:val="22"/>
          <w:u w:val="single"/>
        </w:rPr>
        <w:t>Kitas kartu skiriamas gydymas</w:t>
      </w:r>
    </w:p>
    <w:p w14:paraId="746161D1" w14:textId="77777777" w:rsidR="00823785" w:rsidRPr="00452D62" w:rsidRDefault="00823785" w:rsidP="00823785">
      <w:pPr>
        <w:rPr>
          <w:sz w:val="22"/>
          <w:szCs w:val="22"/>
        </w:rPr>
      </w:pPr>
      <w:r w:rsidRPr="00452D62">
        <w:rPr>
          <w:sz w:val="22"/>
          <w:szCs w:val="22"/>
        </w:rPr>
        <w:t>Vartojant rivaroksabano kartu su midazolamu (CYP3A4 substratu), digoksinu (P-gp substratu), atorvastatinu (CYP3A4 ir P-gp substratu) arba omeprazolu (protonų siurblio inhibitoriumi), kliniškai reikšmingos farmakokinetinės arba farmakodinaminės sąveikos nenustatyta. Rivaroksabanas neslopina ir neindukuoja jokių svarbesnių CYP izoformų, tokių kaip CYP3A4.</w:t>
      </w:r>
    </w:p>
    <w:p w14:paraId="56F27D25" w14:textId="77777777" w:rsidR="00823785" w:rsidRPr="00452D62" w:rsidRDefault="00823785" w:rsidP="00823785">
      <w:pPr>
        <w:rPr>
          <w:sz w:val="22"/>
          <w:szCs w:val="22"/>
        </w:rPr>
      </w:pPr>
      <w:r w:rsidRPr="00452D62">
        <w:rPr>
          <w:sz w:val="22"/>
          <w:szCs w:val="22"/>
        </w:rPr>
        <w:t>Kliniškai reikšmingos sąveikos su maistu nenustatyta (žr. 4.2 skyrių).</w:t>
      </w:r>
    </w:p>
    <w:p w14:paraId="2FB7D5C6" w14:textId="77777777" w:rsidR="00823785" w:rsidRPr="00452D62" w:rsidRDefault="00823785" w:rsidP="00823785">
      <w:pPr>
        <w:rPr>
          <w:sz w:val="22"/>
          <w:szCs w:val="22"/>
        </w:rPr>
      </w:pPr>
    </w:p>
    <w:p w14:paraId="3A90E4E5" w14:textId="77777777" w:rsidR="00823785" w:rsidRPr="00452D62" w:rsidRDefault="00823785" w:rsidP="00823785">
      <w:pPr>
        <w:rPr>
          <w:sz w:val="22"/>
          <w:szCs w:val="22"/>
        </w:rPr>
      </w:pPr>
      <w:r w:rsidRPr="00452D62">
        <w:rPr>
          <w:sz w:val="22"/>
          <w:szCs w:val="22"/>
          <w:u w:val="single"/>
        </w:rPr>
        <w:t>Laboratoriniai rodmenys</w:t>
      </w:r>
    </w:p>
    <w:p w14:paraId="63AA0878" w14:textId="77777777" w:rsidR="00823785" w:rsidRPr="00452D62" w:rsidRDefault="00823785" w:rsidP="00823785">
      <w:pPr>
        <w:rPr>
          <w:b/>
          <w:bCs/>
          <w:sz w:val="22"/>
          <w:szCs w:val="22"/>
        </w:rPr>
      </w:pPr>
      <w:r w:rsidRPr="00452D62">
        <w:rPr>
          <w:sz w:val="22"/>
          <w:szCs w:val="22"/>
        </w:rPr>
        <w:t xml:space="preserve">Būna paveikti krešėjimo parametrai (pvz., PT, DATL, </w:t>
      </w:r>
      <w:r w:rsidRPr="00452D62">
        <w:rPr>
          <w:i/>
          <w:iCs/>
          <w:sz w:val="22"/>
          <w:szCs w:val="22"/>
        </w:rPr>
        <w:t>HepTest</w:t>
      </w:r>
      <w:r w:rsidRPr="00452D62">
        <w:rPr>
          <w:sz w:val="22"/>
          <w:szCs w:val="22"/>
        </w:rPr>
        <w:t>), kaip ir galima tikėtis atsižvelgiant į rivaroksabano veikimo mechanizmą (žr. 5.1 skyrių).</w:t>
      </w:r>
    </w:p>
    <w:p w14:paraId="0D13D749" w14:textId="77777777" w:rsidR="00823785" w:rsidRPr="00452D62" w:rsidRDefault="00823785" w:rsidP="00823785">
      <w:pPr>
        <w:ind w:left="567" w:hanging="568"/>
        <w:rPr>
          <w:b/>
          <w:bCs/>
          <w:sz w:val="22"/>
          <w:szCs w:val="22"/>
        </w:rPr>
      </w:pPr>
    </w:p>
    <w:p w14:paraId="4D36D061"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4.6</w:t>
      </w:r>
      <w:r w:rsidRPr="00452D62">
        <w:rPr>
          <w:b/>
          <w:color w:val="auto"/>
          <w:kern w:val="28"/>
          <w:sz w:val="22"/>
          <w:szCs w:val="22"/>
          <w:lang w:eastAsia="en-US"/>
        </w:rPr>
        <w:tab/>
        <w:t>Vaisingumas, nėštumo ir žindymo laikotarpis</w:t>
      </w:r>
    </w:p>
    <w:p w14:paraId="4AE4F04E" w14:textId="77777777" w:rsidR="00823785" w:rsidRPr="00452D62" w:rsidRDefault="00823785" w:rsidP="00823785">
      <w:pPr>
        <w:rPr>
          <w:sz w:val="22"/>
          <w:szCs w:val="22"/>
          <w:u w:val="single"/>
        </w:rPr>
      </w:pPr>
    </w:p>
    <w:p w14:paraId="4BE3BCB9" w14:textId="77777777" w:rsidR="00823785" w:rsidRPr="00452D62" w:rsidRDefault="00823785" w:rsidP="00823785">
      <w:pPr>
        <w:rPr>
          <w:sz w:val="22"/>
          <w:szCs w:val="22"/>
        </w:rPr>
      </w:pPr>
      <w:r w:rsidRPr="00452D62">
        <w:rPr>
          <w:sz w:val="22"/>
          <w:szCs w:val="22"/>
          <w:u w:val="single"/>
        </w:rPr>
        <w:t>Nėštumas</w:t>
      </w:r>
    </w:p>
    <w:p w14:paraId="7ACBDD9F" w14:textId="77777777" w:rsidR="00823785" w:rsidRPr="00452D62" w:rsidRDefault="00823785" w:rsidP="00823785">
      <w:pPr>
        <w:rPr>
          <w:sz w:val="22"/>
          <w:szCs w:val="22"/>
        </w:rPr>
      </w:pPr>
      <w:r w:rsidRPr="00452D62">
        <w:rPr>
          <w:sz w:val="22"/>
          <w:szCs w:val="22"/>
        </w:rPr>
        <w:t>Rivaroksabano saugumas ir veiksmingumas nėščioms moterims nėra nustatytas. Su gyvūnais atlikti tyrimai parodė toksinį poveikį reprodukcijai (žr. 5.3 skyrių). Dėl galimo toksinio poveikio reprodukcijai, būdingos kraujavimo rizikos ir patvirtinto rivaroksabano prasiskverbimo per placentą, Xerdoxo draudžiama vartoti nėštumo metu (žr. 4.3 skyrių).</w:t>
      </w:r>
    </w:p>
    <w:p w14:paraId="7A02037C" w14:textId="77777777" w:rsidR="00823785" w:rsidRPr="00452D62" w:rsidRDefault="00823785" w:rsidP="00823785">
      <w:pPr>
        <w:rPr>
          <w:sz w:val="22"/>
          <w:szCs w:val="22"/>
        </w:rPr>
      </w:pPr>
      <w:r w:rsidRPr="00452D62">
        <w:rPr>
          <w:sz w:val="22"/>
          <w:szCs w:val="22"/>
        </w:rPr>
        <w:t>Vaisingo amžiaus moterys turi vengti pastoti gydymo rivaroksabanu metu.</w:t>
      </w:r>
    </w:p>
    <w:p w14:paraId="3A4CAD73" w14:textId="77777777" w:rsidR="00823785" w:rsidRPr="00452D62" w:rsidRDefault="00823785" w:rsidP="00823785">
      <w:pPr>
        <w:rPr>
          <w:sz w:val="22"/>
          <w:szCs w:val="22"/>
        </w:rPr>
      </w:pPr>
    </w:p>
    <w:p w14:paraId="2AA6E2EE" w14:textId="77777777" w:rsidR="00823785" w:rsidRPr="00452D62" w:rsidRDefault="00823785" w:rsidP="00823785">
      <w:pPr>
        <w:rPr>
          <w:sz w:val="22"/>
          <w:szCs w:val="22"/>
        </w:rPr>
      </w:pPr>
      <w:r w:rsidRPr="00452D62">
        <w:rPr>
          <w:sz w:val="22"/>
          <w:szCs w:val="22"/>
          <w:u w:val="single"/>
        </w:rPr>
        <w:t>Žindymas</w:t>
      </w:r>
    </w:p>
    <w:p w14:paraId="5F5C893E" w14:textId="77777777" w:rsidR="00823785" w:rsidRPr="00452D62" w:rsidRDefault="00823785" w:rsidP="00823785">
      <w:pPr>
        <w:rPr>
          <w:sz w:val="22"/>
          <w:szCs w:val="22"/>
          <w:u w:val="single"/>
        </w:rPr>
      </w:pPr>
      <w:r w:rsidRPr="00452D62">
        <w:rPr>
          <w:sz w:val="22"/>
          <w:szCs w:val="22"/>
        </w:rPr>
        <w:t>Rivaroksabano saugumas ir veiksmingumas žindyvėms nenustatytas. Tyrimų su gyvūnais duomenys rodo, kad rivaroksabanas yra išskiriamas į pieną. Todėl Xerdoxo draudžiama vartoti žindymo metu (žr. 4.3 skyrių). Reikia nuspręsti, ar nutraukti žindymą, ar nutraukti/susilaikyti nuo gydymo vaistiniu preparatu.</w:t>
      </w:r>
    </w:p>
    <w:p w14:paraId="7C0A05FB" w14:textId="77777777" w:rsidR="00823785" w:rsidRPr="00452D62" w:rsidRDefault="00823785" w:rsidP="00823785">
      <w:pPr>
        <w:rPr>
          <w:sz w:val="22"/>
          <w:szCs w:val="22"/>
          <w:u w:val="single"/>
        </w:rPr>
      </w:pPr>
    </w:p>
    <w:p w14:paraId="2794750E" w14:textId="77777777" w:rsidR="00823785" w:rsidRPr="00452D62" w:rsidRDefault="00823785" w:rsidP="00823785">
      <w:pPr>
        <w:rPr>
          <w:sz w:val="22"/>
          <w:szCs w:val="22"/>
        </w:rPr>
      </w:pPr>
      <w:r w:rsidRPr="00452D62">
        <w:rPr>
          <w:sz w:val="22"/>
          <w:szCs w:val="22"/>
          <w:u w:val="single"/>
        </w:rPr>
        <w:t>Vaisingumas</w:t>
      </w:r>
    </w:p>
    <w:p w14:paraId="055B7221" w14:textId="77777777" w:rsidR="00823785" w:rsidRPr="00452D62" w:rsidRDefault="00823785" w:rsidP="00823785">
      <w:pPr>
        <w:rPr>
          <w:b/>
          <w:bCs/>
          <w:sz w:val="22"/>
          <w:szCs w:val="22"/>
        </w:rPr>
      </w:pPr>
      <w:r w:rsidRPr="00452D62">
        <w:rPr>
          <w:sz w:val="22"/>
          <w:szCs w:val="22"/>
        </w:rPr>
        <w:t>Rivaroksabano poveikį vaisingumui įvertinančių specifinių tyrimų žmonėms neatlikta. Žiurkių patelių ir patinų vaisingumo tyrimo metu poveikio nenustatyta (žr. 5.3 skyrių).</w:t>
      </w:r>
    </w:p>
    <w:p w14:paraId="20361FE0" w14:textId="77777777" w:rsidR="00823785" w:rsidRPr="00452D62" w:rsidRDefault="00823785" w:rsidP="00823785">
      <w:pPr>
        <w:ind w:left="567" w:hanging="568"/>
        <w:rPr>
          <w:b/>
          <w:bCs/>
          <w:sz w:val="22"/>
          <w:szCs w:val="22"/>
        </w:rPr>
      </w:pPr>
    </w:p>
    <w:p w14:paraId="57719D94"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4.7</w:t>
      </w:r>
      <w:r w:rsidRPr="00452D62">
        <w:rPr>
          <w:b/>
          <w:color w:val="auto"/>
          <w:kern w:val="28"/>
          <w:sz w:val="22"/>
          <w:szCs w:val="22"/>
          <w:lang w:eastAsia="en-US"/>
        </w:rPr>
        <w:tab/>
        <w:t>Poveikis gebėjimui vairuoti ir valdyti mechanizmus</w:t>
      </w:r>
    </w:p>
    <w:p w14:paraId="3CB7225D" w14:textId="77777777" w:rsidR="00823785" w:rsidRPr="00452D62" w:rsidRDefault="00823785" w:rsidP="00823785">
      <w:pPr>
        <w:rPr>
          <w:sz w:val="22"/>
          <w:szCs w:val="22"/>
        </w:rPr>
      </w:pPr>
    </w:p>
    <w:p w14:paraId="58AE1D54" w14:textId="77777777" w:rsidR="00823785" w:rsidRPr="00452D62" w:rsidRDefault="00823785" w:rsidP="00823785">
      <w:pPr>
        <w:rPr>
          <w:b/>
          <w:bCs/>
          <w:sz w:val="22"/>
          <w:szCs w:val="22"/>
        </w:rPr>
      </w:pPr>
      <w:r w:rsidRPr="00452D62">
        <w:rPr>
          <w:sz w:val="22"/>
          <w:szCs w:val="22"/>
        </w:rPr>
        <w:t>Rivaroksabanas gebėjimą vairuoti ir valdyti mechanizmus veikia silpnai. Buvo gauta pranešimų apie šias nepageidaujamas reakcijas: apalpimą (dažnis: nedažnas) ir svaigulį (dažnis: dažnas) (žr. 4.8 skyrių). Pacientams, kuriems pasireiškia šių nepageidaujamų reakcijų, vairuoti ar valdyti mechanizmų negalima.</w:t>
      </w:r>
    </w:p>
    <w:p w14:paraId="2AA80DA9" w14:textId="77777777" w:rsidR="00823785" w:rsidRPr="00452D62" w:rsidRDefault="00823785" w:rsidP="00823785">
      <w:pPr>
        <w:ind w:left="567" w:hanging="568"/>
        <w:rPr>
          <w:b/>
          <w:bCs/>
          <w:sz w:val="22"/>
          <w:szCs w:val="22"/>
        </w:rPr>
      </w:pPr>
    </w:p>
    <w:p w14:paraId="0C20E6B0"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4.8</w:t>
      </w:r>
      <w:r w:rsidRPr="00452D62">
        <w:rPr>
          <w:b/>
          <w:color w:val="auto"/>
          <w:kern w:val="28"/>
          <w:sz w:val="22"/>
          <w:szCs w:val="22"/>
          <w:lang w:eastAsia="en-US"/>
        </w:rPr>
        <w:tab/>
        <w:t>Nepageidaujamas poveikis</w:t>
      </w:r>
    </w:p>
    <w:p w14:paraId="653E9CB1" w14:textId="77777777" w:rsidR="00823785" w:rsidRPr="00452D62" w:rsidRDefault="00823785" w:rsidP="00823785">
      <w:pPr>
        <w:rPr>
          <w:sz w:val="22"/>
          <w:szCs w:val="22"/>
          <w:u w:val="single"/>
        </w:rPr>
      </w:pPr>
    </w:p>
    <w:p w14:paraId="2E0E1954" w14:textId="77777777" w:rsidR="00823785" w:rsidRPr="00452D62" w:rsidRDefault="00823785" w:rsidP="00823785">
      <w:pPr>
        <w:rPr>
          <w:sz w:val="22"/>
          <w:szCs w:val="22"/>
        </w:rPr>
      </w:pPr>
      <w:r w:rsidRPr="00452D62">
        <w:rPr>
          <w:sz w:val="22"/>
          <w:szCs w:val="22"/>
          <w:u w:val="single"/>
        </w:rPr>
        <w:t>Saugumo duomenų santrauka</w:t>
      </w:r>
    </w:p>
    <w:p w14:paraId="6DEE7BFC" w14:textId="1DDAC8A8" w:rsidR="00823785" w:rsidRPr="00452D62" w:rsidRDefault="00823785" w:rsidP="00823785">
      <w:pPr>
        <w:rPr>
          <w:sz w:val="22"/>
          <w:szCs w:val="22"/>
        </w:rPr>
      </w:pPr>
      <w:r w:rsidRPr="00452D62">
        <w:rPr>
          <w:sz w:val="22"/>
          <w:szCs w:val="22"/>
        </w:rPr>
        <w:t>Rivaroksabano saugumas buvo vertinamas trylikos pagrindinių III fazės tyrimų metu (žr. 1 lentelę).</w:t>
      </w:r>
    </w:p>
    <w:p w14:paraId="711775E5" w14:textId="77777777" w:rsidR="00823785" w:rsidRPr="00452D62" w:rsidRDefault="00823785" w:rsidP="00823785">
      <w:pPr>
        <w:rPr>
          <w:sz w:val="22"/>
          <w:szCs w:val="22"/>
        </w:rPr>
      </w:pPr>
    </w:p>
    <w:p w14:paraId="65C5A4FA" w14:textId="04C76127" w:rsidR="00823785" w:rsidRPr="00452D62" w:rsidRDefault="00823785" w:rsidP="00823785">
      <w:pPr>
        <w:rPr>
          <w:sz w:val="22"/>
          <w:szCs w:val="22"/>
        </w:rPr>
      </w:pPr>
      <w:r w:rsidRPr="00452D62">
        <w:rPr>
          <w:sz w:val="22"/>
          <w:szCs w:val="22"/>
        </w:rPr>
        <w:t>Iš viso devyniolikoje III fazės tyrimų dalyvavo 69</w:t>
      </w:r>
      <w:r w:rsidR="00D66FC3" w:rsidRPr="00452D62">
        <w:rPr>
          <w:sz w:val="22"/>
          <w:szCs w:val="22"/>
        </w:rPr>
        <w:t xml:space="preserve"> </w:t>
      </w:r>
      <w:r w:rsidRPr="00452D62">
        <w:rPr>
          <w:sz w:val="22"/>
          <w:szCs w:val="22"/>
        </w:rPr>
        <w:t xml:space="preserve">608 suaugę pacientai, </w:t>
      </w:r>
      <w:r w:rsidR="00D7463B" w:rsidRPr="00452D62">
        <w:rPr>
          <w:sz w:val="22"/>
          <w:szCs w:val="22"/>
        </w:rPr>
        <w:t xml:space="preserve">ir dviejuose II fazės tyrimuose bei dviejuose III fazės tyrimuose dalyvavo 488 vaikai, </w:t>
      </w:r>
      <w:r w:rsidRPr="00452D62">
        <w:rPr>
          <w:sz w:val="22"/>
          <w:szCs w:val="22"/>
        </w:rPr>
        <w:t>vartoj</w:t>
      </w:r>
      <w:r w:rsidR="00FB360F" w:rsidRPr="00452D62">
        <w:rPr>
          <w:sz w:val="22"/>
          <w:szCs w:val="22"/>
        </w:rPr>
        <w:t>ę</w:t>
      </w:r>
      <w:r w:rsidRPr="00452D62">
        <w:rPr>
          <w:sz w:val="22"/>
          <w:szCs w:val="22"/>
        </w:rPr>
        <w:t xml:space="preserve"> rivaroksabano.</w:t>
      </w:r>
    </w:p>
    <w:p w14:paraId="6A56EBA0" w14:textId="77777777" w:rsidR="00823785" w:rsidRPr="00452D62" w:rsidRDefault="00823785" w:rsidP="00823785">
      <w:pPr>
        <w:rPr>
          <w:sz w:val="22"/>
          <w:szCs w:val="22"/>
        </w:rPr>
      </w:pPr>
    </w:p>
    <w:p w14:paraId="239A4D0B" w14:textId="05EE6C37" w:rsidR="00823785" w:rsidRPr="00452D62" w:rsidRDefault="00823785" w:rsidP="00823785">
      <w:pPr>
        <w:rPr>
          <w:b/>
          <w:sz w:val="22"/>
          <w:szCs w:val="22"/>
        </w:rPr>
      </w:pPr>
      <w:r w:rsidRPr="00452D62">
        <w:rPr>
          <w:b/>
          <w:sz w:val="22"/>
          <w:szCs w:val="22"/>
        </w:rPr>
        <w:t>1 lentelė. Tirtų pacientų skaičius, bendroji paros dozė ir maksimali gydymo trukmė III fazės tyrimuose su suaugusiais</w:t>
      </w:r>
      <w:r w:rsidR="00BB34ED" w:rsidRPr="00452D62">
        <w:rPr>
          <w:b/>
          <w:sz w:val="22"/>
          <w:szCs w:val="22"/>
        </w:rPr>
        <w:t>ir vaikais</w:t>
      </w:r>
    </w:p>
    <w:tbl>
      <w:tblPr>
        <w:tblW w:w="0" w:type="auto"/>
        <w:tblInd w:w="-34" w:type="dxa"/>
        <w:tblLayout w:type="fixed"/>
        <w:tblLook w:val="0000" w:firstRow="0" w:lastRow="0" w:firstColumn="0" w:lastColumn="0" w:noHBand="0" w:noVBand="0"/>
      </w:tblPr>
      <w:tblGrid>
        <w:gridCol w:w="3544"/>
        <w:gridCol w:w="1134"/>
        <w:gridCol w:w="2835"/>
        <w:gridCol w:w="1581"/>
      </w:tblGrid>
      <w:tr w:rsidR="00823785" w:rsidRPr="00452D62" w14:paraId="44B5E501" w14:textId="77777777" w:rsidTr="006453B9">
        <w:tc>
          <w:tcPr>
            <w:tcW w:w="3544" w:type="dxa"/>
            <w:tcBorders>
              <w:top w:val="single" w:sz="4" w:space="0" w:color="000000"/>
              <w:left w:val="single" w:sz="4" w:space="0" w:color="000000"/>
              <w:bottom w:val="single" w:sz="4" w:space="0" w:color="000000"/>
              <w:right w:val="single" w:sz="4" w:space="0" w:color="000000"/>
            </w:tcBorders>
            <w:shd w:val="clear" w:color="auto" w:fill="FFFFFF"/>
          </w:tcPr>
          <w:p w14:paraId="718A5265" w14:textId="77777777" w:rsidR="00823785" w:rsidRPr="00452D62" w:rsidRDefault="00823785" w:rsidP="006453B9">
            <w:pPr>
              <w:rPr>
                <w:b/>
                <w:bCs/>
                <w:sz w:val="22"/>
                <w:szCs w:val="22"/>
              </w:rPr>
            </w:pPr>
            <w:r w:rsidRPr="00452D62">
              <w:rPr>
                <w:b/>
                <w:sz w:val="22"/>
                <w:szCs w:val="22"/>
              </w:rPr>
              <w:t>Indikacija</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6287DDC2" w14:textId="77777777" w:rsidR="00823785" w:rsidRPr="00452D62" w:rsidRDefault="00823785" w:rsidP="006453B9">
            <w:pPr>
              <w:rPr>
                <w:b/>
                <w:sz w:val="22"/>
                <w:szCs w:val="22"/>
              </w:rPr>
            </w:pPr>
            <w:r w:rsidRPr="00452D62">
              <w:rPr>
                <w:b/>
                <w:bCs/>
                <w:sz w:val="22"/>
                <w:szCs w:val="22"/>
              </w:rPr>
              <w:t xml:space="preserve">Pacientų skaičius* </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11533911" w14:textId="77777777" w:rsidR="00823785" w:rsidRPr="00452D62" w:rsidRDefault="00823785" w:rsidP="006453B9">
            <w:pPr>
              <w:rPr>
                <w:b/>
                <w:sz w:val="22"/>
                <w:szCs w:val="22"/>
              </w:rPr>
            </w:pPr>
            <w:r w:rsidRPr="00452D62">
              <w:rPr>
                <w:b/>
                <w:sz w:val="22"/>
                <w:szCs w:val="22"/>
              </w:rPr>
              <w:t>Bendroji paros dozė</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40C0EFA2" w14:textId="77777777" w:rsidR="00823785" w:rsidRPr="00452D62" w:rsidRDefault="00823785" w:rsidP="006453B9">
            <w:pPr>
              <w:rPr>
                <w:sz w:val="22"/>
                <w:szCs w:val="22"/>
              </w:rPr>
            </w:pPr>
            <w:r w:rsidRPr="00452D62">
              <w:rPr>
                <w:b/>
                <w:sz w:val="22"/>
                <w:szCs w:val="22"/>
              </w:rPr>
              <w:t>Maksimali gydymo trukmė</w:t>
            </w:r>
          </w:p>
        </w:tc>
      </w:tr>
      <w:tr w:rsidR="00823785" w:rsidRPr="00452D62" w14:paraId="3DC75248" w14:textId="77777777" w:rsidTr="006453B9">
        <w:tc>
          <w:tcPr>
            <w:tcW w:w="3544" w:type="dxa"/>
            <w:tcBorders>
              <w:top w:val="single" w:sz="4" w:space="0" w:color="000000"/>
              <w:left w:val="single" w:sz="4" w:space="0" w:color="000000"/>
              <w:bottom w:val="single" w:sz="4" w:space="0" w:color="000000"/>
              <w:right w:val="single" w:sz="4" w:space="0" w:color="000000"/>
            </w:tcBorders>
            <w:shd w:val="clear" w:color="auto" w:fill="FFFFFF"/>
          </w:tcPr>
          <w:p w14:paraId="111F3853" w14:textId="77777777" w:rsidR="00823785" w:rsidRPr="00452D62" w:rsidRDefault="00823785" w:rsidP="006453B9">
            <w:pPr>
              <w:rPr>
                <w:sz w:val="22"/>
                <w:szCs w:val="22"/>
              </w:rPr>
            </w:pPr>
            <w:r w:rsidRPr="00452D62">
              <w:rPr>
                <w:sz w:val="22"/>
                <w:szCs w:val="22"/>
              </w:rPr>
              <w:t>Venų tromboembolijos (VTE) profilaktika suaugusiems pacientams, kuriems atliekama planinė klubo arba kelio sąnario pakeitimo operacija</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75C07D46" w14:textId="77777777" w:rsidR="00823785" w:rsidRPr="00452D62" w:rsidRDefault="00823785" w:rsidP="006453B9">
            <w:pPr>
              <w:rPr>
                <w:sz w:val="22"/>
                <w:szCs w:val="22"/>
              </w:rPr>
            </w:pPr>
            <w:r w:rsidRPr="00452D62">
              <w:rPr>
                <w:sz w:val="22"/>
                <w:szCs w:val="22"/>
              </w:rPr>
              <w:t>6 097</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7492DE50" w14:textId="77777777" w:rsidR="00823785" w:rsidRPr="00452D62" w:rsidRDefault="00823785" w:rsidP="006453B9">
            <w:pPr>
              <w:rPr>
                <w:sz w:val="22"/>
                <w:szCs w:val="22"/>
              </w:rPr>
            </w:pPr>
            <w:r w:rsidRPr="00452D62">
              <w:rPr>
                <w:sz w:val="22"/>
                <w:szCs w:val="22"/>
              </w:rPr>
              <w:t>10 mg</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416794E1" w14:textId="77777777" w:rsidR="00823785" w:rsidRPr="00452D62" w:rsidRDefault="00823785" w:rsidP="006453B9">
            <w:pPr>
              <w:rPr>
                <w:sz w:val="22"/>
                <w:szCs w:val="22"/>
              </w:rPr>
            </w:pPr>
            <w:r w:rsidRPr="00452D62">
              <w:rPr>
                <w:sz w:val="22"/>
                <w:szCs w:val="22"/>
              </w:rPr>
              <w:t>39 dienos</w:t>
            </w:r>
          </w:p>
        </w:tc>
      </w:tr>
      <w:tr w:rsidR="00823785" w:rsidRPr="00452D62" w14:paraId="3EC35F23" w14:textId="77777777" w:rsidTr="006453B9">
        <w:tc>
          <w:tcPr>
            <w:tcW w:w="3544" w:type="dxa"/>
            <w:tcBorders>
              <w:top w:val="single" w:sz="4" w:space="0" w:color="000000"/>
              <w:left w:val="single" w:sz="4" w:space="0" w:color="000000"/>
              <w:bottom w:val="single" w:sz="4" w:space="0" w:color="000000"/>
              <w:right w:val="single" w:sz="4" w:space="0" w:color="000000"/>
            </w:tcBorders>
            <w:shd w:val="clear" w:color="auto" w:fill="FFFFFF"/>
          </w:tcPr>
          <w:p w14:paraId="22AC6621" w14:textId="77777777" w:rsidR="00823785" w:rsidRPr="00452D62" w:rsidRDefault="00823785" w:rsidP="006453B9">
            <w:pPr>
              <w:rPr>
                <w:sz w:val="22"/>
                <w:szCs w:val="22"/>
              </w:rPr>
            </w:pPr>
            <w:r w:rsidRPr="00452D62">
              <w:rPr>
                <w:sz w:val="22"/>
                <w:szCs w:val="22"/>
              </w:rPr>
              <w:t>VTE profilaktika terapinėmis ligomis sergantiems pacientams</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4AD6CEE3" w14:textId="77777777" w:rsidR="00823785" w:rsidRPr="00452D62" w:rsidRDefault="00823785" w:rsidP="006453B9">
            <w:pPr>
              <w:rPr>
                <w:sz w:val="22"/>
                <w:szCs w:val="22"/>
              </w:rPr>
            </w:pPr>
            <w:r w:rsidRPr="00452D62">
              <w:rPr>
                <w:sz w:val="22"/>
                <w:szCs w:val="22"/>
              </w:rPr>
              <w:t>3 997</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2DCBBE92" w14:textId="77777777" w:rsidR="00823785" w:rsidRPr="00452D62" w:rsidRDefault="00823785" w:rsidP="006453B9">
            <w:pPr>
              <w:rPr>
                <w:sz w:val="22"/>
                <w:szCs w:val="22"/>
              </w:rPr>
            </w:pPr>
            <w:r w:rsidRPr="00452D62">
              <w:rPr>
                <w:sz w:val="22"/>
                <w:szCs w:val="22"/>
              </w:rPr>
              <w:t>10 mg</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7C5AB449" w14:textId="77777777" w:rsidR="00823785" w:rsidRPr="00452D62" w:rsidRDefault="00823785" w:rsidP="006453B9">
            <w:pPr>
              <w:rPr>
                <w:sz w:val="22"/>
                <w:szCs w:val="22"/>
              </w:rPr>
            </w:pPr>
            <w:r w:rsidRPr="00452D62">
              <w:rPr>
                <w:sz w:val="22"/>
                <w:szCs w:val="22"/>
              </w:rPr>
              <w:t>39 dienos</w:t>
            </w:r>
          </w:p>
        </w:tc>
      </w:tr>
      <w:tr w:rsidR="00823785" w:rsidRPr="00452D62" w14:paraId="7C479C33" w14:textId="77777777" w:rsidTr="006453B9">
        <w:tc>
          <w:tcPr>
            <w:tcW w:w="3544" w:type="dxa"/>
            <w:tcBorders>
              <w:top w:val="single" w:sz="4" w:space="0" w:color="000000"/>
              <w:left w:val="single" w:sz="4" w:space="0" w:color="000000"/>
              <w:bottom w:val="single" w:sz="4" w:space="0" w:color="000000"/>
              <w:right w:val="single" w:sz="4" w:space="0" w:color="000000"/>
            </w:tcBorders>
            <w:shd w:val="clear" w:color="auto" w:fill="FFFFFF"/>
          </w:tcPr>
          <w:p w14:paraId="68259D0D" w14:textId="358B2E4C" w:rsidR="00823785" w:rsidRPr="00452D62" w:rsidRDefault="00823785" w:rsidP="006453B9">
            <w:pPr>
              <w:rPr>
                <w:sz w:val="22"/>
                <w:szCs w:val="22"/>
              </w:rPr>
            </w:pPr>
            <w:r w:rsidRPr="00452D62">
              <w:rPr>
                <w:sz w:val="22"/>
                <w:szCs w:val="22"/>
              </w:rPr>
              <w:t xml:space="preserve">Giliųjų venų trombozės </w:t>
            </w:r>
            <w:r w:rsidR="00EA0B9A" w:rsidRPr="000877E9">
              <w:rPr>
                <w:sz w:val="22"/>
                <w:szCs w:val="22"/>
              </w:rPr>
              <w:t>(</w:t>
            </w:r>
            <w:r w:rsidRPr="000877E9">
              <w:rPr>
                <w:sz w:val="22"/>
                <w:szCs w:val="22"/>
              </w:rPr>
              <w:t>GVT</w:t>
            </w:r>
            <w:r w:rsidR="00EA0B9A" w:rsidRPr="000877E9">
              <w:rPr>
                <w:sz w:val="22"/>
                <w:szCs w:val="22"/>
              </w:rPr>
              <w:t>)</w:t>
            </w:r>
            <w:r w:rsidRPr="000877E9">
              <w:rPr>
                <w:sz w:val="22"/>
                <w:szCs w:val="22"/>
              </w:rPr>
              <w:t xml:space="preserve"> bei </w:t>
            </w:r>
            <w:r w:rsidRPr="00452D62">
              <w:rPr>
                <w:sz w:val="22"/>
                <w:szCs w:val="22"/>
              </w:rPr>
              <w:t xml:space="preserve">plaučių embolijos </w:t>
            </w:r>
            <w:r w:rsidR="00EA0B9A" w:rsidRPr="00452D62">
              <w:rPr>
                <w:sz w:val="22"/>
                <w:szCs w:val="22"/>
              </w:rPr>
              <w:t>(</w:t>
            </w:r>
            <w:r w:rsidRPr="00452D62">
              <w:rPr>
                <w:sz w:val="22"/>
                <w:szCs w:val="22"/>
              </w:rPr>
              <w:t>PE</w:t>
            </w:r>
            <w:r w:rsidR="00EA0B9A" w:rsidRPr="00452D62">
              <w:rPr>
                <w:sz w:val="22"/>
                <w:szCs w:val="22"/>
              </w:rPr>
              <w:t>)</w:t>
            </w:r>
            <w:r w:rsidRPr="00452D62">
              <w:rPr>
                <w:sz w:val="22"/>
                <w:szCs w:val="22"/>
              </w:rPr>
              <w:t xml:space="preserve"> gydymas ir pasikartojimo profilaktika</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0606E5AD" w14:textId="77777777" w:rsidR="00823785" w:rsidRPr="00452D62" w:rsidRDefault="00823785" w:rsidP="006453B9">
            <w:pPr>
              <w:rPr>
                <w:sz w:val="22"/>
                <w:szCs w:val="22"/>
              </w:rPr>
            </w:pPr>
            <w:r w:rsidRPr="00452D62">
              <w:rPr>
                <w:sz w:val="22"/>
                <w:szCs w:val="22"/>
              </w:rPr>
              <w:t>6 790</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51A5CB2E" w14:textId="77777777" w:rsidR="00823785" w:rsidRPr="00452D62" w:rsidRDefault="00823785" w:rsidP="006453B9">
            <w:pPr>
              <w:rPr>
                <w:sz w:val="22"/>
                <w:szCs w:val="22"/>
                <w:lang w:val="es-ES"/>
              </w:rPr>
            </w:pPr>
            <w:r w:rsidRPr="00452D62">
              <w:rPr>
                <w:sz w:val="22"/>
                <w:szCs w:val="22"/>
              </w:rPr>
              <w:t>1</w:t>
            </w:r>
            <w:r w:rsidRPr="00452D62">
              <w:rPr>
                <w:sz w:val="22"/>
                <w:szCs w:val="22"/>
              </w:rPr>
              <w:noBreakHyphen/>
              <w:t>21 diena: 30 mg</w:t>
            </w:r>
          </w:p>
          <w:p w14:paraId="6070796D" w14:textId="77777777" w:rsidR="00823785" w:rsidRPr="00452D62" w:rsidRDefault="00823785" w:rsidP="006453B9">
            <w:pPr>
              <w:rPr>
                <w:sz w:val="22"/>
                <w:szCs w:val="22"/>
              </w:rPr>
            </w:pPr>
            <w:r w:rsidRPr="00452D62">
              <w:rPr>
                <w:sz w:val="22"/>
                <w:szCs w:val="22"/>
                <w:lang w:val="es-ES"/>
              </w:rPr>
              <w:t>22 diena ir</w:t>
            </w:r>
            <w:r w:rsidRPr="00452D62">
              <w:rPr>
                <w:sz w:val="22"/>
                <w:szCs w:val="22"/>
              </w:rPr>
              <w:t xml:space="preserve"> vėliau: 20 mg</w:t>
            </w:r>
          </w:p>
          <w:p w14:paraId="55EF4302" w14:textId="77777777" w:rsidR="00823785" w:rsidRPr="00452D62" w:rsidRDefault="00823785" w:rsidP="006453B9">
            <w:pPr>
              <w:rPr>
                <w:sz w:val="22"/>
                <w:szCs w:val="22"/>
              </w:rPr>
            </w:pPr>
            <w:r w:rsidRPr="00452D62">
              <w:rPr>
                <w:sz w:val="22"/>
                <w:szCs w:val="22"/>
              </w:rPr>
              <w:t>Ne anksčiau kaip po 6 mėnesių: 10 mg arba 20 mg</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56EA7998" w14:textId="77777777" w:rsidR="00823785" w:rsidRPr="00452D62" w:rsidRDefault="00823785" w:rsidP="006453B9">
            <w:pPr>
              <w:rPr>
                <w:sz w:val="22"/>
                <w:szCs w:val="22"/>
              </w:rPr>
            </w:pPr>
            <w:r w:rsidRPr="00452D62">
              <w:rPr>
                <w:sz w:val="22"/>
                <w:szCs w:val="22"/>
              </w:rPr>
              <w:t>21 mėnesis</w:t>
            </w:r>
          </w:p>
        </w:tc>
      </w:tr>
      <w:tr w:rsidR="002E5F7A" w:rsidRPr="00452D62" w14:paraId="60445A26" w14:textId="77777777" w:rsidTr="006453B9">
        <w:tc>
          <w:tcPr>
            <w:tcW w:w="3544" w:type="dxa"/>
            <w:tcBorders>
              <w:top w:val="single" w:sz="4" w:space="0" w:color="000000"/>
              <w:left w:val="single" w:sz="4" w:space="0" w:color="000000"/>
              <w:bottom w:val="single" w:sz="4" w:space="0" w:color="000000"/>
              <w:right w:val="single" w:sz="4" w:space="0" w:color="000000"/>
            </w:tcBorders>
            <w:shd w:val="clear" w:color="auto" w:fill="FFFFFF"/>
          </w:tcPr>
          <w:p w14:paraId="5560386B" w14:textId="3E60BB9A" w:rsidR="002E5F7A" w:rsidRPr="00452D62" w:rsidRDefault="002E5F7A" w:rsidP="002E5F7A">
            <w:pPr>
              <w:rPr>
                <w:sz w:val="22"/>
                <w:szCs w:val="22"/>
              </w:rPr>
            </w:pPr>
            <w:r w:rsidRPr="00452D62">
              <w:rPr>
                <w:sz w:val="22"/>
                <w:szCs w:val="22"/>
              </w:rPr>
              <w:t>VTE gydymas ir pasikartojančios VTE profilaktika išnešiotiems naujagimiams ir jaunesniems kaip 18 metų amžiaus vaikams</w:t>
            </w:r>
            <w:r w:rsidR="00D71A7A">
              <w:rPr>
                <w:sz w:val="22"/>
                <w:szCs w:val="22"/>
              </w:rPr>
              <w:t xml:space="preserve"> ir paaugliams</w:t>
            </w:r>
            <w:r w:rsidRPr="00452D62">
              <w:rPr>
                <w:sz w:val="22"/>
                <w:szCs w:val="22"/>
              </w:rPr>
              <w:t xml:space="preserve">, pradėjus standartinį gydymą antikoaguliantais </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676155AF" w14:textId="572B077C" w:rsidR="002E5F7A" w:rsidRPr="00452D62" w:rsidRDefault="002E5F7A" w:rsidP="002E5F7A">
            <w:pPr>
              <w:rPr>
                <w:sz w:val="22"/>
                <w:szCs w:val="22"/>
              </w:rPr>
            </w:pPr>
            <w:r w:rsidRPr="00452D62">
              <w:rPr>
                <w:sz w:val="22"/>
                <w:szCs w:val="22"/>
              </w:rPr>
              <w:t>329</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1C20FB3C" w14:textId="26C355D2" w:rsidR="002E5F7A" w:rsidRPr="00452D62" w:rsidRDefault="002E5F7A" w:rsidP="002E5F7A">
            <w:pPr>
              <w:rPr>
                <w:sz w:val="22"/>
                <w:szCs w:val="22"/>
              </w:rPr>
            </w:pPr>
            <w:r w:rsidRPr="00452D62">
              <w:rPr>
                <w:sz w:val="22"/>
                <w:szCs w:val="22"/>
              </w:rPr>
              <w:t xml:space="preserve">Pagal kūno svorį parenkama dozė, siekiant panašios ekspozicijos kaip ir suaugusiems, vieną kartą per parą </w:t>
            </w:r>
            <w:r w:rsidR="008C3CD0" w:rsidRPr="00452D62">
              <w:rPr>
                <w:sz w:val="22"/>
                <w:szCs w:val="22"/>
              </w:rPr>
              <w:t>vartojantiems 20 </w:t>
            </w:r>
            <w:r w:rsidRPr="00452D62">
              <w:rPr>
                <w:sz w:val="22"/>
                <w:szCs w:val="22"/>
              </w:rPr>
              <w:t xml:space="preserve">mg rivaroksabano nuo GVT </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3852EC69" w14:textId="76ED35F4" w:rsidR="002E5F7A" w:rsidRPr="00452D62" w:rsidRDefault="002E5F7A" w:rsidP="002E5F7A">
            <w:pPr>
              <w:rPr>
                <w:sz w:val="22"/>
                <w:szCs w:val="22"/>
              </w:rPr>
            </w:pPr>
            <w:r w:rsidRPr="00452D62">
              <w:rPr>
                <w:sz w:val="22"/>
                <w:szCs w:val="22"/>
              </w:rPr>
              <w:t xml:space="preserve">12 mėnesių </w:t>
            </w:r>
          </w:p>
        </w:tc>
      </w:tr>
      <w:tr w:rsidR="00823785" w:rsidRPr="00452D62" w14:paraId="2D16E6B2" w14:textId="77777777" w:rsidTr="006453B9">
        <w:tc>
          <w:tcPr>
            <w:tcW w:w="3544" w:type="dxa"/>
            <w:tcBorders>
              <w:top w:val="single" w:sz="4" w:space="0" w:color="000000"/>
              <w:left w:val="single" w:sz="4" w:space="0" w:color="000000"/>
              <w:bottom w:val="single" w:sz="4" w:space="0" w:color="000000"/>
              <w:right w:val="single" w:sz="4" w:space="0" w:color="000000"/>
            </w:tcBorders>
            <w:shd w:val="clear" w:color="auto" w:fill="FFFFFF"/>
          </w:tcPr>
          <w:p w14:paraId="4F2D6C60" w14:textId="77777777" w:rsidR="00823785" w:rsidRPr="00452D62" w:rsidRDefault="00823785" w:rsidP="006453B9">
            <w:pPr>
              <w:rPr>
                <w:sz w:val="22"/>
                <w:szCs w:val="22"/>
              </w:rPr>
            </w:pPr>
            <w:r w:rsidRPr="00452D62">
              <w:rPr>
                <w:sz w:val="22"/>
                <w:szCs w:val="22"/>
              </w:rPr>
              <w:t>Insulto ir sisteminės embolijos profilaktika pacientams, kuriems yra su vožtuvų liga nesusijęs prieširdžių virpėjimas</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1CA38168" w14:textId="77777777" w:rsidR="00823785" w:rsidRPr="00452D62" w:rsidRDefault="00823785" w:rsidP="006453B9">
            <w:pPr>
              <w:rPr>
                <w:sz w:val="22"/>
                <w:szCs w:val="22"/>
              </w:rPr>
            </w:pPr>
            <w:r w:rsidRPr="00452D62">
              <w:rPr>
                <w:sz w:val="22"/>
                <w:szCs w:val="22"/>
              </w:rPr>
              <w:t>7 750</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47A84726" w14:textId="77777777" w:rsidR="00823785" w:rsidRPr="00452D62" w:rsidRDefault="00823785" w:rsidP="006453B9">
            <w:pPr>
              <w:rPr>
                <w:sz w:val="22"/>
                <w:szCs w:val="22"/>
              </w:rPr>
            </w:pPr>
            <w:r w:rsidRPr="00452D62">
              <w:rPr>
                <w:sz w:val="22"/>
                <w:szCs w:val="22"/>
              </w:rPr>
              <w:t>20 mg</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1DBE6AE0" w14:textId="77777777" w:rsidR="00823785" w:rsidRPr="00452D62" w:rsidRDefault="00823785" w:rsidP="006453B9">
            <w:pPr>
              <w:rPr>
                <w:sz w:val="22"/>
                <w:szCs w:val="22"/>
              </w:rPr>
            </w:pPr>
            <w:r w:rsidRPr="00452D62">
              <w:rPr>
                <w:sz w:val="22"/>
                <w:szCs w:val="22"/>
              </w:rPr>
              <w:t>41 mėnesis</w:t>
            </w:r>
          </w:p>
        </w:tc>
      </w:tr>
      <w:tr w:rsidR="00823785" w:rsidRPr="00452D62" w14:paraId="096B3811" w14:textId="77777777" w:rsidTr="006453B9">
        <w:tc>
          <w:tcPr>
            <w:tcW w:w="3544" w:type="dxa"/>
            <w:tcBorders>
              <w:top w:val="single" w:sz="4" w:space="0" w:color="000000"/>
              <w:left w:val="single" w:sz="4" w:space="0" w:color="000000"/>
              <w:bottom w:val="single" w:sz="4" w:space="0" w:color="000000"/>
              <w:right w:val="single" w:sz="4" w:space="0" w:color="000000"/>
            </w:tcBorders>
            <w:shd w:val="clear" w:color="auto" w:fill="FFFFFF"/>
          </w:tcPr>
          <w:p w14:paraId="629D13E7" w14:textId="77777777" w:rsidR="00823785" w:rsidRPr="00452D62" w:rsidRDefault="00823785" w:rsidP="006453B9">
            <w:pPr>
              <w:rPr>
                <w:sz w:val="22"/>
                <w:szCs w:val="22"/>
              </w:rPr>
            </w:pPr>
            <w:r w:rsidRPr="00452D62">
              <w:rPr>
                <w:sz w:val="22"/>
                <w:szCs w:val="22"/>
              </w:rPr>
              <w:t>Aterotrombozinių reiškinių profilaktika pacientams, patyrusiems ūminį vainikinį sindromą (ŪKS)</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3F116B92" w14:textId="77777777" w:rsidR="00823785" w:rsidRPr="00452D62" w:rsidRDefault="00823785" w:rsidP="006453B9">
            <w:pPr>
              <w:rPr>
                <w:sz w:val="22"/>
                <w:szCs w:val="22"/>
              </w:rPr>
            </w:pPr>
            <w:r w:rsidRPr="00452D62">
              <w:rPr>
                <w:sz w:val="22"/>
                <w:szCs w:val="22"/>
              </w:rPr>
              <w:t>10 225</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1A589409" w14:textId="77777777" w:rsidR="00823785" w:rsidRPr="00452D62" w:rsidRDefault="00823785" w:rsidP="006453B9">
            <w:pPr>
              <w:rPr>
                <w:sz w:val="22"/>
                <w:szCs w:val="22"/>
              </w:rPr>
            </w:pPr>
            <w:r w:rsidRPr="00452D62">
              <w:rPr>
                <w:sz w:val="22"/>
                <w:szCs w:val="22"/>
              </w:rPr>
              <w:t>Atitinkamai 5 mg arba 10 mg, kartu vartojant arba acetilsalicilo rūgšties, arba acetilsalicilo rūgšties ir klopidogrelio ar tiklopidino</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5333E87F" w14:textId="77777777" w:rsidR="00823785" w:rsidRPr="00452D62" w:rsidRDefault="00823785" w:rsidP="006453B9">
            <w:pPr>
              <w:rPr>
                <w:sz w:val="22"/>
                <w:szCs w:val="22"/>
              </w:rPr>
            </w:pPr>
            <w:r w:rsidRPr="00452D62">
              <w:rPr>
                <w:sz w:val="22"/>
                <w:szCs w:val="22"/>
              </w:rPr>
              <w:t>31 mėnesis</w:t>
            </w:r>
          </w:p>
        </w:tc>
      </w:tr>
      <w:tr w:rsidR="00823785" w:rsidRPr="00452D62" w14:paraId="63B0F5C0" w14:textId="77777777" w:rsidTr="006453B9">
        <w:tc>
          <w:tcPr>
            <w:tcW w:w="3544" w:type="dxa"/>
            <w:vMerge w:val="restart"/>
            <w:tcBorders>
              <w:top w:val="single" w:sz="4" w:space="0" w:color="000000"/>
              <w:left w:val="single" w:sz="4" w:space="0" w:color="000000"/>
              <w:right w:val="single" w:sz="4" w:space="0" w:color="000000"/>
            </w:tcBorders>
            <w:shd w:val="clear" w:color="auto" w:fill="FFFFFF"/>
          </w:tcPr>
          <w:p w14:paraId="7152952D" w14:textId="77777777" w:rsidR="00823785" w:rsidRPr="00452D62" w:rsidRDefault="00823785" w:rsidP="006453B9">
            <w:pPr>
              <w:rPr>
                <w:sz w:val="22"/>
                <w:szCs w:val="22"/>
              </w:rPr>
            </w:pPr>
            <w:r w:rsidRPr="00452D62">
              <w:rPr>
                <w:sz w:val="22"/>
                <w:szCs w:val="22"/>
              </w:rPr>
              <w:t>Aterotrombozinių reiškinių profilaktika pacientams, sergantiems VAL arba PAL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0831D79C" w14:textId="77777777" w:rsidR="00823785" w:rsidRPr="00452D62" w:rsidRDefault="00823785" w:rsidP="006453B9">
            <w:pPr>
              <w:rPr>
                <w:sz w:val="22"/>
                <w:szCs w:val="22"/>
              </w:rPr>
            </w:pPr>
            <w:r w:rsidRPr="00452D62">
              <w:rPr>
                <w:sz w:val="22"/>
                <w:szCs w:val="22"/>
              </w:rPr>
              <w:t>18 244</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7B2943AD" w14:textId="77777777" w:rsidR="00823785" w:rsidRPr="00452D62" w:rsidRDefault="00823785" w:rsidP="006453B9">
            <w:pPr>
              <w:rPr>
                <w:sz w:val="22"/>
                <w:szCs w:val="22"/>
              </w:rPr>
            </w:pPr>
            <w:r w:rsidRPr="00452D62">
              <w:rPr>
                <w:sz w:val="22"/>
                <w:szCs w:val="22"/>
              </w:rPr>
              <w:t xml:space="preserve">5 mg kartu su ASR arba vien 10 mg rivaroksabano </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7916330A" w14:textId="77777777" w:rsidR="00823785" w:rsidRPr="00452D62" w:rsidRDefault="00823785" w:rsidP="006453B9">
            <w:pPr>
              <w:rPr>
                <w:sz w:val="22"/>
                <w:szCs w:val="22"/>
              </w:rPr>
            </w:pPr>
            <w:r w:rsidRPr="00452D62">
              <w:rPr>
                <w:sz w:val="22"/>
                <w:szCs w:val="22"/>
              </w:rPr>
              <w:t>47 mėnesiai</w:t>
            </w:r>
          </w:p>
        </w:tc>
      </w:tr>
      <w:tr w:rsidR="00823785" w:rsidRPr="00452D62" w14:paraId="3045B1D3" w14:textId="77777777" w:rsidTr="006453B9">
        <w:tc>
          <w:tcPr>
            <w:tcW w:w="3544" w:type="dxa"/>
            <w:vMerge/>
            <w:tcBorders>
              <w:left w:val="single" w:sz="4" w:space="0" w:color="000000"/>
              <w:bottom w:val="single" w:sz="4" w:space="0" w:color="000000"/>
              <w:right w:val="single" w:sz="4" w:space="0" w:color="000000"/>
            </w:tcBorders>
            <w:shd w:val="clear" w:color="auto" w:fill="FFFFFF"/>
          </w:tcPr>
          <w:p w14:paraId="16D0AEFA" w14:textId="77777777" w:rsidR="00823785" w:rsidRPr="00452D62" w:rsidRDefault="00823785" w:rsidP="006453B9">
            <w:pPr>
              <w:rPr>
                <w:sz w:val="22"/>
                <w:szCs w:val="2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5ED579B2" w14:textId="51C29F1A" w:rsidR="00823785" w:rsidRPr="00452D62" w:rsidRDefault="00823785" w:rsidP="006453B9">
            <w:pPr>
              <w:rPr>
                <w:sz w:val="22"/>
                <w:szCs w:val="22"/>
              </w:rPr>
            </w:pPr>
            <w:r w:rsidRPr="00452D62">
              <w:rPr>
                <w:sz w:val="22"/>
                <w:szCs w:val="22"/>
              </w:rPr>
              <w:t>3</w:t>
            </w:r>
            <w:r w:rsidR="00D66FC3" w:rsidRPr="00452D62">
              <w:rPr>
                <w:sz w:val="22"/>
                <w:szCs w:val="22"/>
              </w:rPr>
              <w:t xml:space="preserve"> </w:t>
            </w:r>
            <w:r w:rsidRPr="00452D62">
              <w:rPr>
                <w:sz w:val="22"/>
                <w:szCs w:val="22"/>
              </w:rPr>
              <w:t>256**</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3EAA8971" w14:textId="77777777" w:rsidR="00823785" w:rsidRPr="00452D62" w:rsidRDefault="00823785" w:rsidP="006453B9">
            <w:pPr>
              <w:rPr>
                <w:sz w:val="22"/>
                <w:szCs w:val="22"/>
              </w:rPr>
            </w:pPr>
            <w:r w:rsidRPr="00452D62">
              <w:rPr>
                <w:sz w:val="22"/>
                <w:szCs w:val="22"/>
              </w:rPr>
              <w:t>5 mg kartu su acetilsalicilo rūgštimi</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2F677D7B" w14:textId="77777777" w:rsidR="00823785" w:rsidRPr="00452D62" w:rsidRDefault="00823785" w:rsidP="006453B9">
            <w:pPr>
              <w:rPr>
                <w:sz w:val="22"/>
                <w:szCs w:val="22"/>
              </w:rPr>
            </w:pPr>
            <w:r w:rsidRPr="00452D62">
              <w:rPr>
                <w:sz w:val="22"/>
                <w:szCs w:val="22"/>
              </w:rPr>
              <w:t>42 mėnesiai</w:t>
            </w:r>
          </w:p>
        </w:tc>
      </w:tr>
    </w:tbl>
    <w:p w14:paraId="7CC3B2D5" w14:textId="77777777" w:rsidR="00823785" w:rsidRPr="000877E9" w:rsidRDefault="00823785" w:rsidP="00823785">
      <w:pPr>
        <w:rPr>
          <w:sz w:val="22"/>
          <w:szCs w:val="22"/>
        </w:rPr>
      </w:pPr>
      <w:r w:rsidRPr="00452D62">
        <w:rPr>
          <w:sz w:val="22"/>
          <w:szCs w:val="22"/>
        </w:rPr>
        <w:t>*Pacientai, pavartoję mažiausiai vieną rivaroksabano dozę.</w:t>
      </w:r>
    </w:p>
    <w:p w14:paraId="7AB084A5" w14:textId="77777777" w:rsidR="00823785" w:rsidRPr="00452D62" w:rsidRDefault="00823785" w:rsidP="00823785">
      <w:pPr>
        <w:rPr>
          <w:sz w:val="22"/>
          <w:szCs w:val="22"/>
        </w:rPr>
      </w:pPr>
      <w:r w:rsidRPr="00452D62">
        <w:rPr>
          <w:sz w:val="22"/>
          <w:szCs w:val="22"/>
        </w:rPr>
        <w:t>**Tyrimo VOYAGER PAD duomenys.</w:t>
      </w:r>
    </w:p>
    <w:p w14:paraId="60DDA41A" w14:textId="77777777" w:rsidR="00823785" w:rsidRPr="00452D62" w:rsidRDefault="00823785" w:rsidP="00823785">
      <w:pPr>
        <w:rPr>
          <w:sz w:val="22"/>
          <w:szCs w:val="22"/>
        </w:rPr>
      </w:pPr>
    </w:p>
    <w:p w14:paraId="31ED6485" w14:textId="7AB49146" w:rsidR="00823785" w:rsidRPr="00452D62" w:rsidRDefault="00823785" w:rsidP="00823785">
      <w:pPr>
        <w:rPr>
          <w:sz w:val="22"/>
          <w:szCs w:val="22"/>
        </w:rPr>
      </w:pPr>
      <w:r w:rsidRPr="00452D62">
        <w:rPr>
          <w:sz w:val="22"/>
          <w:szCs w:val="22"/>
        </w:rPr>
        <w:t>Nepageidaujama reakcija, apie kurią dažniausiai gauta pranešimų rivaroksabano vartojantiems pacientams, buvo kraujavimas (2 lentelė, žr. 4.4 skyrių ir toliau pateiktą poskyrį „Atrinktų nepageidaujamų reakcijų apibūdinimas“). Kraujavimai, apie kuriuos pranešta dažniausiai, buvo kraujavimas iš nosies (4,5 %) ir kraujavimas iš virškinimo trakto (3,8 %).</w:t>
      </w:r>
    </w:p>
    <w:p w14:paraId="7B360B71" w14:textId="77777777" w:rsidR="00823785" w:rsidRPr="00452D62" w:rsidRDefault="00823785" w:rsidP="00823785">
      <w:pPr>
        <w:rPr>
          <w:sz w:val="22"/>
          <w:szCs w:val="22"/>
        </w:rPr>
      </w:pPr>
    </w:p>
    <w:p w14:paraId="409BF2BD" w14:textId="3A040264" w:rsidR="00823785" w:rsidRPr="00452D62" w:rsidRDefault="00823785" w:rsidP="00823785">
      <w:pPr>
        <w:rPr>
          <w:b/>
          <w:sz w:val="22"/>
          <w:szCs w:val="22"/>
        </w:rPr>
      </w:pPr>
      <w:r w:rsidRPr="00452D62">
        <w:rPr>
          <w:b/>
          <w:sz w:val="22"/>
          <w:szCs w:val="22"/>
        </w:rPr>
        <w:t>2 lentelė. Kraujavimo* ir anemijos reiškinių dažniai, nustatyti rivaroksabaną vartojusiems pacientams, dalyvavusiems užbaigtuose III fazės tyrimuose su suaugusiais</w:t>
      </w:r>
      <w:r w:rsidR="00BB34ED" w:rsidRPr="00452D62">
        <w:rPr>
          <w:b/>
          <w:sz w:val="22"/>
          <w:szCs w:val="22"/>
        </w:rPr>
        <w:t xml:space="preserve"> ir vaikais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8"/>
        <w:gridCol w:w="2919"/>
        <w:gridCol w:w="2919"/>
      </w:tblGrid>
      <w:tr w:rsidR="00823785" w:rsidRPr="00452D62" w14:paraId="7B51BD13" w14:textId="77777777" w:rsidTr="006453B9">
        <w:tc>
          <w:tcPr>
            <w:tcW w:w="2918" w:type="dxa"/>
            <w:shd w:val="clear" w:color="auto" w:fill="auto"/>
          </w:tcPr>
          <w:p w14:paraId="39BC0B09" w14:textId="77777777" w:rsidR="00823785" w:rsidRPr="00452D62" w:rsidRDefault="00823785" w:rsidP="006453B9">
            <w:pPr>
              <w:rPr>
                <w:b/>
                <w:sz w:val="22"/>
                <w:szCs w:val="22"/>
              </w:rPr>
            </w:pPr>
            <w:r w:rsidRPr="00452D62">
              <w:rPr>
                <w:b/>
                <w:sz w:val="22"/>
                <w:szCs w:val="22"/>
              </w:rPr>
              <w:t>Indikacija</w:t>
            </w:r>
          </w:p>
        </w:tc>
        <w:tc>
          <w:tcPr>
            <w:tcW w:w="2919" w:type="dxa"/>
            <w:shd w:val="clear" w:color="auto" w:fill="auto"/>
          </w:tcPr>
          <w:p w14:paraId="7E0031F5" w14:textId="77777777" w:rsidR="00823785" w:rsidRPr="00452D62" w:rsidRDefault="00823785" w:rsidP="006453B9">
            <w:pPr>
              <w:rPr>
                <w:b/>
                <w:sz w:val="22"/>
                <w:szCs w:val="22"/>
              </w:rPr>
            </w:pPr>
            <w:r w:rsidRPr="00452D62">
              <w:rPr>
                <w:b/>
                <w:sz w:val="22"/>
                <w:szCs w:val="22"/>
              </w:rPr>
              <w:t>Bet koks kraujavimas</w:t>
            </w:r>
          </w:p>
        </w:tc>
        <w:tc>
          <w:tcPr>
            <w:tcW w:w="2919" w:type="dxa"/>
            <w:shd w:val="clear" w:color="auto" w:fill="auto"/>
          </w:tcPr>
          <w:p w14:paraId="68896E1A" w14:textId="77777777" w:rsidR="00823785" w:rsidRPr="00452D62" w:rsidRDefault="00823785" w:rsidP="006453B9">
            <w:pPr>
              <w:rPr>
                <w:b/>
                <w:sz w:val="22"/>
                <w:szCs w:val="22"/>
              </w:rPr>
            </w:pPr>
            <w:r w:rsidRPr="00452D62">
              <w:rPr>
                <w:b/>
                <w:sz w:val="22"/>
                <w:szCs w:val="22"/>
              </w:rPr>
              <w:t>Anemija</w:t>
            </w:r>
          </w:p>
        </w:tc>
      </w:tr>
      <w:tr w:rsidR="00823785" w:rsidRPr="00452D62" w14:paraId="617E009A" w14:textId="77777777" w:rsidTr="006453B9">
        <w:tc>
          <w:tcPr>
            <w:tcW w:w="2918" w:type="dxa"/>
            <w:shd w:val="clear" w:color="auto" w:fill="auto"/>
          </w:tcPr>
          <w:p w14:paraId="09CF75BF" w14:textId="77777777" w:rsidR="00823785" w:rsidRPr="00452D62" w:rsidRDefault="00823785" w:rsidP="006453B9">
            <w:pPr>
              <w:rPr>
                <w:sz w:val="22"/>
                <w:szCs w:val="22"/>
              </w:rPr>
            </w:pPr>
            <w:r w:rsidRPr="00452D62">
              <w:rPr>
                <w:sz w:val="22"/>
                <w:szCs w:val="22"/>
              </w:rPr>
              <w:t>Venų tromboembolijos (VTE) profilaktika suaugusiems pacientams, kuriems atliekama planinė klubo arba kelio sąnario pakeitimo operacija</w:t>
            </w:r>
          </w:p>
        </w:tc>
        <w:tc>
          <w:tcPr>
            <w:tcW w:w="2919" w:type="dxa"/>
            <w:shd w:val="clear" w:color="auto" w:fill="auto"/>
          </w:tcPr>
          <w:p w14:paraId="76E4CCF7" w14:textId="7C3617AC" w:rsidR="00823785" w:rsidRPr="00452D62" w:rsidRDefault="00823785" w:rsidP="006453B9">
            <w:pPr>
              <w:rPr>
                <w:sz w:val="22"/>
                <w:szCs w:val="22"/>
              </w:rPr>
            </w:pPr>
            <w:r w:rsidRPr="00452D62">
              <w:rPr>
                <w:sz w:val="22"/>
                <w:szCs w:val="22"/>
              </w:rPr>
              <w:t>6,8 % pacientų</w:t>
            </w:r>
          </w:p>
        </w:tc>
        <w:tc>
          <w:tcPr>
            <w:tcW w:w="2919" w:type="dxa"/>
            <w:shd w:val="clear" w:color="auto" w:fill="auto"/>
          </w:tcPr>
          <w:p w14:paraId="429822DB" w14:textId="42371B65" w:rsidR="00823785" w:rsidRPr="00452D62" w:rsidRDefault="00823785" w:rsidP="006453B9">
            <w:pPr>
              <w:rPr>
                <w:sz w:val="22"/>
                <w:szCs w:val="22"/>
              </w:rPr>
            </w:pPr>
            <w:r w:rsidRPr="00452D62">
              <w:rPr>
                <w:sz w:val="22"/>
                <w:szCs w:val="22"/>
              </w:rPr>
              <w:t>5,9 % pacientų</w:t>
            </w:r>
          </w:p>
        </w:tc>
      </w:tr>
      <w:tr w:rsidR="00823785" w:rsidRPr="00452D62" w14:paraId="33ECE95B" w14:textId="77777777" w:rsidTr="006453B9">
        <w:tc>
          <w:tcPr>
            <w:tcW w:w="2918" w:type="dxa"/>
            <w:shd w:val="clear" w:color="auto" w:fill="auto"/>
          </w:tcPr>
          <w:p w14:paraId="39E9F401" w14:textId="77777777" w:rsidR="00823785" w:rsidRPr="00452D62" w:rsidRDefault="00823785" w:rsidP="006453B9">
            <w:pPr>
              <w:rPr>
                <w:sz w:val="22"/>
                <w:szCs w:val="22"/>
              </w:rPr>
            </w:pPr>
            <w:r w:rsidRPr="00452D62">
              <w:rPr>
                <w:sz w:val="22"/>
                <w:szCs w:val="22"/>
              </w:rPr>
              <w:t xml:space="preserve">VTE </w:t>
            </w:r>
            <w:r w:rsidRPr="000877E9">
              <w:rPr>
                <w:sz w:val="22"/>
                <w:szCs w:val="22"/>
              </w:rPr>
              <w:t>profilaktika terapinėmis ligomis sergantiems pacientams</w:t>
            </w:r>
          </w:p>
        </w:tc>
        <w:tc>
          <w:tcPr>
            <w:tcW w:w="2919" w:type="dxa"/>
            <w:shd w:val="clear" w:color="auto" w:fill="auto"/>
          </w:tcPr>
          <w:p w14:paraId="5F429EF5" w14:textId="5722B98C" w:rsidR="00823785" w:rsidRPr="00452D62" w:rsidRDefault="00823785" w:rsidP="006453B9">
            <w:pPr>
              <w:rPr>
                <w:sz w:val="22"/>
                <w:szCs w:val="22"/>
              </w:rPr>
            </w:pPr>
            <w:r w:rsidRPr="00452D62">
              <w:rPr>
                <w:sz w:val="22"/>
                <w:szCs w:val="22"/>
              </w:rPr>
              <w:t>12,6 % pacientų</w:t>
            </w:r>
          </w:p>
        </w:tc>
        <w:tc>
          <w:tcPr>
            <w:tcW w:w="2919" w:type="dxa"/>
            <w:shd w:val="clear" w:color="auto" w:fill="auto"/>
          </w:tcPr>
          <w:p w14:paraId="19D8F99E" w14:textId="6A35111D" w:rsidR="00823785" w:rsidRPr="00452D62" w:rsidRDefault="00823785" w:rsidP="006453B9">
            <w:pPr>
              <w:rPr>
                <w:sz w:val="22"/>
                <w:szCs w:val="22"/>
              </w:rPr>
            </w:pPr>
            <w:r w:rsidRPr="00452D62">
              <w:rPr>
                <w:sz w:val="22"/>
                <w:szCs w:val="22"/>
              </w:rPr>
              <w:t>2,1 % pacientų</w:t>
            </w:r>
          </w:p>
        </w:tc>
      </w:tr>
      <w:tr w:rsidR="00823785" w:rsidRPr="00452D62" w14:paraId="3616C683" w14:textId="77777777" w:rsidTr="006453B9">
        <w:tc>
          <w:tcPr>
            <w:tcW w:w="2918" w:type="dxa"/>
            <w:shd w:val="clear" w:color="auto" w:fill="auto"/>
          </w:tcPr>
          <w:p w14:paraId="22C1226D" w14:textId="77777777" w:rsidR="00823785" w:rsidRPr="00452D62" w:rsidRDefault="00823785" w:rsidP="006453B9">
            <w:pPr>
              <w:rPr>
                <w:sz w:val="22"/>
                <w:szCs w:val="22"/>
              </w:rPr>
            </w:pPr>
            <w:r w:rsidRPr="00452D62">
              <w:rPr>
                <w:sz w:val="22"/>
                <w:szCs w:val="22"/>
              </w:rPr>
              <w:t>GVT bei PE gydymas ir pasikartojimo profilaktika</w:t>
            </w:r>
          </w:p>
        </w:tc>
        <w:tc>
          <w:tcPr>
            <w:tcW w:w="2919" w:type="dxa"/>
            <w:shd w:val="clear" w:color="auto" w:fill="auto"/>
          </w:tcPr>
          <w:p w14:paraId="66526552" w14:textId="10DE7CE6" w:rsidR="00823785" w:rsidRPr="00452D62" w:rsidRDefault="00823785" w:rsidP="006453B9">
            <w:pPr>
              <w:rPr>
                <w:sz w:val="22"/>
                <w:szCs w:val="22"/>
              </w:rPr>
            </w:pPr>
            <w:r w:rsidRPr="00452D62">
              <w:rPr>
                <w:sz w:val="22"/>
                <w:szCs w:val="22"/>
              </w:rPr>
              <w:t>23 % pacientų</w:t>
            </w:r>
          </w:p>
        </w:tc>
        <w:tc>
          <w:tcPr>
            <w:tcW w:w="2919" w:type="dxa"/>
            <w:shd w:val="clear" w:color="auto" w:fill="auto"/>
          </w:tcPr>
          <w:p w14:paraId="0205DDB3" w14:textId="426A4498" w:rsidR="00823785" w:rsidRPr="00452D62" w:rsidRDefault="00823785" w:rsidP="006453B9">
            <w:pPr>
              <w:rPr>
                <w:sz w:val="22"/>
                <w:szCs w:val="22"/>
              </w:rPr>
            </w:pPr>
            <w:r w:rsidRPr="00452D62">
              <w:rPr>
                <w:sz w:val="22"/>
                <w:szCs w:val="22"/>
              </w:rPr>
              <w:t>1,6 % pacientų</w:t>
            </w:r>
          </w:p>
        </w:tc>
      </w:tr>
      <w:tr w:rsidR="00BE4110" w:rsidRPr="00452D62" w14:paraId="53F058E8" w14:textId="77777777" w:rsidTr="00AE1B80">
        <w:tc>
          <w:tcPr>
            <w:tcW w:w="2918" w:type="dxa"/>
            <w:shd w:val="clear" w:color="auto" w:fill="auto"/>
          </w:tcPr>
          <w:p w14:paraId="751130C9" w14:textId="6069F3CD" w:rsidR="00BE4110" w:rsidRPr="00452D62" w:rsidRDefault="00BE4110" w:rsidP="00BE4110">
            <w:pPr>
              <w:rPr>
                <w:sz w:val="22"/>
                <w:szCs w:val="22"/>
              </w:rPr>
            </w:pPr>
            <w:r w:rsidRPr="00452D62">
              <w:rPr>
                <w:sz w:val="22"/>
                <w:szCs w:val="22"/>
              </w:rPr>
              <w:t>VTE gydymas ir pasikartojančios VTE profilaktika išnešiotiems naujagimiams ir jaunesniems kaip 18 metų amžiaus vaikams</w:t>
            </w:r>
            <w:r w:rsidR="00D71A7A">
              <w:rPr>
                <w:sz w:val="22"/>
                <w:szCs w:val="22"/>
              </w:rPr>
              <w:t xml:space="preserve"> ir paaugliams</w:t>
            </w:r>
            <w:r w:rsidRPr="00452D62">
              <w:rPr>
                <w:sz w:val="22"/>
                <w:szCs w:val="22"/>
              </w:rPr>
              <w:t xml:space="preserve">, pradėjus standartinį gydymą antikoaguliantais </w:t>
            </w:r>
          </w:p>
        </w:tc>
        <w:tc>
          <w:tcPr>
            <w:tcW w:w="2919" w:type="dxa"/>
            <w:shd w:val="clear" w:color="auto" w:fill="auto"/>
          </w:tcPr>
          <w:p w14:paraId="2F898076" w14:textId="57396EF8" w:rsidR="00BE4110" w:rsidRPr="00452D62" w:rsidRDefault="00BE4110" w:rsidP="00BE4110">
            <w:pPr>
              <w:rPr>
                <w:sz w:val="22"/>
                <w:szCs w:val="22"/>
              </w:rPr>
            </w:pPr>
            <w:r w:rsidRPr="00452D62">
              <w:rPr>
                <w:sz w:val="22"/>
                <w:szCs w:val="22"/>
              </w:rPr>
              <w:t>39,5</w:t>
            </w:r>
            <w:r w:rsidR="008C3DF7">
              <w:rPr>
                <w:sz w:val="22"/>
                <w:szCs w:val="22"/>
              </w:rPr>
              <w:t> %</w:t>
            </w:r>
            <w:r w:rsidRPr="00452D62">
              <w:rPr>
                <w:sz w:val="22"/>
                <w:szCs w:val="22"/>
              </w:rPr>
              <w:t xml:space="preserve"> pacientų</w:t>
            </w:r>
          </w:p>
        </w:tc>
        <w:tc>
          <w:tcPr>
            <w:tcW w:w="2919" w:type="dxa"/>
            <w:shd w:val="clear" w:color="auto" w:fill="auto"/>
          </w:tcPr>
          <w:p w14:paraId="49120901" w14:textId="03530BAF" w:rsidR="00BE4110" w:rsidRPr="00452D62" w:rsidRDefault="00E87FBE" w:rsidP="00BE4110">
            <w:pPr>
              <w:rPr>
                <w:sz w:val="22"/>
                <w:szCs w:val="22"/>
              </w:rPr>
            </w:pPr>
            <w:r w:rsidRPr="00452D62">
              <w:rPr>
                <w:sz w:val="22"/>
                <w:szCs w:val="22"/>
              </w:rPr>
              <w:t>4,6</w:t>
            </w:r>
            <w:r w:rsidR="008C3DF7">
              <w:rPr>
                <w:sz w:val="22"/>
                <w:szCs w:val="22"/>
              </w:rPr>
              <w:t> %</w:t>
            </w:r>
            <w:r w:rsidR="00BE4110" w:rsidRPr="00452D62">
              <w:rPr>
                <w:sz w:val="22"/>
                <w:szCs w:val="22"/>
              </w:rPr>
              <w:t xml:space="preserve"> pacientų</w:t>
            </w:r>
          </w:p>
        </w:tc>
      </w:tr>
      <w:tr w:rsidR="00823785" w:rsidRPr="00452D62" w14:paraId="22A7E29F" w14:textId="77777777" w:rsidTr="006453B9">
        <w:tc>
          <w:tcPr>
            <w:tcW w:w="2918" w:type="dxa"/>
            <w:shd w:val="clear" w:color="auto" w:fill="auto"/>
          </w:tcPr>
          <w:p w14:paraId="001F9CE9" w14:textId="77777777" w:rsidR="00823785" w:rsidRPr="00452D62" w:rsidRDefault="00823785" w:rsidP="006453B9">
            <w:pPr>
              <w:rPr>
                <w:sz w:val="22"/>
                <w:szCs w:val="22"/>
              </w:rPr>
            </w:pPr>
            <w:r w:rsidRPr="00452D62">
              <w:rPr>
                <w:sz w:val="22"/>
                <w:szCs w:val="22"/>
              </w:rPr>
              <w:t>Insulto ir sisteminės embolijos profilaktika pacientams, kuriems yra su vožtuvų liga nesusijęs prieširdžių virpėjimas</w:t>
            </w:r>
          </w:p>
        </w:tc>
        <w:tc>
          <w:tcPr>
            <w:tcW w:w="2919" w:type="dxa"/>
            <w:shd w:val="clear" w:color="auto" w:fill="auto"/>
          </w:tcPr>
          <w:p w14:paraId="57D34F97" w14:textId="77777777" w:rsidR="00823785" w:rsidRPr="00452D62" w:rsidRDefault="00823785" w:rsidP="006453B9">
            <w:pPr>
              <w:rPr>
                <w:sz w:val="22"/>
                <w:szCs w:val="22"/>
              </w:rPr>
            </w:pPr>
            <w:r w:rsidRPr="00452D62">
              <w:rPr>
                <w:sz w:val="22"/>
                <w:szCs w:val="22"/>
              </w:rPr>
              <w:t>28 per 100 paciento metų</w:t>
            </w:r>
          </w:p>
        </w:tc>
        <w:tc>
          <w:tcPr>
            <w:tcW w:w="2919" w:type="dxa"/>
            <w:shd w:val="clear" w:color="auto" w:fill="auto"/>
          </w:tcPr>
          <w:p w14:paraId="60A12F7E" w14:textId="77777777" w:rsidR="00823785" w:rsidRPr="00452D62" w:rsidRDefault="00823785" w:rsidP="006453B9">
            <w:pPr>
              <w:rPr>
                <w:sz w:val="22"/>
                <w:szCs w:val="22"/>
              </w:rPr>
            </w:pPr>
            <w:r w:rsidRPr="00452D62">
              <w:rPr>
                <w:sz w:val="22"/>
                <w:szCs w:val="22"/>
              </w:rPr>
              <w:t>2,5 per 100 paciento metų</w:t>
            </w:r>
          </w:p>
        </w:tc>
      </w:tr>
      <w:tr w:rsidR="00823785" w:rsidRPr="00452D62" w14:paraId="3355C766" w14:textId="77777777" w:rsidTr="006453B9">
        <w:tc>
          <w:tcPr>
            <w:tcW w:w="2918" w:type="dxa"/>
            <w:shd w:val="clear" w:color="auto" w:fill="auto"/>
          </w:tcPr>
          <w:p w14:paraId="1DADAC2E" w14:textId="77777777" w:rsidR="00823785" w:rsidRPr="00452D62" w:rsidRDefault="00823785" w:rsidP="006453B9">
            <w:pPr>
              <w:rPr>
                <w:sz w:val="22"/>
                <w:szCs w:val="22"/>
              </w:rPr>
            </w:pPr>
            <w:r w:rsidRPr="00452D62">
              <w:rPr>
                <w:sz w:val="22"/>
                <w:szCs w:val="22"/>
              </w:rPr>
              <w:t>Aterotrombozinių reiškinių profilaktika pacientams, patyrusiems ŪKS</w:t>
            </w:r>
          </w:p>
        </w:tc>
        <w:tc>
          <w:tcPr>
            <w:tcW w:w="2919" w:type="dxa"/>
            <w:shd w:val="clear" w:color="auto" w:fill="auto"/>
          </w:tcPr>
          <w:p w14:paraId="2AB31FF4" w14:textId="77777777" w:rsidR="00823785" w:rsidRPr="00452D62" w:rsidRDefault="00823785" w:rsidP="006453B9">
            <w:pPr>
              <w:rPr>
                <w:sz w:val="22"/>
                <w:szCs w:val="22"/>
              </w:rPr>
            </w:pPr>
            <w:r w:rsidRPr="00452D62">
              <w:rPr>
                <w:sz w:val="22"/>
                <w:szCs w:val="22"/>
              </w:rPr>
              <w:t>22 per 100 paciento metų</w:t>
            </w:r>
          </w:p>
        </w:tc>
        <w:tc>
          <w:tcPr>
            <w:tcW w:w="2919" w:type="dxa"/>
            <w:shd w:val="clear" w:color="auto" w:fill="auto"/>
          </w:tcPr>
          <w:p w14:paraId="34DD92CE" w14:textId="77777777" w:rsidR="00823785" w:rsidRPr="00452D62" w:rsidRDefault="00823785" w:rsidP="006453B9">
            <w:pPr>
              <w:rPr>
                <w:sz w:val="22"/>
                <w:szCs w:val="22"/>
              </w:rPr>
            </w:pPr>
            <w:r w:rsidRPr="00452D62">
              <w:rPr>
                <w:sz w:val="22"/>
                <w:szCs w:val="22"/>
              </w:rPr>
              <w:t>1,4 per 100 paciento metų</w:t>
            </w:r>
          </w:p>
        </w:tc>
      </w:tr>
      <w:tr w:rsidR="00823785" w:rsidRPr="00452D62" w14:paraId="1060D930" w14:textId="77777777" w:rsidTr="006453B9">
        <w:tc>
          <w:tcPr>
            <w:tcW w:w="2918" w:type="dxa"/>
            <w:vMerge w:val="restart"/>
            <w:shd w:val="clear" w:color="auto" w:fill="auto"/>
          </w:tcPr>
          <w:p w14:paraId="7CCF505E" w14:textId="77777777" w:rsidR="00823785" w:rsidRPr="00452D62" w:rsidRDefault="00823785" w:rsidP="006453B9">
            <w:pPr>
              <w:rPr>
                <w:sz w:val="22"/>
                <w:szCs w:val="22"/>
              </w:rPr>
            </w:pPr>
            <w:r w:rsidRPr="00452D62">
              <w:rPr>
                <w:sz w:val="22"/>
                <w:szCs w:val="22"/>
              </w:rPr>
              <w:t>Aterotrombozinių reiškinių profilaktika pacientams, sergantiems VAL arba PAL</w:t>
            </w:r>
          </w:p>
        </w:tc>
        <w:tc>
          <w:tcPr>
            <w:tcW w:w="2919" w:type="dxa"/>
            <w:shd w:val="clear" w:color="auto" w:fill="auto"/>
          </w:tcPr>
          <w:p w14:paraId="384B2ED2" w14:textId="77777777" w:rsidR="00823785" w:rsidRPr="00452D62" w:rsidRDefault="00823785" w:rsidP="006453B9">
            <w:pPr>
              <w:rPr>
                <w:sz w:val="22"/>
                <w:szCs w:val="22"/>
              </w:rPr>
            </w:pPr>
            <w:r w:rsidRPr="00452D62">
              <w:rPr>
                <w:sz w:val="22"/>
                <w:szCs w:val="22"/>
              </w:rPr>
              <w:t>6,7 per 100 paciento metų</w:t>
            </w:r>
          </w:p>
        </w:tc>
        <w:tc>
          <w:tcPr>
            <w:tcW w:w="2919" w:type="dxa"/>
            <w:shd w:val="clear" w:color="auto" w:fill="auto"/>
          </w:tcPr>
          <w:p w14:paraId="374FEDC1" w14:textId="77777777" w:rsidR="00823785" w:rsidRPr="00452D62" w:rsidRDefault="00823785" w:rsidP="006453B9">
            <w:pPr>
              <w:rPr>
                <w:sz w:val="22"/>
                <w:szCs w:val="22"/>
              </w:rPr>
            </w:pPr>
            <w:r w:rsidRPr="00452D62">
              <w:rPr>
                <w:sz w:val="22"/>
                <w:szCs w:val="22"/>
              </w:rPr>
              <w:t>0,15 per 100 paciento metų**</w:t>
            </w:r>
          </w:p>
        </w:tc>
      </w:tr>
      <w:tr w:rsidR="00823785" w:rsidRPr="00452D62" w14:paraId="333DB87D" w14:textId="77777777" w:rsidTr="006453B9">
        <w:tc>
          <w:tcPr>
            <w:tcW w:w="2918" w:type="dxa"/>
            <w:vMerge/>
            <w:shd w:val="clear" w:color="auto" w:fill="auto"/>
          </w:tcPr>
          <w:p w14:paraId="6E78B245" w14:textId="77777777" w:rsidR="00823785" w:rsidRPr="00452D62" w:rsidRDefault="00823785" w:rsidP="006453B9">
            <w:pPr>
              <w:rPr>
                <w:sz w:val="22"/>
                <w:szCs w:val="22"/>
              </w:rPr>
            </w:pPr>
          </w:p>
        </w:tc>
        <w:tc>
          <w:tcPr>
            <w:tcW w:w="2919" w:type="dxa"/>
            <w:shd w:val="clear" w:color="auto" w:fill="auto"/>
          </w:tcPr>
          <w:p w14:paraId="275BE4DF" w14:textId="77777777" w:rsidR="00823785" w:rsidRPr="00452D62" w:rsidRDefault="00823785" w:rsidP="006453B9">
            <w:pPr>
              <w:rPr>
                <w:sz w:val="22"/>
                <w:szCs w:val="22"/>
              </w:rPr>
            </w:pPr>
            <w:r w:rsidRPr="00452D62">
              <w:rPr>
                <w:sz w:val="22"/>
                <w:szCs w:val="22"/>
              </w:rPr>
              <w:t>8,38 per 100 paciento metų</w:t>
            </w:r>
            <w:r w:rsidRPr="00452D62">
              <w:rPr>
                <w:sz w:val="22"/>
                <w:szCs w:val="22"/>
                <w:lang w:val="en-US"/>
              </w:rPr>
              <w:t>#</w:t>
            </w:r>
          </w:p>
        </w:tc>
        <w:tc>
          <w:tcPr>
            <w:tcW w:w="2919" w:type="dxa"/>
            <w:shd w:val="clear" w:color="auto" w:fill="auto"/>
          </w:tcPr>
          <w:p w14:paraId="0B6816C2" w14:textId="77777777" w:rsidR="00823785" w:rsidRPr="00452D62" w:rsidRDefault="00823785" w:rsidP="006453B9">
            <w:pPr>
              <w:rPr>
                <w:sz w:val="22"/>
                <w:szCs w:val="22"/>
              </w:rPr>
            </w:pPr>
            <w:r w:rsidRPr="00452D62">
              <w:rPr>
                <w:sz w:val="22"/>
                <w:szCs w:val="22"/>
              </w:rPr>
              <w:t>0,74 per 100 paciento metų***</w:t>
            </w:r>
            <w:r w:rsidRPr="00452D62">
              <w:rPr>
                <w:sz w:val="22"/>
                <w:szCs w:val="22"/>
                <w:lang w:val="en-US"/>
              </w:rPr>
              <w:t>#</w:t>
            </w:r>
          </w:p>
        </w:tc>
      </w:tr>
    </w:tbl>
    <w:p w14:paraId="61DB6D19" w14:textId="77777777" w:rsidR="00823785" w:rsidRPr="00452D62" w:rsidRDefault="00823785" w:rsidP="00823785">
      <w:pPr>
        <w:ind w:left="142" w:hanging="142"/>
        <w:rPr>
          <w:sz w:val="22"/>
          <w:szCs w:val="22"/>
        </w:rPr>
      </w:pPr>
      <w:r w:rsidRPr="00452D62">
        <w:rPr>
          <w:sz w:val="22"/>
          <w:szCs w:val="22"/>
        </w:rPr>
        <w:t>*Surinkti, pranešti ir įvertinti duomenys apie visus kraujavimo reiškinius, nustatytus visų rivaroksabano tyrimų metu.</w:t>
      </w:r>
    </w:p>
    <w:p w14:paraId="39F5422E" w14:textId="77777777" w:rsidR="00823785" w:rsidRPr="00452D62" w:rsidRDefault="00823785" w:rsidP="00823785">
      <w:pPr>
        <w:ind w:left="142" w:hanging="142"/>
        <w:rPr>
          <w:sz w:val="22"/>
          <w:szCs w:val="22"/>
        </w:rPr>
      </w:pPr>
      <w:r w:rsidRPr="00452D62">
        <w:rPr>
          <w:sz w:val="22"/>
          <w:szCs w:val="22"/>
        </w:rPr>
        <w:t>**Tyrimo COMPASS metu, taikant selektyvų nepageidaujamų reiškinių duomenų rinkimo metodą, nustatytas mažas anemijos dažnis.</w:t>
      </w:r>
    </w:p>
    <w:p w14:paraId="10F8C058" w14:textId="77777777" w:rsidR="00823785" w:rsidRPr="00452D62" w:rsidRDefault="00823785" w:rsidP="00823785">
      <w:pPr>
        <w:ind w:left="142" w:hanging="142"/>
        <w:rPr>
          <w:sz w:val="22"/>
          <w:szCs w:val="22"/>
        </w:rPr>
      </w:pPr>
      <w:r w:rsidRPr="00452D62">
        <w:rPr>
          <w:sz w:val="22"/>
          <w:szCs w:val="22"/>
        </w:rPr>
        <w:t>***Buvo taikomas selektyvus nepageidaujamų reiškinių duomenų rinkimo metodas.</w:t>
      </w:r>
    </w:p>
    <w:p w14:paraId="31F7BD72" w14:textId="77777777" w:rsidR="00823785" w:rsidRPr="00452D62" w:rsidRDefault="00823785" w:rsidP="00823785">
      <w:pPr>
        <w:ind w:left="142" w:hanging="142"/>
        <w:rPr>
          <w:sz w:val="22"/>
          <w:szCs w:val="22"/>
        </w:rPr>
      </w:pPr>
      <w:r w:rsidRPr="00452D62">
        <w:rPr>
          <w:sz w:val="22"/>
          <w:szCs w:val="22"/>
        </w:rPr>
        <w:t># Tyrimo VOYAGER PAD duomenys.</w:t>
      </w:r>
    </w:p>
    <w:p w14:paraId="082B9137" w14:textId="77777777" w:rsidR="00823785" w:rsidRPr="00452D62" w:rsidRDefault="00823785" w:rsidP="00823785">
      <w:pPr>
        <w:ind w:left="142" w:hanging="142"/>
        <w:rPr>
          <w:sz w:val="22"/>
          <w:szCs w:val="22"/>
        </w:rPr>
      </w:pPr>
    </w:p>
    <w:p w14:paraId="0A6E9372" w14:textId="77777777" w:rsidR="00823785" w:rsidRPr="00452D62" w:rsidRDefault="00823785" w:rsidP="00823785">
      <w:pPr>
        <w:rPr>
          <w:sz w:val="22"/>
          <w:szCs w:val="22"/>
        </w:rPr>
      </w:pPr>
      <w:r w:rsidRPr="00452D62">
        <w:rPr>
          <w:sz w:val="22"/>
          <w:szCs w:val="22"/>
          <w:u w:val="single"/>
        </w:rPr>
        <w:t>Nepageidaujamų reakcijų santrauka lentelėje</w:t>
      </w:r>
    </w:p>
    <w:p w14:paraId="4F1B3330" w14:textId="0DB27DA6" w:rsidR="00823785" w:rsidRPr="00452D62" w:rsidRDefault="00823785" w:rsidP="00823785">
      <w:pPr>
        <w:rPr>
          <w:sz w:val="22"/>
          <w:szCs w:val="22"/>
        </w:rPr>
      </w:pPr>
      <w:r w:rsidRPr="00452D62">
        <w:rPr>
          <w:sz w:val="22"/>
          <w:szCs w:val="22"/>
        </w:rPr>
        <w:t xml:space="preserve">Rivaroksabano vartojimo metu suaugusiems </w:t>
      </w:r>
      <w:r w:rsidR="002E5741" w:rsidRPr="00452D62">
        <w:rPr>
          <w:sz w:val="22"/>
          <w:szCs w:val="22"/>
        </w:rPr>
        <w:t xml:space="preserve">ir vaikams </w:t>
      </w:r>
      <w:r w:rsidRPr="00452D62">
        <w:rPr>
          <w:sz w:val="22"/>
          <w:szCs w:val="22"/>
        </w:rPr>
        <w:t>nustatytas nepageidaujamų reakcijų dažnis apibendrintas pagal organų sistemų klases (naudojant MedDRA terminologiją) ir dažnį toliau pateiktoje 3 lentelėje.</w:t>
      </w:r>
    </w:p>
    <w:p w14:paraId="618789CF" w14:textId="77777777" w:rsidR="00823785" w:rsidRPr="00452D62" w:rsidRDefault="00823785" w:rsidP="00823785">
      <w:pPr>
        <w:rPr>
          <w:sz w:val="22"/>
          <w:szCs w:val="22"/>
        </w:rPr>
      </w:pPr>
    </w:p>
    <w:p w14:paraId="27BEAE15" w14:textId="77777777" w:rsidR="00823785" w:rsidRPr="00452D62" w:rsidRDefault="00823785" w:rsidP="00823785">
      <w:pPr>
        <w:rPr>
          <w:sz w:val="22"/>
          <w:szCs w:val="22"/>
        </w:rPr>
      </w:pPr>
      <w:r w:rsidRPr="00452D62">
        <w:rPr>
          <w:sz w:val="22"/>
          <w:szCs w:val="22"/>
        </w:rPr>
        <w:t>Nepageidaujamo poveikio dažnis apibūdinamas taip: labai dažnas (≥ 1/10), dažnas (nuo ≥ 1/100 iki &lt; 1/10), nedažnas (nuo ≥ 1/1 000 iki &lt; 1/100), retas (nuo ≥ 1/10 000 iki &lt; 1/1 000), labai retas (&lt; 1/10 000) ir nežinomas (negali būti apskaičiuotas pagal turimus duomenis).</w:t>
      </w:r>
    </w:p>
    <w:p w14:paraId="592913F9" w14:textId="77777777" w:rsidR="00823785" w:rsidRPr="00452D62" w:rsidRDefault="00823785" w:rsidP="00823785">
      <w:pPr>
        <w:rPr>
          <w:sz w:val="22"/>
          <w:szCs w:val="22"/>
        </w:rPr>
      </w:pPr>
    </w:p>
    <w:p w14:paraId="17F02814" w14:textId="4D050585" w:rsidR="00823785" w:rsidRPr="00452D62" w:rsidRDefault="00823785" w:rsidP="00823785">
      <w:pPr>
        <w:rPr>
          <w:sz w:val="22"/>
          <w:szCs w:val="22"/>
        </w:rPr>
      </w:pPr>
      <w:r w:rsidRPr="00452D62">
        <w:rPr>
          <w:b/>
          <w:sz w:val="22"/>
          <w:szCs w:val="22"/>
        </w:rPr>
        <w:t>3 lentelė. Visos nepageidaujamos reakcijos, apie kurias pranešta suaugusiems pacientams</w:t>
      </w:r>
      <w:r w:rsidRPr="00AE1B80">
        <w:rPr>
          <w:sz w:val="22"/>
          <w:szCs w:val="22"/>
        </w:rPr>
        <w:t xml:space="preserve"> </w:t>
      </w:r>
      <w:r w:rsidRPr="00452D62">
        <w:rPr>
          <w:b/>
          <w:sz w:val="22"/>
          <w:szCs w:val="22"/>
        </w:rPr>
        <w:t>III</w:t>
      </w:r>
      <w:r w:rsidRPr="000877E9">
        <w:rPr>
          <w:b/>
          <w:sz w:val="22"/>
          <w:szCs w:val="22"/>
        </w:rPr>
        <w:t xml:space="preserve"> fazės tyrimuose</w:t>
      </w:r>
      <w:r w:rsidRPr="00AE1B80">
        <w:rPr>
          <w:sz w:val="22"/>
          <w:szCs w:val="22"/>
        </w:rPr>
        <w:t xml:space="preserve"> </w:t>
      </w:r>
      <w:r w:rsidRPr="00452D62">
        <w:rPr>
          <w:b/>
          <w:sz w:val="22"/>
          <w:szCs w:val="22"/>
        </w:rPr>
        <w:t>arba po vaistinio preparato pateikimo į rinką*</w:t>
      </w:r>
      <w:r w:rsidR="00B106C6" w:rsidRPr="000877E9">
        <w:rPr>
          <w:b/>
          <w:bCs/>
          <w:sz w:val="22"/>
          <w:szCs w:val="22"/>
        </w:rPr>
        <w:t>ir vaikams dviejuose II fazės tyrimuose bei dviejuose III fazės tyrimuose</w:t>
      </w:r>
    </w:p>
    <w:tbl>
      <w:tblPr>
        <w:tblW w:w="9322" w:type="dxa"/>
        <w:tblLayout w:type="fixed"/>
        <w:tblLook w:val="0000" w:firstRow="0" w:lastRow="0" w:firstColumn="0" w:lastColumn="0" w:noHBand="0" w:noVBand="0"/>
      </w:tblPr>
      <w:tblGrid>
        <w:gridCol w:w="1809"/>
        <w:gridCol w:w="2268"/>
        <w:gridCol w:w="2127"/>
        <w:gridCol w:w="1559"/>
        <w:gridCol w:w="1559"/>
      </w:tblGrid>
      <w:tr w:rsidR="00823785" w:rsidRPr="00452D62" w14:paraId="48BEF7D3" w14:textId="77777777" w:rsidTr="006453B9">
        <w:trPr>
          <w:tblHeader/>
        </w:trPr>
        <w:tc>
          <w:tcPr>
            <w:tcW w:w="1809" w:type="dxa"/>
            <w:tcBorders>
              <w:top w:val="single" w:sz="4" w:space="0" w:color="000000"/>
              <w:left w:val="single" w:sz="4" w:space="0" w:color="000000"/>
              <w:bottom w:val="single" w:sz="4" w:space="0" w:color="000000"/>
              <w:right w:val="single" w:sz="4" w:space="0" w:color="000000"/>
            </w:tcBorders>
            <w:shd w:val="clear" w:color="auto" w:fill="BFBFBF"/>
          </w:tcPr>
          <w:p w14:paraId="733E3AF7" w14:textId="77777777" w:rsidR="00823785" w:rsidRPr="00452D62" w:rsidRDefault="00823785" w:rsidP="006453B9">
            <w:pPr>
              <w:rPr>
                <w:b/>
                <w:sz w:val="22"/>
                <w:szCs w:val="22"/>
              </w:rPr>
            </w:pPr>
            <w:r w:rsidRPr="00452D62">
              <w:rPr>
                <w:b/>
                <w:sz w:val="22"/>
                <w:szCs w:val="22"/>
              </w:rPr>
              <w:t>Dažnas</w:t>
            </w:r>
          </w:p>
        </w:tc>
        <w:tc>
          <w:tcPr>
            <w:tcW w:w="2268" w:type="dxa"/>
            <w:tcBorders>
              <w:top w:val="single" w:sz="4" w:space="0" w:color="000000"/>
              <w:left w:val="single" w:sz="4" w:space="0" w:color="000000"/>
              <w:bottom w:val="single" w:sz="4" w:space="0" w:color="000000"/>
              <w:right w:val="single" w:sz="4" w:space="0" w:color="000000"/>
            </w:tcBorders>
            <w:shd w:val="clear" w:color="auto" w:fill="BFBFBF"/>
          </w:tcPr>
          <w:p w14:paraId="3568FC4F" w14:textId="77777777" w:rsidR="00823785" w:rsidRPr="00452D62" w:rsidRDefault="00823785" w:rsidP="006453B9">
            <w:pPr>
              <w:rPr>
                <w:b/>
                <w:sz w:val="22"/>
                <w:szCs w:val="22"/>
              </w:rPr>
            </w:pPr>
            <w:r w:rsidRPr="00452D62">
              <w:rPr>
                <w:b/>
                <w:sz w:val="22"/>
                <w:szCs w:val="22"/>
              </w:rPr>
              <w:t>Nedažnas</w:t>
            </w:r>
          </w:p>
        </w:tc>
        <w:tc>
          <w:tcPr>
            <w:tcW w:w="2127" w:type="dxa"/>
            <w:tcBorders>
              <w:top w:val="single" w:sz="4" w:space="0" w:color="000000"/>
              <w:left w:val="single" w:sz="4" w:space="0" w:color="000000"/>
              <w:bottom w:val="single" w:sz="4" w:space="0" w:color="000000"/>
              <w:right w:val="single" w:sz="4" w:space="0" w:color="000000"/>
            </w:tcBorders>
            <w:shd w:val="clear" w:color="auto" w:fill="BFBFBF"/>
          </w:tcPr>
          <w:p w14:paraId="17A42FCE" w14:textId="77777777" w:rsidR="00823785" w:rsidRPr="00452D62" w:rsidRDefault="00823785" w:rsidP="006453B9">
            <w:pPr>
              <w:rPr>
                <w:b/>
                <w:sz w:val="22"/>
                <w:szCs w:val="22"/>
              </w:rPr>
            </w:pPr>
            <w:r w:rsidRPr="00452D62">
              <w:rPr>
                <w:b/>
                <w:sz w:val="22"/>
                <w:szCs w:val="22"/>
              </w:rPr>
              <w:t>Retas</w:t>
            </w:r>
          </w:p>
        </w:tc>
        <w:tc>
          <w:tcPr>
            <w:tcW w:w="1559" w:type="dxa"/>
            <w:tcBorders>
              <w:top w:val="single" w:sz="4" w:space="0" w:color="000000"/>
              <w:left w:val="single" w:sz="4" w:space="0" w:color="000000"/>
              <w:bottom w:val="single" w:sz="4" w:space="0" w:color="000000"/>
              <w:right w:val="single" w:sz="4" w:space="0" w:color="000000"/>
            </w:tcBorders>
            <w:shd w:val="clear" w:color="auto" w:fill="BFBFBF"/>
          </w:tcPr>
          <w:p w14:paraId="10CAA1CB" w14:textId="77777777" w:rsidR="00823785" w:rsidRPr="00452D62" w:rsidRDefault="00823785" w:rsidP="006453B9">
            <w:pPr>
              <w:rPr>
                <w:b/>
                <w:sz w:val="22"/>
                <w:szCs w:val="22"/>
              </w:rPr>
            </w:pPr>
            <w:r w:rsidRPr="00452D62">
              <w:rPr>
                <w:b/>
                <w:sz w:val="22"/>
                <w:szCs w:val="22"/>
              </w:rPr>
              <w:t>Labai retas</w:t>
            </w:r>
          </w:p>
        </w:tc>
        <w:tc>
          <w:tcPr>
            <w:tcW w:w="1559" w:type="dxa"/>
            <w:tcBorders>
              <w:top w:val="single" w:sz="4" w:space="0" w:color="000000"/>
              <w:left w:val="single" w:sz="4" w:space="0" w:color="000000"/>
              <w:bottom w:val="single" w:sz="4" w:space="0" w:color="000000"/>
              <w:right w:val="single" w:sz="4" w:space="0" w:color="000000"/>
            </w:tcBorders>
            <w:shd w:val="clear" w:color="auto" w:fill="BFBFBF"/>
          </w:tcPr>
          <w:p w14:paraId="48ADA5D0" w14:textId="77777777" w:rsidR="00823785" w:rsidRPr="00452D62" w:rsidRDefault="00823785" w:rsidP="006453B9">
            <w:pPr>
              <w:rPr>
                <w:sz w:val="22"/>
                <w:szCs w:val="22"/>
              </w:rPr>
            </w:pPr>
            <w:r w:rsidRPr="00452D62">
              <w:rPr>
                <w:b/>
                <w:sz w:val="22"/>
                <w:szCs w:val="22"/>
              </w:rPr>
              <w:t>Dažnis nežinomas</w:t>
            </w:r>
          </w:p>
        </w:tc>
      </w:tr>
      <w:tr w:rsidR="00823785" w:rsidRPr="00452D62" w14:paraId="78C0EAAA"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61363CA2" w14:textId="77777777" w:rsidR="00823785" w:rsidRPr="000877E9" w:rsidRDefault="00823785" w:rsidP="006453B9">
            <w:pPr>
              <w:rPr>
                <w:b/>
                <w:bCs/>
                <w:sz w:val="22"/>
                <w:szCs w:val="22"/>
              </w:rPr>
            </w:pPr>
            <w:r w:rsidRPr="00452D62">
              <w:rPr>
                <w:b/>
                <w:bCs/>
                <w:sz w:val="22"/>
                <w:szCs w:val="22"/>
              </w:rPr>
              <w:t>Kraujo ir limfinės sistemos sutrikimai</w:t>
            </w:r>
          </w:p>
        </w:tc>
      </w:tr>
      <w:tr w:rsidR="00823785" w:rsidRPr="00452D62" w14:paraId="4EEC4734"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1BF77778" w14:textId="77777777" w:rsidR="00823785" w:rsidRPr="00452D62" w:rsidRDefault="00823785" w:rsidP="006453B9">
            <w:pPr>
              <w:rPr>
                <w:sz w:val="22"/>
                <w:szCs w:val="22"/>
              </w:rPr>
            </w:pPr>
            <w:r w:rsidRPr="00452D62">
              <w:rPr>
                <w:sz w:val="22"/>
                <w:szCs w:val="22"/>
              </w:rPr>
              <w:t>Anemija (įskaitant atitinkamus laboratorinius parametrus)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7FAEE5DF" w14:textId="77777777" w:rsidR="00823785" w:rsidRPr="00452D62" w:rsidRDefault="00823785" w:rsidP="006453B9">
            <w:pPr>
              <w:rPr>
                <w:sz w:val="22"/>
                <w:szCs w:val="22"/>
              </w:rPr>
            </w:pPr>
            <w:r w:rsidRPr="00452D62">
              <w:rPr>
                <w:sz w:val="22"/>
                <w:szCs w:val="22"/>
              </w:rPr>
              <w:t>Trombocitozė (įskaitant padidėjusį trombocitų kiekį)</w:t>
            </w:r>
            <w:r w:rsidRPr="00452D62">
              <w:rPr>
                <w:sz w:val="22"/>
                <w:szCs w:val="22"/>
                <w:vertAlign w:val="superscript"/>
              </w:rPr>
              <w:t>A</w:t>
            </w:r>
            <w:r w:rsidRPr="00452D62">
              <w:rPr>
                <w:sz w:val="22"/>
                <w:szCs w:val="22"/>
              </w:rPr>
              <w:t>,</w:t>
            </w:r>
          </w:p>
          <w:p w14:paraId="73B58D73" w14:textId="77777777" w:rsidR="00823785" w:rsidRPr="00452D62" w:rsidRDefault="00823785" w:rsidP="006453B9">
            <w:pPr>
              <w:rPr>
                <w:sz w:val="22"/>
                <w:szCs w:val="22"/>
              </w:rPr>
            </w:pPr>
            <w:r w:rsidRPr="00452D62">
              <w:rPr>
                <w:sz w:val="22"/>
                <w:szCs w:val="22"/>
              </w:rPr>
              <w:t>trombocitopenija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17007548"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7A0126B"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22EF3C62" w14:textId="77777777" w:rsidR="00823785" w:rsidRPr="00452D62" w:rsidRDefault="00823785" w:rsidP="006453B9">
            <w:pPr>
              <w:rPr>
                <w:sz w:val="22"/>
                <w:szCs w:val="22"/>
              </w:rPr>
            </w:pPr>
          </w:p>
        </w:tc>
      </w:tr>
      <w:tr w:rsidR="00823785" w:rsidRPr="00452D62" w14:paraId="6484785E"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59747A4B" w14:textId="77777777" w:rsidR="00823785" w:rsidRPr="000877E9" w:rsidRDefault="00823785" w:rsidP="006453B9">
            <w:pPr>
              <w:rPr>
                <w:b/>
                <w:sz w:val="22"/>
                <w:szCs w:val="22"/>
              </w:rPr>
            </w:pPr>
            <w:r w:rsidRPr="00452D62">
              <w:rPr>
                <w:b/>
                <w:sz w:val="22"/>
                <w:szCs w:val="22"/>
              </w:rPr>
              <w:t>Imuninės sistemos sutrikimai</w:t>
            </w:r>
          </w:p>
        </w:tc>
      </w:tr>
      <w:tr w:rsidR="00823785" w:rsidRPr="00452D62" w14:paraId="471A4B0E"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490AA848" w14:textId="77777777" w:rsidR="00823785" w:rsidRPr="00452D62" w:rsidRDefault="00823785" w:rsidP="006453B9">
            <w:pPr>
              <w:rPr>
                <w:sz w:val="22"/>
                <w:szCs w:val="22"/>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38E6AED8" w14:textId="77777777" w:rsidR="00823785" w:rsidRPr="00452D62" w:rsidRDefault="00823785" w:rsidP="006453B9">
            <w:pPr>
              <w:rPr>
                <w:sz w:val="22"/>
                <w:szCs w:val="22"/>
              </w:rPr>
            </w:pPr>
            <w:r w:rsidRPr="00452D62">
              <w:rPr>
                <w:sz w:val="22"/>
                <w:szCs w:val="22"/>
              </w:rPr>
              <w:t>Alerginė reakcija, alerginis dermatitas, angioneurozinė edema ir alerginė edema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04CE6266"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CA192EE" w14:textId="77777777" w:rsidR="00823785" w:rsidRPr="00452D62" w:rsidRDefault="00823785" w:rsidP="006453B9">
            <w:pPr>
              <w:rPr>
                <w:sz w:val="22"/>
                <w:szCs w:val="22"/>
              </w:rPr>
            </w:pPr>
            <w:r w:rsidRPr="00452D62">
              <w:rPr>
                <w:sz w:val="22"/>
                <w:szCs w:val="22"/>
              </w:rPr>
              <w:t>Anafilaksinės reakcijos, įskaitant anafilaksinį šoką</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D8EB749" w14:textId="77777777" w:rsidR="00823785" w:rsidRPr="00452D62" w:rsidRDefault="00823785" w:rsidP="006453B9">
            <w:pPr>
              <w:rPr>
                <w:sz w:val="22"/>
                <w:szCs w:val="22"/>
              </w:rPr>
            </w:pPr>
          </w:p>
        </w:tc>
      </w:tr>
      <w:tr w:rsidR="00823785" w:rsidRPr="00452D62" w14:paraId="57355DCC"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56BE2244" w14:textId="77777777" w:rsidR="00823785" w:rsidRPr="000877E9" w:rsidRDefault="00823785" w:rsidP="006453B9">
            <w:pPr>
              <w:rPr>
                <w:b/>
                <w:sz w:val="22"/>
                <w:szCs w:val="22"/>
              </w:rPr>
            </w:pPr>
            <w:r w:rsidRPr="00452D62">
              <w:rPr>
                <w:b/>
                <w:sz w:val="22"/>
                <w:szCs w:val="22"/>
              </w:rPr>
              <w:t>Nervų sistemos sutrikimai</w:t>
            </w:r>
          </w:p>
        </w:tc>
      </w:tr>
      <w:tr w:rsidR="00823785" w:rsidRPr="00452D62" w14:paraId="4CA91BCA"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355C45CF" w14:textId="77777777" w:rsidR="00823785" w:rsidRPr="00452D62" w:rsidRDefault="00823785" w:rsidP="006453B9">
            <w:pPr>
              <w:rPr>
                <w:sz w:val="22"/>
                <w:szCs w:val="22"/>
              </w:rPr>
            </w:pPr>
            <w:r w:rsidRPr="00452D62">
              <w:rPr>
                <w:sz w:val="22"/>
                <w:szCs w:val="22"/>
              </w:rPr>
              <w:t>Svaigulys, galvos skausmas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2FEEE2DA" w14:textId="77777777" w:rsidR="00823785" w:rsidRPr="00452D62" w:rsidRDefault="00823785" w:rsidP="006453B9">
            <w:pPr>
              <w:rPr>
                <w:sz w:val="22"/>
                <w:szCs w:val="22"/>
              </w:rPr>
            </w:pPr>
            <w:r w:rsidRPr="00452D62">
              <w:rPr>
                <w:sz w:val="22"/>
                <w:szCs w:val="22"/>
              </w:rPr>
              <w:t>Intracerebrinis ir intrakranijinis kraujavimas, apalpimas</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7A819810"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8B399F8"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D26982E" w14:textId="77777777" w:rsidR="00823785" w:rsidRPr="00452D62" w:rsidRDefault="00823785" w:rsidP="006453B9">
            <w:pPr>
              <w:rPr>
                <w:sz w:val="22"/>
                <w:szCs w:val="22"/>
              </w:rPr>
            </w:pPr>
          </w:p>
        </w:tc>
      </w:tr>
      <w:tr w:rsidR="00823785" w:rsidRPr="00452D62" w14:paraId="0F6ACE3E"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0E9BF09F" w14:textId="77777777" w:rsidR="00823785" w:rsidRPr="000877E9" w:rsidRDefault="00823785" w:rsidP="006453B9">
            <w:pPr>
              <w:rPr>
                <w:b/>
                <w:sz w:val="22"/>
                <w:szCs w:val="22"/>
              </w:rPr>
            </w:pPr>
            <w:r w:rsidRPr="00452D62">
              <w:rPr>
                <w:b/>
                <w:sz w:val="22"/>
                <w:szCs w:val="22"/>
              </w:rPr>
              <w:t>Akių sutrikimai</w:t>
            </w:r>
          </w:p>
        </w:tc>
      </w:tr>
      <w:tr w:rsidR="00823785" w:rsidRPr="00452D62" w14:paraId="4AB3EC9F"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0F76E922" w14:textId="77777777" w:rsidR="00823785" w:rsidRPr="00452D62" w:rsidRDefault="00823785" w:rsidP="006453B9">
            <w:pPr>
              <w:rPr>
                <w:sz w:val="22"/>
                <w:szCs w:val="22"/>
              </w:rPr>
            </w:pPr>
            <w:r w:rsidRPr="00452D62">
              <w:rPr>
                <w:sz w:val="22"/>
                <w:szCs w:val="22"/>
              </w:rPr>
              <w:t>Akies kraujavimas (įskaitant junginės kraujavimą)</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5FDA7133" w14:textId="77777777" w:rsidR="00823785" w:rsidRPr="00452D62" w:rsidRDefault="00823785" w:rsidP="006453B9">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5A35A60A"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72FB8C7"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CD0A0C1" w14:textId="77777777" w:rsidR="00823785" w:rsidRPr="00452D62" w:rsidRDefault="00823785" w:rsidP="006453B9">
            <w:pPr>
              <w:rPr>
                <w:sz w:val="22"/>
                <w:szCs w:val="22"/>
              </w:rPr>
            </w:pPr>
          </w:p>
        </w:tc>
      </w:tr>
      <w:tr w:rsidR="00823785" w:rsidRPr="00452D62" w14:paraId="79600DB8"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738967CD" w14:textId="77777777" w:rsidR="00823785" w:rsidRPr="000877E9" w:rsidRDefault="00823785" w:rsidP="006453B9">
            <w:pPr>
              <w:rPr>
                <w:b/>
                <w:sz w:val="22"/>
                <w:szCs w:val="22"/>
              </w:rPr>
            </w:pPr>
            <w:r w:rsidRPr="00452D62">
              <w:rPr>
                <w:b/>
                <w:sz w:val="22"/>
                <w:szCs w:val="22"/>
              </w:rPr>
              <w:t>Širdies sutrikimai</w:t>
            </w:r>
          </w:p>
        </w:tc>
      </w:tr>
      <w:tr w:rsidR="00823785" w:rsidRPr="00452D62" w14:paraId="440DD445"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74FB3B8F" w14:textId="77777777" w:rsidR="00823785" w:rsidRPr="00452D62" w:rsidRDefault="00823785" w:rsidP="006453B9">
            <w:pPr>
              <w:rPr>
                <w:sz w:val="22"/>
                <w:szCs w:val="22"/>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6528D68E" w14:textId="77777777" w:rsidR="00823785" w:rsidRPr="00452D62" w:rsidRDefault="00823785" w:rsidP="006453B9">
            <w:pPr>
              <w:rPr>
                <w:sz w:val="22"/>
                <w:szCs w:val="22"/>
              </w:rPr>
            </w:pPr>
            <w:r w:rsidRPr="00452D62">
              <w:rPr>
                <w:sz w:val="22"/>
                <w:szCs w:val="22"/>
              </w:rPr>
              <w:t>Tachikardija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6ABBFE4B"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491774FD"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23EFDD69" w14:textId="77777777" w:rsidR="00823785" w:rsidRPr="00452D62" w:rsidRDefault="00823785" w:rsidP="006453B9">
            <w:pPr>
              <w:rPr>
                <w:sz w:val="22"/>
                <w:szCs w:val="22"/>
              </w:rPr>
            </w:pPr>
          </w:p>
        </w:tc>
      </w:tr>
      <w:tr w:rsidR="00823785" w:rsidRPr="00452D62" w14:paraId="3307865F"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61952DB6" w14:textId="77777777" w:rsidR="00823785" w:rsidRPr="000877E9" w:rsidRDefault="00823785" w:rsidP="006453B9">
            <w:pPr>
              <w:rPr>
                <w:sz w:val="22"/>
                <w:szCs w:val="22"/>
              </w:rPr>
            </w:pPr>
            <w:r w:rsidRPr="00452D62">
              <w:rPr>
                <w:b/>
                <w:sz w:val="22"/>
                <w:szCs w:val="22"/>
              </w:rPr>
              <w:t>Kraujagyslių sutrikimai</w:t>
            </w:r>
          </w:p>
        </w:tc>
      </w:tr>
      <w:tr w:rsidR="00823785" w:rsidRPr="00452D62" w14:paraId="0B597D9D"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42BAA987" w14:textId="77777777" w:rsidR="00823785" w:rsidRPr="000877E9" w:rsidRDefault="00823785" w:rsidP="006453B9">
            <w:pPr>
              <w:rPr>
                <w:sz w:val="22"/>
                <w:szCs w:val="22"/>
              </w:rPr>
            </w:pPr>
            <w:r w:rsidRPr="00452D62">
              <w:rPr>
                <w:sz w:val="22"/>
                <w:szCs w:val="22"/>
              </w:rPr>
              <w:t>Hipotenzija,</w:t>
            </w:r>
          </w:p>
          <w:p w14:paraId="0E0670AB" w14:textId="77777777" w:rsidR="00823785" w:rsidRPr="00452D62" w:rsidRDefault="00823785" w:rsidP="006453B9">
            <w:pPr>
              <w:rPr>
                <w:sz w:val="22"/>
                <w:szCs w:val="22"/>
              </w:rPr>
            </w:pPr>
            <w:r w:rsidRPr="00452D62">
              <w:rPr>
                <w:sz w:val="22"/>
                <w:szCs w:val="22"/>
              </w:rPr>
              <w:t>hematoma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281D14AF" w14:textId="77777777" w:rsidR="00823785" w:rsidRPr="00452D62" w:rsidRDefault="00823785" w:rsidP="006453B9">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7EAF38C4"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2321A413" w14:textId="1058108C" w:rsidR="00823785" w:rsidRPr="008C3DF7" w:rsidRDefault="00F37E1C" w:rsidP="00AE1B80">
            <w:pPr>
              <w:pStyle w:val="Default"/>
              <w:rPr>
                <w:sz w:val="22"/>
                <w:szCs w:val="22"/>
              </w:rPr>
            </w:pPr>
            <w:r w:rsidRPr="008C3DF7">
              <w:rPr>
                <w:sz w:val="22"/>
                <w:szCs w:val="22"/>
              </w:rPr>
              <w:t>Eozinofilinė pneumonija</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CA043E5" w14:textId="77777777" w:rsidR="00823785" w:rsidRPr="00452D62" w:rsidRDefault="00823785" w:rsidP="006453B9">
            <w:pPr>
              <w:rPr>
                <w:sz w:val="22"/>
                <w:szCs w:val="22"/>
              </w:rPr>
            </w:pPr>
          </w:p>
        </w:tc>
      </w:tr>
      <w:tr w:rsidR="00823785" w:rsidRPr="00452D62" w14:paraId="15D9259C"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0334A636" w14:textId="77777777" w:rsidR="00823785" w:rsidRPr="000877E9" w:rsidRDefault="00823785" w:rsidP="006453B9">
            <w:pPr>
              <w:rPr>
                <w:sz w:val="22"/>
                <w:szCs w:val="22"/>
              </w:rPr>
            </w:pPr>
            <w:r w:rsidRPr="00452D62">
              <w:rPr>
                <w:b/>
                <w:bCs/>
                <w:sz w:val="22"/>
                <w:szCs w:val="22"/>
              </w:rPr>
              <w:t xml:space="preserve">Kvėpavimo sistemos, krūtinės ląstos ir tarpuplaučio sutrikimai </w:t>
            </w:r>
          </w:p>
        </w:tc>
      </w:tr>
      <w:tr w:rsidR="00823785" w:rsidRPr="00452D62" w14:paraId="194D9BAB"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468489CC" w14:textId="77777777" w:rsidR="00823785" w:rsidRPr="00452D62" w:rsidRDefault="00823785" w:rsidP="006453B9">
            <w:pPr>
              <w:rPr>
                <w:sz w:val="22"/>
                <w:szCs w:val="22"/>
              </w:rPr>
            </w:pPr>
            <w:r w:rsidRPr="00452D62">
              <w:rPr>
                <w:sz w:val="22"/>
                <w:szCs w:val="22"/>
              </w:rPr>
              <w:t>Kraujavimas iš nosies, atsikosėjimas krauju</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65A72376" w14:textId="77777777" w:rsidR="00823785" w:rsidRPr="00452D62" w:rsidRDefault="00823785" w:rsidP="006453B9">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5808433A"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007EE59"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B4FA3D9" w14:textId="77777777" w:rsidR="00823785" w:rsidRPr="00452D62" w:rsidRDefault="00823785" w:rsidP="006453B9">
            <w:pPr>
              <w:rPr>
                <w:sz w:val="22"/>
                <w:szCs w:val="22"/>
              </w:rPr>
            </w:pPr>
          </w:p>
        </w:tc>
      </w:tr>
      <w:tr w:rsidR="00823785" w:rsidRPr="00452D62" w14:paraId="7894242C"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5159AECF" w14:textId="77777777" w:rsidR="00823785" w:rsidRPr="00452D62" w:rsidRDefault="00823785" w:rsidP="006453B9">
            <w:pPr>
              <w:rPr>
                <w:sz w:val="22"/>
                <w:szCs w:val="22"/>
              </w:rPr>
            </w:pPr>
            <w:r w:rsidRPr="00452D62">
              <w:rPr>
                <w:b/>
                <w:bCs/>
                <w:sz w:val="22"/>
                <w:szCs w:val="22"/>
              </w:rPr>
              <w:t xml:space="preserve">Virškinimo trakto sutrikimai </w:t>
            </w:r>
          </w:p>
        </w:tc>
      </w:tr>
      <w:tr w:rsidR="00823785" w:rsidRPr="00452D62" w14:paraId="47F2D56C"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663C982E" w14:textId="77777777" w:rsidR="00823785" w:rsidRPr="00452D62" w:rsidRDefault="00823785" w:rsidP="006453B9">
            <w:pPr>
              <w:rPr>
                <w:sz w:val="22"/>
                <w:szCs w:val="22"/>
              </w:rPr>
            </w:pPr>
            <w:r w:rsidRPr="00452D62">
              <w:rPr>
                <w:sz w:val="22"/>
                <w:szCs w:val="22"/>
              </w:rPr>
              <w:t>Kraujavimas iš dantenų, kraujavimas iš virškinimo trakto (įskaitant kraujavimą iš tiesiosios žarnos), virškinimo trakto ir pilvo skausmai, dispepsija, pykinimas, vidurių užkietėjimas</w:t>
            </w:r>
            <w:r w:rsidRPr="00452D62">
              <w:rPr>
                <w:sz w:val="22"/>
                <w:szCs w:val="22"/>
                <w:vertAlign w:val="superscript"/>
              </w:rPr>
              <w:t>A</w:t>
            </w:r>
            <w:r w:rsidRPr="00452D62">
              <w:rPr>
                <w:sz w:val="22"/>
                <w:szCs w:val="22"/>
              </w:rPr>
              <w:t>, viduriavimas, vėmimas</w:t>
            </w:r>
            <w:r w:rsidRPr="00452D62">
              <w:rPr>
                <w:sz w:val="22"/>
                <w:szCs w:val="22"/>
                <w:vertAlign w:val="superscript"/>
              </w:rPr>
              <w:t>A</w:t>
            </w:r>
            <w:r w:rsidRPr="00452D62">
              <w:rPr>
                <w:sz w:val="22"/>
                <w:szCs w:val="22"/>
              </w:rPr>
              <w:t xml:space="preserve"> </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3DA701A4" w14:textId="77777777" w:rsidR="00823785" w:rsidRPr="00452D62" w:rsidRDefault="00823785" w:rsidP="006453B9">
            <w:pPr>
              <w:rPr>
                <w:sz w:val="22"/>
                <w:szCs w:val="22"/>
              </w:rPr>
            </w:pPr>
            <w:r w:rsidRPr="00452D62">
              <w:rPr>
                <w:sz w:val="22"/>
                <w:szCs w:val="22"/>
              </w:rPr>
              <w:t>Burnos džiūvimas</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4AF6BDC1"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6DA7265"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3563925D" w14:textId="77777777" w:rsidR="00823785" w:rsidRPr="00452D62" w:rsidRDefault="00823785" w:rsidP="006453B9">
            <w:pPr>
              <w:rPr>
                <w:sz w:val="22"/>
                <w:szCs w:val="22"/>
              </w:rPr>
            </w:pPr>
          </w:p>
        </w:tc>
      </w:tr>
      <w:tr w:rsidR="00823785" w:rsidRPr="00452D62" w14:paraId="74B3C2DF"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49F26FB1" w14:textId="77777777" w:rsidR="00823785" w:rsidRPr="00452D62" w:rsidRDefault="00823785" w:rsidP="006453B9">
            <w:pPr>
              <w:rPr>
                <w:sz w:val="22"/>
                <w:szCs w:val="22"/>
              </w:rPr>
            </w:pPr>
            <w:r w:rsidRPr="00452D62">
              <w:rPr>
                <w:b/>
                <w:bCs/>
                <w:sz w:val="22"/>
                <w:szCs w:val="22"/>
              </w:rPr>
              <w:t>Kepenų, tulžies pūslės ir latakų sutrikimai</w:t>
            </w:r>
          </w:p>
        </w:tc>
      </w:tr>
      <w:tr w:rsidR="00823785" w:rsidRPr="00452D62" w14:paraId="5070355B"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2F47E298" w14:textId="77777777" w:rsidR="00823785" w:rsidRPr="00452D62" w:rsidRDefault="00823785" w:rsidP="006453B9">
            <w:pPr>
              <w:rPr>
                <w:sz w:val="22"/>
                <w:szCs w:val="22"/>
              </w:rPr>
            </w:pPr>
            <w:r w:rsidRPr="00452D62">
              <w:rPr>
                <w:sz w:val="22"/>
                <w:szCs w:val="22"/>
              </w:rPr>
              <w:t>Padidėjęs transaminazių aktyvumas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73CCA52D" w14:textId="77777777" w:rsidR="00823785" w:rsidRPr="00452D62" w:rsidRDefault="00823785" w:rsidP="006453B9">
            <w:pPr>
              <w:rPr>
                <w:sz w:val="22"/>
                <w:szCs w:val="22"/>
              </w:rPr>
            </w:pPr>
            <w:r w:rsidRPr="00452D62">
              <w:rPr>
                <w:sz w:val="22"/>
                <w:szCs w:val="22"/>
              </w:rPr>
              <w:t>Kepenų funkcijos sutrikimas, padidėjęs bilirubino kiekis, padidėjęs šarminės fosfatazės aktyvumas kraujyje</w:t>
            </w:r>
            <w:r w:rsidRPr="00452D62">
              <w:rPr>
                <w:sz w:val="22"/>
                <w:szCs w:val="22"/>
                <w:vertAlign w:val="superscript"/>
              </w:rPr>
              <w:t>A</w:t>
            </w:r>
            <w:r w:rsidRPr="00452D62">
              <w:rPr>
                <w:sz w:val="22"/>
                <w:szCs w:val="22"/>
              </w:rPr>
              <w:t>,</w:t>
            </w:r>
          </w:p>
          <w:p w14:paraId="0CE9A5E3" w14:textId="77777777" w:rsidR="00823785" w:rsidRPr="00452D62" w:rsidRDefault="00823785" w:rsidP="006453B9">
            <w:pPr>
              <w:rPr>
                <w:sz w:val="22"/>
                <w:szCs w:val="22"/>
              </w:rPr>
            </w:pPr>
            <w:r w:rsidRPr="00452D62">
              <w:rPr>
                <w:sz w:val="22"/>
                <w:szCs w:val="22"/>
              </w:rPr>
              <w:t>padidėjęs GGT aktyvumas</w:t>
            </w:r>
            <w:r w:rsidRPr="00452D62">
              <w:rPr>
                <w:sz w:val="22"/>
                <w:szCs w:val="22"/>
                <w:vertAlign w:val="superscript"/>
              </w:rPr>
              <w:t>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7A8DB6B9" w14:textId="77777777" w:rsidR="00823785" w:rsidRPr="00452D62" w:rsidRDefault="00823785" w:rsidP="006453B9">
            <w:pPr>
              <w:rPr>
                <w:sz w:val="22"/>
                <w:szCs w:val="22"/>
              </w:rPr>
            </w:pPr>
            <w:r w:rsidRPr="00452D62">
              <w:rPr>
                <w:sz w:val="22"/>
                <w:szCs w:val="22"/>
              </w:rPr>
              <w:t>Gelta, padidėjęs konjuguoto bilirubino kiekis (kartu gali padidėti arba nepadidėti ALT aktyvumas), cholestazė, hepatitas (įskaitant kepenų ląstelių pažeidimą)</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29A7DF6E"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28333B21" w14:textId="77777777" w:rsidR="00823785" w:rsidRPr="00452D62" w:rsidRDefault="00823785" w:rsidP="006453B9">
            <w:pPr>
              <w:rPr>
                <w:sz w:val="22"/>
                <w:szCs w:val="22"/>
              </w:rPr>
            </w:pPr>
          </w:p>
        </w:tc>
      </w:tr>
      <w:tr w:rsidR="00823785" w:rsidRPr="00452D62" w14:paraId="6F790F4E"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7BBBD220" w14:textId="77777777" w:rsidR="00823785" w:rsidRPr="00452D62" w:rsidRDefault="00823785" w:rsidP="006453B9">
            <w:pPr>
              <w:rPr>
                <w:sz w:val="22"/>
                <w:szCs w:val="22"/>
              </w:rPr>
            </w:pPr>
            <w:r w:rsidRPr="00452D62">
              <w:rPr>
                <w:b/>
                <w:bCs/>
                <w:sz w:val="22"/>
                <w:szCs w:val="22"/>
              </w:rPr>
              <w:t>Odos ir poodinio audinio sutrikimai</w:t>
            </w:r>
          </w:p>
        </w:tc>
      </w:tr>
      <w:tr w:rsidR="00823785" w:rsidRPr="00452D62" w14:paraId="6A1CD3C0"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124D22F1" w14:textId="77777777" w:rsidR="00823785" w:rsidRPr="00452D62" w:rsidRDefault="00823785" w:rsidP="006453B9">
            <w:pPr>
              <w:rPr>
                <w:sz w:val="22"/>
                <w:szCs w:val="22"/>
              </w:rPr>
            </w:pPr>
            <w:r w:rsidRPr="00452D62">
              <w:rPr>
                <w:sz w:val="22"/>
                <w:szCs w:val="22"/>
              </w:rPr>
              <w:t>Niežėjimas (įskaitant nedažnus išplitusio niežėjimo atvejus), išbėrimas, ekchimozė, kraujavimas į odą ir po oda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344237EA" w14:textId="77777777" w:rsidR="00823785" w:rsidRPr="00452D62" w:rsidRDefault="00823785" w:rsidP="006453B9">
            <w:pPr>
              <w:rPr>
                <w:sz w:val="22"/>
                <w:szCs w:val="22"/>
              </w:rPr>
            </w:pPr>
            <w:r w:rsidRPr="00452D62">
              <w:rPr>
                <w:sz w:val="22"/>
                <w:szCs w:val="22"/>
              </w:rPr>
              <w:t>Dilgėlinė</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6B67E6F8"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C14A591" w14:textId="77777777" w:rsidR="00823785" w:rsidRPr="00452D62" w:rsidRDefault="00823785" w:rsidP="006453B9">
            <w:pPr>
              <w:rPr>
                <w:sz w:val="22"/>
                <w:szCs w:val="22"/>
              </w:rPr>
            </w:pPr>
            <w:r w:rsidRPr="00452D62">
              <w:rPr>
                <w:i/>
                <w:iCs/>
                <w:sz w:val="22"/>
                <w:szCs w:val="22"/>
              </w:rPr>
              <w:t>Stevens-Johnson</w:t>
            </w:r>
            <w:r w:rsidRPr="00452D62">
              <w:rPr>
                <w:sz w:val="22"/>
                <w:szCs w:val="22"/>
              </w:rPr>
              <w:t xml:space="preserve"> (Stivenso-Džonsono) sindromas, toksinė epidermio nekrolizė, </w:t>
            </w:r>
            <w:r w:rsidRPr="00452D62">
              <w:rPr>
                <w:i/>
                <w:iCs/>
                <w:sz w:val="22"/>
                <w:szCs w:val="22"/>
              </w:rPr>
              <w:t>DRESS</w:t>
            </w:r>
            <w:r w:rsidRPr="00452D62">
              <w:rPr>
                <w:sz w:val="22"/>
                <w:szCs w:val="22"/>
              </w:rPr>
              <w:t xml:space="preserve"> sindromas</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F206DB1" w14:textId="77777777" w:rsidR="00823785" w:rsidRPr="00452D62" w:rsidRDefault="00823785" w:rsidP="006453B9">
            <w:pPr>
              <w:rPr>
                <w:sz w:val="22"/>
                <w:szCs w:val="22"/>
              </w:rPr>
            </w:pPr>
          </w:p>
        </w:tc>
      </w:tr>
      <w:tr w:rsidR="00823785" w:rsidRPr="00452D62" w14:paraId="2D1F56B3"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6EF44C48" w14:textId="77777777" w:rsidR="00823785" w:rsidRPr="00452D62" w:rsidRDefault="00823785" w:rsidP="006453B9">
            <w:pPr>
              <w:rPr>
                <w:sz w:val="22"/>
                <w:szCs w:val="22"/>
              </w:rPr>
            </w:pPr>
            <w:r w:rsidRPr="00452D62">
              <w:rPr>
                <w:b/>
                <w:sz w:val="22"/>
                <w:szCs w:val="22"/>
              </w:rPr>
              <w:t>Skeleto, raumenų ir jungiamojo audinio sutrikimai</w:t>
            </w:r>
          </w:p>
        </w:tc>
      </w:tr>
      <w:tr w:rsidR="00823785" w:rsidRPr="00452D62" w14:paraId="29B66CC3"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264DE446" w14:textId="77777777" w:rsidR="00823785" w:rsidRPr="00452D62" w:rsidRDefault="00823785" w:rsidP="006453B9">
            <w:pPr>
              <w:rPr>
                <w:sz w:val="22"/>
                <w:szCs w:val="22"/>
              </w:rPr>
            </w:pPr>
            <w:r w:rsidRPr="00452D62">
              <w:rPr>
                <w:sz w:val="22"/>
                <w:szCs w:val="22"/>
              </w:rPr>
              <w:t>Galūnių skausmas</w:t>
            </w:r>
            <w:r w:rsidRPr="00452D62">
              <w:rPr>
                <w:sz w:val="22"/>
                <w:szCs w:val="22"/>
                <w:vertAlign w:val="superscript"/>
              </w:rPr>
              <w:t>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153B23B4" w14:textId="77777777" w:rsidR="00823785" w:rsidRPr="00452D62" w:rsidRDefault="00823785" w:rsidP="006453B9">
            <w:pPr>
              <w:rPr>
                <w:sz w:val="22"/>
                <w:szCs w:val="22"/>
              </w:rPr>
            </w:pPr>
            <w:r w:rsidRPr="00452D62">
              <w:rPr>
                <w:sz w:val="22"/>
                <w:szCs w:val="22"/>
              </w:rPr>
              <w:t>Hemartrozė</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18D574CE" w14:textId="77777777" w:rsidR="00823785" w:rsidRPr="00452D62" w:rsidRDefault="00823785" w:rsidP="006453B9">
            <w:pPr>
              <w:rPr>
                <w:sz w:val="22"/>
                <w:szCs w:val="22"/>
              </w:rPr>
            </w:pPr>
            <w:r w:rsidRPr="00452D62">
              <w:rPr>
                <w:sz w:val="22"/>
                <w:szCs w:val="22"/>
              </w:rPr>
              <w:t>Kraujavimas į raumenis</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4FEEB018"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12E65779" w14:textId="77777777" w:rsidR="00823785" w:rsidRPr="00452D62" w:rsidRDefault="00823785" w:rsidP="006453B9">
            <w:pPr>
              <w:rPr>
                <w:sz w:val="22"/>
                <w:szCs w:val="22"/>
              </w:rPr>
            </w:pPr>
            <w:r w:rsidRPr="00452D62">
              <w:rPr>
                <w:sz w:val="22"/>
                <w:szCs w:val="22"/>
              </w:rPr>
              <w:t>Suspaudimo sindromas dėl kraujavimo</w:t>
            </w:r>
          </w:p>
        </w:tc>
      </w:tr>
      <w:tr w:rsidR="00823785" w:rsidRPr="00452D62" w14:paraId="396B8262"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56774A55" w14:textId="77777777" w:rsidR="00823785" w:rsidRPr="00452D62" w:rsidRDefault="00823785" w:rsidP="006453B9">
            <w:pPr>
              <w:rPr>
                <w:sz w:val="22"/>
                <w:szCs w:val="22"/>
              </w:rPr>
            </w:pPr>
            <w:r w:rsidRPr="00452D62">
              <w:rPr>
                <w:b/>
                <w:sz w:val="22"/>
                <w:szCs w:val="22"/>
              </w:rPr>
              <w:t>Inkstų ir šlapimo takų sutrikimai</w:t>
            </w:r>
          </w:p>
        </w:tc>
      </w:tr>
      <w:tr w:rsidR="00823785" w:rsidRPr="00452D62" w14:paraId="6B53306F"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6C75CBD5" w14:textId="77777777" w:rsidR="00823785" w:rsidRPr="00452D62" w:rsidRDefault="00823785" w:rsidP="006453B9">
            <w:pPr>
              <w:rPr>
                <w:sz w:val="22"/>
                <w:szCs w:val="22"/>
              </w:rPr>
            </w:pPr>
            <w:r w:rsidRPr="00452D62">
              <w:rPr>
                <w:sz w:val="22"/>
                <w:szCs w:val="22"/>
              </w:rPr>
              <w:t>Kraujavimas iš urogenitalinio trakto (įskaitant hematuriją ir menoragiją</w:t>
            </w:r>
            <w:r w:rsidRPr="00452D62">
              <w:rPr>
                <w:sz w:val="22"/>
                <w:szCs w:val="22"/>
                <w:vertAlign w:val="superscript"/>
              </w:rPr>
              <w:t>B</w:t>
            </w:r>
            <w:r w:rsidRPr="00452D62">
              <w:rPr>
                <w:sz w:val="22"/>
                <w:szCs w:val="22"/>
              </w:rPr>
              <w:t>), inkstų funkcijos sutrikimas (įskaitant padidėjusį kreatinino kiekį kraujyje, padidėjusį šlapalo kiekį kraujyje)</w:t>
            </w:r>
            <w:r w:rsidRPr="00452D62">
              <w:rPr>
                <w:sz w:val="22"/>
                <w:szCs w:val="22"/>
                <w:vertAlign w:val="superscript"/>
              </w:rPr>
              <w:t>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7E19893C" w14:textId="77777777" w:rsidR="00823785" w:rsidRPr="00452D62" w:rsidRDefault="00823785" w:rsidP="006453B9">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34B2C180"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48B62B55"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FA941EF" w14:textId="1133FF25" w:rsidR="00823785" w:rsidRPr="00452D62" w:rsidRDefault="00823785" w:rsidP="006453B9">
            <w:pPr>
              <w:rPr>
                <w:sz w:val="22"/>
                <w:szCs w:val="22"/>
              </w:rPr>
            </w:pPr>
            <w:r w:rsidRPr="00452D62">
              <w:rPr>
                <w:sz w:val="22"/>
                <w:szCs w:val="22"/>
              </w:rPr>
              <w:t>Inkstų nepakankamumas/ūminis inkstų nepakankamumas dėl kraujavimo, kurio pakanka hipoperfuzijai sukelti</w:t>
            </w:r>
            <w:r w:rsidR="00F37E1C" w:rsidRPr="00452D62">
              <w:rPr>
                <w:sz w:val="22"/>
                <w:szCs w:val="22"/>
              </w:rPr>
              <w:t>, su antikoaguliantais susijusi nefropatija</w:t>
            </w:r>
          </w:p>
        </w:tc>
      </w:tr>
      <w:tr w:rsidR="00823785" w:rsidRPr="00452D62" w14:paraId="56B2193E"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7175FE85" w14:textId="77777777" w:rsidR="00823785" w:rsidRPr="00452D62" w:rsidRDefault="00823785" w:rsidP="006453B9">
            <w:pPr>
              <w:rPr>
                <w:sz w:val="22"/>
                <w:szCs w:val="22"/>
              </w:rPr>
            </w:pPr>
            <w:r w:rsidRPr="00452D62">
              <w:rPr>
                <w:b/>
                <w:sz w:val="22"/>
                <w:szCs w:val="22"/>
              </w:rPr>
              <w:t>Bendrieji sutrikimai ir vartojimo vietos pažeidimai</w:t>
            </w:r>
          </w:p>
        </w:tc>
      </w:tr>
      <w:tr w:rsidR="00823785" w:rsidRPr="00452D62" w14:paraId="682AADCE"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097F5324" w14:textId="77777777" w:rsidR="00823785" w:rsidRPr="00452D62" w:rsidRDefault="00823785" w:rsidP="006453B9">
            <w:pPr>
              <w:rPr>
                <w:sz w:val="22"/>
                <w:szCs w:val="22"/>
              </w:rPr>
            </w:pPr>
            <w:r w:rsidRPr="00452D62">
              <w:rPr>
                <w:sz w:val="22"/>
                <w:szCs w:val="22"/>
              </w:rPr>
              <w:t>Karščiavimas</w:t>
            </w:r>
            <w:r w:rsidRPr="00452D62">
              <w:rPr>
                <w:sz w:val="22"/>
                <w:szCs w:val="22"/>
                <w:vertAlign w:val="superscript"/>
              </w:rPr>
              <w:t>A</w:t>
            </w:r>
            <w:r w:rsidRPr="00452D62">
              <w:rPr>
                <w:sz w:val="22"/>
                <w:szCs w:val="22"/>
              </w:rPr>
              <w:t>, periferinė edema, sumažėjusi bendroji jėga ir energija (įskaitant nuovargį ir asteniją)</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74A549F7" w14:textId="77777777" w:rsidR="00823785" w:rsidRPr="00452D62" w:rsidRDefault="00823785" w:rsidP="006453B9">
            <w:pPr>
              <w:rPr>
                <w:sz w:val="22"/>
                <w:szCs w:val="22"/>
              </w:rPr>
            </w:pPr>
            <w:r w:rsidRPr="00452D62">
              <w:rPr>
                <w:sz w:val="22"/>
                <w:szCs w:val="22"/>
              </w:rPr>
              <w:t>Bloga savijauta (įskaitant negalavimą)</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04138A49" w14:textId="77777777" w:rsidR="00823785" w:rsidRPr="00452D62" w:rsidRDefault="00823785" w:rsidP="006453B9">
            <w:pPr>
              <w:rPr>
                <w:sz w:val="22"/>
                <w:szCs w:val="22"/>
              </w:rPr>
            </w:pPr>
            <w:r w:rsidRPr="00452D62">
              <w:rPr>
                <w:sz w:val="22"/>
                <w:szCs w:val="22"/>
              </w:rPr>
              <w:t>Lokali edema</w:t>
            </w:r>
            <w:r w:rsidRPr="00452D62">
              <w:rPr>
                <w:sz w:val="22"/>
                <w:szCs w:val="22"/>
                <w:vertAlign w:val="superscript"/>
              </w:rPr>
              <w:t>A</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CACC83D"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B8AD56F" w14:textId="77777777" w:rsidR="00823785" w:rsidRPr="00452D62" w:rsidRDefault="00823785" w:rsidP="006453B9">
            <w:pPr>
              <w:rPr>
                <w:sz w:val="22"/>
                <w:szCs w:val="22"/>
              </w:rPr>
            </w:pPr>
          </w:p>
        </w:tc>
      </w:tr>
      <w:tr w:rsidR="00823785" w:rsidRPr="00452D62" w14:paraId="5B44C9F3"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485AB7AA" w14:textId="77777777" w:rsidR="00823785" w:rsidRPr="00452D62" w:rsidRDefault="00823785" w:rsidP="006453B9">
            <w:pPr>
              <w:rPr>
                <w:sz w:val="22"/>
                <w:szCs w:val="22"/>
              </w:rPr>
            </w:pPr>
            <w:r w:rsidRPr="00452D62">
              <w:rPr>
                <w:b/>
                <w:sz w:val="22"/>
                <w:szCs w:val="22"/>
              </w:rPr>
              <w:t>Tyrimai</w:t>
            </w:r>
          </w:p>
        </w:tc>
      </w:tr>
      <w:tr w:rsidR="00823785" w:rsidRPr="00452D62" w14:paraId="732A4BD0"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79045D45" w14:textId="77777777" w:rsidR="00823785" w:rsidRPr="00452D62" w:rsidRDefault="00823785" w:rsidP="006453B9">
            <w:pPr>
              <w:rPr>
                <w:sz w:val="22"/>
                <w:szCs w:val="22"/>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377B12C8" w14:textId="77777777" w:rsidR="00823785" w:rsidRPr="00452D62" w:rsidRDefault="00823785" w:rsidP="006453B9">
            <w:pPr>
              <w:rPr>
                <w:sz w:val="22"/>
                <w:szCs w:val="22"/>
              </w:rPr>
            </w:pPr>
            <w:r w:rsidRPr="00452D62">
              <w:rPr>
                <w:sz w:val="22"/>
                <w:szCs w:val="22"/>
              </w:rPr>
              <w:t>Padidėjęs LDH aktyvumas</w:t>
            </w:r>
            <w:r w:rsidRPr="00452D62">
              <w:rPr>
                <w:sz w:val="22"/>
                <w:szCs w:val="22"/>
                <w:vertAlign w:val="superscript"/>
              </w:rPr>
              <w:t>A</w:t>
            </w:r>
            <w:r w:rsidRPr="00452D62">
              <w:rPr>
                <w:sz w:val="22"/>
                <w:szCs w:val="22"/>
              </w:rPr>
              <w:t>, padidėjęs lipazės aktyvumas</w:t>
            </w:r>
            <w:r w:rsidRPr="00452D62">
              <w:rPr>
                <w:sz w:val="22"/>
                <w:szCs w:val="22"/>
                <w:vertAlign w:val="superscript"/>
              </w:rPr>
              <w:t>A</w:t>
            </w:r>
            <w:r w:rsidRPr="00452D62">
              <w:rPr>
                <w:sz w:val="22"/>
                <w:szCs w:val="22"/>
              </w:rPr>
              <w:t>, padidėjęs amilazės aktyvumas</w:t>
            </w:r>
            <w:r w:rsidRPr="00452D62">
              <w:rPr>
                <w:sz w:val="22"/>
                <w:szCs w:val="22"/>
                <w:vertAlign w:val="superscript"/>
              </w:rPr>
              <w:t>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078C6018"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2F4F3F9A"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E47CA58" w14:textId="77777777" w:rsidR="00823785" w:rsidRPr="00452D62" w:rsidRDefault="00823785" w:rsidP="006453B9">
            <w:pPr>
              <w:rPr>
                <w:sz w:val="22"/>
                <w:szCs w:val="22"/>
              </w:rPr>
            </w:pPr>
          </w:p>
        </w:tc>
      </w:tr>
      <w:tr w:rsidR="00823785" w:rsidRPr="00452D62" w14:paraId="1EB9662A"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38AB4D18" w14:textId="77777777" w:rsidR="00823785" w:rsidRPr="00452D62" w:rsidRDefault="00823785" w:rsidP="006453B9">
            <w:pPr>
              <w:rPr>
                <w:sz w:val="22"/>
                <w:szCs w:val="22"/>
              </w:rPr>
            </w:pPr>
            <w:r w:rsidRPr="00452D62">
              <w:rPr>
                <w:b/>
                <w:sz w:val="22"/>
                <w:szCs w:val="22"/>
              </w:rPr>
              <w:t>Sužalojimai, apsinuodijimai ir procedūrų komplikacijos</w:t>
            </w:r>
          </w:p>
        </w:tc>
      </w:tr>
      <w:tr w:rsidR="00823785" w:rsidRPr="00452D62" w14:paraId="0AC7AE18"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499127EF" w14:textId="77777777" w:rsidR="00823785" w:rsidRPr="00452D62" w:rsidRDefault="00823785" w:rsidP="006453B9">
            <w:pPr>
              <w:rPr>
                <w:sz w:val="22"/>
                <w:szCs w:val="22"/>
              </w:rPr>
            </w:pPr>
            <w:r w:rsidRPr="00452D62">
              <w:rPr>
                <w:sz w:val="22"/>
                <w:szCs w:val="22"/>
              </w:rPr>
              <w:t>Kraujavimas po procedūros (įskaitant pooperacinę anemiją ir kraujavimą iš žaizdos), kontūzija, sekrecija iš žaizdos</w:t>
            </w:r>
            <w:r w:rsidRPr="00452D62">
              <w:rPr>
                <w:sz w:val="22"/>
                <w:szCs w:val="22"/>
                <w:vertAlign w:val="superscript"/>
              </w:rPr>
              <w:t>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60B5CB06" w14:textId="77777777" w:rsidR="00823785" w:rsidRPr="00452D62" w:rsidRDefault="00823785" w:rsidP="006453B9">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393A7ECB" w14:textId="77777777" w:rsidR="00823785" w:rsidRPr="00452D62" w:rsidRDefault="00823785" w:rsidP="006453B9">
            <w:pPr>
              <w:rPr>
                <w:sz w:val="22"/>
                <w:szCs w:val="22"/>
              </w:rPr>
            </w:pPr>
            <w:r w:rsidRPr="00452D62">
              <w:rPr>
                <w:sz w:val="22"/>
                <w:szCs w:val="22"/>
              </w:rPr>
              <w:t>Kraujagyslių pseudoaneurizma</w:t>
            </w:r>
            <w:r w:rsidRPr="00452D62">
              <w:rPr>
                <w:sz w:val="22"/>
                <w:szCs w:val="22"/>
                <w:vertAlign w:val="superscript"/>
              </w:rPr>
              <w:t>C</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141F14E1"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770BB22" w14:textId="77777777" w:rsidR="00823785" w:rsidRPr="00452D62" w:rsidRDefault="00823785" w:rsidP="006453B9">
            <w:pPr>
              <w:rPr>
                <w:sz w:val="22"/>
                <w:szCs w:val="22"/>
              </w:rPr>
            </w:pPr>
          </w:p>
        </w:tc>
      </w:tr>
    </w:tbl>
    <w:p w14:paraId="296E7EAD" w14:textId="77777777" w:rsidR="00823785" w:rsidRPr="00452D62" w:rsidRDefault="00823785" w:rsidP="00823785">
      <w:pPr>
        <w:rPr>
          <w:sz w:val="22"/>
          <w:szCs w:val="22"/>
        </w:rPr>
      </w:pPr>
      <w:r w:rsidRPr="00452D62">
        <w:rPr>
          <w:sz w:val="22"/>
          <w:szCs w:val="22"/>
        </w:rPr>
        <w:t>A: pastebėta taikant VTE profilaktiką suaugusiems pacientams, atliekant planines klubo arba kelio sąnario pakeitimo operacijas;</w:t>
      </w:r>
    </w:p>
    <w:p w14:paraId="0EFE6FEB" w14:textId="77777777" w:rsidR="00823785" w:rsidRPr="00452D62" w:rsidRDefault="00823785" w:rsidP="00823785">
      <w:pPr>
        <w:rPr>
          <w:sz w:val="22"/>
          <w:szCs w:val="22"/>
        </w:rPr>
      </w:pPr>
      <w:r w:rsidRPr="00452D62">
        <w:rPr>
          <w:sz w:val="22"/>
          <w:szCs w:val="22"/>
        </w:rPr>
        <w:t>B: pastebėtas kaip labai dažnas nepageidaujamas poveikis, gydant GVT, PE ir taikant šių sutrikimų pasikartojimo profilaktiką jaunesnėms nei 55 metų amžiaus moterims;</w:t>
      </w:r>
    </w:p>
    <w:p w14:paraId="52183F45" w14:textId="77777777" w:rsidR="00823785" w:rsidRPr="00452D62" w:rsidRDefault="00823785" w:rsidP="00823785">
      <w:pPr>
        <w:rPr>
          <w:sz w:val="22"/>
          <w:szCs w:val="22"/>
        </w:rPr>
      </w:pPr>
      <w:r w:rsidRPr="00452D62">
        <w:rPr>
          <w:sz w:val="22"/>
          <w:szCs w:val="22"/>
        </w:rPr>
        <w:t>C: pastebėtas kaip nedažnas nepageidaujamas poveikis, taikant aterotrombozinių reiškinių profilaktiką pacientams, patyrusiems ŪKS (po perkutaninės vainikinės intervencijos).</w:t>
      </w:r>
    </w:p>
    <w:p w14:paraId="07401D0D" w14:textId="6D4FC982" w:rsidR="00823785" w:rsidRPr="00452D62" w:rsidRDefault="00823785" w:rsidP="00823785">
      <w:pPr>
        <w:rPr>
          <w:sz w:val="22"/>
          <w:szCs w:val="22"/>
        </w:rPr>
      </w:pPr>
      <w:r w:rsidRPr="00452D62">
        <w:rPr>
          <w:sz w:val="22"/>
          <w:szCs w:val="22"/>
        </w:rPr>
        <w:t>* Pasirinktų III fazės tyrimų metu buvo taikomas iš anksto numatytas selektyvus nepageidaujamų reiškinių rinkimo metodas. Remiantis šių tyrimų analize, nepageidaujamų reakcijų dažnis nepadidėjo ir naujų nepageidaujamų reakcijų nenustatyta.</w:t>
      </w:r>
    </w:p>
    <w:p w14:paraId="41A72D2D" w14:textId="77777777" w:rsidR="00823785" w:rsidRPr="00452D62" w:rsidRDefault="00823785" w:rsidP="00823785">
      <w:pPr>
        <w:rPr>
          <w:sz w:val="22"/>
          <w:szCs w:val="22"/>
        </w:rPr>
      </w:pPr>
    </w:p>
    <w:p w14:paraId="457CECB1" w14:textId="77777777" w:rsidR="00823785" w:rsidRPr="00452D62" w:rsidRDefault="00823785" w:rsidP="00823785">
      <w:pPr>
        <w:rPr>
          <w:sz w:val="22"/>
          <w:szCs w:val="22"/>
        </w:rPr>
      </w:pPr>
      <w:r w:rsidRPr="00452D62">
        <w:rPr>
          <w:sz w:val="22"/>
          <w:szCs w:val="22"/>
          <w:u w:val="single"/>
        </w:rPr>
        <w:t>Atrinktų nepageidaujamų reakcijų apibūdinimas</w:t>
      </w:r>
    </w:p>
    <w:p w14:paraId="649117DE" w14:textId="77777777" w:rsidR="00823785" w:rsidRPr="00452D62" w:rsidRDefault="00823785" w:rsidP="00823785">
      <w:pPr>
        <w:rPr>
          <w:sz w:val="22"/>
          <w:szCs w:val="22"/>
        </w:rPr>
      </w:pPr>
      <w:r w:rsidRPr="00452D62">
        <w:rPr>
          <w:sz w:val="22"/>
          <w:szCs w:val="22"/>
        </w:rPr>
        <w:t>Dėl farmakologinio veikimo mechanizmo rivaroksabano vartojimas gali būti susijęs su padidėjusia slapto ar akivaizdaus kraujavimo rizika iš bet kurio audinio ar organo, todėl gali pasireikšti pohemoraginė anemija. Požymiai, simptomai ir sunkumas (įskaitant mirties atvejus) yra skirtingi ir priklauso nuo kraujavimo vietos ir intensyvumo ir (arba) anemijos laipsnio (žr. poskyrį „Kraujavimo kontrolė“ 4.9 skyriuje). Klinikinių tyrimų metu kraujavimas iš gleivinės (t. y. iš nosies, dantenų, virškinimo trakto, lytinių organų ir šlapimo takų, įskaitant nenormalų kraujavimą iš makšties arba sustiprėjusį menstruacinį kraujavimą) ir anemija dažniau buvo pastebėtas taikant ilgalaikį gydymą rivaroksabanu, palyginti su gydymu VKA. Taigi, papildant reikiamą klinikinį stebėjimą, slaptam kraujavimui nustatyti ir klinikinei akivaizdaus kraujavimo reikšmei įvertinti gali būti naudingi hemoglobino ir (arba) hematokrito laboratoriniai tyrimai, jei manoma, kad jie yra tinkami. Gali būti padidėjusi kraujavimo rizika tam tikroms pacientų grupėms, pvz., tiems pacientams, kurie serga nekontroliuojama sunkia arterine hipertenzija ir (arba) kartu gydomi kitais vaistiniais preparatais, kurie veikia hemostazę (žr. poskyrį „Kraujavimo rizika“ 4.4 skyriuje). Gali sustiprėti ir (arba) pailgėti menstruacinis kraujavimas. Hemoraginės komplikacijos gali pasireikšti silpnumu, blyškumu, svaiguliu, galvos skausmu ar nepaaiškinamu patinimu, dusuliu ir nepaaiškinamu šoku. Kai kuriais atvejais, kaip anemijos pasekmė, pastebėta širdies išemijos simptomų, pvz., krūtinės skausmas arba krūtinės angina.</w:t>
      </w:r>
    </w:p>
    <w:p w14:paraId="2D4D8A1F" w14:textId="45DCA9AE" w:rsidR="00823785" w:rsidRPr="00452D62" w:rsidRDefault="00823785" w:rsidP="00823785">
      <w:pPr>
        <w:rPr>
          <w:sz w:val="22"/>
          <w:szCs w:val="22"/>
        </w:rPr>
      </w:pPr>
      <w:r w:rsidRPr="00452D62">
        <w:rPr>
          <w:sz w:val="22"/>
          <w:szCs w:val="22"/>
        </w:rPr>
        <w:t xml:space="preserve">Pranešta apie žinomas antrines sunkaus kraujavimo komplikacijas, pvz., suspaudimo sindromą ir inkstų nepakankamumą dėl hipoperfuzijos </w:t>
      </w:r>
      <w:r w:rsidR="00DA1B4C" w:rsidRPr="00452D62">
        <w:rPr>
          <w:sz w:val="22"/>
          <w:szCs w:val="22"/>
        </w:rPr>
        <w:t xml:space="preserve">ar su antikoaguliantais susijusią nefropatiją </w:t>
      </w:r>
      <w:r w:rsidRPr="00452D62">
        <w:rPr>
          <w:sz w:val="22"/>
          <w:szCs w:val="22"/>
        </w:rPr>
        <w:t>vartojant rivaroksabano. Todėl reikia atsižvelgti į kraujavimo galimybę, įvertinant bet kurio antikoaguliantais gydomo paciento būklę.</w:t>
      </w:r>
    </w:p>
    <w:p w14:paraId="12B8A560" w14:textId="77777777" w:rsidR="00823785" w:rsidRPr="00452D62" w:rsidRDefault="00823785" w:rsidP="00823785">
      <w:pPr>
        <w:rPr>
          <w:sz w:val="22"/>
          <w:szCs w:val="22"/>
        </w:rPr>
      </w:pPr>
    </w:p>
    <w:p w14:paraId="50AD0CBF" w14:textId="77777777" w:rsidR="00823785" w:rsidRPr="00452D62" w:rsidRDefault="00823785" w:rsidP="00701AC2">
      <w:pPr>
        <w:rPr>
          <w:sz w:val="22"/>
          <w:szCs w:val="22"/>
        </w:rPr>
      </w:pPr>
      <w:r w:rsidRPr="00452D62">
        <w:rPr>
          <w:sz w:val="22"/>
          <w:szCs w:val="22"/>
          <w:u w:val="single"/>
        </w:rPr>
        <w:t>Pranešimas apie įtariamas nepageidaujamas reakcijas</w:t>
      </w:r>
    </w:p>
    <w:p w14:paraId="5B12581A" w14:textId="6919FF74" w:rsidR="00CB25DC" w:rsidRPr="00701AC2" w:rsidRDefault="00CB25DC" w:rsidP="00701AC2">
      <w:pPr>
        <w:suppressAutoHyphens w:val="0"/>
        <w:rPr>
          <w:color w:val="auto"/>
          <w:sz w:val="22"/>
        </w:rPr>
      </w:pPr>
      <w:r w:rsidRPr="00701AC2">
        <w:rPr>
          <w:color w:val="auto"/>
          <w:sz w:val="22"/>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w:t>
      </w:r>
      <w:r w:rsidRPr="00CB25DC">
        <w:rPr>
          <w:color w:val="auto"/>
          <w:sz w:val="22"/>
          <w:szCs w:val="22"/>
          <w:lang w:eastAsia="en-US"/>
        </w:rPr>
        <w:t xml:space="preserve"> ir pateikę</w:t>
      </w:r>
      <w:r w:rsidRPr="00701AC2">
        <w:rPr>
          <w:color w:val="auto"/>
          <w:sz w:val="22"/>
        </w:rPr>
        <w:t xml:space="preserve"> pranešimo formą </w:t>
      </w:r>
      <w:r w:rsidRPr="00CB25DC">
        <w:rPr>
          <w:color w:val="auto"/>
          <w:sz w:val="22"/>
          <w:szCs w:val="22"/>
          <w:lang w:eastAsia="en-US"/>
        </w:rPr>
        <w:t xml:space="preserve">Valstybinės vaistų kontrolės tarnybos prie Lietuvos Respublikos sveikatos apsaugos ministerijos tinklalapyje </w:t>
      </w:r>
      <w:r w:rsidRPr="00CB25DC">
        <w:rPr>
          <w:color w:val="auto"/>
          <w:sz w:val="22"/>
          <w:szCs w:val="22"/>
          <w:u w:val="single"/>
          <w:lang w:eastAsia="en-US"/>
        </w:rPr>
        <w:t>https://vvkt.lrv.lt/lt/</w:t>
      </w:r>
      <w:r w:rsidRPr="00CB25DC">
        <w:rPr>
          <w:color w:val="auto"/>
          <w:sz w:val="22"/>
          <w:szCs w:val="22"/>
          <w:lang w:eastAsia="en-US"/>
        </w:rPr>
        <w:t xml:space="preserve"> nurodytais būdais.</w:t>
      </w:r>
    </w:p>
    <w:p w14:paraId="4BF13EF5" w14:textId="77777777" w:rsidR="00823785" w:rsidRPr="00452D62" w:rsidRDefault="00823785" w:rsidP="00823785">
      <w:pPr>
        <w:rPr>
          <w:sz w:val="22"/>
          <w:szCs w:val="22"/>
        </w:rPr>
      </w:pPr>
    </w:p>
    <w:p w14:paraId="010917BF" w14:textId="77777777" w:rsidR="00823785" w:rsidRPr="00452D62" w:rsidRDefault="00823785" w:rsidP="00823785">
      <w:pPr>
        <w:widowControl w:val="0"/>
        <w:suppressAutoHyphens w:val="0"/>
        <w:spacing w:line="240" w:lineRule="auto"/>
        <w:ind w:left="567" w:hanging="567"/>
        <w:outlineLvl w:val="2"/>
        <w:rPr>
          <w:sz w:val="22"/>
          <w:szCs w:val="22"/>
        </w:rPr>
      </w:pPr>
      <w:r w:rsidRPr="00452D62">
        <w:rPr>
          <w:b/>
          <w:color w:val="auto"/>
          <w:kern w:val="28"/>
          <w:sz w:val="22"/>
          <w:szCs w:val="22"/>
          <w:lang w:eastAsia="en-US"/>
        </w:rPr>
        <w:t>4.9</w:t>
      </w:r>
      <w:r w:rsidRPr="00452D62">
        <w:rPr>
          <w:b/>
          <w:color w:val="auto"/>
          <w:kern w:val="28"/>
          <w:sz w:val="22"/>
          <w:szCs w:val="22"/>
          <w:lang w:eastAsia="en-US"/>
        </w:rPr>
        <w:tab/>
        <w:t>Perdozavimas</w:t>
      </w:r>
    </w:p>
    <w:p w14:paraId="54E0AC96" w14:textId="77777777" w:rsidR="00823785" w:rsidRPr="00452D62" w:rsidRDefault="00823785" w:rsidP="00823785">
      <w:pPr>
        <w:rPr>
          <w:sz w:val="22"/>
          <w:szCs w:val="22"/>
        </w:rPr>
      </w:pPr>
    </w:p>
    <w:p w14:paraId="4A49EB28" w14:textId="77777777" w:rsidR="00823785" w:rsidRPr="00452D62" w:rsidRDefault="00823785" w:rsidP="00823785">
      <w:pPr>
        <w:rPr>
          <w:sz w:val="22"/>
          <w:szCs w:val="22"/>
        </w:rPr>
      </w:pPr>
      <w:r w:rsidRPr="00452D62">
        <w:rPr>
          <w:sz w:val="22"/>
          <w:szCs w:val="22"/>
        </w:rPr>
        <w:t>Pranešta apie retus perdozavimo iki 1960 mg atvejus. Perdozavimo atveju, pacientas turi būti atidžiai stebimas dėl kraujavimo komplikacijų arba kitų nepageidaujamų reakcijų (žr. skyrių „Gydymas esant kraujavimui“). Tikėtina, kad dėl ribotos absorbcijos, vartojant terapines dozes viršijančias 50 mg ir didesnes rivaroksabano dozes, pasiekiama maksimali vidutinė ekspozicija plazmoje, kuri, toliau didinant dozę, nebedidėja.</w:t>
      </w:r>
    </w:p>
    <w:p w14:paraId="10CF3BB8" w14:textId="77777777" w:rsidR="00823785" w:rsidRPr="00452D62" w:rsidRDefault="00823785" w:rsidP="00823785">
      <w:pPr>
        <w:rPr>
          <w:sz w:val="22"/>
          <w:szCs w:val="22"/>
        </w:rPr>
      </w:pPr>
      <w:r w:rsidRPr="00452D62">
        <w:rPr>
          <w:sz w:val="22"/>
          <w:szCs w:val="22"/>
        </w:rPr>
        <w:t>Yra specifinis neutralizuojantis vaistinis preparatas (andeksanetas alfa), rivaroksabano farmakodinaminio poveikio antagonistas (žr. andeksaneto alfa preparato charakteristikų santrauką).</w:t>
      </w:r>
    </w:p>
    <w:p w14:paraId="7932C1AE" w14:textId="77777777" w:rsidR="00823785" w:rsidRPr="00452D62" w:rsidRDefault="00823785" w:rsidP="00823785">
      <w:pPr>
        <w:rPr>
          <w:sz w:val="22"/>
          <w:szCs w:val="22"/>
        </w:rPr>
      </w:pPr>
      <w:r w:rsidRPr="00452D62">
        <w:rPr>
          <w:sz w:val="22"/>
          <w:szCs w:val="22"/>
        </w:rPr>
        <w:t>Galima apsvarstyti aktyvintosios anglies skyrimą, taip sumažinant absorbciją po rivaroksabano perdozavimo.</w:t>
      </w:r>
    </w:p>
    <w:p w14:paraId="2B3D2720" w14:textId="77777777" w:rsidR="00823785" w:rsidRPr="00452D62" w:rsidRDefault="00823785" w:rsidP="00823785">
      <w:pPr>
        <w:rPr>
          <w:sz w:val="22"/>
          <w:szCs w:val="22"/>
          <w:u w:val="single"/>
        </w:rPr>
      </w:pPr>
    </w:p>
    <w:p w14:paraId="6412B44A" w14:textId="77777777" w:rsidR="00823785" w:rsidRPr="00452D62" w:rsidRDefault="00823785" w:rsidP="00823785">
      <w:pPr>
        <w:rPr>
          <w:sz w:val="22"/>
          <w:szCs w:val="22"/>
        </w:rPr>
      </w:pPr>
      <w:r w:rsidRPr="00452D62">
        <w:rPr>
          <w:sz w:val="22"/>
          <w:szCs w:val="22"/>
          <w:u w:val="single"/>
        </w:rPr>
        <w:t>Kraujavimo kontrolė</w:t>
      </w:r>
    </w:p>
    <w:p w14:paraId="3C9B6788" w14:textId="77777777" w:rsidR="00823785" w:rsidRPr="00452D62" w:rsidRDefault="00823785" w:rsidP="00823785">
      <w:pPr>
        <w:rPr>
          <w:sz w:val="22"/>
          <w:szCs w:val="22"/>
        </w:rPr>
      </w:pPr>
      <w:r w:rsidRPr="00452D62">
        <w:rPr>
          <w:sz w:val="22"/>
          <w:szCs w:val="22"/>
        </w:rPr>
        <w:t>Jei rivaroksabano vartojančiam pacientui pasireiškė kraujavimo komplikacija, reikia pavėlinti kitos rivaroksabano dozės vartojimą arba gydymą nutraukti (kaip tinkama). Rivaroksabano pusinės eliminacijos laikas yra maždaug 5</w:t>
      </w:r>
      <w:r w:rsidRPr="00452D62">
        <w:rPr>
          <w:sz w:val="22"/>
          <w:szCs w:val="22"/>
        </w:rPr>
        <w:noBreakHyphen/>
        <w:t>13 valandų (žr. 5.2 skyrių). Gydymas turi būti individualizuotas atsižvelgiant į kraujavimo sunkumą ir vietą. Prireikus turi būti taikomas atitinkamas simptominis gydymas, toks kaip mechaninė kompresija (pvz., stipriai kraujuojant iš nosies), chirurginė hemostazė taikant kraujavimo kontrolės procedūras, skysčių kiekio papildymas ir hemodinamikos palaikymas, kraujo preparatų (eritrocitų masės ar šviežiai šaldytos plazmos, atsižvelgiant į tai, ar yra susijusi anemija ar koagulopatija) ar trombocitų perpylimas.</w:t>
      </w:r>
    </w:p>
    <w:p w14:paraId="30DF8E6B" w14:textId="01D933D4" w:rsidR="00823785" w:rsidRPr="00452D62" w:rsidRDefault="00823785" w:rsidP="00823785">
      <w:pPr>
        <w:rPr>
          <w:sz w:val="22"/>
          <w:szCs w:val="22"/>
        </w:rPr>
      </w:pPr>
      <w:r w:rsidRPr="00452D62">
        <w:rPr>
          <w:sz w:val="22"/>
          <w:szCs w:val="22"/>
        </w:rPr>
        <w:t xml:space="preserve">Jeigu anksčiau paminėtomis priemonėmis kraujavimo kontroliuoti nepavyksta, reikia spręsti dėl neutralizuojančiojo vaistinio preparato specifinio Xa faktoriaus inhibitoriaus (andeksaneto alfa), kuris yra rivaroksabano farmakodinaminio poveikio antagonistas, arba specifinio prokoaguliacinio </w:t>
      </w:r>
      <w:r w:rsidR="00D71A7A">
        <w:rPr>
          <w:sz w:val="22"/>
          <w:szCs w:val="22"/>
        </w:rPr>
        <w:t xml:space="preserve">vaistinio </w:t>
      </w:r>
      <w:r w:rsidRPr="00452D62">
        <w:rPr>
          <w:sz w:val="22"/>
          <w:szCs w:val="22"/>
        </w:rPr>
        <w:t>preparato, pvz., protrombino komplekso koncentrato (PKK), aktyvuoto protrombino komplekso koncentrato (APKK) ar rekombinantinio VIIa faktoriaus (r-FVIIa) skyrimo. Vis dėlto, klinikinė patirtis skiriant šių vaistinių preparatų rivaroksabanu gydomiems pacientams yra labai nedidelė. Ši rekomendacija taip pat yra pagrįsta ribotais ikiklinikiniais duomenimis. Reikia apsvarstyti kartotinį rekombinantinio VIIa faktoriaus skyrimą ir dozę titruoti atsižvelgiant į kraujavimo mažėjimą. Atsižvelgiant į vietines galimybes, didžiojo kraujavimo atveju reikia spręsti dėl kraujo krešėjimo specialisto konsultacijos poreikio (žr. 5.1 skyrių).</w:t>
      </w:r>
    </w:p>
    <w:p w14:paraId="0B6779B0" w14:textId="77777777" w:rsidR="00823785" w:rsidRPr="00452D62" w:rsidRDefault="00823785" w:rsidP="00823785">
      <w:pPr>
        <w:rPr>
          <w:sz w:val="22"/>
          <w:szCs w:val="22"/>
        </w:rPr>
      </w:pPr>
    </w:p>
    <w:p w14:paraId="1BB40E1C" w14:textId="77777777" w:rsidR="00823785" w:rsidRPr="00452D62" w:rsidRDefault="00823785" w:rsidP="00823785">
      <w:pPr>
        <w:rPr>
          <w:sz w:val="22"/>
          <w:szCs w:val="22"/>
        </w:rPr>
      </w:pPr>
      <w:r w:rsidRPr="00452D62">
        <w:rPr>
          <w:sz w:val="22"/>
          <w:szCs w:val="22"/>
        </w:rPr>
        <w:t>Nemanoma, kad protamino sulfatas ir vitaminas K darytų įtaką rivaroksabano antikoaguliaciniam aktyvumui. Patirtis, skiriant traneksamo rūgštį, yra nedidelė, o patirties skiriant aminokaprono rūgštį ir aprotininą rivaroksabano vartojantiems asmenims nėra. Nei mokslinio palankaus poveikio pagrindimo, nei patirties skiriant sisteminį hemostatiką desmopresiną rivaroksabanu gydomiems pacientams, nėra. Daug rivaroksabano prisijungia prie kraujo plazmos baltymų, todėl jo pašalinimas dialize nėra tikėtinas.</w:t>
      </w:r>
    </w:p>
    <w:p w14:paraId="658E1259" w14:textId="77777777" w:rsidR="00823785" w:rsidRPr="00452D62" w:rsidRDefault="00823785" w:rsidP="00823785">
      <w:pPr>
        <w:rPr>
          <w:sz w:val="22"/>
          <w:szCs w:val="22"/>
        </w:rPr>
      </w:pPr>
    </w:p>
    <w:p w14:paraId="1662D9CB" w14:textId="77777777" w:rsidR="00823785" w:rsidRPr="00452D62" w:rsidRDefault="00823785" w:rsidP="00823785">
      <w:pPr>
        <w:rPr>
          <w:sz w:val="22"/>
          <w:szCs w:val="22"/>
        </w:rPr>
      </w:pPr>
    </w:p>
    <w:p w14:paraId="694A0514" w14:textId="77777777" w:rsidR="00823785" w:rsidRPr="00452D62" w:rsidRDefault="00823785" w:rsidP="00823785">
      <w:pPr>
        <w:widowControl w:val="0"/>
        <w:suppressAutoHyphens w:val="0"/>
        <w:spacing w:line="240" w:lineRule="auto"/>
        <w:ind w:left="567" w:hanging="567"/>
        <w:outlineLvl w:val="1"/>
        <w:rPr>
          <w:b/>
          <w:bCs/>
          <w:color w:val="auto"/>
          <w:sz w:val="22"/>
          <w:szCs w:val="22"/>
          <w:lang w:eastAsia="en-US"/>
        </w:rPr>
      </w:pPr>
      <w:r w:rsidRPr="00452D62">
        <w:rPr>
          <w:b/>
          <w:bCs/>
          <w:color w:val="auto"/>
          <w:sz w:val="22"/>
          <w:szCs w:val="22"/>
          <w:lang w:eastAsia="en-US"/>
        </w:rPr>
        <w:t>5.</w:t>
      </w:r>
      <w:r w:rsidRPr="00452D62">
        <w:rPr>
          <w:b/>
          <w:bCs/>
          <w:color w:val="auto"/>
          <w:sz w:val="22"/>
          <w:szCs w:val="22"/>
          <w:lang w:eastAsia="en-US"/>
        </w:rPr>
        <w:tab/>
        <w:t>FARMAKOLOGINĖS SAVYBĖS</w:t>
      </w:r>
    </w:p>
    <w:p w14:paraId="57B1C348" w14:textId="77777777" w:rsidR="00823785" w:rsidRPr="00452D62" w:rsidRDefault="00823785" w:rsidP="00823785">
      <w:pPr>
        <w:rPr>
          <w:sz w:val="22"/>
          <w:szCs w:val="22"/>
        </w:rPr>
      </w:pPr>
    </w:p>
    <w:p w14:paraId="599D7407"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 xml:space="preserve">5.1 </w:t>
      </w:r>
      <w:r w:rsidRPr="00452D62">
        <w:rPr>
          <w:b/>
          <w:color w:val="auto"/>
          <w:kern w:val="28"/>
          <w:sz w:val="22"/>
          <w:szCs w:val="22"/>
          <w:lang w:eastAsia="en-US"/>
        </w:rPr>
        <w:tab/>
        <w:t>Farmakodinaminės savybės</w:t>
      </w:r>
    </w:p>
    <w:p w14:paraId="08790657" w14:textId="77777777" w:rsidR="00823785" w:rsidRPr="00452D62" w:rsidRDefault="00823785" w:rsidP="00823785">
      <w:pPr>
        <w:rPr>
          <w:sz w:val="22"/>
          <w:szCs w:val="22"/>
        </w:rPr>
      </w:pPr>
    </w:p>
    <w:p w14:paraId="25F4EA42" w14:textId="77777777" w:rsidR="00823785" w:rsidRPr="00452D62" w:rsidRDefault="00823785" w:rsidP="00823785">
      <w:pPr>
        <w:rPr>
          <w:sz w:val="22"/>
          <w:szCs w:val="22"/>
          <w:u w:val="single"/>
        </w:rPr>
      </w:pPr>
      <w:r w:rsidRPr="00452D62">
        <w:rPr>
          <w:sz w:val="22"/>
          <w:szCs w:val="22"/>
        </w:rPr>
        <w:t>Farmakoterapinė grupė – antitromboziniai vaistiniai preparatai, tiesioginiai Xa faktoriaus inhibitoriai, ATC kodas – B01AF01.</w:t>
      </w:r>
    </w:p>
    <w:p w14:paraId="3FCBB7B9" w14:textId="77777777" w:rsidR="00823785" w:rsidRPr="00452D62" w:rsidRDefault="00823785" w:rsidP="00823785">
      <w:pPr>
        <w:rPr>
          <w:sz w:val="22"/>
          <w:szCs w:val="22"/>
          <w:u w:val="single"/>
        </w:rPr>
      </w:pPr>
    </w:p>
    <w:p w14:paraId="05541492" w14:textId="77777777" w:rsidR="00823785" w:rsidRPr="00452D62" w:rsidRDefault="00823785" w:rsidP="00823785">
      <w:pPr>
        <w:rPr>
          <w:sz w:val="22"/>
          <w:szCs w:val="22"/>
        </w:rPr>
      </w:pPr>
      <w:r w:rsidRPr="00452D62">
        <w:rPr>
          <w:sz w:val="22"/>
          <w:szCs w:val="22"/>
          <w:u w:val="single"/>
        </w:rPr>
        <w:t xml:space="preserve">Veikimo mechanizmas </w:t>
      </w:r>
    </w:p>
    <w:p w14:paraId="05A5C8C9" w14:textId="77777777" w:rsidR="00823785" w:rsidRPr="00452D62" w:rsidRDefault="00823785" w:rsidP="00823785">
      <w:pPr>
        <w:rPr>
          <w:sz w:val="22"/>
          <w:szCs w:val="22"/>
          <w:u w:val="single"/>
        </w:rPr>
      </w:pPr>
      <w:r w:rsidRPr="00452D62">
        <w:rPr>
          <w:sz w:val="22"/>
          <w:szCs w:val="22"/>
        </w:rPr>
        <w:t>Rivaroksabanas yra labai selektyvus tiesioginis Xa faktoriaus inhibitorius, kuris vartojant per burną yra biologiškai pasisavinamas. Xa faktoriaus slopinimas sutrikdo vidinį ir išorinį kraujo krešėjimo kaskados kelią, kadangi slopina trombino gamybą ir trombų formavimąsi. Rivaroksabanas neslopina trombino (aktyvuoto II faktorius) ir jo poveikis trombocitams nebuvo nustatytas.</w:t>
      </w:r>
    </w:p>
    <w:p w14:paraId="44146CC9" w14:textId="77777777" w:rsidR="00823785" w:rsidRPr="00452D62" w:rsidRDefault="00823785" w:rsidP="00823785">
      <w:pPr>
        <w:rPr>
          <w:sz w:val="22"/>
          <w:szCs w:val="22"/>
          <w:u w:val="single"/>
        </w:rPr>
      </w:pPr>
    </w:p>
    <w:p w14:paraId="5E9E2379" w14:textId="77777777" w:rsidR="00823785" w:rsidRPr="00452D62" w:rsidRDefault="00823785" w:rsidP="00823785">
      <w:pPr>
        <w:rPr>
          <w:sz w:val="22"/>
          <w:szCs w:val="22"/>
        </w:rPr>
      </w:pPr>
      <w:r w:rsidRPr="00452D62">
        <w:rPr>
          <w:sz w:val="22"/>
          <w:szCs w:val="22"/>
          <w:u w:val="single"/>
        </w:rPr>
        <w:t>Farmakodinaminis poveikis</w:t>
      </w:r>
    </w:p>
    <w:p w14:paraId="73C3CB98" w14:textId="77777777" w:rsidR="00823785" w:rsidRPr="00452D62" w:rsidRDefault="00823785" w:rsidP="00823785">
      <w:pPr>
        <w:rPr>
          <w:sz w:val="22"/>
          <w:szCs w:val="22"/>
        </w:rPr>
      </w:pPr>
      <w:r w:rsidRPr="00452D62">
        <w:rPr>
          <w:sz w:val="22"/>
          <w:szCs w:val="22"/>
        </w:rPr>
        <w:t xml:space="preserve">Žmonėms nustatytas nuo dozės priklausomas Xa faktoriaus slopinimas. Protrombino laiką (angl. </w:t>
      </w:r>
      <w:r w:rsidRPr="00452D62">
        <w:rPr>
          <w:i/>
          <w:iCs/>
          <w:sz w:val="22"/>
          <w:szCs w:val="22"/>
        </w:rPr>
        <w:t xml:space="preserve">prothrombin time, </w:t>
      </w:r>
      <w:r w:rsidRPr="00452D62">
        <w:rPr>
          <w:sz w:val="22"/>
          <w:szCs w:val="22"/>
        </w:rPr>
        <w:t xml:space="preserve">PT) rivaroksabanas veikia priklausomai nuo dozės, poveikis stipriai koreliuoja su koncentracija kraujo plazmoje (r rodmuo lygus 0,98), jei tyrimui naudojamas </w:t>
      </w:r>
      <w:r w:rsidRPr="00452D62">
        <w:rPr>
          <w:i/>
          <w:iCs/>
          <w:sz w:val="22"/>
          <w:szCs w:val="22"/>
        </w:rPr>
        <w:t>Neoplastin</w:t>
      </w:r>
      <w:r w:rsidRPr="00452D62">
        <w:rPr>
          <w:sz w:val="22"/>
          <w:szCs w:val="22"/>
        </w:rPr>
        <w:t xml:space="preserve">. Naudojant kitus reagentus, gaunami skirtingi rezultatai. PT nuskaitymas turi būti atliekamas per keletą sekundžių, nes </w:t>
      </w:r>
      <w:r w:rsidRPr="00452D62">
        <w:rPr>
          <w:iCs/>
          <w:sz w:val="22"/>
          <w:szCs w:val="22"/>
        </w:rPr>
        <w:t>INR</w:t>
      </w:r>
      <w:r w:rsidRPr="00452D62">
        <w:rPr>
          <w:sz w:val="22"/>
          <w:szCs w:val="22"/>
        </w:rPr>
        <w:t xml:space="preserve"> yra kalibruotas ir patvirtintas kumarinams ir turi būti nenaudojamas jokiam kitam antikoaguliantui. Pacientams, kuriems atliekama didžioji ortopedinė operacija, 5/95 procentilių PT (</w:t>
      </w:r>
      <w:r w:rsidRPr="00452D62">
        <w:rPr>
          <w:i/>
          <w:iCs/>
          <w:sz w:val="22"/>
          <w:szCs w:val="22"/>
        </w:rPr>
        <w:t>Neoplastin</w:t>
      </w:r>
      <w:r w:rsidRPr="00452D62">
        <w:rPr>
          <w:sz w:val="22"/>
          <w:szCs w:val="22"/>
        </w:rPr>
        <w:t>), praėjus 2</w:t>
      </w:r>
      <w:r w:rsidRPr="00452D62">
        <w:rPr>
          <w:sz w:val="22"/>
          <w:szCs w:val="22"/>
        </w:rPr>
        <w:noBreakHyphen/>
        <w:t>4 valandoms po tabletės pavartojimo (t. y. maksimalaus poveikio metu) svyravo nuo 13 iki 25 sekundžių (prieš operaciją pradiniai rodmenys buvo nuo 12 iki 15 sekundžių).</w:t>
      </w:r>
    </w:p>
    <w:p w14:paraId="396682FA" w14:textId="77777777" w:rsidR="00823785" w:rsidRPr="00452D62" w:rsidRDefault="00823785" w:rsidP="00823785">
      <w:pPr>
        <w:rPr>
          <w:sz w:val="22"/>
          <w:szCs w:val="22"/>
        </w:rPr>
      </w:pPr>
      <w:r w:rsidRPr="00452D62">
        <w:rPr>
          <w:sz w:val="22"/>
          <w:szCs w:val="22"/>
        </w:rPr>
        <w:t xml:space="preserve">Klinikinės farmakologijos tyrimo metu analizuojant rivaroksabano farmakodinaminio poveikio panaikinimą sveikiems suaugusiems tiriamiesiems (n=22), buvo įvertintas dviejų skirtingų PKK, t. y. 3-jų faktorių PKK (II, IX ir X faktorių) ir 4-ių faktorių PKK (II, VII, IX ir X faktorių), vienkartinės dozės (50 TV/kg) poveikis. 3-jų faktorių PKK sumažino </w:t>
      </w:r>
      <w:r w:rsidRPr="00452D62">
        <w:rPr>
          <w:i/>
          <w:iCs/>
          <w:sz w:val="22"/>
          <w:szCs w:val="22"/>
        </w:rPr>
        <w:t>Neoplastin</w:t>
      </w:r>
      <w:r w:rsidRPr="00452D62">
        <w:rPr>
          <w:sz w:val="22"/>
          <w:szCs w:val="22"/>
        </w:rPr>
        <w:t xml:space="preserve"> vidutinį PT maždaug 1,0 sekunde per 30 minučių, lyginant su maždaug 3,5 sekundžių sumažėjimu, stebėtu vartojant 4-faktorių PKK. Priešingai, 3-jų faktorių PKK sukėlė didesnį ir greitesnį poveikį bendram endogeninio trombino susiformavimo neutralizavimui, palyginti su 4-ių faktorių PKK (žr. 4.9 skyrių).</w:t>
      </w:r>
    </w:p>
    <w:p w14:paraId="2CBB74EE" w14:textId="77777777" w:rsidR="00823785" w:rsidRPr="00452D62" w:rsidRDefault="00823785" w:rsidP="00823785">
      <w:pPr>
        <w:rPr>
          <w:sz w:val="22"/>
          <w:szCs w:val="22"/>
        </w:rPr>
      </w:pPr>
      <w:r w:rsidRPr="00452D62">
        <w:rPr>
          <w:sz w:val="22"/>
          <w:szCs w:val="22"/>
        </w:rPr>
        <w:t xml:space="preserve">Dalinis aktyvintas tromboplastino laikas (DATL) ir </w:t>
      </w:r>
      <w:r w:rsidRPr="00452D62">
        <w:rPr>
          <w:i/>
          <w:sz w:val="22"/>
          <w:szCs w:val="22"/>
        </w:rPr>
        <w:t>HepTest</w:t>
      </w:r>
      <w:r w:rsidRPr="00452D62">
        <w:rPr>
          <w:sz w:val="22"/>
          <w:szCs w:val="22"/>
        </w:rPr>
        <w:t xml:space="preserve"> rodmuo pailgėja taip pat priklausomai nuo dozės, tačiau šie tyrimai nerekomenduojami rivaroksabano farmakodinaminiam poveikiui įvertinti. Įprastinėmis klinikinėmis sąlygomis gydant rivaroksabanu krešėjimo parametrų stebėti nereikia. Vis dėlto, esant klinikinėms indikacijoms, rivaroksabano lygį galima išmatuoti kalibruotu kiekybiniu anti-Xa faktoriaus tyrimu (žr. 5.2 skyrių).</w:t>
      </w:r>
    </w:p>
    <w:p w14:paraId="2E81AC92" w14:textId="77777777" w:rsidR="00823785" w:rsidRPr="00452D62" w:rsidRDefault="00823785" w:rsidP="00823785">
      <w:pPr>
        <w:rPr>
          <w:sz w:val="22"/>
          <w:szCs w:val="22"/>
        </w:rPr>
      </w:pPr>
    </w:p>
    <w:p w14:paraId="3FC63C46" w14:textId="77777777" w:rsidR="00823785" w:rsidRPr="00452D62" w:rsidRDefault="00823785" w:rsidP="00823785">
      <w:pPr>
        <w:rPr>
          <w:sz w:val="22"/>
          <w:szCs w:val="22"/>
          <w:u w:val="single"/>
        </w:rPr>
      </w:pPr>
      <w:r w:rsidRPr="00452D62">
        <w:rPr>
          <w:sz w:val="22"/>
          <w:szCs w:val="22"/>
          <w:u w:val="single"/>
        </w:rPr>
        <w:t>Klinikinis veiksmingumas ir saugumas</w:t>
      </w:r>
    </w:p>
    <w:p w14:paraId="33031E1A" w14:textId="77777777" w:rsidR="00823785" w:rsidRPr="00452D62" w:rsidRDefault="00823785" w:rsidP="00823785">
      <w:pPr>
        <w:rPr>
          <w:i/>
          <w:sz w:val="22"/>
          <w:szCs w:val="22"/>
        </w:rPr>
      </w:pPr>
      <w:r w:rsidRPr="00452D62">
        <w:rPr>
          <w:i/>
          <w:sz w:val="22"/>
          <w:szCs w:val="22"/>
        </w:rPr>
        <w:t>VTE profilaktika suaugusiems pacientams, kuriems atliekamos planinės klubo arba kelio sąnario pakeitimo operacijos</w:t>
      </w:r>
    </w:p>
    <w:p w14:paraId="19A688AA" w14:textId="77777777" w:rsidR="00823785" w:rsidRPr="00452D62" w:rsidRDefault="00823785" w:rsidP="00823785">
      <w:pPr>
        <w:rPr>
          <w:sz w:val="22"/>
          <w:szCs w:val="22"/>
        </w:rPr>
      </w:pPr>
      <w:r w:rsidRPr="00452D62">
        <w:rPr>
          <w:sz w:val="22"/>
          <w:szCs w:val="22"/>
        </w:rPr>
        <w:t>Rivaroksabano klinikinė programa buvo suplanuota įrodyti VTE, t. y. proksimalinės ir distalinės giliųjų venų trombozės (GVT) ir plaučių embolijos (PE), profilaktikos veiksmingumą vartojant rivaroksabano pacientams, kuriems atliekamos didžiosios ortopedinės kojų operacijos. Daugiau kaip 9500 pacientų (iš viso 7050 klubo sąnario pakeitimo operacijų ir iš viso 2531 kelio sąnario pakeitimo operacija) dalyvavo kontroliuojamuose, atsitiktinių imčių, dvigubai koduotuose, III fazės klinikiniuose tyrimuose RECORD programoje. Rivaroksabanas, skiriamas po 10 mg vieną kartą per parą ir pradėtas vartoti ne anksčiau kaip po 6 val. po operacijos, buvo lyginamas su enoksaparinu, vartojamu po 40 mg vieną kartą per parą, pradedant jo vartoti 12 valandų prieš operaciją.</w:t>
      </w:r>
    </w:p>
    <w:p w14:paraId="24D5A499" w14:textId="77777777" w:rsidR="00823785" w:rsidRPr="00452D62" w:rsidRDefault="00823785" w:rsidP="00823785">
      <w:pPr>
        <w:rPr>
          <w:sz w:val="22"/>
          <w:szCs w:val="22"/>
        </w:rPr>
      </w:pPr>
      <w:r w:rsidRPr="00452D62">
        <w:rPr>
          <w:sz w:val="22"/>
          <w:szCs w:val="22"/>
        </w:rPr>
        <w:t>Visuose trijuose III fazės tyrimuose (žr. 4 lentelę) rivaroksabanas reikšmingai sumažino bendrąjį VTE (bet kokios venografijos metu nustatytos arba simptominės GVT, nemirtinos PE ir su VTE susijusios mirties) ir didžiųjų VTE reiškinių (proksimalinės GVT, nemirtinos PE ir su VTE susijusios mirties) dažnį, t. y. iš anksto numatytas pagrindinės ir svarbiąsias antrines veiksmingumo vertinamąsias baigtis. Taip pat visuose trijuose tyrimuose simptominės VTE (simptominės GVT, nemirtinos PE ir su VTE susijusios mirties) dažnis buvo mažesnis rivaroksabanu gydytiems pacientams, palyginti su pacientais, gydytais enoksaparinu.</w:t>
      </w:r>
    </w:p>
    <w:p w14:paraId="331835F5" w14:textId="77777777" w:rsidR="00823785" w:rsidRPr="00452D62" w:rsidRDefault="00823785" w:rsidP="00823785">
      <w:pPr>
        <w:rPr>
          <w:sz w:val="22"/>
          <w:szCs w:val="22"/>
        </w:rPr>
      </w:pPr>
      <w:r w:rsidRPr="00452D62">
        <w:rPr>
          <w:sz w:val="22"/>
          <w:szCs w:val="22"/>
        </w:rPr>
        <w:t>Pagrindinė saugumo vertinamoji baigtis didysis kraujavimas 10 mg rivaroksabano doze arba 40 mg enoksaparino doze gydytiems pacientams pasireiškė panašiu dažniu.</w:t>
      </w:r>
    </w:p>
    <w:p w14:paraId="42DAD092" w14:textId="77777777" w:rsidR="00823785" w:rsidRPr="00452D62" w:rsidRDefault="00823785" w:rsidP="00823785">
      <w:pPr>
        <w:rPr>
          <w:sz w:val="22"/>
          <w:szCs w:val="22"/>
        </w:rPr>
      </w:pPr>
    </w:p>
    <w:p w14:paraId="5F803F56" w14:textId="7B8F4EC0" w:rsidR="00823785" w:rsidRPr="00452D62" w:rsidRDefault="00823785" w:rsidP="00823785">
      <w:pPr>
        <w:rPr>
          <w:sz w:val="22"/>
          <w:szCs w:val="22"/>
        </w:rPr>
      </w:pPr>
      <w:r w:rsidRPr="00452D62">
        <w:rPr>
          <w:b/>
          <w:bCs/>
          <w:sz w:val="22"/>
          <w:szCs w:val="22"/>
        </w:rPr>
        <w:t>4 lentelė. III fazės klinikinių tyrimų veiksmingumo ir saugumo rezultatai</w:t>
      </w:r>
    </w:p>
    <w:tbl>
      <w:tblPr>
        <w:tblW w:w="10065" w:type="dxa"/>
        <w:tblInd w:w="108" w:type="dxa"/>
        <w:tblLayout w:type="fixed"/>
        <w:tblLook w:val="0000" w:firstRow="0" w:lastRow="0" w:firstColumn="0" w:lastColumn="0" w:noHBand="0" w:noVBand="0"/>
      </w:tblPr>
      <w:tblGrid>
        <w:gridCol w:w="1239"/>
        <w:gridCol w:w="1118"/>
        <w:gridCol w:w="983"/>
        <w:gridCol w:w="671"/>
        <w:gridCol w:w="1004"/>
        <w:gridCol w:w="998"/>
        <w:gridCol w:w="813"/>
        <w:gridCol w:w="1334"/>
        <w:gridCol w:w="1112"/>
        <w:gridCol w:w="793"/>
      </w:tblGrid>
      <w:tr w:rsidR="00823785" w:rsidRPr="00452D62" w14:paraId="768E0374" w14:textId="77777777" w:rsidTr="006453B9">
        <w:tc>
          <w:tcPr>
            <w:tcW w:w="1239" w:type="dxa"/>
            <w:tcBorders>
              <w:top w:val="single" w:sz="4" w:space="0" w:color="000000"/>
              <w:left w:val="single" w:sz="4" w:space="0" w:color="000000"/>
              <w:bottom w:val="single" w:sz="4" w:space="0" w:color="000000"/>
              <w:right w:val="single" w:sz="4" w:space="0" w:color="000000"/>
            </w:tcBorders>
            <w:shd w:val="clear" w:color="auto" w:fill="FFFFFF"/>
          </w:tcPr>
          <w:p w14:paraId="560ABF53" w14:textId="77777777" w:rsidR="00823785" w:rsidRPr="00AE1B80" w:rsidRDefault="00823785" w:rsidP="006453B9">
            <w:pPr>
              <w:rPr>
                <w:b/>
                <w:bCs/>
                <w:sz w:val="22"/>
                <w:szCs w:val="22"/>
              </w:rPr>
            </w:pPr>
          </w:p>
        </w:tc>
        <w:tc>
          <w:tcPr>
            <w:tcW w:w="2772" w:type="dxa"/>
            <w:gridSpan w:val="3"/>
            <w:tcBorders>
              <w:top w:val="single" w:sz="4" w:space="0" w:color="000000"/>
              <w:left w:val="single" w:sz="4" w:space="0" w:color="000000"/>
              <w:bottom w:val="single" w:sz="4" w:space="0" w:color="000000"/>
              <w:right w:val="single" w:sz="4" w:space="0" w:color="000000"/>
            </w:tcBorders>
            <w:shd w:val="clear" w:color="auto" w:fill="FFFFFF"/>
          </w:tcPr>
          <w:p w14:paraId="755AC15E" w14:textId="77777777" w:rsidR="00823785" w:rsidRPr="00AE1B80" w:rsidRDefault="00823785" w:rsidP="006453B9">
            <w:pPr>
              <w:jc w:val="center"/>
              <w:rPr>
                <w:b/>
                <w:bCs/>
                <w:sz w:val="22"/>
                <w:szCs w:val="22"/>
              </w:rPr>
            </w:pPr>
            <w:r w:rsidRPr="00AE1B80">
              <w:rPr>
                <w:b/>
                <w:bCs/>
                <w:sz w:val="22"/>
                <w:szCs w:val="22"/>
              </w:rPr>
              <w:t>RECORD 1</w:t>
            </w:r>
          </w:p>
        </w:tc>
        <w:tc>
          <w:tcPr>
            <w:tcW w:w="2815" w:type="dxa"/>
            <w:gridSpan w:val="3"/>
            <w:tcBorders>
              <w:top w:val="single" w:sz="4" w:space="0" w:color="000000"/>
              <w:left w:val="single" w:sz="4" w:space="0" w:color="000000"/>
              <w:bottom w:val="single" w:sz="4" w:space="0" w:color="000000"/>
              <w:right w:val="single" w:sz="4" w:space="0" w:color="000000"/>
            </w:tcBorders>
            <w:shd w:val="clear" w:color="auto" w:fill="FFFFFF"/>
          </w:tcPr>
          <w:p w14:paraId="35B93AC5" w14:textId="77777777" w:rsidR="00823785" w:rsidRPr="00AE1B80" w:rsidRDefault="00823785" w:rsidP="006453B9">
            <w:pPr>
              <w:jc w:val="center"/>
              <w:rPr>
                <w:b/>
                <w:bCs/>
                <w:sz w:val="22"/>
                <w:szCs w:val="22"/>
              </w:rPr>
            </w:pPr>
            <w:r w:rsidRPr="00AE1B80">
              <w:rPr>
                <w:b/>
                <w:bCs/>
                <w:sz w:val="22"/>
                <w:szCs w:val="22"/>
              </w:rPr>
              <w:t>RECORD 2</w:t>
            </w:r>
          </w:p>
        </w:tc>
        <w:tc>
          <w:tcPr>
            <w:tcW w:w="3239" w:type="dxa"/>
            <w:gridSpan w:val="3"/>
            <w:tcBorders>
              <w:top w:val="single" w:sz="4" w:space="0" w:color="000000"/>
              <w:left w:val="single" w:sz="4" w:space="0" w:color="000000"/>
              <w:bottom w:val="single" w:sz="4" w:space="0" w:color="000000"/>
              <w:right w:val="single" w:sz="4" w:space="0" w:color="000000"/>
            </w:tcBorders>
            <w:shd w:val="clear" w:color="auto" w:fill="FFFFFF"/>
          </w:tcPr>
          <w:p w14:paraId="1E1068B7" w14:textId="77777777" w:rsidR="00823785" w:rsidRPr="00AE1B80" w:rsidRDefault="00823785" w:rsidP="006453B9">
            <w:pPr>
              <w:jc w:val="center"/>
              <w:rPr>
                <w:b/>
                <w:bCs/>
                <w:sz w:val="22"/>
                <w:szCs w:val="22"/>
              </w:rPr>
            </w:pPr>
            <w:r w:rsidRPr="00AE1B80">
              <w:rPr>
                <w:b/>
                <w:bCs/>
                <w:sz w:val="22"/>
                <w:szCs w:val="22"/>
              </w:rPr>
              <w:t>RECORD 3</w:t>
            </w:r>
          </w:p>
        </w:tc>
      </w:tr>
      <w:tr w:rsidR="00823785" w:rsidRPr="00452D62" w14:paraId="007FD9B1" w14:textId="77777777" w:rsidTr="006453B9">
        <w:tc>
          <w:tcPr>
            <w:tcW w:w="1239" w:type="dxa"/>
            <w:tcBorders>
              <w:top w:val="single" w:sz="4" w:space="0" w:color="000000"/>
              <w:left w:val="single" w:sz="4" w:space="0" w:color="000000"/>
              <w:bottom w:val="single" w:sz="4" w:space="0" w:color="000000"/>
              <w:right w:val="single" w:sz="4" w:space="0" w:color="000000"/>
            </w:tcBorders>
            <w:shd w:val="clear" w:color="auto" w:fill="FFFFFF"/>
          </w:tcPr>
          <w:p w14:paraId="41276437" w14:textId="77777777" w:rsidR="00823785" w:rsidRPr="00AE1B80" w:rsidRDefault="00823785" w:rsidP="006453B9">
            <w:pPr>
              <w:rPr>
                <w:b/>
                <w:bCs/>
                <w:sz w:val="22"/>
                <w:szCs w:val="22"/>
              </w:rPr>
            </w:pPr>
            <w:r w:rsidRPr="00AE1B80">
              <w:rPr>
                <w:b/>
                <w:bCs/>
                <w:sz w:val="22"/>
                <w:szCs w:val="22"/>
              </w:rPr>
              <w:t>Tyrimo populiacija</w:t>
            </w:r>
          </w:p>
        </w:tc>
        <w:tc>
          <w:tcPr>
            <w:tcW w:w="2772" w:type="dxa"/>
            <w:gridSpan w:val="3"/>
            <w:tcBorders>
              <w:top w:val="single" w:sz="4" w:space="0" w:color="000000"/>
              <w:left w:val="single" w:sz="4" w:space="0" w:color="000000"/>
              <w:bottom w:val="single" w:sz="4" w:space="0" w:color="000000"/>
              <w:right w:val="single" w:sz="4" w:space="0" w:color="000000"/>
            </w:tcBorders>
            <w:shd w:val="clear" w:color="auto" w:fill="FFFFFF"/>
          </w:tcPr>
          <w:p w14:paraId="1F3C5B30" w14:textId="77777777" w:rsidR="00823785" w:rsidRPr="00AE1B80" w:rsidRDefault="00823785" w:rsidP="006453B9">
            <w:pPr>
              <w:rPr>
                <w:b/>
                <w:bCs/>
                <w:sz w:val="22"/>
                <w:szCs w:val="22"/>
              </w:rPr>
            </w:pPr>
            <w:r w:rsidRPr="00AE1B80">
              <w:rPr>
                <w:b/>
                <w:bCs/>
                <w:sz w:val="22"/>
                <w:szCs w:val="22"/>
              </w:rPr>
              <w:t>Iš viso 4541 pacientas, kuriam atlikta klubo sąnario pakeitimo operacija</w:t>
            </w:r>
          </w:p>
        </w:tc>
        <w:tc>
          <w:tcPr>
            <w:tcW w:w="2815" w:type="dxa"/>
            <w:gridSpan w:val="3"/>
            <w:tcBorders>
              <w:top w:val="single" w:sz="4" w:space="0" w:color="000000"/>
              <w:left w:val="single" w:sz="4" w:space="0" w:color="000000"/>
              <w:bottom w:val="single" w:sz="4" w:space="0" w:color="000000"/>
              <w:right w:val="single" w:sz="4" w:space="0" w:color="000000"/>
            </w:tcBorders>
            <w:shd w:val="clear" w:color="auto" w:fill="FFFFFF"/>
          </w:tcPr>
          <w:p w14:paraId="698305AB" w14:textId="77777777" w:rsidR="00823785" w:rsidRPr="00AE1B80" w:rsidRDefault="00823785" w:rsidP="006453B9">
            <w:pPr>
              <w:rPr>
                <w:b/>
                <w:bCs/>
                <w:sz w:val="22"/>
                <w:szCs w:val="22"/>
              </w:rPr>
            </w:pPr>
            <w:r w:rsidRPr="00AE1B80">
              <w:rPr>
                <w:b/>
                <w:bCs/>
                <w:sz w:val="22"/>
                <w:szCs w:val="22"/>
              </w:rPr>
              <w:t>Iš viso 2509 pacientai, kuriems atlikta klubo sąnario pakeitimo operacija</w:t>
            </w:r>
          </w:p>
        </w:tc>
        <w:tc>
          <w:tcPr>
            <w:tcW w:w="3239" w:type="dxa"/>
            <w:gridSpan w:val="3"/>
            <w:tcBorders>
              <w:top w:val="single" w:sz="4" w:space="0" w:color="000000"/>
              <w:left w:val="single" w:sz="4" w:space="0" w:color="000000"/>
              <w:bottom w:val="single" w:sz="4" w:space="0" w:color="000000"/>
              <w:right w:val="single" w:sz="4" w:space="0" w:color="000000"/>
            </w:tcBorders>
            <w:shd w:val="clear" w:color="auto" w:fill="FFFFFF"/>
          </w:tcPr>
          <w:p w14:paraId="627D6B07" w14:textId="77777777" w:rsidR="00823785" w:rsidRPr="00AE1B80" w:rsidRDefault="00823785" w:rsidP="006453B9">
            <w:pPr>
              <w:rPr>
                <w:b/>
                <w:bCs/>
                <w:sz w:val="22"/>
                <w:szCs w:val="22"/>
              </w:rPr>
            </w:pPr>
            <w:r w:rsidRPr="00AE1B80">
              <w:rPr>
                <w:b/>
                <w:bCs/>
                <w:sz w:val="22"/>
                <w:szCs w:val="22"/>
              </w:rPr>
              <w:t>Iš viso 2531 pacientas, kuriam atlikta kelio sąnario pakeitimo operacija</w:t>
            </w:r>
          </w:p>
        </w:tc>
      </w:tr>
      <w:tr w:rsidR="00823785" w:rsidRPr="00452D62" w14:paraId="6D2F9637" w14:textId="77777777" w:rsidTr="006453B9">
        <w:tc>
          <w:tcPr>
            <w:tcW w:w="1239" w:type="dxa"/>
            <w:tcBorders>
              <w:top w:val="single" w:sz="4" w:space="0" w:color="000000"/>
              <w:left w:val="single" w:sz="4" w:space="0" w:color="000000"/>
              <w:bottom w:val="single" w:sz="4" w:space="0" w:color="000000"/>
              <w:right w:val="single" w:sz="4" w:space="0" w:color="000000"/>
            </w:tcBorders>
            <w:shd w:val="clear" w:color="auto" w:fill="FFFFFF"/>
          </w:tcPr>
          <w:p w14:paraId="43CF0F3A" w14:textId="77777777" w:rsidR="00823785" w:rsidRPr="00AE1B80" w:rsidRDefault="00823785" w:rsidP="006453B9">
            <w:pPr>
              <w:rPr>
                <w:sz w:val="22"/>
                <w:szCs w:val="22"/>
              </w:rPr>
            </w:pPr>
            <w:r w:rsidRPr="00AE1B80">
              <w:rPr>
                <w:sz w:val="22"/>
                <w:szCs w:val="22"/>
              </w:rPr>
              <w:t>Gydymo dozė ir trukmė po operacijos</w:t>
            </w:r>
          </w:p>
        </w:tc>
        <w:tc>
          <w:tcPr>
            <w:tcW w:w="1118" w:type="dxa"/>
            <w:tcBorders>
              <w:top w:val="single" w:sz="4" w:space="0" w:color="000000"/>
              <w:left w:val="single" w:sz="4" w:space="0" w:color="000000"/>
              <w:bottom w:val="single" w:sz="4" w:space="0" w:color="000000"/>
              <w:right w:val="single" w:sz="4" w:space="0" w:color="000000"/>
            </w:tcBorders>
            <w:shd w:val="clear" w:color="auto" w:fill="FFFFFF"/>
          </w:tcPr>
          <w:p w14:paraId="7987F930" w14:textId="77777777" w:rsidR="00823785" w:rsidRPr="00AE1B80" w:rsidRDefault="00823785" w:rsidP="006453B9">
            <w:pPr>
              <w:rPr>
                <w:sz w:val="22"/>
                <w:szCs w:val="22"/>
              </w:rPr>
            </w:pPr>
            <w:r w:rsidRPr="00AE1B80">
              <w:rPr>
                <w:sz w:val="22"/>
                <w:szCs w:val="22"/>
              </w:rPr>
              <w:t xml:space="preserve">Rivaro-ksabanas </w:t>
            </w:r>
          </w:p>
          <w:p w14:paraId="706F98ED" w14:textId="77777777" w:rsidR="00823785" w:rsidRPr="00AE1B80" w:rsidRDefault="00823785" w:rsidP="006453B9">
            <w:pPr>
              <w:rPr>
                <w:sz w:val="22"/>
                <w:szCs w:val="22"/>
              </w:rPr>
            </w:pPr>
            <w:r w:rsidRPr="00AE1B80">
              <w:rPr>
                <w:sz w:val="22"/>
                <w:szCs w:val="22"/>
              </w:rPr>
              <w:t>10 mg vieną kartą per parą</w:t>
            </w:r>
          </w:p>
          <w:p w14:paraId="044AAAEC" w14:textId="77777777" w:rsidR="00823785" w:rsidRPr="00AE1B80" w:rsidRDefault="00823785" w:rsidP="006453B9">
            <w:pPr>
              <w:rPr>
                <w:sz w:val="22"/>
                <w:szCs w:val="22"/>
              </w:rPr>
            </w:pPr>
            <w:r w:rsidRPr="00AE1B80">
              <w:rPr>
                <w:sz w:val="22"/>
                <w:szCs w:val="22"/>
              </w:rPr>
              <w:t>35±4 dienos</w:t>
            </w:r>
          </w:p>
        </w:tc>
        <w:tc>
          <w:tcPr>
            <w:tcW w:w="983" w:type="dxa"/>
            <w:tcBorders>
              <w:top w:val="single" w:sz="4" w:space="0" w:color="000000"/>
              <w:left w:val="single" w:sz="4" w:space="0" w:color="000000"/>
              <w:bottom w:val="single" w:sz="4" w:space="0" w:color="000000"/>
              <w:right w:val="single" w:sz="4" w:space="0" w:color="000000"/>
            </w:tcBorders>
            <w:shd w:val="clear" w:color="auto" w:fill="FFFFFF"/>
          </w:tcPr>
          <w:p w14:paraId="3F8BC5B9" w14:textId="77777777" w:rsidR="00823785" w:rsidRPr="00AE1B80" w:rsidRDefault="00823785" w:rsidP="006453B9">
            <w:pPr>
              <w:rPr>
                <w:sz w:val="22"/>
                <w:szCs w:val="22"/>
              </w:rPr>
            </w:pPr>
            <w:r w:rsidRPr="00AE1B80">
              <w:rPr>
                <w:sz w:val="22"/>
                <w:szCs w:val="22"/>
              </w:rPr>
              <w:t>Enoksa-parinas</w:t>
            </w:r>
          </w:p>
          <w:p w14:paraId="702D2791" w14:textId="77777777" w:rsidR="00823785" w:rsidRPr="00AE1B80" w:rsidRDefault="00823785" w:rsidP="006453B9">
            <w:pPr>
              <w:rPr>
                <w:sz w:val="22"/>
                <w:szCs w:val="22"/>
              </w:rPr>
            </w:pPr>
            <w:r w:rsidRPr="00AE1B80">
              <w:rPr>
                <w:sz w:val="22"/>
                <w:szCs w:val="22"/>
              </w:rPr>
              <w:t>40 mg vieną kartą per parą</w:t>
            </w:r>
          </w:p>
          <w:p w14:paraId="0F53CBF5" w14:textId="77777777" w:rsidR="00823785" w:rsidRPr="00AE1B80" w:rsidRDefault="00823785" w:rsidP="006453B9">
            <w:pPr>
              <w:rPr>
                <w:sz w:val="22"/>
                <w:szCs w:val="22"/>
              </w:rPr>
            </w:pPr>
            <w:r w:rsidRPr="00AE1B80">
              <w:rPr>
                <w:sz w:val="22"/>
                <w:szCs w:val="22"/>
              </w:rPr>
              <w:t>35±4 dienos</w:t>
            </w:r>
          </w:p>
        </w:tc>
        <w:tc>
          <w:tcPr>
            <w:tcW w:w="671" w:type="dxa"/>
            <w:tcBorders>
              <w:top w:val="single" w:sz="4" w:space="0" w:color="000000"/>
              <w:left w:val="single" w:sz="4" w:space="0" w:color="000000"/>
              <w:bottom w:val="single" w:sz="4" w:space="0" w:color="000000"/>
              <w:right w:val="single" w:sz="4" w:space="0" w:color="000000"/>
            </w:tcBorders>
            <w:shd w:val="clear" w:color="auto" w:fill="FFFFFF"/>
          </w:tcPr>
          <w:p w14:paraId="1CC4273C" w14:textId="77777777" w:rsidR="00823785" w:rsidRPr="00AE1B80" w:rsidRDefault="00823785" w:rsidP="006453B9">
            <w:pPr>
              <w:rPr>
                <w:sz w:val="22"/>
                <w:szCs w:val="22"/>
              </w:rPr>
            </w:pPr>
            <w:r w:rsidRPr="00AE1B80">
              <w:rPr>
                <w:sz w:val="22"/>
                <w:szCs w:val="22"/>
              </w:rPr>
              <w:t>p</w:t>
            </w:r>
          </w:p>
        </w:tc>
        <w:tc>
          <w:tcPr>
            <w:tcW w:w="1004" w:type="dxa"/>
            <w:tcBorders>
              <w:top w:val="single" w:sz="4" w:space="0" w:color="000000"/>
              <w:left w:val="single" w:sz="4" w:space="0" w:color="000000"/>
              <w:bottom w:val="single" w:sz="4" w:space="0" w:color="000000"/>
              <w:right w:val="single" w:sz="4" w:space="0" w:color="000000"/>
            </w:tcBorders>
            <w:shd w:val="clear" w:color="auto" w:fill="FFFFFF"/>
          </w:tcPr>
          <w:p w14:paraId="2C21E93D" w14:textId="77777777" w:rsidR="00823785" w:rsidRPr="00AE1B80" w:rsidRDefault="00823785" w:rsidP="006453B9">
            <w:pPr>
              <w:rPr>
                <w:sz w:val="22"/>
                <w:szCs w:val="22"/>
              </w:rPr>
            </w:pPr>
            <w:r w:rsidRPr="00AE1B80">
              <w:rPr>
                <w:sz w:val="22"/>
                <w:szCs w:val="22"/>
              </w:rPr>
              <w:t xml:space="preserve">Rivaro-ksabanas </w:t>
            </w:r>
          </w:p>
          <w:p w14:paraId="2BFD84BB" w14:textId="77777777" w:rsidR="00823785" w:rsidRPr="00AE1B80" w:rsidRDefault="00823785" w:rsidP="006453B9">
            <w:pPr>
              <w:rPr>
                <w:sz w:val="22"/>
                <w:szCs w:val="22"/>
              </w:rPr>
            </w:pPr>
            <w:r w:rsidRPr="00AE1B80">
              <w:rPr>
                <w:sz w:val="22"/>
                <w:szCs w:val="22"/>
              </w:rPr>
              <w:t>10 mg vieną kartą per parą</w:t>
            </w:r>
          </w:p>
          <w:p w14:paraId="37D9BCEC" w14:textId="77777777" w:rsidR="00823785" w:rsidRPr="00AE1B80" w:rsidRDefault="00823785" w:rsidP="006453B9">
            <w:pPr>
              <w:rPr>
                <w:sz w:val="22"/>
                <w:szCs w:val="22"/>
              </w:rPr>
            </w:pPr>
            <w:r w:rsidRPr="00AE1B80">
              <w:rPr>
                <w:sz w:val="22"/>
                <w:szCs w:val="22"/>
              </w:rPr>
              <w:t>35±4 dienos</w:t>
            </w:r>
          </w:p>
        </w:tc>
        <w:tc>
          <w:tcPr>
            <w:tcW w:w="998" w:type="dxa"/>
            <w:tcBorders>
              <w:top w:val="single" w:sz="4" w:space="0" w:color="000000"/>
              <w:left w:val="single" w:sz="4" w:space="0" w:color="000000"/>
              <w:bottom w:val="single" w:sz="4" w:space="0" w:color="000000"/>
              <w:right w:val="single" w:sz="4" w:space="0" w:color="000000"/>
            </w:tcBorders>
            <w:shd w:val="clear" w:color="auto" w:fill="FFFFFF"/>
          </w:tcPr>
          <w:p w14:paraId="37316C0C" w14:textId="77777777" w:rsidR="00823785" w:rsidRPr="00AE1B80" w:rsidRDefault="00823785" w:rsidP="006453B9">
            <w:pPr>
              <w:rPr>
                <w:sz w:val="22"/>
                <w:szCs w:val="22"/>
              </w:rPr>
            </w:pPr>
            <w:r w:rsidRPr="00AE1B80">
              <w:rPr>
                <w:sz w:val="22"/>
                <w:szCs w:val="22"/>
              </w:rPr>
              <w:t>Enoksa-parinas</w:t>
            </w:r>
          </w:p>
          <w:p w14:paraId="7E0AD8AE" w14:textId="77777777" w:rsidR="00823785" w:rsidRPr="00AE1B80" w:rsidRDefault="00823785" w:rsidP="006453B9">
            <w:pPr>
              <w:rPr>
                <w:sz w:val="22"/>
                <w:szCs w:val="22"/>
              </w:rPr>
            </w:pPr>
            <w:r w:rsidRPr="00AE1B80">
              <w:rPr>
                <w:sz w:val="22"/>
                <w:szCs w:val="22"/>
              </w:rPr>
              <w:t>40 mg vieną kartą per parą</w:t>
            </w:r>
          </w:p>
          <w:p w14:paraId="012780A1" w14:textId="77777777" w:rsidR="00823785" w:rsidRPr="00AE1B80" w:rsidRDefault="00823785" w:rsidP="006453B9">
            <w:pPr>
              <w:rPr>
                <w:sz w:val="22"/>
                <w:szCs w:val="22"/>
              </w:rPr>
            </w:pPr>
            <w:r w:rsidRPr="00AE1B80">
              <w:rPr>
                <w:sz w:val="22"/>
                <w:szCs w:val="22"/>
              </w:rPr>
              <w:t>35 ± 4 dienos</w:t>
            </w:r>
          </w:p>
        </w:tc>
        <w:tc>
          <w:tcPr>
            <w:tcW w:w="813" w:type="dxa"/>
            <w:tcBorders>
              <w:top w:val="single" w:sz="4" w:space="0" w:color="000000"/>
              <w:left w:val="single" w:sz="4" w:space="0" w:color="000000"/>
              <w:bottom w:val="single" w:sz="4" w:space="0" w:color="000000"/>
              <w:right w:val="single" w:sz="4" w:space="0" w:color="000000"/>
            </w:tcBorders>
            <w:shd w:val="clear" w:color="auto" w:fill="FFFFFF"/>
          </w:tcPr>
          <w:p w14:paraId="637E45E0" w14:textId="77777777" w:rsidR="00823785" w:rsidRPr="00AE1B80" w:rsidRDefault="00823785" w:rsidP="006453B9">
            <w:pPr>
              <w:rPr>
                <w:sz w:val="22"/>
                <w:szCs w:val="22"/>
              </w:rPr>
            </w:pPr>
            <w:r w:rsidRPr="00AE1B80">
              <w:rPr>
                <w:sz w:val="22"/>
                <w:szCs w:val="22"/>
              </w:rPr>
              <w:t>p</w:t>
            </w:r>
          </w:p>
        </w:tc>
        <w:tc>
          <w:tcPr>
            <w:tcW w:w="1334" w:type="dxa"/>
            <w:tcBorders>
              <w:top w:val="single" w:sz="4" w:space="0" w:color="000000"/>
              <w:left w:val="single" w:sz="4" w:space="0" w:color="000000"/>
              <w:bottom w:val="single" w:sz="4" w:space="0" w:color="000000"/>
              <w:right w:val="single" w:sz="4" w:space="0" w:color="000000"/>
            </w:tcBorders>
            <w:shd w:val="clear" w:color="auto" w:fill="FFFFFF"/>
          </w:tcPr>
          <w:p w14:paraId="7E4B94B7" w14:textId="77777777" w:rsidR="00823785" w:rsidRPr="00AE1B80" w:rsidRDefault="00823785" w:rsidP="006453B9">
            <w:pPr>
              <w:rPr>
                <w:sz w:val="22"/>
                <w:szCs w:val="22"/>
              </w:rPr>
            </w:pPr>
            <w:r w:rsidRPr="00AE1B80">
              <w:rPr>
                <w:sz w:val="22"/>
                <w:szCs w:val="22"/>
              </w:rPr>
              <w:t xml:space="preserve">Rivaro-ksabanas </w:t>
            </w:r>
          </w:p>
          <w:p w14:paraId="34951CD4" w14:textId="77777777" w:rsidR="00823785" w:rsidRPr="00AE1B80" w:rsidRDefault="00823785" w:rsidP="006453B9">
            <w:pPr>
              <w:rPr>
                <w:sz w:val="22"/>
                <w:szCs w:val="22"/>
              </w:rPr>
            </w:pPr>
            <w:r w:rsidRPr="00AE1B80">
              <w:rPr>
                <w:sz w:val="22"/>
                <w:szCs w:val="22"/>
              </w:rPr>
              <w:t>10 mg vieną kartą per parą</w:t>
            </w:r>
          </w:p>
          <w:p w14:paraId="577FBDAB" w14:textId="77777777" w:rsidR="00823785" w:rsidRPr="00AE1B80" w:rsidRDefault="00823785" w:rsidP="006453B9">
            <w:pPr>
              <w:rPr>
                <w:sz w:val="22"/>
                <w:szCs w:val="22"/>
              </w:rPr>
            </w:pPr>
            <w:r w:rsidRPr="00AE1B80">
              <w:rPr>
                <w:sz w:val="22"/>
                <w:szCs w:val="22"/>
              </w:rPr>
              <w:t>12±2 dienos</w:t>
            </w:r>
          </w:p>
        </w:tc>
        <w:tc>
          <w:tcPr>
            <w:tcW w:w="1112" w:type="dxa"/>
            <w:tcBorders>
              <w:top w:val="single" w:sz="4" w:space="0" w:color="000000"/>
              <w:left w:val="single" w:sz="4" w:space="0" w:color="000000"/>
              <w:bottom w:val="single" w:sz="4" w:space="0" w:color="000000"/>
              <w:right w:val="single" w:sz="4" w:space="0" w:color="000000"/>
            </w:tcBorders>
            <w:shd w:val="clear" w:color="auto" w:fill="FFFFFF"/>
          </w:tcPr>
          <w:p w14:paraId="5A9C1BFE" w14:textId="77777777" w:rsidR="00823785" w:rsidRPr="00AE1B80" w:rsidRDefault="00823785" w:rsidP="006453B9">
            <w:pPr>
              <w:rPr>
                <w:sz w:val="22"/>
                <w:szCs w:val="22"/>
              </w:rPr>
            </w:pPr>
            <w:r w:rsidRPr="00AE1B80">
              <w:rPr>
                <w:sz w:val="22"/>
                <w:szCs w:val="22"/>
              </w:rPr>
              <w:t>Enoksa-parinas</w:t>
            </w:r>
          </w:p>
          <w:p w14:paraId="31EAB511" w14:textId="77777777" w:rsidR="00823785" w:rsidRPr="00AE1B80" w:rsidRDefault="00823785" w:rsidP="006453B9">
            <w:pPr>
              <w:rPr>
                <w:sz w:val="22"/>
                <w:szCs w:val="22"/>
              </w:rPr>
            </w:pPr>
            <w:r w:rsidRPr="00AE1B80">
              <w:rPr>
                <w:sz w:val="22"/>
                <w:szCs w:val="22"/>
              </w:rPr>
              <w:t>40 mg vieną kartą per parą</w:t>
            </w:r>
          </w:p>
          <w:p w14:paraId="14312632" w14:textId="77777777" w:rsidR="00823785" w:rsidRPr="00AE1B80" w:rsidRDefault="00823785" w:rsidP="006453B9">
            <w:pPr>
              <w:rPr>
                <w:sz w:val="22"/>
                <w:szCs w:val="22"/>
              </w:rPr>
            </w:pPr>
            <w:r w:rsidRPr="00AE1B80">
              <w:rPr>
                <w:sz w:val="22"/>
                <w:szCs w:val="22"/>
              </w:rPr>
              <w:t>12±2 dienos</w:t>
            </w:r>
          </w:p>
        </w:tc>
        <w:tc>
          <w:tcPr>
            <w:tcW w:w="793" w:type="dxa"/>
            <w:tcBorders>
              <w:top w:val="single" w:sz="4" w:space="0" w:color="000000"/>
              <w:left w:val="single" w:sz="4" w:space="0" w:color="000000"/>
              <w:bottom w:val="single" w:sz="4" w:space="0" w:color="000000"/>
              <w:right w:val="single" w:sz="4" w:space="0" w:color="000000"/>
            </w:tcBorders>
            <w:shd w:val="clear" w:color="auto" w:fill="FFFFFF"/>
          </w:tcPr>
          <w:p w14:paraId="3C92F78C" w14:textId="77777777" w:rsidR="00823785" w:rsidRPr="00AE1B80" w:rsidRDefault="00823785" w:rsidP="006453B9">
            <w:pPr>
              <w:tabs>
                <w:tab w:val="clear" w:pos="567"/>
                <w:tab w:val="left" w:pos="318"/>
              </w:tabs>
              <w:rPr>
                <w:sz w:val="22"/>
                <w:szCs w:val="22"/>
              </w:rPr>
            </w:pPr>
            <w:r w:rsidRPr="00AE1B80">
              <w:rPr>
                <w:sz w:val="22"/>
                <w:szCs w:val="22"/>
              </w:rPr>
              <w:t>p</w:t>
            </w:r>
          </w:p>
        </w:tc>
      </w:tr>
      <w:tr w:rsidR="00823785" w:rsidRPr="00452D62" w14:paraId="45A7E04D" w14:textId="77777777" w:rsidTr="006453B9">
        <w:tc>
          <w:tcPr>
            <w:tcW w:w="1239" w:type="dxa"/>
            <w:tcBorders>
              <w:top w:val="single" w:sz="4" w:space="0" w:color="000000"/>
              <w:left w:val="single" w:sz="4" w:space="0" w:color="000000"/>
              <w:bottom w:val="single" w:sz="4" w:space="0" w:color="000000"/>
              <w:right w:val="single" w:sz="4" w:space="0" w:color="000000"/>
            </w:tcBorders>
            <w:shd w:val="clear" w:color="auto" w:fill="FFFFFF"/>
          </w:tcPr>
          <w:p w14:paraId="55A2AC72" w14:textId="77777777" w:rsidR="00823785" w:rsidRPr="0016516E" w:rsidRDefault="00823785" w:rsidP="006453B9">
            <w:pPr>
              <w:rPr>
                <w:sz w:val="20"/>
                <w:szCs w:val="20"/>
              </w:rPr>
            </w:pPr>
            <w:r w:rsidRPr="0016516E">
              <w:rPr>
                <w:sz w:val="20"/>
                <w:szCs w:val="20"/>
              </w:rPr>
              <w:t>VTE, iš viso</w:t>
            </w:r>
          </w:p>
        </w:tc>
        <w:tc>
          <w:tcPr>
            <w:tcW w:w="1118" w:type="dxa"/>
            <w:tcBorders>
              <w:top w:val="single" w:sz="4" w:space="0" w:color="000000"/>
              <w:left w:val="single" w:sz="4" w:space="0" w:color="000000"/>
              <w:bottom w:val="single" w:sz="4" w:space="0" w:color="000000"/>
              <w:right w:val="single" w:sz="4" w:space="0" w:color="000000"/>
            </w:tcBorders>
            <w:shd w:val="clear" w:color="auto" w:fill="FFFFFF"/>
          </w:tcPr>
          <w:p w14:paraId="5CBE83FA" w14:textId="497D3B07" w:rsidR="00823785" w:rsidRPr="0016516E" w:rsidRDefault="00823785" w:rsidP="006453B9">
            <w:pPr>
              <w:rPr>
                <w:sz w:val="20"/>
                <w:szCs w:val="20"/>
              </w:rPr>
            </w:pPr>
            <w:r w:rsidRPr="0016516E">
              <w:rPr>
                <w:sz w:val="20"/>
                <w:szCs w:val="20"/>
              </w:rPr>
              <w:t>18 (1,1 %)</w:t>
            </w:r>
          </w:p>
        </w:tc>
        <w:tc>
          <w:tcPr>
            <w:tcW w:w="983" w:type="dxa"/>
            <w:tcBorders>
              <w:top w:val="single" w:sz="4" w:space="0" w:color="000000"/>
              <w:left w:val="single" w:sz="4" w:space="0" w:color="000000"/>
              <w:bottom w:val="single" w:sz="4" w:space="0" w:color="000000"/>
              <w:right w:val="single" w:sz="4" w:space="0" w:color="000000"/>
            </w:tcBorders>
            <w:shd w:val="clear" w:color="auto" w:fill="FFFFFF"/>
          </w:tcPr>
          <w:p w14:paraId="13DA039C" w14:textId="644E62DE" w:rsidR="00823785" w:rsidRPr="0016516E" w:rsidRDefault="00823785" w:rsidP="006453B9">
            <w:pPr>
              <w:ind w:left="-108"/>
              <w:rPr>
                <w:sz w:val="20"/>
                <w:szCs w:val="20"/>
              </w:rPr>
            </w:pPr>
            <w:r w:rsidRPr="0016516E">
              <w:rPr>
                <w:sz w:val="20"/>
                <w:szCs w:val="20"/>
              </w:rPr>
              <w:t>58 (3,7 %)</w:t>
            </w:r>
          </w:p>
        </w:tc>
        <w:tc>
          <w:tcPr>
            <w:tcW w:w="671" w:type="dxa"/>
            <w:tcBorders>
              <w:top w:val="single" w:sz="4" w:space="0" w:color="000000"/>
              <w:left w:val="single" w:sz="4" w:space="0" w:color="000000"/>
              <w:bottom w:val="single" w:sz="4" w:space="0" w:color="000000"/>
              <w:right w:val="single" w:sz="4" w:space="0" w:color="000000"/>
            </w:tcBorders>
            <w:shd w:val="clear" w:color="auto" w:fill="FFFFFF"/>
          </w:tcPr>
          <w:p w14:paraId="2DC93FD4" w14:textId="77777777" w:rsidR="00823785" w:rsidRPr="0016516E" w:rsidRDefault="00823785" w:rsidP="006453B9">
            <w:pPr>
              <w:ind w:left="-108" w:right="-108"/>
              <w:rPr>
                <w:sz w:val="20"/>
                <w:szCs w:val="20"/>
              </w:rPr>
            </w:pPr>
            <w:r w:rsidRPr="0016516E">
              <w:rPr>
                <w:sz w:val="20"/>
                <w:szCs w:val="20"/>
              </w:rPr>
              <w:t>&lt;0,001</w:t>
            </w:r>
          </w:p>
        </w:tc>
        <w:tc>
          <w:tcPr>
            <w:tcW w:w="1004" w:type="dxa"/>
            <w:tcBorders>
              <w:top w:val="single" w:sz="4" w:space="0" w:color="000000"/>
              <w:left w:val="single" w:sz="4" w:space="0" w:color="000000"/>
              <w:bottom w:val="single" w:sz="4" w:space="0" w:color="000000"/>
              <w:right w:val="single" w:sz="4" w:space="0" w:color="000000"/>
            </w:tcBorders>
            <w:shd w:val="clear" w:color="auto" w:fill="FFFFFF"/>
          </w:tcPr>
          <w:p w14:paraId="1CA27EC9" w14:textId="2E33CAFF" w:rsidR="00823785" w:rsidRPr="0016516E" w:rsidRDefault="00823785" w:rsidP="006453B9">
            <w:pPr>
              <w:ind w:left="-108"/>
              <w:rPr>
                <w:sz w:val="20"/>
                <w:szCs w:val="20"/>
              </w:rPr>
            </w:pPr>
            <w:r w:rsidRPr="0016516E">
              <w:rPr>
                <w:sz w:val="20"/>
                <w:szCs w:val="20"/>
              </w:rPr>
              <w:t>17 (2,0 %)</w:t>
            </w:r>
          </w:p>
        </w:tc>
        <w:tc>
          <w:tcPr>
            <w:tcW w:w="998" w:type="dxa"/>
            <w:tcBorders>
              <w:top w:val="single" w:sz="4" w:space="0" w:color="000000"/>
              <w:left w:val="single" w:sz="4" w:space="0" w:color="000000"/>
              <w:bottom w:val="single" w:sz="4" w:space="0" w:color="000000"/>
              <w:right w:val="single" w:sz="4" w:space="0" w:color="000000"/>
            </w:tcBorders>
            <w:shd w:val="clear" w:color="auto" w:fill="FFFFFF"/>
          </w:tcPr>
          <w:p w14:paraId="20E6A589" w14:textId="13FF6524" w:rsidR="00823785" w:rsidRPr="0016516E" w:rsidRDefault="00823785" w:rsidP="006453B9">
            <w:pPr>
              <w:ind w:left="-125"/>
              <w:rPr>
                <w:sz w:val="20"/>
                <w:szCs w:val="20"/>
              </w:rPr>
            </w:pPr>
            <w:r w:rsidRPr="0016516E">
              <w:rPr>
                <w:sz w:val="20"/>
                <w:szCs w:val="20"/>
              </w:rPr>
              <w:t>81 (9,3 %)</w:t>
            </w:r>
          </w:p>
        </w:tc>
        <w:tc>
          <w:tcPr>
            <w:tcW w:w="813" w:type="dxa"/>
            <w:tcBorders>
              <w:top w:val="single" w:sz="4" w:space="0" w:color="000000"/>
              <w:left w:val="single" w:sz="4" w:space="0" w:color="000000"/>
              <w:bottom w:val="single" w:sz="4" w:space="0" w:color="000000"/>
              <w:right w:val="single" w:sz="4" w:space="0" w:color="000000"/>
            </w:tcBorders>
            <w:shd w:val="clear" w:color="auto" w:fill="FFFFFF"/>
          </w:tcPr>
          <w:p w14:paraId="4B693B4E" w14:textId="77777777" w:rsidR="00823785" w:rsidRPr="0016516E" w:rsidRDefault="00823785" w:rsidP="006453B9">
            <w:pPr>
              <w:rPr>
                <w:sz w:val="20"/>
                <w:szCs w:val="20"/>
              </w:rPr>
            </w:pPr>
            <w:r w:rsidRPr="0016516E">
              <w:rPr>
                <w:sz w:val="20"/>
                <w:szCs w:val="20"/>
              </w:rPr>
              <w:t>&lt;0,001</w:t>
            </w:r>
          </w:p>
        </w:tc>
        <w:tc>
          <w:tcPr>
            <w:tcW w:w="1334" w:type="dxa"/>
            <w:tcBorders>
              <w:top w:val="single" w:sz="4" w:space="0" w:color="000000"/>
              <w:left w:val="single" w:sz="4" w:space="0" w:color="000000"/>
              <w:bottom w:val="single" w:sz="4" w:space="0" w:color="000000"/>
              <w:right w:val="single" w:sz="4" w:space="0" w:color="000000"/>
            </w:tcBorders>
            <w:shd w:val="clear" w:color="auto" w:fill="FFFFFF"/>
          </w:tcPr>
          <w:p w14:paraId="1F150491" w14:textId="47D7DB03" w:rsidR="00823785" w:rsidRPr="0016516E" w:rsidRDefault="00823785" w:rsidP="006453B9">
            <w:pPr>
              <w:tabs>
                <w:tab w:val="clear" w:pos="567"/>
                <w:tab w:val="left" w:pos="832"/>
              </w:tabs>
              <w:ind w:left="-19"/>
              <w:rPr>
                <w:sz w:val="20"/>
                <w:szCs w:val="20"/>
              </w:rPr>
            </w:pPr>
            <w:r w:rsidRPr="0016516E">
              <w:rPr>
                <w:sz w:val="20"/>
                <w:szCs w:val="20"/>
              </w:rPr>
              <w:t>79 (9,6 %)</w:t>
            </w:r>
          </w:p>
        </w:tc>
        <w:tc>
          <w:tcPr>
            <w:tcW w:w="1112" w:type="dxa"/>
            <w:tcBorders>
              <w:top w:val="single" w:sz="4" w:space="0" w:color="000000"/>
              <w:left w:val="single" w:sz="4" w:space="0" w:color="000000"/>
              <w:bottom w:val="single" w:sz="4" w:space="0" w:color="000000"/>
              <w:right w:val="single" w:sz="4" w:space="0" w:color="000000"/>
            </w:tcBorders>
            <w:shd w:val="clear" w:color="auto" w:fill="FFFFFF"/>
          </w:tcPr>
          <w:p w14:paraId="045CF15E" w14:textId="3EF9E020" w:rsidR="00823785" w:rsidRPr="0016516E" w:rsidRDefault="00823785" w:rsidP="006453B9">
            <w:pPr>
              <w:tabs>
                <w:tab w:val="clear" w:pos="567"/>
                <w:tab w:val="left" w:pos="885"/>
              </w:tabs>
              <w:ind w:left="-108" w:right="-108"/>
              <w:rPr>
                <w:sz w:val="20"/>
                <w:szCs w:val="20"/>
              </w:rPr>
            </w:pPr>
            <w:r w:rsidRPr="0016516E">
              <w:rPr>
                <w:sz w:val="20"/>
                <w:szCs w:val="20"/>
              </w:rPr>
              <w:t>166 (18,9 %)</w:t>
            </w:r>
          </w:p>
        </w:tc>
        <w:tc>
          <w:tcPr>
            <w:tcW w:w="793" w:type="dxa"/>
            <w:tcBorders>
              <w:top w:val="single" w:sz="4" w:space="0" w:color="000000"/>
              <w:left w:val="single" w:sz="4" w:space="0" w:color="000000"/>
              <w:bottom w:val="single" w:sz="4" w:space="0" w:color="000000"/>
              <w:right w:val="single" w:sz="4" w:space="0" w:color="000000"/>
            </w:tcBorders>
            <w:shd w:val="clear" w:color="auto" w:fill="FFFFFF"/>
          </w:tcPr>
          <w:p w14:paraId="7CA44995" w14:textId="77777777" w:rsidR="00823785" w:rsidRPr="0016516E" w:rsidRDefault="00823785" w:rsidP="006453B9">
            <w:pPr>
              <w:rPr>
                <w:sz w:val="20"/>
                <w:szCs w:val="20"/>
              </w:rPr>
            </w:pPr>
            <w:r w:rsidRPr="0016516E">
              <w:rPr>
                <w:sz w:val="20"/>
                <w:szCs w:val="20"/>
              </w:rPr>
              <w:t>&lt;0,001</w:t>
            </w:r>
          </w:p>
        </w:tc>
      </w:tr>
      <w:tr w:rsidR="00823785" w:rsidRPr="00452D62" w14:paraId="3FE10624" w14:textId="77777777" w:rsidTr="006453B9">
        <w:tc>
          <w:tcPr>
            <w:tcW w:w="1239" w:type="dxa"/>
            <w:tcBorders>
              <w:top w:val="single" w:sz="4" w:space="0" w:color="000000"/>
              <w:left w:val="single" w:sz="4" w:space="0" w:color="000000"/>
              <w:bottom w:val="single" w:sz="4" w:space="0" w:color="000000"/>
              <w:right w:val="single" w:sz="4" w:space="0" w:color="000000"/>
            </w:tcBorders>
            <w:shd w:val="clear" w:color="auto" w:fill="FFFFFF"/>
          </w:tcPr>
          <w:p w14:paraId="5454B786" w14:textId="77777777" w:rsidR="00823785" w:rsidRPr="0016516E" w:rsidRDefault="00823785" w:rsidP="006453B9">
            <w:pPr>
              <w:rPr>
                <w:sz w:val="20"/>
                <w:szCs w:val="20"/>
              </w:rPr>
            </w:pPr>
            <w:r w:rsidRPr="0016516E">
              <w:rPr>
                <w:sz w:val="20"/>
                <w:szCs w:val="20"/>
              </w:rPr>
              <w:t>Didžioji VTE</w:t>
            </w:r>
          </w:p>
        </w:tc>
        <w:tc>
          <w:tcPr>
            <w:tcW w:w="1118" w:type="dxa"/>
            <w:tcBorders>
              <w:top w:val="single" w:sz="4" w:space="0" w:color="000000"/>
              <w:left w:val="single" w:sz="4" w:space="0" w:color="000000"/>
              <w:bottom w:val="single" w:sz="4" w:space="0" w:color="000000"/>
              <w:right w:val="single" w:sz="4" w:space="0" w:color="000000"/>
            </w:tcBorders>
            <w:shd w:val="clear" w:color="auto" w:fill="FFFFFF"/>
          </w:tcPr>
          <w:p w14:paraId="51116971" w14:textId="131803E5" w:rsidR="00823785" w:rsidRPr="0016516E" w:rsidRDefault="00823785" w:rsidP="006453B9">
            <w:pPr>
              <w:rPr>
                <w:sz w:val="20"/>
                <w:szCs w:val="20"/>
              </w:rPr>
            </w:pPr>
            <w:r w:rsidRPr="0016516E">
              <w:rPr>
                <w:sz w:val="20"/>
                <w:szCs w:val="20"/>
              </w:rPr>
              <w:t>4 (0,2 %)</w:t>
            </w:r>
          </w:p>
        </w:tc>
        <w:tc>
          <w:tcPr>
            <w:tcW w:w="983" w:type="dxa"/>
            <w:tcBorders>
              <w:top w:val="single" w:sz="4" w:space="0" w:color="000000"/>
              <w:left w:val="single" w:sz="4" w:space="0" w:color="000000"/>
              <w:bottom w:val="single" w:sz="4" w:space="0" w:color="000000"/>
              <w:right w:val="single" w:sz="4" w:space="0" w:color="000000"/>
            </w:tcBorders>
            <w:shd w:val="clear" w:color="auto" w:fill="FFFFFF"/>
          </w:tcPr>
          <w:p w14:paraId="2407051F" w14:textId="1B5A1A9F" w:rsidR="00823785" w:rsidRPr="0016516E" w:rsidRDefault="00823785" w:rsidP="006453B9">
            <w:pPr>
              <w:ind w:left="-108"/>
              <w:rPr>
                <w:sz w:val="20"/>
                <w:szCs w:val="20"/>
              </w:rPr>
            </w:pPr>
            <w:r w:rsidRPr="0016516E">
              <w:rPr>
                <w:sz w:val="20"/>
                <w:szCs w:val="20"/>
              </w:rPr>
              <w:t>33 (2,0 %)</w:t>
            </w:r>
          </w:p>
        </w:tc>
        <w:tc>
          <w:tcPr>
            <w:tcW w:w="671" w:type="dxa"/>
            <w:tcBorders>
              <w:top w:val="single" w:sz="4" w:space="0" w:color="000000"/>
              <w:left w:val="single" w:sz="4" w:space="0" w:color="000000"/>
              <w:bottom w:val="single" w:sz="4" w:space="0" w:color="000000"/>
              <w:right w:val="single" w:sz="4" w:space="0" w:color="000000"/>
            </w:tcBorders>
            <w:shd w:val="clear" w:color="auto" w:fill="FFFFFF"/>
          </w:tcPr>
          <w:p w14:paraId="3C5C2D69" w14:textId="77777777" w:rsidR="00823785" w:rsidRPr="0016516E" w:rsidRDefault="00823785" w:rsidP="006453B9">
            <w:pPr>
              <w:ind w:left="-108" w:right="-108"/>
              <w:rPr>
                <w:sz w:val="20"/>
                <w:szCs w:val="20"/>
              </w:rPr>
            </w:pPr>
            <w:r w:rsidRPr="0016516E">
              <w:rPr>
                <w:sz w:val="20"/>
                <w:szCs w:val="20"/>
              </w:rPr>
              <w:t>&lt;0,001</w:t>
            </w:r>
          </w:p>
        </w:tc>
        <w:tc>
          <w:tcPr>
            <w:tcW w:w="1004" w:type="dxa"/>
            <w:tcBorders>
              <w:top w:val="single" w:sz="4" w:space="0" w:color="000000"/>
              <w:left w:val="single" w:sz="4" w:space="0" w:color="000000"/>
              <w:bottom w:val="single" w:sz="4" w:space="0" w:color="000000"/>
              <w:right w:val="single" w:sz="4" w:space="0" w:color="000000"/>
            </w:tcBorders>
            <w:shd w:val="clear" w:color="auto" w:fill="FFFFFF"/>
          </w:tcPr>
          <w:p w14:paraId="3746E2FF" w14:textId="6ABC029A" w:rsidR="00823785" w:rsidRPr="0016516E" w:rsidRDefault="00823785" w:rsidP="006453B9">
            <w:pPr>
              <w:rPr>
                <w:sz w:val="20"/>
                <w:szCs w:val="20"/>
              </w:rPr>
            </w:pPr>
            <w:r w:rsidRPr="0016516E">
              <w:rPr>
                <w:sz w:val="20"/>
                <w:szCs w:val="20"/>
              </w:rPr>
              <w:t>6 (0,6 %)</w:t>
            </w:r>
          </w:p>
        </w:tc>
        <w:tc>
          <w:tcPr>
            <w:tcW w:w="998" w:type="dxa"/>
            <w:tcBorders>
              <w:top w:val="single" w:sz="4" w:space="0" w:color="000000"/>
              <w:left w:val="single" w:sz="4" w:space="0" w:color="000000"/>
              <w:bottom w:val="single" w:sz="4" w:space="0" w:color="000000"/>
              <w:right w:val="single" w:sz="4" w:space="0" w:color="000000"/>
            </w:tcBorders>
            <w:shd w:val="clear" w:color="auto" w:fill="FFFFFF"/>
          </w:tcPr>
          <w:p w14:paraId="357F1FE9" w14:textId="49BCBAAA" w:rsidR="00823785" w:rsidRPr="0016516E" w:rsidRDefault="00823785" w:rsidP="006453B9">
            <w:pPr>
              <w:ind w:left="-125"/>
              <w:rPr>
                <w:sz w:val="20"/>
                <w:szCs w:val="20"/>
              </w:rPr>
            </w:pPr>
            <w:r w:rsidRPr="0016516E">
              <w:rPr>
                <w:sz w:val="20"/>
                <w:szCs w:val="20"/>
              </w:rPr>
              <w:t>49 (5,1 %)</w:t>
            </w:r>
          </w:p>
        </w:tc>
        <w:tc>
          <w:tcPr>
            <w:tcW w:w="813" w:type="dxa"/>
            <w:tcBorders>
              <w:top w:val="single" w:sz="4" w:space="0" w:color="000000"/>
              <w:left w:val="single" w:sz="4" w:space="0" w:color="000000"/>
              <w:bottom w:val="single" w:sz="4" w:space="0" w:color="000000"/>
              <w:right w:val="single" w:sz="4" w:space="0" w:color="000000"/>
            </w:tcBorders>
            <w:shd w:val="clear" w:color="auto" w:fill="FFFFFF"/>
          </w:tcPr>
          <w:p w14:paraId="68F80E3A" w14:textId="77777777" w:rsidR="00823785" w:rsidRPr="0016516E" w:rsidRDefault="00823785" w:rsidP="006453B9">
            <w:pPr>
              <w:rPr>
                <w:sz w:val="20"/>
                <w:szCs w:val="20"/>
              </w:rPr>
            </w:pPr>
            <w:r w:rsidRPr="0016516E">
              <w:rPr>
                <w:sz w:val="20"/>
                <w:szCs w:val="20"/>
              </w:rPr>
              <w:t>&lt;0,001</w:t>
            </w:r>
          </w:p>
        </w:tc>
        <w:tc>
          <w:tcPr>
            <w:tcW w:w="1334" w:type="dxa"/>
            <w:tcBorders>
              <w:top w:val="single" w:sz="4" w:space="0" w:color="000000"/>
              <w:left w:val="single" w:sz="4" w:space="0" w:color="000000"/>
              <w:bottom w:val="single" w:sz="4" w:space="0" w:color="000000"/>
              <w:right w:val="single" w:sz="4" w:space="0" w:color="000000"/>
            </w:tcBorders>
            <w:shd w:val="clear" w:color="auto" w:fill="FFFFFF"/>
          </w:tcPr>
          <w:p w14:paraId="0F46A615" w14:textId="6851FB19" w:rsidR="00823785" w:rsidRPr="0016516E" w:rsidRDefault="00823785" w:rsidP="006453B9">
            <w:pPr>
              <w:tabs>
                <w:tab w:val="clear" w:pos="567"/>
                <w:tab w:val="left" w:pos="884"/>
              </w:tabs>
              <w:rPr>
                <w:sz w:val="20"/>
                <w:szCs w:val="20"/>
              </w:rPr>
            </w:pPr>
            <w:r w:rsidRPr="0016516E">
              <w:rPr>
                <w:sz w:val="20"/>
                <w:szCs w:val="20"/>
              </w:rPr>
              <w:t>9 (1,0 %)</w:t>
            </w:r>
          </w:p>
        </w:tc>
        <w:tc>
          <w:tcPr>
            <w:tcW w:w="1112" w:type="dxa"/>
            <w:tcBorders>
              <w:top w:val="single" w:sz="4" w:space="0" w:color="000000"/>
              <w:left w:val="single" w:sz="4" w:space="0" w:color="000000"/>
              <w:bottom w:val="single" w:sz="4" w:space="0" w:color="000000"/>
              <w:right w:val="single" w:sz="4" w:space="0" w:color="000000"/>
            </w:tcBorders>
            <w:shd w:val="clear" w:color="auto" w:fill="FFFFFF"/>
          </w:tcPr>
          <w:p w14:paraId="245E3365" w14:textId="2C1AEB24" w:rsidR="00823785" w:rsidRPr="0016516E" w:rsidRDefault="00823785" w:rsidP="006453B9">
            <w:pPr>
              <w:rPr>
                <w:sz w:val="20"/>
                <w:szCs w:val="20"/>
              </w:rPr>
            </w:pPr>
            <w:r w:rsidRPr="0016516E">
              <w:rPr>
                <w:sz w:val="20"/>
                <w:szCs w:val="20"/>
              </w:rPr>
              <w:t>24 (2,6 %)</w:t>
            </w:r>
          </w:p>
        </w:tc>
        <w:tc>
          <w:tcPr>
            <w:tcW w:w="793" w:type="dxa"/>
            <w:tcBorders>
              <w:top w:val="single" w:sz="4" w:space="0" w:color="000000"/>
              <w:left w:val="single" w:sz="4" w:space="0" w:color="000000"/>
              <w:bottom w:val="single" w:sz="4" w:space="0" w:color="000000"/>
              <w:right w:val="single" w:sz="4" w:space="0" w:color="000000"/>
            </w:tcBorders>
            <w:shd w:val="clear" w:color="auto" w:fill="FFFFFF"/>
          </w:tcPr>
          <w:p w14:paraId="4CE67345" w14:textId="77777777" w:rsidR="00823785" w:rsidRPr="0016516E" w:rsidRDefault="00823785" w:rsidP="006453B9">
            <w:pPr>
              <w:rPr>
                <w:sz w:val="20"/>
                <w:szCs w:val="20"/>
              </w:rPr>
            </w:pPr>
            <w:r w:rsidRPr="0016516E">
              <w:rPr>
                <w:sz w:val="20"/>
                <w:szCs w:val="20"/>
              </w:rPr>
              <w:t>0,01</w:t>
            </w:r>
          </w:p>
        </w:tc>
      </w:tr>
      <w:tr w:rsidR="00823785" w:rsidRPr="00452D62" w14:paraId="2ADC542A" w14:textId="77777777" w:rsidTr="006453B9">
        <w:tc>
          <w:tcPr>
            <w:tcW w:w="1239" w:type="dxa"/>
            <w:tcBorders>
              <w:top w:val="single" w:sz="4" w:space="0" w:color="000000"/>
              <w:left w:val="single" w:sz="4" w:space="0" w:color="000000"/>
              <w:bottom w:val="single" w:sz="4" w:space="0" w:color="000000"/>
              <w:right w:val="single" w:sz="4" w:space="0" w:color="000000"/>
            </w:tcBorders>
            <w:shd w:val="clear" w:color="auto" w:fill="FFFFFF"/>
          </w:tcPr>
          <w:p w14:paraId="36B57862" w14:textId="77777777" w:rsidR="00823785" w:rsidRPr="0016516E" w:rsidRDefault="00823785" w:rsidP="006453B9">
            <w:pPr>
              <w:rPr>
                <w:sz w:val="20"/>
                <w:szCs w:val="20"/>
              </w:rPr>
            </w:pPr>
            <w:r w:rsidRPr="0016516E">
              <w:rPr>
                <w:sz w:val="20"/>
                <w:szCs w:val="20"/>
              </w:rPr>
              <w:t>Simptominė VTE</w:t>
            </w:r>
          </w:p>
        </w:tc>
        <w:tc>
          <w:tcPr>
            <w:tcW w:w="1118" w:type="dxa"/>
            <w:tcBorders>
              <w:top w:val="single" w:sz="4" w:space="0" w:color="000000"/>
              <w:left w:val="single" w:sz="4" w:space="0" w:color="000000"/>
              <w:bottom w:val="single" w:sz="4" w:space="0" w:color="000000"/>
              <w:right w:val="single" w:sz="4" w:space="0" w:color="000000"/>
            </w:tcBorders>
            <w:shd w:val="clear" w:color="auto" w:fill="FFFFFF"/>
          </w:tcPr>
          <w:p w14:paraId="6AD81141" w14:textId="1FBB7DA0" w:rsidR="00823785" w:rsidRPr="0016516E" w:rsidRDefault="00823785" w:rsidP="006453B9">
            <w:pPr>
              <w:rPr>
                <w:sz w:val="20"/>
                <w:szCs w:val="20"/>
              </w:rPr>
            </w:pPr>
            <w:r w:rsidRPr="0016516E">
              <w:rPr>
                <w:sz w:val="20"/>
                <w:szCs w:val="20"/>
              </w:rPr>
              <w:t>6 (0,4 %)</w:t>
            </w:r>
          </w:p>
        </w:tc>
        <w:tc>
          <w:tcPr>
            <w:tcW w:w="983" w:type="dxa"/>
            <w:tcBorders>
              <w:top w:val="single" w:sz="4" w:space="0" w:color="000000"/>
              <w:left w:val="single" w:sz="4" w:space="0" w:color="000000"/>
              <w:bottom w:val="single" w:sz="4" w:space="0" w:color="000000"/>
              <w:right w:val="single" w:sz="4" w:space="0" w:color="000000"/>
            </w:tcBorders>
            <w:shd w:val="clear" w:color="auto" w:fill="FFFFFF"/>
          </w:tcPr>
          <w:p w14:paraId="7E1AD9A7" w14:textId="76CF29C8" w:rsidR="00823785" w:rsidRPr="0016516E" w:rsidRDefault="00823785" w:rsidP="006453B9">
            <w:pPr>
              <w:ind w:left="-108"/>
              <w:rPr>
                <w:sz w:val="20"/>
                <w:szCs w:val="20"/>
              </w:rPr>
            </w:pPr>
            <w:r w:rsidRPr="0016516E">
              <w:rPr>
                <w:sz w:val="20"/>
                <w:szCs w:val="20"/>
              </w:rPr>
              <w:t>11 (0,7 %)</w:t>
            </w:r>
          </w:p>
        </w:tc>
        <w:tc>
          <w:tcPr>
            <w:tcW w:w="671" w:type="dxa"/>
            <w:tcBorders>
              <w:top w:val="single" w:sz="4" w:space="0" w:color="000000"/>
              <w:left w:val="single" w:sz="4" w:space="0" w:color="000000"/>
              <w:bottom w:val="single" w:sz="4" w:space="0" w:color="000000"/>
              <w:right w:val="single" w:sz="4" w:space="0" w:color="000000"/>
            </w:tcBorders>
            <w:shd w:val="clear" w:color="auto" w:fill="FFFFFF"/>
          </w:tcPr>
          <w:p w14:paraId="671CE35C" w14:textId="77777777" w:rsidR="00823785" w:rsidRPr="0016516E" w:rsidRDefault="00823785" w:rsidP="006453B9">
            <w:pPr>
              <w:rPr>
                <w:sz w:val="20"/>
                <w:szCs w:val="20"/>
              </w:rPr>
            </w:pPr>
          </w:p>
        </w:tc>
        <w:tc>
          <w:tcPr>
            <w:tcW w:w="1004" w:type="dxa"/>
            <w:tcBorders>
              <w:top w:val="single" w:sz="4" w:space="0" w:color="000000"/>
              <w:left w:val="single" w:sz="4" w:space="0" w:color="000000"/>
              <w:bottom w:val="single" w:sz="4" w:space="0" w:color="000000"/>
              <w:right w:val="single" w:sz="4" w:space="0" w:color="000000"/>
            </w:tcBorders>
            <w:shd w:val="clear" w:color="auto" w:fill="FFFFFF"/>
          </w:tcPr>
          <w:p w14:paraId="5A4B3ED3" w14:textId="0482C284" w:rsidR="00823785" w:rsidRPr="0016516E" w:rsidRDefault="00823785" w:rsidP="006453B9">
            <w:pPr>
              <w:rPr>
                <w:sz w:val="20"/>
                <w:szCs w:val="20"/>
              </w:rPr>
            </w:pPr>
            <w:r w:rsidRPr="0016516E">
              <w:rPr>
                <w:sz w:val="20"/>
                <w:szCs w:val="20"/>
              </w:rPr>
              <w:t>3 (0,4 %)</w:t>
            </w:r>
          </w:p>
        </w:tc>
        <w:tc>
          <w:tcPr>
            <w:tcW w:w="998" w:type="dxa"/>
            <w:tcBorders>
              <w:top w:val="single" w:sz="4" w:space="0" w:color="000000"/>
              <w:left w:val="single" w:sz="4" w:space="0" w:color="000000"/>
              <w:bottom w:val="single" w:sz="4" w:space="0" w:color="000000"/>
              <w:right w:val="single" w:sz="4" w:space="0" w:color="000000"/>
            </w:tcBorders>
            <w:shd w:val="clear" w:color="auto" w:fill="FFFFFF"/>
          </w:tcPr>
          <w:p w14:paraId="13B60EE7" w14:textId="276CE1F3" w:rsidR="00823785" w:rsidRPr="0016516E" w:rsidRDefault="00823785" w:rsidP="006453B9">
            <w:pPr>
              <w:ind w:left="-125"/>
              <w:rPr>
                <w:sz w:val="20"/>
                <w:szCs w:val="20"/>
              </w:rPr>
            </w:pPr>
            <w:r w:rsidRPr="0016516E">
              <w:rPr>
                <w:sz w:val="20"/>
                <w:szCs w:val="20"/>
              </w:rPr>
              <w:t>15 (1,7 %)</w:t>
            </w:r>
          </w:p>
        </w:tc>
        <w:tc>
          <w:tcPr>
            <w:tcW w:w="813" w:type="dxa"/>
            <w:tcBorders>
              <w:top w:val="single" w:sz="4" w:space="0" w:color="000000"/>
              <w:left w:val="single" w:sz="4" w:space="0" w:color="000000"/>
              <w:bottom w:val="single" w:sz="4" w:space="0" w:color="000000"/>
              <w:right w:val="single" w:sz="4" w:space="0" w:color="000000"/>
            </w:tcBorders>
            <w:shd w:val="clear" w:color="auto" w:fill="FFFFFF"/>
          </w:tcPr>
          <w:p w14:paraId="4A667D1F" w14:textId="77777777" w:rsidR="00823785" w:rsidRPr="0016516E" w:rsidRDefault="00823785" w:rsidP="006453B9">
            <w:pPr>
              <w:rPr>
                <w:sz w:val="20"/>
                <w:szCs w:val="20"/>
              </w:rPr>
            </w:pPr>
          </w:p>
        </w:tc>
        <w:tc>
          <w:tcPr>
            <w:tcW w:w="1334" w:type="dxa"/>
            <w:tcBorders>
              <w:top w:val="single" w:sz="4" w:space="0" w:color="000000"/>
              <w:left w:val="single" w:sz="4" w:space="0" w:color="000000"/>
              <w:bottom w:val="single" w:sz="4" w:space="0" w:color="000000"/>
              <w:right w:val="single" w:sz="4" w:space="0" w:color="000000"/>
            </w:tcBorders>
            <w:shd w:val="clear" w:color="auto" w:fill="FFFFFF"/>
          </w:tcPr>
          <w:p w14:paraId="58DAF9DC" w14:textId="1724F043" w:rsidR="00823785" w:rsidRPr="0016516E" w:rsidRDefault="00823785" w:rsidP="006453B9">
            <w:pPr>
              <w:rPr>
                <w:sz w:val="20"/>
                <w:szCs w:val="20"/>
              </w:rPr>
            </w:pPr>
            <w:r w:rsidRPr="0016516E">
              <w:rPr>
                <w:sz w:val="20"/>
                <w:szCs w:val="20"/>
              </w:rPr>
              <w:t>8 (1,0 %)</w:t>
            </w:r>
          </w:p>
        </w:tc>
        <w:tc>
          <w:tcPr>
            <w:tcW w:w="1112" w:type="dxa"/>
            <w:tcBorders>
              <w:top w:val="single" w:sz="4" w:space="0" w:color="000000"/>
              <w:left w:val="single" w:sz="4" w:space="0" w:color="000000"/>
              <w:bottom w:val="single" w:sz="4" w:space="0" w:color="000000"/>
              <w:right w:val="single" w:sz="4" w:space="0" w:color="000000"/>
            </w:tcBorders>
            <w:shd w:val="clear" w:color="auto" w:fill="FFFFFF"/>
          </w:tcPr>
          <w:p w14:paraId="63B04077" w14:textId="7F21EAAA" w:rsidR="00823785" w:rsidRPr="0016516E" w:rsidRDefault="00823785" w:rsidP="006453B9">
            <w:pPr>
              <w:rPr>
                <w:sz w:val="20"/>
                <w:szCs w:val="20"/>
              </w:rPr>
            </w:pPr>
            <w:r w:rsidRPr="0016516E">
              <w:rPr>
                <w:sz w:val="20"/>
                <w:szCs w:val="20"/>
              </w:rPr>
              <w:t>24 (2,7 %)</w:t>
            </w:r>
          </w:p>
        </w:tc>
        <w:tc>
          <w:tcPr>
            <w:tcW w:w="793" w:type="dxa"/>
            <w:tcBorders>
              <w:top w:val="single" w:sz="4" w:space="0" w:color="000000"/>
              <w:left w:val="single" w:sz="4" w:space="0" w:color="000000"/>
              <w:bottom w:val="single" w:sz="4" w:space="0" w:color="000000"/>
              <w:right w:val="single" w:sz="4" w:space="0" w:color="000000"/>
            </w:tcBorders>
            <w:shd w:val="clear" w:color="auto" w:fill="FFFFFF"/>
          </w:tcPr>
          <w:p w14:paraId="7BA6035F" w14:textId="77777777" w:rsidR="00823785" w:rsidRPr="0016516E" w:rsidRDefault="00823785" w:rsidP="006453B9">
            <w:pPr>
              <w:rPr>
                <w:sz w:val="20"/>
                <w:szCs w:val="20"/>
              </w:rPr>
            </w:pPr>
          </w:p>
        </w:tc>
      </w:tr>
      <w:tr w:rsidR="00823785" w:rsidRPr="00452D62" w14:paraId="66D05D4B" w14:textId="77777777" w:rsidTr="006453B9">
        <w:tc>
          <w:tcPr>
            <w:tcW w:w="1239" w:type="dxa"/>
            <w:tcBorders>
              <w:top w:val="single" w:sz="4" w:space="0" w:color="000000"/>
              <w:left w:val="single" w:sz="4" w:space="0" w:color="000000"/>
              <w:bottom w:val="single" w:sz="4" w:space="0" w:color="000000"/>
              <w:right w:val="single" w:sz="4" w:space="0" w:color="000000"/>
            </w:tcBorders>
            <w:shd w:val="clear" w:color="auto" w:fill="FFFFFF"/>
          </w:tcPr>
          <w:p w14:paraId="6195A473" w14:textId="77777777" w:rsidR="00823785" w:rsidRPr="0016516E" w:rsidRDefault="00823785" w:rsidP="006453B9">
            <w:pPr>
              <w:rPr>
                <w:sz w:val="20"/>
                <w:szCs w:val="20"/>
              </w:rPr>
            </w:pPr>
            <w:r w:rsidRPr="0016516E">
              <w:rPr>
                <w:sz w:val="20"/>
                <w:szCs w:val="20"/>
              </w:rPr>
              <w:t>Didysis kraujavimas</w:t>
            </w:r>
          </w:p>
        </w:tc>
        <w:tc>
          <w:tcPr>
            <w:tcW w:w="1118" w:type="dxa"/>
            <w:tcBorders>
              <w:top w:val="single" w:sz="4" w:space="0" w:color="000000"/>
              <w:left w:val="single" w:sz="4" w:space="0" w:color="000000"/>
              <w:bottom w:val="single" w:sz="4" w:space="0" w:color="000000"/>
              <w:right w:val="single" w:sz="4" w:space="0" w:color="000000"/>
            </w:tcBorders>
            <w:shd w:val="clear" w:color="auto" w:fill="FFFFFF"/>
          </w:tcPr>
          <w:p w14:paraId="44D2BDC6" w14:textId="53348207" w:rsidR="00823785" w:rsidRPr="0016516E" w:rsidRDefault="00823785" w:rsidP="006453B9">
            <w:pPr>
              <w:rPr>
                <w:sz w:val="20"/>
                <w:szCs w:val="20"/>
              </w:rPr>
            </w:pPr>
            <w:r w:rsidRPr="0016516E">
              <w:rPr>
                <w:sz w:val="20"/>
                <w:szCs w:val="20"/>
              </w:rPr>
              <w:t xml:space="preserve">6 (0,3 %) </w:t>
            </w:r>
          </w:p>
          <w:p w14:paraId="63C72148" w14:textId="77777777" w:rsidR="00823785" w:rsidRPr="0016516E" w:rsidRDefault="00823785" w:rsidP="006453B9">
            <w:pPr>
              <w:rPr>
                <w:sz w:val="20"/>
                <w:szCs w:val="20"/>
              </w:rPr>
            </w:pPr>
          </w:p>
        </w:tc>
        <w:tc>
          <w:tcPr>
            <w:tcW w:w="983" w:type="dxa"/>
            <w:tcBorders>
              <w:top w:val="single" w:sz="4" w:space="0" w:color="000000"/>
              <w:left w:val="single" w:sz="4" w:space="0" w:color="000000"/>
              <w:bottom w:val="single" w:sz="4" w:space="0" w:color="000000"/>
              <w:right w:val="single" w:sz="4" w:space="0" w:color="000000"/>
            </w:tcBorders>
            <w:shd w:val="clear" w:color="auto" w:fill="FFFFFF"/>
          </w:tcPr>
          <w:p w14:paraId="6954A484" w14:textId="206D3391" w:rsidR="00823785" w:rsidRPr="0016516E" w:rsidRDefault="00823785" w:rsidP="006453B9">
            <w:pPr>
              <w:rPr>
                <w:sz w:val="20"/>
                <w:szCs w:val="20"/>
              </w:rPr>
            </w:pPr>
            <w:r w:rsidRPr="0016516E">
              <w:rPr>
                <w:sz w:val="20"/>
                <w:szCs w:val="20"/>
              </w:rPr>
              <w:t>2 (0,1 %)</w:t>
            </w:r>
          </w:p>
        </w:tc>
        <w:tc>
          <w:tcPr>
            <w:tcW w:w="671" w:type="dxa"/>
            <w:tcBorders>
              <w:top w:val="single" w:sz="4" w:space="0" w:color="000000"/>
              <w:left w:val="single" w:sz="4" w:space="0" w:color="000000"/>
              <w:bottom w:val="single" w:sz="4" w:space="0" w:color="000000"/>
              <w:right w:val="single" w:sz="4" w:space="0" w:color="000000"/>
            </w:tcBorders>
            <w:shd w:val="clear" w:color="auto" w:fill="FFFFFF"/>
          </w:tcPr>
          <w:p w14:paraId="6F38423A" w14:textId="77777777" w:rsidR="00823785" w:rsidRPr="0016516E" w:rsidRDefault="00823785" w:rsidP="006453B9">
            <w:pPr>
              <w:rPr>
                <w:sz w:val="20"/>
                <w:szCs w:val="20"/>
              </w:rPr>
            </w:pPr>
          </w:p>
        </w:tc>
        <w:tc>
          <w:tcPr>
            <w:tcW w:w="1004" w:type="dxa"/>
            <w:tcBorders>
              <w:top w:val="single" w:sz="4" w:space="0" w:color="000000"/>
              <w:left w:val="single" w:sz="4" w:space="0" w:color="000000"/>
              <w:bottom w:val="single" w:sz="4" w:space="0" w:color="000000"/>
              <w:right w:val="single" w:sz="4" w:space="0" w:color="000000"/>
            </w:tcBorders>
            <w:shd w:val="clear" w:color="auto" w:fill="FFFFFF"/>
          </w:tcPr>
          <w:p w14:paraId="5C51A8F3" w14:textId="1860002B" w:rsidR="00823785" w:rsidRPr="0016516E" w:rsidRDefault="00823785" w:rsidP="006453B9">
            <w:pPr>
              <w:rPr>
                <w:sz w:val="20"/>
                <w:szCs w:val="20"/>
              </w:rPr>
            </w:pPr>
            <w:r w:rsidRPr="0016516E">
              <w:rPr>
                <w:sz w:val="20"/>
                <w:szCs w:val="20"/>
              </w:rPr>
              <w:t>1 (0,1 %)</w:t>
            </w:r>
          </w:p>
        </w:tc>
        <w:tc>
          <w:tcPr>
            <w:tcW w:w="998" w:type="dxa"/>
            <w:tcBorders>
              <w:top w:val="single" w:sz="4" w:space="0" w:color="000000"/>
              <w:left w:val="single" w:sz="4" w:space="0" w:color="000000"/>
              <w:bottom w:val="single" w:sz="4" w:space="0" w:color="000000"/>
              <w:right w:val="single" w:sz="4" w:space="0" w:color="000000"/>
            </w:tcBorders>
            <w:shd w:val="clear" w:color="auto" w:fill="FFFFFF"/>
          </w:tcPr>
          <w:p w14:paraId="43CB521C" w14:textId="35F337D4" w:rsidR="00823785" w:rsidRPr="0016516E" w:rsidRDefault="00823785" w:rsidP="006453B9">
            <w:pPr>
              <w:rPr>
                <w:sz w:val="20"/>
                <w:szCs w:val="20"/>
              </w:rPr>
            </w:pPr>
            <w:r w:rsidRPr="0016516E">
              <w:rPr>
                <w:sz w:val="20"/>
                <w:szCs w:val="20"/>
              </w:rPr>
              <w:t>1 (0,1 %)</w:t>
            </w:r>
          </w:p>
        </w:tc>
        <w:tc>
          <w:tcPr>
            <w:tcW w:w="813" w:type="dxa"/>
            <w:tcBorders>
              <w:top w:val="single" w:sz="4" w:space="0" w:color="000000"/>
              <w:left w:val="single" w:sz="4" w:space="0" w:color="000000"/>
              <w:bottom w:val="single" w:sz="4" w:space="0" w:color="000000"/>
              <w:right w:val="single" w:sz="4" w:space="0" w:color="000000"/>
            </w:tcBorders>
            <w:shd w:val="clear" w:color="auto" w:fill="FFFFFF"/>
          </w:tcPr>
          <w:p w14:paraId="6A19E239" w14:textId="77777777" w:rsidR="00823785" w:rsidRPr="0016516E" w:rsidRDefault="00823785" w:rsidP="006453B9">
            <w:pPr>
              <w:rPr>
                <w:sz w:val="20"/>
                <w:szCs w:val="20"/>
              </w:rPr>
            </w:pPr>
          </w:p>
        </w:tc>
        <w:tc>
          <w:tcPr>
            <w:tcW w:w="1334" w:type="dxa"/>
            <w:tcBorders>
              <w:top w:val="single" w:sz="4" w:space="0" w:color="000000"/>
              <w:left w:val="single" w:sz="4" w:space="0" w:color="000000"/>
              <w:bottom w:val="single" w:sz="4" w:space="0" w:color="000000"/>
              <w:right w:val="single" w:sz="4" w:space="0" w:color="000000"/>
            </w:tcBorders>
            <w:shd w:val="clear" w:color="auto" w:fill="FFFFFF"/>
          </w:tcPr>
          <w:p w14:paraId="7E088DAE" w14:textId="4EB1A16C" w:rsidR="00823785" w:rsidRPr="0016516E" w:rsidRDefault="00823785" w:rsidP="006453B9">
            <w:pPr>
              <w:rPr>
                <w:sz w:val="20"/>
                <w:szCs w:val="20"/>
              </w:rPr>
            </w:pPr>
            <w:r w:rsidRPr="0016516E">
              <w:rPr>
                <w:sz w:val="20"/>
                <w:szCs w:val="20"/>
              </w:rPr>
              <w:t>7 (0,6 %)</w:t>
            </w:r>
          </w:p>
        </w:tc>
        <w:tc>
          <w:tcPr>
            <w:tcW w:w="1112" w:type="dxa"/>
            <w:tcBorders>
              <w:top w:val="single" w:sz="4" w:space="0" w:color="000000"/>
              <w:left w:val="single" w:sz="4" w:space="0" w:color="000000"/>
              <w:bottom w:val="single" w:sz="4" w:space="0" w:color="000000"/>
              <w:right w:val="single" w:sz="4" w:space="0" w:color="000000"/>
            </w:tcBorders>
            <w:shd w:val="clear" w:color="auto" w:fill="FFFFFF"/>
          </w:tcPr>
          <w:p w14:paraId="29303869" w14:textId="0F8A8B2C" w:rsidR="00823785" w:rsidRPr="0016516E" w:rsidRDefault="00823785" w:rsidP="006453B9">
            <w:pPr>
              <w:rPr>
                <w:sz w:val="20"/>
                <w:szCs w:val="20"/>
              </w:rPr>
            </w:pPr>
            <w:r w:rsidRPr="0016516E">
              <w:rPr>
                <w:sz w:val="20"/>
                <w:szCs w:val="20"/>
              </w:rPr>
              <w:t>6 (0,5 %)</w:t>
            </w:r>
          </w:p>
        </w:tc>
        <w:tc>
          <w:tcPr>
            <w:tcW w:w="793" w:type="dxa"/>
            <w:tcBorders>
              <w:top w:val="single" w:sz="4" w:space="0" w:color="000000"/>
              <w:left w:val="single" w:sz="4" w:space="0" w:color="000000"/>
              <w:bottom w:val="single" w:sz="4" w:space="0" w:color="000000"/>
              <w:right w:val="single" w:sz="4" w:space="0" w:color="000000"/>
            </w:tcBorders>
            <w:shd w:val="clear" w:color="auto" w:fill="FFFFFF"/>
          </w:tcPr>
          <w:p w14:paraId="39F0D2B6" w14:textId="77777777" w:rsidR="00823785" w:rsidRPr="0016516E" w:rsidRDefault="00823785" w:rsidP="006453B9">
            <w:pPr>
              <w:rPr>
                <w:sz w:val="20"/>
                <w:szCs w:val="20"/>
              </w:rPr>
            </w:pPr>
          </w:p>
        </w:tc>
      </w:tr>
    </w:tbl>
    <w:p w14:paraId="6297E388" w14:textId="77777777" w:rsidR="00823785" w:rsidRPr="00452D62" w:rsidRDefault="00823785" w:rsidP="00823785">
      <w:pPr>
        <w:rPr>
          <w:sz w:val="22"/>
          <w:szCs w:val="22"/>
        </w:rPr>
      </w:pPr>
    </w:p>
    <w:p w14:paraId="7800B7B6" w14:textId="77777777" w:rsidR="00823785" w:rsidRPr="00452D62" w:rsidRDefault="00823785" w:rsidP="00823785">
      <w:pPr>
        <w:rPr>
          <w:sz w:val="22"/>
          <w:szCs w:val="22"/>
        </w:rPr>
      </w:pPr>
      <w:r w:rsidRPr="00452D62">
        <w:rPr>
          <w:sz w:val="22"/>
          <w:szCs w:val="22"/>
        </w:rPr>
        <w:t>III fazės tyrimų apibendrintų duomenų analizė patvirtino atskirų tyrimų duomenis, rodančius visų VTE reiškinių, didžiosios VTE reiškinių ir simptominės VTE reiškinių dažnio sumažėjimą vartojant 10 mg rivaroksabano vieną kartą per parą, lyginant su 40 mg enoksaparino dozės vartojimu vieną kartą per parą.</w:t>
      </w:r>
    </w:p>
    <w:p w14:paraId="4E94C31E" w14:textId="77777777" w:rsidR="00823785" w:rsidRPr="00452D62" w:rsidRDefault="00823785" w:rsidP="00823785">
      <w:pPr>
        <w:rPr>
          <w:sz w:val="22"/>
          <w:szCs w:val="22"/>
        </w:rPr>
      </w:pPr>
    </w:p>
    <w:p w14:paraId="3C0E356F" w14:textId="3C64D6B7" w:rsidR="00823785" w:rsidRPr="00452D62" w:rsidRDefault="00823785" w:rsidP="00823785">
      <w:pPr>
        <w:rPr>
          <w:sz w:val="22"/>
          <w:szCs w:val="22"/>
        </w:rPr>
      </w:pPr>
      <w:r w:rsidRPr="00452D62">
        <w:rPr>
          <w:sz w:val="22"/>
          <w:szCs w:val="22"/>
        </w:rPr>
        <w:t>Be III fazės RECORD programos dar buvo atliktas poregistracinis, neintervencinis, atviras kohortos tyrimas (XAMOS), kuriame dalyvavusiems 17413 pacientų buvo atliekama klubo ar kelio didžioji ortopedinė operacija ir kuriuo siekta rivaroksabaną palyginti su kitokia medikamentine trombozės profilaktika (standartine priežiūra) realioje klinikinėje praktikoje. Simptominė VTE pasireiškė 57 (0,6 %) pacientams rivaroksabano grupėje (n=8778) ir 88 (1,0 %) pacientams standartinės priežiūros grupėje (n=8635; RS 0,63; 95 % PI 0,43</w:t>
      </w:r>
      <w:r w:rsidRPr="00452D62">
        <w:rPr>
          <w:sz w:val="22"/>
          <w:szCs w:val="22"/>
        </w:rPr>
        <w:noBreakHyphen/>
        <w:t>0,91) (saugumo populiacija). Didysis kraujavimas pasireiškė 35 (0,4 %) ir 29 (0,3 %) pacientams atitinkamai rivaroksabano ir standartinės priežiūros grupėse (RS 1,10; 95 % PI 0,67</w:t>
      </w:r>
      <w:r w:rsidRPr="00452D62">
        <w:rPr>
          <w:sz w:val="22"/>
          <w:szCs w:val="22"/>
        </w:rPr>
        <w:noBreakHyphen/>
        <w:t>1,80). Taigi tyrimo rezultatai atitiko pagrindinių atsitiktinių imčių tyrimų rezultatus.</w:t>
      </w:r>
    </w:p>
    <w:p w14:paraId="0824AD82" w14:textId="77777777" w:rsidR="00823785" w:rsidRPr="00452D62" w:rsidRDefault="00823785" w:rsidP="00823785">
      <w:pPr>
        <w:rPr>
          <w:sz w:val="22"/>
          <w:szCs w:val="22"/>
        </w:rPr>
      </w:pPr>
    </w:p>
    <w:p w14:paraId="022100F6" w14:textId="77777777" w:rsidR="00823785" w:rsidRPr="00452D62" w:rsidRDefault="00823785" w:rsidP="00823785">
      <w:pPr>
        <w:rPr>
          <w:i/>
          <w:sz w:val="22"/>
          <w:szCs w:val="22"/>
        </w:rPr>
      </w:pPr>
      <w:r w:rsidRPr="00452D62">
        <w:rPr>
          <w:i/>
          <w:sz w:val="22"/>
          <w:szCs w:val="22"/>
        </w:rPr>
        <w:t>GVT gydymas, PE gydymas ir pasikartojančios GVT bei PE profilaktika</w:t>
      </w:r>
    </w:p>
    <w:p w14:paraId="472EA1B4" w14:textId="77777777" w:rsidR="00823785" w:rsidRPr="00452D62" w:rsidRDefault="00823785" w:rsidP="00823785">
      <w:pPr>
        <w:rPr>
          <w:sz w:val="22"/>
          <w:szCs w:val="22"/>
        </w:rPr>
      </w:pPr>
      <w:r w:rsidRPr="00452D62">
        <w:rPr>
          <w:sz w:val="22"/>
          <w:szCs w:val="22"/>
        </w:rPr>
        <w:t>Rivaroksabano klinikinė programa buvo suplanuota siekiant įrodyti rivaroksabano veiksmingumą, skiriant pradinį ir tęstinį ūminės GVT bei PE gydymą ir pasikartojimo profilaktiką.</w:t>
      </w:r>
    </w:p>
    <w:p w14:paraId="62FE430B" w14:textId="77777777" w:rsidR="00823785" w:rsidRPr="00452D62" w:rsidRDefault="00823785" w:rsidP="00823785">
      <w:pPr>
        <w:rPr>
          <w:sz w:val="22"/>
          <w:szCs w:val="22"/>
        </w:rPr>
      </w:pPr>
      <w:r w:rsidRPr="00452D62">
        <w:rPr>
          <w:sz w:val="22"/>
          <w:szCs w:val="22"/>
        </w:rPr>
        <w:t>Keturiuose atsitiktinių imčių kontroliuojamuose III fazės klinikiniuose tyrimuose (</w:t>
      </w:r>
      <w:r w:rsidRPr="00452D62">
        <w:rPr>
          <w:i/>
          <w:sz w:val="22"/>
          <w:szCs w:val="22"/>
        </w:rPr>
        <w:t>Einstein DVT, Einstein PE, Einstein Extention ir Einstein Choice</w:t>
      </w:r>
      <w:r w:rsidRPr="00452D62">
        <w:rPr>
          <w:sz w:val="22"/>
          <w:szCs w:val="22"/>
        </w:rPr>
        <w:t xml:space="preserve">) buvo tirta daugiau nei 12800 pacientų ir atlikta iš anksto numatyta apibendrinta </w:t>
      </w:r>
      <w:r w:rsidRPr="00452D62">
        <w:rPr>
          <w:i/>
          <w:sz w:val="22"/>
          <w:szCs w:val="22"/>
        </w:rPr>
        <w:t xml:space="preserve">Einstein DVT </w:t>
      </w:r>
      <w:r w:rsidRPr="00452D62">
        <w:rPr>
          <w:sz w:val="22"/>
          <w:szCs w:val="22"/>
        </w:rPr>
        <w:t xml:space="preserve">ir </w:t>
      </w:r>
      <w:r w:rsidRPr="00452D62">
        <w:rPr>
          <w:i/>
          <w:sz w:val="22"/>
          <w:szCs w:val="22"/>
        </w:rPr>
        <w:t>Einstein PE</w:t>
      </w:r>
      <w:r w:rsidRPr="00452D62">
        <w:rPr>
          <w:sz w:val="22"/>
          <w:szCs w:val="22"/>
        </w:rPr>
        <w:t xml:space="preserve"> tyrimų analizė. Bendra kombinuotojo gydymo trukmė visuose tyrimuose buvo iki 21 mėnesio.</w:t>
      </w:r>
    </w:p>
    <w:p w14:paraId="4F5EE6DF" w14:textId="77777777" w:rsidR="00823785" w:rsidRPr="00452D62" w:rsidRDefault="00823785" w:rsidP="00823785">
      <w:pPr>
        <w:rPr>
          <w:sz w:val="22"/>
          <w:szCs w:val="22"/>
        </w:rPr>
      </w:pPr>
    </w:p>
    <w:p w14:paraId="06CBC5BE" w14:textId="77777777" w:rsidR="00823785" w:rsidRPr="00452D62" w:rsidRDefault="00823785" w:rsidP="00823785">
      <w:pPr>
        <w:rPr>
          <w:sz w:val="22"/>
          <w:szCs w:val="22"/>
        </w:rPr>
      </w:pPr>
      <w:r w:rsidRPr="00452D62">
        <w:rPr>
          <w:i/>
          <w:sz w:val="22"/>
          <w:szCs w:val="22"/>
        </w:rPr>
        <w:t>Einstein DVT</w:t>
      </w:r>
      <w:r w:rsidRPr="00452D62">
        <w:rPr>
          <w:sz w:val="22"/>
          <w:szCs w:val="22"/>
        </w:rPr>
        <w:t xml:space="preserve"> tyrime vertintas GVT gydymas ir pasikartojančios GVT bei PE profilaktika ir tirti 3449 pacientai, sergantys ūmine GVT (pacientai, kuriems buvo simptominė PE, į tyrimą nebuvo įtraukti). Gydymas truko 3, 6 arba 12 mėnesių, priklausomai nuo klinikinio tyrėjo sprendimo.</w:t>
      </w:r>
    </w:p>
    <w:p w14:paraId="526DBD80" w14:textId="77777777" w:rsidR="00823785" w:rsidRPr="00452D62" w:rsidRDefault="00823785" w:rsidP="00823785">
      <w:pPr>
        <w:rPr>
          <w:sz w:val="22"/>
          <w:szCs w:val="22"/>
        </w:rPr>
      </w:pPr>
      <w:r w:rsidRPr="00452D62">
        <w:rPr>
          <w:sz w:val="22"/>
          <w:szCs w:val="22"/>
        </w:rPr>
        <w:t>Pradinio ūminės GVT 3 savaičių trukmės gydymo laikotarpiu du kartus per parą buvo skiriama po 15 mg rivaroksabano. Po to buvo skiriama 20 mg rivaroksabano vieną kartą per parą.</w:t>
      </w:r>
    </w:p>
    <w:p w14:paraId="570BA92C" w14:textId="77777777" w:rsidR="00823785" w:rsidRPr="00452D62" w:rsidRDefault="00823785" w:rsidP="00823785">
      <w:pPr>
        <w:rPr>
          <w:sz w:val="22"/>
          <w:szCs w:val="22"/>
        </w:rPr>
      </w:pPr>
    </w:p>
    <w:p w14:paraId="7565D65F" w14:textId="77777777" w:rsidR="00823785" w:rsidRPr="00452D62" w:rsidRDefault="00823785" w:rsidP="00823785">
      <w:pPr>
        <w:rPr>
          <w:sz w:val="22"/>
          <w:szCs w:val="22"/>
        </w:rPr>
      </w:pPr>
      <w:r w:rsidRPr="00452D62">
        <w:rPr>
          <w:i/>
          <w:sz w:val="22"/>
          <w:szCs w:val="22"/>
        </w:rPr>
        <w:t>Einstein PE</w:t>
      </w:r>
      <w:r w:rsidRPr="00452D62">
        <w:rPr>
          <w:sz w:val="22"/>
          <w:szCs w:val="22"/>
        </w:rPr>
        <w:t xml:space="preserve"> tyrimo metu 4832 ūmine PE sergantiems pacientams buvo taikomas PE gydymas ir pasikartojančios GVT bei PE profilaktika. Gydymo trukmė buvo 3, 6 arba 12 mėnesių, priklausomai nuo klinikinio tyrėjo sprendimo.</w:t>
      </w:r>
    </w:p>
    <w:p w14:paraId="5EDDEF19" w14:textId="77777777" w:rsidR="00823785" w:rsidRPr="00452D62" w:rsidRDefault="00823785" w:rsidP="00823785">
      <w:pPr>
        <w:rPr>
          <w:sz w:val="22"/>
          <w:szCs w:val="22"/>
        </w:rPr>
      </w:pPr>
      <w:r w:rsidRPr="00452D62">
        <w:rPr>
          <w:sz w:val="22"/>
          <w:szCs w:val="22"/>
        </w:rPr>
        <w:t>Ūminės PE gydymui pirmąsias tris savaites buvo skiriama po 15 mg rivaroksabano du kartus per parą, vėliau – 20 mg rivaroksabano vieną kartą per parą.</w:t>
      </w:r>
    </w:p>
    <w:p w14:paraId="032A8434" w14:textId="77777777" w:rsidR="00823785" w:rsidRPr="00452D62" w:rsidRDefault="00823785" w:rsidP="00823785">
      <w:pPr>
        <w:rPr>
          <w:sz w:val="22"/>
          <w:szCs w:val="22"/>
        </w:rPr>
      </w:pPr>
    </w:p>
    <w:p w14:paraId="111E6482" w14:textId="77777777" w:rsidR="00823785" w:rsidRPr="00452D62" w:rsidRDefault="00823785" w:rsidP="00823785">
      <w:pPr>
        <w:rPr>
          <w:sz w:val="22"/>
          <w:szCs w:val="22"/>
        </w:rPr>
      </w:pPr>
      <w:r w:rsidRPr="00452D62">
        <w:rPr>
          <w:iCs/>
          <w:sz w:val="22"/>
          <w:szCs w:val="22"/>
        </w:rPr>
        <w:t xml:space="preserve">Ir </w:t>
      </w:r>
      <w:r w:rsidRPr="00452D62">
        <w:rPr>
          <w:i/>
          <w:sz w:val="22"/>
          <w:szCs w:val="22"/>
        </w:rPr>
        <w:t>Einstein DVT</w:t>
      </w:r>
      <w:r w:rsidRPr="00452D62">
        <w:rPr>
          <w:sz w:val="22"/>
          <w:szCs w:val="22"/>
        </w:rPr>
        <w:t xml:space="preserve"> ir </w:t>
      </w:r>
      <w:r w:rsidRPr="00452D62">
        <w:rPr>
          <w:i/>
          <w:sz w:val="22"/>
          <w:szCs w:val="22"/>
        </w:rPr>
        <w:t>Einstein PE</w:t>
      </w:r>
      <w:r w:rsidRPr="00452D62">
        <w:rPr>
          <w:sz w:val="22"/>
          <w:szCs w:val="22"/>
        </w:rPr>
        <w:t xml:space="preserve"> tyrimuose palyginamajam gydymui mažiausiai 5 dienas kartu su vitamino K antagonistu buvo skiriamas enoksaparinas, kol protrombino laikas/INR pasiekė terapinį intervalą (≥ 2,0). Gydymas buvo tęsiamas vitamino K antagonistu, kurio dozė buvo parenkama atsižvelgiant į PT/INR rodmenis siekiant, kad jie būtų terapiniame intervale nuo 2,0 ir 3,0.</w:t>
      </w:r>
    </w:p>
    <w:p w14:paraId="560289BF" w14:textId="77777777" w:rsidR="00823785" w:rsidRPr="00452D62" w:rsidRDefault="00823785" w:rsidP="00823785">
      <w:pPr>
        <w:rPr>
          <w:sz w:val="22"/>
          <w:szCs w:val="22"/>
        </w:rPr>
      </w:pPr>
    </w:p>
    <w:p w14:paraId="3A6B4FE9" w14:textId="77777777" w:rsidR="00823785" w:rsidRPr="00452D62" w:rsidRDefault="00823785" w:rsidP="00823785">
      <w:pPr>
        <w:rPr>
          <w:sz w:val="22"/>
          <w:szCs w:val="22"/>
        </w:rPr>
      </w:pPr>
      <w:r w:rsidRPr="00452D62">
        <w:rPr>
          <w:i/>
          <w:sz w:val="22"/>
          <w:szCs w:val="22"/>
        </w:rPr>
        <w:t xml:space="preserve">Einstein Extention </w:t>
      </w:r>
      <w:r w:rsidRPr="00452D62">
        <w:rPr>
          <w:sz w:val="22"/>
          <w:szCs w:val="22"/>
        </w:rPr>
        <w:t>tyrime buvo vertinta pasikartojančios GVT ir PE profilaktika ir tirti 1 197 pacientai, sergantys GVT arba PE. Pacientų, kuriems buvo baigtas 6</w:t>
      </w:r>
      <w:r w:rsidRPr="00452D62">
        <w:rPr>
          <w:sz w:val="22"/>
          <w:szCs w:val="22"/>
        </w:rPr>
        <w:noBreakHyphen/>
        <w:t>12 mėnesių trukmės venų tromboembolijos gydymas, papildomas gydymas truko dar 6 arba 12 mėnesių, priklausomai nuo klinikinio tyrėjo sprendimo. Buvo lyginamas vieną kartą per parą vartojamos 20 mg rivaroksabano dozės ir placebo poveikis.</w:t>
      </w:r>
    </w:p>
    <w:p w14:paraId="41E56A39" w14:textId="77777777" w:rsidR="00823785" w:rsidRPr="00452D62" w:rsidRDefault="00823785" w:rsidP="00823785">
      <w:pPr>
        <w:rPr>
          <w:sz w:val="22"/>
          <w:szCs w:val="22"/>
        </w:rPr>
      </w:pPr>
    </w:p>
    <w:p w14:paraId="1928D89D" w14:textId="77777777" w:rsidR="00823785" w:rsidRPr="00452D62" w:rsidRDefault="00823785" w:rsidP="00823785">
      <w:pPr>
        <w:rPr>
          <w:sz w:val="22"/>
          <w:szCs w:val="22"/>
        </w:rPr>
      </w:pPr>
      <w:r w:rsidRPr="00452D62">
        <w:rPr>
          <w:i/>
          <w:sz w:val="22"/>
          <w:szCs w:val="22"/>
        </w:rPr>
        <w:t>Einstein DVT, PE</w:t>
      </w:r>
      <w:r w:rsidRPr="00452D62">
        <w:rPr>
          <w:sz w:val="22"/>
          <w:szCs w:val="22"/>
        </w:rPr>
        <w:t xml:space="preserve"> ir </w:t>
      </w:r>
      <w:r w:rsidRPr="00452D62">
        <w:rPr>
          <w:i/>
          <w:sz w:val="22"/>
          <w:szCs w:val="22"/>
        </w:rPr>
        <w:t>Extension</w:t>
      </w:r>
      <w:r w:rsidRPr="00452D62">
        <w:rPr>
          <w:sz w:val="22"/>
          <w:szCs w:val="22"/>
        </w:rPr>
        <w:t xml:space="preserve"> tyrimuose analizuotos tokios pačios iš anksto numatytos pagrindinės ir antrinės veiksmingumo vertinamosios baigtys. Pagrindinė sudėtinė veiksmingumo vertinamoji baigtis buvo simptominė pasikartojanti VTE, apibūdinama kaip pasikartojanti GVT ir mirtina arba nemirtina PE. Antrinė veiksmingumo vertinamoji baigtis buvo sudėtinė, ją sudarė pasikartojanti GVT, nemirtina PE ir mirtis dėl bet kokios priežasties.</w:t>
      </w:r>
    </w:p>
    <w:p w14:paraId="4F0AB296" w14:textId="77777777" w:rsidR="00823785" w:rsidRPr="00452D62" w:rsidRDefault="00823785" w:rsidP="00823785">
      <w:pPr>
        <w:rPr>
          <w:sz w:val="22"/>
          <w:szCs w:val="22"/>
        </w:rPr>
      </w:pPr>
    </w:p>
    <w:p w14:paraId="6871FD21" w14:textId="43CD0B2B" w:rsidR="00823785" w:rsidRPr="00452D62" w:rsidRDefault="00823785" w:rsidP="00823785">
      <w:pPr>
        <w:rPr>
          <w:sz w:val="22"/>
          <w:szCs w:val="22"/>
        </w:rPr>
      </w:pPr>
      <w:r w:rsidRPr="00452D62">
        <w:rPr>
          <w:sz w:val="22"/>
          <w:szCs w:val="22"/>
        </w:rPr>
        <w:t xml:space="preserve">Tyrime </w:t>
      </w:r>
      <w:r w:rsidRPr="00452D62">
        <w:rPr>
          <w:i/>
          <w:sz w:val="22"/>
          <w:szCs w:val="22"/>
        </w:rPr>
        <w:t>Einstein Choice</w:t>
      </w:r>
      <w:r w:rsidRPr="00452D62">
        <w:rPr>
          <w:sz w:val="22"/>
          <w:szCs w:val="22"/>
        </w:rPr>
        <w:t>, kuriame dalyvavo 3396 pacientai, patyrę patvirtintą simptominę GVT ir (arba) PE ir užbaigę 6</w:t>
      </w:r>
      <w:r w:rsidRPr="00452D62">
        <w:rPr>
          <w:sz w:val="22"/>
          <w:szCs w:val="22"/>
        </w:rPr>
        <w:noBreakHyphen/>
        <w:t>12 mėnesių trukusį gydymą antikoaguliantais, buvo tiriama mirtinos PE arba nemirtinos pasikartojančios simptominės GVT arba PE profilaktika. Pacientai, kuriems buvo tęstinio gydymo terapinėmis antikoaguliantų dozėmis indikacijų, į tyrimą įtraukti nebuvo. Gydymo trukmė buvo iki 12 mėnesių ir priklausė nuo priskyrimo atsitiktinei imčiai datos (mediana: 351 diena). Buvo lyginamas vieną kartą per parą vartojamos 20 rivaroksabano dozės, vieną kartą per parą vartojamos 10 mg rivaroksabano dozės ir vieną kartą per parą vartojamos 100 mg acetilsalicilo rūgšties dozės poveikis.</w:t>
      </w:r>
    </w:p>
    <w:p w14:paraId="7808D69E" w14:textId="77777777" w:rsidR="00823785" w:rsidRPr="00452D62" w:rsidRDefault="00823785" w:rsidP="00823785">
      <w:pPr>
        <w:rPr>
          <w:sz w:val="22"/>
          <w:szCs w:val="22"/>
        </w:rPr>
      </w:pPr>
      <w:r w:rsidRPr="00452D62">
        <w:rPr>
          <w:sz w:val="22"/>
          <w:szCs w:val="22"/>
        </w:rPr>
        <w:t>Pagrindinė sudėtinė veiksmingumo vertinamoji baigtis buvo simptominė pasikartojanti VTE, apibūdinama kaip pasikartojanti GVT ir mirtina arba nemirtina PE.</w:t>
      </w:r>
    </w:p>
    <w:p w14:paraId="061E605E" w14:textId="5165FF71" w:rsidR="00823785" w:rsidRPr="00452D62" w:rsidRDefault="00823785" w:rsidP="00823785">
      <w:pPr>
        <w:rPr>
          <w:sz w:val="22"/>
          <w:szCs w:val="22"/>
        </w:rPr>
      </w:pPr>
      <w:r w:rsidRPr="00452D62">
        <w:rPr>
          <w:i/>
          <w:sz w:val="22"/>
          <w:szCs w:val="22"/>
        </w:rPr>
        <w:t>Einstein DVT</w:t>
      </w:r>
      <w:r w:rsidRPr="00452D62">
        <w:rPr>
          <w:sz w:val="22"/>
          <w:szCs w:val="22"/>
        </w:rPr>
        <w:t xml:space="preserve"> tyrimo metu (žr. 5 lentelę) analizuojant pagrindinę veiksmingumo vertinamąją baigtį, įrodytas neprastesnis poveikis, palyginti su enoksaparino/VKA poveikiu (p &lt; 0,0001 (neprastesnio poveikio testas); rizikos santykis (RS): 0,680 (0,443</w:t>
      </w:r>
      <w:r w:rsidRPr="00452D62">
        <w:rPr>
          <w:sz w:val="22"/>
          <w:szCs w:val="22"/>
        </w:rPr>
        <w:noBreakHyphen/>
        <w:t>1,042), p=0,076 (pranašumo tyrimas). Vertinant iš anksto numatytą suminę klinikinę naudą (pagrindinės veiksmingumo vertinamosios baigties reiškiniai plius didžiojo kraujavimo atvejai), RS buvo 0,67 ((95 % PI: 0,47</w:t>
      </w:r>
      <w:r w:rsidRPr="00452D62">
        <w:rPr>
          <w:sz w:val="22"/>
          <w:szCs w:val="22"/>
        </w:rPr>
        <w:noBreakHyphen/>
        <w:t>0,95), nominali p reikšmė p=0,027) rivaroksabano naudai. INR rodmuo vidutiniškai 60,3 % laiko buvo terapiniame intervale, kai vidutinė gydymo trukmė buvo 189 dienos, ir 55,4 %, 60,1 % bei 62,8 % laiko atitinkamai 3, 6 ir 12 mėnesių trukmės gydymo grupėse. Enoksaparino/VKA grupėje nebuvo aiškaus ryšio tarp vidutinio centrinio LIT (laiko iki tikslinio INR intervalo nuo 2,0 iki 3,0) vienodo dydžio tertilėse ir pasikartojančios VTE dažnio (sąveikos p=0,932). Aukščiausioje tertilėje (vertinant pagal centrą) RS vartojant rivaroksabaną, palyginti su varfarinu, buvo 0,69 (95 % PI: 0,35-1,35).</w:t>
      </w:r>
    </w:p>
    <w:p w14:paraId="56639817" w14:textId="77777777" w:rsidR="00823785" w:rsidRPr="00452D62" w:rsidRDefault="00823785" w:rsidP="00823785">
      <w:pPr>
        <w:rPr>
          <w:sz w:val="22"/>
          <w:szCs w:val="22"/>
        </w:rPr>
      </w:pPr>
    </w:p>
    <w:p w14:paraId="45CE8F0F" w14:textId="77777777" w:rsidR="00823785" w:rsidRPr="00452D62" w:rsidRDefault="00823785" w:rsidP="00823785">
      <w:pPr>
        <w:rPr>
          <w:sz w:val="22"/>
          <w:szCs w:val="22"/>
        </w:rPr>
      </w:pPr>
      <w:r w:rsidRPr="00452D62">
        <w:rPr>
          <w:sz w:val="22"/>
          <w:szCs w:val="22"/>
        </w:rPr>
        <w:t>Pagrindinės saugumo vertinamosios baigties reiškinių (didžiojo arba kliniškai reikšmingų ne didžiojo kraujavimo reiškinių) ir antrinės saugumo vertinamosios baigties reiškinių (didžiojo kraujavimo reiškinių) atvejų dažnis abiejose gydymo grupėse buvo panašūs.</w:t>
      </w:r>
    </w:p>
    <w:p w14:paraId="20531116" w14:textId="77777777" w:rsidR="00823785" w:rsidRPr="00452D62" w:rsidRDefault="00823785" w:rsidP="00823785">
      <w:pPr>
        <w:rPr>
          <w:sz w:val="22"/>
          <w:szCs w:val="22"/>
        </w:rPr>
      </w:pPr>
    </w:p>
    <w:p w14:paraId="2DC33C47" w14:textId="2C324E5C" w:rsidR="00823785" w:rsidRPr="00452D62" w:rsidRDefault="00823785" w:rsidP="00823785">
      <w:pPr>
        <w:rPr>
          <w:b/>
          <w:sz w:val="22"/>
          <w:szCs w:val="22"/>
        </w:rPr>
      </w:pPr>
      <w:r w:rsidRPr="00452D62">
        <w:rPr>
          <w:b/>
          <w:sz w:val="22"/>
          <w:szCs w:val="22"/>
        </w:rPr>
        <w:t xml:space="preserve">5 lentelė. III fazės </w:t>
      </w:r>
      <w:r w:rsidRPr="00452D62">
        <w:rPr>
          <w:b/>
          <w:i/>
          <w:iCs/>
          <w:sz w:val="22"/>
          <w:szCs w:val="22"/>
        </w:rPr>
        <w:t>Einstein DVT</w:t>
      </w:r>
      <w:r w:rsidRPr="00452D62">
        <w:rPr>
          <w:b/>
          <w:sz w:val="22"/>
          <w:szCs w:val="22"/>
        </w:rPr>
        <w:t xml:space="preserve"> tyrimo veiksmingumo ir saugumo rezultatai</w:t>
      </w: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7"/>
        <w:gridCol w:w="2882"/>
        <w:gridCol w:w="2855"/>
      </w:tblGrid>
      <w:tr w:rsidR="00823785" w:rsidRPr="00452D62" w14:paraId="3488F4BB" w14:textId="77777777" w:rsidTr="006453B9">
        <w:tc>
          <w:tcPr>
            <w:tcW w:w="2877" w:type="dxa"/>
            <w:shd w:val="clear" w:color="auto" w:fill="auto"/>
          </w:tcPr>
          <w:p w14:paraId="35EC4DFB"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Tyrimo populiacija</w:t>
            </w:r>
          </w:p>
        </w:tc>
        <w:tc>
          <w:tcPr>
            <w:tcW w:w="5737" w:type="dxa"/>
            <w:gridSpan w:val="2"/>
            <w:shd w:val="clear" w:color="auto" w:fill="auto"/>
          </w:tcPr>
          <w:p w14:paraId="45785606"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3 449 pacientai, sergantys simptomine ūmine giliųjų venų tromboze</w:t>
            </w:r>
          </w:p>
        </w:tc>
      </w:tr>
      <w:tr w:rsidR="00823785" w:rsidRPr="00452D62" w14:paraId="2C474E96" w14:textId="77777777" w:rsidTr="006453B9">
        <w:tc>
          <w:tcPr>
            <w:tcW w:w="2877" w:type="dxa"/>
            <w:shd w:val="clear" w:color="auto" w:fill="auto"/>
          </w:tcPr>
          <w:p w14:paraId="05216787" w14:textId="77777777" w:rsidR="00823785" w:rsidRPr="000877E9"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Gydymo dozė ir trukmė</w:t>
            </w:r>
          </w:p>
        </w:tc>
        <w:tc>
          <w:tcPr>
            <w:tcW w:w="2882" w:type="dxa"/>
            <w:shd w:val="clear" w:color="auto" w:fill="auto"/>
          </w:tcPr>
          <w:p w14:paraId="6D8D655B"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vertAlign w:val="superscript"/>
                <w:lang w:eastAsia="en-US"/>
              </w:rPr>
            </w:pPr>
            <w:r w:rsidRPr="00452D62">
              <w:rPr>
                <w:b/>
                <w:bCs/>
                <w:color w:val="231F20"/>
                <w:spacing w:val="-1"/>
                <w:sz w:val="22"/>
                <w:szCs w:val="22"/>
                <w:lang w:eastAsia="en-US"/>
              </w:rPr>
              <w:t>Rivaroksabanas</w:t>
            </w:r>
            <w:r w:rsidRPr="00452D62">
              <w:rPr>
                <w:b/>
                <w:bCs/>
                <w:color w:val="231F20"/>
                <w:spacing w:val="-1"/>
                <w:sz w:val="22"/>
                <w:szCs w:val="22"/>
                <w:vertAlign w:val="superscript"/>
                <w:lang w:eastAsia="en-US"/>
              </w:rPr>
              <w:t>a)</w:t>
            </w:r>
          </w:p>
          <w:p w14:paraId="6476408E"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 xml:space="preserve">3, 6 arba 12 mėnesių </w:t>
            </w:r>
          </w:p>
          <w:p w14:paraId="27976207"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N=1731</w:t>
            </w:r>
          </w:p>
        </w:tc>
        <w:tc>
          <w:tcPr>
            <w:tcW w:w="2855" w:type="dxa"/>
            <w:shd w:val="clear" w:color="auto" w:fill="auto"/>
          </w:tcPr>
          <w:p w14:paraId="7598633B"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Enoksaparinas/VKA</w:t>
            </w:r>
            <w:r w:rsidRPr="00452D62">
              <w:rPr>
                <w:b/>
                <w:bCs/>
                <w:color w:val="231F20"/>
                <w:spacing w:val="-1"/>
                <w:sz w:val="22"/>
                <w:szCs w:val="22"/>
                <w:vertAlign w:val="superscript"/>
                <w:lang w:eastAsia="en-US"/>
              </w:rPr>
              <w:t>b)</w:t>
            </w:r>
          </w:p>
          <w:p w14:paraId="7223D394"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3, 6 arba 12 mėnesių</w:t>
            </w:r>
          </w:p>
          <w:p w14:paraId="6378CC6D"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N=1718</w:t>
            </w:r>
          </w:p>
        </w:tc>
      </w:tr>
      <w:tr w:rsidR="00823785" w:rsidRPr="00452D62" w14:paraId="0EABECAC" w14:textId="77777777" w:rsidTr="006453B9">
        <w:tc>
          <w:tcPr>
            <w:tcW w:w="2877" w:type="dxa"/>
            <w:shd w:val="clear" w:color="auto" w:fill="auto"/>
          </w:tcPr>
          <w:p w14:paraId="469E93ED" w14:textId="77777777" w:rsidR="00823785" w:rsidRPr="00452D62" w:rsidRDefault="00823785"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452D62">
              <w:rPr>
                <w:color w:val="231F20"/>
                <w:spacing w:val="-1"/>
                <w:sz w:val="22"/>
                <w:szCs w:val="22"/>
                <w:lang w:eastAsia="en-US"/>
              </w:rPr>
              <w:t>Simptominė pasikartojanti VTE*</w:t>
            </w:r>
          </w:p>
        </w:tc>
        <w:tc>
          <w:tcPr>
            <w:tcW w:w="2882" w:type="dxa"/>
            <w:shd w:val="clear" w:color="auto" w:fill="auto"/>
          </w:tcPr>
          <w:p w14:paraId="4C9DD738"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36 </w:t>
            </w:r>
          </w:p>
          <w:p w14:paraId="5E565D4D" w14:textId="51056A1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(2,1 %)</w:t>
            </w:r>
          </w:p>
        </w:tc>
        <w:tc>
          <w:tcPr>
            <w:tcW w:w="2855" w:type="dxa"/>
            <w:shd w:val="clear" w:color="auto" w:fill="auto"/>
          </w:tcPr>
          <w:p w14:paraId="32464AA2"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51 </w:t>
            </w:r>
          </w:p>
          <w:p w14:paraId="4DAA05C3" w14:textId="57C3DE9A"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(3,0 %)</w:t>
            </w:r>
          </w:p>
        </w:tc>
      </w:tr>
      <w:tr w:rsidR="00823785" w:rsidRPr="00452D62" w14:paraId="6A06070C" w14:textId="77777777" w:rsidTr="006453B9">
        <w:tc>
          <w:tcPr>
            <w:tcW w:w="2877" w:type="dxa"/>
            <w:shd w:val="clear" w:color="auto" w:fill="auto"/>
          </w:tcPr>
          <w:p w14:paraId="74A34C5C" w14:textId="77777777" w:rsidR="00823785" w:rsidRPr="00452D62"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452D62">
              <w:rPr>
                <w:color w:val="231F20"/>
                <w:spacing w:val="-1"/>
                <w:sz w:val="22"/>
                <w:szCs w:val="22"/>
                <w:lang w:eastAsia="en-US"/>
              </w:rPr>
              <w:t>Simptominė pasikartojanti PE</w:t>
            </w:r>
          </w:p>
        </w:tc>
        <w:tc>
          <w:tcPr>
            <w:tcW w:w="2882" w:type="dxa"/>
            <w:shd w:val="clear" w:color="auto" w:fill="auto"/>
          </w:tcPr>
          <w:p w14:paraId="37B5695F"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20 </w:t>
            </w:r>
          </w:p>
          <w:p w14:paraId="45983668" w14:textId="103FA984"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(1,2 %)</w:t>
            </w:r>
          </w:p>
        </w:tc>
        <w:tc>
          <w:tcPr>
            <w:tcW w:w="2855" w:type="dxa"/>
            <w:shd w:val="clear" w:color="auto" w:fill="auto"/>
          </w:tcPr>
          <w:p w14:paraId="7B6C05E6"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18 </w:t>
            </w:r>
          </w:p>
          <w:p w14:paraId="7A2B4BC0" w14:textId="7556F22F"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(1,0 %)</w:t>
            </w:r>
          </w:p>
        </w:tc>
      </w:tr>
      <w:tr w:rsidR="00823785" w:rsidRPr="00452D62" w14:paraId="2BDF0B4E" w14:textId="77777777" w:rsidTr="006453B9">
        <w:tc>
          <w:tcPr>
            <w:tcW w:w="2877" w:type="dxa"/>
            <w:shd w:val="clear" w:color="auto" w:fill="auto"/>
          </w:tcPr>
          <w:p w14:paraId="044952C5" w14:textId="77777777" w:rsidR="00823785" w:rsidRPr="00452D62" w:rsidRDefault="00823785" w:rsidP="006453B9">
            <w:pPr>
              <w:widowControl w:val="0"/>
              <w:tabs>
                <w:tab w:val="clear" w:pos="567"/>
                <w:tab w:val="left" w:pos="8505"/>
              </w:tabs>
              <w:suppressAutoHyphens w:val="0"/>
              <w:spacing w:before="75" w:line="240" w:lineRule="auto"/>
              <w:ind w:left="284" w:right="35"/>
              <w:contextualSpacing/>
              <w:rPr>
                <w:color w:val="231F20"/>
                <w:spacing w:val="-1"/>
                <w:sz w:val="22"/>
                <w:szCs w:val="22"/>
                <w:lang w:eastAsia="en-US"/>
              </w:rPr>
            </w:pPr>
            <w:r w:rsidRPr="00452D62">
              <w:rPr>
                <w:color w:val="231F20"/>
                <w:spacing w:val="-1"/>
                <w:sz w:val="22"/>
                <w:szCs w:val="22"/>
                <w:lang w:eastAsia="en-US"/>
              </w:rPr>
              <w:t>Simptominė pasikartojanti GVT</w:t>
            </w:r>
          </w:p>
        </w:tc>
        <w:tc>
          <w:tcPr>
            <w:tcW w:w="2882" w:type="dxa"/>
            <w:shd w:val="clear" w:color="auto" w:fill="auto"/>
          </w:tcPr>
          <w:p w14:paraId="0BF90944"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14 </w:t>
            </w:r>
          </w:p>
          <w:p w14:paraId="6BE523EE" w14:textId="2395EEFC"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(0,8 %)</w:t>
            </w:r>
          </w:p>
        </w:tc>
        <w:tc>
          <w:tcPr>
            <w:tcW w:w="2855" w:type="dxa"/>
            <w:shd w:val="clear" w:color="auto" w:fill="auto"/>
          </w:tcPr>
          <w:p w14:paraId="50A0646F"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28 </w:t>
            </w:r>
          </w:p>
          <w:p w14:paraId="3439E3A5" w14:textId="49FE016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(1,6 %)</w:t>
            </w:r>
          </w:p>
        </w:tc>
      </w:tr>
      <w:tr w:rsidR="00823785" w:rsidRPr="00452D62" w14:paraId="5D7FA481" w14:textId="77777777" w:rsidTr="006453B9">
        <w:tc>
          <w:tcPr>
            <w:tcW w:w="2877" w:type="dxa"/>
            <w:shd w:val="clear" w:color="auto" w:fill="auto"/>
          </w:tcPr>
          <w:p w14:paraId="26C18B6D" w14:textId="77777777" w:rsidR="00823785" w:rsidRPr="000877E9"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452D62">
              <w:rPr>
                <w:color w:val="auto"/>
                <w:sz w:val="22"/>
                <w:szCs w:val="22"/>
                <w:lang w:eastAsia="en-US"/>
              </w:rPr>
              <w:t>Simptominė PE ir GVT</w:t>
            </w:r>
          </w:p>
        </w:tc>
        <w:tc>
          <w:tcPr>
            <w:tcW w:w="2882" w:type="dxa"/>
            <w:shd w:val="clear" w:color="auto" w:fill="auto"/>
          </w:tcPr>
          <w:p w14:paraId="6A0E9123"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 xml:space="preserve">1 </w:t>
            </w:r>
          </w:p>
          <w:p w14:paraId="4BE2E2ED" w14:textId="3088ADAD"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auto"/>
                <w:sz w:val="22"/>
                <w:szCs w:val="22"/>
                <w:lang w:eastAsia="en-US"/>
              </w:rPr>
              <w:t>(0,1 %)</w:t>
            </w:r>
          </w:p>
        </w:tc>
        <w:tc>
          <w:tcPr>
            <w:tcW w:w="2855" w:type="dxa"/>
            <w:shd w:val="clear" w:color="auto" w:fill="auto"/>
          </w:tcPr>
          <w:p w14:paraId="5A287790"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w:t>
            </w:r>
          </w:p>
        </w:tc>
      </w:tr>
      <w:tr w:rsidR="00823785" w:rsidRPr="00452D62" w14:paraId="2CF6B37B" w14:textId="77777777" w:rsidTr="006453B9">
        <w:tc>
          <w:tcPr>
            <w:tcW w:w="2877" w:type="dxa"/>
            <w:shd w:val="clear" w:color="auto" w:fill="auto"/>
          </w:tcPr>
          <w:p w14:paraId="04D6D6DD" w14:textId="77777777" w:rsidR="00823785" w:rsidRPr="00452D62"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452D62">
              <w:rPr>
                <w:color w:val="231F20"/>
                <w:spacing w:val="-1"/>
                <w:sz w:val="22"/>
                <w:szCs w:val="22"/>
                <w:lang w:eastAsia="en-US"/>
              </w:rPr>
              <w:t>Mirtina PE/mirtis, kai negalima atmesti PE kaip galimos priežasties</w:t>
            </w:r>
          </w:p>
        </w:tc>
        <w:tc>
          <w:tcPr>
            <w:tcW w:w="2882" w:type="dxa"/>
            <w:shd w:val="clear" w:color="auto" w:fill="auto"/>
          </w:tcPr>
          <w:p w14:paraId="40FD8246"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4 </w:t>
            </w:r>
          </w:p>
          <w:p w14:paraId="587B94CA" w14:textId="067B96D9"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(0,2 %)</w:t>
            </w:r>
          </w:p>
        </w:tc>
        <w:tc>
          <w:tcPr>
            <w:tcW w:w="2855" w:type="dxa"/>
            <w:shd w:val="clear" w:color="auto" w:fill="auto"/>
          </w:tcPr>
          <w:p w14:paraId="1807EFAA"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6 </w:t>
            </w:r>
          </w:p>
          <w:p w14:paraId="0381FDEA" w14:textId="4E56C3DF"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(0,3 %)</w:t>
            </w:r>
          </w:p>
        </w:tc>
      </w:tr>
      <w:tr w:rsidR="00823785" w:rsidRPr="00452D62" w14:paraId="64C6C5B6" w14:textId="77777777" w:rsidTr="006453B9">
        <w:tc>
          <w:tcPr>
            <w:tcW w:w="2877" w:type="dxa"/>
            <w:shd w:val="clear" w:color="auto" w:fill="auto"/>
          </w:tcPr>
          <w:p w14:paraId="0F503560" w14:textId="77777777" w:rsidR="00823785" w:rsidRPr="00452D62" w:rsidRDefault="00823785"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452D62">
              <w:rPr>
                <w:color w:val="231F20"/>
                <w:spacing w:val="-1"/>
                <w:sz w:val="22"/>
                <w:szCs w:val="22"/>
                <w:lang w:eastAsia="en-US"/>
              </w:rPr>
              <w:t>Didysis ar kliniškai reikšmingas ne didysis kraujavimas</w:t>
            </w:r>
          </w:p>
        </w:tc>
        <w:tc>
          <w:tcPr>
            <w:tcW w:w="2882" w:type="dxa"/>
            <w:shd w:val="clear" w:color="auto" w:fill="auto"/>
          </w:tcPr>
          <w:p w14:paraId="131C667D"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139 </w:t>
            </w:r>
          </w:p>
          <w:p w14:paraId="43948F3E" w14:textId="71A50EF6"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(8,1 %)</w:t>
            </w:r>
          </w:p>
        </w:tc>
        <w:tc>
          <w:tcPr>
            <w:tcW w:w="2855" w:type="dxa"/>
            <w:shd w:val="clear" w:color="auto" w:fill="auto"/>
          </w:tcPr>
          <w:p w14:paraId="35482274"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138 </w:t>
            </w:r>
          </w:p>
          <w:p w14:paraId="2B5E8951" w14:textId="643BE21C"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(8,1 %)</w:t>
            </w:r>
          </w:p>
        </w:tc>
      </w:tr>
      <w:tr w:rsidR="00823785" w:rsidRPr="00452D62" w14:paraId="3C24A7DD" w14:textId="77777777" w:rsidTr="006453B9">
        <w:tc>
          <w:tcPr>
            <w:tcW w:w="2877" w:type="dxa"/>
            <w:shd w:val="clear" w:color="auto" w:fill="auto"/>
          </w:tcPr>
          <w:p w14:paraId="389BB66D" w14:textId="77777777" w:rsidR="00823785" w:rsidRPr="00452D62" w:rsidRDefault="00823785"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452D62">
              <w:rPr>
                <w:color w:val="231F20"/>
                <w:spacing w:val="-1"/>
                <w:sz w:val="22"/>
                <w:szCs w:val="22"/>
                <w:lang w:eastAsia="en-US"/>
              </w:rPr>
              <w:t>Didžiojo kraujavimo reiškiniai</w:t>
            </w:r>
          </w:p>
        </w:tc>
        <w:tc>
          <w:tcPr>
            <w:tcW w:w="2882" w:type="dxa"/>
            <w:shd w:val="clear" w:color="auto" w:fill="auto"/>
          </w:tcPr>
          <w:p w14:paraId="48B24F3C"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14 </w:t>
            </w:r>
          </w:p>
          <w:p w14:paraId="7B969041" w14:textId="685E37FE"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(0,8 %)</w:t>
            </w:r>
          </w:p>
        </w:tc>
        <w:tc>
          <w:tcPr>
            <w:tcW w:w="2855" w:type="dxa"/>
            <w:shd w:val="clear" w:color="auto" w:fill="auto"/>
          </w:tcPr>
          <w:p w14:paraId="5A28F730"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20 </w:t>
            </w:r>
          </w:p>
          <w:p w14:paraId="709FC3BA" w14:textId="0196F3BA"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(1,2 %)</w:t>
            </w:r>
          </w:p>
        </w:tc>
      </w:tr>
    </w:tbl>
    <w:p w14:paraId="65489556" w14:textId="77777777" w:rsidR="00823785" w:rsidRPr="000877E9" w:rsidRDefault="00823785" w:rsidP="00823785">
      <w:pPr>
        <w:spacing w:before="120"/>
        <w:rPr>
          <w:sz w:val="22"/>
          <w:szCs w:val="22"/>
        </w:rPr>
      </w:pPr>
      <w:r w:rsidRPr="00452D62">
        <w:rPr>
          <w:sz w:val="22"/>
          <w:szCs w:val="22"/>
          <w:vertAlign w:val="superscript"/>
        </w:rPr>
        <w:t>a)</w:t>
      </w:r>
      <w:r w:rsidRPr="000877E9">
        <w:rPr>
          <w:sz w:val="22"/>
          <w:szCs w:val="22"/>
        </w:rPr>
        <w:t xml:space="preserve"> Rivaroksabanas po 15 mg du kartus per parą 3 savaites, po to po 20 mg vieną kartą per parą.</w:t>
      </w:r>
    </w:p>
    <w:p w14:paraId="2C95EC18" w14:textId="77777777" w:rsidR="00823785" w:rsidRPr="00452D62" w:rsidRDefault="00823785" w:rsidP="00823785">
      <w:pPr>
        <w:rPr>
          <w:sz w:val="22"/>
          <w:szCs w:val="22"/>
        </w:rPr>
      </w:pPr>
      <w:r w:rsidRPr="00452D62">
        <w:rPr>
          <w:sz w:val="22"/>
          <w:szCs w:val="22"/>
          <w:vertAlign w:val="superscript"/>
        </w:rPr>
        <w:t>b)</w:t>
      </w:r>
      <w:r w:rsidRPr="00452D62">
        <w:rPr>
          <w:sz w:val="22"/>
          <w:szCs w:val="22"/>
        </w:rPr>
        <w:t xml:space="preserve"> Enoksaparinas mažiausiai 5 dienas, kartu vartojant ir vėliau tęsiant gydymą VKA.</w:t>
      </w:r>
    </w:p>
    <w:p w14:paraId="0E8F251F" w14:textId="77777777" w:rsidR="00823785" w:rsidRPr="00452D62" w:rsidRDefault="00823785" w:rsidP="00823785">
      <w:pPr>
        <w:ind w:left="142" w:hanging="142"/>
        <w:rPr>
          <w:sz w:val="22"/>
          <w:szCs w:val="22"/>
        </w:rPr>
      </w:pPr>
      <w:r w:rsidRPr="00452D62">
        <w:rPr>
          <w:sz w:val="22"/>
          <w:szCs w:val="22"/>
        </w:rPr>
        <w:t>* p &lt; 0,0001 (neprastesnis poveikis, kai iš anksto numatytas RS buvo 2,0); RS: 0,680 (0,443</w:t>
      </w:r>
      <w:r w:rsidRPr="00452D62">
        <w:rPr>
          <w:sz w:val="22"/>
          <w:szCs w:val="22"/>
        </w:rPr>
        <w:noBreakHyphen/>
        <w:t>1,042), p=0,076 (pranašumas).</w:t>
      </w:r>
    </w:p>
    <w:p w14:paraId="248FC5EB" w14:textId="77777777" w:rsidR="00823785" w:rsidRPr="00452D62" w:rsidRDefault="00823785" w:rsidP="00823785">
      <w:pPr>
        <w:rPr>
          <w:sz w:val="22"/>
          <w:szCs w:val="22"/>
        </w:rPr>
      </w:pPr>
    </w:p>
    <w:p w14:paraId="3AA88FEE" w14:textId="3244EC07" w:rsidR="00823785" w:rsidRPr="00452D62" w:rsidRDefault="00823785" w:rsidP="00823785">
      <w:pPr>
        <w:rPr>
          <w:sz w:val="22"/>
          <w:szCs w:val="22"/>
        </w:rPr>
      </w:pPr>
      <w:r w:rsidRPr="00452D62">
        <w:rPr>
          <w:i/>
          <w:sz w:val="22"/>
          <w:szCs w:val="22"/>
        </w:rPr>
        <w:t>Einstein PE</w:t>
      </w:r>
      <w:r w:rsidRPr="00452D62">
        <w:rPr>
          <w:sz w:val="22"/>
          <w:szCs w:val="22"/>
        </w:rPr>
        <w:t xml:space="preserve"> tyrimo metu (žr. 6 lentelę), analizuojant pagrindinę veiksmingumo vertinamąją baigtį patvirtintas neprastesnis rivaroksabano poveikis, palyginti su enoksaparinu/VKA (p=0,0026) (neprastesnio poveikio testas); RS 1,123 (0,749</w:t>
      </w:r>
      <w:r w:rsidRPr="00452D62">
        <w:rPr>
          <w:sz w:val="22"/>
          <w:szCs w:val="22"/>
        </w:rPr>
        <w:noBreakHyphen/>
        <w:t>1,684)). Vertinant iš anksto numatytą suminę klinikinę naudą (pagrindinės veiksmingumo vertinamosios baigties reiškiniai plius didžiojo kraujavimo atvejai), RS buvo 0,849 ((95 % PI: 0,633</w:t>
      </w:r>
      <w:r w:rsidRPr="00452D62">
        <w:rPr>
          <w:sz w:val="22"/>
          <w:szCs w:val="22"/>
        </w:rPr>
        <w:noBreakHyphen/>
        <w:t>1,139), nominali p reikšmė p=0,275). INR rodmuo vidutiniškai 63 % laiko buvo terapiniame intervale, kai vidutinė gydymo trukmė buvo 215 dienų, ir 57 %, 62 % bei 65 % laiko atitinkamai 3, 6 ir 12 mėnesių trukmės gydymo grupėse. Enoksaparino/VKA grupėje nebuvo aiškaus ryšio tarp vidutinio centrinio LIT (laiko iki tikslinio INR intervalo nuo 2,0 iki 3,0) vienodo dydžio tertilėse ir pasikartojančios VTE dažnio (sąveikos p=0,082). Aukščiausioje tertilėje (vertinant pagal centrą) RS vartojant rivaroksabaną, palyginti su varfarinu, buvo 0,642 (95 % PI: 0,277</w:t>
      </w:r>
      <w:r w:rsidRPr="00452D62">
        <w:rPr>
          <w:sz w:val="22"/>
          <w:szCs w:val="22"/>
        </w:rPr>
        <w:noBreakHyphen/>
        <w:t>1,484).</w:t>
      </w:r>
    </w:p>
    <w:p w14:paraId="6FA662D8" w14:textId="77777777" w:rsidR="00823785" w:rsidRPr="00452D62" w:rsidRDefault="00823785" w:rsidP="00823785">
      <w:pPr>
        <w:rPr>
          <w:sz w:val="22"/>
          <w:szCs w:val="22"/>
        </w:rPr>
      </w:pPr>
    </w:p>
    <w:p w14:paraId="5D2AD9F3" w14:textId="53D2F3E8" w:rsidR="00823785" w:rsidRPr="00452D62" w:rsidRDefault="00823785" w:rsidP="00823785">
      <w:pPr>
        <w:rPr>
          <w:sz w:val="22"/>
          <w:szCs w:val="22"/>
        </w:rPr>
      </w:pPr>
      <w:r w:rsidRPr="00452D62">
        <w:rPr>
          <w:sz w:val="22"/>
          <w:szCs w:val="22"/>
        </w:rPr>
        <w:t>Tiriant pagrindinius saugumo rezultatus (didžiojo arba klinikiniu požiūriu reikšmingo ne didžiojo kraujavimo atvejus), rivaroksabano grupėje atvejų dažnis buvo šiek tiek mažesnis (10,3 % (249/2412)) negu enoksaparino/VKA grupėje (11,4 % (274/2405)). Tiriant antrinius saugumo rezultatus (didžiojo kraujavimo atvejus), rivaroksabano grupėje atvejų dažnis buvo mažesnis (1,1 % (26/2412)) negu enoksaparino/VKA grupėje (2,2 % (52/2405)), RS esant 0,493 (95 % PI: 0,308-0,789).</w:t>
      </w:r>
    </w:p>
    <w:p w14:paraId="4FF82541" w14:textId="77777777" w:rsidR="00823785" w:rsidRPr="00452D62" w:rsidRDefault="00823785" w:rsidP="00823785">
      <w:pPr>
        <w:rPr>
          <w:sz w:val="22"/>
          <w:szCs w:val="22"/>
        </w:rPr>
      </w:pPr>
    </w:p>
    <w:p w14:paraId="7DBA109E" w14:textId="20F4DBD1" w:rsidR="00823785" w:rsidRPr="00452D62" w:rsidRDefault="00823785" w:rsidP="00823785">
      <w:pPr>
        <w:rPr>
          <w:b/>
          <w:sz w:val="22"/>
          <w:szCs w:val="22"/>
        </w:rPr>
      </w:pPr>
      <w:r w:rsidRPr="00452D62">
        <w:rPr>
          <w:b/>
          <w:sz w:val="22"/>
          <w:szCs w:val="22"/>
        </w:rPr>
        <w:t xml:space="preserve">6 lentelė. III fazės </w:t>
      </w:r>
      <w:r w:rsidRPr="00452D62">
        <w:rPr>
          <w:b/>
          <w:i/>
          <w:iCs/>
          <w:sz w:val="22"/>
          <w:szCs w:val="22"/>
        </w:rPr>
        <w:t>Einstein PE</w:t>
      </w:r>
      <w:r w:rsidRPr="00452D62">
        <w:rPr>
          <w:b/>
          <w:sz w:val="22"/>
          <w:szCs w:val="22"/>
        </w:rPr>
        <w:t xml:space="preserve"> tyrimo veiksmingumo ir saugumo rezultatai</w:t>
      </w:r>
    </w:p>
    <w:tbl>
      <w:tblPr>
        <w:tblW w:w="8614"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7"/>
        <w:gridCol w:w="2882"/>
        <w:gridCol w:w="2855"/>
      </w:tblGrid>
      <w:tr w:rsidR="00823785" w:rsidRPr="00452D62" w14:paraId="70870BD6" w14:textId="77777777" w:rsidTr="006453B9">
        <w:tc>
          <w:tcPr>
            <w:tcW w:w="2877" w:type="dxa"/>
          </w:tcPr>
          <w:p w14:paraId="661C6DB7"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Tyrimo populiacija</w:t>
            </w:r>
          </w:p>
        </w:tc>
        <w:tc>
          <w:tcPr>
            <w:tcW w:w="5737" w:type="dxa"/>
            <w:gridSpan w:val="2"/>
            <w:shd w:val="clear" w:color="auto" w:fill="auto"/>
          </w:tcPr>
          <w:p w14:paraId="6BA9EA1B"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4 832 pacientai, sergantys ūmine simptomine PE</w:t>
            </w:r>
          </w:p>
        </w:tc>
      </w:tr>
      <w:tr w:rsidR="00823785" w:rsidRPr="00452D62" w14:paraId="31862E2D" w14:textId="77777777" w:rsidTr="006453B9">
        <w:tc>
          <w:tcPr>
            <w:tcW w:w="2877" w:type="dxa"/>
          </w:tcPr>
          <w:p w14:paraId="07DDFEAA" w14:textId="77777777" w:rsidR="00823785" w:rsidRPr="000877E9"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Gydymo dozė ir trukmė</w:t>
            </w:r>
          </w:p>
        </w:tc>
        <w:tc>
          <w:tcPr>
            <w:tcW w:w="2882" w:type="dxa"/>
            <w:shd w:val="clear" w:color="auto" w:fill="auto"/>
          </w:tcPr>
          <w:p w14:paraId="6A7F8537"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vertAlign w:val="superscript"/>
                <w:lang w:eastAsia="en-US"/>
              </w:rPr>
            </w:pPr>
            <w:r w:rsidRPr="00452D62">
              <w:rPr>
                <w:b/>
                <w:bCs/>
                <w:color w:val="231F20"/>
                <w:spacing w:val="-1"/>
                <w:sz w:val="22"/>
                <w:szCs w:val="22"/>
                <w:lang w:eastAsia="en-US"/>
              </w:rPr>
              <w:t>Rivaroksabanas</w:t>
            </w:r>
            <w:r w:rsidRPr="00452D62">
              <w:rPr>
                <w:b/>
                <w:bCs/>
                <w:color w:val="231F20"/>
                <w:spacing w:val="-1"/>
                <w:sz w:val="22"/>
                <w:szCs w:val="22"/>
                <w:vertAlign w:val="superscript"/>
                <w:lang w:eastAsia="en-US"/>
              </w:rPr>
              <w:t>a)</w:t>
            </w:r>
          </w:p>
          <w:p w14:paraId="3926776E"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 xml:space="preserve">3, 6 arba 12 mėnesių </w:t>
            </w:r>
          </w:p>
          <w:p w14:paraId="13C098BF"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N=2 419</w:t>
            </w:r>
          </w:p>
        </w:tc>
        <w:tc>
          <w:tcPr>
            <w:tcW w:w="2855" w:type="dxa"/>
            <w:shd w:val="clear" w:color="auto" w:fill="auto"/>
          </w:tcPr>
          <w:p w14:paraId="5EB08C6F"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Enoksaparinas/VKA</w:t>
            </w:r>
            <w:r w:rsidRPr="00452D62">
              <w:rPr>
                <w:b/>
                <w:bCs/>
                <w:color w:val="231F20"/>
                <w:spacing w:val="-1"/>
                <w:sz w:val="22"/>
                <w:szCs w:val="22"/>
                <w:vertAlign w:val="superscript"/>
                <w:lang w:eastAsia="en-US"/>
              </w:rPr>
              <w:t>b)</w:t>
            </w:r>
          </w:p>
          <w:p w14:paraId="36086F3E"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3, 6 arba 12 mėnesių</w:t>
            </w:r>
          </w:p>
          <w:p w14:paraId="7CA06D18"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N=2 413</w:t>
            </w:r>
          </w:p>
        </w:tc>
      </w:tr>
      <w:tr w:rsidR="00823785" w:rsidRPr="00452D62" w14:paraId="4872637A" w14:textId="77777777" w:rsidTr="006453B9">
        <w:tc>
          <w:tcPr>
            <w:tcW w:w="2877" w:type="dxa"/>
          </w:tcPr>
          <w:p w14:paraId="03A642F4" w14:textId="77777777" w:rsidR="00823785" w:rsidRPr="00452D62" w:rsidRDefault="00823785"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452D62">
              <w:rPr>
                <w:color w:val="231F20"/>
                <w:spacing w:val="-1"/>
                <w:sz w:val="22"/>
                <w:szCs w:val="22"/>
                <w:lang w:eastAsia="en-US"/>
              </w:rPr>
              <w:t>Simptominė pasikartojanti VTE*</w:t>
            </w:r>
          </w:p>
        </w:tc>
        <w:tc>
          <w:tcPr>
            <w:tcW w:w="2882" w:type="dxa"/>
            <w:shd w:val="clear" w:color="auto" w:fill="auto"/>
          </w:tcPr>
          <w:p w14:paraId="1C632C83"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50</w:t>
            </w:r>
          </w:p>
          <w:p w14:paraId="23AF54F7" w14:textId="5EE3E15F"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(2,1 %)</w:t>
            </w:r>
          </w:p>
        </w:tc>
        <w:tc>
          <w:tcPr>
            <w:tcW w:w="2855" w:type="dxa"/>
            <w:shd w:val="clear" w:color="auto" w:fill="auto"/>
          </w:tcPr>
          <w:p w14:paraId="185B4420"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44</w:t>
            </w:r>
          </w:p>
          <w:p w14:paraId="0051428A" w14:textId="6749EE66"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(1,8 %)</w:t>
            </w:r>
          </w:p>
        </w:tc>
      </w:tr>
      <w:tr w:rsidR="00823785" w:rsidRPr="00452D62" w14:paraId="059D118D" w14:textId="77777777" w:rsidTr="006453B9">
        <w:tc>
          <w:tcPr>
            <w:tcW w:w="2877" w:type="dxa"/>
          </w:tcPr>
          <w:p w14:paraId="675F13C4" w14:textId="77777777" w:rsidR="00823785" w:rsidRPr="00452D62"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452D62">
              <w:rPr>
                <w:color w:val="231F20"/>
                <w:spacing w:val="-1"/>
                <w:sz w:val="22"/>
                <w:szCs w:val="22"/>
                <w:lang w:eastAsia="en-US"/>
              </w:rPr>
              <w:t>Simptominė pasikartojanti PE</w:t>
            </w:r>
          </w:p>
        </w:tc>
        <w:tc>
          <w:tcPr>
            <w:tcW w:w="2882" w:type="dxa"/>
            <w:shd w:val="clear" w:color="auto" w:fill="auto"/>
          </w:tcPr>
          <w:p w14:paraId="45862344"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23</w:t>
            </w:r>
          </w:p>
          <w:p w14:paraId="4603B21B" w14:textId="1A4BA6AF"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(1,0 %)</w:t>
            </w:r>
          </w:p>
        </w:tc>
        <w:tc>
          <w:tcPr>
            <w:tcW w:w="2855" w:type="dxa"/>
            <w:shd w:val="clear" w:color="auto" w:fill="auto"/>
          </w:tcPr>
          <w:p w14:paraId="16D49DD0"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20</w:t>
            </w:r>
          </w:p>
          <w:p w14:paraId="75B6EC88" w14:textId="63464311"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(0,8 %)</w:t>
            </w:r>
          </w:p>
        </w:tc>
      </w:tr>
      <w:tr w:rsidR="00823785" w:rsidRPr="00452D62" w14:paraId="419DF9D5" w14:textId="77777777" w:rsidTr="006453B9">
        <w:tc>
          <w:tcPr>
            <w:tcW w:w="2877" w:type="dxa"/>
          </w:tcPr>
          <w:p w14:paraId="75B6F050" w14:textId="77777777" w:rsidR="00823785" w:rsidRPr="00452D62"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452D62">
              <w:rPr>
                <w:color w:val="231F20"/>
                <w:spacing w:val="-1"/>
                <w:sz w:val="22"/>
                <w:szCs w:val="22"/>
                <w:lang w:eastAsia="en-US"/>
              </w:rPr>
              <w:t>Simptominė pasikartojanti GVT</w:t>
            </w:r>
          </w:p>
        </w:tc>
        <w:tc>
          <w:tcPr>
            <w:tcW w:w="2882" w:type="dxa"/>
            <w:shd w:val="clear" w:color="auto" w:fill="auto"/>
          </w:tcPr>
          <w:p w14:paraId="062E1FB5"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18</w:t>
            </w:r>
          </w:p>
          <w:p w14:paraId="328312EF" w14:textId="1987C58F"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(0,7 %)</w:t>
            </w:r>
          </w:p>
        </w:tc>
        <w:tc>
          <w:tcPr>
            <w:tcW w:w="2855" w:type="dxa"/>
            <w:shd w:val="clear" w:color="auto" w:fill="auto"/>
          </w:tcPr>
          <w:p w14:paraId="697A2CCB"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17</w:t>
            </w:r>
          </w:p>
          <w:p w14:paraId="0F155D03" w14:textId="08B2C563"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(0,7 %)</w:t>
            </w:r>
          </w:p>
        </w:tc>
      </w:tr>
      <w:tr w:rsidR="00823785" w:rsidRPr="00452D62" w14:paraId="7CC9086C" w14:textId="77777777" w:rsidTr="006453B9">
        <w:tc>
          <w:tcPr>
            <w:tcW w:w="2877" w:type="dxa"/>
          </w:tcPr>
          <w:p w14:paraId="64862DA1" w14:textId="77777777" w:rsidR="00823785" w:rsidRPr="000877E9"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452D62">
              <w:rPr>
                <w:color w:val="auto"/>
                <w:sz w:val="22"/>
                <w:szCs w:val="22"/>
                <w:lang w:eastAsia="en-US"/>
              </w:rPr>
              <w:t>Simptominė PE ir GVT</w:t>
            </w:r>
          </w:p>
        </w:tc>
        <w:tc>
          <w:tcPr>
            <w:tcW w:w="2882" w:type="dxa"/>
            <w:shd w:val="clear" w:color="auto" w:fill="auto"/>
          </w:tcPr>
          <w:p w14:paraId="0A915DBF"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w:t>
            </w:r>
          </w:p>
        </w:tc>
        <w:tc>
          <w:tcPr>
            <w:tcW w:w="2855" w:type="dxa"/>
            <w:shd w:val="clear" w:color="auto" w:fill="auto"/>
          </w:tcPr>
          <w:p w14:paraId="05C61D37"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2</w:t>
            </w:r>
          </w:p>
          <w:p w14:paraId="1C5B7CA2" w14:textId="4D4B108D"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(&lt;0,1 %)</w:t>
            </w:r>
          </w:p>
        </w:tc>
      </w:tr>
      <w:tr w:rsidR="00823785" w:rsidRPr="00452D62" w14:paraId="6DC39982" w14:textId="77777777" w:rsidTr="006453B9">
        <w:tc>
          <w:tcPr>
            <w:tcW w:w="2877" w:type="dxa"/>
          </w:tcPr>
          <w:p w14:paraId="47551291" w14:textId="77777777" w:rsidR="00823785" w:rsidRPr="00452D62"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452D62">
              <w:rPr>
                <w:color w:val="231F20"/>
                <w:spacing w:val="-1"/>
                <w:sz w:val="22"/>
                <w:szCs w:val="22"/>
                <w:lang w:eastAsia="en-US"/>
              </w:rPr>
              <w:t>Mirtina PE/mirtis, kai negalima atmesti PE kaip galimos priežasties</w:t>
            </w:r>
          </w:p>
        </w:tc>
        <w:tc>
          <w:tcPr>
            <w:tcW w:w="2882" w:type="dxa"/>
            <w:shd w:val="clear" w:color="auto" w:fill="auto"/>
          </w:tcPr>
          <w:p w14:paraId="25B61DEB"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11</w:t>
            </w:r>
          </w:p>
          <w:p w14:paraId="56A680A9" w14:textId="53C6C3CB"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(0,5 %)</w:t>
            </w:r>
          </w:p>
        </w:tc>
        <w:tc>
          <w:tcPr>
            <w:tcW w:w="2855" w:type="dxa"/>
            <w:shd w:val="clear" w:color="auto" w:fill="auto"/>
          </w:tcPr>
          <w:p w14:paraId="4CA2A764"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7</w:t>
            </w:r>
          </w:p>
          <w:p w14:paraId="16FC728F" w14:textId="0B522308"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(0,3 %)</w:t>
            </w:r>
          </w:p>
        </w:tc>
      </w:tr>
      <w:tr w:rsidR="00823785" w:rsidRPr="00452D62" w14:paraId="388FD7BB" w14:textId="77777777" w:rsidTr="006453B9">
        <w:tc>
          <w:tcPr>
            <w:tcW w:w="2877" w:type="dxa"/>
          </w:tcPr>
          <w:p w14:paraId="03E50DF6" w14:textId="77777777" w:rsidR="00823785" w:rsidRPr="00452D62" w:rsidRDefault="00823785"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452D62">
              <w:rPr>
                <w:color w:val="231F20"/>
                <w:spacing w:val="-1"/>
                <w:sz w:val="22"/>
                <w:szCs w:val="22"/>
                <w:lang w:eastAsia="en-US"/>
              </w:rPr>
              <w:t>Didysis ar kliniškai reikšmingas ne didysis kraujavimas</w:t>
            </w:r>
          </w:p>
        </w:tc>
        <w:tc>
          <w:tcPr>
            <w:tcW w:w="2882" w:type="dxa"/>
            <w:shd w:val="clear" w:color="auto" w:fill="auto"/>
          </w:tcPr>
          <w:p w14:paraId="0555420E"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249</w:t>
            </w:r>
          </w:p>
          <w:p w14:paraId="32D3C297" w14:textId="6916AD0A"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(10,3 %)</w:t>
            </w:r>
          </w:p>
        </w:tc>
        <w:tc>
          <w:tcPr>
            <w:tcW w:w="2855" w:type="dxa"/>
            <w:shd w:val="clear" w:color="auto" w:fill="auto"/>
          </w:tcPr>
          <w:p w14:paraId="00DCFAD8" w14:textId="25F94F3F"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274 (11,4 %)</w:t>
            </w:r>
          </w:p>
        </w:tc>
      </w:tr>
      <w:tr w:rsidR="00823785" w:rsidRPr="00452D62" w14:paraId="16F6172F" w14:textId="77777777" w:rsidTr="006453B9">
        <w:tc>
          <w:tcPr>
            <w:tcW w:w="2877" w:type="dxa"/>
          </w:tcPr>
          <w:p w14:paraId="015401AC" w14:textId="77777777" w:rsidR="00823785" w:rsidRPr="000877E9"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Didžiojo kraujavimo atvejai</w:t>
            </w:r>
          </w:p>
        </w:tc>
        <w:tc>
          <w:tcPr>
            <w:tcW w:w="2882" w:type="dxa"/>
            <w:shd w:val="clear" w:color="auto" w:fill="auto"/>
          </w:tcPr>
          <w:p w14:paraId="0ED0CF2C"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26</w:t>
            </w:r>
          </w:p>
          <w:p w14:paraId="7BA87A7D" w14:textId="6861EBF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(1,1 %)</w:t>
            </w:r>
          </w:p>
        </w:tc>
        <w:tc>
          <w:tcPr>
            <w:tcW w:w="2855" w:type="dxa"/>
            <w:shd w:val="clear" w:color="auto" w:fill="auto"/>
          </w:tcPr>
          <w:p w14:paraId="096FF8E6"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52</w:t>
            </w:r>
          </w:p>
          <w:p w14:paraId="27AC4594" w14:textId="0FA658E5"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(2,2 %)</w:t>
            </w:r>
          </w:p>
        </w:tc>
      </w:tr>
    </w:tbl>
    <w:p w14:paraId="79E4266F" w14:textId="77777777" w:rsidR="00823785" w:rsidRPr="000877E9" w:rsidRDefault="00823785" w:rsidP="00823785">
      <w:pPr>
        <w:spacing w:before="120"/>
        <w:rPr>
          <w:sz w:val="22"/>
          <w:szCs w:val="22"/>
        </w:rPr>
      </w:pPr>
      <w:r w:rsidRPr="00452D62">
        <w:rPr>
          <w:sz w:val="22"/>
          <w:szCs w:val="22"/>
          <w:vertAlign w:val="superscript"/>
        </w:rPr>
        <w:t>a)</w:t>
      </w:r>
      <w:r w:rsidRPr="000877E9">
        <w:rPr>
          <w:sz w:val="22"/>
          <w:szCs w:val="22"/>
        </w:rPr>
        <w:t xml:space="preserve"> Rivaroksabanas po 15 mg du kartus per parą 3 savaites, po to po 20 mg vieną kartą per parą.</w:t>
      </w:r>
    </w:p>
    <w:p w14:paraId="40A371A7" w14:textId="77777777" w:rsidR="00823785" w:rsidRPr="00452D62" w:rsidRDefault="00823785" w:rsidP="00823785">
      <w:pPr>
        <w:rPr>
          <w:sz w:val="22"/>
          <w:szCs w:val="22"/>
        </w:rPr>
      </w:pPr>
      <w:r w:rsidRPr="00452D62">
        <w:rPr>
          <w:sz w:val="22"/>
          <w:szCs w:val="22"/>
          <w:vertAlign w:val="superscript"/>
        </w:rPr>
        <w:t>b)</w:t>
      </w:r>
      <w:r w:rsidRPr="00452D62">
        <w:rPr>
          <w:sz w:val="22"/>
          <w:szCs w:val="22"/>
        </w:rPr>
        <w:t xml:space="preserve"> Enoksaparinas mažiausiai 5 dienas, kartu vartojant ir vėliau tęsiant gydymą VKA.</w:t>
      </w:r>
    </w:p>
    <w:p w14:paraId="594BDAEC" w14:textId="77777777" w:rsidR="00823785" w:rsidRPr="00452D62" w:rsidRDefault="00823785" w:rsidP="00823785">
      <w:pPr>
        <w:ind w:left="142" w:hanging="142"/>
        <w:rPr>
          <w:sz w:val="22"/>
          <w:szCs w:val="22"/>
        </w:rPr>
      </w:pPr>
      <w:r w:rsidRPr="00452D62">
        <w:rPr>
          <w:sz w:val="22"/>
          <w:szCs w:val="22"/>
        </w:rPr>
        <w:t>* p &lt; 0,0026 (neprastesnis poveikis, kai iš anksto numatytas RS buvo 2,0); RS: 1,123 (0,749</w:t>
      </w:r>
      <w:r w:rsidRPr="00452D62">
        <w:rPr>
          <w:sz w:val="22"/>
          <w:szCs w:val="22"/>
        </w:rPr>
        <w:noBreakHyphen/>
        <w:t>1,684).</w:t>
      </w:r>
    </w:p>
    <w:p w14:paraId="4E1A85F8" w14:textId="77777777" w:rsidR="00823785" w:rsidRPr="00452D62" w:rsidRDefault="00823785" w:rsidP="00823785">
      <w:pPr>
        <w:rPr>
          <w:sz w:val="22"/>
          <w:szCs w:val="22"/>
        </w:rPr>
      </w:pPr>
    </w:p>
    <w:p w14:paraId="6A926D0F" w14:textId="77777777" w:rsidR="00823785" w:rsidRPr="00452D62" w:rsidRDefault="00823785" w:rsidP="00823785">
      <w:pPr>
        <w:rPr>
          <w:sz w:val="22"/>
          <w:szCs w:val="22"/>
        </w:rPr>
      </w:pPr>
      <w:r w:rsidRPr="00452D62">
        <w:rPr>
          <w:sz w:val="22"/>
          <w:szCs w:val="22"/>
        </w:rPr>
        <w:t xml:space="preserve">Buvo atlikta iš anksto numatyta apibendrinta </w:t>
      </w:r>
      <w:r w:rsidRPr="00452D62">
        <w:rPr>
          <w:i/>
          <w:sz w:val="22"/>
          <w:szCs w:val="22"/>
        </w:rPr>
        <w:t>Einstein DVT</w:t>
      </w:r>
      <w:r w:rsidRPr="00452D62">
        <w:rPr>
          <w:sz w:val="22"/>
          <w:szCs w:val="22"/>
        </w:rPr>
        <w:t xml:space="preserve"> ir </w:t>
      </w:r>
      <w:r w:rsidRPr="00452D62">
        <w:rPr>
          <w:i/>
          <w:sz w:val="22"/>
          <w:szCs w:val="22"/>
        </w:rPr>
        <w:t>PE</w:t>
      </w:r>
      <w:r w:rsidRPr="00452D62">
        <w:rPr>
          <w:sz w:val="22"/>
          <w:szCs w:val="22"/>
        </w:rPr>
        <w:t xml:space="preserve"> tyrimų rezultatų analizė (žr. 7 lentelę).</w:t>
      </w:r>
    </w:p>
    <w:p w14:paraId="0E6EBCDB" w14:textId="77777777" w:rsidR="00823785" w:rsidRPr="00452D62" w:rsidRDefault="00823785" w:rsidP="00823785">
      <w:pPr>
        <w:rPr>
          <w:sz w:val="22"/>
          <w:szCs w:val="22"/>
        </w:rPr>
      </w:pPr>
    </w:p>
    <w:p w14:paraId="494FE052" w14:textId="6CA1A3D6" w:rsidR="00823785" w:rsidRPr="00452D62" w:rsidRDefault="00823785" w:rsidP="00823785">
      <w:pPr>
        <w:rPr>
          <w:b/>
          <w:sz w:val="22"/>
          <w:szCs w:val="22"/>
        </w:rPr>
      </w:pPr>
      <w:r w:rsidRPr="00452D62">
        <w:rPr>
          <w:b/>
          <w:sz w:val="22"/>
          <w:szCs w:val="22"/>
        </w:rPr>
        <w:t xml:space="preserve">7 lentelė. Veiksmingumo ir saugumo rezultatai, gauti atlikus apibendrintą III fazės </w:t>
      </w:r>
      <w:r w:rsidRPr="00452D62">
        <w:rPr>
          <w:b/>
          <w:i/>
          <w:sz w:val="22"/>
          <w:szCs w:val="22"/>
        </w:rPr>
        <w:t>Einstein DVT</w:t>
      </w:r>
      <w:r w:rsidRPr="00452D62">
        <w:rPr>
          <w:b/>
          <w:sz w:val="22"/>
          <w:szCs w:val="22"/>
        </w:rPr>
        <w:t xml:space="preserve"> ir </w:t>
      </w:r>
      <w:r w:rsidRPr="00452D62">
        <w:rPr>
          <w:b/>
          <w:i/>
          <w:sz w:val="22"/>
          <w:szCs w:val="22"/>
        </w:rPr>
        <w:t>Einstein PE</w:t>
      </w:r>
      <w:r w:rsidRPr="00452D62">
        <w:rPr>
          <w:b/>
          <w:sz w:val="22"/>
          <w:szCs w:val="22"/>
        </w:rPr>
        <w:t xml:space="preserve"> tyrimų analizę</w:t>
      </w: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7"/>
        <w:gridCol w:w="2882"/>
        <w:gridCol w:w="2855"/>
      </w:tblGrid>
      <w:tr w:rsidR="00823785" w:rsidRPr="00452D62" w14:paraId="77464223" w14:textId="77777777" w:rsidTr="006453B9">
        <w:tc>
          <w:tcPr>
            <w:tcW w:w="2877" w:type="dxa"/>
            <w:shd w:val="clear" w:color="auto" w:fill="auto"/>
          </w:tcPr>
          <w:p w14:paraId="185D7D90"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Tyrimo populiacija</w:t>
            </w:r>
          </w:p>
        </w:tc>
        <w:tc>
          <w:tcPr>
            <w:tcW w:w="5737" w:type="dxa"/>
            <w:gridSpan w:val="2"/>
            <w:shd w:val="clear" w:color="auto" w:fill="auto"/>
          </w:tcPr>
          <w:p w14:paraId="55A6B3A2"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8 281 pacientas, sergantis ūmine simptomine GVT arba PE</w:t>
            </w:r>
          </w:p>
        </w:tc>
      </w:tr>
      <w:tr w:rsidR="00823785" w:rsidRPr="00452D62" w14:paraId="715DB187" w14:textId="77777777" w:rsidTr="006453B9">
        <w:tc>
          <w:tcPr>
            <w:tcW w:w="2877" w:type="dxa"/>
            <w:shd w:val="clear" w:color="auto" w:fill="auto"/>
          </w:tcPr>
          <w:p w14:paraId="5D643552" w14:textId="77777777" w:rsidR="00823785" w:rsidRPr="000877E9"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Gydymo dozė ir trukmė</w:t>
            </w:r>
          </w:p>
        </w:tc>
        <w:tc>
          <w:tcPr>
            <w:tcW w:w="2882" w:type="dxa"/>
            <w:shd w:val="clear" w:color="auto" w:fill="auto"/>
          </w:tcPr>
          <w:p w14:paraId="685E6753"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vertAlign w:val="superscript"/>
                <w:lang w:eastAsia="en-US"/>
              </w:rPr>
            </w:pPr>
            <w:r w:rsidRPr="00452D62">
              <w:rPr>
                <w:b/>
                <w:bCs/>
                <w:color w:val="231F20"/>
                <w:spacing w:val="-1"/>
                <w:sz w:val="22"/>
                <w:szCs w:val="22"/>
                <w:lang w:eastAsia="en-US"/>
              </w:rPr>
              <w:t>Rivaroksabanas</w:t>
            </w:r>
            <w:r w:rsidRPr="00452D62">
              <w:rPr>
                <w:b/>
                <w:bCs/>
                <w:color w:val="231F20"/>
                <w:spacing w:val="-1"/>
                <w:sz w:val="22"/>
                <w:szCs w:val="22"/>
                <w:vertAlign w:val="superscript"/>
                <w:lang w:eastAsia="en-US"/>
              </w:rPr>
              <w:t>a)</w:t>
            </w:r>
          </w:p>
          <w:p w14:paraId="08AEC182" w14:textId="77777777" w:rsidR="00823785" w:rsidRPr="00452D62" w:rsidRDefault="00823785" w:rsidP="006453B9">
            <w:pPr>
              <w:widowControl w:val="0"/>
              <w:tabs>
                <w:tab w:val="clear" w:pos="567"/>
                <w:tab w:val="left" w:pos="8505"/>
              </w:tabs>
              <w:suppressAutoHyphens w:val="0"/>
              <w:spacing w:before="75" w:line="240" w:lineRule="auto"/>
              <w:ind w:right="35"/>
              <w:contextualSpacing/>
              <w:rPr>
                <w:b/>
                <w:bCs/>
                <w:color w:val="231F20"/>
                <w:spacing w:val="-1"/>
                <w:sz w:val="22"/>
                <w:szCs w:val="22"/>
                <w:lang w:eastAsia="en-US"/>
              </w:rPr>
            </w:pPr>
            <w:r w:rsidRPr="00452D62">
              <w:rPr>
                <w:b/>
                <w:bCs/>
                <w:color w:val="231F20"/>
                <w:spacing w:val="-1"/>
                <w:sz w:val="22"/>
                <w:szCs w:val="22"/>
                <w:lang w:eastAsia="en-US"/>
              </w:rPr>
              <w:t>3, 6 arba 12 mėnesių</w:t>
            </w:r>
          </w:p>
          <w:p w14:paraId="33425059"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N=4 150</w:t>
            </w:r>
          </w:p>
        </w:tc>
        <w:tc>
          <w:tcPr>
            <w:tcW w:w="2855" w:type="dxa"/>
            <w:shd w:val="clear" w:color="auto" w:fill="auto"/>
          </w:tcPr>
          <w:p w14:paraId="1211420C"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Enoksaparinas/VKA</w:t>
            </w:r>
            <w:r w:rsidRPr="00452D62">
              <w:rPr>
                <w:b/>
                <w:bCs/>
                <w:color w:val="231F20"/>
                <w:spacing w:val="-1"/>
                <w:sz w:val="22"/>
                <w:szCs w:val="22"/>
                <w:vertAlign w:val="superscript"/>
                <w:lang w:eastAsia="en-US"/>
              </w:rPr>
              <w:t>b)</w:t>
            </w:r>
          </w:p>
          <w:p w14:paraId="3B1F866C"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3, 6 arba 12 mėnesių</w:t>
            </w:r>
          </w:p>
          <w:p w14:paraId="4374C2B0"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N=4 131</w:t>
            </w:r>
          </w:p>
        </w:tc>
      </w:tr>
      <w:tr w:rsidR="00823785" w:rsidRPr="00452D62" w14:paraId="6DFFC20B" w14:textId="77777777" w:rsidTr="006453B9">
        <w:tc>
          <w:tcPr>
            <w:tcW w:w="2877" w:type="dxa"/>
            <w:shd w:val="clear" w:color="auto" w:fill="auto"/>
          </w:tcPr>
          <w:p w14:paraId="32706ED9" w14:textId="77777777" w:rsidR="00823785" w:rsidRPr="00452D62" w:rsidRDefault="00823785"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452D62">
              <w:rPr>
                <w:color w:val="231F20"/>
                <w:spacing w:val="-1"/>
                <w:sz w:val="22"/>
                <w:szCs w:val="22"/>
                <w:lang w:eastAsia="en-US"/>
              </w:rPr>
              <w:t>Simptominė pasikartojanti VTE*</w:t>
            </w:r>
          </w:p>
        </w:tc>
        <w:tc>
          <w:tcPr>
            <w:tcW w:w="2882" w:type="dxa"/>
            <w:shd w:val="clear" w:color="auto" w:fill="auto"/>
          </w:tcPr>
          <w:p w14:paraId="1E593667"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86 </w:t>
            </w:r>
          </w:p>
          <w:p w14:paraId="5F88D067" w14:textId="7BAD0DD3"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(2,1 %)</w:t>
            </w:r>
          </w:p>
        </w:tc>
        <w:tc>
          <w:tcPr>
            <w:tcW w:w="2855" w:type="dxa"/>
            <w:shd w:val="clear" w:color="auto" w:fill="auto"/>
          </w:tcPr>
          <w:p w14:paraId="1EAFE818"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95 </w:t>
            </w:r>
          </w:p>
          <w:p w14:paraId="5D67B10A" w14:textId="38F8402E"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(2,3 %)</w:t>
            </w:r>
          </w:p>
        </w:tc>
      </w:tr>
      <w:tr w:rsidR="00823785" w:rsidRPr="00452D62" w14:paraId="04FF81A5" w14:textId="77777777" w:rsidTr="006453B9">
        <w:tc>
          <w:tcPr>
            <w:tcW w:w="2877" w:type="dxa"/>
            <w:shd w:val="clear" w:color="auto" w:fill="auto"/>
          </w:tcPr>
          <w:p w14:paraId="07C4120A" w14:textId="77777777" w:rsidR="00823785" w:rsidRPr="00452D62" w:rsidRDefault="00823785" w:rsidP="006453B9">
            <w:pPr>
              <w:widowControl w:val="0"/>
              <w:tabs>
                <w:tab w:val="clear" w:pos="567"/>
                <w:tab w:val="left" w:pos="8505"/>
              </w:tabs>
              <w:suppressAutoHyphens w:val="0"/>
              <w:spacing w:before="75" w:line="240" w:lineRule="auto"/>
              <w:ind w:left="284" w:right="35"/>
              <w:contextualSpacing/>
              <w:rPr>
                <w:color w:val="231F20"/>
                <w:spacing w:val="-1"/>
                <w:sz w:val="22"/>
                <w:szCs w:val="22"/>
                <w:lang w:eastAsia="en-US"/>
              </w:rPr>
            </w:pPr>
            <w:r w:rsidRPr="00452D62">
              <w:rPr>
                <w:color w:val="231F20"/>
                <w:spacing w:val="-1"/>
                <w:sz w:val="22"/>
                <w:szCs w:val="22"/>
                <w:lang w:eastAsia="en-US"/>
              </w:rPr>
              <w:t>Simptominė pasikartojanti PE</w:t>
            </w:r>
          </w:p>
        </w:tc>
        <w:tc>
          <w:tcPr>
            <w:tcW w:w="2882" w:type="dxa"/>
            <w:shd w:val="clear" w:color="auto" w:fill="auto"/>
          </w:tcPr>
          <w:p w14:paraId="07F4CECC"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43 </w:t>
            </w:r>
          </w:p>
          <w:p w14:paraId="55AE0E52" w14:textId="26C2E72D"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(1,0 %)</w:t>
            </w:r>
          </w:p>
        </w:tc>
        <w:tc>
          <w:tcPr>
            <w:tcW w:w="2855" w:type="dxa"/>
            <w:shd w:val="clear" w:color="auto" w:fill="auto"/>
          </w:tcPr>
          <w:p w14:paraId="1168520F"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38 </w:t>
            </w:r>
          </w:p>
          <w:p w14:paraId="6A20BCFF" w14:textId="1E2B613F"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(0,9 %)</w:t>
            </w:r>
          </w:p>
        </w:tc>
      </w:tr>
      <w:tr w:rsidR="00823785" w:rsidRPr="00452D62" w14:paraId="5F7C7CC5" w14:textId="77777777" w:rsidTr="006453B9">
        <w:tc>
          <w:tcPr>
            <w:tcW w:w="2877" w:type="dxa"/>
            <w:shd w:val="clear" w:color="auto" w:fill="auto"/>
          </w:tcPr>
          <w:p w14:paraId="591D45D8" w14:textId="77777777" w:rsidR="00823785" w:rsidRPr="00452D62" w:rsidRDefault="00823785" w:rsidP="006453B9">
            <w:pPr>
              <w:widowControl w:val="0"/>
              <w:tabs>
                <w:tab w:val="clear" w:pos="567"/>
                <w:tab w:val="left" w:pos="8505"/>
              </w:tabs>
              <w:suppressAutoHyphens w:val="0"/>
              <w:spacing w:before="75" w:line="240" w:lineRule="auto"/>
              <w:ind w:left="284" w:right="35"/>
              <w:contextualSpacing/>
              <w:rPr>
                <w:color w:val="231F20"/>
                <w:spacing w:val="-1"/>
                <w:sz w:val="22"/>
                <w:szCs w:val="22"/>
                <w:lang w:eastAsia="en-US"/>
              </w:rPr>
            </w:pPr>
            <w:r w:rsidRPr="00452D62">
              <w:rPr>
                <w:color w:val="231F20"/>
                <w:spacing w:val="-1"/>
                <w:sz w:val="22"/>
                <w:szCs w:val="22"/>
                <w:lang w:eastAsia="en-US"/>
              </w:rPr>
              <w:t>Simptominė pasikartojanti GVT</w:t>
            </w:r>
          </w:p>
        </w:tc>
        <w:tc>
          <w:tcPr>
            <w:tcW w:w="2882" w:type="dxa"/>
            <w:shd w:val="clear" w:color="auto" w:fill="auto"/>
          </w:tcPr>
          <w:p w14:paraId="530D646E"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32 </w:t>
            </w:r>
          </w:p>
          <w:p w14:paraId="43D2BE8E" w14:textId="013E74B3"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(0,8 %)</w:t>
            </w:r>
          </w:p>
        </w:tc>
        <w:tc>
          <w:tcPr>
            <w:tcW w:w="2855" w:type="dxa"/>
            <w:shd w:val="clear" w:color="auto" w:fill="auto"/>
          </w:tcPr>
          <w:p w14:paraId="06E52B53"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45 </w:t>
            </w:r>
          </w:p>
          <w:p w14:paraId="20BBCB8C" w14:textId="540F9D1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(1,1 %)</w:t>
            </w:r>
          </w:p>
        </w:tc>
      </w:tr>
      <w:tr w:rsidR="00823785" w:rsidRPr="00452D62" w14:paraId="78303576" w14:textId="77777777" w:rsidTr="006453B9">
        <w:tc>
          <w:tcPr>
            <w:tcW w:w="2877" w:type="dxa"/>
            <w:shd w:val="clear" w:color="auto" w:fill="auto"/>
          </w:tcPr>
          <w:p w14:paraId="45CB7346" w14:textId="77777777" w:rsidR="00823785" w:rsidRPr="000877E9" w:rsidRDefault="00823785" w:rsidP="006453B9">
            <w:pPr>
              <w:widowControl w:val="0"/>
              <w:tabs>
                <w:tab w:val="clear" w:pos="567"/>
                <w:tab w:val="left" w:pos="8505"/>
              </w:tabs>
              <w:suppressAutoHyphens w:val="0"/>
              <w:spacing w:before="75" w:line="240" w:lineRule="auto"/>
              <w:ind w:left="284" w:right="35"/>
              <w:contextualSpacing/>
              <w:rPr>
                <w:color w:val="231F20"/>
                <w:spacing w:val="-1"/>
                <w:sz w:val="22"/>
                <w:szCs w:val="22"/>
                <w:lang w:eastAsia="en-US"/>
              </w:rPr>
            </w:pPr>
            <w:r w:rsidRPr="00452D62">
              <w:rPr>
                <w:color w:val="231F20"/>
                <w:spacing w:val="-1"/>
                <w:sz w:val="22"/>
                <w:szCs w:val="22"/>
                <w:lang w:eastAsia="en-US"/>
              </w:rPr>
              <w:t>Simptominė PE ir GVT</w:t>
            </w:r>
          </w:p>
        </w:tc>
        <w:tc>
          <w:tcPr>
            <w:tcW w:w="2882" w:type="dxa"/>
            <w:shd w:val="clear" w:color="auto" w:fill="auto"/>
          </w:tcPr>
          <w:p w14:paraId="291218E0"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1 </w:t>
            </w:r>
          </w:p>
          <w:p w14:paraId="3651180D" w14:textId="760A5FAF"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(&lt;0,1 %)</w:t>
            </w:r>
          </w:p>
        </w:tc>
        <w:tc>
          <w:tcPr>
            <w:tcW w:w="2855" w:type="dxa"/>
            <w:shd w:val="clear" w:color="auto" w:fill="auto"/>
          </w:tcPr>
          <w:p w14:paraId="601479EC"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2</w:t>
            </w:r>
          </w:p>
          <w:p w14:paraId="0C962C5A" w14:textId="0705AA33"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 (&lt;0,1 %)</w:t>
            </w:r>
          </w:p>
        </w:tc>
      </w:tr>
      <w:tr w:rsidR="00823785" w:rsidRPr="00452D62" w14:paraId="2C2894AE" w14:textId="77777777" w:rsidTr="006453B9">
        <w:tc>
          <w:tcPr>
            <w:tcW w:w="2877" w:type="dxa"/>
            <w:shd w:val="clear" w:color="auto" w:fill="auto"/>
          </w:tcPr>
          <w:p w14:paraId="6C7FD59E" w14:textId="77777777" w:rsidR="00823785" w:rsidRPr="00452D62"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452D62">
              <w:rPr>
                <w:color w:val="231F20"/>
                <w:spacing w:val="-1"/>
                <w:sz w:val="22"/>
                <w:szCs w:val="22"/>
                <w:lang w:eastAsia="en-US"/>
              </w:rPr>
              <w:t>Mirtina PE/mirtis, kai negalima atmesti PE kaip galimos priežasties</w:t>
            </w:r>
          </w:p>
        </w:tc>
        <w:tc>
          <w:tcPr>
            <w:tcW w:w="2882" w:type="dxa"/>
            <w:shd w:val="clear" w:color="auto" w:fill="auto"/>
          </w:tcPr>
          <w:p w14:paraId="7F330202"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15 </w:t>
            </w:r>
          </w:p>
          <w:p w14:paraId="62E1116B" w14:textId="7F5F101C"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(0,4 %)</w:t>
            </w:r>
          </w:p>
        </w:tc>
        <w:tc>
          <w:tcPr>
            <w:tcW w:w="2855" w:type="dxa"/>
            <w:shd w:val="clear" w:color="auto" w:fill="auto"/>
          </w:tcPr>
          <w:p w14:paraId="6F661819"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13 </w:t>
            </w:r>
          </w:p>
          <w:p w14:paraId="3AB77C4E" w14:textId="7CF9FB1A"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(0,3 %)</w:t>
            </w:r>
          </w:p>
        </w:tc>
      </w:tr>
      <w:tr w:rsidR="00823785" w:rsidRPr="00452D62" w14:paraId="39903F8D" w14:textId="77777777" w:rsidTr="006453B9">
        <w:tc>
          <w:tcPr>
            <w:tcW w:w="2877" w:type="dxa"/>
            <w:shd w:val="clear" w:color="auto" w:fill="auto"/>
          </w:tcPr>
          <w:p w14:paraId="2BDC909C" w14:textId="77777777" w:rsidR="00823785" w:rsidRPr="00452D62" w:rsidRDefault="00823785"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452D62">
              <w:rPr>
                <w:color w:val="231F20"/>
                <w:spacing w:val="-1"/>
                <w:sz w:val="22"/>
                <w:szCs w:val="22"/>
                <w:lang w:eastAsia="en-US"/>
              </w:rPr>
              <w:t>Didysis ar kliniškai reikšmingas ne didysis kraujavimas</w:t>
            </w:r>
          </w:p>
        </w:tc>
        <w:tc>
          <w:tcPr>
            <w:tcW w:w="2882" w:type="dxa"/>
            <w:shd w:val="clear" w:color="auto" w:fill="auto"/>
          </w:tcPr>
          <w:p w14:paraId="47A46964"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388 </w:t>
            </w:r>
          </w:p>
          <w:p w14:paraId="096C0E6D" w14:textId="1D231B3E"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(9,4 %)</w:t>
            </w:r>
          </w:p>
        </w:tc>
        <w:tc>
          <w:tcPr>
            <w:tcW w:w="2855" w:type="dxa"/>
            <w:shd w:val="clear" w:color="auto" w:fill="auto"/>
          </w:tcPr>
          <w:p w14:paraId="1172310F"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412 </w:t>
            </w:r>
          </w:p>
          <w:p w14:paraId="64D0CE89" w14:textId="66D8EAAB"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(10,0 %)</w:t>
            </w:r>
          </w:p>
        </w:tc>
      </w:tr>
      <w:tr w:rsidR="00823785" w:rsidRPr="00452D62" w14:paraId="2607170F" w14:textId="77777777" w:rsidTr="006453B9">
        <w:tc>
          <w:tcPr>
            <w:tcW w:w="2877" w:type="dxa"/>
            <w:shd w:val="clear" w:color="auto" w:fill="auto"/>
          </w:tcPr>
          <w:p w14:paraId="6DE2DFA2" w14:textId="77777777" w:rsidR="00823785" w:rsidRPr="000877E9"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Didžiojo kraujavimo atvejai</w:t>
            </w:r>
          </w:p>
        </w:tc>
        <w:tc>
          <w:tcPr>
            <w:tcW w:w="2882" w:type="dxa"/>
            <w:shd w:val="clear" w:color="auto" w:fill="auto"/>
          </w:tcPr>
          <w:p w14:paraId="33AA3AC5"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40 </w:t>
            </w:r>
          </w:p>
          <w:p w14:paraId="249D6738" w14:textId="2AAF9776"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(1,0 %)</w:t>
            </w:r>
          </w:p>
        </w:tc>
        <w:tc>
          <w:tcPr>
            <w:tcW w:w="2855" w:type="dxa"/>
            <w:shd w:val="clear" w:color="auto" w:fill="auto"/>
          </w:tcPr>
          <w:p w14:paraId="458D860B"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72 </w:t>
            </w:r>
          </w:p>
          <w:p w14:paraId="615C1E66" w14:textId="2D524E94"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(1,7 %)</w:t>
            </w:r>
          </w:p>
        </w:tc>
      </w:tr>
    </w:tbl>
    <w:p w14:paraId="790C526B" w14:textId="77777777" w:rsidR="00823785" w:rsidRPr="000877E9" w:rsidRDefault="00823785" w:rsidP="00823785">
      <w:pPr>
        <w:spacing w:before="120"/>
        <w:rPr>
          <w:sz w:val="22"/>
          <w:szCs w:val="22"/>
        </w:rPr>
      </w:pPr>
      <w:r w:rsidRPr="00452D62">
        <w:rPr>
          <w:sz w:val="22"/>
          <w:szCs w:val="22"/>
          <w:vertAlign w:val="superscript"/>
        </w:rPr>
        <w:t>a)</w:t>
      </w:r>
      <w:r w:rsidRPr="000877E9">
        <w:rPr>
          <w:sz w:val="22"/>
          <w:szCs w:val="22"/>
        </w:rPr>
        <w:t xml:space="preserve"> Rivaroksabanas po 15 mg du kartus per parą 3 savaites, po to po 20 mg vieną kartą per parą.</w:t>
      </w:r>
    </w:p>
    <w:p w14:paraId="68C2C702" w14:textId="77777777" w:rsidR="00823785" w:rsidRPr="00452D62" w:rsidRDefault="00823785" w:rsidP="00823785">
      <w:pPr>
        <w:rPr>
          <w:sz w:val="22"/>
          <w:szCs w:val="22"/>
        </w:rPr>
      </w:pPr>
      <w:r w:rsidRPr="00452D62">
        <w:rPr>
          <w:sz w:val="22"/>
          <w:szCs w:val="22"/>
          <w:vertAlign w:val="superscript"/>
        </w:rPr>
        <w:t>b)</w:t>
      </w:r>
      <w:r w:rsidRPr="00452D62">
        <w:rPr>
          <w:sz w:val="22"/>
          <w:szCs w:val="22"/>
        </w:rPr>
        <w:t xml:space="preserve"> Enoksaparinas mažiausiai 5 dienas, kartu vartojant ir vėliau tęsiant gydymą VKA.</w:t>
      </w:r>
    </w:p>
    <w:p w14:paraId="1359868C" w14:textId="77777777" w:rsidR="00823785" w:rsidRPr="00452D62" w:rsidRDefault="00823785" w:rsidP="00823785">
      <w:pPr>
        <w:ind w:left="142" w:hanging="142"/>
        <w:rPr>
          <w:sz w:val="22"/>
          <w:szCs w:val="22"/>
        </w:rPr>
      </w:pPr>
      <w:r w:rsidRPr="00452D62">
        <w:rPr>
          <w:sz w:val="22"/>
          <w:szCs w:val="22"/>
        </w:rPr>
        <w:t>* p &lt; 0,0001 (neprastesnis poveikis, kai iš anksto numatytas RS buvo 1,75); RS: 0,886 (0,661</w:t>
      </w:r>
      <w:r w:rsidRPr="00452D62">
        <w:rPr>
          <w:sz w:val="22"/>
          <w:szCs w:val="22"/>
        </w:rPr>
        <w:noBreakHyphen/>
        <w:t>1,186).</w:t>
      </w:r>
    </w:p>
    <w:p w14:paraId="6C8B7522" w14:textId="77777777" w:rsidR="00823785" w:rsidRPr="00452D62" w:rsidRDefault="00823785" w:rsidP="00823785">
      <w:pPr>
        <w:rPr>
          <w:sz w:val="22"/>
          <w:szCs w:val="22"/>
        </w:rPr>
      </w:pPr>
    </w:p>
    <w:p w14:paraId="3D19961C" w14:textId="499D4CE5" w:rsidR="00823785" w:rsidRPr="00452D62" w:rsidRDefault="00823785" w:rsidP="00823785">
      <w:pPr>
        <w:rPr>
          <w:sz w:val="22"/>
          <w:szCs w:val="22"/>
        </w:rPr>
      </w:pPr>
      <w:r w:rsidRPr="00452D62">
        <w:rPr>
          <w:sz w:val="22"/>
          <w:szCs w:val="22"/>
        </w:rPr>
        <w:t>Vertinant iš anksto numatytą suminę klinikinę naudą (pagrindinės veiksmingumo vertinamosios baigties reiškiniai plius didžiojo kraujavimo atvejai), RS buvo 0,771 ((95 % PI: 0,614</w:t>
      </w:r>
      <w:r w:rsidRPr="00452D62">
        <w:rPr>
          <w:sz w:val="22"/>
          <w:szCs w:val="22"/>
        </w:rPr>
        <w:noBreakHyphen/>
        <w:t>0,967), nominali p reikšmė p=0,0244).</w:t>
      </w:r>
    </w:p>
    <w:p w14:paraId="19A07449" w14:textId="77777777" w:rsidR="00823785" w:rsidRPr="00452D62" w:rsidRDefault="00823785" w:rsidP="00823785">
      <w:pPr>
        <w:rPr>
          <w:sz w:val="22"/>
          <w:szCs w:val="22"/>
        </w:rPr>
      </w:pPr>
    </w:p>
    <w:p w14:paraId="3B99CC44" w14:textId="77777777" w:rsidR="00823785" w:rsidRPr="00452D62" w:rsidRDefault="00823785" w:rsidP="00823785">
      <w:pPr>
        <w:rPr>
          <w:sz w:val="22"/>
          <w:szCs w:val="22"/>
        </w:rPr>
      </w:pPr>
      <w:r w:rsidRPr="00452D62">
        <w:rPr>
          <w:i/>
          <w:sz w:val="22"/>
          <w:szCs w:val="22"/>
        </w:rPr>
        <w:t>Einstein Extention</w:t>
      </w:r>
      <w:r w:rsidRPr="00452D62">
        <w:rPr>
          <w:sz w:val="22"/>
          <w:szCs w:val="22"/>
        </w:rPr>
        <w:t xml:space="preserve"> tyrime (žr. 8 lentelę) rivaroksabanas, palyginti su placebu, sukėlė pranašesnį poveikį vertinant pagrindinę ir antrines veiksmingumo vertinamąsias baigtis. Analizuojant pagrindinę saugumo vertinamąja baigtį (didžiojo kraujavimo reiškinius) pacientų, vartojusių rivaroksabano 20 mg vieną kartą per parą, grupėje, atvejų dažnis skaitine reikšme buvo nereikšmingai didesnis, palyginti su placebo grupės duomenimis. Analizuojant antrinę saugumo vertinamąja baigtį (didžiojo ar </w:t>
      </w:r>
      <w:r w:rsidRPr="00452D62">
        <w:rPr>
          <w:color w:val="231F20"/>
          <w:spacing w:val="-1"/>
          <w:sz w:val="22"/>
          <w:szCs w:val="22"/>
          <w:lang w:eastAsia="en-US"/>
        </w:rPr>
        <w:t xml:space="preserve">kliniškai </w:t>
      </w:r>
      <w:r w:rsidRPr="00452D62">
        <w:rPr>
          <w:sz w:val="22"/>
          <w:szCs w:val="22"/>
        </w:rPr>
        <w:t>reikšmingo ne didžiojo kraujavimo reiškinius), nustatytas atvejų dažnis buvo didesnis pacientams, vartojusiems 20 mg rivaroksabano vieną kartą per parą, palyginti su vartojusiais placebu.</w:t>
      </w:r>
    </w:p>
    <w:p w14:paraId="163E2BF1" w14:textId="77777777" w:rsidR="00823785" w:rsidRPr="00452D62" w:rsidRDefault="00823785" w:rsidP="00823785">
      <w:pPr>
        <w:rPr>
          <w:sz w:val="22"/>
          <w:szCs w:val="22"/>
        </w:rPr>
      </w:pPr>
    </w:p>
    <w:p w14:paraId="6A286ADB" w14:textId="10172A74" w:rsidR="00823785" w:rsidRPr="00452D62" w:rsidRDefault="00823785" w:rsidP="00823785">
      <w:pPr>
        <w:rPr>
          <w:b/>
          <w:sz w:val="22"/>
          <w:szCs w:val="22"/>
        </w:rPr>
      </w:pPr>
      <w:r w:rsidRPr="00452D62">
        <w:rPr>
          <w:b/>
          <w:sz w:val="22"/>
          <w:szCs w:val="22"/>
        </w:rPr>
        <w:t xml:space="preserve">8 lentelė. III fazės </w:t>
      </w:r>
      <w:r w:rsidRPr="00452D62">
        <w:rPr>
          <w:b/>
          <w:i/>
          <w:sz w:val="22"/>
          <w:szCs w:val="22"/>
        </w:rPr>
        <w:t>Einstein Extention</w:t>
      </w:r>
      <w:r w:rsidRPr="00452D62">
        <w:rPr>
          <w:b/>
          <w:sz w:val="22"/>
          <w:szCs w:val="22"/>
        </w:rPr>
        <w:t xml:space="preserve"> tyrimo veiksmingumo ir saugumo rezultatai</w:t>
      </w: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7"/>
        <w:gridCol w:w="2882"/>
        <w:gridCol w:w="2855"/>
      </w:tblGrid>
      <w:tr w:rsidR="00823785" w:rsidRPr="00452D62" w14:paraId="46B045BF" w14:textId="77777777" w:rsidTr="006453B9">
        <w:tc>
          <w:tcPr>
            <w:tcW w:w="2877" w:type="dxa"/>
            <w:shd w:val="clear" w:color="auto" w:fill="auto"/>
          </w:tcPr>
          <w:p w14:paraId="2B983724"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Tyrimo populiacija</w:t>
            </w:r>
          </w:p>
        </w:tc>
        <w:tc>
          <w:tcPr>
            <w:tcW w:w="5737" w:type="dxa"/>
            <w:gridSpan w:val="2"/>
            <w:shd w:val="clear" w:color="auto" w:fill="auto"/>
          </w:tcPr>
          <w:p w14:paraId="098822EB" w14:textId="77777777" w:rsidR="00823785" w:rsidRPr="00452D62" w:rsidRDefault="00823785" w:rsidP="006453B9">
            <w:pPr>
              <w:widowControl w:val="0"/>
              <w:tabs>
                <w:tab w:val="clear" w:pos="567"/>
                <w:tab w:val="left" w:pos="8505"/>
              </w:tabs>
              <w:suppressAutoHyphens w:val="0"/>
              <w:spacing w:before="75" w:line="240" w:lineRule="auto"/>
              <w:ind w:right="35"/>
              <w:contextualSpacing/>
              <w:rPr>
                <w:b/>
                <w:bCs/>
                <w:color w:val="231F20"/>
                <w:spacing w:val="-1"/>
                <w:sz w:val="22"/>
                <w:szCs w:val="22"/>
                <w:lang w:eastAsia="en-US"/>
              </w:rPr>
            </w:pPr>
            <w:r w:rsidRPr="00452D62">
              <w:rPr>
                <w:b/>
                <w:bCs/>
                <w:color w:val="231F20"/>
                <w:spacing w:val="-1"/>
                <w:sz w:val="22"/>
                <w:szCs w:val="22"/>
                <w:lang w:eastAsia="en-US"/>
              </w:rPr>
              <w:t>1 197 tiriamieji tęsė pasikartojančios venų tromboembolijos gydymą ir profilaktiką</w:t>
            </w:r>
          </w:p>
        </w:tc>
      </w:tr>
      <w:tr w:rsidR="00823785" w:rsidRPr="00452D62" w14:paraId="5F18DA96" w14:textId="77777777" w:rsidTr="006453B9">
        <w:tc>
          <w:tcPr>
            <w:tcW w:w="2877" w:type="dxa"/>
            <w:shd w:val="clear" w:color="auto" w:fill="auto"/>
          </w:tcPr>
          <w:p w14:paraId="737088F3" w14:textId="77777777" w:rsidR="00823785" w:rsidRPr="000877E9"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Gydymo dozė ir trukmė</w:t>
            </w:r>
          </w:p>
          <w:p w14:paraId="3F42C6F1"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p>
        </w:tc>
        <w:tc>
          <w:tcPr>
            <w:tcW w:w="2882" w:type="dxa"/>
            <w:shd w:val="clear" w:color="auto" w:fill="auto"/>
          </w:tcPr>
          <w:p w14:paraId="7FD6DE58"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vertAlign w:val="superscript"/>
                <w:lang w:eastAsia="en-US"/>
              </w:rPr>
            </w:pPr>
            <w:r w:rsidRPr="00452D62">
              <w:rPr>
                <w:b/>
                <w:bCs/>
                <w:color w:val="231F20"/>
                <w:spacing w:val="-1"/>
                <w:sz w:val="22"/>
                <w:szCs w:val="22"/>
                <w:lang w:eastAsia="en-US"/>
              </w:rPr>
              <w:t>Rivaroksabanas</w:t>
            </w:r>
            <w:r w:rsidRPr="00452D62">
              <w:rPr>
                <w:b/>
                <w:bCs/>
                <w:color w:val="231F20"/>
                <w:spacing w:val="-1"/>
                <w:sz w:val="22"/>
                <w:szCs w:val="22"/>
                <w:vertAlign w:val="superscript"/>
                <w:lang w:eastAsia="en-US"/>
              </w:rPr>
              <w:t>a)</w:t>
            </w:r>
          </w:p>
          <w:p w14:paraId="711CCB27"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6 arba 12 mėnesių</w:t>
            </w:r>
          </w:p>
          <w:p w14:paraId="78AA9AAA"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N=602</w:t>
            </w:r>
          </w:p>
        </w:tc>
        <w:tc>
          <w:tcPr>
            <w:tcW w:w="2855" w:type="dxa"/>
            <w:shd w:val="clear" w:color="auto" w:fill="auto"/>
          </w:tcPr>
          <w:p w14:paraId="43FC6391"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Placebas</w:t>
            </w:r>
          </w:p>
          <w:p w14:paraId="44849C99"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6 arba 12 mėnesių</w:t>
            </w:r>
          </w:p>
          <w:p w14:paraId="2E787B24"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N=594</w:t>
            </w:r>
          </w:p>
        </w:tc>
      </w:tr>
      <w:tr w:rsidR="00823785" w:rsidRPr="00452D62" w14:paraId="0AC16C38" w14:textId="77777777" w:rsidTr="006453B9">
        <w:tc>
          <w:tcPr>
            <w:tcW w:w="2877" w:type="dxa"/>
            <w:shd w:val="clear" w:color="auto" w:fill="auto"/>
          </w:tcPr>
          <w:p w14:paraId="57868368" w14:textId="77777777" w:rsidR="00823785" w:rsidRPr="00452D62" w:rsidRDefault="00823785"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452D62">
              <w:rPr>
                <w:color w:val="231F20"/>
                <w:spacing w:val="-1"/>
                <w:sz w:val="22"/>
                <w:szCs w:val="22"/>
                <w:lang w:eastAsia="en-US"/>
              </w:rPr>
              <w:t>Simptominė pasikartojanti VTE*</w:t>
            </w:r>
          </w:p>
        </w:tc>
        <w:tc>
          <w:tcPr>
            <w:tcW w:w="2882" w:type="dxa"/>
            <w:shd w:val="clear" w:color="auto" w:fill="auto"/>
          </w:tcPr>
          <w:p w14:paraId="5E6C2198"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8 </w:t>
            </w:r>
          </w:p>
          <w:p w14:paraId="7551A4E0" w14:textId="329BD1D2"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(1,3 %)</w:t>
            </w:r>
          </w:p>
        </w:tc>
        <w:tc>
          <w:tcPr>
            <w:tcW w:w="2855" w:type="dxa"/>
            <w:shd w:val="clear" w:color="auto" w:fill="auto"/>
          </w:tcPr>
          <w:p w14:paraId="582F0B5A"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42 </w:t>
            </w:r>
          </w:p>
          <w:p w14:paraId="1FD35DC7" w14:textId="1ECD3CF5"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(7,1 %)</w:t>
            </w:r>
          </w:p>
        </w:tc>
      </w:tr>
      <w:tr w:rsidR="00823785" w:rsidRPr="00452D62" w14:paraId="70330C9B" w14:textId="77777777" w:rsidTr="006453B9">
        <w:tc>
          <w:tcPr>
            <w:tcW w:w="2877" w:type="dxa"/>
            <w:shd w:val="clear" w:color="auto" w:fill="auto"/>
          </w:tcPr>
          <w:tbl>
            <w:tblPr>
              <w:tblW w:w="0" w:type="auto"/>
              <w:tblBorders>
                <w:top w:val="nil"/>
                <w:left w:val="nil"/>
                <w:bottom w:val="nil"/>
                <w:right w:val="nil"/>
              </w:tblBorders>
              <w:tblLook w:val="0000" w:firstRow="0" w:lastRow="0" w:firstColumn="0" w:lastColumn="0" w:noHBand="0" w:noVBand="0"/>
            </w:tblPr>
            <w:tblGrid>
              <w:gridCol w:w="2661"/>
            </w:tblGrid>
            <w:tr w:rsidR="00823785" w:rsidRPr="00452D62" w14:paraId="66D66594" w14:textId="77777777" w:rsidTr="006453B9">
              <w:trPr>
                <w:trHeight w:val="145"/>
              </w:trPr>
              <w:tc>
                <w:tcPr>
                  <w:tcW w:w="0" w:type="auto"/>
                </w:tcPr>
                <w:p w14:paraId="39615A6A"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Simptominė pasikartojanti PE</w:t>
                  </w:r>
                </w:p>
              </w:tc>
            </w:tr>
          </w:tbl>
          <w:p w14:paraId="4A03CD22"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p>
        </w:tc>
        <w:tc>
          <w:tcPr>
            <w:tcW w:w="2882" w:type="dxa"/>
            <w:shd w:val="clear" w:color="auto" w:fill="auto"/>
          </w:tcPr>
          <w:p w14:paraId="0EE1808C"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2 </w:t>
            </w:r>
          </w:p>
          <w:p w14:paraId="7C0D439D" w14:textId="42A84A69"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(0,3 %)</w:t>
            </w:r>
          </w:p>
        </w:tc>
        <w:tc>
          <w:tcPr>
            <w:tcW w:w="2855" w:type="dxa"/>
            <w:shd w:val="clear" w:color="auto" w:fill="auto"/>
          </w:tcPr>
          <w:p w14:paraId="23E7C630"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13 </w:t>
            </w:r>
          </w:p>
          <w:p w14:paraId="0DAAE580" w14:textId="4D3B7BF4"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(2,2 %)</w:t>
            </w:r>
          </w:p>
        </w:tc>
      </w:tr>
      <w:tr w:rsidR="00823785" w:rsidRPr="00452D62" w14:paraId="60265D1A" w14:textId="77777777" w:rsidTr="006453B9">
        <w:tc>
          <w:tcPr>
            <w:tcW w:w="2877" w:type="dxa"/>
            <w:shd w:val="clear" w:color="auto" w:fill="auto"/>
          </w:tcPr>
          <w:p w14:paraId="71777D7B" w14:textId="77777777" w:rsidR="00823785" w:rsidRPr="00452D62" w:rsidRDefault="00823785" w:rsidP="006453B9">
            <w:pPr>
              <w:widowControl w:val="0"/>
              <w:tabs>
                <w:tab w:val="clear" w:pos="567"/>
                <w:tab w:val="left" w:pos="8505"/>
              </w:tabs>
              <w:suppressAutoHyphens w:val="0"/>
              <w:spacing w:before="75" w:line="240" w:lineRule="auto"/>
              <w:ind w:left="142" w:right="35"/>
              <w:contextualSpacing/>
              <w:rPr>
                <w:color w:val="231F20"/>
                <w:spacing w:val="-1"/>
                <w:sz w:val="22"/>
                <w:szCs w:val="22"/>
                <w:lang w:eastAsia="en-US"/>
              </w:rPr>
            </w:pPr>
            <w:r w:rsidRPr="00452D62">
              <w:rPr>
                <w:color w:val="231F20"/>
                <w:spacing w:val="-1"/>
                <w:sz w:val="22"/>
                <w:szCs w:val="22"/>
                <w:lang w:eastAsia="en-US"/>
              </w:rPr>
              <w:t xml:space="preserve">Simptominė </w:t>
            </w:r>
            <w:r w:rsidRPr="000877E9">
              <w:rPr>
                <w:color w:val="231F20"/>
                <w:spacing w:val="-1"/>
                <w:sz w:val="22"/>
                <w:szCs w:val="22"/>
                <w:lang w:eastAsia="en-US"/>
              </w:rPr>
              <w:t>pasikartojanti GVT</w:t>
            </w:r>
          </w:p>
        </w:tc>
        <w:tc>
          <w:tcPr>
            <w:tcW w:w="2882" w:type="dxa"/>
            <w:shd w:val="clear" w:color="auto" w:fill="auto"/>
          </w:tcPr>
          <w:p w14:paraId="1015DC89"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5 </w:t>
            </w:r>
          </w:p>
          <w:p w14:paraId="31BA2932" w14:textId="7E0F295C"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(0,8 %)</w:t>
            </w:r>
          </w:p>
        </w:tc>
        <w:tc>
          <w:tcPr>
            <w:tcW w:w="2855" w:type="dxa"/>
            <w:shd w:val="clear" w:color="auto" w:fill="auto"/>
          </w:tcPr>
          <w:p w14:paraId="4DCB2A32"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31 </w:t>
            </w:r>
          </w:p>
          <w:p w14:paraId="061EA180" w14:textId="26B2B9F1"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(5,2 %)</w:t>
            </w:r>
          </w:p>
        </w:tc>
      </w:tr>
      <w:tr w:rsidR="00823785" w:rsidRPr="00452D62" w14:paraId="3026FEB5" w14:textId="77777777" w:rsidTr="006453B9">
        <w:tc>
          <w:tcPr>
            <w:tcW w:w="2877" w:type="dxa"/>
            <w:shd w:val="clear" w:color="auto" w:fill="auto"/>
          </w:tcPr>
          <w:tbl>
            <w:tblPr>
              <w:tblW w:w="0" w:type="auto"/>
              <w:tblBorders>
                <w:top w:val="nil"/>
                <w:left w:val="nil"/>
                <w:bottom w:val="nil"/>
                <w:right w:val="nil"/>
              </w:tblBorders>
              <w:tblLook w:val="0000" w:firstRow="0" w:lastRow="0" w:firstColumn="0" w:lastColumn="0" w:noHBand="0" w:noVBand="0"/>
            </w:tblPr>
            <w:tblGrid>
              <w:gridCol w:w="2661"/>
            </w:tblGrid>
            <w:tr w:rsidR="00823785" w:rsidRPr="00452D62" w14:paraId="21B959E6" w14:textId="77777777" w:rsidTr="006453B9">
              <w:trPr>
                <w:trHeight w:val="275"/>
              </w:trPr>
              <w:tc>
                <w:tcPr>
                  <w:tcW w:w="0" w:type="auto"/>
                </w:tcPr>
                <w:p w14:paraId="3ACE91BA" w14:textId="77777777" w:rsidR="00823785" w:rsidRPr="00452D62" w:rsidRDefault="00823785" w:rsidP="006453B9">
                  <w:pPr>
                    <w:pStyle w:val="Default"/>
                    <w:rPr>
                      <w:sz w:val="22"/>
                      <w:szCs w:val="22"/>
                    </w:rPr>
                  </w:pPr>
                  <w:r w:rsidRPr="00452D62">
                    <w:rPr>
                      <w:color w:val="231F20"/>
                      <w:spacing w:val="-1"/>
                      <w:sz w:val="22"/>
                      <w:szCs w:val="22"/>
                      <w:lang w:eastAsia="en-US"/>
                    </w:rPr>
                    <w:t>Mirtina PE/mirtis, kai negalima atmesti PE kaip galimos priežasties</w:t>
                  </w:r>
                </w:p>
              </w:tc>
            </w:tr>
          </w:tbl>
          <w:p w14:paraId="5EBA916A"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p>
        </w:tc>
        <w:tc>
          <w:tcPr>
            <w:tcW w:w="2882" w:type="dxa"/>
            <w:shd w:val="clear" w:color="auto" w:fill="auto"/>
          </w:tcPr>
          <w:p w14:paraId="36696693"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1 </w:t>
            </w:r>
          </w:p>
          <w:p w14:paraId="0490F1CB" w14:textId="31940E6B"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(0,2 %)</w:t>
            </w:r>
          </w:p>
        </w:tc>
        <w:tc>
          <w:tcPr>
            <w:tcW w:w="2855" w:type="dxa"/>
            <w:shd w:val="clear" w:color="auto" w:fill="auto"/>
          </w:tcPr>
          <w:p w14:paraId="4798AACC"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1 </w:t>
            </w:r>
          </w:p>
          <w:p w14:paraId="46DD3AD6" w14:textId="17F9FDBC"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(0,2 %)</w:t>
            </w:r>
          </w:p>
        </w:tc>
      </w:tr>
      <w:tr w:rsidR="00823785" w:rsidRPr="00452D62" w14:paraId="01F4EF7E" w14:textId="77777777" w:rsidTr="006453B9">
        <w:tc>
          <w:tcPr>
            <w:tcW w:w="2877" w:type="dxa"/>
            <w:shd w:val="clear" w:color="auto" w:fill="auto"/>
          </w:tcPr>
          <w:p w14:paraId="63062CDC" w14:textId="77777777" w:rsidR="00823785" w:rsidRPr="000877E9"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Didžiojo kraujavimo atvejai</w:t>
            </w:r>
          </w:p>
        </w:tc>
        <w:tc>
          <w:tcPr>
            <w:tcW w:w="2882" w:type="dxa"/>
            <w:shd w:val="clear" w:color="auto" w:fill="auto"/>
          </w:tcPr>
          <w:p w14:paraId="7EF3DC38"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4 </w:t>
            </w:r>
          </w:p>
          <w:p w14:paraId="6C544A8D" w14:textId="6C87C71F"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(0,7 %)</w:t>
            </w:r>
          </w:p>
        </w:tc>
        <w:tc>
          <w:tcPr>
            <w:tcW w:w="2855" w:type="dxa"/>
            <w:shd w:val="clear" w:color="auto" w:fill="auto"/>
          </w:tcPr>
          <w:p w14:paraId="78BCE6F3"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w:t>
            </w:r>
          </w:p>
        </w:tc>
      </w:tr>
      <w:tr w:rsidR="00823785" w:rsidRPr="00452D62" w14:paraId="0DBA9AE2" w14:textId="77777777" w:rsidTr="006453B9">
        <w:tc>
          <w:tcPr>
            <w:tcW w:w="2877" w:type="dxa"/>
            <w:shd w:val="clear" w:color="auto" w:fill="auto"/>
          </w:tcPr>
          <w:p w14:paraId="2C9467F3" w14:textId="77777777" w:rsidR="00823785" w:rsidRPr="00452D62" w:rsidRDefault="00823785"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452D62">
              <w:rPr>
                <w:color w:val="231F20"/>
                <w:spacing w:val="-1"/>
                <w:sz w:val="22"/>
                <w:szCs w:val="22"/>
                <w:lang w:eastAsia="en-US"/>
              </w:rPr>
              <w:t>Didysis ar kliniškai reikšmingas ne didysis kraujavimas</w:t>
            </w:r>
          </w:p>
        </w:tc>
        <w:tc>
          <w:tcPr>
            <w:tcW w:w="2882" w:type="dxa"/>
            <w:shd w:val="clear" w:color="auto" w:fill="auto"/>
          </w:tcPr>
          <w:p w14:paraId="5464B171"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32 </w:t>
            </w:r>
          </w:p>
          <w:p w14:paraId="35F81691" w14:textId="2FEEE873"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(5,4 %)</w:t>
            </w:r>
          </w:p>
        </w:tc>
        <w:tc>
          <w:tcPr>
            <w:tcW w:w="2855" w:type="dxa"/>
            <w:shd w:val="clear" w:color="auto" w:fill="auto"/>
          </w:tcPr>
          <w:p w14:paraId="09867C57"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7 </w:t>
            </w:r>
          </w:p>
          <w:p w14:paraId="075CC9E9" w14:textId="7B5844BD"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(1,2 %)</w:t>
            </w:r>
          </w:p>
        </w:tc>
      </w:tr>
    </w:tbl>
    <w:p w14:paraId="4AD47C29" w14:textId="77777777" w:rsidR="00823785" w:rsidRPr="000877E9" w:rsidRDefault="00823785" w:rsidP="00823785">
      <w:pPr>
        <w:spacing w:before="120"/>
        <w:rPr>
          <w:sz w:val="22"/>
          <w:szCs w:val="22"/>
        </w:rPr>
      </w:pPr>
      <w:r w:rsidRPr="00452D62">
        <w:rPr>
          <w:sz w:val="22"/>
          <w:szCs w:val="22"/>
          <w:vertAlign w:val="superscript"/>
        </w:rPr>
        <w:t>a)</w:t>
      </w:r>
      <w:r w:rsidRPr="000877E9">
        <w:rPr>
          <w:sz w:val="22"/>
          <w:szCs w:val="22"/>
        </w:rPr>
        <w:t xml:space="preserve"> Rivaroksabanas 20 mg vieną kartą per parą</w:t>
      </w:r>
    </w:p>
    <w:p w14:paraId="54AC033D" w14:textId="77777777" w:rsidR="00823785" w:rsidRPr="00452D62" w:rsidRDefault="00823785" w:rsidP="00823785">
      <w:pPr>
        <w:rPr>
          <w:sz w:val="22"/>
          <w:szCs w:val="22"/>
        </w:rPr>
      </w:pPr>
      <w:r w:rsidRPr="00452D62">
        <w:rPr>
          <w:sz w:val="22"/>
          <w:szCs w:val="22"/>
        </w:rPr>
        <w:t>* p &lt; 0,0001 (pranašumas), RS: 0,185 (0,087</w:t>
      </w:r>
      <w:r w:rsidRPr="00452D62">
        <w:rPr>
          <w:sz w:val="22"/>
          <w:szCs w:val="22"/>
        </w:rPr>
        <w:noBreakHyphen/>
        <w:t>0,393)</w:t>
      </w:r>
    </w:p>
    <w:p w14:paraId="66052CE6" w14:textId="77777777" w:rsidR="00823785" w:rsidRPr="00452D62" w:rsidRDefault="00823785" w:rsidP="00823785">
      <w:pPr>
        <w:rPr>
          <w:sz w:val="22"/>
          <w:szCs w:val="22"/>
        </w:rPr>
      </w:pPr>
    </w:p>
    <w:p w14:paraId="6F98696A" w14:textId="77777777" w:rsidR="00823785" w:rsidRPr="00452D62" w:rsidRDefault="00823785" w:rsidP="00823785">
      <w:pPr>
        <w:rPr>
          <w:sz w:val="22"/>
          <w:szCs w:val="22"/>
        </w:rPr>
      </w:pPr>
      <w:r w:rsidRPr="00452D62">
        <w:rPr>
          <w:sz w:val="22"/>
          <w:szCs w:val="22"/>
        </w:rPr>
        <w:t xml:space="preserve">Tyrimo </w:t>
      </w:r>
      <w:r w:rsidRPr="00452D62">
        <w:rPr>
          <w:i/>
          <w:sz w:val="22"/>
          <w:szCs w:val="22"/>
        </w:rPr>
        <w:t>Einstein Choice</w:t>
      </w:r>
      <w:r w:rsidRPr="00452D62">
        <w:rPr>
          <w:sz w:val="22"/>
          <w:szCs w:val="22"/>
        </w:rPr>
        <w:t xml:space="preserve"> metu (žr. 9 lentelę), vertinant pagrindinę veiksmingumo vertinamąją baigtį, 20 mg ir 10 mg rivaroksabano dozės buvo pranašesnės už 100 mg acetilsalicilo rūgšties dozę. Pacientų, vieną kartą per parą vartojusių 20 mg ir 10 mg rivaroksabano dozę, pagrindinės saugumo vertinamosios baigties (didžiųjų kraujavimo reiškinių) atvejų dažnis buvo panašus į nustatytą vartojant 100 mg acetilsalicilo rūgšties dozę.</w:t>
      </w:r>
    </w:p>
    <w:p w14:paraId="4510FCFF" w14:textId="77777777" w:rsidR="00823785" w:rsidRPr="00452D62" w:rsidRDefault="00823785" w:rsidP="00823785">
      <w:pPr>
        <w:rPr>
          <w:sz w:val="22"/>
          <w:szCs w:val="22"/>
        </w:rPr>
      </w:pPr>
    </w:p>
    <w:p w14:paraId="37C69549" w14:textId="63C45238" w:rsidR="00823785" w:rsidRPr="00452D62" w:rsidRDefault="00823785" w:rsidP="00823785">
      <w:pPr>
        <w:rPr>
          <w:b/>
          <w:sz w:val="22"/>
          <w:szCs w:val="22"/>
        </w:rPr>
      </w:pPr>
      <w:r w:rsidRPr="00452D62">
        <w:rPr>
          <w:b/>
          <w:sz w:val="22"/>
          <w:szCs w:val="22"/>
        </w:rPr>
        <w:t xml:space="preserve">9 lentelė. III fazės </w:t>
      </w:r>
      <w:r w:rsidRPr="00452D62">
        <w:rPr>
          <w:b/>
          <w:i/>
          <w:sz w:val="22"/>
          <w:szCs w:val="22"/>
        </w:rPr>
        <w:t>Einstein Choice</w:t>
      </w:r>
      <w:r w:rsidRPr="00452D62">
        <w:rPr>
          <w:b/>
          <w:sz w:val="22"/>
          <w:szCs w:val="22"/>
        </w:rPr>
        <w:t xml:space="preserve"> tyrimo veiksmingumo ir saugumo rezultatai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9"/>
        <w:gridCol w:w="2329"/>
        <w:gridCol w:w="2250"/>
        <w:gridCol w:w="2129"/>
      </w:tblGrid>
      <w:tr w:rsidR="00823785" w:rsidRPr="00452D62" w14:paraId="0B3D8685" w14:textId="77777777" w:rsidTr="006453B9">
        <w:tc>
          <w:tcPr>
            <w:tcW w:w="2189" w:type="dxa"/>
            <w:shd w:val="clear" w:color="auto" w:fill="auto"/>
          </w:tcPr>
          <w:p w14:paraId="5859D268"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b/>
                <w:bCs/>
                <w:color w:val="231F20"/>
                <w:spacing w:val="-1"/>
                <w:sz w:val="22"/>
                <w:szCs w:val="22"/>
                <w:lang w:eastAsia="en-US"/>
              </w:rPr>
            </w:pPr>
            <w:r w:rsidRPr="00452D62">
              <w:rPr>
                <w:rFonts w:eastAsia="Calibri"/>
                <w:b/>
                <w:bCs/>
                <w:color w:val="231F20"/>
                <w:spacing w:val="-1"/>
                <w:sz w:val="22"/>
                <w:szCs w:val="22"/>
                <w:lang w:eastAsia="en-US"/>
              </w:rPr>
              <w:t>Tyrimo populiacija</w:t>
            </w:r>
          </w:p>
        </w:tc>
        <w:tc>
          <w:tcPr>
            <w:tcW w:w="6708" w:type="dxa"/>
            <w:gridSpan w:val="3"/>
            <w:shd w:val="clear" w:color="auto" w:fill="auto"/>
          </w:tcPr>
          <w:p w14:paraId="08E9C52A"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b/>
                <w:bCs/>
                <w:color w:val="231F20"/>
                <w:spacing w:val="-1"/>
                <w:sz w:val="22"/>
                <w:szCs w:val="22"/>
                <w:lang w:eastAsia="en-US"/>
              </w:rPr>
            </w:pPr>
            <w:r w:rsidRPr="00452D62">
              <w:rPr>
                <w:rFonts w:eastAsia="Calibri"/>
                <w:b/>
                <w:bCs/>
                <w:color w:val="231F20"/>
                <w:spacing w:val="-1"/>
                <w:sz w:val="22"/>
                <w:szCs w:val="22"/>
                <w:lang w:eastAsia="en-US"/>
              </w:rPr>
              <w:t>3 396 pacientai tęsė pasikartojančios venų tromboembolijos profilaktiką</w:t>
            </w:r>
          </w:p>
        </w:tc>
      </w:tr>
      <w:tr w:rsidR="00823785" w:rsidRPr="00452D62" w14:paraId="78C26086" w14:textId="77777777" w:rsidTr="006453B9">
        <w:tc>
          <w:tcPr>
            <w:tcW w:w="2189" w:type="dxa"/>
            <w:shd w:val="clear" w:color="auto" w:fill="auto"/>
          </w:tcPr>
          <w:p w14:paraId="525E60E0" w14:textId="77777777" w:rsidR="00823785" w:rsidRPr="000877E9" w:rsidRDefault="00823785" w:rsidP="006453B9">
            <w:pPr>
              <w:tabs>
                <w:tab w:val="clear" w:pos="567"/>
              </w:tabs>
              <w:suppressAutoHyphens w:val="0"/>
              <w:autoSpaceDE w:val="0"/>
              <w:autoSpaceDN w:val="0"/>
              <w:adjustRightInd w:val="0"/>
              <w:spacing w:line="240" w:lineRule="auto"/>
              <w:jc w:val="both"/>
              <w:rPr>
                <w:rFonts w:eastAsia="Calibri"/>
                <w:b/>
                <w:bCs/>
                <w:color w:val="231F20"/>
                <w:spacing w:val="-1"/>
                <w:sz w:val="22"/>
                <w:szCs w:val="22"/>
                <w:lang w:eastAsia="en-US"/>
              </w:rPr>
            </w:pPr>
            <w:r w:rsidRPr="00452D62">
              <w:rPr>
                <w:rFonts w:eastAsia="Calibri"/>
                <w:b/>
                <w:bCs/>
                <w:color w:val="231F20"/>
                <w:spacing w:val="-1"/>
                <w:sz w:val="22"/>
                <w:szCs w:val="22"/>
                <w:lang w:eastAsia="en-US"/>
              </w:rPr>
              <w:t>Gydymo dozė</w:t>
            </w:r>
          </w:p>
        </w:tc>
        <w:tc>
          <w:tcPr>
            <w:tcW w:w="2329" w:type="dxa"/>
            <w:shd w:val="clear" w:color="auto" w:fill="auto"/>
          </w:tcPr>
          <w:p w14:paraId="09B752EF" w14:textId="7D932361" w:rsidR="00823785" w:rsidRPr="00452D62" w:rsidRDefault="00D66FC3" w:rsidP="006453B9">
            <w:pPr>
              <w:tabs>
                <w:tab w:val="clear" w:pos="567"/>
              </w:tabs>
              <w:suppressAutoHyphens w:val="0"/>
              <w:autoSpaceDE w:val="0"/>
              <w:autoSpaceDN w:val="0"/>
              <w:adjustRightInd w:val="0"/>
              <w:spacing w:line="240" w:lineRule="auto"/>
              <w:rPr>
                <w:rFonts w:eastAsia="Calibri"/>
                <w:b/>
                <w:bCs/>
                <w:color w:val="231F20"/>
                <w:spacing w:val="-1"/>
                <w:sz w:val="22"/>
                <w:szCs w:val="22"/>
                <w:lang w:eastAsia="en-US"/>
              </w:rPr>
            </w:pPr>
            <w:r w:rsidRPr="00452D62">
              <w:rPr>
                <w:rFonts w:eastAsia="Calibri"/>
                <w:b/>
                <w:bCs/>
                <w:color w:val="231F20"/>
                <w:spacing w:val="-1"/>
                <w:sz w:val="22"/>
                <w:szCs w:val="22"/>
                <w:lang w:eastAsia="en-US"/>
              </w:rPr>
              <w:t xml:space="preserve">Rivaroksabanas </w:t>
            </w:r>
            <w:r w:rsidR="00823785" w:rsidRPr="00452D62">
              <w:rPr>
                <w:rFonts w:eastAsia="Calibri"/>
                <w:b/>
                <w:bCs/>
                <w:color w:val="231F20"/>
                <w:spacing w:val="-1"/>
                <w:sz w:val="22"/>
                <w:szCs w:val="22"/>
                <w:lang w:eastAsia="en-US"/>
              </w:rPr>
              <w:t>20 mg vieną kartą per parą</w:t>
            </w:r>
          </w:p>
          <w:p w14:paraId="58F56155" w14:textId="10C135CE" w:rsidR="00823785" w:rsidRPr="00452D62" w:rsidRDefault="00823785" w:rsidP="006453B9">
            <w:pPr>
              <w:tabs>
                <w:tab w:val="clear" w:pos="567"/>
              </w:tabs>
              <w:suppressAutoHyphens w:val="0"/>
              <w:autoSpaceDE w:val="0"/>
              <w:autoSpaceDN w:val="0"/>
              <w:adjustRightInd w:val="0"/>
              <w:spacing w:line="240" w:lineRule="auto"/>
              <w:rPr>
                <w:rFonts w:eastAsia="Calibri"/>
                <w:b/>
                <w:bCs/>
                <w:color w:val="231F20"/>
                <w:spacing w:val="-1"/>
                <w:sz w:val="22"/>
                <w:szCs w:val="22"/>
                <w:lang w:eastAsia="en-US"/>
              </w:rPr>
            </w:pPr>
            <w:r w:rsidRPr="00452D62">
              <w:rPr>
                <w:rFonts w:eastAsia="Calibri"/>
                <w:b/>
                <w:bCs/>
                <w:color w:val="231F20"/>
                <w:spacing w:val="-1"/>
                <w:sz w:val="22"/>
                <w:szCs w:val="22"/>
                <w:lang w:eastAsia="en-US"/>
              </w:rPr>
              <w:t>N=1 107</w:t>
            </w:r>
          </w:p>
        </w:tc>
        <w:tc>
          <w:tcPr>
            <w:tcW w:w="2250" w:type="dxa"/>
            <w:shd w:val="clear" w:color="auto" w:fill="auto"/>
          </w:tcPr>
          <w:p w14:paraId="58A3D0CB" w14:textId="5F39D329" w:rsidR="00823785" w:rsidRPr="00452D62" w:rsidRDefault="00823785" w:rsidP="006453B9">
            <w:pPr>
              <w:tabs>
                <w:tab w:val="clear" w:pos="567"/>
              </w:tabs>
              <w:suppressAutoHyphens w:val="0"/>
              <w:autoSpaceDE w:val="0"/>
              <w:autoSpaceDN w:val="0"/>
              <w:adjustRightInd w:val="0"/>
              <w:spacing w:line="240" w:lineRule="auto"/>
              <w:rPr>
                <w:rFonts w:eastAsia="Calibri"/>
                <w:b/>
                <w:bCs/>
                <w:color w:val="231F20"/>
                <w:spacing w:val="-1"/>
                <w:sz w:val="22"/>
                <w:szCs w:val="22"/>
                <w:lang w:eastAsia="en-US"/>
              </w:rPr>
            </w:pPr>
            <w:r w:rsidRPr="00452D62">
              <w:rPr>
                <w:rFonts w:eastAsia="Calibri"/>
                <w:b/>
                <w:bCs/>
                <w:color w:val="231F20"/>
                <w:spacing w:val="-1"/>
                <w:sz w:val="22"/>
                <w:szCs w:val="22"/>
                <w:lang w:eastAsia="en-US"/>
              </w:rPr>
              <w:t xml:space="preserve">Rivaroksabanas </w:t>
            </w:r>
            <w:r w:rsidRPr="00452D62">
              <w:rPr>
                <w:rFonts w:eastAsia="Calibri"/>
                <w:b/>
                <w:bCs/>
                <w:color w:val="231F20"/>
                <w:spacing w:val="-1"/>
                <w:sz w:val="22"/>
                <w:szCs w:val="22"/>
                <w:lang w:val="it-IT" w:eastAsia="en-US"/>
              </w:rPr>
              <w:t>1</w:t>
            </w:r>
            <w:r w:rsidRPr="00452D62">
              <w:rPr>
                <w:rFonts w:eastAsia="Calibri"/>
                <w:b/>
                <w:bCs/>
                <w:color w:val="231F20"/>
                <w:spacing w:val="-1"/>
                <w:sz w:val="22"/>
                <w:szCs w:val="22"/>
                <w:lang w:eastAsia="en-US"/>
              </w:rPr>
              <w:t>0 mg vieną kartą per parą</w:t>
            </w:r>
          </w:p>
          <w:p w14:paraId="1F8DF090" w14:textId="77777777" w:rsidR="00823785" w:rsidRPr="00452D62" w:rsidRDefault="00823785" w:rsidP="006453B9">
            <w:pPr>
              <w:tabs>
                <w:tab w:val="clear" w:pos="567"/>
              </w:tabs>
              <w:suppressAutoHyphens w:val="0"/>
              <w:autoSpaceDE w:val="0"/>
              <w:autoSpaceDN w:val="0"/>
              <w:adjustRightInd w:val="0"/>
              <w:spacing w:line="240" w:lineRule="auto"/>
              <w:rPr>
                <w:rFonts w:eastAsia="Calibri"/>
                <w:b/>
                <w:bCs/>
                <w:color w:val="231F20"/>
                <w:spacing w:val="-1"/>
                <w:sz w:val="22"/>
                <w:szCs w:val="22"/>
                <w:lang w:eastAsia="en-US"/>
              </w:rPr>
            </w:pPr>
            <w:r w:rsidRPr="00452D62">
              <w:rPr>
                <w:rFonts w:eastAsia="Calibri"/>
                <w:b/>
                <w:bCs/>
                <w:color w:val="231F20"/>
                <w:spacing w:val="-1"/>
                <w:sz w:val="22"/>
                <w:szCs w:val="22"/>
                <w:lang w:eastAsia="en-US"/>
              </w:rPr>
              <w:t>N=1 127</w:t>
            </w:r>
          </w:p>
        </w:tc>
        <w:tc>
          <w:tcPr>
            <w:tcW w:w="2129" w:type="dxa"/>
            <w:shd w:val="clear" w:color="auto" w:fill="auto"/>
          </w:tcPr>
          <w:p w14:paraId="23527E9C" w14:textId="77777777" w:rsidR="00823785" w:rsidRPr="00452D62" w:rsidRDefault="00823785" w:rsidP="006453B9">
            <w:pPr>
              <w:tabs>
                <w:tab w:val="clear" w:pos="567"/>
              </w:tabs>
              <w:suppressAutoHyphens w:val="0"/>
              <w:autoSpaceDE w:val="0"/>
              <w:autoSpaceDN w:val="0"/>
              <w:adjustRightInd w:val="0"/>
              <w:spacing w:line="240" w:lineRule="auto"/>
              <w:rPr>
                <w:rFonts w:eastAsia="Calibri"/>
                <w:b/>
                <w:bCs/>
                <w:color w:val="231F20"/>
                <w:spacing w:val="-1"/>
                <w:sz w:val="22"/>
                <w:szCs w:val="22"/>
                <w:lang w:eastAsia="en-US"/>
              </w:rPr>
            </w:pPr>
            <w:r w:rsidRPr="00452D62">
              <w:rPr>
                <w:rFonts w:eastAsia="Calibri"/>
                <w:b/>
                <w:bCs/>
                <w:color w:val="231F20"/>
                <w:spacing w:val="-1"/>
                <w:sz w:val="22"/>
                <w:szCs w:val="22"/>
                <w:lang w:eastAsia="en-US"/>
              </w:rPr>
              <w:t>100 mg ASR vieną kartą per parą</w:t>
            </w:r>
          </w:p>
          <w:p w14:paraId="2ECFE64A"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b/>
                <w:bCs/>
                <w:color w:val="231F20"/>
                <w:spacing w:val="-1"/>
                <w:sz w:val="22"/>
                <w:szCs w:val="22"/>
                <w:lang w:eastAsia="en-US"/>
              </w:rPr>
            </w:pPr>
            <w:r w:rsidRPr="00452D62">
              <w:rPr>
                <w:rFonts w:eastAsia="Calibri"/>
                <w:b/>
                <w:bCs/>
                <w:color w:val="231F20"/>
                <w:spacing w:val="-1"/>
                <w:sz w:val="22"/>
                <w:szCs w:val="22"/>
                <w:lang w:eastAsia="en-US"/>
              </w:rPr>
              <w:t>N=1 131</w:t>
            </w:r>
          </w:p>
        </w:tc>
      </w:tr>
      <w:tr w:rsidR="00823785" w:rsidRPr="00452D62" w14:paraId="238A1F2F" w14:textId="77777777" w:rsidTr="006453B9">
        <w:tc>
          <w:tcPr>
            <w:tcW w:w="2189" w:type="dxa"/>
            <w:shd w:val="clear" w:color="auto" w:fill="auto"/>
          </w:tcPr>
          <w:p w14:paraId="53FDE4FF"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452D62">
              <w:rPr>
                <w:rFonts w:eastAsia="Calibri"/>
                <w:color w:val="231F20"/>
                <w:spacing w:val="-1"/>
                <w:sz w:val="22"/>
                <w:szCs w:val="22"/>
                <w:lang w:eastAsia="en-US"/>
              </w:rPr>
              <w:t>Gydymo trukmės mediana [tarpkvartilinės ribos]</w:t>
            </w:r>
          </w:p>
        </w:tc>
        <w:tc>
          <w:tcPr>
            <w:tcW w:w="2329" w:type="dxa"/>
            <w:shd w:val="clear" w:color="auto" w:fill="auto"/>
          </w:tcPr>
          <w:p w14:paraId="4E46EF44"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349 [189</w:t>
            </w:r>
            <w:r w:rsidRPr="00452D62">
              <w:rPr>
                <w:rFonts w:eastAsia="Calibri"/>
                <w:color w:val="231F20"/>
                <w:spacing w:val="-1"/>
                <w:sz w:val="22"/>
                <w:szCs w:val="22"/>
                <w:lang w:eastAsia="en-US"/>
              </w:rPr>
              <w:noBreakHyphen/>
              <w:t>362] dienos</w:t>
            </w:r>
          </w:p>
        </w:tc>
        <w:tc>
          <w:tcPr>
            <w:tcW w:w="2250" w:type="dxa"/>
            <w:shd w:val="clear" w:color="auto" w:fill="auto"/>
          </w:tcPr>
          <w:p w14:paraId="1255DB5F"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353 [190</w:t>
            </w:r>
            <w:r w:rsidRPr="00452D62">
              <w:rPr>
                <w:rFonts w:eastAsia="Calibri"/>
                <w:color w:val="231F20"/>
                <w:spacing w:val="-1"/>
                <w:sz w:val="22"/>
                <w:szCs w:val="22"/>
                <w:lang w:eastAsia="en-US"/>
              </w:rPr>
              <w:noBreakHyphen/>
              <w:t>362] dienos</w:t>
            </w:r>
          </w:p>
        </w:tc>
        <w:tc>
          <w:tcPr>
            <w:tcW w:w="2129" w:type="dxa"/>
            <w:shd w:val="clear" w:color="auto" w:fill="auto"/>
          </w:tcPr>
          <w:p w14:paraId="02CD92EC"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452D62">
              <w:rPr>
                <w:rFonts w:eastAsia="Calibri"/>
                <w:color w:val="231F20"/>
                <w:spacing w:val="-1"/>
                <w:sz w:val="22"/>
                <w:szCs w:val="22"/>
                <w:lang w:eastAsia="en-US"/>
              </w:rPr>
              <w:t>350 [186</w:t>
            </w:r>
            <w:r w:rsidRPr="00452D62">
              <w:rPr>
                <w:rFonts w:eastAsia="Calibri"/>
                <w:color w:val="231F20"/>
                <w:spacing w:val="-1"/>
                <w:sz w:val="22"/>
                <w:szCs w:val="22"/>
                <w:lang w:eastAsia="en-US"/>
              </w:rPr>
              <w:noBreakHyphen/>
              <w:t>362] dienos</w:t>
            </w:r>
          </w:p>
        </w:tc>
      </w:tr>
      <w:tr w:rsidR="00823785" w:rsidRPr="00452D62" w14:paraId="73BF7416" w14:textId="77777777" w:rsidTr="006453B9">
        <w:tc>
          <w:tcPr>
            <w:tcW w:w="2189" w:type="dxa"/>
            <w:shd w:val="clear" w:color="auto" w:fill="auto"/>
          </w:tcPr>
          <w:p w14:paraId="04DB1171"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Simptominė pasikartojanti VTE</w:t>
            </w:r>
          </w:p>
        </w:tc>
        <w:tc>
          <w:tcPr>
            <w:tcW w:w="2329" w:type="dxa"/>
            <w:shd w:val="clear" w:color="auto" w:fill="auto"/>
          </w:tcPr>
          <w:p w14:paraId="6338CB7B"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17 </w:t>
            </w:r>
          </w:p>
          <w:p w14:paraId="14E306B4" w14:textId="0451F303"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(1,5 %)*</w:t>
            </w:r>
          </w:p>
        </w:tc>
        <w:tc>
          <w:tcPr>
            <w:tcW w:w="2250" w:type="dxa"/>
            <w:shd w:val="clear" w:color="auto" w:fill="auto"/>
          </w:tcPr>
          <w:p w14:paraId="6484D2C6"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13 </w:t>
            </w:r>
          </w:p>
          <w:p w14:paraId="5696D649" w14:textId="56E46061"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(1,2 %)**</w:t>
            </w:r>
          </w:p>
        </w:tc>
        <w:tc>
          <w:tcPr>
            <w:tcW w:w="2129" w:type="dxa"/>
            <w:shd w:val="clear" w:color="auto" w:fill="auto"/>
          </w:tcPr>
          <w:p w14:paraId="73A79EFC"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50 </w:t>
            </w:r>
          </w:p>
          <w:p w14:paraId="008B1C0B" w14:textId="12523C1D"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(4,4 %)</w:t>
            </w:r>
          </w:p>
        </w:tc>
      </w:tr>
      <w:tr w:rsidR="00823785" w:rsidRPr="00452D62" w14:paraId="59C4746A" w14:textId="77777777" w:rsidTr="006453B9">
        <w:tc>
          <w:tcPr>
            <w:tcW w:w="2189" w:type="dxa"/>
            <w:shd w:val="clear" w:color="auto" w:fill="auto"/>
          </w:tcPr>
          <w:p w14:paraId="12D562A3" w14:textId="77777777" w:rsidR="00823785" w:rsidRPr="00452D62" w:rsidRDefault="00823785" w:rsidP="006453B9">
            <w:pPr>
              <w:tabs>
                <w:tab w:val="clear" w:pos="567"/>
              </w:tabs>
              <w:suppressAutoHyphens w:val="0"/>
              <w:autoSpaceDE w:val="0"/>
              <w:autoSpaceDN w:val="0"/>
              <w:adjustRightInd w:val="0"/>
              <w:spacing w:line="240" w:lineRule="auto"/>
              <w:ind w:left="284"/>
              <w:jc w:val="both"/>
              <w:rPr>
                <w:rFonts w:eastAsia="Calibri"/>
                <w:color w:val="231F20"/>
                <w:spacing w:val="-1"/>
                <w:sz w:val="22"/>
                <w:szCs w:val="22"/>
                <w:lang w:eastAsia="en-US"/>
              </w:rPr>
            </w:pPr>
            <w:r w:rsidRPr="00452D62">
              <w:rPr>
                <w:rFonts w:eastAsia="Calibri"/>
                <w:color w:val="231F20"/>
                <w:spacing w:val="-1"/>
                <w:sz w:val="22"/>
                <w:szCs w:val="22"/>
                <w:lang w:eastAsia="en-US"/>
              </w:rPr>
              <w:t>Simptominė pasikartojanti GVT</w:t>
            </w:r>
          </w:p>
        </w:tc>
        <w:tc>
          <w:tcPr>
            <w:tcW w:w="2329" w:type="dxa"/>
            <w:shd w:val="clear" w:color="auto" w:fill="auto"/>
          </w:tcPr>
          <w:p w14:paraId="1F35C2C9"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6 </w:t>
            </w:r>
          </w:p>
          <w:p w14:paraId="6C7E5C01" w14:textId="77D8D3F6"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(0,5 %)</w:t>
            </w:r>
          </w:p>
        </w:tc>
        <w:tc>
          <w:tcPr>
            <w:tcW w:w="2250" w:type="dxa"/>
            <w:shd w:val="clear" w:color="auto" w:fill="auto"/>
          </w:tcPr>
          <w:p w14:paraId="469C7B0A"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6 </w:t>
            </w:r>
          </w:p>
          <w:p w14:paraId="7C28FF07" w14:textId="544883BF"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(0,5 %)</w:t>
            </w:r>
          </w:p>
        </w:tc>
        <w:tc>
          <w:tcPr>
            <w:tcW w:w="2129" w:type="dxa"/>
            <w:shd w:val="clear" w:color="auto" w:fill="auto"/>
          </w:tcPr>
          <w:p w14:paraId="4BCCABEC"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19 </w:t>
            </w:r>
          </w:p>
          <w:p w14:paraId="05EC6AA8" w14:textId="7CF30821"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(1,7 %)</w:t>
            </w:r>
          </w:p>
        </w:tc>
      </w:tr>
      <w:tr w:rsidR="00823785" w:rsidRPr="00452D62" w14:paraId="1BD6F05E" w14:textId="77777777" w:rsidTr="006453B9">
        <w:tc>
          <w:tcPr>
            <w:tcW w:w="2189" w:type="dxa"/>
            <w:shd w:val="clear" w:color="auto" w:fill="auto"/>
          </w:tcPr>
          <w:tbl>
            <w:tblPr>
              <w:tblW w:w="0" w:type="auto"/>
              <w:tblBorders>
                <w:top w:val="nil"/>
                <w:left w:val="nil"/>
                <w:bottom w:val="nil"/>
                <w:right w:val="nil"/>
              </w:tblBorders>
              <w:tblLook w:val="0000" w:firstRow="0" w:lastRow="0" w:firstColumn="0" w:lastColumn="0" w:noHBand="0" w:noVBand="0"/>
            </w:tblPr>
            <w:tblGrid>
              <w:gridCol w:w="1973"/>
            </w:tblGrid>
            <w:tr w:rsidR="00823785" w:rsidRPr="00452D62" w14:paraId="4A7ABAD0" w14:textId="77777777" w:rsidTr="006453B9">
              <w:trPr>
                <w:trHeight w:val="271"/>
              </w:trPr>
              <w:tc>
                <w:tcPr>
                  <w:tcW w:w="0" w:type="auto"/>
                </w:tcPr>
                <w:p w14:paraId="60B2E7FD" w14:textId="77777777" w:rsidR="00823785" w:rsidRPr="00452D62" w:rsidRDefault="00823785" w:rsidP="006453B9">
                  <w:pPr>
                    <w:tabs>
                      <w:tab w:val="clear" w:pos="567"/>
                    </w:tabs>
                    <w:suppressAutoHyphens w:val="0"/>
                    <w:autoSpaceDE w:val="0"/>
                    <w:autoSpaceDN w:val="0"/>
                    <w:adjustRightInd w:val="0"/>
                    <w:spacing w:line="240" w:lineRule="auto"/>
                    <w:ind w:left="227"/>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Simptominė pasikartojanti GVT </w:t>
                  </w:r>
                </w:p>
              </w:tc>
            </w:tr>
          </w:tbl>
          <w:p w14:paraId="615D9899"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p>
        </w:tc>
        <w:tc>
          <w:tcPr>
            <w:tcW w:w="2329" w:type="dxa"/>
            <w:shd w:val="clear" w:color="auto" w:fill="auto"/>
          </w:tcPr>
          <w:p w14:paraId="5EB41A05"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9 </w:t>
            </w:r>
          </w:p>
          <w:p w14:paraId="3E5715FF" w14:textId="128BE0B6"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(0,8 %)</w:t>
            </w:r>
          </w:p>
        </w:tc>
        <w:tc>
          <w:tcPr>
            <w:tcW w:w="2250" w:type="dxa"/>
            <w:shd w:val="clear" w:color="auto" w:fill="auto"/>
          </w:tcPr>
          <w:p w14:paraId="2DF3ABDC"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8 </w:t>
            </w:r>
          </w:p>
          <w:p w14:paraId="7814D0B0" w14:textId="1B387060"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(0,7 %)</w:t>
            </w:r>
          </w:p>
        </w:tc>
        <w:tc>
          <w:tcPr>
            <w:tcW w:w="2129" w:type="dxa"/>
            <w:shd w:val="clear" w:color="auto" w:fill="auto"/>
          </w:tcPr>
          <w:p w14:paraId="5196F1DD"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30 </w:t>
            </w:r>
          </w:p>
          <w:p w14:paraId="26C983ED" w14:textId="5F3BC693"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(2,7 %)</w:t>
            </w:r>
          </w:p>
        </w:tc>
      </w:tr>
      <w:tr w:rsidR="00823785" w:rsidRPr="00452D62" w14:paraId="7D6C20C8" w14:textId="77777777" w:rsidTr="006453B9">
        <w:tc>
          <w:tcPr>
            <w:tcW w:w="2189" w:type="dxa"/>
            <w:shd w:val="clear" w:color="auto" w:fill="auto"/>
          </w:tcPr>
          <w:p w14:paraId="1FD014C0" w14:textId="77777777" w:rsidR="00823785" w:rsidRPr="00452D62" w:rsidRDefault="00823785" w:rsidP="006453B9">
            <w:pPr>
              <w:tabs>
                <w:tab w:val="clear" w:pos="567"/>
              </w:tabs>
              <w:suppressAutoHyphens w:val="0"/>
              <w:autoSpaceDE w:val="0"/>
              <w:autoSpaceDN w:val="0"/>
              <w:adjustRightInd w:val="0"/>
              <w:spacing w:line="240" w:lineRule="auto"/>
              <w:ind w:left="284"/>
              <w:rPr>
                <w:rFonts w:eastAsia="Calibri"/>
                <w:color w:val="231F20"/>
                <w:spacing w:val="-1"/>
                <w:sz w:val="22"/>
                <w:szCs w:val="22"/>
                <w:lang w:eastAsia="en-US"/>
              </w:rPr>
            </w:pPr>
            <w:r w:rsidRPr="00452D62">
              <w:rPr>
                <w:color w:val="231F20"/>
                <w:spacing w:val="-1"/>
                <w:sz w:val="22"/>
                <w:szCs w:val="22"/>
                <w:lang w:eastAsia="en-US"/>
              </w:rPr>
              <w:t>Mirtina PE/mirtis, kai negalima atmesti PE kaip galimos priežasties</w:t>
            </w:r>
          </w:p>
        </w:tc>
        <w:tc>
          <w:tcPr>
            <w:tcW w:w="2329" w:type="dxa"/>
            <w:shd w:val="clear" w:color="auto" w:fill="auto"/>
          </w:tcPr>
          <w:p w14:paraId="0CB8D1FC"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2 </w:t>
            </w:r>
          </w:p>
          <w:p w14:paraId="295C67EC" w14:textId="133DDBFB"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(0,2 %)</w:t>
            </w:r>
          </w:p>
        </w:tc>
        <w:tc>
          <w:tcPr>
            <w:tcW w:w="2250" w:type="dxa"/>
            <w:shd w:val="clear" w:color="auto" w:fill="auto"/>
          </w:tcPr>
          <w:p w14:paraId="590B8520"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0</w:t>
            </w:r>
          </w:p>
        </w:tc>
        <w:tc>
          <w:tcPr>
            <w:tcW w:w="2129" w:type="dxa"/>
            <w:shd w:val="clear" w:color="auto" w:fill="auto"/>
          </w:tcPr>
          <w:p w14:paraId="29FF05E7"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2 </w:t>
            </w:r>
          </w:p>
          <w:p w14:paraId="37922A43" w14:textId="472CF936"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(0,2 %_)</w:t>
            </w:r>
          </w:p>
        </w:tc>
      </w:tr>
      <w:tr w:rsidR="00823785" w:rsidRPr="00452D62" w14:paraId="0698C66D" w14:textId="77777777" w:rsidTr="006453B9">
        <w:tc>
          <w:tcPr>
            <w:tcW w:w="2189" w:type="dxa"/>
            <w:shd w:val="clear" w:color="auto" w:fill="auto"/>
          </w:tcPr>
          <w:p w14:paraId="38328DB2"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452D62">
              <w:rPr>
                <w:rFonts w:eastAsia="Calibri"/>
                <w:color w:val="231F20"/>
                <w:spacing w:val="-1"/>
                <w:sz w:val="22"/>
                <w:szCs w:val="22"/>
                <w:lang w:eastAsia="en-US"/>
              </w:rPr>
              <w:t>Simptominė pasikartojanti VTE, MI, insultas arba ne CNS sisteminė embolija</w:t>
            </w:r>
          </w:p>
        </w:tc>
        <w:tc>
          <w:tcPr>
            <w:tcW w:w="2329" w:type="dxa"/>
            <w:shd w:val="clear" w:color="auto" w:fill="auto"/>
          </w:tcPr>
          <w:p w14:paraId="0672B504"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19 </w:t>
            </w:r>
          </w:p>
          <w:p w14:paraId="79971BA3" w14:textId="23615BF8"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(1,7 %)</w:t>
            </w:r>
          </w:p>
        </w:tc>
        <w:tc>
          <w:tcPr>
            <w:tcW w:w="2250" w:type="dxa"/>
            <w:shd w:val="clear" w:color="auto" w:fill="auto"/>
          </w:tcPr>
          <w:p w14:paraId="350C3D78"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18 </w:t>
            </w:r>
          </w:p>
          <w:p w14:paraId="319EE4CF" w14:textId="6911FA4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(1,6 %)</w:t>
            </w:r>
          </w:p>
        </w:tc>
        <w:tc>
          <w:tcPr>
            <w:tcW w:w="2129" w:type="dxa"/>
            <w:shd w:val="clear" w:color="auto" w:fill="auto"/>
          </w:tcPr>
          <w:p w14:paraId="37BCA63A"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56 </w:t>
            </w:r>
          </w:p>
          <w:p w14:paraId="5B41CE6B" w14:textId="71BB770B"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(5,0 %)</w:t>
            </w:r>
          </w:p>
        </w:tc>
      </w:tr>
      <w:tr w:rsidR="00823785" w:rsidRPr="00452D62" w14:paraId="223F9B42" w14:textId="77777777" w:rsidTr="006453B9">
        <w:tc>
          <w:tcPr>
            <w:tcW w:w="2189" w:type="dxa"/>
            <w:shd w:val="clear" w:color="auto" w:fill="auto"/>
          </w:tcPr>
          <w:p w14:paraId="2E00F820"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452D62">
              <w:rPr>
                <w:rFonts w:eastAsia="Calibri"/>
                <w:color w:val="231F20"/>
                <w:spacing w:val="-1"/>
                <w:sz w:val="22"/>
                <w:szCs w:val="22"/>
                <w:lang w:eastAsia="en-US"/>
              </w:rPr>
              <w:t>Didžiojo kraujavimo reiškiniai</w:t>
            </w:r>
          </w:p>
        </w:tc>
        <w:tc>
          <w:tcPr>
            <w:tcW w:w="2329" w:type="dxa"/>
            <w:shd w:val="clear" w:color="auto" w:fill="auto"/>
          </w:tcPr>
          <w:p w14:paraId="763BA3C3"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6 </w:t>
            </w:r>
          </w:p>
          <w:p w14:paraId="69065C42" w14:textId="3FD2C780"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(0,5 %)</w:t>
            </w:r>
          </w:p>
        </w:tc>
        <w:tc>
          <w:tcPr>
            <w:tcW w:w="2250" w:type="dxa"/>
            <w:shd w:val="clear" w:color="auto" w:fill="auto"/>
          </w:tcPr>
          <w:p w14:paraId="340E49E3"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5 </w:t>
            </w:r>
          </w:p>
          <w:p w14:paraId="23355140" w14:textId="143C3F90"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(0,4 %)</w:t>
            </w:r>
          </w:p>
        </w:tc>
        <w:tc>
          <w:tcPr>
            <w:tcW w:w="2129" w:type="dxa"/>
            <w:shd w:val="clear" w:color="auto" w:fill="auto"/>
          </w:tcPr>
          <w:p w14:paraId="4F7AB82D"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3 </w:t>
            </w:r>
          </w:p>
          <w:p w14:paraId="31F86B78" w14:textId="665F246B"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(0,3 %)</w:t>
            </w:r>
          </w:p>
        </w:tc>
      </w:tr>
      <w:tr w:rsidR="00823785" w:rsidRPr="00452D62" w14:paraId="32688D25" w14:textId="77777777" w:rsidTr="006453B9">
        <w:tc>
          <w:tcPr>
            <w:tcW w:w="2189" w:type="dxa"/>
            <w:shd w:val="clear" w:color="auto" w:fill="auto"/>
          </w:tcPr>
          <w:p w14:paraId="7D340372"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452D62">
              <w:rPr>
                <w:rFonts w:eastAsia="Calibri"/>
                <w:color w:val="231F20"/>
                <w:spacing w:val="-1"/>
                <w:sz w:val="22"/>
                <w:szCs w:val="22"/>
                <w:lang w:eastAsia="en-US"/>
              </w:rPr>
              <w:t>Kliniškai reikšmingas ne didysis kraujavimas</w:t>
            </w:r>
          </w:p>
        </w:tc>
        <w:tc>
          <w:tcPr>
            <w:tcW w:w="2329" w:type="dxa"/>
            <w:shd w:val="clear" w:color="auto" w:fill="auto"/>
          </w:tcPr>
          <w:p w14:paraId="4F752FC3"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30 </w:t>
            </w:r>
          </w:p>
          <w:p w14:paraId="5DB635B6" w14:textId="6B05040C"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(2,7 %)</w:t>
            </w:r>
          </w:p>
        </w:tc>
        <w:tc>
          <w:tcPr>
            <w:tcW w:w="2250" w:type="dxa"/>
            <w:shd w:val="clear" w:color="auto" w:fill="auto"/>
          </w:tcPr>
          <w:p w14:paraId="32377A35"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22 </w:t>
            </w:r>
          </w:p>
          <w:p w14:paraId="15581D19" w14:textId="3A791EC5"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(2,0 %)</w:t>
            </w:r>
          </w:p>
        </w:tc>
        <w:tc>
          <w:tcPr>
            <w:tcW w:w="2129" w:type="dxa"/>
            <w:shd w:val="clear" w:color="auto" w:fill="auto"/>
          </w:tcPr>
          <w:p w14:paraId="7060F363"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20 </w:t>
            </w:r>
          </w:p>
          <w:p w14:paraId="52661CB7" w14:textId="539E404F"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(1,8 %)</w:t>
            </w:r>
          </w:p>
        </w:tc>
      </w:tr>
      <w:tr w:rsidR="00823785" w:rsidRPr="00452D62" w14:paraId="498C350E" w14:textId="77777777" w:rsidTr="006453B9">
        <w:tc>
          <w:tcPr>
            <w:tcW w:w="2189" w:type="dxa"/>
            <w:shd w:val="clear" w:color="auto" w:fill="auto"/>
          </w:tcPr>
          <w:tbl>
            <w:tblPr>
              <w:tblW w:w="0" w:type="auto"/>
              <w:tblBorders>
                <w:top w:val="nil"/>
                <w:left w:val="nil"/>
                <w:bottom w:val="nil"/>
                <w:right w:val="nil"/>
              </w:tblBorders>
              <w:tblLook w:val="0000" w:firstRow="0" w:lastRow="0" w:firstColumn="0" w:lastColumn="0" w:noHBand="0" w:noVBand="0"/>
            </w:tblPr>
            <w:tblGrid>
              <w:gridCol w:w="1973"/>
            </w:tblGrid>
            <w:tr w:rsidR="00823785" w:rsidRPr="00452D62" w14:paraId="21E2EE1E" w14:textId="77777777" w:rsidTr="006453B9">
              <w:trPr>
                <w:trHeight w:val="524"/>
              </w:trPr>
              <w:tc>
                <w:tcPr>
                  <w:tcW w:w="0" w:type="auto"/>
                </w:tcPr>
                <w:p w14:paraId="6FFB9729" w14:textId="77777777" w:rsidR="00823785" w:rsidRPr="00452D62" w:rsidRDefault="00823785" w:rsidP="006453B9">
                  <w:pPr>
                    <w:pStyle w:val="Default"/>
                    <w:spacing w:before="60" w:after="60"/>
                    <w:ind w:left="-108"/>
                    <w:rPr>
                      <w:sz w:val="22"/>
                      <w:szCs w:val="22"/>
                    </w:rPr>
                  </w:pPr>
                  <w:r w:rsidRPr="00452D62">
                    <w:rPr>
                      <w:sz w:val="22"/>
                      <w:szCs w:val="22"/>
                    </w:rPr>
                    <w:t xml:space="preserve">Simptominė pasikartojanti VTE arba didysis kraujavimas (suminė klinikinė nauda) </w:t>
                  </w:r>
                </w:p>
              </w:tc>
            </w:tr>
          </w:tbl>
          <w:p w14:paraId="19D5AFDF"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p>
        </w:tc>
        <w:tc>
          <w:tcPr>
            <w:tcW w:w="2329" w:type="dxa"/>
            <w:shd w:val="clear" w:color="auto" w:fill="auto"/>
          </w:tcPr>
          <w:p w14:paraId="35C8AF9D"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23 </w:t>
            </w:r>
          </w:p>
          <w:p w14:paraId="6F05FD50" w14:textId="7916013E"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(2,1 %)</w:t>
            </w:r>
            <w:r w:rsidRPr="00452D62">
              <w:rPr>
                <w:rFonts w:eastAsia="Calibri"/>
                <w:color w:val="231F20"/>
                <w:spacing w:val="-1"/>
                <w:sz w:val="22"/>
                <w:szCs w:val="22"/>
                <w:vertAlign w:val="superscript"/>
                <w:lang w:eastAsia="en-US"/>
              </w:rPr>
              <w:t>+</w:t>
            </w:r>
          </w:p>
        </w:tc>
        <w:tc>
          <w:tcPr>
            <w:tcW w:w="2250" w:type="dxa"/>
            <w:shd w:val="clear" w:color="auto" w:fill="auto"/>
          </w:tcPr>
          <w:p w14:paraId="53D3D9C0"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17 </w:t>
            </w:r>
          </w:p>
          <w:p w14:paraId="015585FA" w14:textId="5C3AB2F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(1,5 %)</w:t>
            </w:r>
            <w:r w:rsidRPr="00452D62">
              <w:rPr>
                <w:rFonts w:eastAsia="Calibri"/>
                <w:color w:val="231F20"/>
                <w:spacing w:val="-1"/>
                <w:sz w:val="22"/>
                <w:szCs w:val="22"/>
                <w:vertAlign w:val="superscript"/>
                <w:lang w:eastAsia="en-US"/>
              </w:rPr>
              <w:t>++</w:t>
            </w:r>
          </w:p>
        </w:tc>
        <w:tc>
          <w:tcPr>
            <w:tcW w:w="2129" w:type="dxa"/>
            <w:shd w:val="clear" w:color="auto" w:fill="auto"/>
          </w:tcPr>
          <w:p w14:paraId="49017886"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53 </w:t>
            </w:r>
          </w:p>
          <w:p w14:paraId="58798911" w14:textId="52F088EB"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(4,7 %)</w:t>
            </w:r>
          </w:p>
        </w:tc>
      </w:tr>
    </w:tbl>
    <w:p w14:paraId="22DC38CC" w14:textId="77777777" w:rsidR="00823785" w:rsidRPr="00452D62" w:rsidRDefault="00823785" w:rsidP="00823785">
      <w:pPr>
        <w:spacing w:before="120"/>
        <w:ind w:left="142" w:hanging="142"/>
        <w:rPr>
          <w:sz w:val="22"/>
          <w:szCs w:val="22"/>
        </w:rPr>
      </w:pPr>
      <w:r w:rsidRPr="00452D62">
        <w:rPr>
          <w:sz w:val="22"/>
          <w:szCs w:val="22"/>
        </w:rPr>
        <w:t>* p &lt; 0,001 (pranašumas), vartojant 20 mg rivaroksabano vieną kartą per parą, palyginti su ASR 100 mg kartą per parą; RS=0,34 (0,20</w:t>
      </w:r>
      <w:r w:rsidRPr="00452D62">
        <w:rPr>
          <w:sz w:val="22"/>
          <w:szCs w:val="22"/>
        </w:rPr>
        <w:noBreakHyphen/>
        <w:t>0,59).</w:t>
      </w:r>
    </w:p>
    <w:p w14:paraId="757BB45C" w14:textId="77777777" w:rsidR="00823785" w:rsidRPr="00452D62" w:rsidRDefault="00823785" w:rsidP="00823785">
      <w:pPr>
        <w:ind w:left="142" w:hanging="142"/>
        <w:rPr>
          <w:sz w:val="22"/>
          <w:szCs w:val="22"/>
        </w:rPr>
      </w:pPr>
      <w:r w:rsidRPr="00452D62">
        <w:rPr>
          <w:sz w:val="22"/>
          <w:szCs w:val="22"/>
        </w:rPr>
        <w:t>** p &lt; 0,001 (pranašumas), vartojant 10 mg rivaroksabano vieną kartą per parą, palyginti su ASR 100 mg kartą per parą; RS=0,26 (0,14 0,47).</w:t>
      </w:r>
    </w:p>
    <w:p w14:paraId="25C32DDA" w14:textId="77777777" w:rsidR="00823785" w:rsidRPr="00452D62" w:rsidRDefault="00823785" w:rsidP="00823785">
      <w:pPr>
        <w:ind w:left="142" w:hanging="142"/>
        <w:rPr>
          <w:sz w:val="22"/>
          <w:szCs w:val="22"/>
        </w:rPr>
      </w:pPr>
      <w:r w:rsidRPr="00452D62">
        <w:rPr>
          <w:sz w:val="22"/>
          <w:szCs w:val="22"/>
          <w:vertAlign w:val="superscript"/>
        </w:rPr>
        <w:t>+</w:t>
      </w:r>
      <w:r w:rsidRPr="00452D62">
        <w:rPr>
          <w:sz w:val="22"/>
          <w:szCs w:val="22"/>
        </w:rPr>
        <w:t xml:space="preserve"> Rivaroksabanas 20 mg vieną kartą per parą, palyginti su ASR 100 mg vieną kartą per parą; RS=0,44 (0,27</w:t>
      </w:r>
      <w:r w:rsidRPr="00452D62">
        <w:rPr>
          <w:sz w:val="22"/>
          <w:szCs w:val="22"/>
        </w:rPr>
        <w:noBreakHyphen/>
        <w:t>0,71), p=0,0009 (nominali reikšmė).</w:t>
      </w:r>
    </w:p>
    <w:p w14:paraId="4BC2C48F" w14:textId="77777777" w:rsidR="00823785" w:rsidRPr="00452D62" w:rsidRDefault="00823785" w:rsidP="00823785">
      <w:pPr>
        <w:ind w:left="142" w:hanging="142"/>
        <w:rPr>
          <w:sz w:val="22"/>
          <w:szCs w:val="22"/>
        </w:rPr>
      </w:pPr>
      <w:r w:rsidRPr="00452D62">
        <w:rPr>
          <w:sz w:val="22"/>
          <w:szCs w:val="22"/>
          <w:vertAlign w:val="superscript"/>
        </w:rPr>
        <w:t>++</w:t>
      </w:r>
      <w:r w:rsidRPr="00452D62">
        <w:rPr>
          <w:sz w:val="22"/>
          <w:szCs w:val="22"/>
        </w:rPr>
        <w:t xml:space="preserve"> Rivaroksabano 10 mg vieną kartą per parą, palyginti su ASR 100 mg vieną kartą per parą; RS=0,32 (0,18</w:t>
      </w:r>
      <w:r w:rsidRPr="00452D62">
        <w:rPr>
          <w:sz w:val="22"/>
          <w:szCs w:val="22"/>
        </w:rPr>
        <w:noBreakHyphen/>
        <w:t>0,55), p &lt; 0,0001 (nominali reikšmė).</w:t>
      </w:r>
    </w:p>
    <w:p w14:paraId="09FB7CEA" w14:textId="77777777" w:rsidR="00823785" w:rsidRPr="00452D62" w:rsidRDefault="00823785" w:rsidP="00823785">
      <w:pPr>
        <w:rPr>
          <w:sz w:val="22"/>
          <w:szCs w:val="22"/>
        </w:rPr>
      </w:pPr>
    </w:p>
    <w:p w14:paraId="0FF3E41E" w14:textId="2512B890" w:rsidR="00823785" w:rsidRPr="00452D62" w:rsidRDefault="00823785" w:rsidP="00823785">
      <w:pPr>
        <w:rPr>
          <w:sz w:val="22"/>
          <w:szCs w:val="22"/>
        </w:rPr>
      </w:pPr>
      <w:r w:rsidRPr="00452D62">
        <w:rPr>
          <w:sz w:val="22"/>
          <w:szCs w:val="22"/>
        </w:rPr>
        <w:t xml:space="preserve">Papildant III fazės </w:t>
      </w:r>
      <w:r w:rsidRPr="00452D62">
        <w:rPr>
          <w:i/>
          <w:sz w:val="22"/>
          <w:szCs w:val="22"/>
        </w:rPr>
        <w:t>EINSTEIN</w:t>
      </w:r>
      <w:r w:rsidRPr="00452D62">
        <w:rPr>
          <w:sz w:val="22"/>
          <w:szCs w:val="22"/>
        </w:rPr>
        <w:t xml:space="preserve"> programą, buvo atliktas perspektyvusis, neintervencinis, atviras kohortos tyrimas (XALIA), kurio metu taikytas centralizuotas baigčių, įskaitant pasikartojančią VTE, didįjį kraujavimą ir mirtį, vertinimas. Į šį ilgalaikio rivaroksabano, palyginti su standartiniu antikoaguliaciniu gydymu, saugumo klinikinėje praktikoje tyrimą buvo įtraukti 5142 pacientai, kuriems pasireiškė ūminė GVT. Didžiojo kraujavimo, pasikartojančios VTE ir mirties nuo bet kokios priežasties dažnis, vartojant rivaroksabaną, buvo atitinkamai 0,7 %, 1,4 % ir 0,5 %. Pradinės pacientų charakteristikos, įskaitant amžių, sirgimą vėžiu ir inkstų funkcijos sutrikimą, skyrėsi. Buvo naudojama iš anksto numatyta paskirstymo pagal polinkio įvertinimo (angl. </w:t>
      </w:r>
      <w:r w:rsidRPr="00452D62">
        <w:rPr>
          <w:i/>
          <w:iCs/>
          <w:sz w:val="22"/>
          <w:szCs w:val="22"/>
        </w:rPr>
        <w:t>propensity score matching</w:t>
      </w:r>
      <w:r w:rsidRPr="00452D62">
        <w:rPr>
          <w:sz w:val="22"/>
          <w:szCs w:val="22"/>
        </w:rPr>
        <w:t>) stratifikuota analizė pradinių pacientų charakteristikų skirtumų koregavimui, tačiau nepaisant to liekamoji paklaida gali turėti įtakos rezultatams. Koreguotas RS, lyginant rivaroksabaną su standartine terapija, buvo 0,77 (95 % PI: 0,40</w:t>
      </w:r>
      <w:r w:rsidRPr="00452D62">
        <w:rPr>
          <w:sz w:val="22"/>
          <w:szCs w:val="22"/>
        </w:rPr>
        <w:noBreakHyphen/>
        <w:t>1,50), 0,91 (95 % PI: 0,54</w:t>
      </w:r>
      <w:r w:rsidRPr="00452D62">
        <w:rPr>
          <w:sz w:val="22"/>
          <w:szCs w:val="22"/>
        </w:rPr>
        <w:noBreakHyphen/>
        <w:t>1,54) ir 0,51 (95 % PI: 0,24</w:t>
      </w:r>
      <w:r w:rsidRPr="00452D62">
        <w:rPr>
          <w:sz w:val="22"/>
          <w:szCs w:val="22"/>
        </w:rPr>
        <w:noBreakHyphen/>
        <w:t>1,07) atitinkamai didžiajam kraujavimui, pasikartojančiai VTE ir mirties dėl bet kokios priežasties atvejams.</w:t>
      </w:r>
    </w:p>
    <w:p w14:paraId="1A8314D7" w14:textId="77777777" w:rsidR="00823785" w:rsidRPr="00452D62" w:rsidRDefault="00823785" w:rsidP="00823785">
      <w:pPr>
        <w:rPr>
          <w:sz w:val="22"/>
          <w:szCs w:val="22"/>
        </w:rPr>
      </w:pPr>
      <w:r w:rsidRPr="00452D62">
        <w:rPr>
          <w:sz w:val="22"/>
          <w:szCs w:val="22"/>
        </w:rPr>
        <w:t>Šie rezultatai pacientams, stebėtiems klinikinėje praktikoje, atitinka šiai indikacijai nustatytus saugumo duomenis.</w:t>
      </w:r>
    </w:p>
    <w:p w14:paraId="67350757" w14:textId="77777777" w:rsidR="0063159A" w:rsidRPr="00452D62" w:rsidRDefault="0063159A" w:rsidP="00823785">
      <w:pPr>
        <w:spacing w:line="240" w:lineRule="auto"/>
        <w:rPr>
          <w:sz w:val="22"/>
          <w:szCs w:val="22"/>
        </w:rPr>
      </w:pPr>
    </w:p>
    <w:p w14:paraId="31C32997" w14:textId="043C5F5A" w:rsidR="00823785" w:rsidRPr="00452D62" w:rsidRDefault="0063159A" w:rsidP="00823785">
      <w:pPr>
        <w:spacing w:line="240" w:lineRule="auto"/>
        <w:rPr>
          <w:sz w:val="22"/>
          <w:szCs w:val="22"/>
        </w:rPr>
      </w:pPr>
      <w:r w:rsidRPr="00452D62">
        <w:rPr>
          <w:sz w:val="22"/>
          <w:szCs w:val="22"/>
        </w:rPr>
        <w:t>Poregistracinio neintervencinio tyrimo metu, kuriame dalyvavo daugiau nei 40</w:t>
      </w:r>
      <w:r w:rsidR="00D71A7A">
        <w:rPr>
          <w:sz w:val="22"/>
          <w:szCs w:val="22"/>
        </w:rPr>
        <w:t xml:space="preserve"> </w:t>
      </w:r>
      <w:r w:rsidRPr="00452D62">
        <w:rPr>
          <w:sz w:val="22"/>
          <w:szCs w:val="22"/>
        </w:rPr>
        <w:t xml:space="preserve">000 vėžiu nesirgusių pacientų iš keturių šalių, rivaroksabano buvo paskirta GVT ir PE gydymui arba profilaktikai. Simptominių / kliniškai akivaizdžių VTE / tromboembolinių reiškinių, dėl kurių prireikė hospitalizacijos, atvejų dažnis 100-ui pacientų metų svyravo nuo 0,64 (95 </w:t>
      </w:r>
      <w:r w:rsidR="008C3DF7">
        <w:rPr>
          <w:sz w:val="22"/>
          <w:szCs w:val="22"/>
        </w:rPr>
        <w:t> %</w:t>
      </w:r>
      <w:r w:rsidRPr="00452D62">
        <w:rPr>
          <w:sz w:val="22"/>
          <w:szCs w:val="22"/>
        </w:rPr>
        <w:t xml:space="preserve"> PI 0,40-0,97) Jungtinėje Karalystėje iki 2,30 (95 </w:t>
      </w:r>
      <w:r w:rsidR="008C3DF7">
        <w:rPr>
          <w:sz w:val="22"/>
          <w:szCs w:val="22"/>
        </w:rPr>
        <w:t> %</w:t>
      </w:r>
      <w:r w:rsidRPr="00452D62">
        <w:rPr>
          <w:sz w:val="22"/>
          <w:szCs w:val="22"/>
        </w:rPr>
        <w:t xml:space="preserve"> PI 2,11-2,51) Vokietijoje. Kraujavimas, dėl kurio prireikė hospitalizacijos, pasireiškė tokiais dažniais 100-ui pacientų metų: 0,31 (95 </w:t>
      </w:r>
      <w:r w:rsidR="008C3DF7">
        <w:rPr>
          <w:sz w:val="22"/>
          <w:szCs w:val="22"/>
        </w:rPr>
        <w:t> %</w:t>
      </w:r>
      <w:r w:rsidRPr="00452D62">
        <w:rPr>
          <w:sz w:val="22"/>
          <w:szCs w:val="22"/>
        </w:rPr>
        <w:t xml:space="preserve"> PI 0,23-0,42) intrakranijinio kraujavimo atveju, 0,89 (95 </w:t>
      </w:r>
      <w:r w:rsidR="008C3DF7">
        <w:rPr>
          <w:sz w:val="22"/>
          <w:szCs w:val="22"/>
        </w:rPr>
        <w:t> %</w:t>
      </w:r>
      <w:r w:rsidRPr="00452D62">
        <w:rPr>
          <w:sz w:val="22"/>
          <w:szCs w:val="22"/>
        </w:rPr>
        <w:t xml:space="preserve"> PI 0,67-1,17) kraujavimo iš virškinimo trakto atveju, 0,44 (95 </w:t>
      </w:r>
      <w:r w:rsidR="008C3DF7">
        <w:rPr>
          <w:sz w:val="22"/>
          <w:szCs w:val="22"/>
        </w:rPr>
        <w:t> %</w:t>
      </w:r>
      <w:r w:rsidRPr="00452D62">
        <w:rPr>
          <w:sz w:val="22"/>
          <w:szCs w:val="22"/>
        </w:rPr>
        <w:t xml:space="preserve"> PI 0,26-0,74) urogenitalinio kraujavimo atveju ir 0,41 (95 </w:t>
      </w:r>
      <w:r w:rsidR="008C3DF7">
        <w:rPr>
          <w:sz w:val="22"/>
          <w:szCs w:val="22"/>
        </w:rPr>
        <w:t> %</w:t>
      </w:r>
      <w:r w:rsidRPr="00452D62">
        <w:rPr>
          <w:sz w:val="22"/>
          <w:szCs w:val="22"/>
        </w:rPr>
        <w:t xml:space="preserve"> PI 0,31-0,54) kitokio kraujavimo atveju.</w:t>
      </w:r>
    </w:p>
    <w:p w14:paraId="25EC4B4D" w14:textId="77777777" w:rsidR="0063159A" w:rsidRPr="00452D62" w:rsidRDefault="0063159A" w:rsidP="00823785">
      <w:pPr>
        <w:spacing w:line="240" w:lineRule="auto"/>
        <w:rPr>
          <w:sz w:val="22"/>
          <w:szCs w:val="22"/>
        </w:rPr>
      </w:pPr>
    </w:p>
    <w:p w14:paraId="271F4326" w14:textId="77777777" w:rsidR="00823785" w:rsidRPr="00452D62" w:rsidRDefault="00823785" w:rsidP="00823785">
      <w:pPr>
        <w:rPr>
          <w:sz w:val="22"/>
          <w:szCs w:val="22"/>
          <w:u w:val="single"/>
        </w:rPr>
      </w:pPr>
      <w:r w:rsidRPr="00452D62">
        <w:rPr>
          <w:sz w:val="22"/>
          <w:szCs w:val="22"/>
          <w:u w:val="single"/>
        </w:rPr>
        <w:t>Didelės rizikos trigubai teigiamu antifosfolipidiniu sindromu sergantys pacientai</w:t>
      </w:r>
    </w:p>
    <w:p w14:paraId="755FD29B" w14:textId="04AAA7E2" w:rsidR="00823785" w:rsidRPr="00452D62" w:rsidRDefault="00823785" w:rsidP="00823785">
      <w:pPr>
        <w:rPr>
          <w:sz w:val="22"/>
          <w:szCs w:val="22"/>
        </w:rPr>
      </w:pPr>
      <w:r w:rsidRPr="00452D62">
        <w:rPr>
          <w:sz w:val="22"/>
          <w:szCs w:val="22"/>
        </w:rPr>
        <w:t>Atliekant tyrėjo remiamą, atsitiktinių imčių, atvirą daugiacentrį tyrimą su koduotu vertinamųjų baigčių vertinimu, buvo lyginamas rivaroksabano ir varfarino poveikis gydant pacientus, kuriems diagnozuotas antifosfolipidinis sindromas ir nustatyta didelė tromboembolijos reiškinių rizika (visų trijų antifosfolipidinių antikūnų, t. y. vilkligės antikoaguliantų, antikardiolipino antikūnų ir anti-beta 2-glikoproteino I antikūnų, tyrimų rezultatai buvo teigiami) ir praeityje buvo nustatyta trombozė. Tyrimas buvo nutrauktas anksčiau nei numatyta į tyrimą įtraukus 120 pacientų, nes rivaroksabano tyrimo grupėje buvo nustatyta itin daug nepageidaujamų reiškinių atvejų. Vidutinė stebėjimo laikotarpio trukmė buvo 569 dienos. 59 pacientai buvo atsitiktinai priskirti vartoti rivaroksabano 20 mg dozę (15 mg dozę pacientams, kurių kreatinino klirensas (KrKl) &lt; 50 ml/min.), 61 pacientui buvo skirtas varfarinas (INR 2,0–3,0). Tromboembolinių reiškinių nustatyta 12 % pacientų, kuriems buvo paskirtas rivaroksabanas (4 išeminio insulto ir 3 miokardo infarkto atvejai). Pacientų, kuriems buvo paskirtas varfarinas, grupėje nepageidaujamų reiškinių nenustatyta. Didysis kraujavimas pasireiškė 4 (7 %) rivaroksabano grupės pacientams ir 2 (3 %) varfarino grupės pacientams.</w:t>
      </w:r>
    </w:p>
    <w:p w14:paraId="781F8149" w14:textId="77777777" w:rsidR="00823785" w:rsidRPr="00452D62" w:rsidRDefault="00823785" w:rsidP="00823785">
      <w:pPr>
        <w:rPr>
          <w:b/>
          <w:sz w:val="22"/>
          <w:szCs w:val="22"/>
        </w:rPr>
      </w:pPr>
    </w:p>
    <w:p w14:paraId="6BAFCCD2" w14:textId="77777777" w:rsidR="00823785" w:rsidRPr="00452D62" w:rsidRDefault="00823785" w:rsidP="00823785">
      <w:pPr>
        <w:rPr>
          <w:sz w:val="22"/>
          <w:szCs w:val="22"/>
        </w:rPr>
      </w:pPr>
      <w:r w:rsidRPr="00452D62">
        <w:rPr>
          <w:sz w:val="22"/>
          <w:szCs w:val="22"/>
          <w:u w:val="single"/>
        </w:rPr>
        <w:t>Vaikų populiacija</w:t>
      </w:r>
    </w:p>
    <w:p w14:paraId="52518581" w14:textId="43BC3BC2" w:rsidR="00823785" w:rsidRPr="00452D62" w:rsidRDefault="00823785" w:rsidP="00823785">
      <w:pPr>
        <w:rPr>
          <w:iCs/>
          <w:sz w:val="22"/>
          <w:szCs w:val="22"/>
        </w:rPr>
      </w:pPr>
      <w:r w:rsidRPr="00452D62">
        <w:rPr>
          <w:sz w:val="22"/>
          <w:szCs w:val="22"/>
        </w:rPr>
        <w:t>Europos vaistų agentūra nereikalauja įsipareigoti pateikti tyrimų, atliktų su rivaroksabano referentiniu vaistiniu preparatu visuose vaikų populiacijos pogrupiuose tromboembolijos reiškinių profilaktikai, rezultatų (informaciją apie vartojimą vaikams žr. 4.2 skyriuje).</w:t>
      </w:r>
    </w:p>
    <w:p w14:paraId="1C7B9163" w14:textId="77777777" w:rsidR="00823785" w:rsidRPr="00452D62" w:rsidRDefault="00823785" w:rsidP="00823785">
      <w:pPr>
        <w:ind w:right="-2"/>
        <w:rPr>
          <w:iCs/>
          <w:sz w:val="22"/>
          <w:szCs w:val="22"/>
        </w:rPr>
      </w:pPr>
    </w:p>
    <w:p w14:paraId="4B854F8B"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5.2</w:t>
      </w:r>
      <w:r w:rsidRPr="00452D62">
        <w:rPr>
          <w:b/>
          <w:color w:val="auto"/>
          <w:kern w:val="28"/>
          <w:sz w:val="22"/>
          <w:szCs w:val="22"/>
          <w:lang w:eastAsia="en-US"/>
        </w:rPr>
        <w:tab/>
        <w:t>Farmakokinetinės savybės</w:t>
      </w:r>
    </w:p>
    <w:p w14:paraId="54495366" w14:textId="77777777" w:rsidR="00823785" w:rsidRPr="00452D62" w:rsidRDefault="00823785" w:rsidP="00823785">
      <w:pPr>
        <w:ind w:left="567" w:hanging="567"/>
        <w:rPr>
          <w:sz w:val="22"/>
          <w:szCs w:val="22"/>
        </w:rPr>
      </w:pPr>
    </w:p>
    <w:p w14:paraId="1C1149F9" w14:textId="77777777" w:rsidR="00823785" w:rsidRPr="00452D62" w:rsidRDefault="00823785" w:rsidP="00823785">
      <w:pPr>
        <w:rPr>
          <w:sz w:val="22"/>
          <w:szCs w:val="22"/>
        </w:rPr>
      </w:pPr>
      <w:r w:rsidRPr="00452D62">
        <w:rPr>
          <w:sz w:val="22"/>
          <w:szCs w:val="22"/>
          <w:u w:val="single"/>
        </w:rPr>
        <w:t>Absorbcija</w:t>
      </w:r>
    </w:p>
    <w:p w14:paraId="5E4F87BB" w14:textId="77777777" w:rsidR="00823785" w:rsidRPr="00452D62" w:rsidRDefault="00823785" w:rsidP="00823785">
      <w:pPr>
        <w:rPr>
          <w:sz w:val="22"/>
          <w:szCs w:val="22"/>
        </w:rPr>
      </w:pPr>
      <w:r w:rsidRPr="00452D62">
        <w:rPr>
          <w:sz w:val="22"/>
          <w:szCs w:val="22"/>
        </w:rPr>
        <w:t>Rivaroksabanas yra greitai absorbuojamas, didžiausia koncentracija (C</w:t>
      </w:r>
      <w:r w:rsidRPr="00452D62">
        <w:rPr>
          <w:sz w:val="22"/>
          <w:szCs w:val="22"/>
          <w:vertAlign w:val="subscript"/>
        </w:rPr>
        <w:t>max</w:t>
      </w:r>
      <w:r w:rsidRPr="00452D62">
        <w:rPr>
          <w:sz w:val="22"/>
          <w:szCs w:val="22"/>
        </w:rPr>
        <w:t>) atsiranda praėjus 2</w:t>
      </w:r>
      <w:r w:rsidRPr="00452D62">
        <w:rPr>
          <w:sz w:val="22"/>
          <w:szCs w:val="22"/>
        </w:rPr>
        <w:noBreakHyphen/>
        <w:t>4 valandoms po tabletės suvartojimo.</w:t>
      </w:r>
    </w:p>
    <w:p w14:paraId="2C170C91" w14:textId="21F74220" w:rsidR="00823785" w:rsidRPr="00452D62" w:rsidRDefault="00823785" w:rsidP="00823785">
      <w:pPr>
        <w:rPr>
          <w:sz w:val="22"/>
          <w:szCs w:val="22"/>
        </w:rPr>
      </w:pPr>
      <w:r w:rsidRPr="00452D62">
        <w:rPr>
          <w:sz w:val="22"/>
          <w:szCs w:val="22"/>
        </w:rPr>
        <w:t>Išgertas rivaroksabanas beveik visas absorbuojamas ir biologinis geriamojo rivaroksabano prieinamumas, suvartojus 2,5 mg ir 10 mg dozės tabletę, yra didelis (80</w:t>
      </w:r>
      <w:r w:rsidRPr="00452D62">
        <w:rPr>
          <w:sz w:val="22"/>
          <w:szCs w:val="22"/>
        </w:rPr>
        <w:noBreakHyphen/>
        <w:t>100 %), nepriklausomai nuo to, ar vaistinis preparatas suvartotas valgio metu, ar kitu laiku. Vartojant 2,5 mg ir 10 mg dozes, maistas nedaro įtakos rivaroksabano AUC ar C</w:t>
      </w:r>
      <w:r w:rsidRPr="00452D62">
        <w:rPr>
          <w:sz w:val="22"/>
          <w:szCs w:val="22"/>
          <w:vertAlign w:val="subscript"/>
        </w:rPr>
        <w:t>max</w:t>
      </w:r>
      <w:r w:rsidRPr="00452D62">
        <w:rPr>
          <w:sz w:val="22"/>
          <w:szCs w:val="22"/>
        </w:rPr>
        <w:t>. Rivaroksabano 2,5 mg ir 10 mg tabletes galima vartoti valgio metu arba kitu laiku.</w:t>
      </w:r>
    </w:p>
    <w:p w14:paraId="0B49E547" w14:textId="7B8A90FA" w:rsidR="00823785" w:rsidRPr="00452D62" w:rsidRDefault="00823785" w:rsidP="00823785">
      <w:pPr>
        <w:rPr>
          <w:sz w:val="22"/>
          <w:szCs w:val="22"/>
        </w:rPr>
      </w:pPr>
      <w:r w:rsidRPr="00452D62">
        <w:rPr>
          <w:sz w:val="22"/>
          <w:szCs w:val="22"/>
        </w:rPr>
        <w:t>Rivaroksabano farmakokinetika yra maždaug tiesinė, kai jo skiriama iki maždaug 15 mg vieną kartą per parą. Skiriant didesnes rivaroksabano dozes, gaunama dėl tirpumo savybių ribota absorbcija su sumažėjusiu biologiniu prieinamumu ir sumažėjusiu absorbcijos greičiu, didinant dozę. Tai labiau pastebima, kai rivaroksabano vartojama nevalgius, nei vartojant valgio metu. Rivaroksabano farmakokinetikos kintamumas yra vidutinis, kintamumas tarp pacientų (CV %) svyruoja nuo 30 % iki 40 %,</w:t>
      </w:r>
      <w:r w:rsidRPr="0016516E">
        <w:t xml:space="preserve"> </w:t>
      </w:r>
      <w:r w:rsidRPr="00452D62">
        <w:rPr>
          <w:sz w:val="22"/>
          <w:szCs w:val="22"/>
        </w:rPr>
        <w:t>išskyrus rodmenis operacijos dieną ir kitą dieną, kai ekspozicijos kintamumas yra didelis (70 %).</w:t>
      </w:r>
    </w:p>
    <w:p w14:paraId="2CED9D06" w14:textId="23CD028B" w:rsidR="00823785" w:rsidRPr="00452D62" w:rsidRDefault="00823785" w:rsidP="00823785">
      <w:pPr>
        <w:rPr>
          <w:sz w:val="22"/>
          <w:szCs w:val="22"/>
        </w:rPr>
      </w:pPr>
      <w:r w:rsidRPr="00452D62">
        <w:rPr>
          <w:sz w:val="22"/>
          <w:szCs w:val="22"/>
        </w:rPr>
        <w:t>Rivaroksabano absorbcija priklauso nuo jo atpalaidavimo vietos virškinimo trakte. Nustatyta, kad tada, kai rivaroksabano granulės atpalaiduojamos proksimalinėje plonosios žarnos dalyje, palyginti su tablete, AUC ir C</w:t>
      </w:r>
      <w:r w:rsidRPr="00452D62">
        <w:rPr>
          <w:sz w:val="22"/>
          <w:szCs w:val="22"/>
          <w:vertAlign w:val="subscript"/>
        </w:rPr>
        <w:t xml:space="preserve">max </w:t>
      </w:r>
      <w:r w:rsidRPr="00452D62">
        <w:rPr>
          <w:sz w:val="22"/>
          <w:szCs w:val="22"/>
        </w:rPr>
        <w:t>sumažėja 29 % ir 56 %. Kai rivaroksabanas atpalaiduojamas distalinėje plonosios žarnos dalyje arba kylančioje gaubtinėje žarnoje, ekspozicija dar labiau sumažėja. Taigi reikia vengti skirti rivaroksabano, kai jis atsipalaiduoja distaliau nuo skrandžio, nes tai gali sumažinti absorbciją ir atitinkamai rivaroksabano ekspoziciją.</w:t>
      </w:r>
    </w:p>
    <w:p w14:paraId="32ADCCEB" w14:textId="77777777" w:rsidR="00823785" w:rsidRPr="00452D62" w:rsidRDefault="00823785" w:rsidP="00823785">
      <w:pPr>
        <w:rPr>
          <w:sz w:val="22"/>
          <w:szCs w:val="22"/>
          <w:u w:val="single"/>
        </w:rPr>
      </w:pPr>
      <w:r w:rsidRPr="00452D62">
        <w:rPr>
          <w:sz w:val="22"/>
          <w:szCs w:val="22"/>
        </w:rPr>
        <w:t>20 mg rivaroksabano tabletės, kuri suvartojama per burną, ją sutraiškius ir išmaišius obuolių tyrėje arba paruošus suspensiją vandenyje ir supylus per skrandžio vamzdelį, po to pavartojant skysto maisto, biologinis prieinamumas (AUC ir C</w:t>
      </w:r>
      <w:r w:rsidRPr="00452D62">
        <w:rPr>
          <w:sz w:val="22"/>
          <w:szCs w:val="22"/>
          <w:vertAlign w:val="subscript"/>
        </w:rPr>
        <w:t>max</w:t>
      </w:r>
      <w:r w:rsidRPr="00452D62">
        <w:rPr>
          <w:sz w:val="22"/>
          <w:szCs w:val="22"/>
        </w:rPr>
        <w:t>), palyginti su nepažeista tablete, buvo panašus. Atsižvelgiant į nuspėjamas ir dozei proporcingas rivaroksabano farmakokinetinės savybes, tikėtina, kad šio tyrimo metu gauti biologinio prieinamumo rezultatai tinka ir mažesnėms rivaroksabano dozėms.</w:t>
      </w:r>
    </w:p>
    <w:p w14:paraId="509B0FC3" w14:textId="77777777" w:rsidR="00823785" w:rsidRPr="00452D62" w:rsidRDefault="00823785" w:rsidP="00823785">
      <w:pPr>
        <w:rPr>
          <w:sz w:val="22"/>
          <w:szCs w:val="22"/>
          <w:u w:val="single"/>
        </w:rPr>
      </w:pPr>
    </w:p>
    <w:p w14:paraId="67B8951D" w14:textId="77777777" w:rsidR="00823785" w:rsidRPr="00452D62" w:rsidRDefault="00823785" w:rsidP="00823785">
      <w:pPr>
        <w:rPr>
          <w:sz w:val="22"/>
          <w:szCs w:val="22"/>
        </w:rPr>
      </w:pPr>
      <w:r w:rsidRPr="00452D62">
        <w:rPr>
          <w:sz w:val="22"/>
          <w:szCs w:val="22"/>
          <w:u w:val="single"/>
        </w:rPr>
        <w:t xml:space="preserve">Pasiskirstymas </w:t>
      </w:r>
    </w:p>
    <w:p w14:paraId="2F3D5B3E" w14:textId="0AE762DE" w:rsidR="00823785" w:rsidRPr="00452D62" w:rsidRDefault="00823785" w:rsidP="00823785">
      <w:pPr>
        <w:tabs>
          <w:tab w:val="clear" w:pos="567"/>
        </w:tabs>
        <w:rPr>
          <w:sz w:val="22"/>
          <w:szCs w:val="22"/>
        </w:rPr>
      </w:pPr>
      <w:r w:rsidRPr="00452D62">
        <w:rPr>
          <w:sz w:val="22"/>
          <w:szCs w:val="22"/>
        </w:rPr>
        <w:t>Daug (maždaug 92</w:t>
      </w:r>
      <w:r w:rsidRPr="00452D62">
        <w:rPr>
          <w:sz w:val="22"/>
          <w:szCs w:val="22"/>
        </w:rPr>
        <w:noBreakHyphen/>
        <w:t>95 %) vaistinio preparato prisijungia prie žmogaus plazmos baltymų, daugiausia serumo albumino. Pasiskirstymo tūris yra vidutinis, V</w:t>
      </w:r>
      <w:r w:rsidRPr="00452D62">
        <w:rPr>
          <w:sz w:val="22"/>
          <w:szCs w:val="22"/>
          <w:vertAlign w:val="subscript"/>
        </w:rPr>
        <w:t xml:space="preserve">ss </w:t>
      </w:r>
      <w:r w:rsidRPr="00452D62">
        <w:rPr>
          <w:sz w:val="22"/>
          <w:szCs w:val="22"/>
        </w:rPr>
        <w:t>yra maždaug 50 litrų.</w:t>
      </w:r>
    </w:p>
    <w:p w14:paraId="5FE22DF7" w14:textId="77777777" w:rsidR="00823785" w:rsidRPr="00452D62" w:rsidRDefault="00823785" w:rsidP="00823785">
      <w:pPr>
        <w:ind w:left="567" w:hanging="567"/>
        <w:rPr>
          <w:sz w:val="22"/>
          <w:szCs w:val="22"/>
        </w:rPr>
      </w:pPr>
    </w:p>
    <w:p w14:paraId="030A51C6" w14:textId="77777777" w:rsidR="00823785" w:rsidRPr="00452D62" w:rsidRDefault="00823785" w:rsidP="00823785">
      <w:pPr>
        <w:rPr>
          <w:sz w:val="22"/>
          <w:szCs w:val="22"/>
        </w:rPr>
      </w:pPr>
      <w:r w:rsidRPr="00452D62">
        <w:rPr>
          <w:sz w:val="22"/>
          <w:szCs w:val="22"/>
          <w:u w:val="single"/>
        </w:rPr>
        <w:t>Biotransformacija ir eliminacija</w:t>
      </w:r>
    </w:p>
    <w:p w14:paraId="3DEFC1C4" w14:textId="77777777" w:rsidR="00823785" w:rsidRPr="00452D62" w:rsidRDefault="00823785" w:rsidP="00823785">
      <w:pPr>
        <w:rPr>
          <w:sz w:val="22"/>
          <w:szCs w:val="22"/>
        </w:rPr>
      </w:pPr>
      <w:r w:rsidRPr="00452D62">
        <w:rPr>
          <w:sz w:val="22"/>
          <w:szCs w:val="22"/>
        </w:rPr>
        <w:t>Maždaug 2/3 suvartotos rivaroksabano dozės suardoma metabolizmo metu ir pusė to kiekio yra pašalinama per inkstus, o pusė su išmatomis. Likusi 1/3 suvartotos dozės dalis šalinama nepakitusia veikliosios medžiagos forma su šlapimu tiesioginės ekskrecijos per inkstus būdu, daugiausiai aktyvios inkstų sekrecijos būdu.</w:t>
      </w:r>
    </w:p>
    <w:p w14:paraId="31E955D2" w14:textId="77777777" w:rsidR="00823785" w:rsidRPr="00452D62" w:rsidRDefault="00823785" w:rsidP="00823785">
      <w:pPr>
        <w:rPr>
          <w:sz w:val="22"/>
          <w:szCs w:val="22"/>
        </w:rPr>
      </w:pPr>
      <w:r w:rsidRPr="00452D62">
        <w:rPr>
          <w:sz w:val="22"/>
          <w:szCs w:val="22"/>
        </w:rPr>
        <w:t xml:space="preserve">Rivaroksabanas yra metabolizuojamas CYP3A4, CYP2J2 ir nuo CYP nepriklausomais mechanizmais. Morfolinono dalies oksidacinis irimas ir amido jungčių hidrolizė yra pagrindinės biotransformacijos sritys. Remiantis </w:t>
      </w:r>
      <w:r w:rsidRPr="00452D62">
        <w:rPr>
          <w:i/>
          <w:iCs/>
          <w:sz w:val="22"/>
          <w:szCs w:val="22"/>
        </w:rPr>
        <w:t xml:space="preserve">in vitro </w:t>
      </w:r>
      <w:r w:rsidRPr="00452D62">
        <w:rPr>
          <w:sz w:val="22"/>
          <w:szCs w:val="22"/>
        </w:rPr>
        <w:t>tyrimais, rivaroksabanas yra P-gp (P-glikoproteino) ir Bcrp (krūties vėžio atsparumo baltymo) pernašos baltymų substratas.</w:t>
      </w:r>
    </w:p>
    <w:p w14:paraId="5F8E2D0F" w14:textId="77777777" w:rsidR="00823785" w:rsidRPr="00452D62" w:rsidRDefault="00823785" w:rsidP="00823785">
      <w:pPr>
        <w:rPr>
          <w:sz w:val="22"/>
          <w:szCs w:val="22"/>
          <w:u w:val="single"/>
        </w:rPr>
      </w:pPr>
      <w:r w:rsidRPr="00452D62">
        <w:rPr>
          <w:sz w:val="22"/>
          <w:szCs w:val="22"/>
        </w:rPr>
        <w:t>Nepakitęs rivaroksabanas yra svarbiausias darinys žmogaus kraujo plazmoje, labai svarbių ar aktyvių cirkuliuojančių metabolitų nėra. Sisteminis klirensas yra apie 10 l/val., dėl to rivaroksabaną galima priskirti prie mažo klirenso medžiagų. 1 mg dozę suleidus į veną, pusinės eliminacijos laikas trunka maždaug 4,5 valandos. Suvartoto per burną vaistinio preparato eliminaciją riboja absorbcijos greitis. Rivaroksabano galutinis pusinės eliminacijos iš kraujo plazmos laikas jauniems asmenims trunka nuo 5 iki 9 valandų, senyviems asmenims – nuo 11 iki 13 valandų.</w:t>
      </w:r>
    </w:p>
    <w:p w14:paraId="6C637522" w14:textId="77777777" w:rsidR="00823785" w:rsidRPr="00452D62" w:rsidRDefault="00823785" w:rsidP="00823785">
      <w:pPr>
        <w:rPr>
          <w:sz w:val="22"/>
          <w:szCs w:val="22"/>
          <w:u w:val="single"/>
        </w:rPr>
      </w:pPr>
    </w:p>
    <w:p w14:paraId="3E918DA4" w14:textId="77777777" w:rsidR="00823785" w:rsidRPr="00452D62" w:rsidRDefault="00823785" w:rsidP="00823785">
      <w:pPr>
        <w:rPr>
          <w:i/>
          <w:iCs/>
          <w:sz w:val="22"/>
          <w:szCs w:val="22"/>
        </w:rPr>
      </w:pPr>
      <w:r w:rsidRPr="00452D62">
        <w:rPr>
          <w:sz w:val="22"/>
          <w:szCs w:val="22"/>
          <w:u w:val="single"/>
        </w:rPr>
        <w:t>Ypatingos populiacijos</w:t>
      </w:r>
    </w:p>
    <w:p w14:paraId="70F3A2D1" w14:textId="77777777" w:rsidR="00823785" w:rsidRPr="00452D62" w:rsidRDefault="00823785" w:rsidP="00823785">
      <w:pPr>
        <w:rPr>
          <w:sz w:val="22"/>
          <w:szCs w:val="22"/>
        </w:rPr>
      </w:pPr>
      <w:r w:rsidRPr="00452D62">
        <w:rPr>
          <w:i/>
          <w:iCs/>
          <w:sz w:val="22"/>
          <w:szCs w:val="22"/>
        </w:rPr>
        <w:t>Lytis</w:t>
      </w:r>
    </w:p>
    <w:p w14:paraId="4DBA2EC0" w14:textId="77777777" w:rsidR="00823785" w:rsidRPr="00452D62" w:rsidRDefault="00823785" w:rsidP="00823785">
      <w:pPr>
        <w:tabs>
          <w:tab w:val="clear" w:pos="567"/>
          <w:tab w:val="left" w:pos="0"/>
        </w:tabs>
        <w:rPr>
          <w:sz w:val="22"/>
          <w:szCs w:val="22"/>
        </w:rPr>
      </w:pPr>
      <w:r w:rsidRPr="00452D62">
        <w:rPr>
          <w:sz w:val="22"/>
          <w:szCs w:val="22"/>
        </w:rPr>
        <w:t>Kliniškai reikšmingų farmakokinetikos ir farmakodinamikos skirtumų tarp vyrų ir moterų nenustatyta.</w:t>
      </w:r>
    </w:p>
    <w:p w14:paraId="7AA05B48" w14:textId="77777777" w:rsidR="00823785" w:rsidRPr="00452D62" w:rsidRDefault="00823785" w:rsidP="00823785">
      <w:pPr>
        <w:ind w:left="567" w:hanging="567"/>
        <w:rPr>
          <w:sz w:val="22"/>
          <w:szCs w:val="22"/>
        </w:rPr>
      </w:pPr>
    </w:p>
    <w:p w14:paraId="74DAC9B2" w14:textId="77777777" w:rsidR="00823785" w:rsidRPr="00452D62" w:rsidRDefault="00823785" w:rsidP="00823785">
      <w:pPr>
        <w:rPr>
          <w:sz w:val="22"/>
          <w:szCs w:val="22"/>
        </w:rPr>
      </w:pPr>
      <w:r w:rsidRPr="00452D62">
        <w:rPr>
          <w:i/>
          <w:iCs/>
          <w:sz w:val="22"/>
          <w:szCs w:val="22"/>
        </w:rPr>
        <w:t>Senyvi pacientai</w:t>
      </w:r>
    </w:p>
    <w:p w14:paraId="0878AB47" w14:textId="77777777" w:rsidR="00823785" w:rsidRPr="00452D62" w:rsidRDefault="00823785" w:rsidP="00823785">
      <w:pPr>
        <w:rPr>
          <w:i/>
          <w:iCs/>
          <w:sz w:val="22"/>
          <w:szCs w:val="22"/>
        </w:rPr>
      </w:pPr>
      <w:r w:rsidRPr="00452D62">
        <w:rPr>
          <w:sz w:val="22"/>
          <w:szCs w:val="22"/>
        </w:rPr>
        <w:t>Senyviems pacientams nustatyta didesnė koncentracija kraujo plazmoje nei jaunesniems pacientams. Vidutiniai AUC rodmenys buvo maždaug 1,5 karto didesni daugiausia dėl sumažėjusio (tariamojo) bendro ir inkstų klirenso. Dozės koreguoti nereikia.</w:t>
      </w:r>
    </w:p>
    <w:p w14:paraId="184F6EC7" w14:textId="77777777" w:rsidR="00823785" w:rsidRPr="00452D62" w:rsidRDefault="00823785" w:rsidP="00823785">
      <w:pPr>
        <w:rPr>
          <w:i/>
          <w:iCs/>
          <w:sz w:val="22"/>
          <w:szCs w:val="22"/>
        </w:rPr>
      </w:pPr>
    </w:p>
    <w:p w14:paraId="3A5993AC" w14:textId="77777777" w:rsidR="00823785" w:rsidRPr="00452D62" w:rsidRDefault="00823785" w:rsidP="00823785">
      <w:pPr>
        <w:rPr>
          <w:sz w:val="22"/>
          <w:szCs w:val="22"/>
        </w:rPr>
      </w:pPr>
      <w:r w:rsidRPr="00452D62">
        <w:rPr>
          <w:i/>
          <w:iCs/>
          <w:sz w:val="22"/>
          <w:szCs w:val="22"/>
        </w:rPr>
        <w:t>Skirtingos svorio kategorijos</w:t>
      </w:r>
    </w:p>
    <w:p w14:paraId="1982FCFC" w14:textId="69C8A65A" w:rsidR="00823785" w:rsidRPr="00452D62" w:rsidRDefault="00823785" w:rsidP="00823785">
      <w:pPr>
        <w:rPr>
          <w:i/>
          <w:iCs/>
          <w:sz w:val="22"/>
          <w:szCs w:val="22"/>
        </w:rPr>
      </w:pPr>
      <w:r w:rsidRPr="00452D62">
        <w:rPr>
          <w:sz w:val="22"/>
          <w:szCs w:val="22"/>
        </w:rPr>
        <w:t>Svorio kraštutinumai (&lt; 50 kg arba &gt; 120 kg) darė mažą įtaką rivaroksabano koncentracijai kraujo plazmoje (mažiau nei 25 %). Dozės koreguoti nereikia.</w:t>
      </w:r>
    </w:p>
    <w:p w14:paraId="51301EAC" w14:textId="77777777" w:rsidR="00823785" w:rsidRPr="00452D62" w:rsidRDefault="00823785" w:rsidP="00823785">
      <w:pPr>
        <w:rPr>
          <w:i/>
          <w:iCs/>
          <w:sz w:val="22"/>
          <w:szCs w:val="22"/>
        </w:rPr>
      </w:pPr>
    </w:p>
    <w:p w14:paraId="3E157F21" w14:textId="77777777" w:rsidR="00823785" w:rsidRPr="00452D62" w:rsidRDefault="00823785" w:rsidP="00823785">
      <w:pPr>
        <w:rPr>
          <w:sz w:val="22"/>
          <w:szCs w:val="22"/>
        </w:rPr>
      </w:pPr>
      <w:r w:rsidRPr="00452D62">
        <w:rPr>
          <w:i/>
          <w:iCs/>
          <w:sz w:val="22"/>
          <w:szCs w:val="22"/>
        </w:rPr>
        <w:t>Etniniai skirtumai</w:t>
      </w:r>
    </w:p>
    <w:p w14:paraId="59BAFC3D" w14:textId="77777777" w:rsidR="00823785" w:rsidRPr="00452D62" w:rsidRDefault="00823785" w:rsidP="00823785">
      <w:pPr>
        <w:rPr>
          <w:i/>
          <w:iCs/>
          <w:sz w:val="22"/>
          <w:szCs w:val="22"/>
        </w:rPr>
      </w:pPr>
      <w:r w:rsidRPr="00452D62">
        <w:rPr>
          <w:sz w:val="22"/>
          <w:szCs w:val="22"/>
        </w:rPr>
        <w:t>Atsižvelgiant į rivaroksabano farmakokinetiką ir farmakodinamiką, kliniškai reikšmingų skirtumų tarp baltųjų, afroamerikiečių, ispanų, japonų ar kinų etninių grupių pacientų nepastebėta.</w:t>
      </w:r>
    </w:p>
    <w:p w14:paraId="756B9589" w14:textId="77777777" w:rsidR="00823785" w:rsidRPr="00452D62" w:rsidRDefault="00823785" w:rsidP="00823785">
      <w:pPr>
        <w:rPr>
          <w:i/>
          <w:iCs/>
          <w:sz w:val="22"/>
          <w:szCs w:val="22"/>
        </w:rPr>
      </w:pPr>
    </w:p>
    <w:p w14:paraId="3B549FC2" w14:textId="77777777" w:rsidR="00823785" w:rsidRPr="00452D62" w:rsidRDefault="00823785" w:rsidP="00823785">
      <w:pPr>
        <w:rPr>
          <w:sz w:val="22"/>
          <w:szCs w:val="22"/>
        </w:rPr>
      </w:pPr>
      <w:r w:rsidRPr="00452D62">
        <w:rPr>
          <w:i/>
          <w:iCs/>
          <w:sz w:val="22"/>
          <w:szCs w:val="22"/>
        </w:rPr>
        <w:t>Sutrikusi kepenų funkcija</w:t>
      </w:r>
    </w:p>
    <w:p w14:paraId="38819A09" w14:textId="77777777" w:rsidR="00823785" w:rsidRPr="00452D62" w:rsidRDefault="00823785" w:rsidP="00823785">
      <w:pPr>
        <w:rPr>
          <w:sz w:val="22"/>
          <w:szCs w:val="22"/>
        </w:rPr>
      </w:pPr>
      <w:r w:rsidRPr="00452D62">
        <w:rPr>
          <w:sz w:val="22"/>
          <w:szCs w:val="22"/>
        </w:rPr>
        <w:t xml:space="preserve">Ciroze sergantiems pacientams, kuriems buvo lengvas kepenų funkcijos sutrikimas (A klasė pagal </w:t>
      </w:r>
      <w:r w:rsidRPr="00452D62">
        <w:rPr>
          <w:i/>
          <w:sz w:val="22"/>
          <w:szCs w:val="22"/>
        </w:rPr>
        <w:t>Child Pugh</w:t>
      </w:r>
      <w:r w:rsidRPr="00452D62">
        <w:rPr>
          <w:sz w:val="22"/>
          <w:szCs w:val="22"/>
        </w:rPr>
        <w:t xml:space="preserve">), nustatyta tik nedidelių rivaroksabano farmakokinetikos pokyčių (vidutiniškai 1,2 karto padidėjęs rivaroksabano AUC), ir rodmenys beveik atitiko atitinkamos sveikų asmenų kontrolinės grupės rodmenis. Pacientams, kuriems dėl cirozės yra vidutinio sunkumo kepenų funkcijos sutrikimas (B pagal </w:t>
      </w:r>
      <w:r w:rsidRPr="00452D62">
        <w:rPr>
          <w:i/>
          <w:sz w:val="22"/>
          <w:szCs w:val="22"/>
        </w:rPr>
        <w:t>Child Pugh</w:t>
      </w:r>
      <w:r w:rsidRPr="00452D62">
        <w:rPr>
          <w:sz w:val="22"/>
          <w:szCs w:val="22"/>
        </w:rPr>
        <w:t>), rivaroksabano vidutinis AUC buvo reikšmingai 2,3 karto didesnis, palyginti su sveikų savanorių rodmeniu. Laisvos medžiagos AUC padidėjo 2,6 karto. Tokiems pacientams rivaroksabano eliminacija per inkstus taip pat buvo sulėtėjusi, panašiai kaip ir pacientų, kuriems yra vidutinio laipsnio inkstų funkcijos sutrikimas. Duomenų apie pacientus, kuriems yra sunkus kepenų funkcijos sutrikimas, nėra.</w:t>
      </w:r>
    </w:p>
    <w:p w14:paraId="5EFF2CD3" w14:textId="77777777" w:rsidR="00823785" w:rsidRPr="00452D62" w:rsidRDefault="00823785" w:rsidP="00823785">
      <w:pPr>
        <w:rPr>
          <w:sz w:val="22"/>
          <w:szCs w:val="22"/>
        </w:rPr>
      </w:pPr>
      <w:r w:rsidRPr="00452D62">
        <w:rPr>
          <w:sz w:val="22"/>
          <w:szCs w:val="22"/>
        </w:rPr>
        <w:t>Xa faktoriaus aktyvumo slopinimas pacientams, kuriems buvo vidutinio sunkumo kepenų funkcijos sutrikimas, buvo padidėjęs 2,6 karto, palyginti su sveikų savanorių rodmeniu, PT buvo pailgėjęs panašiai – 2,1 karto. Pacientai, kuriems yra vidutinio sunkumo kepenų funkcijos sutrikimas, buvo jautresni rivaroksabano poveikiui, todėl jų FK/FD santykis tarp koncentracijos ir PT buvo statesnis.</w:t>
      </w:r>
    </w:p>
    <w:p w14:paraId="7E678785" w14:textId="77777777" w:rsidR="00823785" w:rsidRPr="00452D62" w:rsidRDefault="00823785" w:rsidP="00823785">
      <w:pPr>
        <w:tabs>
          <w:tab w:val="clear" w:pos="567"/>
          <w:tab w:val="left" w:pos="0"/>
        </w:tabs>
        <w:rPr>
          <w:sz w:val="22"/>
          <w:szCs w:val="22"/>
        </w:rPr>
      </w:pPr>
      <w:r w:rsidRPr="00452D62">
        <w:rPr>
          <w:sz w:val="22"/>
          <w:szCs w:val="22"/>
        </w:rPr>
        <w:t xml:space="preserve">Rivaroksabano draudžiama vartoti pacientams, kurie serga kepenų liga, susijusia su koagulopatija ir kliniškai reikšminga kraujavimo rizika, įskaitant pacientus, kuriems yra cirozė (B ir C pagal </w:t>
      </w:r>
      <w:r w:rsidRPr="00452D62">
        <w:rPr>
          <w:i/>
          <w:sz w:val="22"/>
          <w:szCs w:val="22"/>
        </w:rPr>
        <w:t>Child</w:t>
      </w:r>
      <w:r w:rsidRPr="00452D62">
        <w:rPr>
          <w:sz w:val="22"/>
          <w:szCs w:val="22"/>
        </w:rPr>
        <w:t xml:space="preserve"> </w:t>
      </w:r>
      <w:r w:rsidRPr="00452D62">
        <w:rPr>
          <w:i/>
          <w:sz w:val="22"/>
          <w:szCs w:val="22"/>
        </w:rPr>
        <w:t>Pugh</w:t>
      </w:r>
      <w:r w:rsidRPr="00452D62">
        <w:rPr>
          <w:sz w:val="22"/>
          <w:szCs w:val="22"/>
        </w:rPr>
        <w:t>) (žr. 4.3 skyrių).</w:t>
      </w:r>
    </w:p>
    <w:p w14:paraId="64C6F698" w14:textId="77777777" w:rsidR="00823785" w:rsidRPr="00452D62" w:rsidRDefault="00823785" w:rsidP="00823785">
      <w:pPr>
        <w:ind w:left="567" w:hanging="567"/>
        <w:rPr>
          <w:sz w:val="22"/>
          <w:szCs w:val="22"/>
        </w:rPr>
      </w:pPr>
    </w:p>
    <w:p w14:paraId="3FEF1A08" w14:textId="77777777" w:rsidR="00823785" w:rsidRPr="00452D62" w:rsidRDefault="00823785" w:rsidP="00823785">
      <w:pPr>
        <w:rPr>
          <w:sz w:val="22"/>
          <w:szCs w:val="22"/>
        </w:rPr>
      </w:pPr>
      <w:r w:rsidRPr="00452D62">
        <w:rPr>
          <w:i/>
          <w:iCs/>
          <w:sz w:val="22"/>
          <w:szCs w:val="22"/>
        </w:rPr>
        <w:t>Sutrikusi inkstų funkcija</w:t>
      </w:r>
    </w:p>
    <w:p w14:paraId="52C68590" w14:textId="274D5446" w:rsidR="00823785" w:rsidRPr="00452D62" w:rsidRDefault="00823785" w:rsidP="00823785">
      <w:pPr>
        <w:rPr>
          <w:sz w:val="22"/>
          <w:szCs w:val="22"/>
        </w:rPr>
      </w:pPr>
      <w:r w:rsidRPr="00452D62">
        <w:rPr>
          <w:sz w:val="22"/>
          <w:szCs w:val="22"/>
        </w:rPr>
        <w:t>Rivaroksabano ekspozicijos padidėjimas koreliavo su inkstų funkcijos susilpnėjimu vertinant kreatinino klirenso tyrimus. Asmenims, kuriems buvo lengvas (kreatinino klirensas 50</w:t>
      </w:r>
      <w:r w:rsidRPr="00452D62">
        <w:rPr>
          <w:sz w:val="22"/>
          <w:szCs w:val="22"/>
        </w:rPr>
        <w:noBreakHyphen/>
        <w:t>80 ml/min.), vidutinio sunkumo (kreatinino klirensas 30</w:t>
      </w:r>
      <w:r w:rsidRPr="00452D62">
        <w:rPr>
          <w:sz w:val="22"/>
          <w:szCs w:val="22"/>
        </w:rPr>
        <w:noBreakHyphen/>
        <w:t>49 ml/min.) ir sunkus (kreatinino klirensas 15</w:t>
      </w:r>
      <w:r w:rsidRPr="00452D62">
        <w:rPr>
          <w:sz w:val="22"/>
          <w:szCs w:val="22"/>
        </w:rPr>
        <w:noBreakHyphen/>
        <w:t>29 ml/min.) inkstų funkcijos sutrikimas, rivaroksabano koncentracija kraujo plazmoje (AUC) buvo padidėjusi atitinkamai 1,4, 1,5 ir 1,6 karto. Atitinkamai buvo ryškesnis farmakodinaminio poveikio sustiprėjimas. Asmenims, kuriems buvo lengvas, vidutinio sunkumo ir sunkus inkstų funkcijos sutrikimas, bendras Xa faktoriaus aktyvumo slopinimas buvo padidėjęs atitinkamai 1,5, 1,9 ir 2,0 karto, palyginti su sveikų savanorių rodmenimis; PT pailgėjo atitinkamai 1,3, 2,2 ir 2,4 karto. Duomenų apie pacientus, kurių kreatinino klirensas &lt; 15 ml/min., nėra.</w:t>
      </w:r>
    </w:p>
    <w:p w14:paraId="24FECB4B" w14:textId="77777777" w:rsidR="00823785" w:rsidRPr="00452D62" w:rsidRDefault="00823785" w:rsidP="00823785">
      <w:pPr>
        <w:rPr>
          <w:sz w:val="22"/>
          <w:szCs w:val="22"/>
        </w:rPr>
      </w:pPr>
      <w:r w:rsidRPr="00452D62">
        <w:rPr>
          <w:sz w:val="22"/>
          <w:szCs w:val="22"/>
        </w:rPr>
        <w:t>Daug rivaroksabano prisijungia prie kraujo plazmos baltymų, todėl jo pašalinimas dialize nėra tikėtinas.</w:t>
      </w:r>
    </w:p>
    <w:p w14:paraId="5DC9B7E3" w14:textId="5CA6D041" w:rsidR="00823785" w:rsidRPr="00452D62" w:rsidRDefault="00823785" w:rsidP="00823785">
      <w:pPr>
        <w:tabs>
          <w:tab w:val="clear" w:pos="567"/>
          <w:tab w:val="left" w:pos="0"/>
        </w:tabs>
        <w:rPr>
          <w:sz w:val="22"/>
          <w:szCs w:val="22"/>
        </w:rPr>
      </w:pPr>
      <w:r w:rsidRPr="00452D62">
        <w:rPr>
          <w:sz w:val="22"/>
          <w:szCs w:val="22"/>
        </w:rPr>
        <w:t>Vartojimas nerekomenduojamas pacientams, kurių kreatinino klirensas yra &lt; 15 ml/min. Pacientams, kurių kreatinino klirensas yra 15</w:t>
      </w:r>
      <w:r w:rsidRPr="00452D62">
        <w:rPr>
          <w:sz w:val="22"/>
          <w:szCs w:val="22"/>
        </w:rPr>
        <w:noBreakHyphen/>
        <w:t>29 ml/min., rivaroksabano reikia skirti atsargiai (žr. 4.4 skyrių).</w:t>
      </w:r>
    </w:p>
    <w:p w14:paraId="1EA06FC9" w14:textId="77777777" w:rsidR="00823785" w:rsidRPr="00452D62" w:rsidRDefault="00823785" w:rsidP="00823785">
      <w:pPr>
        <w:ind w:left="567" w:hanging="567"/>
        <w:rPr>
          <w:sz w:val="22"/>
          <w:szCs w:val="22"/>
        </w:rPr>
      </w:pPr>
    </w:p>
    <w:p w14:paraId="0BED3037" w14:textId="77777777" w:rsidR="00823785" w:rsidRPr="00452D62" w:rsidRDefault="00823785" w:rsidP="00823785">
      <w:pPr>
        <w:rPr>
          <w:sz w:val="22"/>
          <w:szCs w:val="22"/>
        </w:rPr>
      </w:pPr>
      <w:r w:rsidRPr="00452D62">
        <w:rPr>
          <w:sz w:val="22"/>
          <w:szCs w:val="22"/>
          <w:u w:val="single"/>
        </w:rPr>
        <w:t>Farmakokinetikos duomenys pacientams</w:t>
      </w:r>
    </w:p>
    <w:p w14:paraId="255F5851" w14:textId="51A2C461" w:rsidR="00823785" w:rsidRPr="00452D62" w:rsidRDefault="00823785" w:rsidP="00823785">
      <w:pPr>
        <w:rPr>
          <w:sz w:val="22"/>
          <w:szCs w:val="22"/>
          <w:u w:val="single"/>
        </w:rPr>
      </w:pPr>
      <w:r w:rsidRPr="00452D62">
        <w:rPr>
          <w:sz w:val="22"/>
          <w:szCs w:val="22"/>
        </w:rPr>
        <w:t>Pacientams, vartojusiems po 10 mg rivaroksabano vieną kartą per parą VTE profilaktikai, geometrinis koncentracijos vidurkis (90 % prognozavimo intervalas), praėjus 2-4 val. ir maždaug 12 val. po dozės pavartojimo (apytikriai tai atitinka didžiausią ir mažiausią koncentraciją laikotarpiu tarp dozių) buvo atitinkamai 101 (7</w:t>
      </w:r>
      <w:r w:rsidRPr="00452D62">
        <w:rPr>
          <w:sz w:val="22"/>
          <w:szCs w:val="22"/>
        </w:rPr>
        <w:noBreakHyphen/>
        <w:t>273) μg/l ir 14 (4</w:t>
      </w:r>
      <w:r w:rsidRPr="00452D62">
        <w:rPr>
          <w:sz w:val="22"/>
          <w:szCs w:val="22"/>
        </w:rPr>
        <w:noBreakHyphen/>
        <w:t>51) μg/l.</w:t>
      </w:r>
    </w:p>
    <w:p w14:paraId="55CBE6F4" w14:textId="77777777" w:rsidR="00823785" w:rsidRPr="00452D62" w:rsidRDefault="00823785" w:rsidP="00823785">
      <w:pPr>
        <w:rPr>
          <w:sz w:val="22"/>
          <w:szCs w:val="22"/>
          <w:u w:val="single"/>
        </w:rPr>
      </w:pPr>
    </w:p>
    <w:p w14:paraId="0A67FC14" w14:textId="77777777" w:rsidR="00823785" w:rsidRPr="00452D62" w:rsidRDefault="00823785" w:rsidP="00823785">
      <w:pPr>
        <w:rPr>
          <w:sz w:val="22"/>
          <w:szCs w:val="22"/>
        </w:rPr>
      </w:pPr>
      <w:r w:rsidRPr="00452D62">
        <w:rPr>
          <w:sz w:val="22"/>
          <w:szCs w:val="22"/>
          <w:u w:val="single"/>
        </w:rPr>
        <w:t>Santykis tarp farmakokinetikos ir farmakodinamikos</w:t>
      </w:r>
    </w:p>
    <w:p w14:paraId="523E5226" w14:textId="77777777" w:rsidR="00823785" w:rsidRPr="00452D62" w:rsidRDefault="00823785" w:rsidP="00823785">
      <w:pPr>
        <w:rPr>
          <w:sz w:val="22"/>
          <w:szCs w:val="22"/>
          <w:u w:val="single"/>
        </w:rPr>
      </w:pPr>
      <w:r w:rsidRPr="00452D62">
        <w:rPr>
          <w:sz w:val="22"/>
          <w:szCs w:val="22"/>
        </w:rPr>
        <w:t xml:space="preserve">Santykis tarp farmakokinetikos ir farmakodinamikos (FK/FD) buvo vertinimas tiriant rivaroksabano koncentraciją kraujo plazmoje ir keletą farmakodinamikos rodmenų (Xa faktoriaus slopinimą, PT, DATL, </w:t>
      </w:r>
      <w:r w:rsidRPr="00452D62">
        <w:rPr>
          <w:i/>
          <w:sz w:val="22"/>
          <w:szCs w:val="22"/>
        </w:rPr>
        <w:t>Heptest</w:t>
      </w:r>
      <w:r w:rsidRPr="00452D62">
        <w:rPr>
          <w:sz w:val="22"/>
          <w:szCs w:val="22"/>
        </w:rPr>
        <w:t>), vartojant įvairias dozes (po 5</w:t>
      </w:r>
      <w:r w:rsidRPr="00452D62">
        <w:rPr>
          <w:sz w:val="22"/>
          <w:szCs w:val="22"/>
        </w:rPr>
        <w:noBreakHyphen/>
        <w:t>30 mg du kartus per parą). Rivaroksabano koncentracijos ir Xa faktoriaus aktyvumo santykį geriausiai apibūdina E</w:t>
      </w:r>
      <w:r w:rsidRPr="00452D62">
        <w:rPr>
          <w:sz w:val="22"/>
          <w:szCs w:val="22"/>
          <w:vertAlign w:val="subscript"/>
        </w:rPr>
        <w:t xml:space="preserve">max </w:t>
      </w:r>
      <w:r w:rsidRPr="00452D62">
        <w:rPr>
          <w:sz w:val="22"/>
          <w:szCs w:val="22"/>
        </w:rPr>
        <w:t xml:space="preserve">modelis. Vertinant PT, geriau duomenis apibūdino tiesinių atkarpų modelis. Priklausomai nuo naudotų skirtingų PT reagentų, pasvirimo reikšmės buvo labai skirtingos. PT tyrimui naudojant </w:t>
      </w:r>
      <w:r w:rsidRPr="00452D62">
        <w:rPr>
          <w:i/>
          <w:iCs/>
          <w:sz w:val="22"/>
          <w:szCs w:val="22"/>
        </w:rPr>
        <w:t>Neoplastin</w:t>
      </w:r>
      <w:r w:rsidRPr="00452D62">
        <w:rPr>
          <w:sz w:val="22"/>
          <w:szCs w:val="22"/>
        </w:rPr>
        <w:t>, bazinis PT buvo apie 13 sekundžių, o pasvirimas buvo apie 3</w:t>
      </w:r>
      <w:r w:rsidRPr="00452D62">
        <w:rPr>
          <w:sz w:val="22"/>
          <w:szCs w:val="22"/>
        </w:rPr>
        <w:noBreakHyphen/>
        <w:t>4 sekundžių/(100 μg/l). FK/FD tyrimų rezultatai II ir III fazės tyrimų metu atitiko duomenis, kurie buvo gauti su sveikais asmenimis.</w:t>
      </w:r>
      <w:r w:rsidRPr="00AE1B80">
        <w:rPr>
          <w:sz w:val="22"/>
          <w:szCs w:val="22"/>
        </w:rPr>
        <w:t xml:space="preserve"> </w:t>
      </w:r>
      <w:r w:rsidRPr="00452D62">
        <w:rPr>
          <w:sz w:val="22"/>
          <w:szCs w:val="22"/>
        </w:rPr>
        <w:t>Pradiniams Xa faktori</w:t>
      </w:r>
      <w:r w:rsidRPr="000877E9">
        <w:rPr>
          <w:sz w:val="22"/>
          <w:szCs w:val="22"/>
        </w:rPr>
        <w:t>aus ir PT rodmenims įtakos turėjo chirurginis gydymas, dėl kurio atsirado koncentracijos–PT kreivės pasvirimo skirtumų, vertinant reikšmes parą po operacijos ir nusistovėjus pusiausvyrinei apykaitai.</w:t>
      </w:r>
    </w:p>
    <w:p w14:paraId="3BE24F33" w14:textId="77777777" w:rsidR="00823785" w:rsidRPr="00452D62" w:rsidRDefault="00823785" w:rsidP="00823785">
      <w:pPr>
        <w:rPr>
          <w:sz w:val="22"/>
          <w:szCs w:val="22"/>
          <w:u w:val="single"/>
        </w:rPr>
      </w:pPr>
    </w:p>
    <w:p w14:paraId="740537BB" w14:textId="77777777" w:rsidR="00823785" w:rsidRPr="00452D62" w:rsidRDefault="00823785" w:rsidP="00823785">
      <w:pPr>
        <w:rPr>
          <w:sz w:val="22"/>
          <w:szCs w:val="22"/>
        </w:rPr>
      </w:pPr>
      <w:r w:rsidRPr="00452D62">
        <w:rPr>
          <w:sz w:val="22"/>
          <w:szCs w:val="22"/>
          <w:u w:val="single"/>
        </w:rPr>
        <w:t>Vaikų populiacija</w:t>
      </w:r>
    </w:p>
    <w:p w14:paraId="0BDDDE77" w14:textId="17838A9B" w:rsidR="00823785" w:rsidRPr="00452D62" w:rsidRDefault="00823785" w:rsidP="00AE1B80">
      <w:pPr>
        <w:rPr>
          <w:sz w:val="22"/>
          <w:szCs w:val="22"/>
        </w:rPr>
      </w:pPr>
      <w:r w:rsidRPr="00452D62">
        <w:rPr>
          <w:sz w:val="22"/>
          <w:szCs w:val="22"/>
        </w:rPr>
        <w:t>Saugumas ir veiksmingumas vaikams ir jaunesniems kaip 18 metų paaugliams</w:t>
      </w:r>
      <w:r w:rsidR="009D1A1A" w:rsidRPr="00452D62">
        <w:rPr>
          <w:sz w:val="22"/>
          <w:szCs w:val="22"/>
        </w:rPr>
        <w:t xml:space="preserve"> </w:t>
      </w:r>
      <w:r w:rsidR="000B199C" w:rsidRPr="00452D62">
        <w:rPr>
          <w:sz w:val="22"/>
          <w:szCs w:val="22"/>
        </w:rPr>
        <w:t>pirminės VTE profilaktikos indikacijai</w:t>
      </w:r>
      <w:r w:rsidRPr="00452D62">
        <w:rPr>
          <w:sz w:val="22"/>
          <w:szCs w:val="22"/>
        </w:rPr>
        <w:t xml:space="preserve"> nenustatyti.</w:t>
      </w:r>
    </w:p>
    <w:p w14:paraId="59AC238A" w14:textId="77777777" w:rsidR="00823785" w:rsidRPr="00452D62" w:rsidRDefault="00823785" w:rsidP="00823785">
      <w:pPr>
        <w:ind w:right="-2"/>
        <w:rPr>
          <w:iCs/>
          <w:sz w:val="22"/>
          <w:szCs w:val="22"/>
        </w:rPr>
      </w:pPr>
    </w:p>
    <w:p w14:paraId="3BDC5AB2" w14:textId="77777777" w:rsidR="00823785" w:rsidRPr="00452D62" w:rsidRDefault="00823785" w:rsidP="00823785">
      <w:pPr>
        <w:widowControl w:val="0"/>
        <w:suppressAutoHyphens w:val="0"/>
        <w:spacing w:line="240" w:lineRule="auto"/>
        <w:ind w:left="567" w:hanging="567"/>
        <w:outlineLvl w:val="2"/>
        <w:rPr>
          <w:sz w:val="22"/>
          <w:szCs w:val="22"/>
        </w:rPr>
      </w:pPr>
      <w:r w:rsidRPr="00452D62">
        <w:rPr>
          <w:b/>
          <w:color w:val="auto"/>
          <w:kern w:val="28"/>
          <w:sz w:val="22"/>
          <w:szCs w:val="22"/>
          <w:lang w:eastAsia="en-US"/>
        </w:rPr>
        <w:t>5.3</w:t>
      </w:r>
      <w:r w:rsidRPr="00452D62">
        <w:rPr>
          <w:b/>
          <w:color w:val="auto"/>
          <w:kern w:val="28"/>
          <w:sz w:val="22"/>
          <w:szCs w:val="22"/>
          <w:lang w:eastAsia="en-US"/>
        </w:rPr>
        <w:tab/>
        <w:t>Ikiklinikinių saugumo tyrimų duomenys</w:t>
      </w:r>
    </w:p>
    <w:p w14:paraId="0F903848" w14:textId="77777777" w:rsidR="00823785" w:rsidRPr="00452D62" w:rsidRDefault="00823785" w:rsidP="00823785">
      <w:pPr>
        <w:rPr>
          <w:sz w:val="22"/>
          <w:szCs w:val="22"/>
        </w:rPr>
      </w:pPr>
    </w:p>
    <w:p w14:paraId="2ACBDEED" w14:textId="77777777" w:rsidR="00823785" w:rsidRPr="00452D62" w:rsidRDefault="00823785" w:rsidP="00823785">
      <w:pPr>
        <w:rPr>
          <w:sz w:val="22"/>
          <w:szCs w:val="22"/>
        </w:rPr>
      </w:pPr>
      <w:r w:rsidRPr="00452D62">
        <w:rPr>
          <w:sz w:val="22"/>
          <w:szCs w:val="22"/>
        </w:rPr>
        <w:t>Įprastų farmakologinio saugumo, vienkartinės dozės toksiškumo, fototoksiškumo, genotoksiškumo, galimo kancerogeniškumo ir toksinio poveikio jaunikliams ikiklinikinių tyrimų duomenys specifinio pavojaus žmogui nerodo.</w:t>
      </w:r>
    </w:p>
    <w:p w14:paraId="6A33E97C" w14:textId="77777777" w:rsidR="00823785" w:rsidRPr="00452D62" w:rsidRDefault="00823785" w:rsidP="00823785">
      <w:pPr>
        <w:rPr>
          <w:sz w:val="22"/>
          <w:szCs w:val="22"/>
        </w:rPr>
      </w:pPr>
      <w:r w:rsidRPr="00452D62">
        <w:rPr>
          <w:sz w:val="22"/>
          <w:szCs w:val="22"/>
        </w:rPr>
        <w:t>Poveikis, nustatytas kartotinių dozių toksiškumo tyrimų metu, daugiausia pasireiškė dėl nenormaliai stipraus farmakodinaminio rivaroksabano poveikio. Atliekant tyrimus su žiurkėmis, buvo nustatyti didesni IgG ir IgA kiekiai kraujo plazmoje, esant kliniškai reikšmingai ekspozicijai.</w:t>
      </w:r>
    </w:p>
    <w:p w14:paraId="64912D82" w14:textId="77777777" w:rsidR="00823785" w:rsidRPr="00452D62" w:rsidRDefault="00823785" w:rsidP="00823785">
      <w:pPr>
        <w:rPr>
          <w:sz w:val="22"/>
          <w:szCs w:val="22"/>
        </w:rPr>
      </w:pPr>
      <w:r w:rsidRPr="00452D62">
        <w:rPr>
          <w:sz w:val="22"/>
          <w:szCs w:val="22"/>
        </w:rPr>
        <w:t>Poveikio žiurkių patinų arba patelių vaisingumui nepastebėta. Tyrimai su gyvūnais parodė toksinį poveikį reprodukcijai, jis buvo susijęs su farmakologiniu rivaroksabano veikimo mechanizmu (pvz., hemoraginės komplikacijos). Nustatytas toksinis poveikis embrionui ir vaisiui (vaisiaus žūtis po implantacijos, kaulėjimo proceso sulėtėjimas arba progresavimas, daugybinės šviesios dėmės kepenyse) ir didesnis bendrųjų sklaidos defektų dažnis bei pakitimai placentoje, esant kliniškai reikšmingoms koncentracijoms kraujo plazmoje. Prenatalinių ir postnatalinių tyrimų su žiurkėmis duomenimis, skiriant vaikingoms patelėms toksiškas dozes, nustatytas sumažėjęs atsivestų jauniklių išgyvenamumas.</w:t>
      </w:r>
    </w:p>
    <w:p w14:paraId="308BD0E9" w14:textId="77777777" w:rsidR="00823785" w:rsidRPr="00452D62" w:rsidRDefault="00823785" w:rsidP="00823785">
      <w:pPr>
        <w:rPr>
          <w:sz w:val="22"/>
          <w:szCs w:val="22"/>
        </w:rPr>
      </w:pPr>
    </w:p>
    <w:p w14:paraId="7EDA37B5" w14:textId="77777777" w:rsidR="00823785" w:rsidRPr="00452D62" w:rsidRDefault="00823785" w:rsidP="00823785">
      <w:pPr>
        <w:rPr>
          <w:sz w:val="22"/>
          <w:szCs w:val="22"/>
        </w:rPr>
      </w:pPr>
    </w:p>
    <w:p w14:paraId="14981C62" w14:textId="77777777" w:rsidR="00823785" w:rsidRPr="00452D62" w:rsidRDefault="00823785" w:rsidP="00823785">
      <w:pPr>
        <w:widowControl w:val="0"/>
        <w:suppressAutoHyphens w:val="0"/>
        <w:spacing w:line="240" w:lineRule="auto"/>
        <w:ind w:left="567" w:hanging="567"/>
        <w:outlineLvl w:val="1"/>
        <w:rPr>
          <w:b/>
          <w:bCs/>
          <w:color w:val="auto"/>
          <w:sz w:val="22"/>
          <w:szCs w:val="22"/>
          <w:lang w:eastAsia="en-US"/>
        </w:rPr>
      </w:pPr>
      <w:r w:rsidRPr="00452D62">
        <w:rPr>
          <w:b/>
          <w:bCs/>
          <w:color w:val="auto"/>
          <w:sz w:val="22"/>
          <w:szCs w:val="22"/>
          <w:lang w:eastAsia="en-US"/>
        </w:rPr>
        <w:t>6.</w:t>
      </w:r>
      <w:r w:rsidRPr="00452D62">
        <w:rPr>
          <w:b/>
          <w:bCs/>
          <w:color w:val="auto"/>
          <w:sz w:val="22"/>
          <w:szCs w:val="22"/>
          <w:lang w:eastAsia="en-US"/>
        </w:rPr>
        <w:tab/>
        <w:t>FARMACINĖ INFORMACIJA</w:t>
      </w:r>
    </w:p>
    <w:p w14:paraId="2A85985F" w14:textId="77777777" w:rsidR="00823785" w:rsidRPr="00452D62" w:rsidRDefault="00823785" w:rsidP="00823785">
      <w:pPr>
        <w:rPr>
          <w:sz w:val="22"/>
          <w:szCs w:val="22"/>
        </w:rPr>
      </w:pPr>
    </w:p>
    <w:p w14:paraId="623333E6"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6.1</w:t>
      </w:r>
      <w:r w:rsidRPr="00452D62">
        <w:rPr>
          <w:b/>
          <w:color w:val="auto"/>
          <w:kern w:val="28"/>
          <w:sz w:val="22"/>
          <w:szCs w:val="22"/>
          <w:lang w:eastAsia="en-US"/>
        </w:rPr>
        <w:tab/>
        <w:t>Pagalbinių medžiagų sąrašas</w:t>
      </w:r>
    </w:p>
    <w:p w14:paraId="615AF204" w14:textId="77777777" w:rsidR="00823785" w:rsidRPr="00452D62" w:rsidRDefault="00823785" w:rsidP="00823785">
      <w:pPr>
        <w:rPr>
          <w:i/>
          <w:sz w:val="22"/>
          <w:szCs w:val="22"/>
        </w:rPr>
      </w:pPr>
    </w:p>
    <w:p w14:paraId="79038021" w14:textId="77777777" w:rsidR="00823785" w:rsidRPr="00452D62" w:rsidRDefault="00823785" w:rsidP="00823785">
      <w:pPr>
        <w:rPr>
          <w:sz w:val="22"/>
          <w:szCs w:val="22"/>
          <w:u w:val="single"/>
        </w:rPr>
      </w:pPr>
      <w:r w:rsidRPr="00452D62">
        <w:rPr>
          <w:sz w:val="22"/>
          <w:szCs w:val="22"/>
          <w:u w:val="single"/>
        </w:rPr>
        <w:t>Tabletės branduolys</w:t>
      </w:r>
    </w:p>
    <w:p w14:paraId="16577BC9" w14:textId="77777777" w:rsidR="00823785" w:rsidRPr="00452D62" w:rsidRDefault="00823785" w:rsidP="00823785">
      <w:pPr>
        <w:rPr>
          <w:sz w:val="22"/>
          <w:szCs w:val="22"/>
        </w:rPr>
      </w:pPr>
      <w:r w:rsidRPr="00452D62">
        <w:rPr>
          <w:sz w:val="22"/>
          <w:szCs w:val="22"/>
        </w:rPr>
        <w:t>Manitolis</w:t>
      </w:r>
    </w:p>
    <w:p w14:paraId="353482FF" w14:textId="77777777" w:rsidR="00823785" w:rsidRPr="00452D62" w:rsidRDefault="00823785" w:rsidP="00823785">
      <w:pPr>
        <w:rPr>
          <w:sz w:val="22"/>
          <w:szCs w:val="22"/>
        </w:rPr>
      </w:pPr>
      <w:r w:rsidRPr="00452D62">
        <w:rPr>
          <w:sz w:val="22"/>
          <w:szCs w:val="22"/>
        </w:rPr>
        <w:t xml:space="preserve">Mikrokristalinė celiuliozė </w:t>
      </w:r>
    </w:p>
    <w:p w14:paraId="3A923439" w14:textId="77777777" w:rsidR="00823785" w:rsidRPr="00452D62" w:rsidRDefault="00823785" w:rsidP="00823785">
      <w:pPr>
        <w:rPr>
          <w:sz w:val="22"/>
          <w:szCs w:val="22"/>
        </w:rPr>
      </w:pPr>
      <w:r w:rsidRPr="00452D62">
        <w:rPr>
          <w:sz w:val="22"/>
          <w:szCs w:val="22"/>
        </w:rPr>
        <w:t>Makrogolis</w:t>
      </w:r>
    </w:p>
    <w:p w14:paraId="15EA4268" w14:textId="77777777" w:rsidR="00823785" w:rsidRPr="00452D62" w:rsidRDefault="00823785" w:rsidP="00823785">
      <w:pPr>
        <w:rPr>
          <w:sz w:val="22"/>
          <w:szCs w:val="22"/>
        </w:rPr>
      </w:pPr>
      <w:r w:rsidRPr="00452D62">
        <w:rPr>
          <w:sz w:val="22"/>
          <w:szCs w:val="22"/>
        </w:rPr>
        <w:t>Poloksameras</w:t>
      </w:r>
    </w:p>
    <w:p w14:paraId="57023F23" w14:textId="77777777" w:rsidR="00823785" w:rsidRPr="00452D62" w:rsidRDefault="00823785" w:rsidP="00823785">
      <w:pPr>
        <w:rPr>
          <w:sz w:val="22"/>
          <w:szCs w:val="22"/>
        </w:rPr>
      </w:pPr>
      <w:r w:rsidRPr="00452D62">
        <w:rPr>
          <w:sz w:val="22"/>
          <w:szCs w:val="22"/>
        </w:rPr>
        <w:t>Natrio laurilsulfatas</w:t>
      </w:r>
    </w:p>
    <w:p w14:paraId="0C3CF3C4" w14:textId="77777777" w:rsidR="00823785" w:rsidRPr="00452D62" w:rsidRDefault="00823785" w:rsidP="00823785">
      <w:pPr>
        <w:rPr>
          <w:sz w:val="22"/>
          <w:szCs w:val="22"/>
        </w:rPr>
      </w:pPr>
      <w:r w:rsidRPr="00452D62">
        <w:rPr>
          <w:sz w:val="22"/>
          <w:szCs w:val="22"/>
        </w:rPr>
        <w:t>Kroskarmeliozės natrio druska</w:t>
      </w:r>
    </w:p>
    <w:p w14:paraId="196055B6" w14:textId="77777777" w:rsidR="00823785" w:rsidRPr="00452D62" w:rsidRDefault="00823785" w:rsidP="00823785">
      <w:pPr>
        <w:rPr>
          <w:sz w:val="22"/>
          <w:szCs w:val="22"/>
        </w:rPr>
      </w:pPr>
      <w:r w:rsidRPr="00452D62">
        <w:rPr>
          <w:sz w:val="22"/>
          <w:szCs w:val="22"/>
        </w:rPr>
        <w:t>Koloidinis bevandenis silicio dioksidas</w:t>
      </w:r>
    </w:p>
    <w:p w14:paraId="1FC4E0BD" w14:textId="77777777" w:rsidR="00823785" w:rsidRPr="00452D62" w:rsidRDefault="00823785" w:rsidP="00823785">
      <w:pPr>
        <w:rPr>
          <w:sz w:val="22"/>
          <w:szCs w:val="22"/>
        </w:rPr>
      </w:pPr>
      <w:r w:rsidRPr="00452D62">
        <w:rPr>
          <w:sz w:val="22"/>
          <w:szCs w:val="22"/>
        </w:rPr>
        <w:t>Natrio stearilfumaratas</w:t>
      </w:r>
    </w:p>
    <w:p w14:paraId="5EEE8049" w14:textId="77777777" w:rsidR="00823785" w:rsidRPr="00452D62" w:rsidRDefault="00823785" w:rsidP="00823785">
      <w:pPr>
        <w:rPr>
          <w:sz w:val="22"/>
          <w:szCs w:val="22"/>
          <w:u w:val="single"/>
        </w:rPr>
      </w:pPr>
    </w:p>
    <w:p w14:paraId="7EBC5140" w14:textId="77777777" w:rsidR="00823785" w:rsidRPr="00452D62" w:rsidRDefault="00823785" w:rsidP="00823785">
      <w:pPr>
        <w:rPr>
          <w:sz w:val="22"/>
          <w:szCs w:val="22"/>
        </w:rPr>
      </w:pPr>
      <w:r w:rsidRPr="00452D62">
        <w:rPr>
          <w:sz w:val="22"/>
          <w:szCs w:val="22"/>
          <w:u w:val="single"/>
        </w:rPr>
        <w:t>Tabletės plėvelė</w:t>
      </w:r>
    </w:p>
    <w:p w14:paraId="1985F133" w14:textId="77777777" w:rsidR="00823785" w:rsidRPr="00452D62" w:rsidRDefault="00823785" w:rsidP="00823785">
      <w:pPr>
        <w:rPr>
          <w:sz w:val="22"/>
          <w:szCs w:val="22"/>
        </w:rPr>
      </w:pPr>
      <w:r w:rsidRPr="00452D62">
        <w:rPr>
          <w:sz w:val="22"/>
          <w:szCs w:val="22"/>
        </w:rPr>
        <w:t>Hipromeliozė</w:t>
      </w:r>
    </w:p>
    <w:p w14:paraId="4282E933" w14:textId="77777777" w:rsidR="00823785" w:rsidRPr="00452D62" w:rsidRDefault="00823785" w:rsidP="00823785">
      <w:pPr>
        <w:rPr>
          <w:sz w:val="22"/>
          <w:szCs w:val="22"/>
        </w:rPr>
      </w:pPr>
      <w:r w:rsidRPr="00452D62">
        <w:rPr>
          <w:sz w:val="22"/>
          <w:szCs w:val="22"/>
        </w:rPr>
        <w:t>Makrogolis</w:t>
      </w:r>
    </w:p>
    <w:p w14:paraId="333921CB" w14:textId="77777777" w:rsidR="00823785" w:rsidRPr="00452D62" w:rsidRDefault="00823785" w:rsidP="00823785">
      <w:pPr>
        <w:rPr>
          <w:sz w:val="22"/>
          <w:szCs w:val="22"/>
        </w:rPr>
      </w:pPr>
      <w:r w:rsidRPr="00452D62">
        <w:rPr>
          <w:sz w:val="22"/>
          <w:szCs w:val="22"/>
        </w:rPr>
        <w:t>Titano dioksidas (E171)</w:t>
      </w:r>
    </w:p>
    <w:p w14:paraId="31D2418A" w14:textId="77777777" w:rsidR="00823785" w:rsidRPr="00452D62" w:rsidRDefault="00823785" w:rsidP="00823785">
      <w:pPr>
        <w:rPr>
          <w:sz w:val="22"/>
          <w:szCs w:val="22"/>
        </w:rPr>
      </w:pPr>
      <w:r w:rsidRPr="00452D62">
        <w:rPr>
          <w:sz w:val="22"/>
          <w:szCs w:val="22"/>
        </w:rPr>
        <w:t>Raudonasis geležies oksidas (E172)</w:t>
      </w:r>
    </w:p>
    <w:p w14:paraId="6A2907F9" w14:textId="77777777" w:rsidR="00823785" w:rsidRPr="00452D62" w:rsidRDefault="00823785" w:rsidP="00823785">
      <w:pPr>
        <w:rPr>
          <w:sz w:val="22"/>
          <w:szCs w:val="22"/>
        </w:rPr>
      </w:pPr>
    </w:p>
    <w:p w14:paraId="4323C82E"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6.2</w:t>
      </w:r>
      <w:r w:rsidRPr="00452D62">
        <w:rPr>
          <w:b/>
          <w:color w:val="auto"/>
          <w:kern w:val="28"/>
          <w:sz w:val="22"/>
          <w:szCs w:val="22"/>
          <w:lang w:eastAsia="en-US"/>
        </w:rPr>
        <w:tab/>
        <w:t>Nesuderinamumas</w:t>
      </w:r>
    </w:p>
    <w:p w14:paraId="4EC355B1" w14:textId="77777777" w:rsidR="00823785" w:rsidRPr="00452D62" w:rsidRDefault="00823785" w:rsidP="00823785">
      <w:pPr>
        <w:rPr>
          <w:sz w:val="22"/>
          <w:szCs w:val="22"/>
        </w:rPr>
      </w:pPr>
    </w:p>
    <w:p w14:paraId="36BB3DFE" w14:textId="77777777" w:rsidR="00823785" w:rsidRPr="00452D62" w:rsidRDefault="00823785" w:rsidP="00823785">
      <w:pPr>
        <w:rPr>
          <w:sz w:val="22"/>
          <w:szCs w:val="22"/>
        </w:rPr>
      </w:pPr>
      <w:r w:rsidRPr="00452D62">
        <w:rPr>
          <w:sz w:val="22"/>
          <w:szCs w:val="22"/>
        </w:rPr>
        <w:t>Duomenys nebūtini.</w:t>
      </w:r>
    </w:p>
    <w:p w14:paraId="4846192E" w14:textId="77777777" w:rsidR="00823785" w:rsidRPr="00452D62" w:rsidRDefault="00823785" w:rsidP="00823785">
      <w:pPr>
        <w:rPr>
          <w:sz w:val="22"/>
          <w:szCs w:val="22"/>
        </w:rPr>
      </w:pPr>
    </w:p>
    <w:p w14:paraId="4440E6BB"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6.3</w:t>
      </w:r>
      <w:r w:rsidRPr="00452D62">
        <w:rPr>
          <w:b/>
          <w:color w:val="auto"/>
          <w:kern w:val="28"/>
          <w:sz w:val="22"/>
          <w:szCs w:val="22"/>
          <w:lang w:eastAsia="en-US"/>
        </w:rPr>
        <w:tab/>
        <w:t>Tinkamumo laikas</w:t>
      </w:r>
    </w:p>
    <w:p w14:paraId="08E078CA" w14:textId="77777777" w:rsidR="00823785" w:rsidRPr="00452D62" w:rsidRDefault="00823785" w:rsidP="00823785">
      <w:pPr>
        <w:rPr>
          <w:sz w:val="22"/>
          <w:szCs w:val="22"/>
        </w:rPr>
      </w:pPr>
    </w:p>
    <w:p w14:paraId="2686A398" w14:textId="7C61B71F" w:rsidR="00823785" w:rsidRPr="000877E9" w:rsidRDefault="001270B2" w:rsidP="00823785">
      <w:pPr>
        <w:rPr>
          <w:sz w:val="22"/>
          <w:szCs w:val="22"/>
        </w:rPr>
      </w:pPr>
      <w:r w:rsidRPr="000877E9">
        <w:rPr>
          <w:sz w:val="22"/>
          <w:szCs w:val="22"/>
        </w:rPr>
        <w:t>3 metai</w:t>
      </w:r>
    </w:p>
    <w:p w14:paraId="163EB944" w14:textId="77777777" w:rsidR="00823785" w:rsidRPr="00452D62" w:rsidRDefault="00823785" w:rsidP="00823785">
      <w:pPr>
        <w:rPr>
          <w:sz w:val="22"/>
          <w:szCs w:val="22"/>
        </w:rPr>
      </w:pPr>
    </w:p>
    <w:p w14:paraId="7F561E45"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6.4</w:t>
      </w:r>
      <w:r w:rsidRPr="00452D62">
        <w:rPr>
          <w:b/>
          <w:color w:val="auto"/>
          <w:kern w:val="28"/>
          <w:sz w:val="22"/>
          <w:szCs w:val="22"/>
          <w:lang w:eastAsia="en-US"/>
        </w:rPr>
        <w:tab/>
        <w:t>Specialios laikymo sąlygos</w:t>
      </w:r>
    </w:p>
    <w:p w14:paraId="25D44297" w14:textId="77777777" w:rsidR="00823785" w:rsidRPr="00452D62" w:rsidRDefault="00823785" w:rsidP="00823785">
      <w:pPr>
        <w:ind w:left="567" w:hanging="567"/>
        <w:rPr>
          <w:sz w:val="22"/>
          <w:szCs w:val="22"/>
        </w:rPr>
      </w:pPr>
    </w:p>
    <w:p w14:paraId="5B0B68B4" w14:textId="77777777" w:rsidR="00823785" w:rsidRPr="00452D62" w:rsidRDefault="00823785" w:rsidP="00823785">
      <w:pPr>
        <w:rPr>
          <w:sz w:val="22"/>
          <w:szCs w:val="22"/>
        </w:rPr>
      </w:pPr>
      <w:r w:rsidRPr="00452D62">
        <w:rPr>
          <w:sz w:val="22"/>
          <w:szCs w:val="22"/>
        </w:rPr>
        <w:t>Šiam vaistiniam preparatui specialių laikymo sąlygų nereikia.</w:t>
      </w:r>
    </w:p>
    <w:p w14:paraId="5FBCB707" w14:textId="77777777" w:rsidR="00823785" w:rsidRPr="00452D62" w:rsidRDefault="00823785" w:rsidP="00823785">
      <w:pPr>
        <w:rPr>
          <w:sz w:val="22"/>
          <w:szCs w:val="22"/>
        </w:rPr>
      </w:pPr>
    </w:p>
    <w:p w14:paraId="65C66820" w14:textId="77777777" w:rsidR="00823785" w:rsidRPr="00452D62" w:rsidRDefault="00823785" w:rsidP="00823785">
      <w:pPr>
        <w:widowControl w:val="0"/>
        <w:suppressAutoHyphens w:val="0"/>
        <w:spacing w:line="240" w:lineRule="auto"/>
        <w:ind w:left="567" w:hanging="567"/>
        <w:outlineLvl w:val="2"/>
        <w:rPr>
          <w:b/>
          <w:sz w:val="22"/>
          <w:szCs w:val="22"/>
        </w:rPr>
      </w:pPr>
      <w:r w:rsidRPr="00452D62">
        <w:rPr>
          <w:b/>
          <w:color w:val="auto"/>
          <w:kern w:val="28"/>
          <w:sz w:val="22"/>
          <w:szCs w:val="22"/>
          <w:lang w:eastAsia="en-US"/>
        </w:rPr>
        <w:t>6.5</w:t>
      </w:r>
      <w:r w:rsidRPr="00452D62">
        <w:rPr>
          <w:b/>
          <w:color w:val="auto"/>
          <w:kern w:val="28"/>
          <w:sz w:val="22"/>
          <w:szCs w:val="22"/>
          <w:lang w:eastAsia="en-US"/>
        </w:rPr>
        <w:tab/>
        <w:t>Talpyklės pobūdis ir jos turinys</w:t>
      </w:r>
    </w:p>
    <w:p w14:paraId="079572A3" w14:textId="77777777" w:rsidR="00823785" w:rsidRPr="00452D62" w:rsidRDefault="00823785" w:rsidP="00823785">
      <w:pPr>
        <w:rPr>
          <w:b/>
          <w:sz w:val="22"/>
          <w:szCs w:val="22"/>
        </w:rPr>
      </w:pPr>
    </w:p>
    <w:p w14:paraId="0B5B96FB" w14:textId="77777777" w:rsidR="00823785" w:rsidRPr="00452D62" w:rsidRDefault="00823785" w:rsidP="00823785">
      <w:pPr>
        <w:rPr>
          <w:sz w:val="22"/>
          <w:szCs w:val="22"/>
        </w:rPr>
      </w:pPr>
      <w:r w:rsidRPr="00452D62">
        <w:rPr>
          <w:sz w:val="22"/>
          <w:szCs w:val="22"/>
        </w:rPr>
        <w:t>Lizdinė plokštelė (PVC/PVDC/PVC permatoma forminė folija//aliuminio folija): 10, 15, 30, 60, 90 ar 100 plėvele dengtų tablečių dėžutėje.</w:t>
      </w:r>
    </w:p>
    <w:p w14:paraId="53BBE4C3" w14:textId="77777777" w:rsidR="00823785" w:rsidRPr="00452D62" w:rsidRDefault="00823785" w:rsidP="00823785">
      <w:pPr>
        <w:rPr>
          <w:sz w:val="22"/>
          <w:szCs w:val="22"/>
        </w:rPr>
      </w:pPr>
      <w:r w:rsidRPr="00452D62">
        <w:rPr>
          <w:sz w:val="22"/>
          <w:szCs w:val="22"/>
        </w:rPr>
        <w:t>Perforuota dalomoji lizdinė plokštelė (PVC/PVDC/PVC permatoma forminė folija//aliuminio folija): 10 x 1, 30 x 1, 60 x 1, 90 x 1 ar 100 x 1 plėvele dengtų tablečių dėžutėje.</w:t>
      </w:r>
    </w:p>
    <w:p w14:paraId="6A43F4EA" w14:textId="77777777" w:rsidR="00823785" w:rsidRPr="00452D62" w:rsidRDefault="00823785" w:rsidP="00823785">
      <w:pPr>
        <w:rPr>
          <w:sz w:val="22"/>
          <w:szCs w:val="22"/>
        </w:rPr>
      </w:pPr>
      <w:r w:rsidRPr="00452D62">
        <w:rPr>
          <w:sz w:val="22"/>
          <w:szCs w:val="22"/>
        </w:rPr>
        <w:t>Lizdinė plokštelė (PVC/PVDC/PVC permatoma forminė folija//aliuminio folija), kalendorinė pakuotė: 14, 28, 42, 56 ar 98 plėvele dengtos tabletės dėžutėje.</w:t>
      </w:r>
    </w:p>
    <w:p w14:paraId="4C179A4F" w14:textId="77777777" w:rsidR="00823785" w:rsidRPr="00452D62" w:rsidRDefault="00823785" w:rsidP="00823785">
      <w:pPr>
        <w:rPr>
          <w:sz w:val="22"/>
          <w:szCs w:val="22"/>
        </w:rPr>
      </w:pPr>
    </w:p>
    <w:p w14:paraId="4087B8B8" w14:textId="77777777" w:rsidR="00823785" w:rsidRPr="00452D62" w:rsidRDefault="00823785" w:rsidP="00823785">
      <w:pPr>
        <w:rPr>
          <w:sz w:val="22"/>
          <w:szCs w:val="22"/>
        </w:rPr>
      </w:pPr>
      <w:r w:rsidRPr="00452D62">
        <w:rPr>
          <w:sz w:val="22"/>
          <w:szCs w:val="22"/>
        </w:rPr>
        <w:t>Kiekvienoje vaistinio preparato pakuotėje yra paciento budrumo kortelė.</w:t>
      </w:r>
    </w:p>
    <w:p w14:paraId="31C63386" w14:textId="77777777" w:rsidR="00823785" w:rsidRPr="00452D62" w:rsidRDefault="00823785" w:rsidP="00823785">
      <w:pPr>
        <w:rPr>
          <w:sz w:val="22"/>
          <w:szCs w:val="22"/>
        </w:rPr>
      </w:pPr>
    </w:p>
    <w:p w14:paraId="1BB37CDD" w14:textId="77777777" w:rsidR="00823785" w:rsidRPr="00452D62" w:rsidRDefault="00823785" w:rsidP="00823785">
      <w:pPr>
        <w:rPr>
          <w:sz w:val="22"/>
          <w:szCs w:val="22"/>
        </w:rPr>
      </w:pPr>
      <w:r w:rsidRPr="00452D62">
        <w:rPr>
          <w:sz w:val="22"/>
          <w:szCs w:val="22"/>
        </w:rPr>
        <w:t>Gali būti tiekiamos ne visų dydžių pakuotės.</w:t>
      </w:r>
    </w:p>
    <w:p w14:paraId="4FC9F450" w14:textId="77777777" w:rsidR="00823785" w:rsidRPr="00452D62" w:rsidRDefault="00823785" w:rsidP="00823785">
      <w:pPr>
        <w:rPr>
          <w:sz w:val="22"/>
          <w:szCs w:val="22"/>
        </w:rPr>
      </w:pPr>
    </w:p>
    <w:p w14:paraId="11AE8C96"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6.6</w:t>
      </w:r>
      <w:r w:rsidRPr="00452D62">
        <w:rPr>
          <w:b/>
          <w:color w:val="auto"/>
          <w:kern w:val="28"/>
          <w:sz w:val="22"/>
          <w:szCs w:val="22"/>
          <w:lang w:eastAsia="en-US"/>
        </w:rPr>
        <w:tab/>
        <w:t>Specialūs reikalavimai atliekoms tvarkyti ir vaistiniam preparatui ruošti</w:t>
      </w:r>
    </w:p>
    <w:p w14:paraId="70542311" w14:textId="77777777" w:rsidR="00823785" w:rsidRPr="00452D62" w:rsidRDefault="00823785" w:rsidP="00823785">
      <w:pPr>
        <w:rPr>
          <w:sz w:val="22"/>
          <w:szCs w:val="22"/>
        </w:rPr>
      </w:pPr>
    </w:p>
    <w:p w14:paraId="66D23570" w14:textId="77777777" w:rsidR="00823785" w:rsidRPr="00452D62" w:rsidRDefault="00823785" w:rsidP="00823785">
      <w:pPr>
        <w:rPr>
          <w:sz w:val="22"/>
          <w:szCs w:val="22"/>
        </w:rPr>
      </w:pPr>
      <w:r w:rsidRPr="00452D62">
        <w:rPr>
          <w:sz w:val="22"/>
          <w:szCs w:val="22"/>
        </w:rPr>
        <w:t>Specialių reikalavimų atliekoms tvarkyti nėra.</w:t>
      </w:r>
    </w:p>
    <w:p w14:paraId="29590A0B" w14:textId="77777777" w:rsidR="00823785" w:rsidRPr="00452D62" w:rsidRDefault="00823785" w:rsidP="00823785">
      <w:pPr>
        <w:rPr>
          <w:sz w:val="22"/>
          <w:szCs w:val="22"/>
        </w:rPr>
      </w:pPr>
    </w:p>
    <w:p w14:paraId="57E3013D" w14:textId="77777777" w:rsidR="00823785" w:rsidRPr="00452D62" w:rsidRDefault="00823785" w:rsidP="00823785">
      <w:pPr>
        <w:rPr>
          <w:sz w:val="22"/>
          <w:szCs w:val="22"/>
          <w:u w:val="single"/>
        </w:rPr>
      </w:pPr>
      <w:r w:rsidRPr="00452D62">
        <w:rPr>
          <w:sz w:val="22"/>
          <w:szCs w:val="22"/>
          <w:u w:val="single"/>
        </w:rPr>
        <w:t>Tablečių smulkinimas</w:t>
      </w:r>
    </w:p>
    <w:p w14:paraId="3AB378AC" w14:textId="77777777" w:rsidR="00823785" w:rsidRPr="00452D62" w:rsidRDefault="00823785" w:rsidP="00823785">
      <w:pPr>
        <w:rPr>
          <w:sz w:val="22"/>
          <w:szCs w:val="22"/>
        </w:rPr>
      </w:pPr>
      <w:r w:rsidRPr="00452D62">
        <w:rPr>
          <w:sz w:val="22"/>
          <w:szCs w:val="22"/>
        </w:rPr>
        <w:t>Rivaroksabano tabletes galima susmulkinti ir, sumaišius su 50 ml vandens, vartoti per nazogastrinį vamzdelį arba skrandžio maitinimo vamzdelį, įsitikinus, kad vamzdelis yra tinkamai įstatytas į skrandį. Po to vamzdelį reikia praskalauti vandeniu. Kadangi rivaroksabano absorbcija priklauso nuo veikliosios medžiagos atpalaidavimo vietos, reikia vengti rivaroksabaną skirti distaliau skrandžio, nes dėl to jis gali būti prasčiau absorbuojamas, ir dėl to gali sumažėti veikliosios medžiagos ekspozicija. Pavartojus 10 mg tablečių, enterinis maitinimas iškart nėra būtinas.</w:t>
      </w:r>
    </w:p>
    <w:p w14:paraId="12292D76" w14:textId="77777777" w:rsidR="00823785" w:rsidRPr="00452D62" w:rsidRDefault="00823785" w:rsidP="00823785">
      <w:pPr>
        <w:rPr>
          <w:sz w:val="22"/>
          <w:szCs w:val="22"/>
        </w:rPr>
      </w:pPr>
    </w:p>
    <w:p w14:paraId="50C1CC93" w14:textId="77777777" w:rsidR="00823785" w:rsidRPr="00452D62" w:rsidRDefault="00823785" w:rsidP="00823785">
      <w:pPr>
        <w:rPr>
          <w:sz w:val="22"/>
          <w:szCs w:val="22"/>
        </w:rPr>
      </w:pPr>
    </w:p>
    <w:p w14:paraId="35D212E6" w14:textId="77777777" w:rsidR="00823785" w:rsidRPr="00452D62" w:rsidRDefault="00823785" w:rsidP="00823785">
      <w:pPr>
        <w:widowControl w:val="0"/>
        <w:suppressAutoHyphens w:val="0"/>
        <w:spacing w:line="240" w:lineRule="auto"/>
        <w:ind w:left="567" w:hanging="567"/>
        <w:outlineLvl w:val="1"/>
        <w:rPr>
          <w:b/>
          <w:bCs/>
          <w:color w:val="auto"/>
          <w:sz w:val="22"/>
          <w:szCs w:val="22"/>
          <w:lang w:eastAsia="en-US"/>
        </w:rPr>
      </w:pPr>
      <w:r w:rsidRPr="00452D62">
        <w:rPr>
          <w:b/>
          <w:bCs/>
          <w:color w:val="auto"/>
          <w:sz w:val="22"/>
          <w:szCs w:val="22"/>
          <w:lang w:eastAsia="en-US"/>
        </w:rPr>
        <w:t>7.</w:t>
      </w:r>
      <w:r w:rsidRPr="00452D62">
        <w:rPr>
          <w:b/>
          <w:bCs/>
          <w:color w:val="auto"/>
          <w:sz w:val="22"/>
          <w:szCs w:val="22"/>
          <w:lang w:eastAsia="en-US"/>
        </w:rPr>
        <w:tab/>
        <w:t>REGISTRUOTOJAS</w:t>
      </w:r>
    </w:p>
    <w:p w14:paraId="572BBFD2" w14:textId="77777777" w:rsidR="00823785" w:rsidRPr="00452D62" w:rsidRDefault="00823785" w:rsidP="00823785">
      <w:pPr>
        <w:rPr>
          <w:sz w:val="22"/>
          <w:szCs w:val="22"/>
        </w:rPr>
      </w:pPr>
    </w:p>
    <w:p w14:paraId="446AB2F5" w14:textId="77777777" w:rsidR="00823785" w:rsidRPr="00452D62" w:rsidRDefault="00823785" w:rsidP="00823785">
      <w:pPr>
        <w:widowControl w:val="0"/>
        <w:tabs>
          <w:tab w:val="clear" w:pos="567"/>
          <w:tab w:val="left" w:pos="540"/>
        </w:tabs>
        <w:suppressAutoHyphens w:val="0"/>
        <w:spacing w:line="240" w:lineRule="auto"/>
        <w:rPr>
          <w:rFonts w:eastAsia="Calibri"/>
          <w:color w:val="auto"/>
          <w:sz w:val="22"/>
          <w:szCs w:val="22"/>
          <w:lang w:eastAsia="en-US"/>
        </w:rPr>
      </w:pPr>
      <w:r w:rsidRPr="00452D62">
        <w:rPr>
          <w:rFonts w:eastAsia="Calibri"/>
          <w:color w:val="auto"/>
          <w:sz w:val="22"/>
          <w:szCs w:val="22"/>
          <w:lang w:eastAsia="en-US"/>
        </w:rPr>
        <w:t xml:space="preserve">KRKA d.d. Novo mesto </w:t>
      </w:r>
    </w:p>
    <w:p w14:paraId="4C602869" w14:textId="77777777" w:rsidR="00823785" w:rsidRPr="00452D62" w:rsidRDefault="00823785" w:rsidP="00823785">
      <w:pPr>
        <w:widowControl w:val="0"/>
        <w:tabs>
          <w:tab w:val="clear" w:pos="567"/>
          <w:tab w:val="left" w:pos="540"/>
        </w:tabs>
        <w:suppressAutoHyphens w:val="0"/>
        <w:spacing w:line="240" w:lineRule="auto"/>
        <w:rPr>
          <w:rFonts w:eastAsia="Calibri"/>
          <w:color w:val="auto"/>
          <w:sz w:val="22"/>
          <w:szCs w:val="22"/>
          <w:lang w:eastAsia="en-US"/>
        </w:rPr>
      </w:pPr>
      <w:r w:rsidRPr="00452D62">
        <w:rPr>
          <w:rFonts w:eastAsia="Calibri"/>
          <w:color w:val="auto"/>
          <w:sz w:val="22"/>
          <w:szCs w:val="22"/>
          <w:lang w:eastAsia="en-US"/>
        </w:rPr>
        <w:t>Šmarješka cesta 6</w:t>
      </w:r>
    </w:p>
    <w:p w14:paraId="1FFB21F5" w14:textId="77777777" w:rsidR="00823785" w:rsidRPr="00452D62" w:rsidRDefault="00823785" w:rsidP="00823785">
      <w:pPr>
        <w:widowControl w:val="0"/>
        <w:tabs>
          <w:tab w:val="clear" w:pos="567"/>
          <w:tab w:val="left" w:pos="540"/>
        </w:tabs>
        <w:suppressAutoHyphens w:val="0"/>
        <w:spacing w:line="240" w:lineRule="auto"/>
        <w:rPr>
          <w:rFonts w:eastAsia="Calibri"/>
          <w:color w:val="auto"/>
          <w:sz w:val="22"/>
          <w:szCs w:val="22"/>
          <w:lang w:eastAsia="en-US"/>
        </w:rPr>
      </w:pPr>
      <w:r w:rsidRPr="00452D62">
        <w:rPr>
          <w:rFonts w:eastAsia="Calibri"/>
          <w:color w:val="auto"/>
          <w:sz w:val="22"/>
          <w:szCs w:val="22"/>
          <w:lang w:eastAsia="en-US"/>
        </w:rPr>
        <w:t>8501 Novo mesto</w:t>
      </w:r>
    </w:p>
    <w:p w14:paraId="0052775E" w14:textId="77777777" w:rsidR="00823785" w:rsidRPr="00452D62" w:rsidRDefault="00823785" w:rsidP="00823785">
      <w:pPr>
        <w:widowControl w:val="0"/>
        <w:tabs>
          <w:tab w:val="clear" w:pos="567"/>
          <w:tab w:val="left" w:pos="540"/>
        </w:tabs>
        <w:suppressAutoHyphens w:val="0"/>
        <w:spacing w:line="240" w:lineRule="auto"/>
        <w:rPr>
          <w:rFonts w:eastAsia="Calibri"/>
          <w:color w:val="auto"/>
          <w:sz w:val="22"/>
          <w:szCs w:val="22"/>
          <w:lang w:eastAsia="en-US"/>
        </w:rPr>
      </w:pPr>
      <w:r w:rsidRPr="00452D62">
        <w:rPr>
          <w:rFonts w:eastAsia="Calibri"/>
          <w:color w:val="auto"/>
          <w:sz w:val="22"/>
          <w:szCs w:val="22"/>
          <w:lang w:eastAsia="en-US"/>
        </w:rPr>
        <w:t>Slovėnija</w:t>
      </w:r>
    </w:p>
    <w:p w14:paraId="76BA0FEF" w14:textId="77777777" w:rsidR="00823785" w:rsidRPr="00452D62" w:rsidRDefault="00823785" w:rsidP="00823785">
      <w:pPr>
        <w:rPr>
          <w:sz w:val="22"/>
          <w:szCs w:val="22"/>
        </w:rPr>
      </w:pPr>
    </w:p>
    <w:p w14:paraId="5B024C45" w14:textId="77777777" w:rsidR="00823785" w:rsidRPr="00452D62" w:rsidRDefault="00823785" w:rsidP="00823785">
      <w:pPr>
        <w:rPr>
          <w:sz w:val="22"/>
          <w:szCs w:val="22"/>
        </w:rPr>
      </w:pPr>
    </w:p>
    <w:p w14:paraId="0234D274" w14:textId="77777777" w:rsidR="00823785" w:rsidRPr="00452D62" w:rsidRDefault="00823785" w:rsidP="00823785">
      <w:pPr>
        <w:widowControl w:val="0"/>
        <w:suppressAutoHyphens w:val="0"/>
        <w:spacing w:line="240" w:lineRule="auto"/>
        <w:ind w:left="567" w:hanging="567"/>
        <w:outlineLvl w:val="1"/>
        <w:rPr>
          <w:b/>
          <w:bCs/>
          <w:color w:val="auto"/>
          <w:sz w:val="22"/>
          <w:szCs w:val="22"/>
          <w:lang w:eastAsia="en-US"/>
        </w:rPr>
      </w:pPr>
      <w:r w:rsidRPr="00452D62">
        <w:rPr>
          <w:b/>
          <w:bCs/>
          <w:color w:val="auto"/>
          <w:sz w:val="22"/>
          <w:szCs w:val="22"/>
          <w:lang w:eastAsia="en-US"/>
        </w:rPr>
        <w:t>8.</w:t>
      </w:r>
      <w:r w:rsidRPr="00452D62">
        <w:rPr>
          <w:b/>
          <w:bCs/>
          <w:color w:val="auto"/>
          <w:sz w:val="22"/>
          <w:szCs w:val="22"/>
          <w:lang w:eastAsia="en-US"/>
        </w:rPr>
        <w:tab/>
        <w:t xml:space="preserve">REGISTRACIJOS PAŽYMĖJIMO NUMERIS (-IAI) </w:t>
      </w:r>
    </w:p>
    <w:p w14:paraId="3F7A6862" w14:textId="77777777" w:rsidR="00823785" w:rsidRPr="00452D62" w:rsidRDefault="00823785" w:rsidP="00823785">
      <w:pPr>
        <w:rPr>
          <w:sz w:val="22"/>
          <w:szCs w:val="22"/>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3020"/>
        <w:gridCol w:w="3020"/>
      </w:tblGrid>
      <w:tr w:rsidR="00823785" w:rsidRPr="00452D62" w14:paraId="2CA744B9" w14:textId="77777777" w:rsidTr="006453B9">
        <w:tc>
          <w:tcPr>
            <w:tcW w:w="3020" w:type="dxa"/>
          </w:tcPr>
          <w:p w14:paraId="560352F1" w14:textId="77777777" w:rsidR="00823785" w:rsidRPr="00891928" w:rsidRDefault="00823785" w:rsidP="006453B9">
            <w:pPr>
              <w:rPr>
                <w:rFonts w:ascii="Times New Roman" w:hAnsi="Times New Roman"/>
                <w:sz w:val="22"/>
                <w:szCs w:val="22"/>
                <w:u w:val="single"/>
              </w:rPr>
            </w:pPr>
            <w:r w:rsidRPr="00891928">
              <w:rPr>
                <w:rFonts w:ascii="Times New Roman" w:hAnsi="Times New Roman"/>
                <w:sz w:val="22"/>
                <w:szCs w:val="22"/>
                <w:u w:val="single"/>
              </w:rPr>
              <w:t>lizdinė plokštelė</w:t>
            </w:r>
          </w:p>
          <w:p w14:paraId="5891C223" w14:textId="77777777" w:rsidR="00823785" w:rsidRPr="00891928" w:rsidRDefault="00823785" w:rsidP="006453B9">
            <w:pPr>
              <w:rPr>
                <w:rFonts w:ascii="Times New Roman" w:hAnsi="Times New Roman"/>
                <w:sz w:val="22"/>
                <w:szCs w:val="22"/>
              </w:rPr>
            </w:pPr>
            <w:r w:rsidRPr="00891928">
              <w:rPr>
                <w:rFonts w:ascii="Times New Roman" w:hAnsi="Times New Roman"/>
                <w:sz w:val="22"/>
                <w:szCs w:val="22"/>
              </w:rPr>
              <w:t>LT/1/20/4559/001 – N10</w:t>
            </w:r>
          </w:p>
          <w:p w14:paraId="6AD1A9B4" w14:textId="77777777" w:rsidR="00823785" w:rsidRPr="00891928" w:rsidRDefault="00823785" w:rsidP="006453B9">
            <w:pPr>
              <w:rPr>
                <w:rFonts w:ascii="Times New Roman" w:hAnsi="Times New Roman"/>
                <w:sz w:val="22"/>
                <w:szCs w:val="22"/>
              </w:rPr>
            </w:pPr>
            <w:r w:rsidRPr="00891928">
              <w:rPr>
                <w:rFonts w:ascii="Times New Roman" w:hAnsi="Times New Roman"/>
                <w:sz w:val="22"/>
                <w:szCs w:val="22"/>
              </w:rPr>
              <w:t>LT/1/20/4559/002 – N15</w:t>
            </w:r>
          </w:p>
          <w:p w14:paraId="08685B4D" w14:textId="77777777" w:rsidR="00823785" w:rsidRPr="00891928" w:rsidRDefault="00823785" w:rsidP="006453B9">
            <w:pPr>
              <w:rPr>
                <w:rFonts w:ascii="Times New Roman" w:hAnsi="Times New Roman"/>
                <w:sz w:val="22"/>
                <w:szCs w:val="22"/>
              </w:rPr>
            </w:pPr>
            <w:r w:rsidRPr="00891928">
              <w:rPr>
                <w:rFonts w:ascii="Times New Roman" w:hAnsi="Times New Roman"/>
                <w:sz w:val="22"/>
                <w:szCs w:val="22"/>
              </w:rPr>
              <w:t>LT/1/20/4559/003 – N30</w:t>
            </w:r>
          </w:p>
          <w:p w14:paraId="268344A8" w14:textId="77777777" w:rsidR="00823785" w:rsidRPr="00891928" w:rsidRDefault="00823785" w:rsidP="006453B9">
            <w:pPr>
              <w:rPr>
                <w:rFonts w:ascii="Times New Roman" w:hAnsi="Times New Roman"/>
                <w:sz w:val="22"/>
                <w:szCs w:val="22"/>
              </w:rPr>
            </w:pPr>
            <w:r w:rsidRPr="00891928">
              <w:rPr>
                <w:rFonts w:ascii="Times New Roman" w:hAnsi="Times New Roman"/>
                <w:sz w:val="22"/>
                <w:szCs w:val="22"/>
              </w:rPr>
              <w:t>LT/1/20/4559/004 – N60</w:t>
            </w:r>
          </w:p>
          <w:p w14:paraId="14EDB6E7" w14:textId="77777777" w:rsidR="00823785" w:rsidRPr="00891928" w:rsidRDefault="00823785" w:rsidP="006453B9">
            <w:pPr>
              <w:rPr>
                <w:rFonts w:ascii="Times New Roman" w:hAnsi="Times New Roman"/>
                <w:sz w:val="22"/>
                <w:szCs w:val="22"/>
              </w:rPr>
            </w:pPr>
            <w:r w:rsidRPr="00891928">
              <w:rPr>
                <w:rFonts w:ascii="Times New Roman" w:hAnsi="Times New Roman"/>
                <w:sz w:val="22"/>
                <w:szCs w:val="22"/>
              </w:rPr>
              <w:t>LT/1/20/4559/005 – N90</w:t>
            </w:r>
          </w:p>
          <w:p w14:paraId="7E8E7589" w14:textId="77777777" w:rsidR="00823785" w:rsidRPr="00891928" w:rsidRDefault="00823785" w:rsidP="006453B9">
            <w:pPr>
              <w:rPr>
                <w:rFonts w:ascii="Times New Roman" w:hAnsi="Times New Roman"/>
                <w:sz w:val="22"/>
                <w:szCs w:val="22"/>
              </w:rPr>
            </w:pPr>
            <w:r w:rsidRPr="00891928">
              <w:rPr>
                <w:rFonts w:ascii="Times New Roman" w:hAnsi="Times New Roman"/>
                <w:sz w:val="22"/>
                <w:szCs w:val="22"/>
              </w:rPr>
              <w:t>LT/1/20/4559/006 – N100</w:t>
            </w:r>
          </w:p>
        </w:tc>
        <w:tc>
          <w:tcPr>
            <w:tcW w:w="3020" w:type="dxa"/>
          </w:tcPr>
          <w:p w14:paraId="3A3FFCC2" w14:textId="77777777" w:rsidR="00823785" w:rsidRPr="00891928" w:rsidRDefault="00823785" w:rsidP="006453B9">
            <w:pPr>
              <w:rPr>
                <w:rFonts w:ascii="Times New Roman" w:hAnsi="Times New Roman"/>
                <w:sz w:val="22"/>
                <w:szCs w:val="22"/>
                <w:u w:val="single"/>
              </w:rPr>
            </w:pPr>
            <w:r w:rsidRPr="00891928">
              <w:rPr>
                <w:rFonts w:ascii="Times New Roman" w:hAnsi="Times New Roman"/>
                <w:sz w:val="22"/>
                <w:szCs w:val="22"/>
                <w:u w:val="single"/>
              </w:rPr>
              <w:t xml:space="preserve">dalomoji lizdinė plokštelė </w:t>
            </w:r>
          </w:p>
          <w:p w14:paraId="43D07F36" w14:textId="77777777" w:rsidR="00823785" w:rsidRPr="00891928" w:rsidRDefault="00823785" w:rsidP="006453B9">
            <w:pPr>
              <w:rPr>
                <w:rFonts w:ascii="Times New Roman" w:hAnsi="Times New Roman"/>
                <w:sz w:val="22"/>
                <w:szCs w:val="22"/>
              </w:rPr>
            </w:pPr>
            <w:r w:rsidRPr="00891928">
              <w:rPr>
                <w:rFonts w:ascii="Times New Roman" w:hAnsi="Times New Roman"/>
                <w:sz w:val="22"/>
                <w:szCs w:val="22"/>
              </w:rPr>
              <w:t>LT/1/20/4559/007 – N10x1</w:t>
            </w:r>
          </w:p>
          <w:p w14:paraId="30AD0133" w14:textId="77777777" w:rsidR="00823785" w:rsidRPr="00891928" w:rsidRDefault="00823785" w:rsidP="006453B9">
            <w:pPr>
              <w:rPr>
                <w:rFonts w:ascii="Times New Roman" w:hAnsi="Times New Roman"/>
                <w:sz w:val="22"/>
                <w:szCs w:val="22"/>
              </w:rPr>
            </w:pPr>
            <w:r w:rsidRPr="00891928">
              <w:rPr>
                <w:rFonts w:ascii="Times New Roman" w:hAnsi="Times New Roman"/>
                <w:sz w:val="22"/>
                <w:szCs w:val="22"/>
              </w:rPr>
              <w:t>LT/1/20/4559/008 – N30x1</w:t>
            </w:r>
          </w:p>
          <w:p w14:paraId="7813DF69" w14:textId="77777777" w:rsidR="00823785" w:rsidRPr="00891928" w:rsidRDefault="00823785" w:rsidP="006453B9">
            <w:pPr>
              <w:rPr>
                <w:rFonts w:ascii="Times New Roman" w:hAnsi="Times New Roman"/>
                <w:sz w:val="22"/>
                <w:szCs w:val="22"/>
              </w:rPr>
            </w:pPr>
            <w:r w:rsidRPr="00891928">
              <w:rPr>
                <w:rFonts w:ascii="Times New Roman" w:hAnsi="Times New Roman"/>
                <w:sz w:val="22"/>
                <w:szCs w:val="22"/>
              </w:rPr>
              <w:t>LT/1/20/4559/009 – N60x1</w:t>
            </w:r>
          </w:p>
          <w:p w14:paraId="2D6EAFD7" w14:textId="77777777" w:rsidR="00823785" w:rsidRPr="00891928" w:rsidRDefault="00823785" w:rsidP="006453B9">
            <w:pPr>
              <w:rPr>
                <w:rFonts w:ascii="Times New Roman" w:hAnsi="Times New Roman"/>
                <w:sz w:val="22"/>
                <w:szCs w:val="22"/>
              </w:rPr>
            </w:pPr>
            <w:r w:rsidRPr="00891928">
              <w:rPr>
                <w:rFonts w:ascii="Times New Roman" w:hAnsi="Times New Roman"/>
                <w:sz w:val="22"/>
                <w:szCs w:val="22"/>
              </w:rPr>
              <w:t>LT/1/20/4559/010 – N90x1</w:t>
            </w:r>
          </w:p>
          <w:p w14:paraId="0A5C85C7" w14:textId="77777777" w:rsidR="00823785" w:rsidRPr="00891928" w:rsidRDefault="00823785" w:rsidP="006453B9">
            <w:pPr>
              <w:rPr>
                <w:rFonts w:ascii="Times New Roman" w:hAnsi="Times New Roman"/>
                <w:sz w:val="22"/>
                <w:szCs w:val="22"/>
              </w:rPr>
            </w:pPr>
            <w:r w:rsidRPr="00891928">
              <w:rPr>
                <w:rFonts w:ascii="Times New Roman" w:hAnsi="Times New Roman"/>
                <w:sz w:val="22"/>
                <w:szCs w:val="22"/>
              </w:rPr>
              <w:t>LT/1/20/4559/011 – N100x1</w:t>
            </w:r>
          </w:p>
          <w:p w14:paraId="1A84DF63" w14:textId="77777777" w:rsidR="00823785" w:rsidRPr="00891928" w:rsidRDefault="00823785" w:rsidP="006453B9">
            <w:pPr>
              <w:rPr>
                <w:rFonts w:ascii="Times New Roman" w:hAnsi="Times New Roman"/>
                <w:sz w:val="22"/>
                <w:szCs w:val="22"/>
              </w:rPr>
            </w:pPr>
          </w:p>
        </w:tc>
        <w:tc>
          <w:tcPr>
            <w:tcW w:w="3020" w:type="dxa"/>
          </w:tcPr>
          <w:p w14:paraId="767AA65D" w14:textId="77777777" w:rsidR="00823785" w:rsidRPr="00891928" w:rsidRDefault="00823785" w:rsidP="006453B9">
            <w:pPr>
              <w:rPr>
                <w:rFonts w:ascii="Times New Roman" w:hAnsi="Times New Roman"/>
                <w:sz w:val="22"/>
                <w:szCs w:val="22"/>
              </w:rPr>
            </w:pPr>
            <w:r w:rsidRPr="00891928">
              <w:rPr>
                <w:rFonts w:ascii="Times New Roman" w:hAnsi="Times New Roman"/>
                <w:sz w:val="22"/>
                <w:szCs w:val="22"/>
                <w:u w:val="single"/>
              </w:rPr>
              <w:t>lizdinė plokštelė (kalendorinė)</w:t>
            </w:r>
            <w:r w:rsidRPr="00891928">
              <w:rPr>
                <w:rFonts w:ascii="Times New Roman" w:hAnsi="Times New Roman"/>
                <w:sz w:val="22"/>
                <w:szCs w:val="22"/>
              </w:rPr>
              <w:t xml:space="preserve"> LT/1/20/4559/012 –N14</w:t>
            </w:r>
          </w:p>
          <w:p w14:paraId="5A4D2FF9" w14:textId="77777777" w:rsidR="00823785" w:rsidRPr="00891928" w:rsidRDefault="00823785" w:rsidP="006453B9">
            <w:pPr>
              <w:rPr>
                <w:rFonts w:ascii="Times New Roman" w:hAnsi="Times New Roman"/>
                <w:sz w:val="22"/>
                <w:szCs w:val="22"/>
              </w:rPr>
            </w:pPr>
            <w:r w:rsidRPr="00891928">
              <w:rPr>
                <w:rFonts w:ascii="Times New Roman" w:hAnsi="Times New Roman"/>
                <w:sz w:val="22"/>
                <w:szCs w:val="22"/>
              </w:rPr>
              <w:t xml:space="preserve">LT/1/20/4559/013 – N28 </w:t>
            </w:r>
          </w:p>
          <w:p w14:paraId="5E365CC4" w14:textId="77777777" w:rsidR="00823785" w:rsidRPr="00891928" w:rsidRDefault="00823785" w:rsidP="006453B9">
            <w:pPr>
              <w:rPr>
                <w:rFonts w:ascii="Times New Roman" w:hAnsi="Times New Roman"/>
                <w:sz w:val="22"/>
                <w:szCs w:val="22"/>
              </w:rPr>
            </w:pPr>
            <w:r w:rsidRPr="00891928">
              <w:rPr>
                <w:rFonts w:ascii="Times New Roman" w:hAnsi="Times New Roman"/>
                <w:sz w:val="22"/>
                <w:szCs w:val="22"/>
              </w:rPr>
              <w:t xml:space="preserve">LT/1/20/4559/014 – N42 </w:t>
            </w:r>
          </w:p>
          <w:p w14:paraId="6691A7F6" w14:textId="77777777" w:rsidR="00823785" w:rsidRPr="00891928" w:rsidRDefault="00823785" w:rsidP="006453B9">
            <w:pPr>
              <w:rPr>
                <w:rFonts w:ascii="Times New Roman" w:hAnsi="Times New Roman"/>
                <w:sz w:val="22"/>
                <w:szCs w:val="22"/>
              </w:rPr>
            </w:pPr>
            <w:r w:rsidRPr="00891928">
              <w:rPr>
                <w:rFonts w:ascii="Times New Roman" w:hAnsi="Times New Roman"/>
                <w:sz w:val="22"/>
                <w:szCs w:val="22"/>
              </w:rPr>
              <w:t xml:space="preserve">LT/1/20/4559/015 – N56 </w:t>
            </w:r>
          </w:p>
          <w:p w14:paraId="7CE5839F" w14:textId="77777777" w:rsidR="00823785" w:rsidRPr="00891928" w:rsidRDefault="00823785" w:rsidP="006453B9">
            <w:pPr>
              <w:rPr>
                <w:rFonts w:ascii="Times New Roman" w:hAnsi="Times New Roman"/>
                <w:sz w:val="22"/>
                <w:szCs w:val="22"/>
              </w:rPr>
            </w:pPr>
            <w:r w:rsidRPr="00891928">
              <w:rPr>
                <w:rFonts w:ascii="Times New Roman" w:hAnsi="Times New Roman"/>
                <w:sz w:val="22"/>
                <w:szCs w:val="22"/>
              </w:rPr>
              <w:t xml:space="preserve">LT/1/20/4559/016 – N98 </w:t>
            </w:r>
          </w:p>
          <w:p w14:paraId="0BF76340" w14:textId="77777777" w:rsidR="00823785" w:rsidRPr="00891928" w:rsidRDefault="00823785" w:rsidP="006453B9">
            <w:pPr>
              <w:rPr>
                <w:rFonts w:ascii="Times New Roman" w:hAnsi="Times New Roman"/>
                <w:sz w:val="22"/>
                <w:szCs w:val="22"/>
              </w:rPr>
            </w:pPr>
          </w:p>
        </w:tc>
      </w:tr>
    </w:tbl>
    <w:p w14:paraId="28044912" w14:textId="77777777" w:rsidR="00823785" w:rsidRPr="00452D62" w:rsidRDefault="00823785" w:rsidP="00823785">
      <w:pPr>
        <w:rPr>
          <w:sz w:val="22"/>
          <w:szCs w:val="22"/>
        </w:rPr>
      </w:pPr>
    </w:p>
    <w:p w14:paraId="4774058A" w14:textId="77777777" w:rsidR="00823785" w:rsidRPr="00452D62" w:rsidRDefault="00823785" w:rsidP="00823785">
      <w:pPr>
        <w:rPr>
          <w:bCs/>
          <w:sz w:val="22"/>
          <w:szCs w:val="22"/>
        </w:rPr>
      </w:pPr>
    </w:p>
    <w:p w14:paraId="49055C58" w14:textId="77777777" w:rsidR="00823785" w:rsidRPr="00452D62" w:rsidRDefault="00823785" w:rsidP="00823785">
      <w:pPr>
        <w:widowControl w:val="0"/>
        <w:suppressAutoHyphens w:val="0"/>
        <w:spacing w:line="240" w:lineRule="auto"/>
        <w:ind w:left="567" w:hanging="567"/>
        <w:outlineLvl w:val="1"/>
        <w:rPr>
          <w:b/>
          <w:bCs/>
          <w:color w:val="auto"/>
          <w:sz w:val="22"/>
          <w:szCs w:val="22"/>
          <w:lang w:eastAsia="en-US"/>
        </w:rPr>
      </w:pPr>
      <w:r w:rsidRPr="00452D62">
        <w:rPr>
          <w:b/>
          <w:bCs/>
          <w:color w:val="auto"/>
          <w:sz w:val="22"/>
          <w:szCs w:val="22"/>
          <w:lang w:eastAsia="en-US"/>
        </w:rPr>
        <w:t>9.</w:t>
      </w:r>
      <w:r w:rsidRPr="00452D62">
        <w:rPr>
          <w:b/>
          <w:bCs/>
          <w:color w:val="auto"/>
          <w:sz w:val="22"/>
          <w:szCs w:val="22"/>
          <w:lang w:eastAsia="en-US"/>
        </w:rPr>
        <w:tab/>
        <w:t>REGISTRAVIMO/PERREGISTRAVIMO DATA</w:t>
      </w:r>
    </w:p>
    <w:p w14:paraId="6DB4744F" w14:textId="77777777" w:rsidR="00823785" w:rsidRPr="00452D62" w:rsidRDefault="00823785" w:rsidP="00823785">
      <w:pPr>
        <w:rPr>
          <w:i/>
          <w:sz w:val="22"/>
          <w:szCs w:val="22"/>
        </w:rPr>
      </w:pPr>
    </w:p>
    <w:p w14:paraId="3EDEDA75" w14:textId="77777777" w:rsidR="00823785" w:rsidRPr="00452D62" w:rsidRDefault="00823785" w:rsidP="00823785">
      <w:pPr>
        <w:spacing w:line="240" w:lineRule="auto"/>
        <w:rPr>
          <w:color w:val="auto"/>
          <w:sz w:val="22"/>
          <w:szCs w:val="22"/>
          <w:lang w:eastAsia="en-US"/>
        </w:rPr>
      </w:pPr>
      <w:r w:rsidRPr="00452D62">
        <w:rPr>
          <w:noProof/>
          <w:snapToGrid w:val="0"/>
          <w:sz w:val="22"/>
          <w:szCs w:val="22"/>
        </w:rPr>
        <w:t>Registravimo data 2020 m. balandžio 29 d.</w:t>
      </w:r>
    </w:p>
    <w:p w14:paraId="066F99BE" w14:textId="2DB61910" w:rsidR="00823785" w:rsidRDefault="00701AC2" w:rsidP="00823785">
      <w:pPr>
        <w:spacing w:line="240" w:lineRule="auto"/>
        <w:rPr>
          <w:sz w:val="22"/>
          <w:szCs w:val="22"/>
        </w:rPr>
      </w:pPr>
      <w:r>
        <w:rPr>
          <w:sz w:val="22"/>
          <w:szCs w:val="22"/>
        </w:rPr>
        <w:t>Paskutinio perregistravimo data</w:t>
      </w:r>
      <w:r w:rsidR="00B13AD4">
        <w:rPr>
          <w:sz w:val="22"/>
          <w:szCs w:val="22"/>
        </w:rPr>
        <w:t xml:space="preserve"> 2024 m. spalio 9 d.</w:t>
      </w:r>
    </w:p>
    <w:p w14:paraId="43082ABC" w14:textId="77777777" w:rsidR="00701AC2" w:rsidRPr="00AE1B80" w:rsidRDefault="00701AC2" w:rsidP="00823785">
      <w:pPr>
        <w:spacing w:line="240" w:lineRule="auto"/>
        <w:rPr>
          <w:sz w:val="22"/>
          <w:szCs w:val="22"/>
        </w:rPr>
      </w:pPr>
    </w:p>
    <w:p w14:paraId="0269BC55" w14:textId="77777777" w:rsidR="00823785" w:rsidRPr="00452D62" w:rsidRDefault="00823785" w:rsidP="00823785">
      <w:pPr>
        <w:rPr>
          <w:sz w:val="22"/>
          <w:szCs w:val="22"/>
        </w:rPr>
      </w:pPr>
    </w:p>
    <w:p w14:paraId="2D6AC619" w14:textId="77777777" w:rsidR="00823785" w:rsidRPr="000877E9" w:rsidRDefault="00823785" w:rsidP="00823785">
      <w:pPr>
        <w:widowControl w:val="0"/>
        <w:suppressAutoHyphens w:val="0"/>
        <w:spacing w:line="240" w:lineRule="auto"/>
        <w:ind w:left="567" w:hanging="567"/>
        <w:outlineLvl w:val="1"/>
        <w:rPr>
          <w:b/>
          <w:bCs/>
          <w:color w:val="auto"/>
          <w:sz w:val="22"/>
          <w:szCs w:val="22"/>
          <w:lang w:eastAsia="en-US"/>
        </w:rPr>
      </w:pPr>
      <w:r w:rsidRPr="000877E9">
        <w:rPr>
          <w:b/>
          <w:bCs/>
          <w:color w:val="auto"/>
          <w:sz w:val="22"/>
          <w:szCs w:val="22"/>
          <w:lang w:eastAsia="en-US"/>
        </w:rPr>
        <w:t>10.</w:t>
      </w:r>
      <w:r w:rsidRPr="000877E9">
        <w:rPr>
          <w:b/>
          <w:bCs/>
          <w:color w:val="auto"/>
          <w:sz w:val="22"/>
          <w:szCs w:val="22"/>
          <w:lang w:eastAsia="en-US"/>
        </w:rPr>
        <w:tab/>
        <w:t>TEKSTO PERŽIŪROS DATA</w:t>
      </w:r>
    </w:p>
    <w:p w14:paraId="743E6FEB" w14:textId="77777777" w:rsidR="00823785" w:rsidRPr="000877E9" w:rsidRDefault="00823785" w:rsidP="00823785">
      <w:pPr>
        <w:rPr>
          <w:sz w:val="22"/>
          <w:szCs w:val="22"/>
        </w:rPr>
      </w:pPr>
    </w:p>
    <w:p w14:paraId="0344CC24" w14:textId="22CF0A86" w:rsidR="00823785" w:rsidRPr="000877E9" w:rsidRDefault="00B13AD4" w:rsidP="00823785">
      <w:pPr>
        <w:tabs>
          <w:tab w:val="clear" w:pos="567"/>
        </w:tabs>
        <w:spacing w:line="100" w:lineRule="atLeast"/>
        <w:rPr>
          <w:sz w:val="22"/>
          <w:szCs w:val="22"/>
        </w:rPr>
      </w:pPr>
      <w:r>
        <w:rPr>
          <w:sz w:val="22"/>
          <w:szCs w:val="22"/>
        </w:rPr>
        <w:t>2024 m. spalio 9 d.</w:t>
      </w:r>
    </w:p>
    <w:p w14:paraId="0158251F" w14:textId="17960745" w:rsidR="00823785" w:rsidRPr="00452D62" w:rsidRDefault="00823785" w:rsidP="00823785">
      <w:pPr>
        <w:tabs>
          <w:tab w:val="clear" w:pos="567"/>
          <w:tab w:val="left" w:pos="5954"/>
          <w:tab w:val="left" w:pos="6237"/>
          <w:tab w:val="left" w:pos="6663"/>
          <w:tab w:val="left" w:pos="6946"/>
        </w:tabs>
        <w:spacing w:line="100" w:lineRule="atLeast"/>
        <w:rPr>
          <w:b/>
          <w:sz w:val="22"/>
          <w:szCs w:val="22"/>
        </w:rPr>
      </w:pPr>
      <w:r w:rsidRPr="00452D62">
        <w:rPr>
          <w:rFonts w:eastAsia="SimSun"/>
          <w:sz w:val="22"/>
          <w:szCs w:val="22"/>
        </w:rPr>
        <w:t>Išsami informacija apie šį vaistinį preparatą pateikiama Valstybinės vaistų kontrolės tarnybos prie Lietuvos Respublikos sveikatos apsaugos ministerijos tinklalapyje</w:t>
      </w:r>
      <w:r w:rsidRPr="00452D62">
        <w:rPr>
          <w:rFonts w:eastAsia="SimSun"/>
          <w:i/>
          <w:sz w:val="22"/>
          <w:szCs w:val="22"/>
        </w:rPr>
        <w:t xml:space="preserve"> </w:t>
      </w:r>
      <w:r w:rsidR="000A3575" w:rsidRPr="000A3575">
        <w:rPr>
          <w:color w:val="0000EE"/>
          <w:sz w:val="22"/>
          <w:szCs w:val="22"/>
          <w:u w:val="single"/>
          <w:lang w:eastAsia="lt-LT"/>
        </w:rPr>
        <w:t>https://vvkt.lrv.lt/lt/.</w:t>
      </w:r>
    </w:p>
    <w:p w14:paraId="2D94D7E7" w14:textId="77777777" w:rsidR="00823785" w:rsidRPr="000877E9" w:rsidRDefault="00823785" w:rsidP="00823785">
      <w:pPr>
        <w:widowControl w:val="0"/>
        <w:suppressAutoHyphens w:val="0"/>
        <w:spacing w:line="240" w:lineRule="auto"/>
        <w:ind w:left="567" w:hanging="567"/>
        <w:outlineLvl w:val="1"/>
        <w:rPr>
          <w:b/>
          <w:iCs/>
          <w:sz w:val="22"/>
          <w:szCs w:val="22"/>
        </w:rPr>
      </w:pPr>
      <w:r w:rsidRPr="00AE1B80">
        <w:rPr>
          <w:sz w:val="22"/>
          <w:szCs w:val="22"/>
        </w:rPr>
        <w:br w:type="page"/>
      </w:r>
      <w:r w:rsidRPr="00452D62">
        <w:rPr>
          <w:b/>
          <w:sz w:val="22"/>
          <w:szCs w:val="22"/>
        </w:rPr>
        <w:t>1.</w:t>
      </w:r>
      <w:r w:rsidRPr="00452D62">
        <w:rPr>
          <w:b/>
          <w:sz w:val="22"/>
          <w:szCs w:val="22"/>
        </w:rPr>
        <w:tab/>
        <w:t xml:space="preserve">VAISTINIO PREPARATO </w:t>
      </w:r>
      <w:r w:rsidRPr="000877E9">
        <w:rPr>
          <w:b/>
          <w:bCs/>
          <w:color w:val="auto"/>
          <w:sz w:val="22"/>
          <w:szCs w:val="22"/>
          <w:lang w:eastAsia="en-US"/>
        </w:rPr>
        <w:t>PAVADINIMAS</w:t>
      </w:r>
    </w:p>
    <w:p w14:paraId="422B87E3" w14:textId="77777777" w:rsidR="00823785" w:rsidRPr="00452D62" w:rsidRDefault="00823785" w:rsidP="00823785">
      <w:pPr>
        <w:rPr>
          <w:iCs/>
          <w:sz w:val="22"/>
          <w:szCs w:val="22"/>
        </w:rPr>
      </w:pPr>
    </w:p>
    <w:p w14:paraId="1B08E765" w14:textId="77777777" w:rsidR="00823785" w:rsidRPr="00452D62" w:rsidRDefault="00823785" w:rsidP="00823785">
      <w:pPr>
        <w:widowControl w:val="0"/>
        <w:rPr>
          <w:iCs/>
          <w:sz w:val="22"/>
          <w:szCs w:val="22"/>
        </w:rPr>
      </w:pPr>
      <w:r w:rsidRPr="00452D62">
        <w:rPr>
          <w:sz w:val="22"/>
          <w:szCs w:val="22"/>
          <w:lang w:eastAsia="en-US"/>
        </w:rPr>
        <w:t>Xerdoxo</w:t>
      </w:r>
      <w:r w:rsidRPr="00452D62">
        <w:rPr>
          <w:sz w:val="22"/>
          <w:szCs w:val="22"/>
        </w:rPr>
        <w:t xml:space="preserve"> 15 mg plėvele dengtos tabletės</w:t>
      </w:r>
    </w:p>
    <w:p w14:paraId="3FA1DA45" w14:textId="77777777" w:rsidR="00823785" w:rsidRPr="00452D62" w:rsidRDefault="00823785" w:rsidP="00823785">
      <w:pPr>
        <w:rPr>
          <w:iCs/>
          <w:sz w:val="22"/>
          <w:szCs w:val="22"/>
        </w:rPr>
      </w:pPr>
    </w:p>
    <w:p w14:paraId="3F3F54F8" w14:textId="77777777" w:rsidR="00823785" w:rsidRPr="00452D62" w:rsidRDefault="00823785" w:rsidP="00823785">
      <w:pPr>
        <w:rPr>
          <w:iCs/>
          <w:sz w:val="22"/>
          <w:szCs w:val="22"/>
        </w:rPr>
      </w:pPr>
    </w:p>
    <w:p w14:paraId="7BAB8801" w14:textId="77777777" w:rsidR="00823785" w:rsidRPr="00452D62" w:rsidRDefault="00823785" w:rsidP="00823785">
      <w:pPr>
        <w:widowControl w:val="0"/>
        <w:suppressAutoHyphens w:val="0"/>
        <w:spacing w:line="240" w:lineRule="auto"/>
        <w:ind w:left="567" w:hanging="567"/>
        <w:outlineLvl w:val="1"/>
        <w:rPr>
          <w:b/>
          <w:bCs/>
          <w:color w:val="auto"/>
          <w:sz w:val="22"/>
          <w:szCs w:val="22"/>
          <w:lang w:eastAsia="en-US"/>
        </w:rPr>
      </w:pPr>
      <w:r w:rsidRPr="00452D62">
        <w:rPr>
          <w:b/>
          <w:bCs/>
          <w:color w:val="auto"/>
          <w:sz w:val="22"/>
          <w:szCs w:val="22"/>
          <w:lang w:eastAsia="en-US"/>
        </w:rPr>
        <w:t>2.</w:t>
      </w:r>
      <w:r w:rsidRPr="00452D62">
        <w:rPr>
          <w:b/>
          <w:bCs/>
          <w:color w:val="auto"/>
          <w:sz w:val="22"/>
          <w:szCs w:val="22"/>
          <w:lang w:eastAsia="en-US"/>
        </w:rPr>
        <w:tab/>
        <w:t>KOKYBINĖ IR KIEKYBINĖ SUDĖTIS</w:t>
      </w:r>
    </w:p>
    <w:p w14:paraId="7E8D8D5D" w14:textId="77777777" w:rsidR="00823785" w:rsidRPr="00452D62" w:rsidRDefault="00823785" w:rsidP="00823785">
      <w:pPr>
        <w:rPr>
          <w:iCs/>
          <w:sz w:val="22"/>
          <w:szCs w:val="22"/>
        </w:rPr>
      </w:pPr>
    </w:p>
    <w:p w14:paraId="1775247F" w14:textId="77777777" w:rsidR="00823785" w:rsidRPr="00452D62" w:rsidRDefault="00823785" w:rsidP="00823785">
      <w:pPr>
        <w:rPr>
          <w:sz w:val="22"/>
          <w:szCs w:val="22"/>
        </w:rPr>
      </w:pPr>
      <w:r w:rsidRPr="00452D62">
        <w:rPr>
          <w:sz w:val="22"/>
          <w:szCs w:val="22"/>
        </w:rPr>
        <w:t>Kiekvienoje plėvele dengtoje tabletėje yra 15 mg rivaroksabano.</w:t>
      </w:r>
    </w:p>
    <w:p w14:paraId="0405CB6C" w14:textId="77777777" w:rsidR="00823785" w:rsidRPr="00452D62" w:rsidRDefault="00823785" w:rsidP="00823785">
      <w:pPr>
        <w:rPr>
          <w:sz w:val="22"/>
          <w:szCs w:val="22"/>
        </w:rPr>
      </w:pPr>
    </w:p>
    <w:p w14:paraId="6D5992F2" w14:textId="77777777" w:rsidR="00823785" w:rsidRPr="00452D62" w:rsidRDefault="00823785" w:rsidP="00823785">
      <w:pPr>
        <w:rPr>
          <w:b/>
          <w:bCs/>
          <w:sz w:val="22"/>
          <w:szCs w:val="22"/>
        </w:rPr>
      </w:pPr>
      <w:r w:rsidRPr="00452D62">
        <w:rPr>
          <w:sz w:val="22"/>
          <w:szCs w:val="22"/>
        </w:rPr>
        <w:t>Visos pagalbinės medžiagos išvardytos 6.1 skyriuje.</w:t>
      </w:r>
    </w:p>
    <w:p w14:paraId="20674E45" w14:textId="77777777" w:rsidR="00823785" w:rsidRPr="00452D62" w:rsidRDefault="00823785" w:rsidP="00823785">
      <w:pPr>
        <w:ind w:left="567" w:hanging="568"/>
        <w:rPr>
          <w:sz w:val="22"/>
          <w:szCs w:val="22"/>
        </w:rPr>
      </w:pPr>
    </w:p>
    <w:p w14:paraId="36326663" w14:textId="77777777" w:rsidR="00823785" w:rsidRPr="00452D62" w:rsidRDefault="00823785" w:rsidP="00823785">
      <w:pPr>
        <w:ind w:left="567" w:hanging="568"/>
        <w:rPr>
          <w:sz w:val="22"/>
          <w:szCs w:val="22"/>
        </w:rPr>
      </w:pPr>
    </w:p>
    <w:p w14:paraId="468EBC15" w14:textId="77777777" w:rsidR="00823785" w:rsidRPr="00452D62" w:rsidRDefault="00823785" w:rsidP="00823785">
      <w:pPr>
        <w:widowControl w:val="0"/>
        <w:suppressAutoHyphens w:val="0"/>
        <w:spacing w:line="240" w:lineRule="auto"/>
        <w:ind w:left="567" w:hanging="567"/>
        <w:outlineLvl w:val="1"/>
        <w:rPr>
          <w:b/>
          <w:bCs/>
          <w:color w:val="auto"/>
          <w:sz w:val="22"/>
          <w:szCs w:val="22"/>
          <w:lang w:eastAsia="en-US"/>
        </w:rPr>
      </w:pPr>
      <w:r w:rsidRPr="00452D62">
        <w:rPr>
          <w:b/>
          <w:bCs/>
          <w:color w:val="auto"/>
          <w:sz w:val="22"/>
          <w:szCs w:val="22"/>
          <w:lang w:eastAsia="en-US"/>
        </w:rPr>
        <w:t>3.</w:t>
      </w:r>
      <w:r w:rsidRPr="00452D62">
        <w:rPr>
          <w:b/>
          <w:bCs/>
          <w:color w:val="auto"/>
          <w:sz w:val="22"/>
          <w:szCs w:val="22"/>
          <w:lang w:eastAsia="en-US"/>
        </w:rPr>
        <w:tab/>
        <w:t>FARMACINĖ FORMA</w:t>
      </w:r>
    </w:p>
    <w:p w14:paraId="6CD23C7B" w14:textId="77777777" w:rsidR="00823785" w:rsidRPr="00452D62" w:rsidRDefault="00823785" w:rsidP="00823785">
      <w:pPr>
        <w:rPr>
          <w:sz w:val="22"/>
          <w:szCs w:val="22"/>
        </w:rPr>
      </w:pPr>
    </w:p>
    <w:p w14:paraId="58672621" w14:textId="77777777" w:rsidR="00823785" w:rsidRPr="00452D62" w:rsidRDefault="00823785" w:rsidP="00823785">
      <w:pPr>
        <w:rPr>
          <w:sz w:val="22"/>
          <w:szCs w:val="22"/>
        </w:rPr>
      </w:pPr>
      <w:r w:rsidRPr="00452D62">
        <w:rPr>
          <w:sz w:val="22"/>
          <w:szCs w:val="22"/>
        </w:rPr>
        <w:t>Plėvele dengta tabletė (tabletė)</w:t>
      </w:r>
    </w:p>
    <w:p w14:paraId="082EAC1D" w14:textId="77777777" w:rsidR="00823785" w:rsidRPr="00452D62" w:rsidRDefault="00823785" w:rsidP="00823785">
      <w:pPr>
        <w:rPr>
          <w:sz w:val="22"/>
          <w:szCs w:val="22"/>
        </w:rPr>
      </w:pPr>
    </w:p>
    <w:p w14:paraId="018D8C23" w14:textId="77777777" w:rsidR="00823785" w:rsidRPr="00452D62" w:rsidRDefault="00823785" w:rsidP="00823785">
      <w:pPr>
        <w:rPr>
          <w:sz w:val="22"/>
          <w:szCs w:val="22"/>
        </w:rPr>
      </w:pPr>
      <w:r w:rsidRPr="00452D62">
        <w:rPr>
          <w:sz w:val="22"/>
          <w:szCs w:val="22"/>
        </w:rPr>
        <w:t>Rausvai oranžinė ar rudai oranžinė, apvali, šiek tiek abipus išgaubta, plėvele dengta tabletė, kurios vienoje pusėje įspausta „15“.</w:t>
      </w:r>
    </w:p>
    <w:p w14:paraId="2E45C5A6" w14:textId="77777777" w:rsidR="00823785" w:rsidRPr="00452D62" w:rsidRDefault="00823785" w:rsidP="00823785">
      <w:pPr>
        <w:rPr>
          <w:sz w:val="22"/>
          <w:szCs w:val="22"/>
        </w:rPr>
      </w:pPr>
      <w:r w:rsidRPr="00452D62">
        <w:rPr>
          <w:sz w:val="22"/>
          <w:szCs w:val="22"/>
        </w:rPr>
        <w:t>Išmatavimai: skersmuo − apytiksliai 6,5 mm.</w:t>
      </w:r>
    </w:p>
    <w:p w14:paraId="45BC4E38" w14:textId="77777777" w:rsidR="00823785" w:rsidRPr="00452D62" w:rsidRDefault="00823785" w:rsidP="00823785">
      <w:pPr>
        <w:rPr>
          <w:sz w:val="22"/>
          <w:szCs w:val="22"/>
        </w:rPr>
      </w:pPr>
    </w:p>
    <w:p w14:paraId="6411824F" w14:textId="77777777" w:rsidR="00823785" w:rsidRPr="00452D62" w:rsidRDefault="00823785" w:rsidP="00823785">
      <w:pPr>
        <w:rPr>
          <w:sz w:val="22"/>
          <w:szCs w:val="22"/>
        </w:rPr>
      </w:pPr>
    </w:p>
    <w:p w14:paraId="0EC10FA2" w14:textId="77777777" w:rsidR="00823785" w:rsidRPr="00452D62" w:rsidRDefault="00823785" w:rsidP="00823785">
      <w:pPr>
        <w:widowControl w:val="0"/>
        <w:suppressAutoHyphens w:val="0"/>
        <w:spacing w:line="240" w:lineRule="auto"/>
        <w:ind w:left="567" w:hanging="567"/>
        <w:outlineLvl w:val="1"/>
        <w:rPr>
          <w:b/>
          <w:bCs/>
          <w:color w:val="auto"/>
          <w:sz w:val="22"/>
          <w:szCs w:val="22"/>
          <w:lang w:eastAsia="en-US"/>
        </w:rPr>
      </w:pPr>
      <w:r w:rsidRPr="00452D62">
        <w:rPr>
          <w:b/>
          <w:bCs/>
          <w:color w:val="auto"/>
          <w:sz w:val="22"/>
          <w:szCs w:val="22"/>
          <w:lang w:eastAsia="en-US"/>
        </w:rPr>
        <w:t>4.</w:t>
      </w:r>
      <w:r w:rsidRPr="00452D62">
        <w:rPr>
          <w:b/>
          <w:bCs/>
          <w:color w:val="auto"/>
          <w:sz w:val="22"/>
          <w:szCs w:val="22"/>
          <w:lang w:eastAsia="en-US"/>
        </w:rPr>
        <w:tab/>
        <w:t>KLINIKINĖ INFORMACIJA</w:t>
      </w:r>
    </w:p>
    <w:p w14:paraId="1F8161CA" w14:textId="77777777" w:rsidR="00823785" w:rsidRPr="00452D62" w:rsidRDefault="00823785" w:rsidP="00823785">
      <w:pPr>
        <w:rPr>
          <w:sz w:val="22"/>
          <w:szCs w:val="22"/>
        </w:rPr>
      </w:pPr>
    </w:p>
    <w:p w14:paraId="4191551B"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4.1</w:t>
      </w:r>
      <w:r w:rsidRPr="00452D62">
        <w:rPr>
          <w:b/>
          <w:color w:val="auto"/>
          <w:kern w:val="28"/>
          <w:sz w:val="22"/>
          <w:szCs w:val="22"/>
          <w:lang w:eastAsia="en-US"/>
        </w:rPr>
        <w:tab/>
        <w:t>Terapinės indikacijos</w:t>
      </w:r>
    </w:p>
    <w:p w14:paraId="7F7AB4A9" w14:textId="77777777" w:rsidR="00823785" w:rsidRPr="00452D62" w:rsidRDefault="00823785" w:rsidP="00823785">
      <w:pPr>
        <w:rPr>
          <w:sz w:val="22"/>
          <w:szCs w:val="22"/>
        </w:rPr>
      </w:pPr>
    </w:p>
    <w:p w14:paraId="64BD350F" w14:textId="77777777" w:rsidR="00AA4244" w:rsidRPr="00452D62" w:rsidRDefault="00AA4244" w:rsidP="00823785">
      <w:pPr>
        <w:rPr>
          <w:i/>
          <w:iCs/>
          <w:sz w:val="22"/>
          <w:szCs w:val="22"/>
        </w:rPr>
      </w:pPr>
      <w:r w:rsidRPr="00452D62">
        <w:rPr>
          <w:i/>
          <w:iCs/>
          <w:sz w:val="22"/>
          <w:szCs w:val="22"/>
        </w:rPr>
        <w:t>Suaugusiesiems</w:t>
      </w:r>
    </w:p>
    <w:p w14:paraId="23B9CD9A" w14:textId="7930EB3B" w:rsidR="00823785" w:rsidRPr="00452D62" w:rsidRDefault="00823785" w:rsidP="00823785">
      <w:pPr>
        <w:rPr>
          <w:sz w:val="22"/>
          <w:szCs w:val="22"/>
          <w:lang w:eastAsia="en-US"/>
        </w:rPr>
      </w:pPr>
      <w:r w:rsidRPr="00452D62">
        <w:rPr>
          <w:sz w:val="22"/>
          <w:szCs w:val="22"/>
          <w:lang w:eastAsia="en-US"/>
        </w:rPr>
        <w:t>Insulto ir sisteminės embolijos profilaktika suaugusiems pacientams, kuriems yra su vožtuvų liga nesusijęs prieširdžių virpėjimas, esant vienam ar daugiau rizikos veiksnių, pvz., staziniam širdies nepakankamumui, hipertenzijai, ≥ 75 metų amžiui, cukriniam diabetui, anksčiau patirtam insultui arba praeinančiam smegenų išemijos priepuoliui.</w:t>
      </w:r>
    </w:p>
    <w:p w14:paraId="2A115BEC" w14:textId="77777777" w:rsidR="00823785" w:rsidRPr="00452D62" w:rsidRDefault="00823785" w:rsidP="00823785">
      <w:pPr>
        <w:rPr>
          <w:sz w:val="22"/>
          <w:szCs w:val="22"/>
          <w:lang w:eastAsia="en-US"/>
        </w:rPr>
      </w:pPr>
    </w:p>
    <w:p w14:paraId="77003171" w14:textId="1B8A69CA" w:rsidR="00823785" w:rsidRPr="00452D62" w:rsidRDefault="00823785" w:rsidP="00823785">
      <w:pPr>
        <w:rPr>
          <w:sz w:val="22"/>
          <w:szCs w:val="22"/>
        </w:rPr>
      </w:pPr>
      <w:r w:rsidRPr="00452D62">
        <w:rPr>
          <w:sz w:val="22"/>
          <w:szCs w:val="22"/>
          <w:lang w:eastAsia="en-US"/>
        </w:rPr>
        <w:t>Giliųjų venų trombozės (GVT) bei plaučių embolijos (PE) gydymas ir pasikartojančios GVT bei PE profilaktika suaugusiesiems (apie PE sergančius pacientus, kurių hemodinamika yra nestabili, žr. 4.4 skyriuje)</w:t>
      </w:r>
      <w:r w:rsidRPr="00452D62">
        <w:rPr>
          <w:sz w:val="22"/>
          <w:szCs w:val="22"/>
        </w:rPr>
        <w:t>.</w:t>
      </w:r>
    </w:p>
    <w:p w14:paraId="1BF8BE9F" w14:textId="77777777" w:rsidR="00AA4244" w:rsidRPr="00452D62" w:rsidRDefault="00AA4244" w:rsidP="00AA4244">
      <w:pPr>
        <w:pStyle w:val="Default"/>
        <w:rPr>
          <w:i/>
          <w:iCs/>
          <w:sz w:val="22"/>
          <w:szCs w:val="22"/>
        </w:rPr>
      </w:pPr>
    </w:p>
    <w:p w14:paraId="4065BB48" w14:textId="5B9FC942" w:rsidR="00AA4244" w:rsidRPr="00452D62" w:rsidRDefault="00AA4244" w:rsidP="00AA4244">
      <w:pPr>
        <w:pStyle w:val="Default"/>
        <w:rPr>
          <w:sz w:val="22"/>
          <w:szCs w:val="22"/>
        </w:rPr>
      </w:pPr>
      <w:r w:rsidRPr="00452D62">
        <w:rPr>
          <w:i/>
          <w:iCs/>
          <w:sz w:val="22"/>
          <w:szCs w:val="22"/>
        </w:rPr>
        <w:t xml:space="preserve">Vaikų populiacija </w:t>
      </w:r>
    </w:p>
    <w:p w14:paraId="7AA5D3A6" w14:textId="5C590DFE" w:rsidR="00823785" w:rsidRPr="00452D62" w:rsidRDefault="00AA4244" w:rsidP="00AA4244">
      <w:pPr>
        <w:rPr>
          <w:sz w:val="22"/>
          <w:szCs w:val="22"/>
        </w:rPr>
      </w:pPr>
      <w:r w:rsidRPr="00452D62">
        <w:rPr>
          <w:sz w:val="22"/>
          <w:szCs w:val="22"/>
        </w:rPr>
        <w:t>Venų tromboembolijos (VTE) gydymas ir pasikartojančios VTE profilaktika vaikams ir paaugliams, jaunesniems kaip 18 metų</w:t>
      </w:r>
      <w:r w:rsidR="0097388A" w:rsidRPr="00452D62">
        <w:rPr>
          <w:sz w:val="22"/>
          <w:szCs w:val="22"/>
        </w:rPr>
        <w:t xml:space="preserve"> amžiaus ir sveriantiems nuo 30 kg iki 50 </w:t>
      </w:r>
      <w:r w:rsidRPr="00452D62">
        <w:rPr>
          <w:sz w:val="22"/>
          <w:szCs w:val="22"/>
        </w:rPr>
        <w:t>kg, po ne trumpiau kaip 5 dienas taikyto krešėjimą slopinančio pradinio parenterinio gydymo.</w:t>
      </w:r>
    </w:p>
    <w:p w14:paraId="5DA2CBC3" w14:textId="77777777" w:rsidR="00AA4244" w:rsidRPr="00452D62" w:rsidRDefault="00AA4244" w:rsidP="00AA4244">
      <w:pPr>
        <w:rPr>
          <w:sz w:val="22"/>
          <w:szCs w:val="22"/>
        </w:rPr>
      </w:pPr>
    </w:p>
    <w:p w14:paraId="46B58B7A" w14:textId="77777777" w:rsidR="00823785" w:rsidRPr="00452D62" w:rsidRDefault="00823785" w:rsidP="00823785">
      <w:pPr>
        <w:widowControl w:val="0"/>
        <w:suppressAutoHyphens w:val="0"/>
        <w:spacing w:line="240" w:lineRule="auto"/>
        <w:ind w:left="567" w:hanging="567"/>
        <w:outlineLvl w:val="2"/>
        <w:rPr>
          <w:sz w:val="22"/>
          <w:szCs w:val="22"/>
        </w:rPr>
      </w:pPr>
      <w:r w:rsidRPr="00452D62">
        <w:rPr>
          <w:b/>
          <w:color w:val="auto"/>
          <w:kern w:val="28"/>
          <w:sz w:val="22"/>
          <w:szCs w:val="22"/>
          <w:lang w:eastAsia="en-US"/>
        </w:rPr>
        <w:t>4.2</w:t>
      </w:r>
      <w:r w:rsidRPr="00452D62">
        <w:rPr>
          <w:b/>
          <w:color w:val="auto"/>
          <w:kern w:val="28"/>
          <w:sz w:val="22"/>
          <w:szCs w:val="22"/>
          <w:lang w:eastAsia="en-US"/>
        </w:rPr>
        <w:tab/>
        <w:t>Dozavimas ir vartojimo metodas</w:t>
      </w:r>
    </w:p>
    <w:p w14:paraId="3DB4B10B" w14:textId="77777777" w:rsidR="00823785" w:rsidRPr="00452D62" w:rsidRDefault="00823785" w:rsidP="00823785">
      <w:pPr>
        <w:rPr>
          <w:sz w:val="22"/>
          <w:szCs w:val="22"/>
        </w:rPr>
      </w:pPr>
    </w:p>
    <w:p w14:paraId="57F8D826" w14:textId="77777777" w:rsidR="00823785" w:rsidRPr="00452D62" w:rsidRDefault="00823785" w:rsidP="00823785">
      <w:pPr>
        <w:rPr>
          <w:sz w:val="22"/>
          <w:szCs w:val="22"/>
          <w:u w:val="single"/>
        </w:rPr>
      </w:pPr>
      <w:r w:rsidRPr="00452D62">
        <w:rPr>
          <w:sz w:val="22"/>
          <w:szCs w:val="22"/>
          <w:u w:val="single"/>
        </w:rPr>
        <w:t>Dozavimas</w:t>
      </w:r>
    </w:p>
    <w:p w14:paraId="00890BE4" w14:textId="77777777" w:rsidR="00823785" w:rsidRPr="00452D62" w:rsidRDefault="00823785" w:rsidP="00823785">
      <w:pPr>
        <w:rPr>
          <w:iCs/>
          <w:sz w:val="22"/>
          <w:szCs w:val="22"/>
        </w:rPr>
      </w:pPr>
    </w:p>
    <w:p w14:paraId="2499D464" w14:textId="77777777" w:rsidR="00823785" w:rsidRPr="00452D62" w:rsidRDefault="00823785" w:rsidP="00823785">
      <w:pPr>
        <w:rPr>
          <w:i/>
          <w:sz w:val="22"/>
          <w:szCs w:val="22"/>
        </w:rPr>
      </w:pPr>
      <w:r w:rsidRPr="00452D62">
        <w:rPr>
          <w:i/>
          <w:sz w:val="22"/>
          <w:szCs w:val="22"/>
        </w:rPr>
        <w:t>Insulto ir sisteminės embolijos profilaktika suaugusiesiems</w:t>
      </w:r>
    </w:p>
    <w:p w14:paraId="3C75BA66" w14:textId="77777777" w:rsidR="00823785" w:rsidRPr="00452D62" w:rsidRDefault="00823785" w:rsidP="00823785">
      <w:pPr>
        <w:rPr>
          <w:iCs/>
          <w:sz w:val="22"/>
          <w:szCs w:val="22"/>
        </w:rPr>
      </w:pPr>
      <w:r w:rsidRPr="00452D62">
        <w:rPr>
          <w:iCs/>
          <w:sz w:val="22"/>
          <w:szCs w:val="22"/>
        </w:rPr>
        <w:t>Rekomenduojama dozė yra 20 mg vieną kartą per parą, tai taip pat yra didžiausia rekomenduojama dozė.</w:t>
      </w:r>
    </w:p>
    <w:p w14:paraId="0B7CB7A2" w14:textId="77777777" w:rsidR="00823785" w:rsidRPr="00452D62" w:rsidRDefault="00823785" w:rsidP="00823785">
      <w:pPr>
        <w:rPr>
          <w:iCs/>
          <w:sz w:val="22"/>
          <w:szCs w:val="22"/>
        </w:rPr>
      </w:pPr>
    </w:p>
    <w:p w14:paraId="4A9D721B" w14:textId="280934A3" w:rsidR="00823785" w:rsidRPr="00452D62" w:rsidRDefault="00823785" w:rsidP="00823785">
      <w:pPr>
        <w:rPr>
          <w:iCs/>
          <w:sz w:val="22"/>
          <w:szCs w:val="22"/>
        </w:rPr>
      </w:pPr>
      <w:r w:rsidRPr="00452D62">
        <w:rPr>
          <w:iCs/>
          <w:sz w:val="22"/>
          <w:szCs w:val="22"/>
        </w:rPr>
        <w:t>Gydymą Xerdoxo reikia tęsti ilgą laiką, jei insulto ir sisteminės embolijos profilaktikos nauda yra didesnė negu kraujavimo rizika (žr. 4.4 skyrių).</w:t>
      </w:r>
    </w:p>
    <w:p w14:paraId="152F4EC0" w14:textId="77777777" w:rsidR="00823785" w:rsidRPr="00452D62" w:rsidRDefault="00823785" w:rsidP="00823785">
      <w:pPr>
        <w:rPr>
          <w:iCs/>
          <w:sz w:val="22"/>
          <w:szCs w:val="22"/>
        </w:rPr>
      </w:pPr>
    </w:p>
    <w:p w14:paraId="52ECE687" w14:textId="77777777" w:rsidR="00823785" w:rsidRPr="00452D62" w:rsidRDefault="00823785" w:rsidP="00823785">
      <w:pPr>
        <w:rPr>
          <w:iCs/>
          <w:sz w:val="22"/>
          <w:szCs w:val="22"/>
        </w:rPr>
      </w:pPr>
      <w:r w:rsidRPr="00452D62">
        <w:rPr>
          <w:iCs/>
          <w:sz w:val="22"/>
          <w:szCs w:val="22"/>
        </w:rPr>
        <w:t>Jei praleidžiama dozė, pacientas Xerdoxo turi išgerti nedelsiant ir nuo kitos dienos tęsti vartojimą vieną kartą per parą kaip rekomenduota.</w:t>
      </w:r>
      <w:r w:rsidRPr="00AE1B80">
        <w:rPr>
          <w:sz w:val="22"/>
          <w:szCs w:val="22"/>
        </w:rPr>
        <w:t xml:space="preserve"> </w:t>
      </w:r>
      <w:r w:rsidRPr="00452D62">
        <w:rPr>
          <w:iCs/>
          <w:sz w:val="22"/>
          <w:szCs w:val="22"/>
        </w:rPr>
        <w:t>Negalima vartoti dvigubos dozės tą pačią parą norint kompensuoti praleistą dozę.</w:t>
      </w:r>
    </w:p>
    <w:p w14:paraId="6554AD85" w14:textId="77777777" w:rsidR="00823785" w:rsidRPr="00452D62" w:rsidRDefault="00823785" w:rsidP="00823785">
      <w:pPr>
        <w:rPr>
          <w:iCs/>
          <w:sz w:val="22"/>
          <w:szCs w:val="22"/>
        </w:rPr>
      </w:pPr>
    </w:p>
    <w:p w14:paraId="7C91B768" w14:textId="77777777" w:rsidR="00823785" w:rsidRPr="00452D62" w:rsidRDefault="00823785" w:rsidP="00823785">
      <w:pPr>
        <w:rPr>
          <w:i/>
          <w:sz w:val="22"/>
          <w:szCs w:val="22"/>
        </w:rPr>
      </w:pPr>
      <w:r w:rsidRPr="00452D62">
        <w:rPr>
          <w:i/>
          <w:sz w:val="22"/>
          <w:szCs w:val="22"/>
        </w:rPr>
        <w:t>GVT gydymas, PE gydymas ir pasikartojančios GVT bei PE profilaktika suagusiesiems</w:t>
      </w:r>
    </w:p>
    <w:p w14:paraId="7D3606CA" w14:textId="77777777" w:rsidR="00823785" w:rsidRPr="00452D62" w:rsidRDefault="00823785" w:rsidP="00823785">
      <w:pPr>
        <w:rPr>
          <w:iCs/>
          <w:sz w:val="22"/>
          <w:szCs w:val="22"/>
        </w:rPr>
      </w:pPr>
      <w:r w:rsidRPr="00452D62">
        <w:rPr>
          <w:iCs/>
          <w:sz w:val="22"/>
          <w:szCs w:val="22"/>
        </w:rPr>
        <w:t>Pradedant gydyti ūminę GVT arba PE, pirmąsias tris savaites rekomenduojama dozė yra po 15 mg du kartus per parą; po to, tęsiant gydymą ir taikant pasikartojančios GVT bei PE profilaktiką, reikia vartoti 20 mg dozę vieną kartą per parą.</w:t>
      </w:r>
    </w:p>
    <w:p w14:paraId="1CAF76E2" w14:textId="77777777" w:rsidR="00823785" w:rsidRPr="00452D62" w:rsidRDefault="00823785" w:rsidP="00823785">
      <w:pPr>
        <w:rPr>
          <w:iCs/>
          <w:sz w:val="22"/>
          <w:szCs w:val="22"/>
        </w:rPr>
      </w:pPr>
    </w:p>
    <w:p w14:paraId="12708D8D" w14:textId="77777777" w:rsidR="00823785" w:rsidRPr="00452D62" w:rsidRDefault="00823785" w:rsidP="00823785">
      <w:pPr>
        <w:rPr>
          <w:iCs/>
          <w:sz w:val="22"/>
          <w:szCs w:val="22"/>
        </w:rPr>
      </w:pPr>
      <w:r w:rsidRPr="00452D62">
        <w:rPr>
          <w:iCs/>
          <w:sz w:val="22"/>
          <w:szCs w:val="22"/>
        </w:rPr>
        <w:t>Pacientams, sergantiems GVT arba PE, kurią išprovokavo didieji laikini rizikos veiksniai (t. y. neseniai atlikta didžioji chirurginė operacija arba trauma), reikia apsvarstyti trumpalaikį gydymą (bent 3 mėnesius). Pacientams, sergantiems išprovokuota GVT arba PE, nesusijusia su didžiaisiais laikinais rizikos veiksniais, neišprovokuota GVT arba PE, arba anksčiau patyrusiems pasikartojančią GVT arba PE, reikia apsvarstyti ilgesnę gydymo trukmę.</w:t>
      </w:r>
    </w:p>
    <w:p w14:paraId="02F31EB6" w14:textId="77777777" w:rsidR="00823785" w:rsidRPr="00452D62" w:rsidRDefault="00823785" w:rsidP="00823785">
      <w:pPr>
        <w:rPr>
          <w:iCs/>
          <w:sz w:val="22"/>
          <w:szCs w:val="22"/>
        </w:rPr>
      </w:pPr>
    </w:p>
    <w:p w14:paraId="43EDE058" w14:textId="77777777" w:rsidR="00823785" w:rsidRPr="00452D62" w:rsidRDefault="00823785" w:rsidP="00823785">
      <w:pPr>
        <w:rPr>
          <w:iCs/>
          <w:sz w:val="22"/>
          <w:szCs w:val="22"/>
        </w:rPr>
      </w:pPr>
      <w:r w:rsidRPr="00452D62">
        <w:rPr>
          <w:iCs/>
          <w:sz w:val="22"/>
          <w:szCs w:val="22"/>
        </w:rPr>
        <w:t>Kai taikytina tęstinė pasikartojančios GVT ir PE profilaktika (užbaigus bent 6 mėnesių trukmės GVT arba PE gydymą), rekomenduojama dozė yra 10 mg vieną kartą per parą. Pacientams, kuriems yra didelė pasikartojančios GVT arba PE rizika, pvz., sergantiems komplikuotomis gretutinėmis ligomis arba tęstinės profilaktikos laikotarpiu, vartojant 10 mg Xerdoxo dozę vieną kartą per parą, patyrusiems pasikartojančią GVT arba PE, reikia apsvarstyti 20 mg Xerdoxo dozės vartojimą kartą per parą.</w:t>
      </w:r>
    </w:p>
    <w:p w14:paraId="17C45A9A" w14:textId="77777777" w:rsidR="00823785" w:rsidRPr="00452D62" w:rsidRDefault="00823785" w:rsidP="00823785">
      <w:pPr>
        <w:rPr>
          <w:iCs/>
          <w:sz w:val="22"/>
          <w:szCs w:val="22"/>
        </w:rPr>
      </w:pPr>
    </w:p>
    <w:p w14:paraId="62D48D20" w14:textId="04352B48" w:rsidR="00823785" w:rsidRPr="00452D62" w:rsidRDefault="00823785" w:rsidP="00823785">
      <w:pPr>
        <w:rPr>
          <w:iCs/>
          <w:sz w:val="22"/>
          <w:szCs w:val="22"/>
        </w:rPr>
      </w:pPr>
      <w:r w:rsidRPr="00452D62">
        <w:rPr>
          <w:iCs/>
          <w:sz w:val="22"/>
          <w:szCs w:val="22"/>
        </w:rPr>
        <w:t>Gydymo trukmę ir dozavimą reikia parinkti individualiai po to, kai kruopščiai įvertinama gydymo nauda ir kraujavimo rizika (žr. 4.4 skyrių).</w:t>
      </w:r>
    </w:p>
    <w:p w14:paraId="0F36F3E6" w14:textId="77777777" w:rsidR="00823785" w:rsidRPr="00452D62" w:rsidRDefault="00823785" w:rsidP="00823785">
      <w:pPr>
        <w:widowControl w:val="0"/>
        <w:tabs>
          <w:tab w:val="clear" w:pos="567"/>
        </w:tabs>
        <w:suppressAutoHyphens w:val="0"/>
        <w:spacing w:line="240" w:lineRule="auto"/>
        <w:rPr>
          <w:color w:val="auto"/>
          <w:sz w:val="22"/>
          <w:szCs w:val="22"/>
          <w:lang w:eastAsia="sl-SI"/>
        </w:rPr>
      </w:pPr>
    </w:p>
    <w:tbl>
      <w:tblPr>
        <w:tblStyle w:val="Lentelstinklelis"/>
        <w:tblW w:w="9223" w:type="dxa"/>
        <w:tblLayout w:type="fixed"/>
        <w:tblLook w:val="01E0" w:firstRow="1" w:lastRow="1" w:firstColumn="1" w:lastColumn="1" w:noHBand="0" w:noVBand="0"/>
      </w:tblPr>
      <w:tblGrid>
        <w:gridCol w:w="2340"/>
        <w:gridCol w:w="2371"/>
        <w:gridCol w:w="2369"/>
        <w:gridCol w:w="2143"/>
      </w:tblGrid>
      <w:tr w:rsidR="00823785" w:rsidRPr="00452D62" w14:paraId="0CA80C6B" w14:textId="77777777" w:rsidTr="006453B9">
        <w:trPr>
          <w:trHeight w:hRule="exact" w:val="324"/>
        </w:trPr>
        <w:tc>
          <w:tcPr>
            <w:tcW w:w="2340" w:type="dxa"/>
          </w:tcPr>
          <w:p w14:paraId="4A3767EA" w14:textId="77777777" w:rsidR="00823785" w:rsidRPr="005B7B93" w:rsidRDefault="00823785" w:rsidP="006453B9">
            <w:pPr>
              <w:widowControl w:val="0"/>
              <w:tabs>
                <w:tab w:val="clear" w:pos="567"/>
              </w:tabs>
              <w:suppressAutoHyphens w:val="0"/>
              <w:spacing w:line="240" w:lineRule="auto"/>
              <w:rPr>
                <w:rFonts w:ascii="Times New Roman" w:hAnsi="Times New Roman"/>
                <w:color w:val="auto"/>
                <w:sz w:val="22"/>
                <w:szCs w:val="22"/>
              </w:rPr>
            </w:pPr>
          </w:p>
        </w:tc>
        <w:tc>
          <w:tcPr>
            <w:tcW w:w="2371" w:type="dxa"/>
          </w:tcPr>
          <w:p w14:paraId="4A9A6009" w14:textId="77777777" w:rsidR="00823785" w:rsidRPr="005B7B93" w:rsidRDefault="00823785" w:rsidP="006453B9">
            <w:pPr>
              <w:widowControl w:val="0"/>
              <w:tabs>
                <w:tab w:val="clear" w:pos="567"/>
              </w:tabs>
              <w:suppressAutoHyphens w:val="0"/>
              <w:spacing w:line="240" w:lineRule="auto"/>
              <w:ind w:right="-20"/>
              <w:rPr>
                <w:rFonts w:ascii="Times New Roman" w:hAnsi="Times New Roman"/>
                <w:color w:val="auto"/>
                <w:sz w:val="22"/>
                <w:szCs w:val="22"/>
              </w:rPr>
            </w:pPr>
            <w:r w:rsidRPr="005B7B93">
              <w:rPr>
                <w:b/>
                <w:color w:val="auto"/>
                <w:sz w:val="22"/>
                <w:szCs w:val="22"/>
              </w:rPr>
              <w:t>Laikotarpis</w:t>
            </w:r>
          </w:p>
        </w:tc>
        <w:tc>
          <w:tcPr>
            <w:tcW w:w="2369" w:type="dxa"/>
          </w:tcPr>
          <w:p w14:paraId="1F6325EB" w14:textId="77777777" w:rsidR="00823785" w:rsidRPr="005B7B93" w:rsidRDefault="00823785" w:rsidP="006453B9">
            <w:pPr>
              <w:widowControl w:val="0"/>
              <w:tabs>
                <w:tab w:val="clear" w:pos="567"/>
              </w:tabs>
              <w:suppressAutoHyphens w:val="0"/>
              <w:spacing w:line="240" w:lineRule="auto"/>
              <w:ind w:right="-20"/>
              <w:rPr>
                <w:rFonts w:ascii="Times New Roman" w:hAnsi="Times New Roman"/>
                <w:color w:val="auto"/>
                <w:sz w:val="22"/>
                <w:szCs w:val="22"/>
              </w:rPr>
            </w:pPr>
            <w:r w:rsidRPr="005B7B93">
              <w:rPr>
                <w:b/>
                <w:color w:val="auto"/>
                <w:sz w:val="22"/>
                <w:szCs w:val="22"/>
              </w:rPr>
              <w:t>Dozavimo schema</w:t>
            </w:r>
          </w:p>
        </w:tc>
        <w:tc>
          <w:tcPr>
            <w:tcW w:w="2143" w:type="dxa"/>
          </w:tcPr>
          <w:p w14:paraId="39B26A62" w14:textId="77777777" w:rsidR="00823785" w:rsidRPr="005B7B93" w:rsidRDefault="00823785" w:rsidP="006453B9">
            <w:pPr>
              <w:widowControl w:val="0"/>
              <w:tabs>
                <w:tab w:val="clear" w:pos="567"/>
              </w:tabs>
              <w:suppressAutoHyphens w:val="0"/>
              <w:spacing w:line="240" w:lineRule="auto"/>
              <w:ind w:right="-20"/>
              <w:rPr>
                <w:rFonts w:ascii="Times New Roman" w:hAnsi="Times New Roman"/>
                <w:color w:val="auto"/>
                <w:sz w:val="22"/>
                <w:szCs w:val="22"/>
              </w:rPr>
            </w:pPr>
            <w:r w:rsidRPr="005B7B93">
              <w:rPr>
                <w:b/>
                <w:color w:val="auto"/>
                <w:sz w:val="22"/>
                <w:szCs w:val="22"/>
              </w:rPr>
              <w:t>Bendroji paros dozė</w:t>
            </w:r>
          </w:p>
        </w:tc>
      </w:tr>
      <w:tr w:rsidR="00823785" w:rsidRPr="00452D62" w14:paraId="2254EE67" w14:textId="77777777" w:rsidTr="006453B9">
        <w:trPr>
          <w:trHeight w:hRule="exact" w:val="509"/>
        </w:trPr>
        <w:tc>
          <w:tcPr>
            <w:tcW w:w="2340" w:type="dxa"/>
            <w:vMerge w:val="restart"/>
          </w:tcPr>
          <w:p w14:paraId="25F11E0B" w14:textId="77777777" w:rsidR="00823785" w:rsidRPr="005B7B93" w:rsidRDefault="00823785" w:rsidP="006453B9">
            <w:pPr>
              <w:widowControl w:val="0"/>
              <w:tabs>
                <w:tab w:val="clear" w:pos="567"/>
              </w:tabs>
              <w:suppressAutoHyphens w:val="0"/>
              <w:spacing w:line="240" w:lineRule="auto"/>
              <w:ind w:right="-20"/>
              <w:rPr>
                <w:rFonts w:ascii="Times New Roman" w:hAnsi="Times New Roman"/>
                <w:color w:val="auto"/>
                <w:sz w:val="22"/>
                <w:szCs w:val="22"/>
              </w:rPr>
            </w:pPr>
            <w:r w:rsidRPr="005B7B93">
              <w:rPr>
                <w:color w:val="auto"/>
                <w:sz w:val="22"/>
                <w:szCs w:val="22"/>
              </w:rPr>
              <w:t>Pasikartojančios GVT bei PE gydymas ir profilaktika</w:t>
            </w:r>
          </w:p>
        </w:tc>
        <w:tc>
          <w:tcPr>
            <w:tcW w:w="2371" w:type="dxa"/>
          </w:tcPr>
          <w:p w14:paraId="2E1A562D" w14:textId="77777777" w:rsidR="00823785" w:rsidRPr="005B7B93" w:rsidRDefault="00823785" w:rsidP="006453B9">
            <w:pPr>
              <w:widowControl w:val="0"/>
              <w:tabs>
                <w:tab w:val="clear" w:pos="567"/>
              </w:tabs>
              <w:suppressAutoHyphens w:val="0"/>
              <w:spacing w:line="240" w:lineRule="auto"/>
              <w:ind w:right="-20"/>
              <w:rPr>
                <w:rFonts w:ascii="Times New Roman" w:hAnsi="Times New Roman"/>
                <w:color w:val="auto"/>
                <w:sz w:val="22"/>
                <w:szCs w:val="22"/>
              </w:rPr>
            </w:pPr>
            <w:r w:rsidRPr="005B7B93">
              <w:rPr>
                <w:color w:val="auto"/>
                <w:sz w:val="22"/>
                <w:szCs w:val="22"/>
              </w:rPr>
              <w:t>1</w:t>
            </w:r>
            <w:r w:rsidRPr="005B7B93">
              <w:rPr>
                <w:color w:val="auto"/>
                <w:sz w:val="22"/>
                <w:szCs w:val="22"/>
              </w:rPr>
              <w:noBreakHyphen/>
              <w:t>21 diena</w:t>
            </w:r>
          </w:p>
        </w:tc>
        <w:tc>
          <w:tcPr>
            <w:tcW w:w="2369" w:type="dxa"/>
          </w:tcPr>
          <w:p w14:paraId="4368CF71" w14:textId="77777777" w:rsidR="00823785" w:rsidRPr="005B7B93" w:rsidRDefault="00823785" w:rsidP="006453B9">
            <w:pPr>
              <w:widowControl w:val="0"/>
              <w:tabs>
                <w:tab w:val="clear" w:pos="567"/>
              </w:tabs>
              <w:suppressAutoHyphens w:val="0"/>
              <w:spacing w:line="240" w:lineRule="auto"/>
              <w:ind w:right="-20"/>
              <w:rPr>
                <w:rFonts w:ascii="Times New Roman" w:hAnsi="Times New Roman"/>
                <w:color w:val="auto"/>
                <w:sz w:val="22"/>
                <w:szCs w:val="22"/>
              </w:rPr>
            </w:pPr>
            <w:r w:rsidRPr="005B7B93">
              <w:rPr>
                <w:color w:val="auto"/>
                <w:sz w:val="22"/>
                <w:szCs w:val="22"/>
              </w:rPr>
              <w:t>Po 15 mg du kartus per parą</w:t>
            </w:r>
          </w:p>
        </w:tc>
        <w:tc>
          <w:tcPr>
            <w:tcW w:w="2143" w:type="dxa"/>
          </w:tcPr>
          <w:p w14:paraId="26EB0CC0" w14:textId="77777777" w:rsidR="00823785" w:rsidRPr="005B7B93" w:rsidRDefault="00823785" w:rsidP="006453B9">
            <w:pPr>
              <w:widowControl w:val="0"/>
              <w:tabs>
                <w:tab w:val="clear" w:pos="567"/>
              </w:tabs>
              <w:suppressAutoHyphens w:val="0"/>
              <w:spacing w:line="240" w:lineRule="auto"/>
              <w:ind w:right="-20"/>
              <w:rPr>
                <w:rFonts w:ascii="Times New Roman" w:hAnsi="Times New Roman"/>
                <w:color w:val="auto"/>
                <w:sz w:val="22"/>
                <w:szCs w:val="22"/>
              </w:rPr>
            </w:pPr>
            <w:r w:rsidRPr="005B7B93">
              <w:rPr>
                <w:color w:val="auto"/>
                <w:sz w:val="22"/>
                <w:szCs w:val="22"/>
              </w:rPr>
              <w:t>30 mg</w:t>
            </w:r>
          </w:p>
        </w:tc>
      </w:tr>
      <w:tr w:rsidR="00823785" w:rsidRPr="00452D62" w14:paraId="201FC444" w14:textId="77777777" w:rsidTr="006453B9">
        <w:trPr>
          <w:trHeight w:hRule="exact" w:val="529"/>
        </w:trPr>
        <w:tc>
          <w:tcPr>
            <w:tcW w:w="2340" w:type="dxa"/>
            <w:vMerge/>
          </w:tcPr>
          <w:p w14:paraId="2F4AB84A" w14:textId="77777777" w:rsidR="00823785" w:rsidRPr="00AE1B80" w:rsidRDefault="00823785" w:rsidP="006453B9">
            <w:pPr>
              <w:widowControl w:val="0"/>
              <w:tabs>
                <w:tab w:val="clear" w:pos="567"/>
              </w:tabs>
              <w:suppressAutoHyphens w:val="0"/>
              <w:spacing w:line="240" w:lineRule="auto"/>
              <w:rPr>
                <w:rFonts w:ascii="Times New Roman" w:hAnsi="Times New Roman"/>
                <w:color w:val="auto"/>
                <w:sz w:val="22"/>
                <w:szCs w:val="22"/>
              </w:rPr>
            </w:pPr>
          </w:p>
        </w:tc>
        <w:tc>
          <w:tcPr>
            <w:tcW w:w="2371" w:type="dxa"/>
          </w:tcPr>
          <w:p w14:paraId="608CC4AD" w14:textId="77777777" w:rsidR="00823785" w:rsidRPr="005B7B93" w:rsidRDefault="00823785" w:rsidP="006453B9">
            <w:pPr>
              <w:widowControl w:val="0"/>
              <w:tabs>
                <w:tab w:val="clear" w:pos="567"/>
              </w:tabs>
              <w:suppressAutoHyphens w:val="0"/>
              <w:spacing w:line="240" w:lineRule="auto"/>
              <w:ind w:right="-20"/>
              <w:rPr>
                <w:rFonts w:ascii="Times New Roman" w:hAnsi="Times New Roman"/>
                <w:color w:val="auto"/>
                <w:sz w:val="22"/>
                <w:szCs w:val="22"/>
              </w:rPr>
            </w:pPr>
            <w:r w:rsidRPr="00AE1B80">
              <w:rPr>
                <w:color w:val="auto"/>
                <w:sz w:val="22"/>
                <w:szCs w:val="22"/>
              </w:rPr>
              <w:t>Nuo 22 dienos</w:t>
            </w:r>
          </w:p>
        </w:tc>
        <w:tc>
          <w:tcPr>
            <w:tcW w:w="2369" w:type="dxa"/>
          </w:tcPr>
          <w:p w14:paraId="1361F9DE" w14:textId="77777777" w:rsidR="00823785" w:rsidRPr="005B7B93" w:rsidRDefault="00823785" w:rsidP="006453B9">
            <w:pPr>
              <w:widowControl w:val="0"/>
              <w:tabs>
                <w:tab w:val="clear" w:pos="567"/>
              </w:tabs>
              <w:suppressAutoHyphens w:val="0"/>
              <w:spacing w:line="240" w:lineRule="auto"/>
              <w:ind w:right="-20"/>
              <w:rPr>
                <w:rFonts w:ascii="Times New Roman" w:hAnsi="Times New Roman"/>
                <w:color w:val="auto"/>
                <w:sz w:val="22"/>
                <w:szCs w:val="22"/>
              </w:rPr>
            </w:pPr>
            <w:r w:rsidRPr="00AE1B80">
              <w:rPr>
                <w:color w:val="auto"/>
                <w:sz w:val="22"/>
                <w:szCs w:val="22"/>
              </w:rPr>
              <w:t>Po 20 mg vieną kartą per parą</w:t>
            </w:r>
          </w:p>
        </w:tc>
        <w:tc>
          <w:tcPr>
            <w:tcW w:w="2143" w:type="dxa"/>
          </w:tcPr>
          <w:p w14:paraId="30BB6508" w14:textId="77777777" w:rsidR="00823785" w:rsidRPr="005B7B93" w:rsidRDefault="00823785" w:rsidP="006453B9">
            <w:pPr>
              <w:widowControl w:val="0"/>
              <w:tabs>
                <w:tab w:val="clear" w:pos="567"/>
              </w:tabs>
              <w:suppressAutoHyphens w:val="0"/>
              <w:spacing w:line="240" w:lineRule="auto"/>
              <w:ind w:right="-20"/>
              <w:rPr>
                <w:rFonts w:ascii="Times New Roman" w:hAnsi="Times New Roman"/>
                <w:color w:val="auto"/>
                <w:sz w:val="22"/>
                <w:szCs w:val="22"/>
              </w:rPr>
            </w:pPr>
            <w:r w:rsidRPr="00AE1B80">
              <w:rPr>
                <w:color w:val="auto"/>
                <w:sz w:val="22"/>
                <w:szCs w:val="22"/>
              </w:rPr>
              <w:t>20 mg</w:t>
            </w:r>
          </w:p>
        </w:tc>
      </w:tr>
      <w:tr w:rsidR="00823785" w:rsidRPr="00452D62" w14:paraId="35600D56" w14:textId="77777777" w:rsidTr="006453B9">
        <w:trPr>
          <w:trHeight w:hRule="exact" w:val="826"/>
        </w:trPr>
        <w:tc>
          <w:tcPr>
            <w:tcW w:w="2340" w:type="dxa"/>
          </w:tcPr>
          <w:p w14:paraId="7DB92ECE" w14:textId="77777777" w:rsidR="00823785" w:rsidRPr="005B7B93" w:rsidRDefault="00823785" w:rsidP="006453B9">
            <w:pPr>
              <w:widowControl w:val="0"/>
              <w:tabs>
                <w:tab w:val="clear" w:pos="567"/>
              </w:tabs>
              <w:suppressAutoHyphens w:val="0"/>
              <w:spacing w:line="240" w:lineRule="auto"/>
              <w:ind w:right="-20"/>
              <w:rPr>
                <w:rFonts w:ascii="Times New Roman" w:hAnsi="Times New Roman"/>
                <w:color w:val="auto"/>
                <w:sz w:val="22"/>
                <w:szCs w:val="22"/>
              </w:rPr>
            </w:pPr>
            <w:r w:rsidRPr="005B7B93">
              <w:rPr>
                <w:color w:val="auto"/>
                <w:sz w:val="22"/>
                <w:szCs w:val="22"/>
              </w:rPr>
              <w:t>Pasikartojančios GVT bei PE profilaktika</w:t>
            </w:r>
          </w:p>
        </w:tc>
        <w:tc>
          <w:tcPr>
            <w:tcW w:w="2371" w:type="dxa"/>
          </w:tcPr>
          <w:p w14:paraId="44458754" w14:textId="77777777" w:rsidR="00823785" w:rsidRPr="005B7B93" w:rsidRDefault="00823785" w:rsidP="006453B9">
            <w:pPr>
              <w:widowControl w:val="0"/>
              <w:tabs>
                <w:tab w:val="clear" w:pos="567"/>
              </w:tabs>
              <w:suppressAutoHyphens w:val="0"/>
              <w:spacing w:line="240" w:lineRule="auto"/>
              <w:ind w:right="171"/>
              <w:rPr>
                <w:rFonts w:ascii="Times New Roman" w:hAnsi="Times New Roman"/>
                <w:color w:val="auto"/>
                <w:sz w:val="22"/>
                <w:szCs w:val="22"/>
              </w:rPr>
            </w:pPr>
            <w:r w:rsidRPr="005B7B93">
              <w:rPr>
                <w:color w:val="auto"/>
                <w:sz w:val="22"/>
                <w:szCs w:val="22"/>
              </w:rPr>
              <w:t>Užbaigus bent 6 mėnesių trukmės GVT arba PE gydymą</w:t>
            </w:r>
          </w:p>
        </w:tc>
        <w:tc>
          <w:tcPr>
            <w:tcW w:w="2369" w:type="dxa"/>
          </w:tcPr>
          <w:p w14:paraId="3A6569F9" w14:textId="77777777" w:rsidR="00823785" w:rsidRPr="005B7B93" w:rsidRDefault="00823785" w:rsidP="006453B9">
            <w:pPr>
              <w:widowControl w:val="0"/>
              <w:tabs>
                <w:tab w:val="clear" w:pos="567"/>
              </w:tabs>
              <w:suppressAutoHyphens w:val="0"/>
              <w:spacing w:line="240" w:lineRule="auto"/>
              <w:ind w:right="-20"/>
              <w:rPr>
                <w:rFonts w:ascii="Times New Roman" w:hAnsi="Times New Roman"/>
                <w:color w:val="auto"/>
                <w:sz w:val="22"/>
                <w:szCs w:val="22"/>
              </w:rPr>
            </w:pPr>
            <w:r w:rsidRPr="005B7B93">
              <w:rPr>
                <w:color w:val="auto"/>
                <w:sz w:val="22"/>
                <w:szCs w:val="22"/>
              </w:rPr>
              <w:t>Po 10 mg vieną kartą per parą arba po 20 mg du kartus per parą</w:t>
            </w:r>
          </w:p>
        </w:tc>
        <w:tc>
          <w:tcPr>
            <w:tcW w:w="2143" w:type="dxa"/>
          </w:tcPr>
          <w:p w14:paraId="5F9F41BC" w14:textId="77777777" w:rsidR="00823785" w:rsidRPr="005B7B93" w:rsidRDefault="00823785" w:rsidP="006453B9">
            <w:pPr>
              <w:widowControl w:val="0"/>
              <w:tabs>
                <w:tab w:val="clear" w:pos="567"/>
              </w:tabs>
              <w:suppressAutoHyphens w:val="0"/>
              <w:spacing w:line="240" w:lineRule="auto"/>
              <w:ind w:right="-20"/>
              <w:rPr>
                <w:rFonts w:ascii="Times New Roman" w:hAnsi="Times New Roman"/>
                <w:color w:val="auto"/>
                <w:sz w:val="22"/>
                <w:szCs w:val="22"/>
              </w:rPr>
            </w:pPr>
            <w:r w:rsidRPr="005B7B93">
              <w:rPr>
                <w:color w:val="auto"/>
                <w:sz w:val="22"/>
                <w:szCs w:val="22"/>
              </w:rPr>
              <w:t>10 mg</w:t>
            </w:r>
          </w:p>
          <w:p w14:paraId="7BA99FB0" w14:textId="77777777" w:rsidR="00823785" w:rsidRPr="005B7B93" w:rsidRDefault="00823785" w:rsidP="006453B9">
            <w:pPr>
              <w:widowControl w:val="0"/>
              <w:tabs>
                <w:tab w:val="clear" w:pos="567"/>
              </w:tabs>
              <w:suppressAutoHyphens w:val="0"/>
              <w:spacing w:line="240" w:lineRule="auto"/>
              <w:ind w:right="-20"/>
              <w:rPr>
                <w:rFonts w:ascii="Times New Roman" w:hAnsi="Times New Roman"/>
                <w:color w:val="auto"/>
                <w:sz w:val="22"/>
                <w:szCs w:val="22"/>
              </w:rPr>
            </w:pPr>
            <w:r w:rsidRPr="005B7B93">
              <w:rPr>
                <w:color w:val="auto"/>
                <w:sz w:val="22"/>
                <w:szCs w:val="22"/>
              </w:rPr>
              <w:t>arba 20 mg</w:t>
            </w:r>
          </w:p>
        </w:tc>
      </w:tr>
    </w:tbl>
    <w:p w14:paraId="40EC7362" w14:textId="77777777" w:rsidR="00823785" w:rsidRPr="00452D62" w:rsidRDefault="00823785" w:rsidP="00823785">
      <w:pPr>
        <w:rPr>
          <w:iCs/>
          <w:sz w:val="22"/>
          <w:szCs w:val="22"/>
        </w:rPr>
      </w:pPr>
    </w:p>
    <w:p w14:paraId="4A1359F5" w14:textId="77777777" w:rsidR="00823785" w:rsidRPr="00452D62" w:rsidRDefault="00823785" w:rsidP="00823785">
      <w:pPr>
        <w:rPr>
          <w:iCs/>
          <w:sz w:val="22"/>
          <w:szCs w:val="22"/>
        </w:rPr>
      </w:pPr>
      <w:r w:rsidRPr="00452D62">
        <w:rPr>
          <w:iCs/>
          <w:sz w:val="22"/>
          <w:szCs w:val="22"/>
        </w:rPr>
        <w:t>Jei pacientas pamiršo pavartoti dozę gydymo laikotarpiu, kai vartojama po 15 mg du kartus per parą (1</w:t>
      </w:r>
      <w:r w:rsidRPr="00452D62">
        <w:rPr>
          <w:iCs/>
          <w:sz w:val="22"/>
          <w:szCs w:val="22"/>
        </w:rPr>
        <w:noBreakHyphen/>
        <w:t>21 dieną), jis Xerdoxo turi išgerti nedelsdamas, taip užtikrindamas, kad per parą suvartos 30 mg Xerdoxo dozę. Tokiu atveju gali prireikti suvartoti dvi 15 mg tabletes iš karto. Kitą parą pacientas turi toliau vartoti po 15 mg du kartus per parą, kaip rekomenduojama.</w:t>
      </w:r>
    </w:p>
    <w:p w14:paraId="636EE04C" w14:textId="77777777" w:rsidR="00823785" w:rsidRPr="00452D62" w:rsidRDefault="00823785" w:rsidP="00823785">
      <w:pPr>
        <w:rPr>
          <w:iCs/>
          <w:sz w:val="22"/>
          <w:szCs w:val="22"/>
        </w:rPr>
      </w:pPr>
    </w:p>
    <w:p w14:paraId="2F9FAAB6" w14:textId="77777777" w:rsidR="00823785" w:rsidRPr="00452D62" w:rsidRDefault="00823785" w:rsidP="00823785">
      <w:pPr>
        <w:rPr>
          <w:iCs/>
          <w:sz w:val="22"/>
          <w:szCs w:val="22"/>
        </w:rPr>
      </w:pPr>
      <w:r w:rsidRPr="00452D62">
        <w:rPr>
          <w:iCs/>
          <w:sz w:val="22"/>
          <w:szCs w:val="22"/>
        </w:rPr>
        <w:t>Jei pacientas pamiršo pavartoti dozę gydymo laikotarpiu, kai vaistinio preparato vartojama vieną kartą per parą, jis Xerdoxo turi išgerti nedelsdamas, o kitą dieną toliau vartoti vaistinį preparatą vieną kartą per parą, kaip rekomenduojama. Negalima vartoti dvigubos dozės tą pačią parą norint kompensuoti praleistą dozę.</w:t>
      </w:r>
    </w:p>
    <w:p w14:paraId="179467ED" w14:textId="77777777" w:rsidR="00407EB3" w:rsidRPr="00452D62" w:rsidRDefault="00407EB3" w:rsidP="00407EB3">
      <w:pPr>
        <w:pStyle w:val="Default"/>
        <w:rPr>
          <w:i/>
          <w:iCs/>
          <w:sz w:val="22"/>
          <w:szCs w:val="22"/>
        </w:rPr>
      </w:pPr>
    </w:p>
    <w:p w14:paraId="1C8F8CD6" w14:textId="4D3C2641" w:rsidR="00407EB3" w:rsidRPr="00452D62" w:rsidRDefault="00407EB3" w:rsidP="00407EB3">
      <w:pPr>
        <w:pStyle w:val="Default"/>
        <w:rPr>
          <w:sz w:val="22"/>
          <w:szCs w:val="22"/>
        </w:rPr>
      </w:pPr>
      <w:r w:rsidRPr="00452D62">
        <w:rPr>
          <w:i/>
          <w:iCs/>
          <w:sz w:val="22"/>
          <w:szCs w:val="22"/>
        </w:rPr>
        <w:t xml:space="preserve">VTE gydymas ir pasikartojančios VTE profilaktika vaikams ir paaugliams </w:t>
      </w:r>
    </w:p>
    <w:p w14:paraId="4A1AB4EC" w14:textId="19ACA2BA" w:rsidR="00407EB3" w:rsidRPr="00452D62" w:rsidRDefault="00407EB3" w:rsidP="00407EB3">
      <w:pPr>
        <w:pStyle w:val="Default"/>
        <w:rPr>
          <w:sz w:val="22"/>
          <w:szCs w:val="22"/>
        </w:rPr>
      </w:pPr>
      <w:r w:rsidRPr="00452D62">
        <w:rPr>
          <w:sz w:val="22"/>
          <w:szCs w:val="22"/>
        </w:rPr>
        <w:t>Gydymą Xerdoxo vaikams ir paaugliams, jaunesniems kaip 18 metų amžiaus, reikia pradėti po ne trumpiau kaip 5 dienas taikyto krešėjimą slopinančio pradinio parenterinio gydymo (žr. 5.1 skyrių</w:t>
      </w:r>
      <w:r w:rsidR="00A24C54" w:rsidRPr="00452D62">
        <w:rPr>
          <w:sz w:val="22"/>
          <w:szCs w:val="22"/>
        </w:rPr>
        <w:t>).</w:t>
      </w:r>
    </w:p>
    <w:p w14:paraId="0EEB7CDC" w14:textId="77777777" w:rsidR="00A24C54" w:rsidRPr="00452D62" w:rsidRDefault="00A24C54" w:rsidP="00407EB3">
      <w:pPr>
        <w:pStyle w:val="Default"/>
        <w:rPr>
          <w:sz w:val="22"/>
          <w:szCs w:val="22"/>
        </w:rPr>
      </w:pPr>
    </w:p>
    <w:p w14:paraId="7D9BB100" w14:textId="1EC6B1EA" w:rsidR="00407EB3" w:rsidRPr="00452D62" w:rsidRDefault="00407EB3" w:rsidP="00407EB3">
      <w:pPr>
        <w:pStyle w:val="Default"/>
        <w:rPr>
          <w:sz w:val="22"/>
          <w:szCs w:val="22"/>
        </w:rPr>
      </w:pPr>
      <w:r w:rsidRPr="00452D62">
        <w:rPr>
          <w:sz w:val="22"/>
          <w:szCs w:val="22"/>
        </w:rPr>
        <w:t>Vaikams ir paaugliams dozė apskaičiuojama pagal kūno svorį.</w:t>
      </w:r>
    </w:p>
    <w:p w14:paraId="717B4F8E" w14:textId="77777777" w:rsidR="00407EB3" w:rsidRPr="00452D62" w:rsidRDefault="00407EB3" w:rsidP="00407EB3">
      <w:pPr>
        <w:pStyle w:val="Default"/>
        <w:rPr>
          <w:sz w:val="22"/>
          <w:szCs w:val="22"/>
        </w:rPr>
      </w:pPr>
      <w:r w:rsidRPr="00452D62">
        <w:rPr>
          <w:sz w:val="22"/>
          <w:szCs w:val="22"/>
        </w:rPr>
        <w:t>-</w:t>
      </w:r>
      <w:r w:rsidRPr="00452D62">
        <w:rPr>
          <w:sz w:val="22"/>
          <w:szCs w:val="22"/>
        </w:rPr>
        <w:tab/>
        <w:t>30-50 kg kūno svoris:</w:t>
      </w:r>
    </w:p>
    <w:p w14:paraId="0B7ADB32" w14:textId="2A83064F" w:rsidR="00407EB3" w:rsidRPr="00452D62" w:rsidRDefault="00407EB3" w:rsidP="00AE1B80">
      <w:pPr>
        <w:pStyle w:val="Default"/>
        <w:ind w:left="567"/>
        <w:rPr>
          <w:sz w:val="22"/>
          <w:szCs w:val="22"/>
        </w:rPr>
      </w:pPr>
      <w:r w:rsidRPr="00452D62">
        <w:rPr>
          <w:sz w:val="22"/>
          <w:szCs w:val="22"/>
        </w:rPr>
        <w:t>rekomenduojama vartoti 15</w:t>
      </w:r>
      <w:r w:rsidR="005B7B93">
        <w:rPr>
          <w:sz w:val="22"/>
          <w:szCs w:val="22"/>
        </w:rPr>
        <w:t> </w:t>
      </w:r>
      <w:r w:rsidRPr="00452D62">
        <w:rPr>
          <w:sz w:val="22"/>
          <w:szCs w:val="22"/>
        </w:rPr>
        <w:t>mg rivaroksabano dozę vieną kartą per parą. Tai didžiausia paros dozė.</w:t>
      </w:r>
    </w:p>
    <w:p w14:paraId="32B270D3" w14:textId="2A0D5FEC" w:rsidR="00407EB3" w:rsidRPr="00452D62" w:rsidRDefault="0097388A" w:rsidP="0097388A">
      <w:pPr>
        <w:pStyle w:val="Default"/>
        <w:rPr>
          <w:sz w:val="22"/>
          <w:szCs w:val="22"/>
        </w:rPr>
      </w:pPr>
      <w:r w:rsidRPr="00452D62">
        <w:rPr>
          <w:sz w:val="22"/>
          <w:szCs w:val="22"/>
        </w:rPr>
        <w:t>-</w:t>
      </w:r>
      <w:r w:rsidRPr="00452D62">
        <w:rPr>
          <w:sz w:val="22"/>
          <w:szCs w:val="22"/>
        </w:rPr>
        <w:tab/>
        <w:t>50 </w:t>
      </w:r>
      <w:r w:rsidR="00407EB3" w:rsidRPr="00AE1B80">
        <w:rPr>
          <w:sz w:val="22"/>
          <w:szCs w:val="22"/>
        </w:rPr>
        <w:t>kg arba didesnis kūno svoris:</w:t>
      </w:r>
    </w:p>
    <w:p w14:paraId="7B348705" w14:textId="7228876E" w:rsidR="00407EB3" w:rsidRPr="00AE1B80" w:rsidRDefault="0097388A" w:rsidP="00AE1B80">
      <w:pPr>
        <w:pStyle w:val="Default"/>
        <w:ind w:left="567"/>
        <w:rPr>
          <w:sz w:val="22"/>
          <w:szCs w:val="22"/>
        </w:rPr>
      </w:pPr>
      <w:r w:rsidRPr="000877E9">
        <w:rPr>
          <w:sz w:val="22"/>
          <w:szCs w:val="22"/>
        </w:rPr>
        <w:t>rekomenduojama vartoti 20 </w:t>
      </w:r>
      <w:r w:rsidR="00407EB3" w:rsidRPr="00AE1B80">
        <w:rPr>
          <w:sz w:val="22"/>
          <w:szCs w:val="22"/>
        </w:rPr>
        <w:t>mg rivaroksabano dozę vieną kartą per p</w:t>
      </w:r>
      <w:r w:rsidR="00407EB3" w:rsidRPr="00452D62">
        <w:rPr>
          <w:sz w:val="22"/>
          <w:szCs w:val="22"/>
        </w:rPr>
        <w:t>arą. Tai didžiausia paros dozė.</w:t>
      </w:r>
    </w:p>
    <w:p w14:paraId="44EC3471" w14:textId="3B1F8FEE" w:rsidR="00407EB3" w:rsidRPr="00AE1B80" w:rsidRDefault="00407EB3" w:rsidP="00AE1B80">
      <w:pPr>
        <w:widowControl w:val="0"/>
        <w:tabs>
          <w:tab w:val="clear" w:pos="567"/>
          <w:tab w:val="left" w:pos="804"/>
          <w:tab w:val="left" w:pos="805"/>
        </w:tabs>
        <w:suppressAutoHyphens w:val="0"/>
        <w:autoSpaceDE w:val="0"/>
        <w:autoSpaceDN w:val="0"/>
        <w:spacing w:line="240" w:lineRule="auto"/>
        <w:ind w:left="567" w:hanging="567"/>
        <w:rPr>
          <w:color w:val="auto"/>
          <w:sz w:val="22"/>
        </w:rPr>
      </w:pPr>
      <w:r w:rsidRPr="00AE1B80">
        <w:rPr>
          <w:color w:val="auto"/>
          <w:sz w:val="22"/>
        </w:rPr>
        <w:t>-</w:t>
      </w:r>
      <w:r w:rsidRPr="00AE1B80">
        <w:rPr>
          <w:color w:val="auto"/>
          <w:sz w:val="22"/>
        </w:rPr>
        <w:tab/>
      </w:r>
      <w:r w:rsidRPr="000877E9">
        <w:rPr>
          <w:sz w:val="22"/>
          <w:szCs w:val="22"/>
          <w:lang w:eastAsia="sl-SI"/>
        </w:rPr>
        <w:t>Rekomendacijas dėl pacientų, kurių kūno svoris mažesni</w:t>
      </w:r>
      <w:r w:rsidR="0097388A" w:rsidRPr="000877E9">
        <w:rPr>
          <w:sz w:val="22"/>
          <w:szCs w:val="22"/>
          <w:lang w:eastAsia="sl-SI"/>
        </w:rPr>
        <w:t>s kaip 30 kg, skaitykite rivaroksabano</w:t>
      </w:r>
      <w:r w:rsidRPr="00452D62">
        <w:rPr>
          <w:sz w:val="22"/>
          <w:szCs w:val="22"/>
          <w:lang w:eastAsia="sl-SI"/>
        </w:rPr>
        <w:t xml:space="preserve"> granulių geriamajai suspensijai preparato charakteristikų santraukoje.</w:t>
      </w:r>
    </w:p>
    <w:p w14:paraId="037F8D00" w14:textId="77777777" w:rsidR="00565350" w:rsidRPr="00452D62" w:rsidRDefault="00565350" w:rsidP="00565350">
      <w:pPr>
        <w:pStyle w:val="Default"/>
        <w:rPr>
          <w:sz w:val="22"/>
          <w:szCs w:val="22"/>
        </w:rPr>
      </w:pPr>
    </w:p>
    <w:p w14:paraId="0F5D6EA7" w14:textId="4AD8AECA" w:rsidR="00565350" w:rsidRPr="00452D62" w:rsidRDefault="00565350" w:rsidP="00565350">
      <w:pPr>
        <w:pStyle w:val="Default"/>
        <w:rPr>
          <w:sz w:val="22"/>
          <w:szCs w:val="22"/>
        </w:rPr>
      </w:pPr>
      <w:r w:rsidRPr="00452D62">
        <w:rPr>
          <w:sz w:val="22"/>
          <w:szCs w:val="22"/>
        </w:rPr>
        <w:t>Reikia reguliariai tikrinti vaiko svorį ir peržiūrėti dozę. Tai būtina, užtikrinant, kad bus palaikoma gydomoji dozė. Dozė turi būti koreguojama, atsižvelgiant tik į kūno svorio pokyčius.</w:t>
      </w:r>
    </w:p>
    <w:p w14:paraId="0DCDDAAB" w14:textId="77777777" w:rsidR="00565350" w:rsidRPr="00452D62" w:rsidRDefault="00565350" w:rsidP="00565350">
      <w:pPr>
        <w:pStyle w:val="Default"/>
        <w:rPr>
          <w:sz w:val="22"/>
          <w:szCs w:val="22"/>
        </w:rPr>
      </w:pPr>
    </w:p>
    <w:p w14:paraId="0E6AAD4D" w14:textId="02DE094D" w:rsidR="00565350" w:rsidRPr="00452D62" w:rsidRDefault="00565350" w:rsidP="00565350">
      <w:pPr>
        <w:pStyle w:val="Default"/>
        <w:rPr>
          <w:sz w:val="22"/>
          <w:szCs w:val="22"/>
        </w:rPr>
      </w:pPr>
      <w:r w:rsidRPr="00452D62">
        <w:rPr>
          <w:sz w:val="22"/>
          <w:szCs w:val="22"/>
        </w:rPr>
        <w:t>Vaikams ir paaugliams reikia taikyti gydymą ne trumpiau kaip 3 mėnesius. Esant klinikiniam poreikiui, gydymą galima pratęsti iki 12 mėnesių. Nėra duomenų, kurie patvirtintų, kad vaikams po 6 gydymo mėnesių būtų galima mažinti dozę. Praėjus 3 mėnesiams, tęstinio gydymo naudos ir rizikos santykį reikia įvertinti individualiai, atsižvelgiant į pasikartojančios trombozės riziką lyginant su galimo kraujavimo rizika.</w:t>
      </w:r>
    </w:p>
    <w:p w14:paraId="1B1776E9" w14:textId="77777777" w:rsidR="00565350" w:rsidRPr="00452D62" w:rsidRDefault="00565350" w:rsidP="00565350">
      <w:pPr>
        <w:pStyle w:val="Default"/>
        <w:rPr>
          <w:sz w:val="22"/>
          <w:szCs w:val="22"/>
        </w:rPr>
      </w:pPr>
    </w:p>
    <w:p w14:paraId="41019C05" w14:textId="1CC79B45" w:rsidR="00407EB3" w:rsidRPr="00452D62" w:rsidRDefault="00565350" w:rsidP="00565350">
      <w:pPr>
        <w:widowControl w:val="0"/>
        <w:tabs>
          <w:tab w:val="clear" w:pos="567"/>
          <w:tab w:val="left" w:pos="804"/>
          <w:tab w:val="left" w:pos="805"/>
        </w:tabs>
        <w:suppressAutoHyphens w:val="0"/>
        <w:autoSpaceDE w:val="0"/>
        <w:autoSpaceDN w:val="0"/>
        <w:spacing w:line="240" w:lineRule="auto"/>
        <w:rPr>
          <w:sz w:val="22"/>
          <w:szCs w:val="22"/>
        </w:rPr>
      </w:pPr>
      <w:r w:rsidRPr="00452D62">
        <w:rPr>
          <w:sz w:val="22"/>
          <w:szCs w:val="22"/>
        </w:rPr>
        <w:t>Pamiršus pavartoti dozę, šią dozę reikia suvartoti kuo anksčiau tai pastebėjus, bet tik tą pačią dieną. Jei tai neįmanoma, pacientas turi praleisti šią dozę ir kitą dozę vartoti kaip paskirta. Pacientas neturi vartoti dvigubos dozės norėdamas kompensuoti praleistą dozę.</w:t>
      </w:r>
    </w:p>
    <w:p w14:paraId="309C7737" w14:textId="77777777" w:rsidR="00565350" w:rsidRPr="00AE1B80" w:rsidRDefault="00565350" w:rsidP="00565350">
      <w:pPr>
        <w:widowControl w:val="0"/>
        <w:tabs>
          <w:tab w:val="clear" w:pos="567"/>
          <w:tab w:val="left" w:pos="804"/>
          <w:tab w:val="left" w:pos="805"/>
        </w:tabs>
        <w:suppressAutoHyphens w:val="0"/>
        <w:autoSpaceDE w:val="0"/>
        <w:autoSpaceDN w:val="0"/>
        <w:spacing w:line="240" w:lineRule="auto"/>
        <w:rPr>
          <w:color w:val="auto"/>
          <w:sz w:val="22"/>
          <w:highlight w:val="yellow"/>
          <w:lang w:val="pt-PT"/>
        </w:rPr>
      </w:pPr>
    </w:p>
    <w:p w14:paraId="66FC28CE" w14:textId="77777777" w:rsidR="00823785" w:rsidRPr="00452D62" w:rsidRDefault="00823785" w:rsidP="00823785">
      <w:pPr>
        <w:rPr>
          <w:i/>
          <w:iCs/>
          <w:sz w:val="22"/>
          <w:szCs w:val="22"/>
        </w:rPr>
      </w:pPr>
      <w:r w:rsidRPr="00452D62">
        <w:rPr>
          <w:i/>
          <w:iCs/>
          <w:sz w:val="22"/>
          <w:szCs w:val="22"/>
        </w:rPr>
        <w:t>Vitamino K antagonistų (VKA) keitimas Xerdoxo</w:t>
      </w:r>
    </w:p>
    <w:p w14:paraId="56548D94" w14:textId="14A1EE8A" w:rsidR="00823785" w:rsidRPr="00452D62" w:rsidRDefault="00823785" w:rsidP="00823785">
      <w:pPr>
        <w:rPr>
          <w:iCs/>
          <w:sz w:val="22"/>
          <w:szCs w:val="22"/>
        </w:rPr>
      </w:pPr>
      <w:r w:rsidRPr="00452D62">
        <w:rPr>
          <w:iCs/>
          <w:sz w:val="22"/>
          <w:szCs w:val="22"/>
        </w:rPr>
        <w:t>-</w:t>
      </w:r>
      <w:r w:rsidRPr="00452D62">
        <w:rPr>
          <w:iCs/>
          <w:sz w:val="22"/>
          <w:szCs w:val="22"/>
        </w:rPr>
        <w:tab/>
        <w:t>Insulto ir sisteminės embolijos profilaktika:</w:t>
      </w:r>
    </w:p>
    <w:p w14:paraId="04C83D76" w14:textId="2348F37C" w:rsidR="00823785" w:rsidRPr="00452D62" w:rsidRDefault="00823785" w:rsidP="00823785">
      <w:pPr>
        <w:rPr>
          <w:iCs/>
          <w:sz w:val="22"/>
          <w:szCs w:val="22"/>
        </w:rPr>
      </w:pPr>
      <w:r w:rsidRPr="00452D62">
        <w:rPr>
          <w:iCs/>
          <w:sz w:val="22"/>
          <w:szCs w:val="22"/>
        </w:rPr>
        <w:t xml:space="preserve"> </w:t>
      </w:r>
      <w:r w:rsidRPr="00452D62">
        <w:rPr>
          <w:iCs/>
          <w:sz w:val="22"/>
          <w:szCs w:val="22"/>
        </w:rPr>
        <w:tab/>
        <w:t>gydymą VKA reikia nutraukti ir gydymą Xerdoxo pradėti, kai tarptautinis normalizuotas -</w:t>
      </w:r>
      <w:r w:rsidRPr="00452D62">
        <w:rPr>
          <w:iCs/>
          <w:sz w:val="22"/>
          <w:szCs w:val="22"/>
        </w:rPr>
        <w:tab/>
        <w:t xml:space="preserve">santykis (angl. </w:t>
      </w:r>
      <w:r w:rsidRPr="00452D62">
        <w:rPr>
          <w:i/>
          <w:sz w:val="22"/>
          <w:szCs w:val="22"/>
        </w:rPr>
        <w:t>International Normalized Ratio</w:t>
      </w:r>
      <w:r w:rsidRPr="00452D62">
        <w:rPr>
          <w:iCs/>
          <w:sz w:val="22"/>
          <w:szCs w:val="22"/>
        </w:rPr>
        <w:t>, INR) yra ≤ 3,0.</w:t>
      </w:r>
    </w:p>
    <w:p w14:paraId="11D9562B" w14:textId="5BD50168" w:rsidR="00823785" w:rsidRPr="00AE1B80" w:rsidRDefault="00823785" w:rsidP="00823785">
      <w:pPr>
        <w:rPr>
          <w:sz w:val="22"/>
          <w:szCs w:val="22"/>
        </w:rPr>
      </w:pPr>
      <w:r w:rsidRPr="00452D62">
        <w:rPr>
          <w:iCs/>
          <w:sz w:val="22"/>
          <w:szCs w:val="22"/>
        </w:rPr>
        <w:t>-</w:t>
      </w:r>
      <w:r w:rsidRPr="00452D62">
        <w:rPr>
          <w:iCs/>
          <w:sz w:val="22"/>
          <w:szCs w:val="22"/>
        </w:rPr>
        <w:tab/>
        <w:t>GVT, PE gydymas ir šių sutrikimų pasikartojimo profilaktika suaugusiems</w:t>
      </w:r>
      <w:r w:rsidR="00C209A4" w:rsidRPr="00AE1B80">
        <w:rPr>
          <w:sz w:val="22"/>
          <w:szCs w:val="22"/>
        </w:rPr>
        <w:t xml:space="preserve"> </w:t>
      </w:r>
      <w:r w:rsidR="00C209A4" w:rsidRPr="00452D62">
        <w:rPr>
          <w:iCs/>
          <w:sz w:val="22"/>
          <w:szCs w:val="22"/>
        </w:rPr>
        <w:t>ir VTE gydymas bei šio sutrikimo pasikartojimo profilaktika vaikams</w:t>
      </w:r>
      <w:r w:rsidRPr="00AE1B80">
        <w:rPr>
          <w:sz w:val="22"/>
          <w:szCs w:val="22"/>
        </w:rPr>
        <w:t>:</w:t>
      </w:r>
    </w:p>
    <w:p w14:paraId="59CB6E1C" w14:textId="7F64E4B8" w:rsidR="00823785" w:rsidRPr="000877E9" w:rsidRDefault="00823785" w:rsidP="00823785">
      <w:pPr>
        <w:rPr>
          <w:iCs/>
          <w:sz w:val="22"/>
          <w:szCs w:val="22"/>
        </w:rPr>
      </w:pPr>
      <w:r w:rsidRPr="00452D62">
        <w:rPr>
          <w:iCs/>
          <w:sz w:val="22"/>
          <w:szCs w:val="22"/>
        </w:rPr>
        <w:tab/>
      </w:r>
      <w:r w:rsidRPr="000877E9">
        <w:rPr>
          <w:iCs/>
          <w:sz w:val="22"/>
          <w:szCs w:val="22"/>
        </w:rPr>
        <w:t>gydymą VKA reikia nutraukti ir gydymą Xerdoxo pradėti, kai INR yra ≤ 2,5.</w:t>
      </w:r>
    </w:p>
    <w:p w14:paraId="6C4C14BE" w14:textId="5CA77030" w:rsidR="00823785" w:rsidRPr="00452D62" w:rsidRDefault="00823785" w:rsidP="00823785">
      <w:pPr>
        <w:rPr>
          <w:iCs/>
          <w:sz w:val="22"/>
          <w:szCs w:val="22"/>
        </w:rPr>
      </w:pPr>
      <w:r w:rsidRPr="00452D62">
        <w:rPr>
          <w:iCs/>
          <w:sz w:val="22"/>
          <w:szCs w:val="22"/>
        </w:rPr>
        <w:t>VKA keičiant Xerdoxo, pradėjus vartoti Xerdoxo INR rodmenys gali būti klaidingai padidėję. INR nėra patvirtintas Xerdoxo antikoaguliaciniam aktyvumui vertinti ir todėl neturi būti naudojamas (žr. 4.5 skyrių).</w:t>
      </w:r>
    </w:p>
    <w:p w14:paraId="3DC49E6E" w14:textId="77777777" w:rsidR="00823785" w:rsidRPr="00452D62" w:rsidRDefault="00823785" w:rsidP="00823785">
      <w:pPr>
        <w:rPr>
          <w:iCs/>
          <w:sz w:val="22"/>
          <w:szCs w:val="22"/>
        </w:rPr>
      </w:pPr>
    </w:p>
    <w:p w14:paraId="3AFEC0E5" w14:textId="77777777" w:rsidR="00823785" w:rsidRPr="00452D62" w:rsidRDefault="00823785" w:rsidP="00823785">
      <w:pPr>
        <w:rPr>
          <w:sz w:val="22"/>
          <w:szCs w:val="22"/>
        </w:rPr>
      </w:pPr>
      <w:r w:rsidRPr="00452D62">
        <w:rPr>
          <w:i/>
          <w:iCs/>
          <w:sz w:val="22"/>
          <w:szCs w:val="22"/>
        </w:rPr>
        <w:t>Xerdoxo keitimas vitamino K antagonistais (VKA)</w:t>
      </w:r>
    </w:p>
    <w:p w14:paraId="5A3AF059" w14:textId="77777777" w:rsidR="00823785" w:rsidRPr="00452D62" w:rsidRDefault="00823785" w:rsidP="00823785">
      <w:pPr>
        <w:rPr>
          <w:sz w:val="22"/>
          <w:szCs w:val="22"/>
        </w:rPr>
      </w:pPr>
      <w:r w:rsidRPr="00452D62">
        <w:rPr>
          <w:sz w:val="22"/>
          <w:szCs w:val="22"/>
        </w:rPr>
        <w:t>Xerdoxo keitimo VKA metu antikoaguliacija gali būti nepakankama. Bet kokiais antikoagulianto keitimo atvejais turi būti užtikrinta tęstinė pakankama antikoaguliacija. Reikia atkreipti dėmesį, kad Xerdoxo gali lemti INR padidėjimą.</w:t>
      </w:r>
    </w:p>
    <w:p w14:paraId="22237A66" w14:textId="1E87B955" w:rsidR="00823785" w:rsidRPr="00452D62" w:rsidRDefault="00823785" w:rsidP="00823785">
      <w:pPr>
        <w:rPr>
          <w:sz w:val="22"/>
          <w:szCs w:val="22"/>
        </w:rPr>
      </w:pPr>
      <w:r w:rsidRPr="00452D62">
        <w:rPr>
          <w:sz w:val="22"/>
          <w:szCs w:val="22"/>
        </w:rPr>
        <w:t xml:space="preserve">Gydymą Xerdoxo keičiant į VKA, kartu skiriamas turi būti VKA tol, kol INR tampa ≥ 2,0. Pirmąsias dvi keitimo paras reikia skirti įprastinę pradinę VKA dozę, po to VKA dozę reikia parinkti atsižvelgiant į INR rodmenis. Kol pacientas vartoja ir Xerdoxo, ir VKA, </w:t>
      </w:r>
      <w:r w:rsidRPr="00452D62">
        <w:rPr>
          <w:iCs/>
          <w:sz w:val="22"/>
          <w:szCs w:val="22"/>
        </w:rPr>
        <w:t>INR</w:t>
      </w:r>
      <w:r w:rsidRPr="00452D62">
        <w:rPr>
          <w:sz w:val="22"/>
          <w:szCs w:val="22"/>
        </w:rPr>
        <w:t xml:space="preserve"> reikia tirti ne anksčiau nei 24 valandos po ankstesnės Xerdoxo dozės pavartojimo, tačiau prieš vartojant kitą Xerdoxo dozę. Nutraukus Xerdoxo vartojimą, </w:t>
      </w:r>
      <w:r w:rsidRPr="00452D62">
        <w:rPr>
          <w:iCs/>
          <w:sz w:val="22"/>
          <w:szCs w:val="22"/>
        </w:rPr>
        <w:t>INR</w:t>
      </w:r>
      <w:r w:rsidRPr="00452D62">
        <w:rPr>
          <w:sz w:val="22"/>
          <w:szCs w:val="22"/>
        </w:rPr>
        <w:t xml:space="preserve"> galima patikimai nustatyti praėjus ne mažiau kaip 24 valandoms po paskutiniosios dozės pavartojimo (žr. 4.5 ir 5.2 skyrius).</w:t>
      </w:r>
    </w:p>
    <w:p w14:paraId="442EFFBF" w14:textId="77777777" w:rsidR="00854079" w:rsidRPr="00452D62" w:rsidRDefault="00854079" w:rsidP="00854079">
      <w:pPr>
        <w:pStyle w:val="Default"/>
        <w:rPr>
          <w:sz w:val="22"/>
          <w:szCs w:val="22"/>
        </w:rPr>
      </w:pPr>
    </w:p>
    <w:p w14:paraId="44D01128" w14:textId="4B36EB11" w:rsidR="00854079" w:rsidRPr="00452D62" w:rsidRDefault="00854079" w:rsidP="00854079">
      <w:pPr>
        <w:pStyle w:val="Default"/>
        <w:rPr>
          <w:sz w:val="22"/>
          <w:szCs w:val="22"/>
        </w:rPr>
      </w:pPr>
      <w:r w:rsidRPr="00452D62">
        <w:rPr>
          <w:sz w:val="22"/>
          <w:szCs w:val="22"/>
        </w:rPr>
        <w:t>Vaikų</w:t>
      </w:r>
      <w:r w:rsidR="004375F4" w:rsidRPr="00452D62">
        <w:rPr>
          <w:sz w:val="22"/>
          <w:szCs w:val="22"/>
        </w:rPr>
        <w:t xml:space="preserve"> populiacija</w:t>
      </w:r>
    </w:p>
    <w:p w14:paraId="064DF9C6" w14:textId="7F95CF06" w:rsidR="00823785" w:rsidRPr="00452D62" w:rsidRDefault="00854079" w:rsidP="00854079">
      <w:pPr>
        <w:rPr>
          <w:sz w:val="22"/>
          <w:szCs w:val="22"/>
        </w:rPr>
      </w:pPr>
      <w:r w:rsidRPr="00452D62">
        <w:rPr>
          <w:sz w:val="22"/>
          <w:szCs w:val="22"/>
        </w:rPr>
        <w:t>Vaikams, kuriems gydymas Xerdoxo keičiamas gydymu VKA, po pirmosios VKA dozės dar 48 valan</w:t>
      </w:r>
      <w:r w:rsidR="0097388A" w:rsidRPr="00452D62">
        <w:rPr>
          <w:sz w:val="22"/>
          <w:szCs w:val="22"/>
        </w:rPr>
        <w:t>das reikia kartu vartoti Xerdoxo</w:t>
      </w:r>
      <w:r w:rsidRPr="00452D62">
        <w:rPr>
          <w:sz w:val="22"/>
          <w:szCs w:val="22"/>
        </w:rPr>
        <w:t xml:space="preserve">. 2 dienas pavartojus abu vaistinius preparatus, prieš vartojant kitą numatytą Xerdoxo dozę, reikia ištirti TNS. Patariama toliau kartu vartoti Xerdoxo ir VKA, kol TNS bus ≥ 2,0. Nutraukus Xerdoxo vartojimą, TNS patikimai galima ištirti praėjus 24 valandoms po paskutinės dozės (žr. </w:t>
      </w:r>
      <w:r w:rsidR="005B7B93">
        <w:rPr>
          <w:sz w:val="22"/>
          <w:szCs w:val="22"/>
        </w:rPr>
        <w:t>pirmiau</w:t>
      </w:r>
      <w:r w:rsidRPr="00452D62">
        <w:rPr>
          <w:sz w:val="22"/>
          <w:szCs w:val="22"/>
        </w:rPr>
        <w:t xml:space="preserve"> pateiktą informaciją ir 4.5 skyrių).</w:t>
      </w:r>
    </w:p>
    <w:p w14:paraId="734FC966" w14:textId="77777777" w:rsidR="00854079" w:rsidRPr="00452D62" w:rsidRDefault="00854079" w:rsidP="00854079">
      <w:pPr>
        <w:rPr>
          <w:sz w:val="22"/>
          <w:szCs w:val="22"/>
        </w:rPr>
      </w:pPr>
    </w:p>
    <w:p w14:paraId="7873C711" w14:textId="77777777" w:rsidR="00823785" w:rsidRPr="00452D62" w:rsidRDefault="00823785" w:rsidP="00823785">
      <w:pPr>
        <w:rPr>
          <w:sz w:val="22"/>
          <w:szCs w:val="22"/>
        </w:rPr>
      </w:pPr>
      <w:r w:rsidRPr="00452D62">
        <w:rPr>
          <w:i/>
          <w:iCs/>
          <w:sz w:val="22"/>
          <w:szCs w:val="22"/>
        </w:rPr>
        <w:t xml:space="preserve">Parenteriniu būdu vartojamų antikoaguliantų keitimas </w:t>
      </w:r>
      <w:r w:rsidRPr="00452D62">
        <w:rPr>
          <w:i/>
          <w:sz w:val="22"/>
          <w:szCs w:val="22"/>
        </w:rPr>
        <w:t>Xerdoxo</w:t>
      </w:r>
    </w:p>
    <w:p w14:paraId="0CA8C27A" w14:textId="35D70CFC" w:rsidR="00823785" w:rsidRPr="00452D62" w:rsidRDefault="00823785" w:rsidP="00823785">
      <w:pPr>
        <w:rPr>
          <w:i/>
          <w:iCs/>
          <w:sz w:val="22"/>
          <w:szCs w:val="22"/>
        </w:rPr>
      </w:pPr>
      <w:r w:rsidRPr="00452D62">
        <w:rPr>
          <w:sz w:val="22"/>
          <w:szCs w:val="22"/>
        </w:rPr>
        <w:t xml:space="preserve">Parenteriniu būdu antikoaguliantų vartojantiems suaugusiems </w:t>
      </w:r>
      <w:r w:rsidR="004375F4" w:rsidRPr="00452D62">
        <w:rPr>
          <w:sz w:val="22"/>
          <w:szCs w:val="22"/>
        </w:rPr>
        <w:t xml:space="preserve">ir vaikams </w:t>
      </w:r>
      <w:r w:rsidRPr="00452D62">
        <w:rPr>
          <w:sz w:val="22"/>
          <w:szCs w:val="22"/>
        </w:rPr>
        <w:t>pacientams reikia nutraukti parenterinio antikoagulianto vartojimą ir pradėti vartoti Xerdoxo likus 0</w:t>
      </w:r>
      <w:r w:rsidRPr="00452D62">
        <w:rPr>
          <w:sz w:val="22"/>
          <w:szCs w:val="22"/>
        </w:rPr>
        <w:noBreakHyphen/>
        <w:t>2 val. iki to laiko, kai pagal numatytą dozavimo schemą turėtų būti vartojamas parenterinis vaistinis preparatas (pvz., mažos molekulinės masės heparinas), arba nepertraukiamai vartojamo parenterinio vaistinio preparato (pvz., intraveninio nefrakcionuoto heparino) nutraukimo metu.</w:t>
      </w:r>
    </w:p>
    <w:p w14:paraId="413979FE" w14:textId="77777777" w:rsidR="00823785" w:rsidRPr="00452D62" w:rsidRDefault="00823785" w:rsidP="00823785">
      <w:pPr>
        <w:rPr>
          <w:i/>
          <w:iCs/>
          <w:sz w:val="22"/>
          <w:szCs w:val="22"/>
        </w:rPr>
      </w:pPr>
    </w:p>
    <w:p w14:paraId="5509DD8A" w14:textId="77777777" w:rsidR="00823785" w:rsidRPr="00452D62" w:rsidRDefault="00823785" w:rsidP="00823785">
      <w:pPr>
        <w:rPr>
          <w:sz w:val="22"/>
          <w:szCs w:val="22"/>
        </w:rPr>
      </w:pPr>
      <w:r w:rsidRPr="00452D62">
        <w:rPr>
          <w:i/>
          <w:sz w:val="22"/>
          <w:szCs w:val="22"/>
        </w:rPr>
        <w:t>Xerdoxo</w:t>
      </w:r>
      <w:r w:rsidRPr="00452D62">
        <w:rPr>
          <w:i/>
          <w:iCs/>
          <w:sz w:val="22"/>
          <w:szCs w:val="22"/>
        </w:rPr>
        <w:t xml:space="preserve"> keitimas parenteriniu būdu vartojamais antikoaguliantais</w:t>
      </w:r>
    </w:p>
    <w:p w14:paraId="7684CFEB" w14:textId="6D7C4176" w:rsidR="00823785" w:rsidRPr="00452D62" w:rsidRDefault="00823785" w:rsidP="00823785">
      <w:pPr>
        <w:rPr>
          <w:sz w:val="22"/>
          <w:szCs w:val="22"/>
          <w:u w:val="single"/>
        </w:rPr>
      </w:pPr>
      <w:r w:rsidRPr="00452D62">
        <w:rPr>
          <w:sz w:val="22"/>
          <w:szCs w:val="22"/>
        </w:rPr>
        <w:t>Reikia nutraukti Xerdoxo varotijimą ir pirmąją parenteriniu būdu vartojamo antikoagulianto dozę skirti tuo metu, kai turėjo būti vartojama kita Xerdoxo dozė.</w:t>
      </w:r>
    </w:p>
    <w:p w14:paraId="602973F0" w14:textId="77777777" w:rsidR="00823785" w:rsidRPr="00452D62" w:rsidRDefault="00823785" w:rsidP="00823785">
      <w:pPr>
        <w:rPr>
          <w:sz w:val="22"/>
          <w:szCs w:val="22"/>
          <w:u w:val="single"/>
        </w:rPr>
      </w:pPr>
    </w:p>
    <w:p w14:paraId="3151AAE9" w14:textId="77777777" w:rsidR="00823785" w:rsidRPr="00452D62" w:rsidRDefault="00823785" w:rsidP="00823785">
      <w:pPr>
        <w:rPr>
          <w:i/>
          <w:iCs/>
          <w:sz w:val="22"/>
          <w:szCs w:val="22"/>
        </w:rPr>
      </w:pPr>
      <w:r w:rsidRPr="00452D62">
        <w:rPr>
          <w:i/>
          <w:iCs/>
          <w:sz w:val="22"/>
          <w:szCs w:val="22"/>
          <w:u w:val="single"/>
        </w:rPr>
        <w:t>Ypatingos populiacijos</w:t>
      </w:r>
    </w:p>
    <w:p w14:paraId="69AB51D1" w14:textId="0F6F73B9" w:rsidR="00823785" w:rsidRPr="00452D62" w:rsidRDefault="00823785" w:rsidP="00823785">
      <w:pPr>
        <w:rPr>
          <w:sz w:val="22"/>
          <w:szCs w:val="22"/>
        </w:rPr>
      </w:pPr>
      <w:r w:rsidRPr="00452D62">
        <w:rPr>
          <w:i/>
          <w:sz w:val="22"/>
          <w:szCs w:val="22"/>
        </w:rPr>
        <w:t>Pacientams, kurių inkstų funkcija sutrikusi</w:t>
      </w:r>
    </w:p>
    <w:p w14:paraId="2A6242F9" w14:textId="77777777" w:rsidR="004375F4" w:rsidRPr="00452D62" w:rsidRDefault="004375F4" w:rsidP="00823785">
      <w:pPr>
        <w:rPr>
          <w:sz w:val="22"/>
          <w:szCs w:val="22"/>
        </w:rPr>
      </w:pPr>
      <w:r w:rsidRPr="00452D62">
        <w:rPr>
          <w:sz w:val="22"/>
          <w:szCs w:val="22"/>
        </w:rPr>
        <w:t>Suaugusiesiems</w:t>
      </w:r>
    </w:p>
    <w:p w14:paraId="6C6E9ED5" w14:textId="5590ADA4" w:rsidR="00823785" w:rsidRPr="00452D62" w:rsidRDefault="00823785" w:rsidP="00823785">
      <w:pPr>
        <w:rPr>
          <w:sz w:val="22"/>
          <w:szCs w:val="22"/>
        </w:rPr>
      </w:pPr>
      <w:r w:rsidRPr="00452D62">
        <w:rPr>
          <w:sz w:val="22"/>
          <w:szCs w:val="22"/>
        </w:rPr>
        <w:t>Riboti klinikiniai duomenys rodo, kad pacientams, kuriems yra sunkus inkstų funkcijos sutrikimas (kreatinino klirensas 15</w:t>
      </w:r>
      <w:r w:rsidRPr="00452D62">
        <w:rPr>
          <w:sz w:val="22"/>
          <w:szCs w:val="22"/>
        </w:rPr>
        <w:noBreakHyphen/>
        <w:t>29 ml/min.), rivaroksabano koncentracija kraujo plazmoje būna reikšmingai padidėjusi. Taigi, šiems pacientams Xerdoxo reikia vartoti atsargiai. Nerekomenduojama vartoti pacientams, kurių kreatinino klirensas yra &lt; 15 ml/min. (žr. 4.4 ir 5.2 skyrius).</w:t>
      </w:r>
    </w:p>
    <w:p w14:paraId="6AD03E66" w14:textId="77777777" w:rsidR="00823785" w:rsidRPr="00452D62" w:rsidRDefault="00823785" w:rsidP="00823785">
      <w:pPr>
        <w:pStyle w:val="Default"/>
        <w:rPr>
          <w:sz w:val="22"/>
          <w:szCs w:val="22"/>
        </w:rPr>
      </w:pPr>
    </w:p>
    <w:p w14:paraId="77F26E77" w14:textId="2B9251F2" w:rsidR="002838C3" w:rsidRPr="00452D62" w:rsidRDefault="00823785" w:rsidP="002838C3">
      <w:pPr>
        <w:pStyle w:val="Default"/>
        <w:rPr>
          <w:sz w:val="22"/>
          <w:szCs w:val="22"/>
        </w:rPr>
      </w:pPr>
      <w:r w:rsidRPr="00452D62">
        <w:rPr>
          <w:sz w:val="22"/>
          <w:szCs w:val="22"/>
        </w:rPr>
        <w:t xml:space="preserve">Pacientams, kuriems yra lengvas inkstų funkcijos sutrikimas (kreatinino klirensas </w:t>
      </w:r>
      <w:r w:rsidR="00D503F0" w:rsidRPr="00452D62">
        <w:rPr>
          <w:sz w:val="22"/>
          <w:szCs w:val="22"/>
        </w:rPr>
        <w:t>3</w:t>
      </w:r>
      <w:r w:rsidRPr="00452D62">
        <w:rPr>
          <w:sz w:val="22"/>
          <w:szCs w:val="22"/>
        </w:rPr>
        <w:t>0-</w:t>
      </w:r>
      <w:r w:rsidR="00D503F0" w:rsidRPr="00452D62">
        <w:rPr>
          <w:sz w:val="22"/>
          <w:szCs w:val="22"/>
        </w:rPr>
        <w:t>49</w:t>
      </w:r>
      <w:r w:rsidRPr="00452D62">
        <w:rPr>
          <w:sz w:val="22"/>
          <w:szCs w:val="22"/>
        </w:rPr>
        <w:t xml:space="preserve"> ml/min.) arba vidutinio sunkumo inkstų funkcijos sutrikimas (kreatinino klirensas </w:t>
      </w:r>
      <w:r w:rsidR="00D503F0" w:rsidRPr="00452D62">
        <w:rPr>
          <w:sz w:val="22"/>
          <w:szCs w:val="22"/>
        </w:rPr>
        <w:t>15</w:t>
      </w:r>
      <w:r w:rsidRPr="00452D62">
        <w:rPr>
          <w:sz w:val="22"/>
          <w:szCs w:val="22"/>
        </w:rPr>
        <w:t>-</w:t>
      </w:r>
      <w:r w:rsidR="00D503F0" w:rsidRPr="00452D62">
        <w:rPr>
          <w:sz w:val="22"/>
          <w:szCs w:val="22"/>
        </w:rPr>
        <w:t>2</w:t>
      </w:r>
      <w:r w:rsidRPr="00452D62">
        <w:rPr>
          <w:sz w:val="22"/>
          <w:szCs w:val="22"/>
        </w:rPr>
        <w:t xml:space="preserve">9 ml/min.), </w:t>
      </w:r>
    </w:p>
    <w:p w14:paraId="516A5958" w14:textId="77777777" w:rsidR="002838C3" w:rsidRPr="00452D62" w:rsidRDefault="002838C3" w:rsidP="002838C3">
      <w:pPr>
        <w:pStyle w:val="Default"/>
        <w:rPr>
          <w:sz w:val="22"/>
          <w:szCs w:val="22"/>
        </w:rPr>
      </w:pPr>
      <w:r w:rsidRPr="00452D62">
        <w:rPr>
          <w:sz w:val="22"/>
          <w:szCs w:val="22"/>
        </w:rPr>
        <w:t>taikomos šios rekomendacijos dėl dozės:</w:t>
      </w:r>
    </w:p>
    <w:p w14:paraId="006397CD" w14:textId="77777777" w:rsidR="00823785" w:rsidRPr="00452D62" w:rsidRDefault="00823785" w:rsidP="00823785">
      <w:pPr>
        <w:pStyle w:val="Default"/>
        <w:rPr>
          <w:sz w:val="22"/>
          <w:szCs w:val="22"/>
        </w:rPr>
      </w:pPr>
    </w:p>
    <w:p w14:paraId="6AF35D4B" w14:textId="77777777" w:rsidR="002838C3" w:rsidRPr="00452D62" w:rsidRDefault="00823785" w:rsidP="00823785">
      <w:pPr>
        <w:numPr>
          <w:ilvl w:val="0"/>
          <w:numId w:val="18"/>
        </w:numPr>
        <w:ind w:left="567" w:hanging="567"/>
        <w:rPr>
          <w:sz w:val="22"/>
          <w:szCs w:val="22"/>
        </w:rPr>
      </w:pPr>
      <w:r w:rsidRPr="00452D62">
        <w:rPr>
          <w:sz w:val="22"/>
          <w:szCs w:val="22"/>
        </w:rPr>
        <w:t>Insulto ir sisteminės embolijos profilaktikai pacientams, kuriems yra su vožtuvų liga nesusijęs prieširdžių virpėjimas, rekomenduojama dozė yra 15 mg vieną kartą per parą (žr. 5.2 skyrių).</w:t>
      </w:r>
    </w:p>
    <w:p w14:paraId="07C3515E" w14:textId="6FECCC12" w:rsidR="00823785" w:rsidRPr="00452D62" w:rsidRDefault="00823785" w:rsidP="00C815AC">
      <w:pPr>
        <w:rPr>
          <w:sz w:val="22"/>
          <w:szCs w:val="22"/>
        </w:rPr>
      </w:pPr>
    </w:p>
    <w:p w14:paraId="6B1537F9" w14:textId="6A5DAFCB" w:rsidR="00823785" w:rsidRPr="00452D62" w:rsidRDefault="00823785" w:rsidP="00823785">
      <w:pPr>
        <w:numPr>
          <w:ilvl w:val="0"/>
          <w:numId w:val="18"/>
        </w:numPr>
        <w:ind w:left="567" w:hanging="567"/>
        <w:rPr>
          <w:sz w:val="22"/>
          <w:szCs w:val="22"/>
        </w:rPr>
      </w:pPr>
      <w:r w:rsidRPr="00452D62">
        <w:rPr>
          <w:sz w:val="22"/>
          <w:szCs w:val="22"/>
        </w:rPr>
        <w:t>GVT gydymui, PE gydymui ir pasikartojančios GVT bei PE profilaktikai pirmąsias tris savaites reikia skirti po 15 mg du kartus per parą. Po to, kai rekomenduojama dozė yra 20 mg vieną kartą per parą, jei paciento kraujavimo rizika yra didesnė už pasikartojančios PE ir GVT riziką, reikia apsvarstyti vieną kartą per parą vartojamos dozės sumažinimą nuo 20 mg iki 15 mg. Rekomendacijos vartoti 15 mg dozę yra paremtos farmakokinetiniu modeliavimu, bet kliniškai toks dozavimas nėra ištirtas (žr. 4.4, 5.1 ir 5.2 skyrius).</w:t>
      </w:r>
    </w:p>
    <w:p w14:paraId="281135D9" w14:textId="77777777" w:rsidR="00823785" w:rsidRPr="00452D62" w:rsidRDefault="00823785" w:rsidP="00823785">
      <w:pPr>
        <w:ind w:left="567"/>
        <w:rPr>
          <w:sz w:val="22"/>
          <w:szCs w:val="22"/>
        </w:rPr>
      </w:pPr>
      <w:r w:rsidRPr="00452D62">
        <w:rPr>
          <w:sz w:val="22"/>
          <w:szCs w:val="22"/>
        </w:rPr>
        <w:t>Kai rekomenduojama dozė yra 10 mg vieną kartą per parą, rekomenduojamos dozės koreguoti nereikia.</w:t>
      </w:r>
    </w:p>
    <w:p w14:paraId="374B8DD7" w14:textId="77777777" w:rsidR="00823785" w:rsidRPr="00452D62" w:rsidRDefault="00823785" w:rsidP="00823785">
      <w:pPr>
        <w:rPr>
          <w:sz w:val="22"/>
          <w:szCs w:val="22"/>
        </w:rPr>
      </w:pPr>
    </w:p>
    <w:p w14:paraId="688D39EF" w14:textId="272DF642" w:rsidR="00823785" w:rsidRPr="00452D62" w:rsidRDefault="00823785" w:rsidP="00823785">
      <w:pPr>
        <w:rPr>
          <w:sz w:val="22"/>
          <w:szCs w:val="22"/>
        </w:rPr>
      </w:pPr>
      <w:r w:rsidRPr="00452D62">
        <w:rPr>
          <w:sz w:val="22"/>
          <w:szCs w:val="22"/>
        </w:rPr>
        <w:t>Pacientams, kuriems yra lengvas inkstų funkcijos sutrikimas (kreatinino klirensas 50</w:t>
      </w:r>
      <w:r w:rsidRPr="00452D62">
        <w:rPr>
          <w:sz w:val="22"/>
          <w:szCs w:val="22"/>
        </w:rPr>
        <w:noBreakHyphen/>
        <w:t>80 ml/min), dozės koreguoti nereikia (žr. 5.2 skyrių).</w:t>
      </w:r>
    </w:p>
    <w:p w14:paraId="4EF50438" w14:textId="77777777" w:rsidR="004F3E10" w:rsidRPr="00452D62" w:rsidRDefault="004F3E10" w:rsidP="004F3E10">
      <w:pPr>
        <w:pStyle w:val="Default"/>
        <w:rPr>
          <w:sz w:val="22"/>
          <w:szCs w:val="22"/>
        </w:rPr>
      </w:pPr>
    </w:p>
    <w:p w14:paraId="54F03F4B" w14:textId="36BD5221" w:rsidR="004F3E10" w:rsidRPr="00452D62" w:rsidRDefault="004F3E10" w:rsidP="004F3E10">
      <w:pPr>
        <w:pStyle w:val="Default"/>
        <w:rPr>
          <w:sz w:val="22"/>
          <w:szCs w:val="22"/>
        </w:rPr>
      </w:pPr>
      <w:r w:rsidRPr="00452D62">
        <w:rPr>
          <w:sz w:val="22"/>
          <w:szCs w:val="22"/>
        </w:rPr>
        <w:t>Vaikų populiacija</w:t>
      </w:r>
    </w:p>
    <w:p w14:paraId="1FB8FCA3" w14:textId="51ABB95B" w:rsidR="004F3E10" w:rsidRPr="00452D62" w:rsidRDefault="004F3E10" w:rsidP="00AE1B80">
      <w:pPr>
        <w:pStyle w:val="Default"/>
        <w:ind w:left="567" w:hanging="567"/>
        <w:rPr>
          <w:sz w:val="22"/>
          <w:szCs w:val="22"/>
        </w:rPr>
      </w:pPr>
      <w:r w:rsidRPr="00452D62">
        <w:rPr>
          <w:sz w:val="22"/>
          <w:szCs w:val="22"/>
        </w:rPr>
        <w:t>-</w:t>
      </w:r>
      <w:r w:rsidRPr="00452D62">
        <w:rPr>
          <w:sz w:val="22"/>
          <w:szCs w:val="22"/>
        </w:rPr>
        <w:tab/>
        <w:t>Vaikai ir paaugliai, kuriems yra lengvas inkstų funkcijos sutrikimas (glom</w:t>
      </w:r>
      <w:r w:rsidR="0097388A" w:rsidRPr="00452D62">
        <w:rPr>
          <w:sz w:val="22"/>
          <w:szCs w:val="22"/>
        </w:rPr>
        <w:t>erulų filtracijos greitis 50-80 </w:t>
      </w:r>
      <w:r w:rsidRPr="00452D62">
        <w:rPr>
          <w:sz w:val="22"/>
          <w:szCs w:val="22"/>
        </w:rPr>
        <w:t>ml/min./1,73 m</w:t>
      </w:r>
      <w:r w:rsidRPr="00AE1B80">
        <w:rPr>
          <w:sz w:val="22"/>
          <w:szCs w:val="22"/>
          <w:vertAlign w:val="superscript"/>
        </w:rPr>
        <w:t>2</w:t>
      </w:r>
      <w:r w:rsidRPr="00452D62">
        <w:rPr>
          <w:sz w:val="22"/>
          <w:szCs w:val="22"/>
        </w:rPr>
        <w:t>): remiantis suaugusių pacientų duomenimis ir ribotais vaikų pacientų duomenimis, dozės koreguoti nereikia (žr. 5.2 skyrių).</w:t>
      </w:r>
    </w:p>
    <w:p w14:paraId="16C0AB45" w14:textId="38F45B37" w:rsidR="004F3E10" w:rsidRPr="00452D62" w:rsidRDefault="004F3E10" w:rsidP="00AE1B80">
      <w:pPr>
        <w:pStyle w:val="Default"/>
        <w:ind w:left="567" w:hanging="567"/>
        <w:rPr>
          <w:sz w:val="22"/>
          <w:szCs w:val="22"/>
        </w:rPr>
      </w:pPr>
      <w:r w:rsidRPr="00452D62">
        <w:rPr>
          <w:sz w:val="22"/>
          <w:szCs w:val="22"/>
        </w:rPr>
        <w:t>-</w:t>
      </w:r>
      <w:r w:rsidRPr="00452D62">
        <w:rPr>
          <w:sz w:val="22"/>
          <w:szCs w:val="22"/>
        </w:rPr>
        <w:tab/>
        <w:t>Vaikai ir paaugliai, kuriems yra vidutinio sunkumo arba sunkus inkstų funkcijos sutrikimas (glo</w:t>
      </w:r>
      <w:r w:rsidR="0097388A" w:rsidRPr="00452D62">
        <w:rPr>
          <w:sz w:val="22"/>
          <w:szCs w:val="22"/>
        </w:rPr>
        <w:t>merulų filtracijos greitis &lt; 50 </w:t>
      </w:r>
      <w:r w:rsidRPr="00452D62">
        <w:rPr>
          <w:sz w:val="22"/>
          <w:szCs w:val="22"/>
        </w:rPr>
        <w:t>ml/min./1,73 m</w:t>
      </w:r>
      <w:r w:rsidRPr="00AE1B80">
        <w:rPr>
          <w:sz w:val="22"/>
          <w:szCs w:val="22"/>
          <w:vertAlign w:val="superscript"/>
        </w:rPr>
        <w:t>2</w:t>
      </w:r>
      <w:r w:rsidRPr="00452D62">
        <w:rPr>
          <w:sz w:val="22"/>
          <w:szCs w:val="22"/>
        </w:rPr>
        <w:t xml:space="preserve">): Xerdoxo vartoti nerekomenduojama, nes nėra klinikinių duomenų (žr. 4.4 </w:t>
      </w:r>
      <w:r w:rsidR="00C6780A" w:rsidRPr="00452D62">
        <w:rPr>
          <w:sz w:val="22"/>
          <w:szCs w:val="22"/>
        </w:rPr>
        <w:t>skyrių).</w:t>
      </w:r>
    </w:p>
    <w:p w14:paraId="26E79D20" w14:textId="77777777" w:rsidR="00823785" w:rsidRPr="00452D62" w:rsidRDefault="00823785" w:rsidP="00823785">
      <w:pPr>
        <w:rPr>
          <w:sz w:val="22"/>
          <w:szCs w:val="22"/>
        </w:rPr>
      </w:pPr>
    </w:p>
    <w:p w14:paraId="1E83A912" w14:textId="77777777" w:rsidR="00823785" w:rsidRPr="00452D62" w:rsidRDefault="00823785" w:rsidP="00823785">
      <w:pPr>
        <w:rPr>
          <w:sz w:val="22"/>
          <w:szCs w:val="22"/>
        </w:rPr>
      </w:pPr>
      <w:r w:rsidRPr="00452D62">
        <w:rPr>
          <w:i/>
          <w:sz w:val="22"/>
          <w:szCs w:val="22"/>
        </w:rPr>
        <w:t>Pacientams, kurių kepenų funkcija sutrikusi</w:t>
      </w:r>
    </w:p>
    <w:p w14:paraId="3BF9E637" w14:textId="77777777" w:rsidR="00823785" w:rsidRPr="00452D62" w:rsidRDefault="00823785" w:rsidP="00823785">
      <w:pPr>
        <w:rPr>
          <w:sz w:val="22"/>
          <w:szCs w:val="22"/>
        </w:rPr>
      </w:pPr>
      <w:r w:rsidRPr="00452D62">
        <w:rPr>
          <w:sz w:val="22"/>
          <w:szCs w:val="22"/>
        </w:rPr>
        <w:t xml:space="preserve">Xerdoxo draudžiama vartoti pacientams, sergantiems kepenų liga, susijusia su koaguliopatija ir kliniškai reikšmingo kraujavimo rizika, įskaitant pacientus, kuriems yra cirozė (B ir C pagal </w:t>
      </w:r>
      <w:r w:rsidRPr="00452D62">
        <w:rPr>
          <w:i/>
          <w:sz w:val="22"/>
          <w:szCs w:val="22"/>
        </w:rPr>
        <w:t>Child Pugh</w:t>
      </w:r>
      <w:r w:rsidRPr="00452D62">
        <w:rPr>
          <w:sz w:val="22"/>
          <w:szCs w:val="22"/>
        </w:rPr>
        <w:t>) (žr. 4.3 ir 5.2 skyrius).</w:t>
      </w:r>
    </w:p>
    <w:p w14:paraId="41AB0D53" w14:textId="15B1D4A9" w:rsidR="00823785" w:rsidRPr="00452D62" w:rsidRDefault="00C6780A" w:rsidP="00823785">
      <w:pPr>
        <w:rPr>
          <w:sz w:val="22"/>
          <w:szCs w:val="22"/>
        </w:rPr>
      </w:pPr>
      <w:r w:rsidRPr="00452D62">
        <w:rPr>
          <w:sz w:val="22"/>
          <w:szCs w:val="22"/>
        </w:rPr>
        <w:t>Vaikams, kurių kepenų funkcija sutrikusi, klinikinių duomenų nėra.</w:t>
      </w:r>
    </w:p>
    <w:p w14:paraId="6238149C" w14:textId="77777777" w:rsidR="00C6780A" w:rsidRPr="00452D62" w:rsidRDefault="00C6780A" w:rsidP="00823785">
      <w:pPr>
        <w:rPr>
          <w:sz w:val="22"/>
          <w:szCs w:val="22"/>
        </w:rPr>
      </w:pPr>
    </w:p>
    <w:p w14:paraId="5A2B0C48" w14:textId="77777777" w:rsidR="00823785" w:rsidRPr="00452D62" w:rsidRDefault="00823785" w:rsidP="00823785">
      <w:pPr>
        <w:rPr>
          <w:sz w:val="22"/>
          <w:szCs w:val="22"/>
        </w:rPr>
      </w:pPr>
      <w:r w:rsidRPr="00452D62">
        <w:rPr>
          <w:i/>
          <w:sz w:val="22"/>
          <w:szCs w:val="22"/>
        </w:rPr>
        <w:t>Senyviems pacientams</w:t>
      </w:r>
    </w:p>
    <w:p w14:paraId="40830BE9" w14:textId="294D10F4" w:rsidR="00823785" w:rsidRPr="00452D62" w:rsidRDefault="00823785" w:rsidP="00823785">
      <w:pPr>
        <w:rPr>
          <w:sz w:val="22"/>
          <w:szCs w:val="22"/>
        </w:rPr>
      </w:pPr>
      <w:r w:rsidRPr="00452D62">
        <w:rPr>
          <w:sz w:val="22"/>
          <w:szCs w:val="22"/>
        </w:rPr>
        <w:t>Dozės koreguoti nereikia (žr. 5.2 skyrių).</w:t>
      </w:r>
    </w:p>
    <w:p w14:paraId="7E6CB6BE" w14:textId="77777777" w:rsidR="00823785" w:rsidRPr="00452D62" w:rsidRDefault="00823785" w:rsidP="00823785">
      <w:pPr>
        <w:rPr>
          <w:sz w:val="22"/>
          <w:szCs w:val="22"/>
        </w:rPr>
      </w:pPr>
    </w:p>
    <w:p w14:paraId="2BAB93B5" w14:textId="77777777" w:rsidR="00823785" w:rsidRPr="00452D62" w:rsidRDefault="00823785" w:rsidP="00823785">
      <w:pPr>
        <w:rPr>
          <w:sz w:val="22"/>
          <w:szCs w:val="22"/>
        </w:rPr>
      </w:pPr>
      <w:r w:rsidRPr="00452D62">
        <w:rPr>
          <w:i/>
          <w:sz w:val="22"/>
          <w:szCs w:val="22"/>
        </w:rPr>
        <w:t>Kūno svoris</w:t>
      </w:r>
    </w:p>
    <w:p w14:paraId="058CAA8E" w14:textId="31342094" w:rsidR="00823785" w:rsidRPr="00452D62" w:rsidRDefault="00C6780A" w:rsidP="00823785">
      <w:pPr>
        <w:rPr>
          <w:i/>
          <w:sz w:val="22"/>
          <w:szCs w:val="22"/>
        </w:rPr>
      </w:pPr>
      <w:r w:rsidRPr="00452D62">
        <w:rPr>
          <w:sz w:val="22"/>
          <w:szCs w:val="22"/>
        </w:rPr>
        <w:t>Suaugusiesiems d</w:t>
      </w:r>
      <w:r w:rsidR="00823785" w:rsidRPr="00452D62">
        <w:rPr>
          <w:sz w:val="22"/>
          <w:szCs w:val="22"/>
        </w:rPr>
        <w:t>ozės koreguoti nereikia (žr. 5.2 skyrių).</w:t>
      </w:r>
    </w:p>
    <w:p w14:paraId="0077C65B" w14:textId="07470B0B" w:rsidR="00823785" w:rsidRPr="00452D62" w:rsidRDefault="00C6780A" w:rsidP="00823785">
      <w:pPr>
        <w:rPr>
          <w:sz w:val="22"/>
          <w:szCs w:val="22"/>
        </w:rPr>
      </w:pPr>
      <w:r w:rsidRPr="00452D62">
        <w:rPr>
          <w:sz w:val="22"/>
          <w:szCs w:val="22"/>
        </w:rPr>
        <w:t>Vaikams dozė nustatoma pagal kūno svorį.</w:t>
      </w:r>
    </w:p>
    <w:p w14:paraId="4B7F6390" w14:textId="77777777" w:rsidR="00C6780A" w:rsidRPr="00452D62" w:rsidRDefault="00C6780A" w:rsidP="00823785">
      <w:pPr>
        <w:rPr>
          <w:i/>
          <w:sz w:val="22"/>
          <w:szCs w:val="22"/>
        </w:rPr>
      </w:pPr>
    </w:p>
    <w:p w14:paraId="0E015074" w14:textId="77777777" w:rsidR="00823785" w:rsidRPr="00452D62" w:rsidRDefault="00823785" w:rsidP="00823785">
      <w:pPr>
        <w:rPr>
          <w:sz w:val="22"/>
          <w:szCs w:val="22"/>
        </w:rPr>
      </w:pPr>
      <w:r w:rsidRPr="00452D62">
        <w:rPr>
          <w:i/>
          <w:sz w:val="22"/>
          <w:szCs w:val="22"/>
        </w:rPr>
        <w:t>Lytis</w:t>
      </w:r>
    </w:p>
    <w:p w14:paraId="637818E1" w14:textId="77777777" w:rsidR="00823785" w:rsidRPr="00452D62" w:rsidRDefault="00823785" w:rsidP="00823785">
      <w:pPr>
        <w:rPr>
          <w:sz w:val="22"/>
          <w:szCs w:val="22"/>
        </w:rPr>
      </w:pPr>
      <w:r w:rsidRPr="00452D62">
        <w:rPr>
          <w:sz w:val="22"/>
          <w:szCs w:val="22"/>
        </w:rPr>
        <w:t>Dozės koreguoti nereikia (žr. 5.2 skyrių).</w:t>
      </w:r>
    </w:p>
    <w:p w14:paraId="1B9D7425" w14:textId="77777777" w:rsidR="00823785" w:rsidRPr="00452D62" w:rsidRDefault="00823785" w:rsidP="00823785">
      <w:pPr>
        <w:rPr>
          <w:sz w:val="22"/>
          <w:szCs w:val="22"/>
          <w:u w:val="single"/>
        </w:rPr>
      </w:pPr>
    </w:p>
    <w:p w14:paraId="027D5D3A" w14:textId="77777777" w:rsidR="00823785" w:rsidRPr="00452D62" w:rsidRDefault="00823785" w:rsidP="00823785">
      <w:pPr>
        <w:rPr>
          <w:i/>
          <w:iCs/>
          <w:sz w:val="22"/>
          <w:szCs w:val="22"/>
        </w:rPr>
      </w:pPr>
      <w:r w:rsidRPr="00452D62">
        <w:rPr>
          <w:i/>
          <w:iCs/>
          <w:sz w:val="22"/>
          <w:szCs w:val="22"/>
        </w:rPr>
        <w:t>Pacientai, kuriems atliekama kardioversija</w:t>
      </w:r>
    </w:p>
    <w:p w14:paraId="1E6E2CE0" w14:textId="10F5B6D4" w:rsidR="00823785" w:rsidRPr="00452D62" w:rsidRDefault="00823785" w:rsidP="00823785">
      <w:pPr>
        <w:rPr>
          <w:sz w:val="22"/>
          <w:szCs w:val="22"/>
        </w:rPr>
      </w:pPr>
      <w:r w:rsidRPr="00452D62">
        <w:rPr>
          <w:sz w:val="22"/>
          <w:szCs w:val="22"/>
        </w:rPr>
        <w:t>Xerdoxo vartojimas gali būti pradedamas arba tęsiamas pacientams, kuriems gali prireikti atlikti kardioversiją. Kardioversijai, atliekamai stebint procedūrą transezofagine echokardiograma (TEE), pacientams, kurie anksčiau nebuvo gydomi antikoaguliantais, gydymas Xerdoxo turi būti pradedamas likus mažiausiai 4 valandoms iki kardioversijos, siekiant užtikrinti tinkamą antikoaguliacinį poveikį (žr. 5.1 ir 5.2 skyrius). Prieš kardioversiją iš kiekvieno paciento turi būti gautas patvirtinimas, kad pacientas vartojo Xerdoxo, kaip skirta. Pacientams, kuriems yra atliekama kardioversija, sprendimas, ar galima pradėti gydymą vaistiniu preparatu ir kokia turi būti gydymo trukmė, priimamas, atsižvelgus į antikoaguliantų vartojimo rekomendacijų gaires.</w:t>
      </w:r>
    </w:p>
    <w:p w14:paraId="03BC46B4" w14:textId="77777777" w:rsidR="00823785" w:rsidRPr="00452D62" w:rsidRDefault="00823785" w:rsidP="00823785">
      <w:pPr>
        <w:rPr>
          <w:sz w:val="22"/>
          <w:szCs w:val="22"/>
        </w:rPr>
      </w:pPr>
    </w:p>
    <w:p w14:paraId="68F109C8" w14:textId="77777777" w:rsidR="00823785" w:rsidRPr="00452D62" w:rsidRDefault="00823785" w:rsidP="00823785">
      <w:pPr>
        <w:rPr>
          <w:i/>
          <w:iCs/>
          <w:sz w:val="22"/>
          <w:szCs w:val="22"/>
        </w:rPr>
      </w:pPr>
      <w:r w:rsidRPr="00452D62">
        <w:rPr>
          <w:i/>
          <w:iCs/>
          <w:sz w:val="22"/>
          <w:szCs w:val="22"/>
        </w:rPr>
        <w:t>Pacientai, sergantys su vožtuvų liga nesusijusiu prieširdžių virpėjimu, jei atliekama perkutaninė vainikinė intervencija (PVI) su stento įvedimu</w:t>
      </w:r>
    </w:p>
    <w:p w14:paraId="021125D0" w14:textId="3D73A148" w:rsidR="00823785" w:rsidRPr="00452D62" w:rsidRDefault="00823785" w:rsidP="00823785">
      <w:pPr>
        <w:rPr>
          <w:sz w:val="22"/>
          <w:szCs w:val="22"/>
        </w:rPr>
      </w:pPr>
      <w:r w:rsidRPr="00452D62">
        <w:rPr>
          <w:sz w:val="22"/>
          <w:szCs w:val="22"/>
        </w:rPr>
        <w:t>Patirtis, papildant gydymą P2Y12 inhibitoriumi sumažinta Xerdoxo 15 mg doze vieną kartą per parą (arba Xerdoxo 10 mg doze vieną kartą per parą, kuriems yra vidutinio sunkumo inkstų funkcijos sutrikimas [kreatinino klirensas 30</w:t>
      </w:r>
      <w:r w:rsidRPr="00452D62">
        <w:rPr>
          <w:sz w:val="22"/>
          <w:szCs w:val="22"/>
        </w:rPr>
        <w:noBreakHyphen/>
        <w:t>49 ml/min.]) pacientams, sergantiems su vožtuvų liga nesusijusiu prieširdžių virpėjimu, jei reikalingas gydymas geriamaisiais antikoaguliantais ir atliekama PVI su stento įvedimu, tokį gydymą skiriant ne ilgiau kaip 12 mėnesių, yra ribota (žr. 4.4 ir 5.1 skyrius).</w:t>
      </w:r>
    </w:p>
    <w:p w14:paraId="210E4462" w14:textId="77777777" w:rsidR="00244746" w:rsidRPr="00452D62" w:rsidRDefault="00244746" w:rsidP="00244746">
      <w:pPr>
        <w:pStyle w:val="Default"/>
        <w:rPr>
          <w:i/>
          <w:iCs/>
          <w:sz w:val="22"/>
          <w:szCs w:val="22"/>
        </w:rPr>
      </w:pPr>
    </w:p>
    <w:p w14:paraId="35238D03" w14:textId="7AD8D6DD" w:rsidR="00244746" w:rsidRPr="00452D62" w:rsidRDefault="00244746" w:rsidP="00244746">
      <w:pPr>
        <w:pStyle w:val="Default"/>
        <w:rPr>
          <w:sz w:val="22"/>
          <w:szCs w:val="22"/>
        </w:rPr>
      </w:pPr>
      <w:r w:rsidRPr="00452D62">
        <w:rPr>
          <w:i/>
          <w:iCs/>
          <w:sz w:val="22"/>
          <w:szCs w:val="22"/>
        </w:rPr>
        <w:t>Vaikų populiacija</w:t>
      </w:r>
    </w:p>
    <w:p w14:paraId="3D8FBE28" w14:textId="2FEC51B5" w:rsidR="00823785" w:rsidRPr="00452D62" w:rsidRDefault="00244746" w:rsidP="00244746">
      <w:pPr>
        <w:rPr>
          <w:sz w:val="22"/>
          <w:szCs w:val="22"/>
        </w:rPr>
      </w:pPr>
      <w:r w:rsidRPr="00452D62">
        <w:rPr>
          <w:sz w:val="22"/>
          <w:szCs w:val="22"/>
        </w:rPr>
        <w:t>Xerdoxo saugumas ir veiksmingumas n</w:t>
      </w:r>
      <w:r w:rsidR="0097388A" w:rsidRPr="00452D62">
        <w:rPr>
          <w:sz w:val="22"/>
          <w:szCs w:val="22"/>
        </w:rPr>
        <w:t xml:space="preserve">eištirti vaikams </w:t>
      </w:r>
      <w:r w:rsidR="005B7B93">
        <w:rPr>
          <w:sz w:val="22"/>
          <w:szCs w:val="22"/>
        </w:rPr>
        <w:t xml:space="preserve">ir paaugliams </w:t>
      </w:r>
      <w:r w:rsidR="0097388A" w:rsidRPr="00452D62">
        <w:rPr>
          <w:sz w:val="22"/>
          <w:szCs w:val="22"/>
        </w:rPr>
        <w:t>nuo 0 iki &lt; 18 </w:t>
      </w:r>
      <w:r w:rsidRPr="00452D62">
        <w:rPr>
          <w:sz w:val="22"/>
          <w:szCs w:val="22"/>
        </w:rPr>
        <w:t>metų amžiaus insulto ir sisteminės embolijos profilaktikos, kai pacientams yra su vožtuvų liga nesusijęs prieširdžių virpėjimas, indikacijai. Duomenų nėra, todėl Xerdoxo nerekomenduoj</w:t>
      </w:r>
      <w:r w:rsidR="0097388A" w:rsidRPr="00452D62">
        <w:rPr>
          <w:sz w:val="22"/>
          <w:szCs w:val="22"/>
        </w:rPr>
        <w:t>ama vartoti jaunesniems kaip 18 </w:t>
      </w:r>
      <w:r w:rsidRPr="00452D62">
        <w:rPr>
          <w:sz w:val="22"/>
          <w:szCs w:val="22"/>
        </w:rPr>
        <w:t>metų amžiaus vaikams</w:t>
      </w:r>
      <w:r w:rsidR="005B7B93">
        <w:rPr>
          <w:sz w:val="22"/>
          <w:szCs w:val="22"/>
        </w:rPr>
        <w:t xml:space="preserve"> ir paaugliams</w:t>
      </w:r>
      <w:r w:rsidRPr="00452D62">
        <w:rPr>
          <w:sz w:val="22"/>
          <w:szCs w:val="22"/>
        </w:rPr>
        <w:t>, kitoms indikacijoms nei VTE gydymas ir pasikartojančios VTE profilaktika.</w:t>
      </w:r>
    </w:p>
    <w:p w14:paraId="6470AD4B" w14:textId="77777777" w:rsidR="00244746" w:rsidRPr="00452D62" w:rsidRDefault="00244746" w:rsidP="00244746">
      <w:pPr>
        <w:rPr>
          <w:sz w:val="22"/>
          <w:szCs w:val="22"/>
          <w:u w:val="single"/>
        </w:rPr>
      </w:pPr>
    </w:p>
    <w:p w14:paraId="4E7EE125" w14:textId="77777777" w:rsidR="00823785" w:rsidRPr="00452D62" w:rsidRDefault="00823785" w:rsidP="00823785">
      <w:pPr>
        <w:rPr>
          <w:sz w:val="22"/>
          <w:szCs w:val="22"/>
        </w:rPr>
      </w:pPr>
      <w:r w:rsidRPr="00452D62">
        <w:rPr>
          <w:sz w:val="22"/>
          <w:szCs w:val="22"/>
          <w:u w:val="single"/>
        </w:rPr>
        <w:t>Vartojimo metodas</w:t>
      </w:r>
    </w:p>
    <w:p w14:paraId="39910018" w14:textId="77777777" w:rsidR="00A4273C" w:rsidRPr="00AE1B80" w:rsidRDefault="00A4273C" w:rsidP="00823785">
      <w:pPr>
        <w:rPr>
          <w:i/>
          <w:sz w:val="22"/>
          <w:szCs w:val="22"/>
        </w:rPr>
      </w:pPr>
      <w:r w:rsidRPr="00AE1B80">
        <w:rPr>
          <w:i/>
          <w:sz w:val="22"/>
          <w:szCs w:val="22"/>
        </w:rPr>
        <w:t>Suaugusiesiems</w:t>
      </w:r>
    </w:p>
    <w:p w14:paraId="591E0EB7" w14:textId="3C879CA3" w:rsidR="00823785" w:rsidRPr="00452D62" w:rsidRDefault="00823785" w:rsidP="00823785">
      <w:pPr>
        <w:rPr>
          <w:sz w:val="22"/>
          <w:szCs w:val="22"/>
        </w:rPr>
      </w:pPr>
      <w:r w:rsidRPr="00452D62">
        <w:rPr>
          <w:sz w:val="22"/>
          <w:szCs w:val="22"/>
        </w:rPr>
        <w:t>Xerdoxo skirtas vartoti per burną.</w:t>
      </w:r>
    </w:p>
    <w:p w14:paraId="71275F77" w14:textId="77777777" w:rsidR="00823785" w:rsidRPr="00452D62" w:rsidRDefault="00823785" w:rsidP="00823785">
      <w:pPr>
        <w:rPr>
          <w:sz w:val="22"/>
          <w:szCs w:val="22"/>
        </w:rPr>
      </w:pPr>
      <w:r w:rsidRPr="00452D62">
        <w:rPr>
          <w:sz w:val="22"/>
          <w:szCs w:val="22"/>
        </w:rPr>
        <w:t>Tabletes reikia gerti valgio metu (žr. 5.2 skyrių).</w:t>
      </w:r>
    </w:p>
    <w:p w14:paraId="0E864208" w14:textId="77777777" w:rsidR="00823785" w:rsidRPr="00452D62" w:rsidRDefault="00823785" w:rsidP="00823785">
      <w:pPr>
        <w:rPr>
          <w:sz w:val="22"/>
          <w:szCs w:val="22"/>
        </w:rPr>
      </w:pPr>
    </w:p>
    <w:p w14:paraId="4F9FF2AA" w14:textId="77777777" w:rsidR="00823785" w:rsidRPr="00452D62" w:rsidRDefault="00823785" w:rsidP="00823785">
      <w:pPr>
        <w:rPr>
          <w:i/>
          <w:sz w:val="22"/>
          <w:szCs w:val="22"/>
        </w:rPr>
      </w:pPr>
      <w:r w:rsidRPr="00452D62">
        <w:rPr>
          <w:i/>
          <w:sz w:val="22"/>
          <w:szCs w:val="22"/>
        </w:rPr>
        <w:t>Tablečių smulkinimas</w:t>
      </w:r>
    </w:p>
    <w:p w14:paraId="462D41B8" w14:textId="77777777" w:rsidR="00823785" w:rsidRPr="00452D62" w:rsidRDefault="00823785" w:rsidP="00823785">
      <w:pPr>
        <w:rPr>
          <w:sz w:val="22"/>
          <w:szCs w:val="22"/>
        </w:rPr>
      </w:pPr>
      <w:r w:rsidRPr="00452D62">
        <w:rPr>
          <w:sz w:val="22"/>
          <w:szCs w:val="22"/>
        </w:rPr>
        <w:t>Pacientams, kurie negali nuryti visos tabletės, prieš pat vartojimą Xerdoxo tabletę galima susmulkinti ir, sumaišius su vandeniu arba obuolių tyre, suvartoti per burną.</w:t>
      </w:r>
      <w:r w:rsidRPr="00AE1B80">
        <w:rPr>
          <w:sz w:val="22"/>
          <w:szCs w:val="22"/>
        </w:rPr>
        <w:t xml:space="preserve"> </w:t>
      </w:r>
      <w:r w:rsidRPr="00452D62">
        <w:rPr>
          <w:sz w:val="22"/>
          <w:szCs w:val="22"/>
        </w:rPr>
        <w:t>Pavartojus sutraiškytų Xerdoxo 15 mg arba 20 mg plėvele dengtų tablečių, pacientas turi nedelsiant pavalgyti.</w:t>
      </w:r>
    </w:p>
    <w:p w14:paraId="5ACBDC99" w14:textId="667802B3" w:rsidR="00823785" w:rsidRPr="00452D62" w:rsidRDefault="00823785" w:rsidP="00823785">
      <w:pPr>
        <w:rPr>
          <w:b/>
          <w:bCs/>
          <w:sz w:val="22"/>
          <w:szCs w:val="22"/>
        </w:rPr>
      </w:pPr>
      <w:r w:rsidRPr="00452D62">
        <w:rPr>
          <w:sz w:val="22"/>
          <w:szCs w:val="22"/>
        </w:rPr>
        <w:t>Susmulkintą Xerdoxo tabletę galima vartoti ir per skrandžio vamzdelį (žr. 5.2 ir 6.6 skyrius).</w:t>
      </w:r>
    </w:p>
    <w:p w14:paraId="6498BA29" w14:textId="77777777" w:rsidR="00D614C6" w:rsidRPr="00452D62" w:rsidRDefault="00D614C6" w:rsidP="00D614C6">
      <w:pPr>
        <w:pStyle w:val="Default"/>
        <w:rPr>
          <w:i/>
          <w:iCs/>
          <w:sz w:val="22"/>
          <w:szCs w:val="22"/>
        </w:rPr>
      </w:pPr>
    </w:p>
    <w:p w14:paraId="718BD1B8" w14:textId="38562B47" w:rsidR="00D614C6" w:rsidRPr="00452D62" w:rsidRDefault="00D614C6" w:rsidP="00D614C6">
      <w:pPr>
        <w:pStyle w:val="Default"/>
        <w:rPr>
          <w:sz w:val="22"/>
          <w:szCs w:val="22"/>
        </w:rPr>
      </w:pPr>
      <w:r w:rsidRPr="00452D62">
        <w:rPr>
          <w:i/>
          <w:iCs/>
          <w:sz w:val="22"/>
          <w:szCs w:val="22"/>
        </w:rPr>
        <w:t xml:space="preserve">Vaikai </w:t>
      </w:r>
      <w:r w:rsidR="0097388A" w:rsidRPr="00452D62">
        <w:rPr>
          <w:i/>
          <w:iCs/>
          <w:sz w:val="22"/>
          <w:szCs w:val="22"/>
        </w:rPr>
        <w:t>ir paaugliai, sveriantys nuo 30 kg iki 50 </w:t>
      </w:r>
      <w:r w:rsidRPr="00452D62">
        <w:rPr>
          <w:i/>
          <w:iCs/>
          <w:sz w:val="22"/>
          <w:szCs w:val="22"/>
        </w:rPr>
        <w:t>kg</w:t>
      </w:r>
    </w:p>
    <w:p w14:paraId="1BF973E9" w14:textId="0CA1EDCB" w:rsidR="00D614C6" w:rsidRPr="00452D62" w:rsidRDefault="00D614C6" w:rsidP="00D614C6">
      <w:pPr>
        <w:pStyle w:val="Default"/>
        <w:rPr>
          <w:sz w:val="22"/>
          <w:szCs w:val="22"/>
        </w:rPr>
      </w:pPr>
      <w:r w:rsidRPr="00452D62">
        <w:rPr>
          <w:sz w:val="22"/>
          <w:szCs w:val="22"/>
        </w:rPr>
        <w:t>Xerdoxo skirtas vartoti per burną.</w:t>
      </w:r>
    </w:p>
    <w:p w14:paraId="4BE0730E" w14:textId="533B0A82" w:rsidR="00D614C6" w:rsidRPr="00452D62" w:rsidRDefault="00D614C6" w:rsidP="00D614C6">
      <w:pPr>
        <w:pStyle w:val="Default"/>
        <w:rPr>
          <w:sz w:val="22"/>
          <w:szCs w:val="22"/>
        </w:rPr>
      </w:pPr>
      <w:r w:rsidRPr="00452D62">
        <w:rPr>
          <w:sz w:val="22"/>
          <w:szCs w:val="22"/>
        </w:rPr>
        <w:t>Pacientui reikia patarti nuryti tabletę, užsigeriant skysčiu. Be to, tabletę reikia vartoti valgio metu (žr. 5.2 skyrių). Tabletes reikia vartoti maždaug kas 24 valandas.</w:t>
      </w:r>
    </w:p>
    <w:p w14:paraId="1B0EF0ED" w14:textId="77777777" w:rsidR="00D614C6" w:rsidRPr="00452D62" w:rsidRDefault="00D614C6" w:rsidP="00D614C6">
      <w:pPr>
        <w:pStyle w:val="Default"/>
        <w:rPr>
          <w:sz w:val="22"/>
          <w:szCs w:val="22"/>
        </w:rPr>
      </w:pPr>
    </w:p>
    <w:p w14:paraId="7CAACFE0" w14:textId="1F70DD46" w:rsidR="00D614C6" w:rsidRPr="00452D62" w:rsidRDefault="00D614C6" w:rsidP="00D614C6">
      <w:pPr>
        <w:pStyle w:val="Default"/>
        <w:rPr>
          <w:sz w:val="22"/>
          <w:szCs w:val="22"/>
        </w:rPr>
      </w:pPr>
      <w:r w:rsidRPr="00452D62">
        <w:rPr>
          <w:sz w:val="22"/>
          <w:szCs w:val="22"/>
        </w:rPr>
        <w:t>Jei pacientas, pavartojęs dozę, iš karto ją išspjovė arba per 30 minučių išvėmė, reikia duoti naują dozę. Vis dėlto, jei pacientas vėmė praėjus daugiau kaip 30 minučių po dozės vartojimo, jos pakartotinai skirti nereikia, ir kitą dozę reikia vartoti kaip numatyta.</w:t>
      </w:r>
    </w:p>
    <w:p w14:paraId="47E57D34" w14:textId="77777777" w:rsidR="00D614C6" w:rsidRPr="00452D62" w:rsidRDefault="00D614C6" w:rsidP="00D614C6">
      <w:pPr>
        <w:pStyle w:val="Default"/>
        <w:rPr>
          <w:sz w:val="22"/>
          <w:szCs w:val="22"/>
        </w:rPr>
      </w:pPr>
    </w:p>
    <w:p w14:paraId="59DAAE40" w14:textId="3FE79B8D" w:rsidR="00823785" w:rsidRPr="00452D62" w:rsidRDefault="00D614C6" w:rsidP="00D614C6">
      <w:pPr>
        <w:ind w:left="567" w:hanging="568"/>
        <w:rPr>
          <w:sz w:val="22"/>
          <w:szCs w:val="22"/>
        </w:rPr>
      </w:pPr>
      <w:r w:rsidRPr="00452D62">
        <w:rPr>
          <w:sz w:val="22"/>
          <w:szCs w:val="22"/>
        </w:rPr>
        <w:t>Tabletės negalima padalyti, norint skirti dalį tabletės dozės.</w:t>
      </w:r>
    </w:p>
    <w:p w14:paraId="6A14F476" w14:textId="77777777" w:rsidR="00D614C6" w:rsidRPr="00452D62" w:rsidRDefault="00D614C6" w:rsidP="00D614C6">
      <w:pPr>
        <w:pStyle w:val="Default"/>
        <w:rPr>
          <w:i/>
          <w:iCs/>
          <w:sz w:val="22"/>
          <w:szCs w:val="22"/>
        </w:rPr>
      </w:pPr>
    </w:p>
    <w:p w14:paraId="13796B1A" w14:textId="1E0C373B" w:rsidR="00D614C6" w:rsidRPr="00452D62" w:rsidRDefault="00D614C6" w:rsidP="00D614C6">
      <w:pPr>
        <w:pStyle w:val="Default"/>
        <w:rPr>
          <w:sz w:val="22"/>
          <w:szCs w:val="22"/>
        </w:rPr>
      </w:pPr>
      <w:r w:rsidRPr="00452D62">
        <w:rPr>
          <w:i/>
          <w:iCs/>
          <w:sz w:val="22"/>
          <w:szCs w:val="22"/>
        </w:rPr>
        <w:t>Tablečių sutraiškymas</w:t>
      </w:r>
    </w:p>
    <w:p w14:paraId="296092D0" w14:textId="2EB0C7DF" w:rsidR="00D614C6" w:rsidRPr="00452D62" w:rsidRDefault="00D614C6" w:rsidP="00D614C6">
      <w:pPr>
        <w:pStyle w:val="Default"/>
        <w:rPr>
          <w:sz w:val="22"/>
          <w:szCs w:val="22"/>
        </w:rPr>
      </w:pPr>
      <w:r w:rsidRPr="00452D62">
        <w:rPr>
          <w:sz w:val="22"/>
          <w:szCs w:val="22"/>
        </w:rPr>
        <w:t>Pacientams, kurie negali nuryti visos tabletės, reikia skirti Xerdoxo granules geriamajai</w:t>
      </w:r>
      <w:r w:rsidR="0097388A" w:rsidRPr="00452D62">
        <w:rPr>
          <w:sz w:val="22"/>
          <w:szCs w:val="22"/>
        </w:rPr>
        <w:t xml:space="preserve"> suspensijai. Jeigu </w:t>
      </w:r>
      <w:r w:rsidR="005B7B93">
        <w:rPr>
          <w:sz w:val="22"/>
          <w:szCs w:val="22"/>
        </w:rPr>
        <w:t>paskyrus</w:t>
      </w:r>
      <w:r w:rsidR="0097388A" w:rsidRPr="00452D62">
        <w:rPr>
          <w:sz w:val="22"/>
          <w:szCs w:val="22"/>
        </w:rPr>
        <w:t xml:space="preserve"> 15 mg arba 20 </w:t>
      </w:r>
      <w:r w:rsidRPr="00452D62">
        <w:rPr>
          <w:sz w:val="22"/>
          <w:szCs w:val="22"/>
        </w:rPr>
        <w:t>mg rivaroksabano dozes, nėra galimybės nedelsiant įsigyti geriamosios suspensijos, tada ją galima gauti, pri</w:t>
      </w:r>
      <w:r w:rsidR="0097388A" w:rsidRPr="00452D62">
        <w:rPr>
          <w:sz w:val="22"/>
          <w:szCs w:val="22"/>
        </w:rPr>
        <w:t>eš pat vartojimą sutraiškius 15 mg arba 20 </w:t>
      </w:r>
      <w:r w:rsidRPr="00452D62">
        <w:rPr>
          <w:sz w:val="22"/>
          <w:szCs w:val="22"/>
        </w:rPr>
        <w:t>mg tabletę, sumaišius ją su vandeniu arba obuoli</w:t>
      </w:r>
      <w:r w:rsidR="0097388A" w:rsidRPr="00452D62">
        <w:rPr>
          <w:sz w:val="22"/>
          <w:szCs w:val="22"/>
        </w:rPr>
        <w:t>ų tyre ir suvartojus per burną.</w:t>
      </w:r>
    </w:p>
    <w:p w14:paraId="33473AED" w14:textId="6840B256" w:rsidR="00D614C6" w:rsidRPr="00452D62" w:rsidRDefault="00D614C6" w:rsidP="00AE1B80">
      <w:pPr>
        <w:ind w:left="-1"/>
        <w:rPr>
          <w:sz w:val="22"/>
          <w:szCs w:val="22"/>
        </w:rPr>
      </w:pPr>
      <w:r w:rsidRPr="00452D62">
        <w:rPr>
          <w:sz w:val="22"/>
          <w:szCs w:val="22"/>
        </w:rPr>
        <w:t>Sutraiškytą tabletę galima vartoti per nazogastrinį arba skrandžio maitinimo vamzdelį (žr. 5.2 ir 6.6 skyrius).</w:t>
      </w:r>
    </w:p>
    <w:p w14:paraId="15066E6D" w14:textId="77777777" w:rsidR="00D614C6" w:rsidRPr="00452D62" w:rsidRDefault="00D614C6" w:rsidP="00D614C6">
      <w:pPr>
        <w:ind w:left="567" w:hanging="568"/>
        <w:rPr>
          <w:b/>
          <w:bCs/>
          <w:sz w:val="22"/>
          <w:szCs w:val="22"/>
        </w:rPr>
      </w:pPr>
    </w:p>
    <w:p w14:paraId="355BB0D5"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4.3</w:t>
      </w:r>
      <w:r w:rsidRPr="00452D62">
        <w:rPr>
          <w:b/>
          <w:color w:val="auto"/>
          <w:kern w:val="28"/>
          <w:sz w:val="22"/>
          <w:szCs w:val="22"/>
          <w:lang w:eastAsia="en-US"/>
        </w:rPr>
        <w:tab/>
        <w:t>Kontraindikacijos</w:t>
      </w:r>
    </w:p>
    <w:p w14:paraId="199B9E38" w14:textId="77777777" w:rsidR="00823785" w:rsidRPr="00452D62" w:rsidRDefault="00823785" w:rsidP="00823785">
      <w:pPr>
        <w:rPr>
          <w:sz w:val="22"/>
          <w:szCs w:val="22"/>
        </w:rPr>
      </w:pPr>
    </w:p>
    <w:p w14:paraId="02117EB9" w14:textId="77777777" w:rsidR="00823785" w:rsidRPr="00452D62" w:rsidRDefault="00823785" w:rsidP="00823785">
      <w:pPr>
        <w:rPr>
          <w:sz w:val="22"/>
          <w:szCs w:val="22"/>
        </w:rPr>
      </w:pPr>
      <w:r w:rsidRPr="00452D62">
        <w:rPr>
          <w:sz w:val="22"/>
          <w:szCs w:val="22"/>
        </w:rPr>
        <w:t>Padidėjęs jautrumas veikliajai arba bet kuriai 6.1 skyriuje nurodytai pagalbinei medžiagai.</w:t>
      </w:r>
    </w:p>
    <w:p w14:paraId="74373168" w14:textId="77777777" w:rsidR="00823785" w:rsidRPr="00452D62" w:rsidRDefault="00823785" w:rsidP="00823785">
      <w:pPr>
        <w:rPr>
          <w:sz w:val="22"/>
          <w:szCs w:val="22"/>
        </w:rPr>
      </w:pPr>
    </w:p>
    <w:p w14:paraId="046F5773" w14:textId="77777777" w:rsidR="00823785" w:rsidRPr="00452D62" w:rsidRDefault="00823785" w:rsidP="00823785">
      <w:pPr>
        <w:rPr>
          <w:sz w:val="22"/>
          <w:szCs w:val="22"/>
        </w:rPr>
      </w:pPr>
      <w:r w:rsidRPr="00452D62">
        <w:rPr>
          <w:sz w:val="22"/>
          <w:szCs w:val="22"/>
        </w:rPr>
        <w:t>Aktyvus kliniškai reikšmingas kraujavimas.</w:t>
      </w:r>
    </w:p>
    <w:p w14:paraId="3E7A9A23" w14:textId="77777777" w:rsidR="00823785" w:rsidRPr="00452D62" w:rsidRDefault="00823785" w:rsidP="00823785">
      <w:pPr>
        <w:rPr>
          <w:sz w:val="22"/>
          <w:szCs w:val="22"/>
        </w:rPr>
      </w:pPr>
    </w:p>
    <w:p w14:paraId="007815DF" w14:textId="77777777" w:rsidR="00823785" w:rsidRPr="00452D62" w:rsidRDefault="00823785" w:rsidP="00823785">
      <w:pPr>
        <w:rPr>
          <w:sz w:val="22"/>
          <w:szCs w:val="22"/>
        </w:rPr>
      </w:pPr>
      <w:r w:rsidRPr="00452D62">
        <w:rPr>
          <w:sz w:val="22"/>
          <w:szCs w:val="22"/>
        </w:rPr>
        <w:t>Sužalojimas arba būklė, jeigu laikoma, jog yra didelė didžiojo kraujavimo rizika. Tai gali būti esamos arba neseniai buvusios virškinimo trakto opos, esami piktybiniai navikai, sukeliantys didelę kraujavimo riziką, neseniai buvusi galvos smegenų arba stuburo pažaida, neseniai buvusi galvos smegenų, stuburo arba akies chirurginė operacija, neseniai buvęs intrakranijinis kraujavimas, žinoma arba įtariama stemplės venų varikozė, arterioveninės formavimosi ydos, kraujagyslių aneurizmos arba didžiosios stuburo ar galvos smegenų kraujagyslių anomalijos.</w:t>
      </w:r>
    </w:p>
    <w:p w14:paraId="19EBC7BB" w14:textId="77777777" w:rsidR="00823785" w:rsidRPr="00452D62" w:rsidRDefault="00823785" w:rsidP="00823785">
      <w:pPr>
        <w:rPr>
          <w:sz w:val="22"/>
          <w:szCs w:val="22"/>
        </w:rPr>
      </w:pPr>
    </w:p>
    <w:p w14:paraId="055A21DC" w14:textId="77777777" w:rsidR="00823785" w:rsidRPr="00452D62" w:rsidRDefault="00823785" w:rsidP="00823785">
      <w:pPr>
        <w:rPr>
          <w:sz w:val="22"/>
          <w:szCs w:val="22"/>
        </w:rPr>
      </w:pPr>
      <w:r w:rsidRPr="00452D62">
        <w:rPr>
          <w:sz w:val="22"/>
          <w:szCs w:val="22"/>
        </w:rPr>
        <w:t>Tuo pačiu metu taikomas gydymas bet kuriais kitais antikoaguliantais, pvz., nefrakcionuotu heparinu (NFH), mažos molekulinės masės heparinais (enoksaparinu, dalteparinu ir kt.), heparino dariniais (fondaparinuksu ir kt.), geriamaisiais antikoaguliantais (varfarinu, dabigatrano eteksilatu, apiksabanu ir kt.), išskyrus specifinius gydymo antikoaguliantais keitimo atvejus (žr. 4.2 skyrių) arba kai NFH vartojamas tokiomis dozėmis, kurios būtinos, kad išliktų pralaidus centrinės venos arba arterijos kateteris (žr. 4.5 skyrių).</w:t>
      </w:r>
    </w:p>
    <w:p w14:paraId="6DD1BA7E" w14:textId="77777777" w:rsidR="00823785" w:rsidRPr="00452D62" w:rsidRDefault="00823785" w:rsidP="00823785">
      <w:pPr>
        <w:rPr>
          <w:sz w:val="22"/>
          <w:szCs w:val="22"/>
        </w:rPr>
      </w:pPr>
    </w:p>
    <w:p w14:paraId="21EC537F" w14:textId="77777777" w:rsidR="00823785" w:rsidRPr="00452D62" w:rsidRDefault="00823785" w:rsidP="00823785">
      <w:pPr>
        <w:rPr>
          <w:sz w:val="22"/>
          <w:szCs w:val="22"/>
        </w:rPr>
      </w:pPr>
      <w:r w:rsidRPr="00452D62">
        <w:rPr>
          <w:sz w:val="22"/>
          <w:szCs w:val="22"/>
        </w:rPr>
        <w:t xml:space="preserve">Kepenų liga, susijusi su koaguliopatija ir kliniškai reikšmingo kraujavimo rizika, įskaitant pacientus, kuriems yra cirozė (B ir C pagal </w:t>
      </w:r>
      <w:r w:rsidRPr="00452D62">
        <w:rPr>
          <w:i/>
          <w:sz w:val="22"/>
          <w:szCs w:val="22"/>
        </w:rPr>
        <w:t>Child Pugh</w:t>
      </w:r>
      <w:r w:rsidRPr="00452D62">
        <w:rPr>
          <w:sz w:val="22"/>
          <w:szCs w:val="22"/>
        </w:rPr>
        <w:t>) (žr. 5.2 skyrių).</w:t>
      </w:r>
    </w:p>
    <w:p w14:paraId="024BF799" w14:textId="77777777" w:rsidR="00823785" w:rsidRPr="00452D62" w:rsidRDefault="00823785" w:rsidP="00823785">
      <w:pPr>
        <w:rPr>
          <w:sz w:val="22"/>
          <w:szCs w:val="22"/>
        </w:rPr>
      </w:pPr>
    </w:p>
    <w:p w14:paraId="37664E7F" w14:textId="77777777" w:rsidR="00823785" w:rsidRPr="00452D62" w:rsidRDefault="00823785" w:rsidP="00823785">
      <w:pPr>
        <w:rPr>
          <w:sz w:val="22"/>
          <w:szCs w:val="22"/>
        </w:rPr>
      </w:pPr>
      <w:r w:rsidRPr="00452D62">
        <w:rPr>
          <w:sz w:val="22"/>
          <w:szCs w:val="22"/>
        </w:rPr>
        <w:t>Nėštumo ir žindymo laikotarpis (žr. 4.6 skyrių).</w:t>
      </w:r>
    </w:p>
    <w:p w14:paraId="6ADE3487" w14:textId="77777777" w:rsidR="00823785" w:rsidRPr="00452D62" w:rsidRDefault="00823785" w:rsidP="00823785">
      <w:pPr>
        <w:rPr>
          <w:sz w:val="22"/>
          <w:szCs w:val="22"/>
        </w:rPr>
      </w:pPr>
    </w:p>
    <w:p w14:paraId="69922071"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4.4</w:t>
      </w:r>
      <w:r w:rsidRPr="00452D62">
        <w:rPr>
          <w:b/>
          <w:color w:val="auto"/>
          <w:kern w:val="28"/>
          <w:sz w:val="22"/>
          <w:szCs w:val="22"/>
          <w:lang w:eastAsia="en-US"/>
        </w:rPr>
        <w:tab/>
        <w:t>Specialūs įspėjimai ir atsargumo priemonės</w:t>
      </w:r>
    </w:p>
    <w:p w14:paraId="25F38391" w14:textId="77777777" w:rsidR="00823785" w:rsidRPr="00452D62" w:rsidRDefault="00823785" w:rsidP="00823785">
      <w:pPr>
        <w:tabs>
          <w:tab w:val="clear" w:pos="567"/>
          <w:tab w:val="left" w:pos="0"/>
        </w:tabs>
        <w:rPr>
          <w:sz w:val="22"/>
          <w:szCs w:val="22"/>
        </w:rPr>
      </w:pPr>
    </w:p>
    <w:p w14:paraId="0A0B1677" w14:textId="77777777" w:rsidR="00823785" w:rsidRPr="00452D62" w:rsidRDefault="00823785" w:rsidP="00823785">
      <w:pPr>
        <w:tabs>
          <w:tab w:val="clear" w:pos="567"/>
          <w:tab w:val="left" w:pos="0"/>
        </w:tabs>
        <w:rPr>
          <w:sz w:val="22"/>
          <w:szCs w:val="22"/>
        </w:rPr>
      </w:pPr>
      <w:r w:rsidRPr="00452D62">
        <w:rPr>
          <w:sz w:val="22"/>
          <w:szCs w:val="22"/>
        </w:rPr>
        <w:t>Gydymo laikotarpiu rekomenduojamas klinikinis stebėjimas, paremtas gydymo antikoaguliantais praktika.</w:t>
      </w:r>
    </w:p>
    <w:p w14:paraId="66697CF7" w14:textId="77777777" w:rsidR="00823785" w:rsidRPr="00452D62" w:rsidRDefault="00823785" w:rsidP="00823785">
      <w:pPr>
        <w:rPr>
          <w:sz w:val="22"/>
          <w:szCs w:val="22"/>
          <w:u w:val="single"/>
        </w:rPr>
      </w:pPr>
    </w:p>
    <w:p w14:paraId="77EBF03C" w14:textId="77777777" w:rsidR="00823785" w:rsidRPr="00452D62" w:rsidRDefault="00823785" w:rsidP="00823785">
      <w:pPr>
        <w:rPr>
          <w:sz w:val="22"/>
          <w:szCs w:val="22"/>
        </w:rPr>
      </w:pPr>
      <w:r w:rsidRPr="00452D62">
        <w:rPr>
          <w:sz w:val="22"/>
          <w:szCs w:val="22"/>
          <w:u w:val="single"/>
        </w:rPr>
        <w:t>Kraujavimo rizika</w:t>
      </w:r>
    </w:p>
    <w:p w14:paraId="316C2C34" w14:textId="77777777" w:rsidR="00823785" w:rsidRPr="00452D62" w:rsidRDefault="00823785" w:rsidP="00823785">
      <w:pPr>
        <w:rPr>
          <w:sz w:val="22"/>
          <w:szCs w:val="22"/>
        </w:rPr>
      </w:pPr>
      <w:r w:rsidRPr="00452D62">
        <w:rPr>
          <w:sz w:val="22"/>
          <w:szCs w:val="22"/>
        </w:rPr>
        <w:t>Kaip ir gydant kitais antikoaguliantais, Xerdoxo vartojančius pacientus reikia atidžiai stebėti dėl kraujavimo požymių. Esant padidėjusios kraujavimo rizikos būklėms, šį vaistinį preparatą rekomenduojama vartoti atsargiai. Jei pasireiškia sunkus kraujavimas, Xerdoxo vartojimą reikia nutraukti (žr. 4.9 skyrių).</w:t>
      </w:r>
    </w:p>
    <w:p w14:paraId="1DE88ADA" w14:textId="77777777" w:rsidR="00823785" w:rsidRPr="00452D62" w:rsidRDefault="00823785" w:rsidP="00823785">
      <w:pPr>
        <w:rPr>
          <w:sz w:val="22"/>
          <w:szCs w:val="22"/>
        </w:rPr>
      </w:pPr>
    </w:p>
    <w:p w14:paraId="7D239D5D" w14:textId="77777777" w:rsidR="00823785" w:rsidRPr="00452D62" w:rsidRDefault="00823785" w:rsidP="00823785">
      <w:pPr>
        <w:rPr>
          <w:sz w:val="22"/>
          <w:szCs w:val="22"/>
        </w:rPr>
      </w:pPr>
      <w:r w:rsidRPr="00452D62">
        <w:rPr>
          <w:sz w:val="22"/>
          <w:szCs w:val="22"/>
        </w:rPr>
        <w:t>Klinikinių tyrimų metu gleivinės kraujavimas (t. y. iš nosies, dantenų, virškinimo trakto, lytinių organų ir šlapimo takų, įskaitant nenormalų kraujavimą iš makšties arba sustiprėjusį menstruacinį kraujavimą) ir anemija dažniau buvo stebėti taikant ilgalaikį gydymą rivaroksabanu, palyginti su gydymu vien VKA. Taigi, papildant reikiamą klinikinį stebėjimą, slaptam kraujavimui nustatyti ir klinikinei akivaizdaus kraujavimo reikšmei įvertinti gali būti naudingi hemoglobino ir (arba) hematokrito laboratoriniai tyrimai, jei manoma, kad jie yra tinkami.</w:t>
      </w:r>
    </w:p>
    <w:p w14:paraId="5A5906A0" w14:textId="77777777" w:rsidR="00823785" w:rsidRPr="00452D62" w:rsidRDefault="00823785" w:rsidP="00823785">
      <w:pPr>
        <w:rPr>
          <w:sz w:val="22"/>
          <w:szCs w:val="22"/>
        </w:rPr>
      </w:pPr>
    </w:p>
    <w:p w14:paraId="245FFC1F" w14:textId="250C722F" w:rsidR="00823785" w:rsidRPr="00452D62" w:rsidRDefault="00823785" w:rsidP="00823785">
      <w:pPr>
        <w:rPr>
          <w:sz w:val="22"/>
          <w:szCs w:val="22"/>
        </w:rPr>
      </w:pPr>
      <w:r w:rsidRPr="00452D62">
        <w:rPr>
          <w:sz w:val="22"/>
          <w:szCs w:val="22"/>
        </w:rPr>
        <w:t>Keliems pacientų pogrupiams, kaip nurodyta toliau, yra padidėjusi kraujavimo rizika. Pradėjus gydymą, tokius pacientus reikia atidžiai stebėti dėl kraujavimo komplikacijų požymių bei simptomų ir anemijos (žr. 4.8 skyrių).</w:t>
      </w:r>
      <w:r w:rsidRPr="00AE1B80">
        <w:rPr>
          <w:sz w:val="22"/>
          <w:szCs w:val="22"/>
        </w:rPr>
        <w:t xml:space="preserve"> </w:t>
      </w:r>
      <w:r w:rsidRPr="00452D62">
        <w:rPr>
          <w:sz w:val="22"/>
          <w:szCs w:val="22"/>
        </w:rPr>
        <w:t>Bet koks nepaaiškinamas hemoglobino rodmens ar kraujospūdžio sumažėjimas turi paskatinti ieškoti kraujavimo vietos.</w:t>
      </w:r>
    </w:p>
    <w:p w14:paraId="1157FC7E" w14:textId="77777777" w:rsidR="00823785" w:rsidRPr="00452D62" w:rsidRDefault="00823785" w:rsidP="00823785">
      <w:pPr>
        <w:rPr>
          <w:sz w:val="22"/>
          <w:szCs w:val="22"/>
        </w:rPr>
      </w:pPr>
    </w:p>
    <w:p w14:paraId="777E2F55" w14:textId="77777777" w:rsidR="00823785" w:rsidRPr="00452D62" w:rsidRDefault="00823785" w:rsidP="00823785">
      <w:pPr>
        <w:rPr>
          <w:sz w:val="22"/>
          <w:szCs w:val="22"/>
          <w:u w:val="single"/>
        </w:rPr>
      </w:pPr>
      <w:r w:rsidRPr="00452D62">
        <w:rPr>
          <w:sz w:val="22"/>
          <w:szCs w:val="22"/>
        </w:rPr>
        <w:t>Nors gydant rivaroksabanu rutininis ekspozicijos stebėjimas nėra būtinas, išimtiniais atvejais, kai, žinant rivaroksabano ekspoziciją gali būti lengviau priimti klinikinį sprendimą, pvz., perdozavus arba skubios chirurginės operacijos atveju, gali būti naudinga rivaroksabano kiekį įvertinti naudojant kalibruotą kiekybinę anti-Xa faktoriaus analizę (žr. 5.1 ir 5.2 skyrius).</w:t>
      </w:r>
    </w:p>
    <w:p w14:paraId="6FC6DC21" w14:textId="77777777" w:rsidR="000D2047" w:rsidRPr="00452D62" w:rsidRDefault="000D2047" w:rsidP="000D2047">
      <w:pPr>
        <w:pStyle w:val="Default"/>
        <w:rPr>
          <w:i/>
          <w:iCs/>
          <w:sz w:val="22"/>
          <w:szCs w:val="22"/>
        </w:rPr>
      </w:pPr>
    </w:p>
    <w:p w14:paraId="7F00BB98" w14:textId="1B13DC0A" w:rsidR="000D2047" w:rsidRPr="00452D62" w:rsidRDefault="000D2047" w:rsidP="000D2047">
      <w:pPr>
        <w:pStyle w:val="Default"/>
        <w:rPr>
          <w:sz w:val="22"/>
          <w:szCs w:val="22"/>
        </w:rPr>
      </w:pPr>
      <w:r w:rsidRPr="00452D62">
        <w:rPr>
          <w:i/>
          <w:iCs/>
          <w:sz w:val="22"/>
          <w:szCs w:val="22"/>
        </w:rPr>
        <w:t>Vaikų populiacija</w:t>
      </w:r>
    </w:p>
    <w:p w14:paraId="70593119" w14:textId="619D3D13" w:rsidR="00823785" w:rsidRPr="00452D62" w:rsidRDefault="000D2047" w:rsidP="000D2047">
      <w:pPr>
        <w:rPr>
          <w:sz w:val="22"/>
          <w:szCs w:val="22"/>
        </w:rPr>
      </w:pPr>
      <w:r w:rsidRPr="00452D62">
        <w:rPr>
          <w:sz w:val="22"/>
          <w:szCs w:val="22"/>
        </w:rPr>
        <w:t>Vaikų, kurie serga galvos smegenų venos ir sinuso tromboze ir kuriems yra CNS infekcija, duomenys yra riboti (žr. 5.1 skyrių). Kraujavimo pavojus turi būti atidžiai įvertintas prieš gydymą rivaroksabanu ir gydymo metu.</w:t>
      </w:r>
    </w:p>
    <w:p w14:paraId="683CE09C" w14:textId="77777777" w:rsidR="000D2047" w:rsidRPr="00452D62" w:rsidRDefault="000D2047" w:rsidP="000D2047">
      <w:pPr>
        <w:rPr>
          <w:sz w:val="22"/>
          <w:szCs w:val="22"/>
          <w:u w:val="single"/>
        </w:rPr>
      </w:pPr>
    </w:p>
    <w:p w14:paraId="28BD8013" w14:textId="77777777" w:rsidR="00823785" w:rsidRPr="00452D62" w:rsidRDefault="00823785" w:rsidP="00823785">
      <w:pPr>
        <w:rPr>
          <w:sz w:val="22"/>
          <w:szCs w:val="22"/>
        </w:rPr>
      </w:pPr>
      <w:r w:rsidRPr="00452D62">
        <w:rPr>
          <w:sz w:val="22"/>
          <w:szCs w:val="22"/>
          <w:u w:val="single"/>
        </w:rPr>
        <w:t>Sutrikusi inkstų funkcija</w:t>
      </w:r>
    </w:p>
    <w:p w14:paraId="08E71346" w14:textId="698530CA" w:rsidR="00823785" w:rsidRPr="00452D62" w:rsidRDefault="00823785" w:rsidP="00823785">
      <w:pPr>
        <w:rPr>
          <w:sz w:val="22"/>
          <w:szCs w:val="22"/>
        </w:rPr>
      </w:pPr>
      <w:r w:rsidRPr="00452D62">
        <w:rPr>
          <w:sz w:val="22"/>
          <w:szCs w:val="22"/>
        </w:rPr>
        <w:t>Suaugusiems pacientams, kuriems yra sunkus inkstų funkcijos sutrikimas (kreatinino klirensas &lt; 30 ml/min.), rivaroksabano kiekis kraujo plazmoje gali būti reikšmingai padidėjęs (vidutiniškai 1,6 karto) ir tai gali padidinti kraujavimo riziką. Pacientams, kurių kreatinino klirensas yra 15</w:t>
      </w:r>
      <w:r w:rsidRPr="00452D62">
        <w:rPr>
          <w:sz w:val="22"/>
          <w:szCs w:val="22"/>
        </w:rPr>
        <w:noBreakHyphen/>
        <w:t>29 ml/min., Xerdoxo reikia vartoti atsargiai. Xerdoxo nerekomenduojama vartoti pacientams, kurių kreatinino klirensas yra &lt; 15 ml/min. (žr. 4.2 ir 5.2 skyrius).</w:t>
      </w:r>
    </w:p>
    <w:p w14:paraId="23DB2B04" w14:textId="77777777" w:rsidR="00823785" w:rsidRPr="00452D62" w:rsidRDefault="00823785" w:rsidP="00823785">
      <w:pPr>
        <w:rPr>
          <w:sz w:val="22"/>
          <w:szCs w:val="22"/>
          <w:u w:val="single"/>
        </w:rPr>
      </w:pPr>
      <w:r w:rsidRPr="00452D62">
        <w:rPr>
          <w:sz w:val="22"/>
          <w:szCs w:val="22"/>
        </w:rPr>
        <w:t>Pacientams, kuriems yra inkstų funkcijos sutrikimas, kartu skiriant kitų vaistinių preparatų, kurie padidina rivaroksabano koncentraciją kraujo plazmoje, Xerdoxo būtina vartoti atsargiai (žr. 4.5 skyrių).</w:t>
      </w:r>
    </w:p>
    <w:p w14:paraId="73BC1425" w14:textId="5F70FC07" w:rsidR="00823785" w:rsidRPr="00452D62" w:rsidRDefault="00F80077" w:rsidP="00823785">
      <w:pPr>
        <w:rPr>
          <w:sz w:val="22"/>
          <w:szCs w:val="22"/>
        </w:rPr>
      </w:pPr>
      <w:r w:rsidRPr="00452D62">
        <w:rPr>
          <w:sz w:val="22"/>
          <w:szCs w:val="22"/>
        </w:rPr>
        <w:t>Xerdoxo nerekomenduojama vartoti vaikams ir paaugliams, kuriems yra vidutinio sunkumo arba sunkus inkstų funkcijos sutrikimas (glo</w:t>
      </w:r>
      <w:r w:rsidR="00913D02" w:rsidRPr="00452D62">
        <w:rPr>
          <w:sz w:val="22"/>
          <w:szCs w:val="22"/>
        </w:rPr>
        <w:t>merulų filtracijos greitis &lt; 50 </w:t>
      </w:r>
      <w:r w:rsidRPr="00452D62">
        <w:rPr>
          <w:sz w:val="22"/>
          <w:szCs w:val="22"/>
        </w:rPr>
        <w:t>ml/ min./1,73 m</w:t>
      </w:r>
      <w:r w:rsidRPr="00AE1B80">
        <w:rPr>
          <w:sz w:val="22"/>
          <w:szCs w:val="22"/>
          <w:vertAlign w:val="superscript"/>
        </w:rPr>
        <w:t>2</w:t>
      </w:r>
      <w:r w:rsidRPr="00452D62">
        <w:rPr>
          <w:sz w:val="22"/>
          <w:szCs w:val="22"/>
        </w:rPr>
        <w:t>), nes nėra klinikinių duomenų.</w:t>
      </w:r>
    </w:p>
    <w:p w14:paraId="472B2616" w14:textId="77777777" w:rsidR="00F80077" w:rsidRPr="00452D62" w:rsidRDefault="00F80077" w:rsidP="00823785">
      <w:pPr>
        <w:rPr>
          <w:sz w:val="22"/>
          <w:szCs w:val="22"/>
          <w:u w:val="single"/>
        </w:rPr>
      </w:pPr>
    </w:p>
    <w:p w14:paraId="115DD6D7" w14:textId="77777777" w:rsidR="00823785" w:rsidRPr="00452D62" w:rsidRDefault="00823785" w:rsidP="00823785">
      <w:pPr>
        <w:rPr>
          <w:sz w:val="22"/>
          <w:szCs w:val="22"/>
        </w:rPr>
      </w:pPr>
      <w:r w:rsidRPr="00452D62">
        <w:rPr>
          <w:sz w:val="22"/>
          <w:szCs w:val="22"/>
          <w:u w:val="single"/>
        </w:rPr>
        <w:t>Sąveika su kitais vaistiniais preparatais</w:t>
      </w:r>
    </w:p>
    <w:p w14:paraId="5807B246" w14:textId="2E161365" w:rsidR="00823785" w:rsidRPr="00452D62" w:rsidRDefault="00823785" w:rsidP="00823785">
      <w:pPr>
        <w:tabs>
          <w:tab w:val="clear" w:pos="567"/>
          <w:tab w:val="left" w:pos="0"/>
        </w:tabs>
        <w:rPr>
          <w:sz w:val="22"/>
          <w:szCs w:val="22"/>
        </w:rPr>
      </w:pPr>
      <w:r w:rsidRPr="00452D62">
        <w:rPr>
          <w:sz w:val="22"/>
          <w:szCs w:val="22"/>
        </w:rPr>
        <w:t>Xerdoxo nerekomenduojama skirti pacientams, kuriems taikomas sisteminis gydymas azolo grupės priešgrybeliniais vaistiniais preparatais (pvz., ketokonazolu, itrakonazolu, vorikonazolu ir pozakonazolu) arba ŽIV proteazės inhibitoriais (pvz., ritonaviru). Šios veikliosios medžiagos yra stiprūs ir CYP3A4, ir P-gp inhibitoriai ir dėl to rivaroksabano koncentracija kraujo plazmoje gali padidėti kliniškai reikšmingai (vidutiniškai 2,6 karto), o tai gali padidinti kraujavimo riziką</w:t>
      </w:r>
      <w:r w:rsidR="00DA565E" w:rsidRPr="00452D62">
        <w:rPr>
          <w:sz w:val="22"/>
          <w:szCs w:val="22"/>
        </w:rPr>
        <w:t>.</w:t>
      </w:r>
      <w:r w:rsidRPr="00452D62">
        <w:rPr>
          <w:sz w:val="22"/>
          <w:szCs w:val="22"/>
        </w:rPr>
        <w:t xml:space="preserve"> </w:t>
      </w:r>
      <w:r w:rsidR="00DA565E" w:rsidRPr="00452D62">
        <w:rPr>
          <w:sz w:val="22"/>
          <w:szCs w:val="22"/>
        </w:rPr>
        <w:t xml:space="preserve">Vaikams, kuriems tuo pačiu metu taikomas gydymas sisteminio poveikio stipriais CYP 3A4 ir P-gp inhibitoriais, klinikinių duomenų nėra </w:t>
      </w:r>
      <w:r w:rsidRPr="00452D62">
        <w:rPr>
          <w:sz w:val="22"/>
          <w:szCs w:val="22"/>
        </w:rPr>
        <w:t>(žr. 4.5 skyrių).</w:t>
      </w:r>
    </w:p>
    <w:p w14:paraId="3A4EFBCD" w14:textId="77777777" w:rsidR="00823785" w:rsidRPr="00452D62" w:rsidRDefault="00823785" w:rsidP="00823785">
      <w:pPr>
        <w:rPr>
          <w:sz w:val="22"/>
          <w:szCs w:val="22"/>
        </w:rPr>
      </w:pPr>
    </w:p>
    <w:p w14:paraId="031EAF2F" w14:textId="77777777" w:rsidR="00823785" w:rsidRPr="00452D62" w:rsidRDefault="00823785" w:rsidP="00823785">
      <w:pPr>
        <w:rPr>
          <w:sz w:val="22"/>
          <w:szCs w:val="22"/>
          <w:u w:val="single"/>
        </w:rPr>
      </w:pPr>
      <w:r w:rsidRPr="00452D62">
        <w:rPr>
          <w:sz w:val="22"/>
          <w:szCs w:val="22"/>
        </w:rPr>
        <w:t>Turi būti imamasi atsargumo priemonių, jeigu pacientai kartu gydomi hemostazę veikiančiais vaistiniais preparatais, pvz., nesteroidiniais vaistiniais preparatais nuo uždegimo (NVNU), acetilsalicilo rūgštimi (ASR) ir trombocitų agregacijos inhibitoriais</w:t>
      </w:r>
      <w:r w:rsidRPr="00AE1B80">
        <w:rPr>
          <w:sz w:val="22"/>
          <w:szCs w:val="22"/>
        </w:rPr>
        <w:t xml:space="preserve"> </w:t>
      </w:r>
      <w:r w:rsidRPr="00452D62">
        <w:rPr>
          <w:sz w:val="22"/>
          <w:szCs w:val="22"/>
        </w:rPr>
        <w:t>arba selektyviais serotonino reabsorbcijos inhibitoriais (SSRI) ir serotonino-norepinefrino reabsorbcijos inhibitoriais (SNRI). Pacientams, kuriems yra opinės virškinimo trakto ligos rizika, gali būti naudinga skirti atitinkamą profilaktinį gydymą (žr. 4.5 ir 5.1 skyrius).</w:t>
      </w:r>
    </w:p>
    <w:p w14:paraId="4B334B08" w14:textId="77777777" w:rsidR="00823785" w:rsidRPr="00452D62" w:rsidRDefault="00823785" w:rsidP="00823785">
      <w:pPr>
        <w:rPr>
          <w:sz w:val="22"/>
          <w:szCs w:val="22"/>
        </w:rPr>
      </w:pPr>
    </w:p>
    <w:p w14:paraId="09D24B27" w14:textId="77777777" w:rsidR="00823785" w:rsidRPr="00452D62" w:rsidRDefault="00823785" w:rsidP="00823785">
      <w:pPr>
        <w:rPr>
          <w:sz w:val="22"/>
          <w:szCs w:val="22"/>
          <w:u w:val="single"/>
        </w:rPr>
      </w:pPr>
      <w:r w:rsidRPr="00452D62">
        <w:rPr>
          <w:sz w:val="22"/>
          <w:szCs w:val="22"/>
          <w:u w:val="single"/>
        </w:rPr>
        <w:t>Kiti kraujavimo rizikos veiksniai</w:t>
      </w:r>
    </w:p>
    <w:p w14:paraId="6399C818" w14:textId="77777777" w:rsidR="00823785" w:rsidRPr="00452D62" w:rsidRDefault="00823785" w:rsidP="00823785">
      <w:pPr>
        <w:rPr>
          <w:sz w:val="22"/>
          <w:szCs w:val="22"/>
        </w:rPr>
      </w:pPr>
      <w:r w:rsidRPr="00452D62">
        <w:rPr>
          <w:sz w:val="22"/>
          <w:szCs w:val="22"/>
        </w:rPr>
        <w:t>Rivaroksabanas, kaip ir kiti antitromboziniai vaistiniai preparatai, turi būti atsargiai vartojamas pacientams, kuriems padidėjusi kraujavimo rizika, pvz., jei yra:</w:t>
      </w:r>
    </w:p>
    <w:p w14:paraId="1D9E3203" w14:textId="77777777" w:rsidR="00823785" w:rsidRPr="00452D62" w:rsidRDefault="00823785" w:rsidP="00823785">
      <w:pPr>
        <w:numPr>
          <w:ilvl w:val="0"/>
          <w:numId w:val="19"/>
        </w:numPr>
        <w:ind w:left="567" w:hanging="567"/>
        <w:rPr>
          <w:sz w:val="22"/>
          <w:szCs w:val="22"/>
        </w:rPr>
      </w:pPr>
      <w:r w:rsidRPr="00452D62">
        <w:rPr>
          <w:sz w:val="22"/>
          <w:szCs w:val="22"/>
        </w:rPr>
        <w:t>įgimtų ar įgytų kraujavimo sutrikimų;</w:t>
      </w:r>
    </w:p>
    <w:p w14:paraId="58F16924" w14:textId="77777777" w:rsidR="00823785" w:rsidRPr="00452D62" w:rsidRDefault="00823785" w:rsidP="00823785">
      <w:pPr>
        <w:numPr>
          <w:ilvl w:val="0"/>
          <w:numId w:val="19"/>
        </w:numPr>
        <w:ind w:left="567" w:hanging="567"/>
        <w:rPr>
          <w:sz w:val="22"/>
          <w:szCs w:val="22"/>
        </w:rPr>
      </w:pPr>
      <w:r w:rsidRPr="00452D62">
        <w:rPr>
          <w:sz w:val="22"/>
          <w:szCs w:val="22"/>
        </w:rPr>
        <w:t>nekontroliuojama sunki arterinė hipertenzija;</w:t>
      </w:r>
    </w:p>
    <w:p w14:paraId="405B71EE" w14:textId="77777777" w:rsidR="00823785" w:rsidRPr="00452D62" w:rsidRDefault="00823785" w:rsidP="00823785">
      <w:pPr>
        <w:numPr>
          <w:ilvl w:val="0"/>
          <w:numId w:val="19"/>
        </w:numPr>
        <w:ind w:left="567" w:hanging="567"/>
        <w:rPr>
          <w:sz w:val="22"/>
          <w:szCs w:val="22"/>
        </w:rPr>
      </w:pPr>
      <w:r w:rsidRPr="00452D62">
        <w:rPr>
          <w:sz w:val="22"/>
          <w:szCs w:val="22"/>
        </w:rPr>
        <w:t>kitų virškinimo trakto ligų be aktyvaus išopėjimo, galinčių sukelti kraujavimo komplikacijų (pvz., uždegiminė žarnyno liga, ezofagitas, gastritas ir gastroezofaginio refliukso liga);</w:t>
      </w:r>
    </w:p>
    <w:p w14:paraId="0F2E87DD" w14:textId="77777777" w:rsidR="00823785" w:rsidRPr="00452D62" w:rsidRDefault="00823785" w:rsidP="00823785">
      <w:pPr>
        <w:numPr>
          <w:ilvl w:val="0"/>
          <w:numId w:val="19"/>
        </w:numPr>
        <w:ind w:left="567" w:hanging="567"/>
        <w:rPr>
          <w:sz w:val="22"/>
          <w:szCs w:val="22"/>
        </w:rPr>
      </w:pPr>
      <w:r w:rsidRPr="00452D62">
        <w:rPr>
          <w:sz w:val="22"/>
          <w:szCs w:val="22"/>
        </w:rPr>
        <w:t>kraujagyslinė retinopatija;</w:t>
      </w:r>
    </w:p>
    <w:p w14:paraId="071ED8F1" w14:textId="77777777" w:rsidR="00823785" w:rsidRPr="00452D62" w:rsidRDefault="00823785" w:rsidP="00823785">
      <w:pPr>
        <w:numPr>
          <w:ilvl w:val="0"/>
          <w:numId w:val="19"/>
        </w:numPr>
        <w:ind w:left="567" w:hanging="567"/>
        <w:rPr>
          <w:sz w:val="22"/>
          <w:szCs w:val="22"/>
        </w:rPr>
      </w:pPr>
      <w:r w:rsidRPr="00452D62">
        <w:rPr>
          <w:sz w:val="22"/>
          <w:szCs w:val="22"/>
        </w:rPr>
        <w:t>bronchektazės arba buvęs kraujavimas iš plaučių.</w:t>
      </w:r>
    </w:p>
    <w:p w14:paraId="45755D1B" w14:textId="77777777" w:rsidR="00823785" w:rsidRPr="00452D62" w:rsidRDefault="00823785" w:rsidP="00823785">
      <w:pPr>
        <w:rPr>
          <w:sz w:val="22"/>
          <w:szCs w:val="22"/>
          <w:u w:val="single"/>
        </w:rPr>
      </w:pPr>
    </w:p>
    <w:p w14:paraId="4281C08E" w14:textId="77777777" w:rsidR="00823785" w:rsidRPr="00452D62" w:rsidRDefault="00823785" w:rsidP="00823785">
      <w:pPr>
        <w:rPr>
          <w:sz w:val="22"/>
          <w:szCs w:val="22"/>
          <w:u w:val="single"/>
        </w:rPr>
      </w:pPr>
      <w:r w:rsidRPr="00452D62">
        <w:rPr>
          <w:sz w:val="22"/>
          <w:szCs w:val="22"/>
          <w:u w:val="single"/>
        </w:rPr>
        <w:t>Vėžiu sergantys pacientai</w:t>
      </w:r>
    </w:p>
    <w:p w14:paraId="06C4E912" w14:textId="77777777" w:rsidR="00823785" w:rsidRPr="00452D62" w:rsidRDefault="00823785" w:rsidP="00823785">
      <w:pPr>
        <w:rPr>
          <w:sz w:val="22"/>
          <w:szCs w:val="22"/>
        </w:rPr>
      </w:pPr>
      <w:r w:rsidRPr="00452D62">
        <w:rPr>
          <w:sz w:val="22"/>
          <w:szCs w:val="22"/>
        </w:rPr>
        <w:t>Pacientams, sergantiems piktybine liga, tuo pačiu metu gali būti didesnė kraujavimo ir trombozės rizika. Turėtų būti įvertinta individuali antitrombozinio gydymo nauda lyginant su kraujavimo rizika pacientams, sergantiems aktyviu vėžiu, priklausomai nuo naviko lokalizacijos, priešvėžinio gydymo ir ligos stadijos. Virškinimo arba urogenitaliniame trakte esantys navikai buvo susiję su padidėjusia kraujavimo rizika gydant rivaroksabanu. Pacientams, sergantiems piktybiniais navikais, kurių kraujavimo rizika yra didelė, rivaroksabano vartoti negalima (žr. 4.3 skyrių).</w:t>
      </w:r>
    </w:p>
    <w:p w14:paraId="4B2E1714" w14:textId="77777777" w:rsidR="00823785" w:rsidRPr="00452D62" w:rsidRDefault="00823785" w:rsidP="00823785">
      <w:pPr>
        <w:rPr>
          <w:sz w:val="22"/>
          <w:szCs w:val="22"/>
          <w:u w:val="single"/>
        </w:rPr>
      </w:pPr>
    </w:p>
    <w:p w14:paraId="4238354E" w14:textId="77777777" w:rsidR="00823785" w:rsidRPr="00452D62" w:rsidRDefault="00823785" w:rsidP="00823785">
      <w:pPr>
        <w:rPr>
          <w:sz w:val="22"/>
          <w:szCs w:val="22"/>
          <w:u w:val="single"/>
        </w:rPr>
      </w:pPr>
      <w:r w:rsidRPr="00452D62">
        <w:rPr>
          <w:sz w:val="22"/>
          <w:szCs w:val="22"/>
          <w:u w:val="single"/>
        </w:rPr>
        <w:t>Pacientai, kuriems yra protezuoti širdies vožtuvai</w:t>
      </w:r>
    </w:p>
    <w:p w14:paraId="0161BF6A" w14:textId="77777777" w:rsidR="00823785" w:rsidRPr="00452D62" w:rsidRDefault="00823785" w:rsidP="00823785">
      <w:pPr>
        <w:rPr>
          <w:sz w:val="22"/>
          <w:szCs w:val="22"/>
        </w:rPr>
      </w:pPr>
      <w:r w:rsidRPr="00452D62">
        <w:rPr>
          <w:sz w:val="22"/>
          <w:szCs w:val="22"/>
        </w:rPr>
        <w:t>Pacientams, kuriems neseniai atliktas transkateterinis aortos vožtuvo pakeitimas (TAVP), rivaroksabano trombų susidarymo profilaktikai vartoti nerekomenduojama. Rivaroksabano saugumas ir veiksmingumas pacientams, kuriems yra protezuoti širdies vožtuvai, neištirti, todėl nėra duomenų, patvirtinančių, kad rivaroksabanas šiems pacientams užtikrina pakankamą antikoaguliacinį poveikį. Tokių pacientų rivaroksabanu gydyti nerekomenduojama.</w:t>
      </w:r>
    </w:p>
    <w:p w14:paraId="1DF90353" w14:textId="77777777" w:rsidR="00823785" w:rsidRPr="00452D62" w:rsidRDefault="00823785" w:rsidP="00823785">
      <w:pPr>
        <w:rPr>
          <w:sz w:val="22"/>
          <w:szCs w:val="22"/>
        </w:rPr>
      </w:pPr>
    </w:p>
    <w:p w14:paraId="75015B5F" w14:textId="77777777" w:rsidR="00823785" w:rsidRPr="00452D62" w:rsidRDefault="00823785" w:rsidP="00823785">
      <w:pPr>
        <w:pStyle w:val="Default"/>
        <w:rPr>
          <w:sz w:val="22"/>
          <w:szCs w:val="22"/>
          <w:u w:val="single"/>
        </w:rPr>
      </w:pPr>
      <w:r w:rsidRPr="00452D62">
        <w:rPr>
          <w:sz w:val="22"/>
          <w:szCs w:val="22"/>
          <w:u w:val="single"/>
        </w:rPr>
        <w:t>Antifosfolipidiniu sindromu sergantys pacientai</w:t>
      </w:r>
    </w:p>
    <w:p w14:paraId="501B3725" w14:textId="77777777" w:rsidR="00823785" w:rsidRPr="00452D62" w:rsidRDefault="00823785" w:rsidP="00823785">
      <w:pPr>
        <w:pStyle w:val="Default"/>
        <w:rPr>
          <w:sz w:val="22"/>
          <w:szCs w:val="22"/>
        </w:rPr>
      </w:pPr>
      <w:r w:rsidRPr="00452D62">
        <w:rPr>
          <w:sz w:val="22"/>
          <w:szCs w:val="22"/>
        </w:rPr>
        <w:t>Tiesioginio poveikio geriamųjų antikoaguliantų (TPGA), įskaitant rivaroksabaną, nerekomenduoja vartoti antifosfolipidiniu sindromu sergantiems pacientams, kuriems praeityje buvo nustatyta trombozė. Taikant gydymą TPGA, ypač tiems pacientams, kuriems nustatyti visų trijų pogrupių antifosfolipidiniai antikūnai (vilkligės antikoaguliantai, antikardiolipino antikūnai ir anti-beta 2-glikoproteino I antikūnai), kartotinių trombozės reiškinių dažnis gali būti didesnis, nei taikant gydymą vitamino K antagonistais.</w:t>
      </w:r>
    </w:p>
    <w:p w14:paraId="3F1F70C4" w14:textId="77777777" w:rsidR="00823785" w:rsidRPr="00452D62" w:rsidRDefault="00823785" w:rsidP="00823785">
      <w:pPr>
        <w:rPr>
          <w:sz w:val="22"/>
          <w:szCs w:val="22"/>
        </w:rPr>
      </w:pPr>
    </w:p>
    <w:p w14:paraId="3435DF61" w14:textId="77777777" w:rsidR="00823785" w:rsidRPr="00452D62" w:rsidRDefault="00823785" w:rsidP="00823785">
      <w:pPr>
        <w:rPr>
          <w:sz w:val="22"/>
          <w:szCs w:val="22"/>
          <w:u w:val="single"/>
        </w:rPr>
      </w:pPr>
      <w:r w:rsidRPr="00452D62">
        <w:rPr>
          <w:sz w:val="22"/>
          <w:szCs w:val="22"/>
          <w:u w:val="single"/>
        </w:rPr>
        <w:t>Pacientai, sergantys su vožtuvų liga nesusijusiu prieširdžių virpėjimu, kuriems atliekama PVI su stento įvedimu</w:t>
      </w:r>
    </w:p>
    <w:p w14:paraId="11C74D5B" w14:textId="35ADACAB" w:rsidR="00823785" w:rsidRPr="00452D62" w:rsidRDefault="00823785" w:rsidP="00823785">
      <w:pPr>
        <w:pStyle w:val="Default"/>
        <w:rPr>
          <w:sz w:val="22"/>
          <w:szCs w:val="22"/>
        </w:rPr>
      </w:pPr>
      <w:r w:rsidRPr="00452D62">
        <w:rPr>
          <w:sz w:val="22"/>
          <w:szCs w:val="22"/>
        </w:rPr>
        <w:t>Klinikiniai duomenys gauti atlikus intervencinį tyrimą, kurio pagrindinis tikslas buvo įvertinti saugumą pacientams, kurie serga su vožtuvų liga nesusijusiu prieširdžių virpėjimu ir kuriems atliekama PVI su stento įvedimu. Duomenų apie veiksmingumą šiai populiacijai yra nedaug (žr. 4.2 ir 5.1 skyrius). Duomenų apie pacientus, praeityje patyrusius insultą ir (arba) PSIP, nėra.</w:t>
      </w:r>
    </w:p>
    <w:p w14:paraId="25EF499E" w14:textId="77777777" w:rsidR="00823785" w:rsidRPr="00452D62" w:rsidRDefault="00823785" w:rsidP="00823785">
      <w:pPr>
        <w:pStyle w:val="Default"/>
        <w:rPr>
          <w:sz w:val="22"/>
          <w:szCs w:val="22"/>
        </w:rPr>
      </w:pPr>
    </w:p>
    <w:p w14:paraId="67E7F6A8" w14:textId="77777777" w:rsidR="00823785" w:rsidRPr="00452D62" w:rsidRDefault="00823785" w:rsidP="00823785">
      <w:pPr>
        <w:rPr>
          <w:sz w:val="22"/>
          <w:szCs w:val="22"/>
          <w:u w:val="single"/>
        </w:rPr>
      </w:pPr>
      <w:r w:rsidRPr="00452D62">
        <w:rPr>
          <w:sz w:val="22"/>
          <w:szCs w:val="22"/>
          <w:u w:val="single"/>
        </w:rPr>
        <w:t>PE sergantys pacientai, kurių hemodinamika yra nestabili, ir pacientai, kuriems būtina trombolizė arba plaučių embolektomija</w:t>
      </w:r>
    </w:p>
    <w:p w14:paraId="48EE7714" w14:textId="77777777" w:rsidR="00823785" w:rsidRPr="00452D62" w:rsidRDefault="00823785" w:rsidP="00823785">
      <w:pPr>
        <w:rPr>
          <w:sz w:val="22"/>
          <w:szCs w:val="22"/>
        </w:rPr>
      </w:pPr>
      <w:r w:rsidRPr="00452D62">
        <w:rPr>
          <w:sz w:val="22"/>
          <w:szCs w:val="22"/>
        </w:rPr>
        <w:t>Gydant plaučių embolija sergančius pacientus, kurių hemodinamika yra nestabili arba kuriems gali būti taikoma trombolizė ar plaučių embolektomija, Xerdoxo nerekomenduojama vartoti kaip nefrakcionuotam heparinui alternatyvaus vaistinio preparato, nes rivaroksabano veiksmingumas ir saugumas šiomis klinikinėmis aplinkybėmis nėra ištirti.</w:t>
      </w:r>
    </w:p>
    <w:p w14:paraId="7F5B1141" w14:textId="77777777" w:rsidR="00823785" w:rsidRPr="00452D62" w:rsidRDefault="00823785" w:rsidP="00823785">
      <w:pPr>
        <w:rPr>
          <w:sz w:val="22"/>
          <w:szCs w:val="22"/>
        </w:rPr>
      </w:pPr>
    </w:p>
    <w:p w14:paraId="63B1E665" w14:textId="77777777" w:rsidR="00823785" w:rsidRPr="00452D62" w:rsidRDefault="00823785" w:rsidP="00823785">
      <w:pPr>
        <w:rPr>
          <w:sz w:val="22"/>
          <w:szCs w:val="22"/>
        </w:rPr>
      </w:pPr>
      <w:r w:rsidRPr="00452D62">
        <w:rPr>
          <w:sz w:val="22"/>
          <w:szCs w:val="22"/>
          <w:u w:val="single"/>
        </w:rPr>
        <w:t>Spinalinė / epidurinė anestezija arba punkcija</w:t>
      </w:r>
    </w:p>
    <w:p w14:paraId="3AE08D3A" w14:textId="77777777" w:rsidR="00823785" w:rsidRPr="00452D62" w:rsidRDefault="00823785" w:rsidP="00823785">
      <w:pPr>
        <w:rPr>
          <w:sz w:val="22"/>
          <w:szCs w:val="22"/>
        </w:rPr>
      </w:pPr>
      <w:r w:rsidRPr="00452D62">
        <w:rPr>
          <w:sz w:val="22"/>
          <w:szCs w:val="22"/>
        </w:rPr>
        <w:t>Taikant neuroaksialinę anesteziją (spinalinę/epidurinę anesteziją) arba atliekant spinalinę/epidurinę punkciją pacientams, gydomiems antitromboziniais vaistiniais preparatais, tromboembolinių komplikacijų profilaktikai, yra rizika, kad formuosis epidurinė ar spinalinė hematoma, kuri gali sukelti ilgalaikį arba nuolatinį paralyžių. Šių reiškinių rizika gali padidėti po operacijos naudojant įstatytus epidurinius kateterius arba kartu vartojant vaistinių preparatų, veikiančių hemostazę. Rizika taip pat gali didėti trauminės ar pakartotinos epidurinės ar spinalinės punkcijos metu. Pacientai turi būti dažnai stebimi dėl neurologinių sutrikimų požymių ir simptomų (pvz., kojų tirpimo ar silpnumo, žarnyno ar šlapimo pūslės disfunkcijos). Jei pastebima neurologinių sutrikimų, būtina atlikti skubią diagnostiką ir skirti gydymą. Prieš neuroaksialinę intervenciją gydytojai turi įvertinti galimos naudos ir rizikos santykį pacientams, kuriems skirta antikoaguliantų, arba pacientams, kuriems turi būti skiriama antikoaguliantų trombozės profilaktikai.</w:t>
      </w:r>
      <w:r w:rsidRPr="00AE1B80">
        <w:rPr>
          <w:sz w:val="22"/>
          <w:szCs w:val="22"/>
        </w:rPr>
        <w:t xml:space="preserve"> </w:t>
      </w:r>
      <w:r w:rsidRPr="00452D62">
        <w:rPr>
          <w:sz w:val="22"/>
          <w:szCs w:val="22"/>
        </w:rPr>
        <w:t>Klinikinės patirties, vartojant 15 mg rivaroksabano dozę, šiose situacijose nėra.</w:t>
      </w:r>
    </w:p>
    <w:p w14:paraId="5396D06C" w14:textId="77777777" w:rsidR="00823785" w:rsidRPr="00452D62" w:rsidRDefault="00823785" w:rsidP="00823785">
      <w:pPr>
        <w:rPr>
          <w:sz w:val="22"/>
          <w:szCs w:val="22"/>
        </w:rPr>
      </w:pPr>
      <w:r w:rsidRPr="00452D62">
        <w:rPr>
          <w:sz w:val="22"/>
          <w:szCs w:val="22"/>
        </w:rPr>
        <w:t>Siekiant sumažinti galimą kraujavimo riziką, susijusią su rivaroksabano vartojimu taikant neuroaksialinę (spinalinę/epidurinę) anesteziją arba atliekant spinalinę punkciją, reikia atsižvelgti į rivaroksabano farmakokinetines savybes. Epidurinio kateterio įvedimą arba pašalinimą ar juosmeninę punkciją geriausia atlikti, kai rivaroksabano antikoaguliacinis poveikis yra įvertintas kaip mažas. Vis dėlto tikslus laikotarpis, per kurį pasiekiamas pakankamai mažas antikoaguliacinis poveikis kiekvienam pacientui, nėra žinomas, ir jį reikia įvertinti atsižvelgiant į tai, kiek skubi yra diagnostinė procedūra.</w:t>
      </w:r>
    </w:p>
    <w:p w14:paraId="5BC69DB8" w14:textId="77777777" w:rsidR="00823785" w:rsidRPr="00452D62" w:rsidRDefault="00823785" w:rsidP="00823785">
      <w:pPr>
        <w:rPr>
          <w:sz w:val="22"/>
          <w:szCs w:val="22"/>
        </w:rPr>
      </w:pPr>
      <w:r w:rsidRPr="00452D62">
        <w:rPr>
          <w:sz w:val="22"/>
          <w:szCs w:val="22"/>
        </w:rPr>
        <w:t>Remiantis bendromis farmakokinetinėmis savybėmis, ketinant ištraukti epidurinį kateterį, po paskutinio rivaroksabano pavartojimo turi praeiti laikotarpis, atitinkantis mažiausiai 2 pusinės eliminacijos laikus, t. y. ne mažiau kaip 18 valandų jauniems suaugusiems pacientams ir 26 valandos senyviems pacientams (žr. 5.2 skyrių).</w:t>
      </w:r>
    </w:p>
    <w:p w14:paraId="6D9D778E" w14:textId="77777777" w:rsidR="00823785" w:rsidRPr="00452D62" w:rsidRDefault="00823785" w:rsidP="00823785">
      <w:pPr>
        <w:rPr>
          <w:sz w:val="22"/>
          <w:szCs w:val="22"/>
        </w:rPr>
      </w:pPr>
      <w:r w:rsidRPr="00452D62">
        <w:rPr>
          <w:sz w:val="22"/>
          <w:szCs w:val="22"/>
        </w:rPr>
        <w:t>Nuo paskutinės rivaroksabano dozės pavartojimo iki epidurinio kateterio išėmimo turi praeiti bent 18 valandų. Išėmus kateterį, kitą rivaroksabano dozę galima vartoti po ne mažiau kaip 6 valandų.</w:t>
      </w:r>
    </w:p>
    <w:p w14:paraId="23C97D9F" w14:textId="0D0551FC" w:rsidR="00823785" w:rsidRPr="00452D62" w:rsidRDefault="00823785" w:rsidP="00823785">
      <w:pPr>
        <w:rPr>
          <w:sz w:val="22"/>
          <w:szCs w:val="22"/>
          <w:u w:val="single"/>
        </w:rPr>
      </w:pPr>
      <w:r w:rsidRPr="00452D62">
        <w:rPr>
          <w:sz w:val="22"/>
          <w:szCs w:val="22"/>
        </w:rPr>
        <w:t>Jei įvyksta trauminis pradūrimas, rivaroksabano vartojimas yra pavėlinamas 24 valandoms.</w:t>
      </w:r>
    </w:p>
    <w:p w14:paraId="03E4F4F6" w14:textId="27FAEBF0" w:rsidR="00823785" w:rsidRPr="00452D62" w:rsidRDefault="00761D10" w:rsidP="00761D10">
      <w:pPr>
        <w:rPr>
          <w:sz w:val="22"/>
          <w:szCs w:val="22"/>
        </w:rPr>
      </w:pPr>
      <w:r w:rsidRPr="00452D62">
        <w:rPr>
          <w:sz w:val="22"/>
          <w:szCs w:val="22"/>
        </w:rPr>
        <w:t>Xerdoxo vartojantiems vaikams duomenų apie neuroaksialinio kateterio įvedimo arba pašalinimo laiką nėra. Tokiais atvejais reikia nutraukti rivaroksabano vartojimą ir apsvarstyti, ar neverta skirti trumpo veikimo parenterinio antikoagulianto.</w:t>
      </w:r>
    </w:p>
    <w:p w14:paraId="603A27EF" w14:textId="77777777" w:rsidR="00761D10" w:rsidRPr="00452D62" w:rsidRDefault="00761D10" w:rsidP="00761D10">
      <w:pPr>
        <w:rPr>
          <w:sz w:val="22"/>
          <w:szCs w:val="22"/>
          <w:u w:val="single"/>
        </w:rPr>
      </w:pPr>
    </w:p>
    <w:p w14:paraId="01963DB0" w14:textId="77777777" w:rsidR="00823785" w:rsidRPr="000877E9" w:rsidRDefault="00823785" w:rsidP="00823785">
      <w:pPr>
        <w:rPr>
          <w:sz w:val="22"/>
          <w:szCs w:val="22"/>
        </w:rPr>
      </w:pPr>
      <w:r w:rsidRPr="00452D62">
        <w:rPr>
          <w:sz w:val="22"/>
          <w:szCs w:val="22"/>
          <w:u w:val="single"/>
        </w:rPr>
        <w:t>Dozavimo rekomendacijos prieš invazines procedūras bei chirurgines intervencijas</w:t>
      </w:r>
      <w:r w:rsidRPr="00AE1B80">
        <w:rPr>
          <w:sz w:val="22"/>
          <w:szCs w:val="22"/>
          <w:u w:val="single"/>
        </w:rPr>
        <w:t xml:space="preserve"> </w:t>
      </w:r>
      <w:r w:rsidRPr="00452D62">
        <w:rPr>
          <w:sz w:val="22"/>
          <w:szCs w:val="22"/>
          <w:u w:val="single"/>
        </w:rPr>
        <w:t>ir po jų</w:t>
      </w:r>
    </w:p>
    <w:p w14:paraId="7BC944E0" w14:textId="77777777" w:rsidR="00823785" w:rsidRPr="00452D62" w:rsidRDefault="00823785" w:rsidP="00823785">
      <w:pPr>
        <w:rPr>
          <w:sz w:val="22"/>
          <w:szCs w:val="22"/>
        </w:rPr>
      </w:pPr>
      <w:r w:rsidRPr="00452D62">
        <w:rPr>
          <w:sz w:val="22"/>
          <w:szCs w:val="22"/>
        </w:rPr>
        <w:t>Jeigu reikia atlikti invazinę procedūrą arba chirurginę intervenciją, Xerdoxo 15 mg vartojimą reikia nutraukti likus mažiausiai 24 valandoms iki intervencijos, jeigu galima ir remiantis klinikiniu gydytojo sprendimu.</w:t>
      </w:r>
    </w:p>
    <w:p w14:paraId="73645190" w14:textId="77777777" w:rsidR="00823785" w:rsidRPr="00452D62" w:rsidRDefault="00823785" w:rsidP="00823785">
      <w:pPr>
        <w:rPr>
          <w:sz w:val="22"/>
          <w:szCs w:val="22"/>
        </w:rPr>
      </w:pPr>
      <w:r w:rsidRPr="00452D62">
        <w:rPr>
          <w:sz w:val="22"/>
          <w:szCs w:val="22"/>
        </w:rPr>
        <w:t>Jeigu procedūros negalima atidėti, reikia įvertinti padidėjusios kraujavimo rizikos ir intervencijos skubumo santykį.</w:t>
      </w:r>
    </w:p>
    <w:p w14:paraId="6A9A075B" w14:textId="77777777" w:rsidR="00823785" w:rsidRPr="00452D62" w:rsidRDefault="00823785" w:rsidP="00823785">
      <w:pPr>
        <w:rPr>
          <w:sz w:val="22"/>
          <w:szCs w:val="22"/>
          <w:u w:val="single"/>
        </w:rPr>
      </w:pPr>
      <w:r w:rsidRPr="00452D62">
        <w:rPr>
          <w:sz w:val="22"/>
          <w:szCs w:val="22"/>
        </w:rPr>
        <w:t>Po invazinės procedūros ar chirurginės intervencijos kaip įmanoma greičiau reikia atnaujinti Xerdoxo vartojimą, jei gydantis gydytojas mano, kad klinikinė situacija leidžia tai padaryti ir yra nusistovėjusi pakankama hemostazė (žr. 5.2 skyrių).</w:t>
      </w:r>
    </w:p>
    <w:p w14:paraId="32192C9D" w14:textId="77777777" w:rsidR="00823785" w:rsidRPr="00452D62" w:rsidRDefault="00823785" w:rsidP="00823785">
      <w:pPr>
        <w:rPr>
          <w:sz w:val="22"/>
          <w:szCs w:val="22"/>
          <w:u w:val="single"/>
        </w:rPr>
      </w:pPr>
    </w:p>
    <w:p w14:paraId="0AD154DC" w14:textId="77777777" w:rsidR="00823785" w:rsidRPr="00452D62" w:rsidRDefault="00823785" w:rsidP="00823785">
      <w:pPr>
        <w:rPr>
          <w:sz w:val="22"/>
          <w:szCs w:val="22"/>
        </w:rPr>
      </w:pPr>
      <w:r w:rsidRPr="00452D62">
        <w:rPr>
          <w:sz w:val="22"/>
          <w:szCs w:val="22"/>
          <w:u w:val="single"/>
        </w:rPr>
        <w:t>Senyvi pacientai</w:t>
      </w:r>
    </w:p>
    <w:p w14:paraId="1BB13CE3" w14:textId="77777777" w:rsidR="00823785" w:rsidRPr="00452D62" w:rsidRDefault="00823785" w:rsidP="00823785">
      <w:pPr>
        <w:ind w:left="567" w:hanging="567"/>
        <w:rPr>
          <w:sz w:val="22"/>
          <w:szCs w:val="22"/>
        </w:rPr>
      </w:pPr>
      <w:r w:rsidRPr="00452D62">
        <w:rPr>
          <w:sz w:val="22"/>
          <w:szCs w:val="22"/>
        </w:rPr>
        <w:t>Didėjantis amžius gali didinti kraujavimo riziką (žr. 5.2 skyrių).</w:t>
      </w:r>
    </w:p>
    <w:p w14:paraId="79799672" w14:textId="77777777" w:rsidR="00823785" w:rsidRPr="00452D62" w:rsidRDefault="00823785" w:rsidP="00823785">
      <w:pPr>
        <w:ind w:left="567" w:hanging="567"/>
        <w:rPr>
          <w:sz w:val="22"/>
          <w:szCs w:val="22"/>
        </w:rPr>
      </w:pPr>
    </w:p>
    <w:p w14:paraId="488D8647" w14:textId="77777777" w:rsidR="00823785" w:rsidRPr="00452D62" w:rsidRDefault="00823785" w:rsidP="00823785">
      <w:pPr>
        <w:rPr>
          <w:sz w:val="22"/>
          <w:szCs w:val="22"/>
        </w:rPr>
      </w:pPr>
      <w:r w:rsidRPr="00452D62">
        <w:rPr>
          <w:sz w:val="22"/>
          <w:szCs w:val="22"/>
          <w:u w:val="single"/>
        </w:rPr>
        <w:t>Dermatologinės reakcijos</w:t>
      </w:r>
    </w:p>
    <w:p w14:paraId="78653D29" w14:textId="77777777" w:rsidR="00823785" w:rsidRPr="00452D62" w:rsidRDefault="00823785" w:rsidP="00823785">
      <w:pPr>
        <w:rPr>
          <w:sz w:val="22"/>
          <w:szCs w:val="22"/>
          <w:u w:val="single"/>
        </w:rPr>
      </w:pPr>
      <w:r w:rsidRPr="00452D62">
        <w:rPr>
          <w:sz w:val="22"/>
          <w:szCs w:val="22"/>
        </w:rPr>
        <w:t>Poregistracinio stebėjimo metu buvo pranešta apie sunkias odos reakcijas, susijusias su rivaroksabano vartojimu, įskaitant Stivenso-Džonsono (</w:t>
      </w:r>
      <w:r w:rsidRPr="00452D62">
        <w:rPr>
          <w:i/>
          <w:sz w:val="22"/>
          <w:szCs w:val="22"/>
        </w:rPr>
        <w:t>Stevens-Johnson</w:t>
      </w:r>
      <w:r w:rsidRPr="00452D62">
        <w:rPr>
          <w:iCs/>
          <w:sz w:val="22"/>
          <w:szCs w:val="22"/>
        </w:rPr>
        <w:t>)</w:t>
      </w:r>
      <w:r w:rsidRPr="00452D62">
        <w:rPr>
          <w:i/>
          <w:iCs/>
          <w:sz w:val="22"/>
          <w:szCs w:val="22"/>
        </w:rPr>
        <w:t xml:space="preserve"> </w:t>
      </w:r>
      <w:r w:rsidRPr="00452D62">
        <w:rPr>
          <w:sz w:val="22"/>
          <w:szCs w:val="22"/>
        </w:rPr>
        <w:t>sindromą, toksinę epidermio nekrolizę bei vaistinio preparato sukelto išbėrimo su eozinofilija ir sisteminiais simptomais</w:t>
      </w:r>
      <w:r w:rsidRPr="00AE1B80">
        <w:rPr>
          <w:sz w:val="22"/>
          <w:szCs w:val="22"/>
        </w:rPr>
        <w:t xml:space="preserve"> </w:t>
      </w:r>
      <w:r w:rsidRPr="00452D62">
        <w:rPr>
          <w:sz w:val="22"/>
          <w:szCs w:val="22"/>
        </w:rPr>
        <w:t xml:space="preserve">(angl. </w:t>
      </w:r>
      <w:r w:rsidRPr="000877E9">
        <w:rPr>
          <w:i/>
          <w:iCs/>
          <w:sz w:val="22"/>
          <w:szCs w:val="22"/>
        </w:rPr>
        <w:t>drug rash with eosinophilia and systemic symptoms</w:t>
      </w:r>
      <w:r w:rsidRPr="00452D62">
        <w:rPr>
          <w:sz w:val="22"/>
          <w:szCs w:val="22"/>
        </w:rPr>
        <w:t>, DRESS) sindromą (žr. 4.8 skyrių). Pacientams šių reakcijų didžiausia rizika būna gydymo pradžioje: daugeliu atvejų nepageidaujamos reakcijos pasireiškė pirmosiomis gydymo savaitėmis. Pirmą kartą atsiradus sunkiam odos išbėrimui (pvz., plintančiam, intensyviam ir (arba) pūslėms) arba bet kokiam kitam padidėjusio jautrumo požymiui, susijusiam su gleivinės pažeidimu, rivaroksabano vartojimas turi būti nutrauktas.</w:t>
      </w:r>
    </w:p>
    <w:p w14:paraId="5EE85942" w14:textId="77777777" w:rsidR="00823785" w:rsidRPr="00452D62" w:rsidRDefault="00823785" w:rsidP="00823785">
      <w:pPr>
        <w:rPr>
          <w:sz w:val="22"/>
          <w:szCs w:val="22"/>
          <w:u w:val="single"/>
        </w:rPr>
      </w:pPr>
    </w:p>
    <w:p w14:paraId="12B5337D" w14:textId="77777777" w:rsidR="00823785" w:rsidRPr="00452D62" w:rsidRDefault="00823785" w:rsidP="00823785">
      <w:pPr>
        <w:rPr>
          <w:sz w:val="22"/>
          <w:szCs w:val="22"/>
        </w:rPr>
      </w:pPr>
      <w:r w:rsidRPr="00452D62">
        <w:rPr>
          <w:sz w:val="22"/>
          <w:szCs w:val="22"/>
          <w:u w:val="single"/>
        </w:rPr>
        <w:t>Informacija apie pagalbines medžiagas</w:t>
      </w:r>
    </w:p>
    <w:p w14:paraId="4C84F536" w14:textId="77777777" w:rsidR="00823785" w:rsidRPr="00452D62" w:rsidRDefault="00823785" w:rsidP="00823785">
      <w:pPr>
        <w:tabs>
          <w:tab w:val="clear" w:pos="567"/>
          <w:tab w:val="left" w:pos="0"/>
        </w:tabs>
        <w:rPr>
          <w:sz w:val="22"/>
          <w:szCs w:val="22"/>
        </w:rPr>
      </w:pPr>
      <w:r w:rsidRPr="00452D62">
        <w:rPr>
          <w:sz w:val="22"/>
          <w:szCs w:val="22"/>
        </w:rPr>
        <w:t>Šio vaistinio preparato vienoje plėvele dengtoje tabletėje yra mažiau kaip 1 mmol (23 mg) natrio, t. y. jis beveik neturi reikšmės.</w:t>
      </w:r>
    </w:p>
    <w:p w14:paraId="23BFF84D" w14:textId="77777777" w:rsidR="00823785" w:rsidRPr="00452D62" w:rsidRDefault="00823785" w:rsidP="00823785">
      <w:pPr>
        <w:ind w:left="567" w:hanging="567"/>
        <w:rPr>
          <w:sz w:val="22"/>
          <w:szCs w:val="22"/>
        </w:rPr>
      </w:pPr>
    </w:p>
    <w:p w14:paraId="16A57A17"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4.5</w:t>
      </w:r>
      <w:r w:rsidRPr="00452D62">
        <w:rPr>
          <w:b/>
          <w:color w:val="auto"/>
          <w:kern w:val="28"/>
          <w:sz w:val="22"/>
          <w:szCs w:val="22"/>
          <w:lang w:eastAsia="en-US"/>
        </w:rPr>
        <w:tab/>
        <w:t>Sąveika su kitais vaistiniais preparatais ir kitokia sąveika</w:t>
      </w:r>
    </w:p>
    <w:p w14:paraId="764FC079" w14:textId="77777777" w:rsidR="00FD0459" w:rsidRPr="00452D62" w:rsidRDefault="00FD0459" w:rsidP="00823785">
      <w:pPr>
        <w:rPr>
          <w:sz w:val="22"/>
          <w:szCs w:val="22"/>
        </w:rPr>
      </w:pPr>
    </w:p>
    <w:p w14:paraId="65498F35" w14:textId="6EDA1B8A" w:rsidR="00823785" w:rsidRPr="00452D62" w:rsidRDefault="00FD0459" w:rsidP="00823785">
      <w:pPr>
        <w:rPr>
          <w:sz w:val="22"/>
          <w:szCs w:val="22"/>
        </w:rPr>
      </w:pPr>
      <w:r w:rsidRPr="00452D62">
        <w:rPr>
          <w:sz w:val="22"/>
          <w:szCs w:val="22"/>
        </w:rPr>
        <w:t>Sąveikos apimtis vaikų populiacijoje nežinoma. Toliau pateikti sąveikos duomenys buvo gauti tiriant suaugusius, ir vaistinį preparatą skiriant vaikų populiacijai reikia atsižvelgti į 4.4 skyriuje nurodytus įspėjimus.</w:t>
      </w:r>
    </w:p>
    <w:p w14:paraId="405F7851" w14:textId="77777777" w:rsidR="00FD0459" w:rsidRPr="00452D62" w:rsidRDefault="00FD0459" w:rsidP="00823785">
      <w:pPr>
        <w:rPr>
          <w:sz w:val="22"/>
          <w:szCs w:val="22"/>
        </w:rPr>
      </w:pPr>
    </w:p>
    <w:p w14:paraId="7BCBBA05" w14:textId="77777777" w:rsidR="00823785" w:rsidRPr="00452D62" w:rsidRDefault="00823785" w:rsidP="00823785">
      <w:pPr>
        <w:rPr>
          <w:sz w:val="22"/>
          <w:szCs w:val="22"/>
        </w:rPr>
      </w:pPr>
      <w:r w:rsidRPr="00452D62">
        <w:rPr>
          <w:sz w:val="22"/>
          <w:szCs w:val="22"/>
          <w:u w:val="single"/>
        </w:rPr>
        <w:t>CYP3A4 ir P-gp inhibitoriai</w:t>
      </w:r>
    </w:p>
    <w:p w14:paraId="51AC51B8" w14:textId="77777777" w:rsidR="00823785" w:rsidRPr="00452D62" w:rsidRDefault="00823785" w:rsidP="00823785">
      <w:pPr>
        <w:rPr>
          <w:sz w:val="22"/>
          <w:szCs w:val="22"/>
        </w:rPr>
      </w:pPr>
      <w:r w:rsidRPr="00452D62">
        <w:rPr>
          <w:sz w:val="22"/>
          <w:szCs w:val="22"/>
        </w:rPr>
        <w:t>Kartu vartojant rivaroksabano ir ketokonazolo (400 mg kartą per parą) arba ritonaviro (600 mg du kartus per parą), 2,6 karto/2,5 karto padidėjo vidutinis rivaroksabano plotas po koncentracijos kreive laiko atžvilgiu (AUC) ir 1,7 karto/1,6 karto padidėjo vidutinė rivaroksabano C</w:t>
      </w:r>
      <w:r w:rsidRPr="00452D62">
        <w:rPr>
          <w:sz w:val="22"/>
          <w:szCs w:val="22"/>
          <w:vertAlign w:val="subscript"/>
        </w:rPr>
        <w:t>max</w:t>
      </w:r>
      <w:r w:rsidRPr="00452D62">
        <w:rPr>
          <w:sz w:val="22"/>
          <w:szCs w:val="22"/>
        </w:rPr>
        <w:t>, kartu reikšmingai sustiprėjo farmakodinaminis poveikis, o dėl to gali padidėti kraujavimo rizika. Taigi, Xerdoxo nerekomenduojama skirti pacientams, kuriems taikomas sisteminis gydymas azolo grupės priešgrybeliniais vaistiniais preparatais, pvz., ketokonazolu, itrakonazolu, vorikonazolu ir pozakonazolu, arba ŽIV proteazės inhibitoriais. Šios veikliosios medžiagos yra stiprūs tiek CYP3A4, tiek P-gp inhibitoriai (žr. 4.4 skyrių).</w:t>
      </w:r>
    </w:p>
    <w:p w14:paraId="5AC7DC14" w14:textId="77777777" w:rsidR="00823785" w:rsidRPr="00452D62" w:rsidRDefault="00823785" w:rsidP="00823785">
      <w:pPr>
        <w:rPr>
          <w:sz w:val="22"/>
          <w:szCs w:val="22"/>
        </w:rPr>
      </w:pPr>
    </w:p>
    <w:p w14:paraId="4052DC1C" w14:textId="77777777" w:rsidR="00823785" w:rsidRPr="00452D62" w:rsidRDefault="00823785" w:rsidP="00823785">
      <w:pPr>
        <w:rPr>
          <w:sz w:val="22"/>
          <w:szCs w:val="22"/>
        </w:rPr>
      </w:pPr>
      <w:r w:rsidRPr="00452D62">
        <w:rPr>
          <w:sz w:val="22"/>
          <w:szCs w:val="22"/>
        </w:rPr>
        <w:t>Manoma, kad veikliosios medžiagos, stipriai slopinančios vieną iš rivaroksabano šalinimo mechanizmų (susijusių su CYP3A4 arba P-gp), rivaroksabano koncentraciją kraujo plazmoje didina mažiau. Pavyzdžiui, klaritromicinas (500 mg du kartus per parą), kuris yra laikomas stipriu CYP3A4 inhibitoriumi ir vidutinio stiprumo P-gp inhibitoriumi, vidutinį rivaroksabano AUC padidino 1,5 karto, o C</w:t>
      </w:r>
      <w:r w:rsidRPr="00452D62">
        <w:rPr>
          <w:sz w:val="22"/>
          <w:szCs w:val="22"/>
          <w:vertAlign w:val="subscript"/>
        </w:rPr>
        <w:t xml:space="preserve">max  </w:t>
      </w:r>
      <w:r w:rsidRPr="00452D62">
        <w:rPr>
          <w:sz w:val="22"/>
          <w:szCs w:val="22"/>
        </w:rPr>
        <w:t>padidino 1,4 karto.</w:t>
      </w:r>
      <w:r w:rsidRPr="00AE1B80">
        <w:rPr>
          <w:sz w:val="22"/>
          <w:szCs w:val="22"/>
        </w:rPr>
        <w:t xml:space="preserve"> </w:t>
      </w:r>
      <w:r w:rsidRPr="00452D62">
        <w:rPr>
          <w:sz w:val="22"/>
          <w:szCs w:val="22"/>
        </w:rPr>
        <w:t>Tikėtina, kad daugumai pacientų sąveika su klaritromicinu nėra kliniškai reikšminga, tačiau ji gali būti reikšminga didelės rizikos pacientams. (Informacija apie pacientus, kurių inkstų funkcija yra sutrikusi, pateikiama 4.4 skyriuje).</w:t>
      </w:r>
    </w:p>
    <w:p w14:paraId="45D2E6C7" w14:textId="77777777" w:rsidR="00823785" w:rsidRPr="00452D62" w:rsidRDefault="00823785" w:rsidP="00823785">
      <w:pPr>
        <w:rPr>
          <w:sz w:val="22"/>
          <w:szCs w:val="22"/>
        </w:rPr>
      </w:pPr>
    </w:p>
    <w:p w14:paraId="46EC3A82" w14:textId="77777777" w:rsidR="00823785" w:rsidRPr="00452D62" w:rsidRDefault="00823785" w:rsidP="00823785">
      <w:pPr>
        <w:rPr>
          <w:sz w:val="22"/>
          <w:szCs w:val="22"/>
        </w:rPr>
      </w:pPr>
      <w:r w:rsidRPr="00452D62">
        <w:rPr>
          <w:sz w:val="22"/>
          <w:szCs w:val="22"/>
        </w:rPr>
        <w:t>Eritromicinas (500 mg tris kartus per parą), kuris vidutiniškai slopina CYP3A4 ir P-gp, vidutinius rivaroksabano AUC ir C</w:t>
      </w:r>
      <w:r w:rsidRPr="00452D62">
        <w:rPr>
          <w:sz w:val="22"/>
          <w:szCs w:val="22"/>
          <w:vertAlign w:val="subscript"/>
        </w:rPr>
        <w:t xml:space="preserve">max </w:t>
      </w:r>
      <w:r w:rsidRPr="00452D62">
        <w:rPr>
          <w:sz w:val="22"/>
          <w:szCs w:val="22"/>
        </w:rPr>
        <w:t xml:space="preserve">rodmenis padidino 1,3 karto. Tikėtina, kad daugumai pacientų sąveika su eritromicinu nėra kliniškai reikšminga, tačiau ji gali būti reikšminga didelės rizikos pacientams. </w:t>
      </w:r>
    </w:p>
    <w:p w14:paraId="6F8D5B60" w14:textId="77777777" w:rsidR="00823785" w:rsidRPr="00452D62" w:rsidRDefault="00823785" w:rsidP="00823785">
      <w:pPr>
        <w:rPr>
          <w:sz w:val="22"/>
          <w:szCs w:val="22"/>
        </w:rPr>
      </w:pPr>
      <w:r w:rsidRPr="00452D62">
        <w:rPr>
          <w:sz w:val="22"/>
          <w:szCs w:val="22"/>
        </w:rPr>
        <w:t>Tiriamiesiems, kuriems buvo lengvas inkstų funkcijos sutrikimas, eritromicinas (po 500 mg tris kartus per parą) vidutinį rivaroksabano AUC padidino 1,8 karto, o C</w:t>
      </w:r>
      <w:r w:rsidRPr="00452D62">
        <w:rPr>
          <w:sz w:val="22"/>
          <w:szCs w:val="22"/>
          <w:vertAlign w:val="subscript"/>
        </w:rPr>
        <w:t>max</w:t>
      </w:r>
      <w:r w:rsidRPr="00452D62">
        <w:rPr>
          <w:sz w:val="22"/>
          <w:szCs w:val="22"/>
        </w:rPr>
        <w:t xml:space="preserve"> padidino 1,6 karto, palyginti su tiriamaisiais, kurių inkstų funkcija normali. Tiriamiesiems, kuriems buvo vidutinio sunkumo inkstų funkcijos sutrikimas, eritromicinas vidutinį rivaroksabano AUC padidino 2,0 karto, o C</w:t>
      </w:r>
      <w:r w:rsidRPr="00452D62">
        <w:rPr>
          <w:sz w:val="22"/>
          <w:szCs w:val="22"/>
          <w:vertAlign w:val="subscript"/>
        </w:rPr>
        <w:t>max</w:t>
      </w:r>
      <w:r w:rsidRPr="00452D62">
        <w:rPr>
          <w:sz w:val="22"/>
          <w:szCs w:val="22"/>
        </w:rPr>
        <w:t xml:space="preserve"> padidino 1,6 karto, palyginti su tiriamaisiais, kurių inkstų funkcija normali. Eritromicino ir inkstų funkcijos sutrikimo poveikis yra suminis (žr. 4.4 skyrių).</w:t>
      </w:r>
    </w:p>
    <w:p w14:paraId="1CF75D06" w14:textId="77777777" w:rsidR="00823785" w:rsidRPr="00452D62" w:rsidRDefault="00823785" w:rsidP="00823785">
      <w:pPr>
        <w:rPr>
          <w:sz w:val="22"/>
          <w:szCs w:val="22"/>
        </w:rPr>
      </w:pPr>
    </w:p>
    <w:p w14:paraId="58B87F6D" w14:textId="77777777" w:rsidR="00823785" w:rsidRPr="00452D62" w:rsidRDefault="00823785" w:rsidP="00823785">
      <w:pPr>
        <w:rPr>
          <w:sz w:val="22"/>
          <w:szCs w:val="22"/>
        </w:rPr>
      </w:pPr>
      <w:r w:rsidRPr="00452D62">
        <w:rPr>
          <w:sz w:val="22"/>
          <w:szCs w:val="22"/>
        </w:rPr>
        <w:t>Flukonazolas (400 mg kartą per parą), laikomas vidutinio stiprumo CYP3A4 inhibitoriumi, vidutinį rivaroksabano AUC padidino 1,4 karto, o C</w:t>
      </w:r>
      <w:r w:rsidRPr="00452D62">
        <w:rPr>
          <w:sz w:val="22"/>
          <w:szCs w:val="22"/>
          <w:vertAlign w:val="subscript"/>
        </w:rPr>
        <w:t>max</w:t>
      </w:r>
      <w:r w:rsidRPr="00452D62">
        <w:rPr>
          <w:sz w:val="22"/>
          <w:szCs w:val="22"/>
        </w:rPr>
        <w:t xml:space="preserve"> padidino 1,3 karto. Tikėtina, kad daugumai pacientų sąveika su flukonazolu nėra kliniškai reikšminga, tačiau ji gali būti reikšminga didelės rizikos pacientams (informacija apie pacientus, kurių inkstų funkcija yra sutrikusi, pateikiama 4.4 skyriuje).</w:t>
      </w:r>
    </w:p>
    <w:p w14:paraId="38FD670B" w14:textId="77777777" w:rsidR="00823785" w:rsidRPr="00452D62" w:rsidRDefault="00823785" w:rsidP="00823785">
      <w:pPr>
        <w:rPr>
          <w:sz w:val="22"/>
          <w:szCs w:val="22"/>
        </w:rPr>
      </w:pPr>
    </w:p>
    <w:p w14:paraId="6C66E0CB" w14:textId="77777777" w:rsidR="00823785" w:rsidRPr="00452D62" w:rsidRDefault="00823785" w:rsidP="00823785">
      <w:pPr>
        <w:rPr>
          <w:sz w:val="22"/>
          <w:szCs w:val="22"/>
          <w:u w:val="single"/>
        </w:rPr>
      </w:pPr>
      <w:r w:rsidRPr="00452D62">
        <w:rPr>
          <w:sz w:val="22"/>
          <w:szCs w:val="22"/>
        </w:rPr>
        <w:t>Klinikinių duomenų apie dronedaroną yra nedaug, todėl jo reikia vengti vartoti kartu su rivaroksabanu.</w:t>
      </w:r>
    </w:p>
    <w:p w14:paraId="41CAB6BE" w14:textId="77777777" w:rsidR="00823785" w:rsidRPr="00452D62" w:rsidRDefault="00823785" w:rsidP="00823785">
      <w:pPr>
        <w:rPr>
          <w:sz w:val="22"/>
          <w:szCs w:val="22"/>
          <w:u w:val="single"/>
        </w:rPr>
      </w:pPr>
    </w:p>
    <w:p w14:paraId="18D17F8D" w14:textId="77777777" w:rsidR="00823785" w:rsidRPr="00452D62" w:rsidRDefault="00823785" w:rsidP="00823785">
      <w:pPr>
        <w:rPr>
          <w:sz w:val="22"/>
          <w:szCs w:val="22"/>
        </w:rPr>
      </w:pPr>
      <w:r w:rsidRPr="00452D62">
        <w:rPr>
          <w:sz w:val="22"/>
          <w:szCs w:val="22"/>
          <w:u w:val="single"/>
        </w:rPr>
        <w:t>Antikoaguliantai</w:t>
      </w:r>
    </w:p>
    <w:p w14:paraId="3817069C" w14:textId="77777777" w:rsidR="00823785" w:rsidRPr="00452D62" w:rsidRDefault="00823785" w:rsidP="00823785">
      <w:pPr>
        <w:rPr>
          <w:sz w:val="22"/>
          <w:szCs w:val="22"/>
        </w:rPr>
      </w:pPr>
      <w:r w:rsidRPr="00452D62">
        <w:rPr>
          <w:sz w:val="22"/>
          <w:szCs w:val="22"/>
        </w:rPr>
        <w:t xml:space="preserve">Enoksaparino (40 mg vienkartinė dozė) vartojant kartu su rivaroksabanu (10 mg vienkartinė dozė), pastebėtas suminis poveikis anti-Xa faktoriaus aktyvumui be jokio papildomo poveikio krešėjimo tyrimams (protrombino laikui angl. (angl. </w:t>
      </w:r>
      <w:r w:rsidRPr="00452D62">
        <w:rPr>
          <w:i/>
          <w:iCs/>
          <w:sz w:val="22"/>
          <w:szCs w:val="22"/>
        </w:rPr>
        <w:t>prothrombin time</w:t>
      </w:r>
      <w:r w:rsidRPr="00452D62">
        <w:rPr>
          <w:sz w:val="22"/>
          <w:szCs w:val="22"/>
        </w:rPr>
        <w:t xml:space="preserve">, </w:t>
      </w:r>
      <w:r w:rsidRPr="00452D62">
        <w:rPr>
          <w:i/>
          <w:iCs/>
          <w:sz w:val="22"/>
          <w:szCs w:val="22"/>
        </w:rPr>
        <w:t>PT</w:t>
      </w:r>
      <w:r w:rsidRPr="00452D62">
        <w:rPr>
          <w:sz w:val="22"/>
          <w:szCs w:val="22"/>
        </w:rPr>
        <w:t xml:space="preserve"> ), daliniam aktyvintam tromboplastino laikui (DATL)). Enoksaparinas neveikė rivaroksabano farmakokinetikos. Jeigu pacientas kartu gydomas bet kokiais kitais antikoaguliantais, dėl padidėjusios kraujavimo rizikos reikia imtis atsargumo priemonių (žr. 4.3 ir 4.4 skyrius).</w:t>
      </w:r>
    </w:p>
    <w:p w14:paraId="666565F6" w14:textId="77777777" w:rsidR="00823785" w:rsidRPr="00452D62" w:rsidRDefault="00823785" w:rsidP="00823785">
      <w:pPr>
        <w:rPr>
          <w:sz w:val="22"/>
          <w:szCs w:val="22"/>
        </w:rPr>
      </w:pPr>
    </w:p>
    <w:p w14:paraId="5B057FA8" w14:textId="77777777" w:rsidR="00823785" w:rsidRPr="00452D62" w:rsidRDefault="00823785" w:rsidP="00823785">
      <w:pPr>
        <w:rPr>
          <w:sz w:val="22"/>
          <w:szCs w:val="22"/>
        </w:rPr>
      </w:pPr>
      <w:r w:rsidRPr="00452D62">
        <w:rPr>
          <w:sz w:val="22"/>
          <w:szCs w:val="22"/>
          <w:u w:val="single"/>
        </w:rPr>
        <w:t>NVNU/trombocitų agregacijos inhibitoriai</w:t>
      </w:r>
    </w:p>
    <w:p w14:paraId="7CFF4271" w14:textId="77777777" w:rsidR="00823785" w:rsidRPr="00452D62" w:rsidRDefault="00823785" w:rsidP="00823785">
      <w:pPr>
        <w:rPr>
          <w:sz w:val="22"/>
          <w:szCs w:val="22"/>
        </w:rPr>
      </w:pPr>
      <w:r w:rsidRPr="00452D62">
        <w:rPr>
          <w:sz w:val="22"/>
          <w:szCs w:val="22"/>
        </w:rPr>
        <w:t>Vartojant rivaroksabano (15 mg) kartu su 500 mg naprokseno doze, jokio kliniškai reikšmingo kraujavimo laiko pailgėjimo nenustatyta. Nepaisant to, gali būti asmenų, kuriems farmakodinaminis atsakas gali būti stipresnis.</w:t>
      </w:r>
    </w:p>
    <w:p w14:paraId="67A4F743" w14:textId="77777777" w:rsidR="00823785" w:rsidRPr="00452D62" w:rsidRDefault="00823785" w:rsidP="00823785">
      <w:pPr>
        <w:rPr>
          <w:sz w:val="22"/>
          <w:szCs w:val="22"/>
        </w:rPr>
      </w:pPr>
      <w:r w:rsidRPr="00452D62">
        <w:rPr>
          <w:sz w:val="22"/>
          <w:szCs w:val="22"/>
        </w:rPr>
        <w:t>Rivaroksabano vartojant kartu su 500 mg acetilsalicilo rūgšties doze, jokios kliniškai reikšmingos farmakokinetinės ar farmakodinaminės sąveikos nenustatyta.</w:t>
      </w:r>
    </w:p>
    <w:p w14:paraId="3EAEBC40" w14:textId="77777777" w:rsidR="00823785" w:rsidRPr="00452D62" w:rsidRDefault="00823785" w:rsidP="00823785">
      <w:pPr>
        <w:rPr>
          <w:sz w:val="22"/>
          <w:szCs w:val="22"/>
        </w:rPr>
      </w:pPr>
      <w:r w:rsidRPr="00452D62">
        <w:rPr>
          <w:sz w:val="22"/>
          <w:szCs w:val="22"/>
        </w:rPr>
        <w:t>Kartu vartojant klopidogrelio (vartota 300 mg įsotinamoji dozė ir po to 75 mg palaikomoji dozė), nenustatyta jokios farmakokinetinės sąveikos su rivaroksabanu (vartota 15 mg dozė), tačiau pacientų pogrupiui buvo nustatytas reikšmingas kraujavimo laiko pailgėjimas ir tai nekoreliavo su trombocitų agregacija ir P-selektino arba GPIIb/IIIa receptorių lygiais.</w:t>
      </w:r>
    </w:p>
    <w:p w14:paraId="5078C734" w14:textId="77777777" w:rsidR="00823785" w:rsidRPr="00452D62" w:rsidRDefault="00823785" w:rsidP="00823785">
      <w:pPr>
        <w:rPr>
          <w:sz w:val="22"/>
          <w:szCs w:val="22"/>
          <w:u w:val="single"/>
        </w:rPr>
      </w:pPr>
      <w:r w:rsidRPr="00452D62">
        <w:rPr>
          <w:sz w:val="22"/>
          <w:szCs w:val="22"/>
        </w:rPr>
        <w:t>Turi būti imamasi atsargumo priemonių, jeigu pacientams taikomas gydymas nesteroidiniais vaistiniais preparatais nuo uždegimo (NVNU) (įskaitant acetilsalicilo rūgštį) ir trombocitų agregacijos inhibitoriais, nes šie vaistiniai preparatai paprastai didina kraujavimo riziką (žr. 4.4 skyrių).</w:t>
      </w:r>
    </w:p>
    <w:p w14:paraId="447EFB92" w14:textId="77777777" w:rsidR="00823785" w:rsidRPr="00452D62" w:rsidRDefault="00823785" w:rsidP="00823785">
      <w:pPr>
        <w:rPr>
          <w:sz w:val="22"/>
          <w:szCs w:val="22"/>
          <w:u w:val="single"/>
        </w:rPr>
      </w:pPr>
    </w:p>
    <w:p w14:paraId="5685D62C" w14:textId="77777777" w:rsidR="00823785" w:rsidRPr="00452D62" w:rsidRDefault="00823785" w:rsidP="00823785">
      <w:pPr>
        <w:rPr>
          <w:sz w:val="22"/>
          <w:szCs w:val="22"/>
          <w:u w:val="single"/>
        </w:rPr>
      </w:pPr>
      <w:r w:rsidRPr="00452D62">
        <w:rPr>
          <w:sz w:val="22"/>
          <w:szCs w:val="22"/>
          <w:u w:val="single"/>
        </w:rPr>
        <w:t>SSRI/SNRI</w:t>
      </w:r>
    </w:p>
    <w:p w14:paraId="6776306C" w14:textId="77777777" w:rsidR="00823785" w:rsidRPr="00452D62" w:rsidRDefault="00823785" w:rsidP="00823785">
      <w:pPr>
        <w:rPr>
          <w:sz w:val="22"/>
          <w:szCs w:val="22"/>
        </w:rPr>
      </w:pPr>
      <w:r w:rsidRPr="00452D62">
        <w:rPr>
          <w:sz w:val="22"/>
          <w:szCs w:val="22"/>
        </w:rPr>
        <w:t>Kaip ir vartojant kitų antikoaguliantų, yra tikimybė, kad pacientams, kartu vartojantiems SSRI arba SNRI, dėl jų poveikio trombocitams, apie kurį buvo pranešta, gali padidėti kraujavimo rizika. Kai vykdant rivaroksabano klinikinę programą kartu buvo vartojama minėtų vaistinių preparatų, visose gydymo grupėse nustatyti skaitine reikšme didesni didžiojo ir ne didžiojo kliniškai reikšmingo kraujavimo dažnio rodmenys.</w:t>
      </w:r>
    </w:p>
    <w:p w14:paraId="3C2C824A" w14:textId="77777777" w:rsidR="00823785" w:rsidRPr="00452D62" w:rsidRDefault="00823785" w:rsidP="00823785">
      <w:pPr>
        <w:rPr>
          <w:sz w:val="22"/>
          <w:szCs w:val="22"/>
          <w:u w:val="single"/>
        </w:rPr>
      </w:pPr>
    </w:p>
    <w:p w14:paraId="128F2FAC" w14:textId="77777777" w:rsidR="00823785" w:rsidRPr="00452D62" w:rsidRDefault="00823785" w:rsidP="00823785">
      <w:pPr>
        <w:rPr>
          <w:sz w:val="22"/>
          <w:szCs w:val="22"/>
        </w:rPr>
      </w:pPr>
      <w:r w:rsidRPr="00452D62">
        <w:rPr>
          <w:sz w:val="22"/>
          <w:szCs w:val="22"/>
          <w:u w:val="single"/>
        </w:rPr>
        <w:t>Varfarinas</w:t>
      </w:r>
    </w:p>
    <w:p w14:paraId="1A248459" w14:textId="77777777" w:rsidR="00823785" w:rsidRPr="00452D62" w:rsidRDefault="00823785" w:rsidP="00823785">
      <w:pPr>
        <w:rPr>
          <w:sz w:val="22"/>
          <w:szCs w:val="22"/>
        </w:rPr>
      </w:pPr>
      <w:r w:rsidRPr="00452D62">
        <w:rPr>
          <w:sz w:val="22"/>
          <w:szCs w:val="22"/>
        </w:rPr>
        <w:t>Keičiant gydymą vitamino K antagonistu varfarinu (</w:t>
      </w:r>
      <w:r w:rsidRPr="00452D62">
        <w:rPr>
          <w:iCs/>
          <w:sz w:val="22"/>
          <w:szCs w:val="22"/>
        </w:rPr>
        <w:t>INR</w:t>
      </w:r>
      <w:r w:rsidRPr="00452D62">
        <w:rPr>
          <w:sz w:val="22"/>
          <w:szCs w:val="22"/>
        </w:rPr>
        <w:t xml:space="preserve"> nuo 2,0 iki 3,0) į gydymą rivaroksabanu (20 mg) arba gydymą rivaroksabanu (20 mg) keičiant į gydymą varfarinu (</w:t>
      </w:r>
      <w:r w:rsidRPr="00452D62">
        <w:rPr>
          <w:iCs/>
          <w:sz w:val="22"/>
          <w:szCs w:val="22"/>
        </w:rPr>
        <w:t>INR</w:t>
      </w:r>
      <w:r w:rsidRPr="00452D62">
        <w:rPr>
          <w:sz w:val="22"/>
          <w:szCs w:val="22"/>
        </w:rPr>
        <w:t xml:space="preserve"> nuo 2,0 iki 3,0), protrombino laikas/</w:t>
      </w:r>
      <w:r w:rsidRPr="00452D62">
        <w:rPr>
          <w:iCs/>
          <w:sz w:val="22"/>
          <w:szCs w:val="22"/>
        </w:rPr>
        <w:t>INR</w:t>
      </w:r>
      <w:r w:rsidRPr="00452D62">
        <w:rPr>
          <w:sz w:val="22"/>
          <w:szCs w:val="22"/>
        </w:rPr>
        <w:t xml:space="preserve"> (Neoplastin) padidėjo daugiau nei iki suminės reikšmės (atskirais atvejais </w:t>
      </w:r>
      <w:r w:rsidRPr="00452D62">
        <w:rPr>
          <w:iCs/>
          <w:sz w:val="22"/>
          <w:szCs w:val="22"/>
        </w:rPr>
        <w:t>INR</w:t>
      </w:r>
      <w:r w:rsidRPr="00452D62">
        <w:rPr>
          <w:sz w:val="22"/>
          <w:szCs w:val="22"/>
        </w:rPr>
        <w:t xml:space="preserve"> rodmuo buvo iki 12), tuo tarpu kai poveikis DATL, Xa faktoriaus aktyvumo slopinimui ir endogeninio trombino potencialui (ETP) buvo suminis.</w:t>
      </w:r>
    </w:p>
    <w:p w14:paraId="05F5F9EA" w14:textId="77777777" w:rsidR="00823785" w:rsidRPr="00452D62" w:rsidRDefault="00823785" w:rsidP="00823785">
      <w:pPr>
        <w:rPr>
          <w:sz w:val="22"/>
          <w:szCs w:val="22"/>
        </w:rPr>
      </w:pPr>
      <w:r w:rsidRPr="00452D62">
        <w:rPr>
          <w:sz w:val="22"/>
          <w:szCs w:val="22"/>
        </w:rPr>
        <w:t xml:space="preserve">Norint ištirti rivaroksabano farmakodinaminį poveikį gydymo keitimo metu, galima atlikti antifaktoriaus Xa aktyvumo, PiCT ir </w:t>
      </w:r>
      <w:r w:rsidRPr="00452D62">
        <w:rPr>
          <w:i/>
          <w:sz w:val="22"/>
          <w:szCs w:val="22"/>
        </w:rPr>
        <w:t>Heptest</w:t>
      </w:r>
      <w:r w:rsidRPr="00452D62">
        <w:rPr>
          <w:sz w:val="22"/>
          <w:szCs w:val="22"/>
        </w:rPr>
        <w:t xml:space="preserve"> tyrimus, kadangi varfarinas įtakos šiems tyrimams nedaro. Ketvirtą parą po paskutinės varfarino dozės pavartojimo visi tyrimai (įskaitant protrombino laiką, DATL, Xa faktoriaus aktyvumo slopinimą ir ETP) rodė tik rivaroksabano poveikį. </w:t>
      </w:r>
    </w:p>
    <w:p w14:paraId="48814699" w14:textId="77777777" w:rsidR="00823785" w:rsidRPr="00452D62" w:rsidRDefault="00823785" w:rsidP="00823785">
      <w:pPr>
        <w:rPr>
          <w:sz w:val="22"/>
          <w:szCs w:val="22"/>
        </w:rPr>
      </w:pPr>
      <w:r w:rsidRPr="00452D62">
        <w:rPr>
          <w:sz w:val="22"/>
          <w:szCs w:val="22"/>
        </w:rPr>
        <w:t xml:space="preserve">Norint ištirti varfarino farmakodinaminį poveikį gydymo keitimo metu, galima atlikti </w:t>
      </w:r>
      <w:r w:rsidRPr="00452D62">
        <w:rPr>
          <w:iCs/>
          <w:sz w:val="22"/>
          <w:szCs w:val="22"/>
        </w:rPr>
        <w:t>INR</w:t>
      </w:r>
      <w:r w:rsidRPr="00452D62">
        <w:rPr>
          <w:sz w:val="22"/>
          <w:szCs w:val="22"/>
        </w:rPr>
        <w:t xml:space="preserve"> tyrimą, kai rivaroksabano koncentracija yra mažiausia (C</w:t>
      </w:r>
      <w:r w:rsidRPr="00452D62">
        <w:rPr>
          <w:sz w:val="22"/>
          <w:szCs w:val="22"/>
          <w:vertAlign w:val="subscript"/>
        </w:rPr>
        <w:t>trough</w:t>
      </w:r>
      <w:r w:rsidRPr="00452D62">
        <w:rPr>
          <w:sz w:val="22"/>
          <w:szCs w:val="22"/>
        </w:rPr>
        <w:t>) (praėjus 24 valandoms po paskutinio rivaroksabano pavartojimo), nes tuo metu tyrimas bus mažiausiai paveiktas rivaroksabano.</w:t>
      </w:r>
    </w:p>
    <w:p w14:paraId="227E2517" w14:textId="77777777" w:rsidR="00823785" w:rsidRPr="00452D62" w:rsidRDefault="00823785" w:rsidP="00823785">
      <w:pPr>
        <w:rPr>
          <w:sz w:val="22"/>
          <w:szCs w:val="22"/>
          <w:u w:val="single"/>
        </w:rPr>
      </w:pPr>
      <w:r w:rsidRPr="00452D62">
        <w:rPr>
          <w:sz w:val="22"/>
          <w:szCs w:val="22"/>
        </w:rPr>
        <w:t>Farmakokinetinės varfarino ir rivaroksabano sąveikos nenustatyta.</w:t>
      </w:r>
    </w:p>
    <w:p w14:paraId="5C619E19" w14:textId="77777777" w:rsidR="00823785" w:rsidRPr="00452D62" w:rsidRDefault="00823785" w:rsidP="00823785">
      <w:pPr>
        <w:rPr>
          <w:sz w:val="22"/>
          <w:szCs w:val="22"/>
          <w:u w:val="single"/>
        </w:rPr>
      </w:pPr>
    </w:p>
    <w:p w14:paraId="27FB0E82" w14:textId="77777777" w:rsidR="00823785" w:rsidRPr="00452D62" w:rsidRDefault="00823785" w:rsidP="00823785">
      <w:pPr>
        <w:rPr>
          <w:sz w:val="22"/>
          <w:szCs w:val="22"/>
        </w:rPr>
      </w:pPr>
      <w:r w:rsidRPr="00452D62">
        <w:rPr>
          <w:sz w:val="22"/>
          <w:szCs w:val="22"/>
          <w:u w:val="single"/>
        </w:rPr>
        <w:t>CYP3A4 induktoriai</w:t>
      </w:r>
    </w:p>
    <w:p w14:paraId="65685A81" w14:textId="6C54967A" w:rsidR="00823785" w:rsidRPr="00452D62" w:rsidRDefault="00823785" w:rsidP="00823785">
      <w:pPr>
        <w:rPr>
          <w:sz w:val="22"/>
          <w:szCs w:val="22"/>
          <w:u w:val="single"/>
        </w:rPr>
      </w:pPr>
      <w:r w:rsidRPr="00452D62">
        <w:rPr>
          <w:sz w:val="22"/>
          <w:szCs w:val="22"/>
        </w:rPr>
        <w:t xml:space="preserve">Rivaroksabano vartojant kartu su stipriu CYP3A4 induktoriumi rifampicinu, vidutinis rivaroksabano AUC sumažėjo maždaug 50 % ir kartu susilpnėjo farmakodinaminis poveikis. Rivaroksabano vartojant kartu su kitais stipriais CYP3A4 induktoriais (pvz., fenitoinu, karbamazepinu, fenobarbitaliu arba jonažolių </w:t>
      </w:r>
      <w:r w:rsidRPr="00452D62">
        <w:rPr>
          <w:i/>
          <w:iCs/>
          <w:sz w:val="22"/>
          <w:szCs w:val="22"/>
        </w:rPr>
        <w:t xml:space="preserve">(Hypericum perforatum) </w:t>
      </w:r>
      <w:r w:rsidRPr="00452D62">
        <w:rPr>
          <w:sz w:val="22"/>
          <w:szCs w:val="22"/>
        </w:rPr>
        <w:t>preparatais), gali sumažėti rivaroksabano koncentracija kraujo plazmoje. Taigi reikia vengti kartu skirti stipriai veikiančių CYP3A4 induktorių, nebent pacientas yra atidžiai stebimas dėl trombozės požymių ir simptomų.</w:t>
      </w:r>
    </w:p>
    <w:p w14:paraId="6F64F96D" w14:textId="77777777" w:rsidR="00823785" w:rsidRPr="00452D62" w:rsidRDefault="00823785" w:rsidP="00823785">
      <w:pPr>
        <w:rPr>
          <w:sz w:val="22"/>
          <w:szCs w:val="22"/>
          <w:u w:val="single"/>
        </w:rPr>
      </w:pPr>
    </w:p>
    <w:p w14:paraId="0FC1C063" w14:textId="77777777" w:rsidR="00823785" w:rsidRPr="00452D62" w:rsidRDefault="00823785" w:rsidP="00823785">
      <w:pPr>
        <w:rPr>
          <w:sz w:val="22"/>
          <w:szCs w:val="22"/>
        </w:rPr>
      </w:pPr>
      <w:r w:rsidRPr="00452D62">
        <w:rPr>
          <w:sz w:val="22"/>
          <w:szCs w:val="22"/>
          <w:u w:val="single"/>
        </w:rPr>
        <w:t>Kitas kartu skiriamas gydymas</w:t>
      </w:r>
    </w:p>
    <w:p w14:paraId="16FE5E20" w14:textId="77777777" w:rsidR="00823785" w:rsidRPr="00452D62" w:rsidRDefault="00823785" w:rsidP="00823785">
      <w:pPr>
        <w:rPr>
          <w:sz w:val="22"/>
          <w:szCs w:val="22"/>
        </w:rPr>
      </w:pPr>
      <w:r w:rsidRPr="00452D62">
        <w:rPr>
          <w:sz w:val="22"/>
          <w:szCs w:val="22"/>
        </w:rPr>
        <w:t>Vartojant rivaroksabano kartu su midazolamu (CYP3A4 substratu), digoksinu (P-gp substratu), atorvastatinu (CYP3A4 ir P-gp substratu) arba omeprazolu (protonų siurblio inhibitoriumi), kliniškai reikšmingos farmakokinetinės arba farmakodinaminės sąveikos nenustatyta. Rivaroksabanas neslopina ir neindukuoja jokių svarbesnių CYP izoformų, tokių kaip CYP3A4.</w:t>
      </w:r>
    </w:p>
    <w:p w14:paraId="376DA208" w14:textId="77777777" w:rsidR="00823785" w:rsidRPr="00452D62" w:rsidRDefault="00823785" w:rsidP="00823785">
      <w:pPr>
        <w:rPr>
          <w:sz w:val="22"/>
          <w:szCs w:val="22"/>
        </w:rPr>
      </w:pPr>
    </w:p>
    <w:p w14:paraId="03EDCD6C" w14:textId="77777777" w:rsidR="00823785" w:rsidRPr="00452D62" w:rsidRDefault="00823785" w:rsidP="00823785">
      <w:pPr>
        <w:rPr>
          <w:sz w:val="22"/>
          <w:szCs w:val="22"/>
        </w:rPr>
      </w:pPr>
      <w:r w:rsidRPr="00452D62">
        <w:rPr>
          <w:sz w:val="22"/>
          <w:szCs w:val="22"/>
          <w:u w:val="single"/>
        </w:rPr>
        <w:t>Laboratoriniai rodmenys</w:t>
      </w:r>
    </w:p>
    <w:p w14:paraId="54EE6AC5" w14:textId="77777777" w:rsidR="00823785" w:rsidRPr="00452D62" w:rsidRDefault="00823785" w:rsidP="00823785">
      <w:pPr>
        <w:rPr>
          <w:b/>
          <w:bCs/>
          <w:sz w:val="22"/>
          <w:szCs w:val="22"/>
        </w:rPr>
      </w:pPr>
      <w:r w:rsidRPr="00452D62">
        <w:rPr>
          <w:sz w:val="22"/>
          <w:szCs w:val="22"/>
        </w:rPr>
        <w:t xml:space="preserve">Būna paveikti krešėjimo parametrai (pvz., PT, DATL, </w:t>
      </w:r>
      <w:r w:rsidRPr="00452D62">
        <w:rPr>
          <w:i/>
          <w:iCs/>
          <w:sz w:val="22"/>
          <w:szCs w:val="22"/>
        </w:rPr>
        <w:t>HepTest</w:t>
      </w:r>
      <w:r w:rsidRPr="00452D62">
        <w:rPr>
          <w:sz w:val="22"/>
          <w:szCs w:val="22"/>
        </w:rPr>
        <w:t>), kaip ir galima tikėtis atsižvelgiant į rivaroksabano veikimo mechanizmą (žr. 5.1 skyrių).</w:t>
      </w:r>
    </w:p>
    <w:p w14:paraId="5982ECCB" w14:textId="77777777" w:rsidR="00823785" w:rsidRPr="00452D62" w:rsidRDefault="00823785" w:rsidP="00823785">
      <w:pPr>
        <w:ind w:left="567" w:hanging="568"/>
        <w:rPr>
          <w:b/>
          <w:bCs/>
          <w:sz w:val="22"/>
          <w:szCs w:val="22"/>
        </w:rPr>
      </w:pPr>
    </w:p>
    <w:p w14:paraId="0EC310CD"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4.6</w:t>
      </w:r>
      <w:r w:rsidRPr="00452D62">
        <w:rPr>
          <w:b/>
          <w:color w:val="auto"/>
          <w:kern w:val="28"/>
          <w:sz w:val="22"/>
          <w:szCs w:val="22"/>
          <w:lang w:eastAsia="en-US"/>
        </w:rPr>
        <w:tab/>
        <w:t>Vaisingumas, nėštumo ir žindymo laikotarpis</w:t>
      </w:r>
    </w:p>
    <w:p w14:paraId="6C682EE9" w14:textId="77777777" w:rsidR="00823785" w:rsidRPr="00452D62" w:rsidRDefault="00823785" w:rsidP="00823785">
      <w:pPr>
        <w:rPr>
          <w:sz w:val="22"/>
          <w:szCs w:val="22"/>
          <w:u w:val="single"/>
        </w:rPr>
      </w:pPr>
    </w:p>
    <w:p w14:paraId="73DC8173" w14:textId="77777777" w:rsidR="00823785" w:rsidRPr="00452D62" w:rsidRDefault="00823785" w:rsidP="00823785">
      <w:pPr>
        <w:rPr>
          <w:sz w:val="22"/>
          <w:szCs w:val="22"/>
        </w:rPr>
      </w:pPr>
      <w:r w:rsidRPr="00452D62">
        <w:rPr>
          <w:sz w:val="22"/>
          <w:szCs w:val="22"/>
          <w:u w:val="single"/>
        </w:rPr>
        <w:t>Nėštumas</w:t>
      </w:r>
    </w:p>
    <w:p w14:paraId="6D5F0CB0" w14:textId="77777777" w:rsidR="00823785" w:rsidRPr="00452D62" w:rsidRDefault="00823785" w:rsidP="00823785">
      <w:pPr>
        <w:rPr>
          <w:sz w:val="22"/>
          <w:szCs w:val="22"/>
        </w:rPr>
      </w:pPr>
      <w:r w:rsidRPr="00452D62">
        <w:rPr>
          <w:sz w:val="22"/>
          <w:szCs w:val="22"/>
        </w:rPr>
        <w:t>Rivaroksabano saugumas ir veiksmingumas nėščioms moterims nėra nustatytas. Su gyvūnais atlikti tyrimai parodė toksinį poveikį reprodukcijai (žr. 5.3 skyrių). Dėl galimo toksinio poveikio reprodukcijai, būdingos kraujavimo rizikos ir patvirtinto rivaroksabano prasiskverbimo per placentą, Xerdoxo draudžiama vartoti nėštumo metu (žr. 4.3 skyrių).</w:t>
      </w:r>
    </w:p>
    <w:p w14:paraId="7276BC23" w14:textId="77777777" w:rsidR="00823785" w:rsidRPr="00452D62" w:rsidRDefault="00823785" w:rsidP="00823785">
      <w:pPr>
        <w:rPr>
          <w:sz w:val="22"/>
          <w:szCs w:val="22"/>
        </w:rPr>
      </w:pPr>
      <w:r w:rsidRPr="00452D62">
        <w:rPr>
          <w:sz w:val="22"/>
          <w:szCs w:val="22"/>
        </w:rPr>
        <w:t>Vaisingo amžiaus moterys turi vengti pastoti gydymo rivaroksabanu metu.</w:t>
      </w:r>
    </w:p>
    <w:p w14:paraId="501C82D3" w14:textId="77777777" w:rsidR="00823785" w:rsidRPr="00452D62" w:rsidRDefault="00823785" w:rsidP="00823785">
      <w:pPr>
        <w:rPr>
          <w:sz w:val="22"/>
          <w:szCs w:val="22"/>
        </w:rPr>
      </w:pPr>
    </w:p>
    <w:p w14:paraId="70D3B915" w14:textId="77777777" w:rsidR="00823785" w:rsidRPr="00452D62" w:rsidRDefault="00823785" w:rsidP="00823785">
      <w:pPr>
        <w:rPr>
          <w:sz w:val="22"/>
          <w:szCs w:val="22"/>
        </w:rPr>
      </w:pPr>
      <w:r w:rsidRPr="00452D62">
        <w:rPr>
          <w:sz w:val="22"/>
          <w:szCs w:val="22"/>
          <w:u w:val="single"/>
        </w:rPr>
        <w:t>Žindymas</w:t>
      </w:r>
    </w:p>
    <w:p w14:paraId="05705212" w14:textId="77777777" w:rsidR="00823785" w:rsidRPr="00452D62" w:rsidRDefault="00823785" w:rsidP="00823785">
      <w:pPr>
        <w:rPr>
          <w:sz w:val="22"/>
          <w:szCs w:val="22"/>
          <w:u w:val="single"/>
        </w:rPr>
      </w:pPr>
      <w:r w:rsidRPr="00452D62">
        <w:rPr>
          <w:sz w:val="22"/>
          <w:szCs w:val="22"/>
        </w:rPr>
        <w:t>Rivaroksabano saugumas ir veiksmingumas žindyvėms nenustatytas. Tyrimų su gyvūnais duomenys rodo, kad rivaroksabanas yra išskiriamas į pieną. Todėl Xerdoxo draudžiama vartoti žindymo metu (žr. 4.3 skyrių). Reikia nuspręsti, ar nutraukti žindymą, ar nutraukti/susilaikyti nuo gydymo vaistiniu preparatu.</w:t>
      </w:r>
    </w:p>
    <w:p w14:paraId="41091E55" w14:textId="77777777" w:rsidR="00823785" w:rsidRPr="00452D62" w:rsidRDefault="00823785" w:rsidP="00823785">
      <w:pPr>
        <w:rPr>
          <w:sz w:val="22"/>
          <w:szCs w:val="22"/>
          <w:u w:val="single"/>
        </w:rPr>
      </w:pPr>
    </w:p>
    <w:p w14:paraId="15DD79A6" w14:textId="77777777" w:rsidR="00823785" w:rsidRPr="00452D62" w:rsidRDefault="00823785" w:rsidP="00823785">
      <w:pPr>
        <w:rPr>
          <w:sz w:val="22"/>
          <w:szCs w:val="22"/>
        </w:rPr>
      </w:pPr>
      <w:r w:rsidRPr="00452D62">
        <w:rPr>
          <w:sz w:val="22"/>
          <w:szCs w:val="22"/>
          <w:u w:val="single"/>
        </w:rPr>
        <w:t>Vaisingumas</w:t>
      </w:r>
    </w:p>
    <w:p w14:paraId="6C9095D1" w14:textId="77777777" w:rsidR="00823785" w:rsidRPr="00452D62" w:rsidRDefault="00823785" w:rsidP="00823785">
      <w:pPr>
        <w:rPr>
          <w:b/>
          <w:bCs/>
          <w:sz w:val="22"/>
          <w:szCs w:val="22"/>
        </w:rPr>
      </w:pPr>
      <w:r w:rsidRPr="00452D62">
        <w:rPr>
          <w:sz w:val="22"/>
          <w:szCs w:val="22"/>
        </w:rPr>
        <w:t>Rivaroksabano poveikį vaisingumui įvertinančių specifinių tyrimų žmonėms neatlikta. Žiurkių patelių ir patinų vaisingumo tyrimo metu poveikio nenustatyta (žr. 5.3 skyrių).</w:t>
      </w:r>
    </w:p>
    <w:p w14:paraId="01D05BD4" w14:textId="77777777" w:rsidR="00823785" w:rsidRPr="00452D62" w:rsidRDefault="00823785" w:rsidP="00823785">
      <w:pPr>
        <w:ind w:left="567" w:hanging="568"/>
        <w:rPr>
          <w:b/>
          <w:bCs/>
          <w:sz w:val="22"/>
          <w:szCs w:val="22"/>
        </w:rPr>
      </w:pPr>
    </w:p>
    <w:p w14:paraId="315F92E2"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4.7</w:t>
      </w:r>
      <w:r w:rsidRPr="00452D62">
        <w:rPr>
          <w:b/>
          <w:color w:val="auto"/>
          <w:kern w:val="28"/>
          <w:sz w:val="22"/>
          <w:szCs w:val="22"/>
          <w:lang w:eastAsia="en-US"/>
        </w:rPr>
        <w:tab/>
        <w:t>Poveikis gebėjimui vairuoti ir valdyti mechanizmus</w:t>
      </w:r>
    </w:p>
    <w:p w14:paraId="3A92AACA" w14:textId="77777777" w:rsidR="00823785" w:rsidRPr="00452D62" w:rsidRDefault="00823785" w:rsidP="00823785">
      <w:pPr>
        <w:rPr>
          <w:sz w:val="22"/>
          <w:szCs w:val="22"/>
        </w:rPr>
      </w:pPr>
    </w:p>
    <w:p w14:paraId="27AEEB30" w14:textId="77777777" w:rsidR="00823785" w:rsidRPr="00452D62" w:rsidRDefault="00823785" w:rsidP="00823785">
      <w:pPr>
        <w:rPr>
          <w:b/>
          <w:bCs/>
          <w:sz w:val="22"/>
          <w:szCs w:val="22"/>
        </w:rPr>
      </w:pPr>
      <w:r w:rsidRPr="00452D62">
        <w:rPr>
          <w:sz w:val="22"/>
          <w:szCs w:val="22"/>
        </w:rPr>
        <w:t>Rivaroksabanas gebėjimą vairuoti ir valdyti mechanizmus veikia silpnai. Buvo gauta pranešimų apie šias nepageidaujamas reakcijas: apalpimą (dažnis: nedažnas) ir svaigulį (dažnis: dažnas) (žr. 4.8 skyrių). Pacientams, kuriems pasireiškia šių nepageidaujamų reakcijų, vairuoti ar valdyti mechanizmų negalima.</w:t>
      </w:r>
    </w:p>
    <w:p w14:paraId="7C81682D" w14:textId="77777777" w:rsidR="00823785" w:rsidRPr="00452D62" w:rsidRDefault="00823785" w:rsidP="00823785">
      <w:pPr>
        <w:ind w:left="567" w:hanging="568"/>
        <w:rPr>
          <w:b/>
          <w:bCs/>
          <w:sz w:val="22"/>
          <w:szCs w:val="22"/>
        </w:rPr>
      </w:pPr>
    </w:p>
    <w:p w14:paraId="0B867B17"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4.8</w:t>
      </w:r>
      <w:r w:rsidRPr="00452D62">
        <w:rPr>
          <w:b/>
          <w:color w:val="auto"/>
          <w:kern w:val="28"/>
          <w:sz w:val="22"/>
          <w:szCs w:val="22"/>
          <w:lang w:eastAsia="en-US"/>
        </w:rPr>
        <w:tab/>
        <w:t>Nepageidaujamas poveikis</w:t>
      </w:r>
    </w:p>
    <w:p w14:paraId="412CD4D5" w14:textId="77777777" w:rsidR="00823785" w:rsidRPr="00452D62" w:rsidRDefault="00823785" w:rsidP="00823785">
      <w:pPr>
        <w:rPr>
          <w:sz w:val="22"/>
          <w:szCs w:val="22"/>
          <w:u w:val="single"/>
        </w:rPr>
      </w:pPr>
    </w:p>
    <w:p w14:paraId="6FEDC10C" w14:textId="77777777" w:rsidR="00823785" w:rsidRPr="00452D62" w:rsidRDefault="00823785" w:rsidP="00823785">
      <w:pPr>
        <w:rPr>
          <w:sz w:val="22"/>
          <w:szCs w:val="22"/>
        </w:rPr>
      </w:pPr>
      <w:r w:rsidRPr="00452D62">
        <w:rPr>
          <w:sz w:val="22"/>
          <w:szCs w:val="22"/>
          <w:u w:val="single"/>
        </w:rPr>
        <w:t>Saugumo duomenų santrauka</w:t>
      </w:r>
    </w:p>
    <w:p w14:paraId="0F13E91E" w14:textId="5030CB3F" w:rsidR="00823785" w:rsidRPr="00452D62" w:rsidRDefault="00823785" w:rsidP="00823785">
      <w:pPr>
        <w:rPr>
          <w:sz w:val="22"/>
          <w:szCs w:val="22"/>
        </w:rPr>
      </w:pPr>
      <w:r w:rsidRPr="00452D62">
        <w:rPr>
          <w:sz w:val="22"/>
          <w:szCs w:val="22"/>
        </w:rPr>
        <w:t>Rivaroksabano saugumas buvo vertinamas trylikoje pagrindinių III fazės tyrimu (žr. 1 lentelę).</w:t>
      </w:r>
    </w:p>
    <w:p w14:paraId="09E2CBD7" w14:textId="77777777" w:rsidR="00823785" w:rsidRPr="00452D62" w:rsidRDefault="00823785" w:rsidP="00823785">
      <w:pPr>
        <w:rPr>
          <w:sz w:val="22"/>
          <w:szCs w:val="22"/>
        </w:rPr>
      </w:pPr>
    </w:p>
    <w:p w14:paraId="4C35D416" w14:textId="5C6E3343" w:rsidR="00823785" w:rsidRPr="00452D62" w:rsidRDefault="00823785" w:rsidP="00823785">
      <w:pPr>
        <w:rPr>
          <w:sz w:val="22"/>
          <w:szCs w:val="22"/>
        </w:rPr>
      </w:pPr>
      <w:r w:rsidRPr="00452D62">
        <w:rPr>
          <w:sz w:val="22"/>
          <w:szCs w:val="22"/>
        </w:rPr>
        <w:t>Iš viso devyniolikoje III fazės tyrimų dalyvavo 69</w:t>
      </w:r>
      <w:r w:rsidR="00EA68B1" w:rsidRPr="00452D62">
        <w:rPr>
          <w:sz w:val="22"/>
          <w:szCs w:val="22"/>
        </w:rPr>
        <w:t xml:space="preserve"> </w:t>
      </w:r>
      <w:r w:rsidRPr="00452D62">
        <w:rPr>
          <w:sz w:val="22"/>
          <w:szCs w:val="22"/>
        </w:rPr>
        <w:t xml:space="preserve">608 suaugę pacientai, </w:t>
      </w:r>
      <w:r w:rsidR="00EE5F8A" w:rsidRPr="00452D62">
        <w:rPr>
          <w:sz w:val="22"/>
          <w:szCs w:val="22"/>
        </w:rPr>
        <w:t xml:space="preserve">ir dviejuose II fazės tyrimuose bei dviejuose III fazės tyrimuose dalyvavo 488 vaikai, </w:t>
      </w:r>
      <w:r w:rsidRPr="00452D62">
        <w:rPr>
          <w:sz w:val="22"/>
          <w:szCs w:val="22"/>
        </w:rPr>
        <w:t>vartoj</w:t>
      </w:r>
      <w:r w:rsidR="00BB3E09" w:rsidRPr="00452D62">
        <w:rPr>
          <w:sz w:val="22"/>
          <w:szCs w:val="22"/>
        </w:rPr>
        <w:t>ę</w:t>
      </w:r>
      <w:r w:rsidRPr="00452D62">
        <w:rPr>
          <w:sz w:val="22"/>
          <w:szCs w:val="22"/>
        </w:rPr>
        <w:t xml:space="preserve"> rivaroksabano.</w:t>
      </w:r>
    </w:p>
    <w:p w14:paraId="0AB17885" w14:textId="77777777" w:rsidR="00B72A1B" w:rsidRPr="00452D62" w:rsidRDefault="00B72A1B" w:rsidP="00823785">
      <w:pPr>
        <w:rPr>
          <w:sz w:val="22"/>
          <w:szCs w:val="22"/>
        </w:rPr>
      </w:pPr>
    </w:p>
    <w:p w14:paraId="166C3540" w14:textId="4C7246C4" w:rsidR="00823785" w:rsidRPr="00452D62" w:rsidRDefault="00823785" w:rsidP="00823785">
      <w:pPr>
        <w:rPr>
          <w:b/>
          <w:sz w:val="22"/>
          <w:szCs w:val="22"/>
        </w:rPr>
      </w:pPr>
      <w:r w:rsidRPr="00452D62">
        <w:rPr>
          <w:b/>
          <w:sz w:val="22"/>
          <w:szCs w:val="22"/>
        </w:rPr>
        <w:t>1 lentelė. Tirtų pacientų skaičius, bendroji paros dozė ir maksimali gydymo trukmė III fazės tyrimuose su suaugusiais</w:t>
      </w:r>
      <w:r w:rsidR="00624062" w:rsidRPr="00452D62">
        <w:rPr>
          <w:b/>
          <w:sz w:val="22"/>
          <w:szCs w:val="22"/>
        </w:rPr>
        <w:t xml:space="preserve"> ir vaikais</w:t>
      </w:r>
    </w:p>
    <w:tbl>
      <w:tblPr>
        <w:tblW w:w="0" w:type="auto"/>
        <w:tblInd w:w="-34" w:type="dxa"/>
        <w:tblLayout w:type="fixed"/>
        <w:tblLook w:val="0000" w:firstRow="0" w:lastRow="0" w:firstColumn="0" w:lastColumn="0" w:noHBand="0" w:noVBand="0"/>
      </w:tblPr>
      <w:tblGrid>
        <w:gridCol w:w="3544"/>
        <w:gridCol w:w="1134"/>
        <w:gridCol w:w="2835"/>
        <w:gridCol w:w="1581"/>
      </w:tblGrid>
      <w:tr w:rsidR="00823785" w:rsidRPr="00452D62" w14:paraId="48A97D56" w14:textId="77777777" w:rsidTr="006453B9">
        <w:tc>
          <w:tcPr>
            <w:tcW w:w="3544" w:type="dxa"/>
            <w:tcBorders>
              <w:top w:val="single" w:sz="4" w:space="0" w:color="000000"/>
              <w:left w:val="single" w:sz="4" w:space="0" w:color="000000"/>
              <w:bottom w:val="single" w:sz="4" w:space="0" w:color="000000"/>
              <w:right w:val="single" w:sz="4" w:space="0" w:color="000000"/>
            </w:tcBorders>
            <w:shd w:val="clear" w:color="auto" w:fill="FFFFFF"/>
          </w:tcPr>
          <w:p w14:paraId="50439949" w14:textId="77777777" w:rsidR="00823785" w:rsidRPr="00452D62" w:rsidRDefault="00823785" w:rsidP="006453B9">
            <w:pPr>
              <w:rPr>
                <w:b/>
                <w:bCs/>
                <w:sz w:val="22"/>
                <w:szCs w:val="22"/>
              </w:rPr>
            </w:pPr>
            <w:r w:rsidRPr="00452D62">
              <w:rPr>
                <w:b/>
                <w:sz w:val="22"/>
                <w:szCs w:val="22"/>
              </w:rPr>
              <w:t>Indikacija</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4C5C78D5" w14:textId="77777777" w:rsidR="00823785" w:rsidRPr="00452D62" w:rsidRDefault="00823785" w:rsidP="006453B9">
            <w:pPr>
              <w:rPr>
                <w:b/>
                <w:sz w:val="22"/>
                <w:szCs w:val="22"/>
              </w:rPr>
            </w:pPr>
            <w:r w:rsidRPr="00452D62">
              <w:rPr>
                <w:b/>
                <w:bCs/>
                <w:sz w:val="22"/>
                <w:szCs w:val="22"/>
              </w:rPr>
              <w:t xml:space="preserve">Pacientų skaičius* </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12947220" w14:textId="77777777" w:rsidR="00823785" w:rsidRPr="00452D62" w:rsidRDefault="00823785" w:rsidP="006453B9">
            <w:pPr>
              <w:rPr>
                <w:b/>
                <w:sz w:val="22"/>
                <w:szCs w:val="22"/>
              </w:rPr>
            </w:pPr>
            <w:r w:rsidRPr="00452D62">
              <w:rPr>
                <w:b/>
                <w:sz w:val="22"/>
                <w:szCs w:val="22"/>
              </w:rPr>
              <w:t>Bendroji paros dozė</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63EAFAEF" w14:textId="77777777" w:rsidR="00823785" w:rsidRPr="00452D62" w:rsidRDefault="00823785" w:rsidP="006453B9">
            <w:pPr>
              <w:rPr>
                <w:sz w:val="22"/>
                <w:szCs w:val="22"/>
              </w:rPr>
            </w:pPr>
            <w:r w:rsidRPr="00452D62">
              <w:rPr>
                <w:b/>
                <w:sz w:val="22"/>
                <w:szCs w:val="22"/>
              </w:rPr>
              <w:t>Maksimali gydymo trukmė</w:t>
            </w:r>
          </w:p>
        </w:tc>
      </w:tr>
      <w:tr w:rsidR="00823785" w:rsidRPr="00452D62" w14:paraId="0AF5908D" w14:textId="77777777" w:rsidTr="006453B9">
        <w:tc>
          <w:tcPr>
            <w:tcW w:w="3544" w:type="dxa"/>
            <w:tcBorders>
              <w:top w:val="single" w:sz="4" w:space="0" w:color="000000"/>
              <w:left w:val="single" w:sz="4" w:space="0" w:color="000000"/>
              <w:bottom w:val="single" w:sz="4" w:space="0" w:color="000000"/>
              <w:right w:val="single" w:sz="4" w:space="0" w:color="000000"/>
            </w:tcBorders>
            <w:shd w:val="clear" w:color="auto" w:fill="FFFFFF"/>
          </w:tcPr>
          <w:p w14:paraId="293A3644" w14:textId="77777777" w:rsidR="00823785" w:rsidRPr="00452D62" w:rsidRDefault="00823785" w:rsidP="006453B9">
            <w:pPr>
              <w:rPr>
                <w:sz w:val="22"/>
                <w:szCs w:val="22"/>
              </w:rPr>
            </w:pPr>
            <w:r w:rsidRPr="00452D62">
              <w:rPr>
                <w:sz w:val="22"/>
                <w:szCs w:val="22"/>
              </w:rPr>
              <w:t>Venų tromboembolijos (VTE) profilaktika suaugusiems pacientams, kuriems atliekama planinė klubo arba kelio sąnario pakeitimo operacija</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3940A95E" w14:textId="77777777" w:rsidR="00823785" w:rsidRPr="00452D62" w:rsidRDefault="00823785" w:rsidP="006453B9">
            <w:pPr>
              <w:rPr>
                <w:sz w:val="22"/>
                <w:szCs w:val="22"/>
              </w:rPr>
            </w:pPr>
            <w:r w:rsidRPr="00452D62">
              <w:rPr>
                <w:sz w:val="22"/>
                <w:szCs w:val="22"/>
              </w:rPr>
              <w:t>6 097</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00AE4CC0" w14:textId="77777777" w:rsidR="00823785" w:rsidRPr="00452D62" w:rsidRDefault="00823785" w:rsidP="006453B9">
            <w:pPr>
              <w:rPr>
                <w:sz w:val="22"/>
                <w:szCs w:val="22"/>
              </w:rPr>
            </w:pPr>
            <w:r w:rsidRPr="00452D62">
              <w:rPr>
                <w:sz w:val="22"/>
                <w:szCs w:val="22"/>
              </w:rPr>
              <w:t>10 mg</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39C30DCF" w14:textId="77777777" w:rsidR="00823785" w:rsidRPr="00452D62" w:rsidRDefault="00823785" w:rsidP="006453B9">
            <w:pPr>
              <w:rPr>
                <w:sz w:val="22"/>
                <w:szCs w:val="22"/>
              </w:rPr>
            </w:pPr>
            <w:r w:rsidRPr="00452D62">
              <w:rPr>
                <w:sz w:val="22"/>
                <w:szCs w:val="22"/>
              </w:rPr>
              <w:t>39 dienos</w:t>
            </w:r>
          </w:p>
        </w:tc>
      </w:tr>
      <w:tr w:rsidR="00823785" w:rsidRPr="00452D62" w14:paraId="6D5BA313" w14:textId="77777777" w:rsidTr="006453B9">
        <w:tc>
          <w:tcPr>
            <w:tcW w:w="3544" w:type="dxa"/>
            <w:tcBorders>
              <w:top w:val="single" w:sz="4" w:space="0" w:color="000000"/>
              <w:left w:val="single" w:sz="4" w:space="0" w:color="000000"/>
              <w:bottom w:val="single" w:sz="4" w:space="0" w:color="000000"/>
              <w:right w:val="single" w:sz="4" w:space="0" w:color="000000"/>
            </w:tcBorders>
            <w:shd w:val="clear" w:color="auto" w:fill="FFFFFF"/>
          </w:tcPr>
          <w:p w14:paraId="09B721B4" w14:textId="6A87B55B" w:rsidR="00823785" w:rsidRPr="00452D62" w:rsidRDefault="00823785" w:rsidP="006453B9">
            <w:pPr>
              <w:rPr>
                <w:sz w:val="22"/>
                <w:szCs w:val="22"/>
              </w:rPr>
            </w:pPr>
            <w:r w:rsidRPr="00452D62">
              <w:rPr>
                <w:sz w:val="22"/>
                <w:szCs w:val="22"/>
              </w:rPr>
              <w:t>VTE profilaktika terapinėmis ligomis sergantiems pacientams</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5194BDDF" w14:textId="77777777" w:rsidR="00823785" w:rsidRPr="00452D62" w:rsidRDefault="00823785" w:rsidP="006453B9">
            <w:pPr>
              <w:rPr>
                <w:sz w:val="22"/>
                <w:szCs w:val="22"/>
              </w:rPr>
            </w:pPr>
            <w:r w:rsidRPr="00452D62">
              <w:rPr>
                <w:sz w:val="22"/>
                <w:szCs w:val="22"/>
              </w:rPr>
              <w:t>3 997</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5244F8CA" w14:textId="77777777" w:rsidR="00823785" w:rsidRPr="00452D62" w:rsidRDefault="00823785" w:rsidP="006453B9">
            <w:pPr>
              <w:rPr>
                <w:sz w:val="22"/>
                <w:szCs w:val="22"/>
              </w:rPr>
            </w:pPr>
            <w:r w:rsidRPr="00452D62">
              <w:rPr>
                <w:sz w:val="22"/>
                <w:szCs w:val="22"/>
              </w:rPr>
              <w:t>10 mg</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3B0942FC" w14:textId="77777777" w:rsidR="00823785" w:rsidRPr="00452D62" w:rsidRDefault="00823785" w:rsidP="006453B9">
            <w:pPr>
              <w:rPr>
                <w:sz w:val="22"/>
                <w:szCs w:val="22"/>
              </w:rPr>
            </w:pPr>
            <w:r w:rsidRPr="00452D62">
              <w:rPr>
                <w:sz w:val="22"/>
                <w:szCs w:val="22"/>
              </w:rPr>
              <w:t>39 dienos</w:t>
            </w:r>
          </w:p>
        </w:tc>
      </w:tr>
      <w:tr w:rsidR="00823785" w:rsidRPr="00452D62" w14:paraId="5432B6A5" w14:textId="77777777" w:rsidTr="006453B9">
        <w:tc>
          <w:tcPr>
            <w:tcW w:w="3544" w:type="dxa"/>
            <w:tcBorders>
              <w:top w:val="single" w:sz="4" w:space="0" w:color="000000"/>
              <w:left w:val="single" w:sz="4" w:space="0" w:color="000000"/>
              <w:bottom w:val="single" w:sz="4" w:space="0" w:color="000000"/>
              <w:right w:val="single" w:sz="4" w:space="0" w:color="000000"/>
            </w:tcBorders>
            <w:shd w:val="clear" w:color="auto" w:fill="FFFFFF"/>
          </w:tcPr>
          <w:p w14:paraId="6F8BEE76" w14:textId="0864BE13" w:rsidR="00823785" w:rsidRPr="00452D62" w:rsidRDefault="00823785" w:rsidP="006453B9">
            <w:pPr>
              <w:rPr>
                <w:sz w:val="22"/>
                <w:szCs w:val="22"/>
              </w:rPr>
            </w:pPr>
            <w:r w:rsidRPr="00452D62">
              <w:rPr>
                <w:sz w:val="22"/>
                <w:szCs w:val="22"/>
                <w:lang w:eastAsia="en-US"/>
              </w:rPr>
              <w:t xml:space="preserve">Giliųjų venų trombozės </w:t>
            </w:r>
            <w:r w:rsidR="00EA68B1" w:rsidRPr="00452D62">
              <w:rPr>
                <w:sz w:val="22"/>
                <w:szCs w:val="22"/>
                <w:lang w:eastAsia="en-US"/>
              </w:rPr>
              <w:t>(</w:t>
            </w:r>
            <w:r w:rsidRPr="00452D62">
              <w:rPr>
                <w:sz w:val="22"/>
                <w:szCs w:val="22"/>
              </w:rPr>
              <w:t>GVT</w:t>
            </w:r>
            <w:r w:rsidR="00EA68B1" w:rsidRPr="00452D62">
              <w:rPr>
                <w:sz w:val="22"/>
                <w:szCs w:val="22"/>
              </w:rPr>
              <w:t>)</w:t>
            </w:r>
            <w:r w:rsidRPr="00452D62">
              <w:rPr>
                <w:sz w:val="22"/>
                <w:szCs w:val="22"/>
              </w:rPr>
              <w:t xml:space="preserve"> bei plaučių embolijos (PE) gydymas ir pasikartojimo profilaktika</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664807B2" w14:textId="77777777" w:rsidR="00823785" w:rsidRPr="00452D62" w:rsidRDefault="00823785" w:rsidP="006453B9">
            <w:pPr>
              <w:rPr>
                <w:sz w:val="22"/>
                <w:szCs w:val="22"/>
              </w:rPr>
            </w:pPr>
            <w:r w:rsidRPr="00452D62">
              <w:rPr>
                <w:sz w:val="22"/>
                <w:szCs w:val="22"/>
              </w:rPr>
              <w:t>6 790</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745C27FB" w14:textId="77777777" w:rsidR="00823785" w:rsidRPr="00452D62" w:rsidRDefault="00823785" w:rsidP="006453B9">
            <w:pPr>
              <w:rPr>
                <w:sz w:val="22"/>
                <w:szCs w:val="22"/>
              </w:rPr>
            </w:pPr>
            <w:r w:rsidRPr="00452D62">
              <w:rPr>
                <w:sz w:val="22"/>
                <w:szCs w:val="22"/>
              </w:rPr>
              <w:t>1</w:t>
            </w:r>
            <w:r w:rsidRPr="00452D62">
              <w:rPr>
                <w:sz w:val="22"/>
                <w:szCs w:val="22"/>
              </w:rPr>
              <w:noBreakHyphen/>
              <w:t>21 diena: 30 mg</w:t>
            </w:r>
          </w:p>
          <w:p w14:paraId="0E76ACBE" w14:textId="77777777" w:rsidR="00823785" w:rsidRPr="00452D62" w:rsidRDefault="00823785" w:rsidP="006453B9">
            <w:pPr>
              <w:rPr>
                <w:sz w:val="22"/>
                <w:szCs w:val="22"/>
              </w:rPr>
            </w:pPr>
            <w:r w:rsidRPr="00452D62">
              <w:rPr>
                <w:sz w:val="22"/>
                <w:szCs w:val="22"/>
              </w:rPr>
              <w:t>22 diena ir vėliau: 20 mg</w:t>
            </w:r>
          </w:p>
          <w:p w14:paraId="79CD9F81" w14:textId="77777777" w:rsidR="00823785" w:rsidRPr="00452D62" w:rsidRDefault="00823785" w:rsidP="006453B9">
            <w:pPr>
              <w:rPr>
                <w:sz w:val="22"/>
                <w:szCs w:val="22"/>
              </w:rPr>
            </w:pPr>
            <w:r w:rsidRPr="00452D62">
              <w:rPr>
                <w:sz w:val="22"/>
                <w:szCs w:val="22"/>
              </w:rPr>
              <w:t>Ne anksčiau kaip po 6 mėnesių: 10 mg arba 20 mg</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606D17B0" w14:textId="77777777" w:rsidR="00823785" w:rsidRPr="00452D62" w:rsidRDefault="00823785" w:rsidP="006453B9">
            <w:pPr>
              <w:rPr>
                <w:sz w:val="22"/>
                <w:szCs w:val="22"/>
              </w:rPr>
            </w:pPr>
            <w:r w:rsidRPr="00452D62">
              <w:rPr>
                <w:sz w:val="22"/>
                <w:szCs w:val="22"/>
              </w:rPr>
              <w:t>21 mėnesis</w:t>
            </w:r>
          </w:p>
        </w:tc>
      </w:tr>
      <w:tr w:rsidR="00624062" w:rsidRPr="00452D62" w14:paraId="29761AAB" w14:textId="77777777" w:rsidTr="006453B9">
        <w:tc>
          <w:tcPr>
            <w:tcW w:w="3544" w:type="dxa"/>
            <w:tcBorders>
              <w:top w:val="single" w:sz="4" w:space="0" w:color="000000"/>
              <w:left w:val="single" w:sz="4" w:space="0" w:color="000000"/>
              <w:bottom w:val="single" w:sz="4" w:space="0" w:color="000000"/>
              <w:right w:val="single" w:sz="4" w:space="0" w:color="000000"/>
            </w:tcBorders>
            <w:shd w:val="clear" w:color="auto" w:fill="FFFFFF"/>
          </w:tcPr>
          <w:p w14:paraId="34905E8F" w14:textId="100E7701" w:rsidR="00624062" w:rsidRPr="00452D62" w:rsidRDefault="00624062" w:rsidP="00624062">
            <w:pPr>
              <w:rPr>
                <w:sz w:val="22"/>
                <w:szCs w:val="22"/>
                <w:lang w:eastAsia="en-US"/>
              </w:rPr>
            </w:pPr>
            <w:r w:rsidRPr="00452D62">
              <w:rPr>
                <w:sz w:val="22"/>
                <w:szCs w:val="22"/>
              </w:rPr>
              <w:t>VTE gydymas ir pasikartojančios VTE profilaktika išnešiotiems naujagimiams ir jaunesniems kaip 18 metų amžiaus vaikams</w:t>
            </w:r>
            <w:r w:rsidR="00217FE5">
              <w:rPr>
                <w:sz w:val="22"/>
                <w:szCs w:val="22"/>
              </w:rPr>
              <w:t xml:space="preserve"> ir paaugliams</w:t>
            </w:r>
            <w:r w:rsidRPr="00452D62">
              <w:rPr>
                <w:sz w:val="22"/>
                <w:szCs w:val="22"/>
              </w:rPr>
              <w:t>, pradėjus standartinį gydymą antikoaguliantais</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1886B9E" w14:textId="77A10FF1" w:rsidR="00624062" w:rsidRPr="00452D62" w:rsidRDefault="00624062" w:rsidP="00624062">
            <w:pPr>
              <w:rPr>
                <w:sz w:val="22"/>
                <w:szCs w:val="22"/>
              </w:rPr>
            </w:pPr>
            <w:r w:rsidRPr="00452D62">
              <w:rPr>
                <w:sz w:val="22"/>
                <w:szCs w:val="22"/>
              </w:rPr>
              <w:t>329</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099553CF" w14:textId="4E2FFAA1" w:rsidR="00624062" w:rsidRPr="00452D62" w:rsidRDefault="00624062" w:rsidP="00624062">
            <w:pPr>
              <w:rPr>
                <w:sz w:val="22"/>
                <w:szCs w:val="22"/>
              </w:rPr>
            </w:pPr>
            <w:r w:rsidRPr="00452D62">
              <w:rPr>
                <w:sz w:val="22"/>
                <w:szCs w:val="22"/>
              </w:rPr>
              <w:t>Pagal kūno svorį parenkama dozė, siekiant panašios ekspozicijos kaip ir suaugusiems, vieną kartą per parą vartojanti</w:t>
            </w:r>
            <w:r w:rsidR="00756F78" w:rsidRPr="00452D62">
              <w:rPr>
                <w:sz w:val="22"/>
                <w:szCs w:val="22"/>
              </w:rPr>
              <w:t>ems 20 </w:t>
            </w:r>
            <w:r w:rsidRPr="00452D62">
              <w:rPr>
                <w:sz w:val="22"/>
                <w:szCs w:val="22"/>
              </w:rPr>
              <w:t>mg rivaroksabano nuo GVT</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40BCE3A5" w14:textId="40F9B8CA" w:rsidR="00624062" w:rsidRPr="00452D62" w:rsidRDefault="00624062" w:rsidP="00624062">
            <w:pPr>
              <w:rPr>
                <w:sz w:val="22"/>
                <w:szCs w:val="22"/>
              </w:rPr>
            </w:pPr>
            <w:r w:rsidRPr="00452D62">
              <w:rPr>
                <w:sz w:val="22"/>
                <w:szCs w:val="22"/>
              </w:rPr>
              <w:t>12</w:t>
            </w:r>
            <w:r w:rsidR="00D341F9" w:rsidRPr="00452D62">
              <w:rPr>
                <w:sz w:val="22"/>
                <w:szCs w:val="22"/>
              </w:rPr>
              <w:t> </w:t>
            </w:r>
            <w:r w:rsidRPr="00452D62">
              <w:rPr>
                <w:sz w:val="22"/>
                <w:szCs w:val="22"/>
              </w:rPr>
              <w:t>mėnesių</w:t>
            </w:r>
          </w:p>
        </w:tc>
      </w:tr>
      <w:tr w:rsidR="00823785" w:rsidRPr="00452D62" w14:paraId="39B8AC70" w14:textId="77777777" w:rsidTr="006453B9">
        <w:tc>
          <w:tcPr>
            <w:tcW w:w="3544" w:type="dxa"/>
            <w:tcBorders>
              <w:top w:val="single" w:sz="4" w:space="0" w:color="000000"/>
              <w:left w:val="single" w:sz="4" w:space="0" w:color="000000"/>
              <w:bottom w:val="single" w:sz="4" w:space="0" w:color="000000"/>
              <w:right w:val="single" w:sz="4" w:space="0" w:color="000000"/>
            </w:tcBorders>
            <w:shd w:val="clear" w:color="auto" w:fill="FFFFFF"/>
          </w:tcPr>
          <w:p w14:paraId="2DAB857F" w14:textId="77777777" w:rsidR="00823785" w:rsidRPr="00452D62" w:rsidRDefault="00823785" w:rsidP="006453B9">
            <w:pPr>
              <w:rPr>
                <w:sz w:val="22"/>
                <w:szCs w:val="22"/>
              </w:rPr>
            </w:pPr>
            <w:r w:rsidRPr="00452D62">
              <w:rPr>
                <w:sz w:val="22"/>
                <w:szCs w:val="22"/>
              </w:rPr>
              <w:t>Insulto ir sisteminės embolijos profilaktika pacientams, kuriems yra su vožtuvų liga nesusijęs prieširdžių virpėjimas</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82D1C0D" w14:textId="77777777" w:rsidR="00823785" w:rsidRPr="00452D62" w:rsidRDefault="00823785" w:rsidP="006453B9">
            <w:pPr>
              <w:rPr>
                <w:sz w:val="22"/>
                <w:szCs w:val="22"/>
              </w:rPr>
            </w:pPr>
            <w:r w:rsidRPr="00452D62">
              <w:rPr>
                <w:sz w:val="22"/>
                <w:szCs w:val="22"/>
              </w:rPr>
              <w:t>7 750</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6599DA10" w14:textId="77777777" w:rsidR="00823785" w:rsidRPr="00452D62" w:rsidRDefault="00823785" w:rsidP="006453B9">
            <w:pPr>
              <w:rPr>
                <w:sz w:val="22"/>
                <w:szCs w:val="22"/>
              </w:rPr>
            </w:pPr>
            <w:r w:rsidRPr="00452D62">
              <w:rPr>
                <w:sz w:val="22"/>
                <w:szCs w:val="22"/>
              </w:rPr>
              <w:t>20 mg</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5A4F929E" w14:textId="77777777" w:rsidR="00823785" w:rsidRPr="00452D62" w:rsidRDefault="00823785" w:rsidP="006453B9">
            <w:pPr>
              <w:rPr>
                <w:sz w:val="22"/>
                <w:szCs w:val="22"/>
              </w:rPr>
            </w:pPr>
            <w:r w:rsidRPr="00452D62">
              <w:rPr>
                <w:sz w:val="22"/>
                <w:szCs w:val="22"/>
              </w:rPr>
              <w:t>41 mėnesis</w:t>
            </w:r>
          </w:p>
        </w:tc>
      </w:tr>
      <w:tr w:rsidR="00823785" w:rsidRPr="00452D62" w14:paraId="355A1584" w14:textId="77777777" w:rsidTr="006453B9">
        <w:tc>
          <w:tcPr>
            <w:tcW w:w="3544" w:type="dxa"/>
            <w:tcBorders>
              <w:top w:val="single" w:sz="4" w:space="0" w:color="000000"/>
              <w:left w:val="single" w:sz="4" w:space="0" w:color="000000"/>
              <w:bottom w:val="single" w:sz="4" w:space="0" w:color="000000"/>
              <w:right w:val="single" w:sz="4" w:space="0" w:color="000000"/>
            </w:tcBorders>
            <w:shd w:val="clear" w:color="auto" w:fill="FFFFFF"/>
          </w:tcPr>
          <w:p w14:paraId="7CBC13E2" w14:textId="77777777" w:rsidR="00823785" w:rsidRPr="00452D62" w:rsidRDefault="00823785" w:rsidP="006453B9">
            <w:pPr>
              <w:rPr>
                <w:sz w:val="22"/>
                <w:szCs w:val="22"/>
              </w:rPr>
            </w:pPr>
            <w:r w:rsidRPr="00452D62">
              <w:rPr>
                <w:sz w:val="22"/>
                <w:szCs w:val="22"/>
              </w:rPr>
              <w:t>Aterotrombozinių reiškinių profilaktika pacientams, patyrusiems ŪKS</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5653C514" w14:textId="77777777" w:rsidR="00823785" w:rsidRPr="00452D62" w:rsidRDefault="00823785" w:rsidP="006453B9">
            <w:pPr>
              <w:rPr>
                <w:sz w:val="22"/>
                <w:szCs w:val="22"/>
              </w:rPr>
            </w:pPr>
            <w:r w:rsidRPr="00452D62">
              <w:rPr>
                <w:sz w:val="22"/>
                <w:szCs w:val="22"/>
              </w:rPr>
              <w:t>10 225</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66BC7365" w14:textId="77777777" w:rsidR="00823785" w:rsidRPr="00452D62" w:rsidRDefault="00823785" w:rsidP="006453B9">
            <w:pPr>
              <w:rPr>
                <w:sz w:val="22"/>
                <w:szCs w:val="22"/>
              </w:rPr>
            </w:pPr>
            <w:r w:rsidRPr="00452D62">
              <w:rPr>
                <w:sz w:val="22"/>
                <w:szCs w:val="22"/>
              </w:rPr>
              <w:t>Atitinkamai 5 mg arba 10 mg, kartu vartojant arba acetilsalicilo rūgšties, arba acetilsalicilo rūgšties ir klopidogrelio ar tiklopidino</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66A3CF71" w14:textId="77777777" w:rsidR="00823785" w:rsidRPr="00452D62" w:rsidRDefault="00823785" w:rsidP="006453B9">
            <w:pPr>
              <w:rPr>
                <w:sz w:val="22"/>
                <w:szCs w:val="22"/>
              </w:rPr>
            </w:pPr>
            <w:r w:rsidRPr="00452D62">
              <w:rPr>
                <w:sz w:val="22"/>
                <w:szCs w:val="22"/>
              </w:rPr>
              <w:t>31 mėnesis</w:t>
            </w:r>
          </w:p>
        </w:tc>
      </w:tr>
      <w:tr w:rsidR="00823785" w:rsidRPr="00452D62" w14:paraId="283AF916" w14:textId="77777777" w:rsidTr="006453B9">
        <w:tc>
          <w:tcPr>
            <w:tcW w:w="3544" w:type="dxa"/>
            <w:vMerge w:val="restart"/>
            <w:tcBorders>
              <w:top w:val="single" w:sz="4" w:space="0" w:color="000000"/>
              <w:left w:val="single" w:sz="4" w:space="0" w:color="000000"/>
              <w:right w:val="single" w:sz="4" w:space="0" w:color="000000"/>
            </w:tcBorders>
            <w:shd w:val="clear" w:color="auto" w:fill="FFFFFF"/>
          </w:tcPr>
          <w:p w14:paraId="5BF83F45" w14:textId="77777777" w:rsidR="00823785" w:rsidRPr="00452D62" w:rsidRDefault="00823785" w:rsidP="006453B9">
            <w:pPr>
              <w:rPr>
                <w:sz w:val="22"/>
                <w:szCs w:val="22"/>
              </w:rPr>
            </w:pPr>
            <w:r w:rsidRPr="00452D62">
              <w:rPr>
                <w:sz w:val="22"/>
                <w:szCs w:val="22"/>
              </w:rPr>
              <w:t>Aterotrombozinių reiškinių profilaktika pacientams, sergantiems VAL arba PAL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5DA01D7F" w14:textId="77777777" w:rsidR="00823785" w:rsidRPr="00452D62" w:rsidRDefault="00823785" w:rsidP="006453B9">
            <w:pPr>
              <w:rPr>
                <w:sz w:val="22"/>
                <w:szCs w:val="22"/>
              </w:rPr>
            </w:pPr>
            <w:r w:rsidRPr="00452D62">
              <w:rPr>
                <w:sz w:val="22"/>
                <w:szCs w:val="22"/>
              </w:rPr>
              <w:t>18 244</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62986C66" w14:textId="77777777" w:rsidR="00823785" w:rsidRPr="00452D62" w:rsidRDefault="00823785" w:rsidP="006453B9">
            <w:pPr>
              <w:rPr>
                <w:sz w:val="22"/>
                <w:szCs w:val="22"/>
              </w:rPr>
            </w:pPr>
            <w:r w:rsidRPr="00452D62">
              <w:rPr>
                <w:sz w:val="22"/>
                <w:szCs w:val="22"/>
              </w:rPr>
              <w:t xml:space="preserve">5 mg kartu su ASR arba vien 10 mg rivaroksabano </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0C83680A" w14:textId="77777777" w:rsidR="00823785" w:rsidRPr="00452D62" w:rsidRDefault="00823785" w:rsidP="006453B9">
            <w:pPr>
              <w:rPr>
                <w:sz w:val="22"/>
                <w:szCs w:val="22"/>
              </w:rPr>
            </w:pPr>
            <w:r w:rsidRPr="00452D62">
              <w:rPr>
                <w:sz w:val="22"/>
                <w:szCs w:val="22"/>
              </w:rPr>
              <w:t>47 mėnesiai</w:t>
            </w:r>
          </w:p>
        </w:tc>
      </w:tr>
      <w:tr w:rsidR="00823785" w:rsidRPr="00452D62" w14:paraId="6F2AC33B" w14:textId="77777777" w:rsidTr="006453B9">
        <w:tc>
          <w:tcPr>
            <w:tcW w:w="3544" w:type="dxa"/>
            <w:vMerge/>
            <w:tcBorders>
              <w:left w:val="single" w:sz="4" w:space="0" w:color="000000"/>
              <w:bottom w:val="single" w:sz="4" w:space="0" w:color="000000"/>
              <w:right w:val="single" w:sz="4" w:space="0" w:color="000000"/>
            </w:tcBorders>
            <w:shd w:val="clear" w:color="auto" w:fill="FFFFFF"/>
          </w:tcPr>
          <w:p w14:paraId="79729655" w14:textId="77777777" w:rsidR="00823785" w:rsidRPr="00452D62" w:rsidRDefault="00823785" w:rsidP="006453B9">
            <w:pPr>
              <w:rPr>
                <w:sz w:val="22"/>
                <w:szCs w:val="2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3BFE36D0" w14:textId="2464B1C0" w:rsidR="00823785" w:rsidRPr="00452D62" w:rsidRDefault="00823785" w:rsidP="006453B9">
            <w:pPr>
              <w:rPr>
                <w:sz w:val="22"/>
                <w:szCs w:val="22"/>
              </w:rPr>
            </w:pPr>
            <w:r w:rsidRPr="00452D62">
              <w:rPr>
                <w:sz w:val="22"/>
                <w:szCs w:val="22"/>
              </w:rPr>
              <w:t>3</w:t>
            </w:r>
            <w:r w:rsidR="00EA68B1" w:rsidRPr="00452D62">
              <w:rPr>
                <w:sz w:val="22"/>
                <w:szCs w:val="22"/>
              </w:rPr>
              <w:t xml:space="preserve"> </w:t>
            </w:r>
            <w:r w:rsidRPr="00452D62">
              <w:rPr>
                <w:sz w:val="22"/>
                <w:szCs w:val="22"/>
              </w:rPr>
              <w:t>256**</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22898DD3" w14:textId="77777777" w:rsidR="00823785" w:rsidRPr="00452D62" w:rsidRDefault="00823785" w:rsidP="006453B9">
            <w:pPr>
              <w:rPr>
                <w:sz w:val="22"/>
                <w:szCs w:val="22"/>
              </w:rPr>
            </w:pPr>
            <w:r w:rsidRPr="00452D62">
              <w:rPr>
                <w:sz w:val="22"/>
                <w:szCs w:val="22"/>
              </w:rPr>
              <w:t>5 mg kartu su acetilsalicilo rūgštimi</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12129D57" w14:textId="77777777" w:rsidR="00823785" w:rsidRPr="00452D62" w:rsidRDefault="00823785" w:rsidP="006453B9">
            <w:pPr>
              <w:rPr>
                <w:sz w:val="22"/>
                <w:szCs w:val="22"/>
              </w:rPr>
            </w:pPr>
            <w:r w:rsidRPr="00452D62">
              <w:rPr>
                <w:sz w:val="22"/>
                <w:szCs w:val="22"/>
              </w:rPr>
              <w:t>42 mėnesiai</w:t>
            </w:r>
          </w:p>
        </w:tc>
      </w:tr>
    </w:tbl>
    <w:p w14:paraId="5690AA37" w14:textId="77777777" w:rsidR="00823785" w:rsidRPr="00452D62" w:rsidRDefault="00823785" w:rsidP="00823785">
      <w:pPr>
        <w:rPr>
          <w:sz w:val="22"/>
          <w:szCs w:val="22"/>
        </w:rPr>
      </w:pPr>
      <w:r w:rsidRPr="00452D62">
        <w:rPr>
          <w:sz w:val="22"/>
          <w:szCs w:val="22"/>
        </w:rPr>
        <w:t>*Pacientai, pavartoję mažiausiai vieną rivaroksabano dozę.</w:t>
      </w:r>
    </w:p>
    <w:p w14:paraId="06DEDC85" w14:textId="77777777" w:rsidR="00823785" w:rsidRPr="00452D62" w:rsidRDefault="00823785" w:rsidP="00823785">
      <w:pPr>
        <w:rPr>
          <w:sz w:val="22"/>
          <w:szCs w:val="22"/>
        </w:rPr>
      </w:pPr>
      <w:r w:rsidRPr="00452D62">
        <w:rPr>
          <w:sz w:val="22"/>
          <w:szCs w:val="22"/>
        </w:rPr>
        <w:t>**Tyrimo VOYAGER PAD duomenys.</w:t>
      </w:r>
    </w:p>
    <w:p w14:paraId="2EBE9A4E" w14:textId="77777777" w:rsidR="00823785" w:rsidRPr="00452D62" w:rsidRDefault="00823785" w:rsidP="00823785">
      <w:pPr>
        <w:rPr>
          <w:sz w:val="22"/>
          <w:szCs w:val="22"/>
        </w:rPr>
      </w:pPr>
    </w:p>
    <w:p w14:paraId="613280D2" w14:textId="77777777" w:rsidR="00823785" w:rsidRPr="00452D62" w:rsidRDefault="00823785" w:rsidP="00823785">
      <w:pPr>
        <w:rPr>
          <w:sz w:val="22"/>
          <w:szCs w:val="22"/>
        </w:rPr>
      </w:pPr>
    </w:p>
    <w:p w14:paraId="6984D400" w14:textId="0181A09B" w:rsidR="00823785" w:rsidRPr="00452D62" w:rsidRDefault="00823785" w:rsidP="00823785">
      <w:pPr>
        <w:rPr>
          <w:sz w:val="22"/>
          <w:szCs w:val="22"/>
        </w:rPr>
      </w:pPr>
      <w:r w:rsidRPr="00452D62">
        <w:rPr>
          <w:sz w:val="22"/>
          <w:szCs w:val="22"/>
        </w:rPr>
        <w:t>Nepageidaujama reakcija, apie kurią dažniausiai gauta pranešimų rivaroksabano vartojantiems pacientams, buvo kraujavimas (2 lentelė, žr. 4.4 skyrių ir toliau pateiktą poskyrį „Atrinktų nepageidaujamų reakcijų apibūdinimas“). Kraujavimai, apie kuriuos pranešta dažniausiai, buvo kraujavimas iš nosies (4,5 %) ir kraujavimas iš virškinimo trakto (3,8 %).</w:t>
      </w:r>
    </w:p>
    <w:p w14:paraId="27C5EA6E" w14:textId="77777777" w:rsidR="00823785" w:rsidRPr="00452D62" w:rsidRDefault="00823785" w:rsidP="00823785">
      <w:pPr>
        <w:rPr>
          <w:sz w:val="22"/>
          <w:szCs w:val="22"/>
        </w:rPr>
      </w:pPr>
    </w:p>
    <w:p w14:paraId="6EBF3D0C" w14:textId="0FE55E17" w:rsidR="00823785" w:rsidRPr="00452D62" w:rsidRDefault="00823785" w:rsidP="00823785">
      <w:pPr>
        <w:rPr>
          <w:b/>
          <w:sz w:val="22"/>
          <w:szCs w:val="22"/>
        </w:rPr>
      </w:pPr>
      <w:r w:rsidRPr="00452D62">
        <w:rPr>
          <w:b/>
          <w:sz w:val="22"/>
          <w:szCs w:val="22"/>
        </w:rPr>
        <w:t>2 lentelė. Kraujavimo* ir anemijos reiškinių dažniai, nustatyti rivaroksabaną vartojusiems pacientams, dalyvavusiems užbaigtuose III fazės tyrimuose su suaugusiais</w:t>
      </w:r>
      <w:r w:rsidR="00756F78" w:rsidRPr="00452D62">
        <w:rPr>
          <w:b/>
          <w:sz w:val="22"/>
          <w:szCs w:val="22"/>
        </w:rPr>
        <w:t xml:space="preserve"> ir vaikais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8"/>
        <w:gridCol w:w="2919"/>
        <w:gridCol w:w="2919"/>
      </w:tblGrid>
      <w:tr w:rsidR="00823785" w:rsidRPr="00452D62" w14:paraId="4EF88B38" w14:textId="77777777" w:rsidTr="006453B9">
        <w:tc>
          <w:tcPr>
            <w:tcW w:w="2918" w:type="dxa"/>
            <w:shd w:val="clear" w:color="auto" w:fill="auto"/>
          </w:tcPr>
          <w:p w14:paraId="3995F351" w14:textId="77777777" w:rsidR="00823785" w:rsidRPr="00452D62" w:rsidRDefault="00823785" w:rsidP="006453B9">
            <w:pPr>
              <w:rPr>
                <w:b/>
                <w:sz w:val="22"/>
                <w:szCs w:val="22"/>
              </w:rPr>
            </w:pPr>
            <w:r w:rsidRPr="00452D62">
              <w:rPr>
                <w:b/>
                <w:sz w:val="22"/>
                <w:szCs w:val="22"/>
              </w:rPr>
              <w:t>Indikacija</w:t>
            </w:r>
          </w:p>
        </w:tc>
        <w:tc>
          <w:tcPr>
            <w:tcW w:w="2919" w:type="dxa"/>
            <w:shd w:val="clear" w:color="auto" w:fill="auto"/>
          </w:tcPr>
          <w:p w14:paraId="48A42AF0" w14:textId="77777777" w:rsidR="00823785" w:rsidRPr="00452D62" w:rsidRDefault="00823785" w:rsidP="006453B9">
            <w:pPr>
              <w:rPr>
                <w:b/>
                <w:sz w:val="22"/>
                <w:szCs w:val="22"/>
              </w:rPr>
            </w:pPr>
            <w:r w:rsidRPr="00452D62">
              <w:rPr>
                <w:b/>
                <w:sz w:val="22"/>
                <w:szCs w:val="22"/>
              </w:rPr>
              <w:t>Bet koks kraujavimas</w:t>
            </w:r>
          </w:p>
        </w:tc>
        <w:tc>
          <w:tcPr>
            <w:tcW w:w="2919" w:type="dxa"/>
            <w:shd w:val="clear" w:color="auto" w:fill="auto"/>
          </w:tcPr>
          <w:p w14:paraId="5D102216" w14:textId="77777777" w:rsidR="00823785" w:rsidRPr="00452D62" w:rsidRDefault="00823785" w:rsidP="006453B9">
            <w:pPr>
              <w:rPr>
                <w:b/>
                <w:sz w:val="22"/>
                <w:szCs w:val="22"/>
              </w:rPr>
            </w:pPr>
            <w:r w:rsidRPr="00452D62">
              <w:rPr>
                <w:b/>
                <w:sz w:val="22"/>
                <w:szCs w:val="22"/>
              </w:rPr>
              <w:t>Anemija</w:t>
            </w:r>
          </w:p>
        </w:tc>
      </w:tr>
      <w:tr w:rsidR="00823785" w:rsidRPr="00452D62" w14:paraId="61433EAE" w14:textId="77777777" w:rsidTr="006453B9">
        <w:tc>
          <w:tcPr>
            <w:tcW w:w="2918" w:type="dxa"/>
            <w:shd w:val="clear" w:color="auto" w:fill="auto"/>
          </w:tcPr>
          <w:p w14:paraId="3001CC65" w14:textId="77777777" w:rsidR="00823785" w:rsidRPr="00452D62" w:rsidRDefault="00823785" w:rsidP="006453B9">
            <w:pPr>
              <w:rPr>
                <w:sz w:val="22"/>
                <w:szCs w:val="22"/>
              </w:rPr>
            </w:pPr>
            <w:r w:rsidRPr="00452D62">
              <w:rPr>
                <w:sz w:val="22"/>
                <w:szCs w:val="22"/>
              </w:rPr>
              <w:t>Venų tromboembolijos (VTE) profilaktika suaugusiems pacientams, kuriems atliekama planinė klubo arba kelio sąnario pakeitimo operacija</w:t>
            </w:r>
          </w:p>
        </w:tc>
        <w:tc>
          <w:tcPr>
            <w:tcW w:w="2919" w:type="dxa"/>
            <w:shd w:val="clear" w:color="auto" w:fill="auto"/>
          </w:tcPr>
          <w:p w14:paraId="500B0B7E" w14:textId="64FB0D1C" w:rsidR="00823785" w:rsidRPr="00452D62" w:rsidRDefault="00823785" w:rsidP="006453B9">
            <w:pPr>
              <w:rPr>
                <w:sz w:val="22"/>
                <w:szCs w:val="22"/>
              </w:rPr>
            </w:pPr>
            <w:r w:rsidRPr="00452D62">
              <w:rPr>
                <w:sz w:val="22"/>
                <w:szCs w:val="22"/>
              </w:rPr>
              <w:t>6,8 % pacientų</w:t>
            </w:r>
          </w:p>
        </w:tc>
        <w:tc>
          <w:tcPr>
            <w:tcW w:w="2919" w:type="dxa"/>
            <w:shd w:val="clear" w:color="auto" w:fill="auto"/>
          </w:tcPr>
          <w:p w14:paraId="52C4C194" w14:textId="0E32CADC" w:rsidR="00823785" w:rsidRPr="00452D62" w:rsidRDefault="00823785" w:rsidP="006453B9">
            <w:pPr>
              <w:rPr>
                <w:sz w:val="22"/>
                <w:szCs w:val="22"/>
              </w:rPr>
            </w:pPr>
            <w:r w:rsidRPr="00452D62">
              <w:rPr>
                <w:sz w:val="22"/>
                <w:szCs w:val="22"/>
              </w:rPr>
              <w:t>5,9 % pacientų</w:t>
            </w:r>
          </w:p>
        </w:tc>
      </w:tr>
      <w:tr w:rsidR="00823785" w:rsidRPr="00452D62" w14:paraId="77673285" w14:textId="77777777" w:rsidTr="006453B9">
        <w:tc>
          <w:tcPr>
            <w:tcW w:w="2918" w:type="dxa"/>
            <w:shd w:val="clear" w:color="auto" w:fill="auto"/>
          </w:tcPr>
          <w:p w14:paraId="6BC872F9" w14:textId="77777777" w:rsidR="00823785" w:rsidRPr="00452D62" w:rsidRDefault="00823785" w:rsidP="006453B9">
            <w:pPr>
              <w:rPr>
                <w:sz w:val="22"/>
                <w:szCs w:val="22"/>
              </w:rPr>
            </w:pPr>
            <w:r w:rsidRPr="00452D62">
              <w:rPr>
                <w:sz w:val="22"/>
                <w:szCs w:val="22"/>
              </w:rPr>
              <w:t>VTE profilaktika terapinėmis ligomis sergantiems pacientams</w:t>
            </w:r>
          </w:p>
        </w:tc>
        <w:tc>
          <w:tcPr>
            <w:tcW w:w="2919" w:type="dxa"/>
            <w:shd w:val="clear" w:color="auto" w:fill="auto"/>
          </w:tcPr>
          <w:p w14:paraId="03EFAB87" w14:textId="4D9D1723" w:rsidR="00823785" w:rsidRPr="00452D62" w:rsidRDefault="00823785" w:rsidP="006453B9">
            <w:pPr>
              <w:rPr>
                <w:sz w:val="22"/>
                <w:szCs w:val="22"/>
              </w:rPr>
            </w:pPr>
            <w:r w:rsidRPr="00452D62">
              <w:rPr>
                <w:sz w:val="22"/>
                <w:szCs w:val="22"/>
              </w:rPr>
              <w:t>12,6 % pacientų</w:t>
            </w:r>
          </w:p>
        </w:tc>
        <w:tc>
          <w:tcPr>
            <w:tcW w:w="2919" w:type="dxa"/>
            <w:shd w:val="clear" w:color="auto" w:fill="auto"/>
          </w:tcPr>
          <w:p w14:paraId="1C941145" w14:textId="1E8D82EB" w:rsidR="00823785" w:rsidRPr="00452D62" w:rsidRDefault="00823785" w:rsidP="006453B9">
            <w:pPr>
              <w:rPr>
                <w:sz w:val="22"/>
                <w:szCs w:val="22"/>
              </w:rPr>
            </w:pPr>
            <w:r w:rsidRPr="00452D62">
              <w:rPr>
                <w:sz w:val="22"/>
                <w:szCs w:val="22"/>
              </w:rPr>
              <w:t>2,1 % pacientų</w:t>
            </w:r>
          </w:p>
        </w:tc>
      </w:tr>
      <w:tr w:rsidR="00823785" w:rsidRPr="00452D62" w14:paraId="13FFA059" w14:textId="77777777" w:rsidTr="006453B9">
        <w:tc>
          <w:tcPr>
            <w:tcW w:w="2918" w:type="dxa"/>
            <w:shd w:val="clear" w:color="auto" w:fill="auto"/>
          </w:tcPr>
          <w:p w14:paraId="4D0A09D5" w14:textId="77777777" w:rsidR="00823785" w:rsidRPr="00452D62" w:rsidRDefault="00823785" w:rsidP="006453B9">
            <w:pPr>
              <w:rPr>
                <w:sz w:val="22"/>
                <w:szCs w:val="22"/>
              </w:rPr>
            </w:pPr>
            <w:r w:rsidRPr="00452D62">
              <w:rPr>
                <w:sz w:val="22"/>
                <w:szCs w:val="22"/>
              </w:rPr>
              <w:t>GVT bei PE gydymas ir pasikartojimo profilaktika</w:t>
            </w:r>
          </w:p>
        </w:tc>
        <w:tc>
          <w:tcPr>
            <w:tcW w:w="2919" w:type="dxa"/>
            <w:shd w:val="clear" w:color="auto" w:fill="auto"/>
          </w:tcPr>
          <w:p w14:paraId="1528116A" w14:textId="35E425BF" w:rsidR="00823785" w:rsidRPr="00452D62" w:rsidRDefault="00823785" w:rsidP="006453B9">
            <w:pPr>
              <w:rPr>
                <w:sz w:val="22"/>
                <w:szCs w:val="22"/>
              </w:rPr>
            </w:pPr>
            <w:r w:rsidRPr="00452D62">
              <w:rPr>
                <w:sz w:val="22"/>
                <w:szCs w:val="22"/>
              </w:rPr>
              <w:t>23 % pacientų</w:t>
            </w:r>
          </w:p>
        </w:tc>
        <w:tc>
          <w:tcPr>
            <w:tcW w:w="2919" w:type="dxa"/>
            <w:shd w:val="clear" w:color="auto" w:fill="auto"/>
          </w:tcPr>
          <w:p w14:paraId="3D30CB9A" w14:textId="0C88E8F5" w:rsidR="00823785" w:rsidRPr="00452D62" w:rsidRDefault="00823785" w:rsidP="006453B9">
            <w:pPr>
              <w:rPr>
                <w:sz w:val="22"/>
                <w:szCs w:val="22"/>
              </w:rPr>
            </w:pPr>
            <w:r w:rsidRPr="00452D62">
              <w:rPr>
                <w:sz w:val="22"/>
                <w:szCs w:val="22"/>
              </w:rPr>
              <w:t>1,6 % pacientų</w:t>
            </w:r>
          </w:p>
        </w:tc>
      </w:tr>
      <w:tr w:rsidR="00756F78" w:rsidRPr="00452D62" w14:paraId="184B1F08" w14:textId="77777777" w:rsidTr="00AE1B80">
        <w:tc>
          <w:tcPr>
            <w:tcW w:w="2918" w:type="dxa"/>
            <w:shd w:val="clear" w:color="auto" w:fill="auto"/>
          </w:tcPr>
          <w:p w14:paraId="2864AD49" w14:textId="0EECF448" w:rsidR="00756F78" w:rsidRPr="00452D62" w:rsidRDefault="00756F78" w:rsidP="00756F78">
            <w:pPr>
              <w:rPr>
                <w:sz w:val="22"/>
                <w:szCs w:val="22"/>
              </w:rPr>
            </w:pPr>
            <w:r w:rsidRPr="00452D62">
              <w:rPr>
                <w:sz w:val="22"/>
                <w:szCs w:val="22"/>
              </w:rPr>
              <w:t>VTE gydymas ir pasikartojančios VTE profilaktika išnešiotiems naujagimiams ir jaunesniems kaip 18 metų amžiaus vaikams</w:t>
            </w:r>
            <w:r w:rsidR="00217FE5">
              <w:rPr>
                <w:sz w:val="22"/>
                <w:szCs w:val="22"/>
              </w:rPr>
              <w:t xml:space="preserve"> ir paaugliams</w:t>
            </w:r>
            <w:r w:rsidRPr="00452D62">
              <w:rPr>
                <w:sz w:val="22"/>
                <w:szCs w:val="22"/>
              </w:rPr>
              <w:t>, pradėjus standartinį gydymą antikoaguliantais</w:t>
            </w:r>
          </w:p>
        </w:tc>
        <w:tc>
          <w:tcPr>
            <w:tcW w:w="2919" w:type="dxa"/>
            <w:shd w:val="clear" w:color="auto" w:fill="auto"/>
          </w:tcPr>
          <w:p w14:paraId="39589FFD" w14:textId="4EF08955" w:rsidR="00756F78" w:rsidRPr="00452D62" w:rsidRDefault="00756F78" w:rsidP="00756F78">
            <w:pPr>
              <w:rPr>
                <w:sz w:val="22"/>
                <w:szCs w:val="22"/>
              </w:rPr>
            </w:pPr>
            <w:r w:rsidRPr="00452D62">
              <w:rPr>
                <w:sz w:val="22"/>
                <w:szCs w:val="22"/>
              </w:rPr>
              <w:t>39,5</w:t>
            </w:r>
            <w:r w:rsidR="008C3DF7">
              <w:rPr>
                <w:sz w:val="22"/>
                <w:szCs w:val="22"/>
              </w:rPr>
              <w:t> %</w:t>
            </w:r>
            <w:r w:rsidRPr="00452D62">
              <w:rPr>
                <w:sz w:val="22"/>
                <w:szCs w:val="22"/>
              </w:rPr>
              <w:t> pacientų</w:t>
            </w:r>
          </w:p>
        </w:tc>
        <w:tc>
          <w:tcPr>
            <w:tcW w:w="2919" w:type="dxa"/>
            <w:shd w:val="clear" w:color="auto" w:fill="auto"/>
          </w:tcPr>
          <w:p w14:paraId="17FE77EB" w14:textId="1C3C49D1" w:rsidR="00756F78" w:rsidRPr="00452D62" w:rsidRDefault="00756F78" w:rsidP="00756F78">
            <w:pPr>
              <w:rPr>
                <w:sz w:val="22"/>
                <w:szCs w:val="22"/>
              </w:rPr>
            </w:pPr>
            <w:r w:rsidRPr="00452D62">
              <w:rPr>
                <w:sz w:val="22"/>
                <w:szCs w:val="22"/>
              </w:rPr>
              <w:t>4,6</w:t>
            </w:r>
            <w:r w:rsidR="008C3DF7">
              <w:rPr>
                <w:sz w:val="22"/>
                <w:szCs w:val="22"/>
              </w:rPr>
              <w:t> %</w:t>
            </w:r>
            <w:r w:rsidR="00D341F9" w:rsidRPr="00452D62">
              <w:rPr>
                <w:sz w:val="22"/>
                <w:szCs w:val="22"/>
              </w:rPr>
              <w:t xml:space="preserve"> </w:t>
            </w:r>
            <w:r w:rsidRPr="00452D62">
              <w:rPr>
                <w:sz w:val="22"/>
                <w:szCs w:val="22"/>
              </w:rPr>
              <w:t>pacientų</w:t>
            </w:r>
          </w:p>
        </w:tc>
      </w:tr>
      <w:tr w:rsidR="00823785" w:rsidRPr="00452D62" w14:paraId="5844048B" w14:textId="77777777" w:rsidTr="006453B9">
        <w:tc>
          <w:tcPr>
            <w:tcW w:w="2918" w:type="dxa"/>
            <w:shd w:val="clear" w:color="auto" w:fill="auto"/>
          </w:tcPr>
          <w:p w14:paraId="2B41249E" w14:textId="77777777" w:rsidR="00823785" w:rsidRPr="00452D62" w:rsidRDefault="00823785" w:rsidP="006453B9">
            <w:pPr>
              <w:rPr>
                <w:sz w:val="22"/>
                <w:szCs w:val="22"/>
              </w:rPr>
            </w:pPr>
            <w:r w:rsidRPr="00452D62">
              <w:rPr>
                <w:sz w:val="22"/>
                <w:szCs w:val="22"/>
              </w:rPr>
              <w:t>Insulto ir sisteminės embolijos profilaktika pacientams, kuriems yra su vožtuvų liga nesusijęs prieširdžių virpėjimas</w:t>
            </w:r>
          </w:p>
        </w:tc>
        <w:tc>
          <w:tcPr>
            <w:tcW w:w="2919" w:type="dxa"/>
            <w:shd w:val="clear" w:color="auto" w:fill="auto"/>
          </w:tcPr>
          <w:p w14:paraId="7D269E3B" w14:textId="77777777" w:rsidR="00823785" w:rsidRPr="00452D62" w:rsidRDefault="00823785" w:rsidP="006453B9">
            <w:pPr>
              <w:rPr>
                <w:sz w:val="22"/>
                <w:szCs w:val="22"/>
              </w:rPr>
            </w:pPr>
            <w:r w:rsidRPr="00452D62">
              <w:rPr>
                <w:sz w:val="22"/>
                <w:szCs w:val="22"/>
              </w:rPr>
              <w:t>28 per 100 paciento metų</w:t>
            </w:r>
          </w:p>
        </w:tc>
        <w:tc>
          <w:tcPr>
            <w:tcW w:w="2919" w:type="dxa"/>
            <w:shd w:val="clear" w:color="auto" w:fill="auto"/>
          </w:tcPr>
          <w:p w14:paraId="4D913FA9" w14:textId="77777777" w:rsidR="00823785" w:rsidRPr="00452D62" w:rsidRDefault="00823785" w:rsidP="006453B9">
            <w:pPr>
              <w:rPr>
                <w:sz w:val="22"/>
                <w:szCs w:val="22"/>
              </w:rPr>
            </w:pPr>
            <w:r w:rsidRPr="00452D62">
              <w:rPr>
                <w:sz w:val="22"/>
                <w:szCs w:val="22"/>
              </w:rPr>
              <w:t>2,5 per 100 paciento metų</w:t>
            </w:r>
          </w:p>
        </w:tc>
      </w:tr>
      <w:tr w:rsidR="00823785" w:rsidRPr="00452D62" w14:paraId="4DEA761E" w14:textId="77777777" w:rsidTr="006453B9">
        <w:tc>
          <w:tcPr>
            <w:tcW w:w="2918" w:type="dxa"/>
            <w:shd w:val="clear" w:color="auto" w:fill="auto"/>
          </w:tcPr>
          <w:p w14:paraId="446F33A5" w14:textId="77777777" w:rsidR="00823785" w:rsidRPr="00452D62" w:rsidRDefault="00823785" w:rsidP="006453B9">
            <w:pPr>
              <w:rPr>
                <w:sz w:val="22"/>
                <w:szCs w:val="22"/>
              </w:rPr>
            </w:pPr>
            <w:r w:rsidRPr="00452D62">
              <w:rPr>
                <w:sz w:val="22"/>
                <w:szCs w:val="22"/>
              </w:rPr>
              <w:t>Aterotrombozinių reiškinių profilaktika pacientams, patyrusiems ŪKS</w:t>
            </w:r>
          </w:p>
        </w:tc>
        <w:tc>
          <w:tcPr>
            <w:tcW w:w="2919" w:type="dxa"/>
            <w:shd w:val="clear" w:color="auto" w:fill="auto"/>
          </w:tcPr>
          <w:p w14:paraId="791D1109" w14:textId="77777777" w:rsidR="00823785" w:rsidRPr="00452D62" w:rsidRDefault="00823785" w:rsidP="006453B9">
            <w:pPr>
              <w:rPr>
                <w:sz w:val="22"/>
                <w:szCs w:val="22"/>
              </w:rPr>
            </w:pPr>
            <w:r w:rsidRPr="00452D62">
              <w:rPr>
                <w:sz w:val="22"/>
                <w:szCs w:val="22"/>
              </w:rPr>
              <w:t>22 per 100 paciento metų</w:t>
            </w:r>
          </w:p>
        </w:tc>
        <w:tc>
          <w:tcPr>
            <w:tcW w:w="2919" w:type="dxa"/>
            <w:shd w:val="clear" w:color="auto" w:fill="auto"/>
          </w:tcPr>
          <w:p w14:paraId="6B238D23" w14:textId="77777777" w:rsidR="00823785" w:rsidRPr="00452D62" w:rsidRDefault="00823785" w:rsidP="006453B9">
            <w:pPr>
              <w:rPr>
                <w:sz w:val="22"/>
                <w:szCs w:val="22"/>
              </w:rPr>
            </w:pPr>
            <w:r w:rsidRPr="00452D62">
              <w:rPr>
                <w:sz w:val="22"/>
                <w:szCs w:val="22"/>
              </w:rPr>
              <w:t>1,4 per 100 paciento metų</w:t>
            </w:r>
          </w:p>
        </w:tc>
      </w:tr>
      <w:tr w:rsidR="00823785" w:rsidRPr="00452D62" w14:paraId="7217E1E6" w14:textId="77777777" w:rsidTr="006453B9">
        <w:tc>
          <w:tcPr>
            <w:tcW w:w="2918" w:type="dxa"/>
            <w:vMerge w:val="restart"/>
            <w:shd w:val="clear" w:color="auto" w:fill="auto"/>
          </w:tcPr>
          <w:p w14:paraId="36C24739" w14:textId="77777777" w:rsidR="00823785" w:rsidRPr="00452D62" w:rsidRDefault="00823785" w:rsidP="006453B9">
            <w:pPr>
              <w:rPr>
                <w:sz w:val="22"/>
                <w:szCs w:val="22"/>
              </w:rPr>
            </w:pPr>
            <w:r w:rsidRPr="00452D62">
              <w:rPr>
                <w:sz w:val="22"/>
                <w:szCs w:val="22"/>
              </w:rPr>
              <w:t>Aterotrombozinių reiškinių profilaktika pacientams, sergantiems VAL arba PAL</w:t>
            </w:r>
          </w:p>
        </w:tc>
        <w:tc>
          <w:tcPr>
            <w:tcW w:w="2919" w:type="dxa"/>
            <w:shd w:val="clear" w:color="auto" w:fill="auto"/>
          </w:tcPr>
          <w:p w14:paraId="563325E1" w14:textId="77777777" w:rsidR="00823785" w:rsidRPr="00452D62" w:rsidRDefault="00823785" w:rsidP="006453B9">
            <w:pPr>
              <w:rPr>
                <w:sz w:val="22"/>
                <w:szCs w:val="22"/>
              </w:rPr>
            </w:pPr>
            <w:r w:rsidRPr="00452D62">
              <w:rPr>
                <w:sz w:val="22"/>
                <w:szCs w:val="22"/>
              </w:rPr>
              <w:t>6,7 per 100 paciento metų</w:t>
            </w:r>
          </w:p>
        </w:tc>
        <w:tc>
          <w:tcPr>
            <w:tcW w:w="2919" w:type="dxa"/>
            <w:shd w:val="clear" w:color="auto" w:fill="auto"/>
          </w:tcPr>
          <w:p w14:paraId="03411038" w14:textId="77777777" w:rsidR="00823785" w:rsidRPr="00452D62" w:rsidRDefault="00823785" w:rsidP="006453B9">
            <w:pPr>
              <w:rPr>
                <w:sz w:val="22"/>
                <w:szCs w:val="22"/>
              </w:rPr>
            </w:pPr>
            <w:r w:rsidRPr="00452D62">
              <w:rPr>
                <w:sz w:val="22"/>
                <w:szCs w:val="22"/>
              </w:rPr>
              <w:t>0,15 per 100 paciento metų**</w:t>
            </w:r>
          </w:p>
        </w:tc>
      </w:tr>
      <w:tr w:rsidR="00823785" w:rsidRPr="00452D62" w14:paraId="2A2C956D" w14:textId="77777777" w:rsidTr="006453B9">
        <w:tc>
          <w:tcPr>
            <w:tcW w:w="2918" w:type="dxa"/>
            <w:vMerge/>
            <w:shd w:val="clear" w:color="auto" w:fill="auto"/>
          </w:tcPr>
          <w:p w14:paraId="19421F2F" w14:textId="77777777" w:rsidR="00823785" w:rsidRPr="00452D62" w:rsidRDefault="00823785" w:rsidP="006453B9">
            <w:pPr>
              <w:rPr>
                <w:sz w:val="22"/>
                <w:szCs w:val="22"/>
              </w:rPr>
            </w:pPr>
          </w:p>
        </w:tc>
        <w:tc>
          <w:tcPr>
            <w:tcW w:w="2919" w:type="dxa"/>
            <w:shd w:val="clear" w:color="auto" w:fill="auto"/>
          </w:tcPr>
          <w:p w14:paraId="18B30466" w14:textId="77777777" w:rsidR="00823785" w:rsidRPr="00452D62" w:rsidRDefault="00823785" w:rsidP="006453B9">
            <w:pPr>
              <w:rPr>
                <w:sz w:val="22"/>
                <w:szCs w:val="22"/>
              </w:rPr>
            </w:pPr>
            <w:r w:rsidRPr="00452D62">
              <w:rPr>
                <w:sz w:val="22"/>
                <w:szCs w:val="22"/>
              </w:rPr>
              <w:t>8,38 per 100 paciento metų</w:t>
            </w:r>
            <w:r w:rsidRPr="00452D62">
              <w:rPr>
                <w:sz w:val="22"/>
                <w:szCs w:val="22"/>
                <w:lang w:val="en-US"/>
              </w:rPr>
              <w:t>#</w:t>
            </w:r>
          </w:p>
        </w:tc>
        <w:tc>
          <w:tcPr>
            <w:tcW w:w="2919" w:type="dxa"/>
            <w:shd w:val="clear" w:color="auto" w:fill="auto"/>
          </w:tcPr>
          <w:p w14:paraId="26BC8AFB" w14:textId="77777777" w:rsidR="00823785" w:rsidRPr="00452D62" w:rsidRDefault="00823785" w:rsidP="006453B9">
            <w:pPr>
              <w:rPr>
                <w:sz w:val="22"/>
                <w:szCs w:val="22"/>
              </w:rPr>
            </w:pPr>
            <w:r w:rsidRPr="00452D62">
              <w:rPr>
                <w:sz w:val="22"/>
                <w:szCs w:val="22"/>
              </w:rPr>
              <w:t>0,74 per 100 paciento metų***</w:t>
            </w:r>
            <w:r w:rsidRPr="00452D62">
              <w:rPr>
                <w:sz w:val="22"/>
                <w:szCs w:val="22"/>
                <w:lang w:val="en-US"/>
              </w:rPr>
              <w:t>#</w:t>
            </w:r>
          </w:p>
        </w:tc>
      </w:tr>
    </w:tbl>
    <w:p w14:paraId="0B6D5310" w14:textId="77777777" w:rsidR="00823785" w:rsidRPr="00452D62" w:rsidRDefault="00823785" w:rsidP="00823785">
      <w:pPr>
        <w:ind w:left="142" w:hanging="142"/>
        <w:rPr>
          <w:sz w:val="22"/>
          <w:szCs w:val="22"/>
        </w:rPr>
      </w:pPr>
      <w:r w:rsidRPr="00452D62">
        <w:rPr>
          <w:sz w:val="22"/>
          <w:szCs w:val="22"/>
        </w:rPr>
        <w:t>*Surinkti, pranešti ir įvertinti duomenys apie visus kraujavimo reiškinius, nustatytus visų rivaroksabano tyrimų metu.</w:t>
      </w:r>
    </w:p>
    <w:p w14:paraId="7C1845D4" w14:textId="77777777" w:rsidR="00823785" w:rsidRPr="00452D62" w:rsidRDefault="00823785" w:rsidP="00823785">
      <w:pPr>
        <w:ind w:left="142" w:hanging="142"/>
        <w:rPr>
          <w:sz w:val="22"/>
          <w:szCs w:val="22"/>
        </w:rPr>
      </w:pPr>
      <w:r w:rsidRPr="00452D62">
        <w:rPr>
          <w:sz w:val="22"/>
          <w:szCs w:val="22"/>
        </w:rPr>
        <w:t>**Tyrimo COMPASS metu, taikant selektyvų nepageidaujamų reiškinių duomenų rinkimo metodą, nustatytas mažas anemijos dažnis.</w:t>
      </w:r>
    </w:p>
    <w:p w14:paraId="4A3BDEFC" w14:textId="77777777" w:rsidR="00823785" w:rsidRPr="00452D62" w:rsidRDefault="00823785" w:rsidP="00823785">
      <w:pPr>
        <w:ind w:left="142" w:hanging="142"/>
        <w:rPr>
          <w:sz w:val="22"/>
          <w:szCs w:val="22"/>
        </w:rPr>
      </w:pPr>
      <w:r w:rsidRPr="00452D62">
        <w:rPr>
          <w:sz w:val="22"/>
          <w:szCs w:val="22"/>
        </w:rPr>
        <w:t>***Buvo taikomas selektyvus nepageidaujamų reiškinių duomenų rinkimo metodas.</w:t>
      </w:r>
    </w:p>
    <w:p w14:paraId="75E644E2" w14:textId="77777777" w:rsidR="00823785" w:rsidRPr="00452D62" w:rsidRDefault="00823785" w:rsidP="00823785">
      <w:pPr>
        <w:ind w:left="142" w:hanging="142"/>
        <w:rPr>
          <w:sz w:val="22"/>
          <w:szCs w:val="22"/>
        </w:rPr>
      </w:pPr>
      <w:r w:rsidRPr="00452D62">
        <w:rPr>
          <w:sz w:val="22"/>
          <w:szCs w:val="22"/>
        </w:rPr>
        <w:t># Tyrimo VOYAGER PAD duomenys.</w:t>
      </w:r>
    </w:p>
    <w:p w14:paraId="1DED7C0D" w14:textId="77777777" w:rsidR="00823785" w:rsidRPr="00452D62" w:rsidRDefault="00823785" w:rsidP="00823785">
      <w:pPr>
        <w:ind w:left="142" w:hanging="142"/>
        <w:rPr>
          <w:sz w:val="22"/>
          <w:szCs w:val="22"/>
        </w:rPr>
      </w:pPr>
    </w:p>
    <w:p w14:paraId="3ABCD291" w14:textId="77777777" w:rsidR="00823785" w:rsidRPr="00452D62" w:rsidRDefault="00823785" w:rsidP="00823785">
      <w:pPr>
        <w:rPr>
          <w:sz w:val="22"/>
          <w:szCs w:val="22"/>
        </w:rPr>
      </w:pPr>
      <w:r w:rsidRPr="00452D62">
        <w:rPr>
          <w:sz w:val="22"/>
          <w:szCs w:val="22"/>
          <w:u w:val="single"/>
        </w:rPr>
        <w:t>Nepageidaujamų reakcijų santrauka lentelėje</w:t>
      </w:r>
    </w:p>
    <w:p w14:paraId="78E6E854" w14:textId="29D95C5D" w:rsidR="00823785" w:rsidRPr="00452D62" w:rsidRDefault="00823785" w:rsidP="00823785">
      <w:pPr>
        <w:rPr>
          <w:sz w:val="22"/>
          <w:szCs w:val="22"/>
        </w:rPr>
      </w:pPr>
      <w:r w:rsidRPr="00452D62">
        <w:rPr>
          <w:sz w:val="22"/>
          <w:szCs w:val="22"/>
        </w:rPr>
        <w:t xml:space="preserve">Rivaroksabano vartojimo metu suaugusiems </w:t>
      </w:r>
      <w:r w:rsidR="00756F78" w:rsidRPr="00452D62">
        <w:rPr>
          <w:sz w:val="22"/>
          <w:szCs w:val="22"/>
        </w:rPr>
        <w:t xml:space="preserve">ir vaikams </w:t>
      </w:r>
      <w:r w:rsidRPr="00452D62">
        <w:rPr>
          <w:sz w:val="22"/>
          <w:szCs w:val="22"/>
        </w:rPr>
        <w:t>nustatytas nepageidaujamų reakcijų dažnis apibendrintas pagal organų sistemų klases (naudojant MedDRA terminologiją) ir dažnį toliau pateiktoje 3 lentelėje.</w:t>
      </w:r>
    </w:p>
    <w:p w14:paraId="4D6BCEAF" w14:textId="77777777" w:rsidR="00823785" w:rsidRPr="00452D62" w:rsidRDefault="00823785" w:rsidP="00823785">
      <w:pPr>
        <w:rPr>
          <w:sz w:val="22"/>
          <w:szCs w:val="22"/>
        </w:rPr>
      </w:pPr>
    </w:p>
    <w:p w14:paraId="3BE4E644" w14:textId="77777777" w:rsidR="00823785" w:rsidRPr="00452D62" w:rsidRDefault="00823785" w:rsidP="00823785">
      <w:pPr>
        <w:rPr>
          <w:sz w:val="22"/>
          <w:szCs w:val="22"/>
        </w:rPr>
      </w:pPr>
      <w:r w:rsidRPr="00452D62">
        <w:rPr>
          <w:sz w:val="22"/>
          <w:szCs w:val="22"/>
        </w:rPr>
        <w:t>Nepageidaujamo poveikio dažnis apibūdinamas taip: labai dažnas (≥ 1/10), dažnas (nuo ≥ 1/100 iki &lt; 1/10), nedažnas (nuo ≥ 1/1 000 iki &lt; 1/100), retas (nuo ≥ 1/10 000 iki &lt; 1/1 000), labai retas (&lt; 1/10 000) ir nežinomas (negali būti apskaičiuotas pagal turimus duomenis).</w:t>
      </w:r>
    </w:p>
    <w:p w14:paraId="57629E9C" w14:textId="77777777" w:rsidR="00823785" w:rsidRPr="00452D62" w:rsidRDefault="00823785" w:rsidP="00823785">
      <w:pPr>
        <w:rPr>
          <w:sz w:val="22"/>
          <w:szCs w:val="22"/>
        </w:rPr>
      </w:pPr>
    </w:p>
    <w:p w14:paraId="7D6BB3B0" w14:textId="728ABF45" w:rsidR="00823785" w:rsidRPr="00452D62" w:rsidRDefault="00823785" w:rsidP="00823785">
      <w:pPr>
        <w:rPr>
          <w:sz w:val="22"/>
          <w:szCs w:val="22"/>
        </w:rPr>
      </w:pPr>
      <w:r w:rsidRPr="00452D62">
        <w:rPr>
          <w:b/>
          <w:sz w:val="22"/>
          <w:szCs w:val="22"/>
        </w:rPr>
        <w:t>3 lentelė. Visos nepageidaujamos reakcijos, apie kurias pranešta suaugusiems pacientams III fazės tyrimuose</w:t>
      </w:r>
      <w:r w:rsidRPr="00AE1B80">
        <w:rPr>
          <w:sz w:val="22"/>
          <w:szCs w:val="22"/>
        </w:rPr>
        <w:t xml:space="preserve"> </w:t>
      </w:r>
      <w:r w:rsidRPr="00452D62">
        <w:rPr>
          <w:b/>
          <w:sz w:val="22"/>
          <w:szCs w:val="22"/>
        </w:rPr>
        <w:t>arba po vaistinio preparato pateikimo į rinką*</w:t>
      </w:r>
      <w:r w:rsidR="00756F78" w:rsidRPr="00452D62">
        <w:rPr>
          <w:b/>
          <w:bCs/>
          <w:sz w:val="22"/>
          <w:szCs w:val="22"/>
        </w:rPr>
        <w:t xml:space="preserve"> </w:t>
      </w:r>
      <w:bookmarkStart w:id="1" w:name="_Hlk158723741"/>
      <w:r w:rsidR="00756F78" w:rsidRPr="00452D62">
        <w:rPr>
          <w:b/>
          <w:bCs/>
          <w:sz w:val="22"/>
          <w:szCs w:val="22"/>
        </w:rPr>
        <w:t>ir vaikams dviejuose II fazės tyrimuose bei dviejuose III fazės tyrimuose</w:t>
      </w:r>
      <w:bookmarkEnd w:id="1"/>
    </w:p>
    <w:tbl>
      <w:tblPr>
        <w:tblW w:w="9322" w:type="dxa"/>
        <w:tblLayout w:type="fixed"/>
        <w:tblLook w:val="0000" w:firstRow="0" w:lastRow="0" w:firstColumn="0" w:lastColumn="0" w:noHBand="0" w:noVBand="0"/>
      </w:tblPr>
      <w:tblGrid>
        <w:gridCol w:w="1809"/>
        <w:gridCol w:w="2268"/>
        <w:gridCol w:w="2127"/>
        <w:gridCol w:w="1559"/>
        <w:gridCol w:w="1559"/>
      </w:tblGrid>
      <w:tr w:rsidR="00823785" w:rsidRPr="00452D62" w14:paraId="47D0FB51" w14:textId="77777777" w:rsidTr="006453B9">
        <w:trPr>
          <w:tblHeader/>
        </w:trPr>
        <w:tc>
          <w:tcPr>
            <w:tcW w:w="1809" w:type="dxa"/>
            <w:tcBorders>
              <w:top w:val="single" w:sz="4" w:space="0" w:color="000000"/>
              <w:left w:val="single" w:sz="4" w:space="0" w:color="000000"/>
              <w:bottom w:val="single" w:sz="4" w:space="0" w:color="000000"/>
              <w:right w:val="single" w:sz="4" w:space="0" w:color="000000"/>
            </w:tcBorders>
            <w:shd w:val="clear" w:color="auto" w:fill="BFBFBF"/>
          </w:tcPr>
          <w:p w14:paraId="27D97228" w14:textId="77777777" w:rsidR="00823785" w:rsidRPr="00452D62" w:rsidRDefault="00823785" w:rsidP="006453B9">
            <w:pPr>
              <w:rPr>
                <w:b/>
                <w:sz w:val="22"/>
                <w:szCs w:val="22"/>
              </w:rPr>
            </w:pPr>
            <w:r w:rsidRPr="00452D62">
              <w:rPr>
                <w:b/>
                <w:sz w:val="22"/>
                <w:szCs w:val="22"/>
              </w:rPr>
              <w:t>Dažnas</w:t>
            </w:r>
          </w:p>
        </w:tc>
        <w:tc>
          <w:tcPr>
            <w:tcW w:w="2268" w:type="dxa"/>
            <w:tcBorders>
              <w:top w:val="single" w:sz="4" w:space="0" w:color="000000"/>
              <w:left w:val="single" w:sz="4" w:space="0" w:color="000000"/>
              <w:bottom w:val="single" w:sz="4" w:space="0" w:color="000000"/>
              <w:right w:val="single" w:sz="4" w:space="0" w:color="000000"/>
            </w:tcBorders>
            <w:shd w:val="clear" w:color="auto" w:fill="BFBFBF"/>
          </w:tcPr>
          <w:p w14:paraId="5BFD2EE3" w14:textId="77777777" w:rsidR="00823785" w:rsidRPr="00452D62" w:rsidRDefault="00823785" w:rsidP="006453B9">
            <w:pPr>
              <w:rPr>
                <w:b/>
                <w:sz w:val="22"/>
                <w:szCs w:val="22"/>
              </w:rPr>
            </w:pPr>
            <w:r w:rsidRPr="00452D62">
              <w:rPr>
                <w:b/>
                <w:sz w:val="22"/>
                <w:szCs w:val="22"/>
              </w:rPr>
              <w:t>Nedažnas</w:t>
            </w:r>
          </w:p>
        </w:tc>
        <w:tc>
          <w:tcPr>
            <w:tcW w:w="2127" w:type="dxa"/>
            <w:tcBorders>
              <w:top w:val="single" w:sz="4" w:space="0" w:color="000000"/>
              <w:left w:val="single" w:sz="4" w:space="0" w:color="000000"/>
              <w:bottom w:val="single" w:sz="4" w:space="0" w:color="000000"/>
              <w:right w:val="single" w:sz="4" w:space="0" w:color="000000"/>
            </w:tcBorders>
            <w:shd w:val="clear" w:color="auto" w:fill="BFBFBF"/>
          </w:tcPr>
          <w:p w14:paraId="1AFCA9D0" w14:textId="77777777" w:rsidR="00823785" w:rsidRPr="00452D62" w:rsidRDefault="00823785" w:rsidP="006453B9">
            <w:pPr>
              <w:rPr>
                <w:b/>
                <w:sz w:val="22"/>
                <w:szCs w:val="22"/>
              </w:rPr>
            </w:pPr>
            <w:r w:rsidRPr="00452D62">
              <w:rPr>
                <w:b/>
                <w:sz w:val="22"/>
                <w:szCs w:val="22"/>
              </w:rPr>
              <w:t>Retas</w:t>
            </w:r>
          </w:p>
        </w:tc>
        <w:tc>
          <w:tcPr>
            <w:tcW w:w="1559" w:type="dxa"/>
            <w:tcBorders>
              <w:top w:val="single" w:sz="4" w:space="0" w:color="000000"/>
              <w:left w:val="single" w:sz="4" w:space="0" w:color="000000"/>
              <w:bottom w:val="single" w:sz="4" w:space="0" w:color="000000"/>
              <w:right w:val="single" w:sz="4" w:space="0" w:color="000000"/>
            </w:tcBorders>
            <w:shd w:val="clear" w:color="auto" w:fill="BFBFBF"/>
          </w:tcPr>
          <w:p w14:paraId="6A0B40E4" w14:textId="77777777" w:rsidR="00823785" w:rsidRPr="00452D62" w:rsidRDefault="00823785" w:rsidP="006453B9">
            <w:pPr>
              <w:rPr>
                <w:b/>
                <w:sz w:val="22"/>
                <w:szCs w:val="22"/>
              </w:rPr>
            </w:pPr>
            <w:r w:rsidRPr="00452D62">
              <w:rPr>
                <w:b/>
                <w:sz w:val="22"/>
                <w:szCs w:val="22"/>
              </w:rPr>
              <w:t>Labai retas</w:t>
            </w:r>
          </w:p>
        </w:tc>
        <w:tc>
          <w:tcPr>
            <w:tcW w:w="1559" w:type="dxa"/>
            <w:tcBorders>
              <w:top w:val="single" w:sz="4" w:space="0" w:color="000000"/>
              <w:left w:val="single" w:sz="4" w:space="0" w:color="000000"/>
              <w:bottom w:val="single" w:sz="4" w:space="0" w:color="000000"/>
              <w:right w:val="single" w:sz="4" w:space="0" w:color="000000"/>
            </w:tcBorders>
            <w:shd w:val="clear" w:color="auto" w:fill="BFBFBF"/>
          </w:tcPr>
          <w:p w14:paraId="4CC54ABC" w14:textId="77777777" w:rsidR="00823785" w:rsidRPr="00452D62" w:rsidRDefault="00823785" w:rsidP="006453B9">
            <w:pPr>
              <w:rPr>
                <w:sz w:val="22"/>
                <w:szCs w:val="22"/>
              </w:rPr>
            </w:pPr>
            <w:r w:rsidRPr="00452D62">
              <w:rPr>
                <w:b/>
                <w:sz w:val="22"/>
                <w:szCs w:val="22"/>
              </w:rPr>
              <w:t>Dažnis nežinomas</w:t>
            </w:r>
          </w:p>
        </w:tc>
      </w:tr>
      <w:tr w:rsidR="00823785" w:rsidRPr="00452D62" w14:paraId="1BC38B5E"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37463748" w14:textId="77777777" w:rsidR="00823785" w:rsidRPr="00452D62" w:rsidRDefault="00823785" w:rsidP="006453B9">
            <w:pPr>
              <w:rPr>
                <w:b/>
                <w:bCs/>
                <w:sz w:val="22"/>
                <w:szCs w:val="22"/>
              </w:rPr>
            </w:pPr>
            <w:r w:rsidRPr="00452D62">
              <w:rPr>
                <w:b/>
                <w:bCs/>
                <w:sz w:val="22"/>
                <w:szCs w:val="22"/>
              </w:rPr>
              <w:t>Kraujo ir limfinės sistemos sutrikimai</w:t>
            </w:r>
          </w:p>
        </w:tc>
      </w:tr>
      <w:tr w:rsidR="00823785" w:rsidRPr="00452D62" w14:paraId="0381EF8D"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37C65031" w14:textId="77777777" w:rsidR="00823785" w:rsidRPr="00452D62" w:rsidRDefault="00823785" w:rsidP="006453B9">
            <w:pPr>
              <w:rPr>
                <w:sz w:val="22"/>
                <w:szCs w:val="22"/>
              </w:rPr>
            </w:pPr>
            <w:r w:rsidRPr="00452D62">
              <w:rPr>
                <w:sz w:val="22"/>
                <w:szCs w:val="22"/>
              </w:rPr>
              <w:t>Anemija (įskaitant atitinkamus laboratorinius parametrus)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4DFF46BC" w14:textId="77777777" w:rsidR="00823785" w:rsidRPr="00452D62" w:rsidRDefault="00823785" w:rsidP="006453B9">
            <w:pPr>
              <w:rPr>
                <w:sz w:val="22"/>
                <w:szCs w:val="22"/>
              </w:rPr>
            </w:pPr>
            <w:r w:rsidRPr="00452D62">
              <w:rPr>
                <w:sz w:val="22"/>
                <w:szCs w:val="22"/>
              </w:rPr>
              <w:t>Trombocitozė (įskaitant padidėjusį trombocitų kiekį)</w:t>
            </w:r>
            <w:r w:rsidRPr="00452D62">
              <w:rPr>
                <w:sz w:val="22"/>
                <w:szCs w:val="22"/>
                <w:vertAlign w:val="superscript"/>
              </w:rPr>
              <w:t>A</w:t>
            </w:r>
            <w:r w:rsidRPr="00452D62">
              <w:rPr>
                <w:sz w:val="22"/>
                <w:szCs w:val="22"/>
              </w:rPr>
              <w:t>,</w:t>
            </w:r>
          </w:p>
          <w:p w14:paraId="55497974" w14:textId="77777777" w:rsidR="00823785" w:rsidRPr="00452D62" w:rsidRDefault="00823785" w:rsidP="006453B9">
            <w:pPr>
              <w:rPr>
                <w:sz w:val="22"/>
                <w:szCs w:val="22"/>
              </w:rPr>
            </w:pPr>
            <w:r w:rsidRPr="00452D62">
              <w:rPr>
                <w:sz w:val="22"/>
                <w:szCs w:val="22"/>
              </w:rPr>
              <w:t>trombocitopenija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7EC54B33"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1E2F197"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2A5B16AF" w14:textId="77777777" w:rsidR="00823785" w:rsidRPr="00452D62" w:rsidRDefault="00823785" w:rsidP="006453B9">
            <w:pPr>
              <w:rPr>
                <w:sz w:val="22"/>
                <w:szCs w:val="22"/>
              </w:rPr>
            </w:pPr>
          </w:p>
        </w:tc>
      </w:tr>
      <w:tr w:rsidR="00823785" w:rsidRPr="00452D62" w14:paraId="79928484"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2ACF9BA3" w14:textId="77777777" w:rsidR="00823785" w:rsidRPr="00452D62" w:rsidRDefault="00823785" w:rsidP="006453B9">
            <w:pPr>
              <w:rPr>
                <w:b/>
                <w:sz w:val="22"/>
                <w:szCs w:val="22"/>
              </w:rPr>
            </w:pPr>
            <w:r w:rsidRPr="00452D62">
              <w:rPr>
                <w:b/>
                <w:sz w:val="22"/>
                <w:szCs w:val="22"/>
              </w:rPr>
              <w:t>Imuninės sistemos sutrikimai</w:t>
            </w:r>
          </w:p>
        </w:tc>
      </w:tr>
      <w:tr w:rsidR="00823785" w:rsidRPr="00452D62" w14:paraId="1DEA3F41"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04F2C706" w14:textId="77777777" w:rsidR="00823785" w:rsidRPr="00452D62" w:rsidRDefault="00823785" w:rsidP="006453B9">
            <w:pPr>
              <w:rPr>
                <w:sz w:val="22"/>
                <w:szCs w:val="22"/>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70C9E973" w14:textId="77777777" w:rsidR="00823785" w:rsidRPr="00452D62" w:rsidRDefault="00823785" w:rsidP="006453B9">
            <w:pPr>
              <w:rPr>
                <w:sz w:val="22"/>
                <w:szCs w:val="22"/>
              </w:rPr>
            </w:pPr>
            <w:r w:rsidRPr="00452D62">
              <w:rPr>
                <w:sz w:val="22"/>
                <w:szCs w:val="22"/>
              </w:rPr>
              <w:t>Alerginė reakcija, alerginis dermatitas, angioneurozinė edema ir alerginė edema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0D0DCA6E"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651B95EE" w14:textId="77777777" w:rsidR="00823785" w:rsidRPr="00452D62" w:rsidRDefault="00823785" w:rsidP="006453B9">
            <w:pPr>
              <w:rPr>
                <w:sz w:val="22"/>
                <w:szCs w:val="22"/>
              </w:rPr>
            </w:pPr>
            <w:r w:rsidRPr="00452D62">
              <w:rPr>
                <w:sz w:val="22"/>
                <w:szCs w:val="22"/>
              </w:rPr>
              <w:t>Anafilaksinės reakcijos, įskaitant anafilaksinį šoką</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6E53BF99" w14:textId="77777777" w:rsidR="00823785" w:rsidRPr="00452D62" w:rsidRDefault="00823785" w:rsidP="006453B9">
            <w:pPr>
              <w:rPr>
                <w:sz w:val="22"/>
                <w:szCs w:val="22"/>
              </w:rPr>
            </w:pPr>
          </w:p>
        </w:tc>
      </w:tr>
      <w:tr w:rsidR="00823785" w:rsidRPr="00452D62" w14:paraId="370F7526"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3E895F07" w14:textId="77777777" w:rsidR="00823785" w:rsidRPr="00452D62" w:rsidRDefault="00823785" w:rsidP="006453B9">
            <w:pPr>
              <w:rPr>
                <w:b/>
                <w:sz w:val="22"/>
                <w:szCs w:val="22"/>
              </w:rPr>
            </w:pPr>
            <w:r w:rsidRPr="00452D62">
              <w:rPr>
                <w:b/>
                <w:sz w:val="22"/>
                <w:szCs w:val="22"/>
              </w:rPr>
              <w:t>Nervų sistemos sutrikimai</w:t>
            </w:r>
          </w:p>
        </w:tc>
      </w:tr>
      <w:tr w:rsidR="00823785" w:rsidRPr="00452D62" w14:paraId="6597CB10"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670DF1F8" w14:textId="77777777" w:rsidR="00823785" w:rsidRPr="00452D62" w:rsidRDefault="00823785" w:rsidP="006453B9">
            <w:pPr>
              <w:rPr>
                <w:sz w:val="22"/>
                <w:szCs w:val="22"/>
              </w:rPr>
            </w:pPr>
            <w:r w:rsidRPr="00452D62">
              <w:rPr>
                <w:sz w:val="22"/>
                <w:szCs w:val="22"/>
              </w:rPr>
              <w:t>Svaigulys, galvos skausmas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1D0895A8" w14:textId="77777777" w:rsidR="00823785" w:rsidRPr="00452D62" w:rsidRDefault="00823785" w:rsidP="006453B9">
            <w:pPr>
              <w:rPr>
                <w:sz w:val="22"/>
                <w:szCs w:val="22"/>
              </w:rPr>
            </w:pPr>
            <w:r w:rsidRPr="00452D62">
              <w:rPr>
                <w:sz w:val="22"/>
                <w:szCs w:val="22"/>
              </w:rPr>
              <w:t>Intracerebrinis ir intrakranijinis kraujavimas, apalpimas</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6D620A59"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6533DAA3"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1157850C" w14:textId="77777777" w:rsidR="00823785" w:rsidRPr="00452D62" w:rsidRDefault="00823785" w:rsidP="006453B9">
            <w:pPr>
              <w:rPr>
                <w:sz w:val="22"/>
                <w:szCs w:val="22"/>
              </w:rPr>
            </w:pPr>
          </w:p>
        </w:tc>
      </w:tr>
      <w:tr w:rsidR="00823785" w:rsidRPr="00452D62" w14:paraId="01B1A952"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0B561D60" w14:textId="77777777" w:rsidR="00823785" w:rsidRPr="00452D62" w:rsidRDefault="00823785" w:rsidP="006453B9">
            <w:pPr>
              <w:rPr>
                <w:b/>
                <w:sz w:val="22"/>
                <w:szCs w:val="22"/>
              </w:rPr>
            </w:pPr>
            <w:r w:rsidRPr="00452D62">
              <w:rPr>
                <w:b/>
                <w:sz w:val="22"/>
                <w:szCs w:val="22"/>
              </w:rPr>
              <w:t>Akių sutrikimai</w:t>
            </w:r>
          </w:p>
        </w:tc>
      </w:tr>
      <w:tr w:rsidR="00823785" w:rsidRPr="00452D62" w14:paraId="0FB2BAFB"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17B9602B" w14:textId="77777777" w:rsidR="00823785" w:rsidRPr="00452D62" w:rsidRDefault="00823785" w:rsidP="006453B9">
            <w:pPr>
              <w:rPr>
                <w:sz w:val="22"/>
                <w:szCs w:val="22"/>
              </w:rPr>
            </w:pPr>
            <w:r w:rsidRPr="00452D62">
              <w:rPr>
                <w:sz w:val="22"/>
                <w:szCs w:val="22"/>
              </w:rPr>
              <w:t>Akies kraujavimas (įskaitant junginės kraujavimą)</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3DAB2000" w14:textId="77777777" w:rsidR="00823785" w:rsidRPr="00452D62" w:rsidRDefault="00823785" w:rsidP="006453B9">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68F76A54"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6B6F98B"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64905250" w14:textId="77777777" w:rsidR="00823785" w:rsidRPr="00452D62" w:rsidRDefault="00823785" w:rsidP="006453B9">
            <w:pPr>
              <w:rPr>
                <w:sz w:val="22"/>
                <w:szCs w:val="22"/>
              </w:rPr>
            </w:pPr>
          </w:p>
        </w:tc>
      </w:tr>
      <w:tr w:rsidR="00823785" w:rsidRPr="00452D62" w14:paraId="00F05F33"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56BBE295" w14:textId="77777777" w:rsidR="00823785" w:rsidRPr="00452D62" w:rsidRDefault="00823785" w:rsidP="006453B9">
            <w:pPr>
              <w:rPr>
                <w:b/>
                <w:sz w:val="22"/>
                <w:szCs w:val="22"/>
              </w:rPr>
            </w:pPr>
            <w:r w:rsidRPr="00452D62">
              <w:rPr>
                <w:b/>
                <w:sz w:val="22"/>
                <w:szCs w:val="22"/>
              </w:rPr>
              <w:t>Širdies sutrikimai</w:t>
            </w:r>
          </w:p>
        </w:tc>
      </w:tr>
      <w:tr w:rsidR="00823785" w:rsidRPr="00452D62" w14:paraId="46FE6D70"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2080DEAD" w14:textId="77777777" w:rsidR="00823785" w:rsidRPr="00452D62" w:rsidRDefault="00823785" w:rsidP="006453B9">
            <w:pPr>
              <w:rPr>
                <w:sz w:val="22"/>
                <w:szCs w:val="22"/>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0AEB60B4" w14:textId="77777777" w:rsidR="00823785" w:rsidRPr="00452D62" w:rsidRDefault="00823785" w:rsidP="006453B9">
            <w:pPr>
              <w:rPr>
                <w:sz w:val="22"/>
                <w:szCs w:val="22"/>
              </w:rPr>
            </w:pPr>
            <w:r w:rsidRPr="00452D62">
              <w:rPr>
                <w:sz w:val="22"/>
                <w:szCs w:val="22"/>
              </w:rPr>
              <w:t>Tachikardija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02E98DCF"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4F1E0B4"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E4638D0" w14:textId="77777777" w:rsidR="00823785" w:rsidRPr="00452D62" w:rsidRDefault="00823785" w:rsidP="006453B9">
            <w:pPr>
              <w:rPr>
                <w:sz w:val="22"/>
                <w:szCs w:val="22"/>
              </w:rPr>
            </w:pPr>
          </w:p>
        </w:tc>
      </w:tr>
      <w:tr w:rsidR="00823785" w:rsidRPr="00452D62" w14:paraId="40367259"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29B92E6A" w14:textId="77777777" w:rsidR="00823785" w:rsidRPr="00452D62" w:rsidRDefault="00823785" w:rsidP="006453B9">
            <w:pPr>
              <w:rPr>
                <w:sz w:val="22"/>
                <w:szCs w:val="22"/>
              </w:rPr>
            </w:pPr>
            <w:r w:rsidRPr="00452D62">
              <w:rPr>
                <w:b/>
                <w:sz w:val="22"/>
                <w:szCs w:val="22"/>
              </w:rPr>
              <w:t>Kraujagyslių sutrikimai</w:t>
            </w:r>
          </w:p>
        </w:tc>
      </w:tr>
      <w:tr w:rsidR="00823785" w:rsidRPr="00452D62" w14:paraId="00368F88"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03CD9202" w14:textId="77777777" w:rsidR="00823785" w:rsidRPr="00452D62" w:rsidRDefault="00823785" w:rsidP="006453B9">
            <w:pPr>
              <w:rPr>
                <w:sz w:val="22"/>
                <w:szCs w:val="22"/>
              </w:rPr>
            </w:pPr>
            <w:r w:rsidRPr="00452D62">
              <w:rPr>
                <w:sz w:val="22"/>
                <w:szCs w:val="22"/>
              </w:rPr>
              <w:t>Hipotenzija,</w:t>
            </w:r>
          </w:p>
          <w:p w14:paraId="006709C2" w14:textId="77777777" w:rsidR="00823785" w:rsidRPr="00452D62" w:rsidRDefault="00823785" w:rsidP="006453B9">
            <w:pPr>
              <w:rPr>
                <w:sz w:val="22"/>
                <w:szCs w:val="22"/>
              </w:rPr>
            </w:pPr>
            <w:r w:rsidRPr="00452D62">
              <w:rPr>
                <w:sz w:val="22"/>
                <w:szCs w:val="22"/>
              </w:rPr>
              <w:t>hematoma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0BEDFF58" w14:textId="77777777" w:rsidR="00823785" w:rsidRPr="00452D62" w:rsidRDefault="00823785" w:rsidP="006453B9">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4469785C"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1D3B3BC7"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4710E19" w14:textId="77777777" w:rsidR="00823785" w:rsidRPr="00452D62" w:rsidRDefault="00823785" w:rsidP="006453B9">
            <w:pPr>
              <w:rPr>
                <w:sz w:val="22"/>
                <w:szCs w:val="22"/>
              </w:rPr>
            </w:pPr>
          </w:p>
        </w:tc>
      </w:tr>
      <w:tr w:rsidR="00823785" w:rsidRPr="00452D62" w14:paraId="00BCCFFD"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482CFB98" w14:textId="77777777" w:rsidR="00823785" w:rsidRPr="00452D62" w:rsidRDefault="00823785" w:rsidP="006453B9">
            <w:pPr>
              <w:rPr>
                <w:sz w:val="22"/>
                <w:szCs w:val="22"/>
              </w:rPr>
            </w:pPr>
            <w:r w:rsidRPr="00452D62">
              <w:rPr>
                <w:b/>
                <w:bCs/>
                <w:sz w:val="22"/>
                <w:szCs w:val="22"/>
              </w:rPr>
              <w:t xml:space="preserve">Kvėpavimo sistemos, krūtinės ląstos ir tarpuplaučio sutrikimai </w:t>
            </w:r>
          </w:p>
        </w:tc>
      </w:tr>
      <w:tr w:rsidR="00823785" w:rsidRPr="00452D62" w14:paraId="7D53E69D"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6683CFA2" w14:textId="77777777" w:rsidR="00823785" w:rsidRPr="00452D62" w:rsidRDefault="00823785" w:rsidP="006453B9">
            <w:pPr>
              <w:rPr>
                <w:sz w:val="22"/>
                <w:szCs w:val="22"/>
              </w:rPr>
            </w:pPr>
            <w:r w:rsidRPr="00452D62">
              <w:rPr>
                <w:sz w:val="22"/>
                <w:szCs w:val="22"/>
              </w:rPr>
              <w:t>Kraujavimas iš nosies, atsikosėjimas krauju</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69C178EE" w14:textId="77777777" w:rsidR="00823785" w:rsidRPr="00452D62" w:rsidRDefault="00823785" w:rsidP="006453B9">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3E492A2A"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3D8182E0" w14:textId="275921BE" w:rsidR="00A63DD3" w:rsidRPr="00452D62" w:rsidRDefault="00A63DD3" w:rsidP="00A63DD3">
            <w:pPr>
              <w:pStyle w:val="Default"/>
              <w:rPr>
                <w:sz w:val="22"/>
                <w:szCs w:val="22"/>
              </w:rPr>
            </w:pPr>
            <w:r w:rsidRPr="00452D62">
              <w:rPr>
                <w:sz w:val="22"/>
                <w:szCs w:val="22"/>
              </w:rPr>
              <w:t>Eozinofilinė pneumonija</w:t>
            </w:r>
          </w:p>
          <w:p w14:paraId="17E34FB9"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676241B" w14:textId="77777777" w:rsidR="00823785" w:rsidRPr="00452D62" w:rsidRDefault="00823785" w:rsidP="006453B9">
            <w:pPr>
              <w:rPr>
                <w:sz w:val="22"/>
                <w:szCs w:val="22"/>
              </w:rPr>
            </w:pPr>
          </w:p>
        </w:tc>
      </w:tr>
      <w:tr w:rsidR="00823785" w:rsidRPr="00452D62" w14:paraId="53100DFB"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16C307D4" w14:textId="77777777" w:rsidR="00823785" w:rsidRPr="00452D62" w:rsidRDefault="00823785" w:rsidP="006453B9">
            <w:pPr>
              <w:rPr>
                <w:sz w:val="22"/>
                <w:szCs w:val="22"/>
              </w:rPr>
            </w:pPr>
            <w:r w:rsidRPr="00452D62">
              <w:rPr>
                <w:b/>
                <w:bCs/>
                <w:sz w:val="22"/>
                <w:szCs w:val="22"/>
              </w:rPr>
              <w:t xml:space="preserve">Virškinimo trakto sutrikimai </w:t>
            </w:r>
          </w:p>
        </w:tc>
      </w:tr>
      <w:tr w:rsidR="00823785" w:rsidRPr="00452D62" w14:paraId="5308D52D"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29F53857" w14:textId="77777777" w:rsidR="00823785" w:rsidRPr="00452D62" w:rsidRDefault="00823785" w:rsidP="006453B9">
            <w:pPr>
              <w:rPr>
                <w:sz w:val="22"/>
                <w:szCs w:val="22"/>
              </w:rPr>
            </w:pPr>
            <w:r w:rsidRPr="00452D62">
              <w:rPr>
                <w:sz w:val="22"/>
                <w:szCs w:val="22"/>
              </w:rPr>
              <w:t>Kraujavimas iš dantenų, kraujavimas iš virškinimo trakto (įskaitant kraujavimą iš tiesiosios žarnos), virškinimo trakto ir pilvo skausmai, dispepsija, pykinimas, vidurių užkietėjimas</w:t>
            </w:r>
            <w:r w:rsidRPr="00452D62">
              <w:rPr>
                <w:sz w:val="22"/>
                <w:szCs w:val="22"/>
                <w:vertAlign w:val="superscript"/>
              </w:rPr>
              <w:t>A</w:t>
            </w:r>
            <w:r w:rsidRPr="00452D62">
              <w:rPr>
                <w:sz w:val="22"/>
                <w:szCs w:val="22"/>
              </w:rPr>
              <w:t>, viduriavimas, vėmimas</w:t>
            </w:r>
            <w:r w:rsidRPr="00452D62">
              <w:rPr>
                <w:sz w:val="22"/>
                <w:szCs w:val="22"/>
                <w:vertAlign w:val="superscript"/>
              </w:rPr>
              <w:t>A</w:t>
            </w:r>
            <w:r w:rsidRPr="00452D62">
              <w:rPr>
                <w:sz w:val="22"/>
                <w:szCs w:val="22"/>
              </w:rPr>
              <w:t xml:space="preserve"> </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3F7F397F" w14:textId="77777777" w:rsidR="00823785" w:rsidRPr="00452D62" w:rsidRDefault="00823785" w:rsidP="006453B9">
            <w:pPr>
              <w:rPr>
                <w:sz w:val="22"/>
                <w:szCs w:val="22"/>
              </w:rPr>
            </w:pPr>
            <w:r w:rsidRPr="00452D62">
              <w:rPr>
                <w:sz w:val="22"/>
                <w:szCs w:val="22"/>
              </w:rPr>
              <w:t>Burnos džiūvimas</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0ECD9974"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084A23B"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B504F8D" w14:textId="77777777" w:rsidR="00823785" w:rsidRPr="00452D62" w:rsidRDefault="00823785" w:rsidP="006453B9">
            <w:pPr>
              <w:rPr>
                <w:sz w:val="22"/>
                <w:szCs w:val="22"/>
              </w:rPr>
            </w:pPr>
          </w:p>
        </w:tc>
      </w:tr>
      <w:tr w:rsidR="00823785" w:rsidRPr="00452D62" w14:paraId="7B687E50"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14E6F598" w14:textId="77777777" w:rsidR="00823785" w:rsidRPr="00452D62" w:rsidRDefault="00823785" w:rsidP="006453B9">
            <w:pPr>
              <w:rPr>
                <w:sz w:val="22"/>
                <w:szCs w:val="22"/>
              </w:rPr>
            </w:pPr>
            <w:r w:rsidRPr="00452D62">
              <w:rPr>
                <w:b/>
                <w:bCs/>
                <w:sz w:val="22"/>
                <w:szCs w:val="22"/>
              </w:rPr>
              <w:t>Kepenų, tulžies pūslės ir latakų sutrikimai</w:t>
            </w:r>
          </w:p>
        </w:tc>
      </w:tr>
      <w:tr w:rsidR="00823785" w:rsidRPr="00452D62" w14:paraId="24D9FFBE"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72C2C8CF" w14:textId="77777777" w:rsidR="00823785" w:rsidRPr="00452D62" w:rsidRDefault="00823785" w:rsidP="006453B9">
            <w:pPr>
              <w:rPr>
                <w:sz w:val="22"/>
                <w:szCs w:val="22"/>
              </w:rPr>
            </w:pPr>
            <w:r w:rsidRPr="00452D62">
              <w:rPr>
                <w:sz w:val="22"/>
                <w:szCs w:val="22"/>
              </w:rPr>
              <w:t>Padidėjęs transaminazių aktyvumas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359E8FE1" w14:textId="77777777" w:rsidR="00823785" w:rsidRPr="00452D62" w:rsidRDefault="00823785" w:rsidP="006453B9">
            <w:pPr>
              <w:rPr>
                <w:sz w:val="22"/>
                <w:szCs w:val="22"/>
              </w:rPr>
            </w:pPr>
            <w:r w:rsidRPr="00452D62">
              <w:rPr>
                <w:sz w:val="22"/>
                <w:szCs w:val="22"/>
              </w:rPr>
              <w:t>Kepenų funkcijos sutrikimas, padidėjęs bilirubino kiekis, padidėjęs šarminės fosfatazės aktyvumas kraujyje</w:t>
            </w:r>
            <w:r w:rsidRPr="00452D62">
              <w:rPr>
                <w:sz w:val="22"/>
                <w:szCs w:val="22"/>
                <w:vertAlign w:val="superscript"/>
              </w:rPr>
              <w:t>A</w:t>
            </w:r>
            <w:r w:rsidRPr="00452D62">
              <w:rPr>
                <w:sz w:val="22"/>
                <w:szCs w:val="22"/>
              </w:rPr>
              <w:t>,</w:t>
            </w:r>
          </w:p>
          <w:p w14:paraId="1F028D1F" w14:textId="77777777" w:rsidR="00823785" w:rsidRPr="00452D62" w:rsidRDefault="00823785" w:rsidP="006453B9">
            <w:pPr>
              <w:rPr>
                <w:sz w:val="22"/>
                <w:szCs w:val="22"/>
              </w:rPr>
            </w:pPr>
            <w:r w:rsidRPr="00452D62">
              <w:rPr>
                <w:sz w:val="22"/>
                <w:szCs w:val="22"/>
              </w:rPr>
              <w:t>padidėjęs GGT aktyvumas</w:t>
            </w:r>
            <w:r w:rsidRPr="00452D62">
              <w:rPr>
                <w:sz w:val="22"/>
                <w:szCs w:val="22"/>
                <w:vertAlign w:val="superscript"/>
              </w:rPr>
              <w:t>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3FECA4B2" w14:textId="77777777" w:rsidR="00823785" w:rsidRPr="00452D62" w:rsidRDefault="00823785" w:rsidP="006453B9">
            <w:pPr>
              <w:rPr>
                <w:sz w:val="22"/>
                <w:szCs w:val="22"/>
              </w:rPr>
            </w:pPr>
            <w:r w:rsidRPr="00452D62">
              <w:rPr>
                <w:sz w:val="22"/>
                <w:szCs w:val="22"/>
              </w:rPr>
              <w:t>Gelta, padidėjęs konjuguoto bilirubino kiekis (kartu gali padidėti arba nepadidėti ALT aktyvumas), cholestazė, hepatitas (įskaitant kepenų ląstelių pažeidimą)</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477109C"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16C5299C" w14:textId="77777777" w:rsidR="00823785" w:rsidRPr="00452D62" w:rsidRDefault="00823785" w:rsidP="006453B9">
            <w:pPr>
              <w:rPr>
                <w:sz w:val="22"/>
                <w:szCs w:val="22"/>
              </w:rPr>
            </w:pPr>
          </w:p>
        </w:tc>
      </w:tr>
      <w:tr w:rsidR="00823785" w:rsidRPr="00452D62" w14:paraId="3B78A017"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5A34ED18" w14:textId="77777777" w:rsidR="00823785" w:rsidRPr="00452D62" w:rsidRDefault="00823785" w:rsidP="006453B9">
            <w:pPr>
              <w:rPr>
                <w:sz w:val="22"/>
                <w:szCs w:val="22"/>
              </w:rPr>
            </w:pPr>
            <w:r w:rsidRPr="00452D62">
              <w:rPr>
                <w:b/>
                <w:bCs/>
                <w:sz w:val="22"/>
                <w:szCs w:val="22"/>
              </w:rPr>
              <w:t>Odos ir poodinio audinio sutrikimai</w:t>
            </w:r>
          </w:p>
        </w:tc>
      </w:tr>
      <w:tr w:rsidR="00823785" w:rsidRPr="00452D62" w14:paraId="7A0D372E"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1DA25B30" w14:textId="77777777" w:rsidR="00823785" w:rsidRPr="00452D62" w:rsidRDefault="00823785" w:rsidP="006453B9">
            <w:pPr>
              <w:rPr>
                <w:sz w:val="22"/>
                <w:szCs w:val="22"/>
              </w:rPr>
            </w:pPr>
            <w:r w:rsidRPr="00452D62">
              <w:rPr>
                <w:sz w:val="22"/>
                <w:szCs w:val="22"/>
              </w:rPr>
              <w:t>Niežėjimas (įskaitant nedažnus išplitusio niežėjimo atvejus), išbėrimas, ekchimozė, kraujavimas į odą ir po oda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78910931" w14:textId="77777777" w:rsidR="00823785" w:rsidRPr="00452D62" w:rsidRDefault="00823785" w:rsidP="006453B9">
            <w:pPr>
              <w:rPr>
                <w:sz w:val="22"/>
                <w:szCs w:val="22"/>
              </w:rPr>
            </w:pPr>
            <w:r w:rsidRPr="00452D62">
              <w:rPr>
                <w:sz w:val="22"/>
                <w:szCs w:val="22"/>
              </w:rPr>
              <w:t>Dilgėlinė</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6F1A84F3"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676B4AB2" w14:textId="77777777" w:rsidR="00823785" w:rsidRPr="00452D62" w:rsidRDefault="00823785" w:rsidP="006453B9">
            <w:pPr>
              <w:rPr>
                <w:sz w:val="22"/>
                <w:szCs w:val="22"/>
              </w:rPr>
            </w:pPr>
            <w:r w:rsidRPr="00452D62">
              <w:rPr>
                <w:i/>
                <w:iCs/>
                <w:sz w:val="22"/>
                <w:szCs w:val="22"/>
              </w:rPr>
              <w:t>Stevens-Johnson</w:t>
            </w:r>
            <w:r w:rsidRPr="00452D62">
              <w:rPr>
                <w:sz w:val="22"/>
                <w:szCs w:val="22"/>
              </w:rPr>
              <w:t xml:space="preserve"> (Stivenso-Džonsono) sindromas, toksinė epidermio nekrolizė, </w:t>
            </w:r>
            <w:r w:rsidRPr="00452D62">
              <w:rPr>
                <w:i/>
                <w:iCs/>
                <w:sz w:val="22"/>
                <w:szCs w:val="22"/>
              </w:rPr>
              <w:t>DRESS</w:t>
            </w:r>
            <w:r w:rsidRPr="00452D62">
              <w:rPr>
                <w:sz w:val="22"/>
                <w:szCs w:val="22"/>
              </w:rPr>
              <w:t xml:space="preserve"> sindromas</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1A1D8893" w14:textId="77777777" w:rsidR="00823785" w:rsidRPr="00452D62" w:rsidRDefault="00823785" w:rsidP="006453B9">
            <w:pPr>
              <w:rPr>
                <w:sz w:val="22"/>
                <w:szCs w:val="22"/>
              </w:rPr>
            </w:pPr>
          </w:p>
        </w:tc>
      </w:tr>
      <w:tr w:rsidR="00823785" w:rsidRPr="00452D62" w14:paraId="044E24FC"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680AE05C" w14:textId="77777777" w:rsidR="00823785" w:rsidRPr="00452D62" w:rsidRDefault="00823785" w:rsidP="006453B9">
            <w:pPr>
              <w:rPr>
                <w:sz w:val="22"/>
                <w:szCs w:val="22"/>
              </w:rPr>
            </w:pPr>
            <w:r w:rsidRPr="00452D62">
              <w:rPr>
                <w:b/>
                <w:sz w:val="22"/>
                <w:szCs w:val="22"/>
              </w:rPr>
              <w:t>Skeleto, raumenų ir jungiamojo audinio sutrikimai</w:t>
            </w:r>
          </w:p>
        </w:tc>
      </w:tr>
      <w:tr w:rsidR="00823785" w:rsidRPr="00452D62" w14:paraId="6A636F3D"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44ED78D1" w14:textId="77777777" w:rsidR="00823785" w:rsidRPr="00452D62" w:rsidRDefault="00823785" w:rsidP="006453B9">
            <w:pPr>
              <w:rPr>
                <w:sz w:val="22"/>
                <w:szCs w:val="22"/>
              </w:rPr>
            </w:pPr>
            <w:r w:rsidRPr="00452D62">
              <w:rPr>
                <w:sz w:val="22"/>
                <w:szCs w:val="22"/>
              </w:rPr>
              <w:t>Galūnių skausmas</w:t>
            </w:r>
            <w:r w:rsidRPr="00452D62">
              <w:rPr>
                <w:sz w:val="22"/>
                <w:szCs w:val="22"/>
                <w:vertAlign w:val="superscript"/>
              </w:rPr>
              <w:t>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6540B647" w14:textId="77777777" w:rsidR="00823785" w:rsidRPr="00452D62" w:rsidRDefault="00823785" w:rsidP="006453B9">
            <w:pPr>
              <w:rPr>
                <w:sz w:val="22"/>
                <w:szCs w:val="22"/>
              </w:rPr>
            </w:pPr>
            <w:r w:rsidRPr="00452D62">
              <w:rPr>
                <w:sz w:val="22"/>
                <w:szCs w:val="22"/>
              </w:rPr>
              <w:t>Hemartrozė</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7E9D9F26" w14:textId="77777777" w:rsidR="00823785" w:rsidRPr="00452D62" w:rsidRDefault="00823785" w:rsidP="006453B9">
            <w:pPr>
              <w:rPr>
                <w:sz w:val="22"/>
                <w:szCs w:val="22"/>
              </w:rPr>
            </w:pPr>
            <w:r w:rsidRPr="00452D62">
              <w:rPr>
                <w:sz w:val="22"/>
                <w:szCs w:val="22"/>
              </w:rPr>
              <w:t>Kraujavimas į raumenis</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FEF8171"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2245CA02" w14:textId="77777777" w:rsidR="00823785" w:rsidRPr="00452D62" w:rsidRDefault="00823785" w:rsidP="006453B9">
            <w:pPr>
              <w:rPr>
                <w:sz w:val="22"/>
                <w:szCs w:val="22"/>
              </w:rPr>
            </w:pPr>
            <w:r w:rsidRPr="00452D62">
              <w:rPr>
                <w:sz w:val="22"/>
                <w:szCs w:val="22"/>
              </w:rPr>
              <w:t>Suspaudimo sindromas dėl kraujavimo</w:t>
            </w:r>
          </w:p>
        </w:tc>
      </w:tr>
      <w:tr w:rsidR="00823785" w:rsidRPr="00452D62" w14:paraId="7A0504AD"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03AF6010" w14:textId="77777777" w:rsidR="00823785" w:rsidRPr="00452D62" w:rsidRDefault="00823785" w:rsidP="006453B9">
            <w:pPr>
              <w:rPr>
                <w:sz w:val="22"/>
                <w:szCs w:val="22"/>
              </w:rPr>
            </w:pPr>
            <w:r w:rsidRPr="00452D62">
              <w:rPr>
                <w:b/>
                <w:sz w:val="22"/>
                <w:szCs w:val="22"/>
              </w:rPr>
              <w:t>Inkstų ir šlapimo takų sutrikimai</w:t>
            </w:r>
          </w:p>
        </w:tc>
      </w:tr>
      <w:tr w:rsidR="00823785" w:rsidRPr="00452D62" w14:paraId="3DE15513"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2D9149E6" w14:textId="77777777" w:rsidR="00823785" w:rsidRPr="00452D62" w:rsidRDefault="00823785" w:rsidP="006453B9">
            <w:pPr>
              <w:rPr>
                <w:sz w:val="22"/>
                <w:szCs w:val="22"/>
              </w:rPr>
            </w:pPr>
            <w:r w:rsidRPr="00452D62">
              <w:rPr>
                <w:sz w:val="22"/>
                <w:szCs w:val="22"/>
              </w:rPr>
              <w:t>Kraujavimas iš urogenitalinio trakto (įskaitant hematuriją ir menoragiją</w:t>
            </w:r>
            <w:r w:rsidRPr="00452D62">
              <w:rPr>
                <w:sz w:val="22"/>
                <w:szCs w:val="22"/>
                <w:vertAlign w:val="superscript"/>
              </w:rPr>
              <w:t>B</w:t>
            </w:r>
            <w:r w:rsidRPr="00452D62">
              <w:rPr>
                <w:sz w:val="22"/>
                <w:szCs w:val="22"/>
              </w:rPr>
              <w:t>), inkstų funkcijos sutrikimas (įskaitant padidėjusį kreatinino kiekį kraujyje, padidėjusį šlapalo kiekį kraujyje)</w:t>
            </w:r>
            <w:r w:rsidRPr="00452D62">
              <w:rPr>
                <w:sz w:val="22"/>
                <w:szCs w:val="22"/>
                <w:vertAlign w:val="superscript"/>
              </w:rPr>
              <w:t>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39CCC982" w14:textId="77777777" w:rsidR="00823785" w:rsidRPr="00452D62" w:rsidRDefault="00823785" w:rsidP="006453B9">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005B489D"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48FD4DFB"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38A570B3" w14:textId="1EDF1BCA" w:rsidR="00823785" w:rsidRPr="00452D62" w:rsidRDefault="00823785" w:rsidP="006453B9">
            <w:pPr>
              <w:rPr>
                <w:sz w:val="22"/>
                <w:szCs w:val="22"/>
              </w:rPr>
            </w:pPr>
            <w:r w:rsidRPr="00452D62">
              <w:rPr>
                <w:sz w:val="22"/>
                <w:szCs w:val="22"/>
              </w:rPr>
              <w:t>Inkstų nepakankamumas/ūminis inkstų nepakankamumas dėl kraujavimo, kurio pakanka hipoperfuzijai sukelti</w:t>
            </w:r>
            <w:r w:rsidR="00A63DD3" w:rsidRPr="00AE1B80">
              <w:rPr>
                <w:sz w:val="22"/>
                <w:szCs w:val="22"/>
              </w:rPr>
              <w:t xml:space="preserve"> </w:t>
            </w:r>
            <w:r w:rsidR="00A63DD3" w:rsidRPr="00452D62">
              <w:rPr>
                <w:sz w:val="22"/>
                <w:szCs w:val="22"/>
              </w:rPr>
              <w:t>su antikoaguliantais susijusi nefropatija</w:t>
            </w:r>
          </w:p>
        </w:tc>
      </w:tr>
      <w:tr w:rsidR="00823785" w:rsidRPr="00452D62" w14:paraId="205D588D"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08898FC6" w14:textId="77777777" w:rsidR="00823785" w:rsidRPr="00452D62" w:rsidRDefault="00823785" w:rsidP="006453B9">
            <w:pPr>
              <w:rPr>
                <w:sz w:val="22"/>
                <w:szCs w:val="22"/>
              </w:rPr>
            </w:pPr>
            <w:r w:rsidRPr="00452D62">
              <w:rPr>
                <w:b/>
                <w:sz w:val="22"/>
                <w:szCs w:val="22"/>
              </w:rPr>
              <w:t>Bendrieji sutrikimai ir vartojimo vietos pažeidimai</w:t>
            </w:r>
          </w:p>
        </w:tc>
      </w:tr>
      <w:tr w:rsidR="00823785" w:rsidRPr="00452D62" w14:paraId="211EF500"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381AE6D9" w14:textId="77777777" w:rsidR="00823785" w:rsidRPr="00452D62" w:rsidRDefault="00823785" w:rsidP="006453B9">
            <w:pPr>
              <w:rPr>
                <w:sz w:val="22"/>
                <w:szCs w:val="22"/>
              </w:rPr>
            </w:pPr>
            <w:r w:rsidRPr="00452D62">
              <w:rPr>
                <w:sz w:val="22"/>
                <w:szCs w:val="22"/>
              </w:rPr>
              <w:t>Karščiavimas</w:t>
            </w:r>
            <w:r w:rsidRPr="00452D62">
              <w:rPr>
                <w:sz w:val="22"/>
                <w:szCs w:val="22"/>
                <w:vertAlign w:val="superscript"/>
              </w:rPr>
              <w:t>A</w:t>
            </w:r>
            <w:r w:rsidRPr="00452D62">
              <w:rPr>
                <w:sz w:val="22"/>
                <w:szCs w:val="22"/>
              </w:rPr>
              <w:t>, periferinė edema, sumažėjusi bendroji jėga ir energija (įskaitant nuovargį ir asteniją)</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7B16F390" w14:textId="77777777" w:rsidR="00823785" w:rsidRPr="00452D62" w:rsidRDefault="00823785" w:rsidP="006453B9">
            <w:pPr>
              <w:rPr>
                <w:sz w:val="22"/>
                <w:szCs w:val="22"/>
              </w:rPr>
            </w:pPr>
            <w:r w:rsidRPr="00452D62">
              <w:rPr>
                <w:sz w:val="22"/>
                <w:szCs w:val="22"/>
              </w:rPr>
              <w:t>Bloga savijauta (įskaitant negalavimą)</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3A8AC842" w14:textId="77777777" w:rsidR="00823785" w:rsidRPr="00452D62" w:rsidRDefault="00823785" w:rsidP="006453B9">
            <w:pPr>
              <w:rPr>
                <w:sz w:val="22"/>
                <w:szCs w:val="22"/>
              </w:rPr>
            </w:pPr>
            <w:r w:rsidRPr="00452D62">
              <w:rPr>
                <w:sz w:val="22"/>
                <w:szCs w:val="22"/>
              </w:rPr>
              <w:t>Lokali edema</w:t>
            </w:r>
            <w:r w:rsidRPr="00452D62">
              <w:rPr>
                <w:sz w:val="22"/>
                <w:szCs w:val="22"/>
                <w:vertAlign w:val="superscript"/>
              </w:rPr>
              <w:t>A</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9316A02"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7BCCD5A" w14:textId="77777777" w:rsidR="00823785" w:rsidRPr="00452D62" w:rsidRDefault="00823785" w:rsidP="006453B9">
            <w:pPr>
              <w:rPr>
                <w:sz w:val="22"/>
                <w:szCs w:val="22"/>
              </w:rPr>
            </w:pPr>
          </w:p>
        </w:tc>
      </w:tr>
      <w:tr w:rsidR="00823785" w:rsidRPr="00452D62" w14:paraId="7BFE55A4"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3BA9CBDB" w14:textId="77777777" w:rsidR="00823785" w:rsidRPr="00452D62" w:rsidRDefault="00823785" w:rsidP="006453B9">
            <w:pPr>
              <w:rPr>
                <w:sz w:val="22"/>
                <w:szCs w:val="22"/>
              </w:rPr>
            </w:pPr>
            <w:r w:rsidRPr="00452D62">
              <w:rPr>
                <w:b/>
                <w:sz w:val="22"/>
                <w:szCs w:val="22"/>
              </w:rPr>
              <w:t>Tyrimai</w:t>
            </w:r>
          </w:p>
        </w:tc>
      </w:tr>
      <w:tr w:rsidR="00823785" w:rsidRPr="00452D62" w14:paraId="664C18A9"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6728608C" w14:textId="77777777" w:rsidR="00823785" w:rsidRPr="00452D62" w:rsidRDefault="00823785" w:rsidP="006453B9">
            <w:pPr>
              <w:rPr>
                <w:sz w:val="22"/>
                <w:szCs w:val="22"/>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130CD153" w14:textId="77777777" w:rsidR="00823785" w:rsidRPr="00452D62" w:rsidRDefault="00823785" w:rsidP="006453B9">
            <w:pPr>
              <w:rPr>
                <w:sz w:val="22"/>
                <w:szCs w:val="22"/>
              </w:rPr>
            </w:pPr>
            <w:r w:rsidRPr="00452D62">
              <w:rPr>
                <w:sz w:val="22"/>
                <w:szCs w:val="22"/>
              </w:rPr>
              <w:t>Padidėjęs LDH aktyvumas</w:t>
            </w:r>
            <w:r w:rsidRPr="00452D62">
              <w:rPr>
                <w:sz w:val="22"/>
                <w:szCs w:val="22"/>
                <w:vertAlign w:val="superscript"/>
              </w:rPr>
              <w:t>A</w:t>
            </w:r>
            <w:r w:rsidRPr="00452D62">
              <w:rPr>
                <w:sz w:val="22"/>
                <w:szCs w:val="22"/>
              </w:rPr>
              <w:t>, padidėjęs lipazės aktyvumas</w:t>
            </w:r>
            <w:r w:rsidRPr="00452D62">
              <w:rPr>
                <w:sz w:val="22"/>
                <w:szCs w:val="22"/>
                <w:vertAlign w:val="superscript"/>
              </w:rPr>
              <w:t>A</w:t>
            </w:r>
            <w:r w:rsidRPr="00452D62">
              <w:rPr>
                <w:sz w:val="22"/>
                <w:szCs w:val="22"/>
              </w:rPr>
              <w:t>, padidėjęs amilazės aktyvumas</w:t>
            </w:r>
            <w:r w:rsidRPr="00452D62">
              <w:rPr>
                <w:sz w:val="22"/>
                <w:szCs w:val="22"/>
                <w:vertAlign w:val="superscript"/>
              </w:rPr>
              <w:t>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6DC7174B"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9D596A7"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620148A0" w14:textId="77777777" w:rsidR="00823785" w:rsidRPr="00452D62" w:rsidRDefault="00823785" w:rsidP="006453B9">
            <w:pPr>
              <w:rPr>
                <w:sz w:val="22"/>
                <w:szCs w:val="22"/>
              </w:rPr>
            </w:pPr>
          </w:p>
        </w:tc>
      </w:tr>
      <w:tr w:rsidR="00823785" w:rsidRPr="00452D62" w14:paraId="0C2428EF"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105AF2E0" w14:textId="77777777" w:rsidR="00823785" w:rsidRPr="00452D62" w:rsidRDefault="00823785" w:rsidP="006453B9">
            <w:pPr>
              <w:rPr>
                <w:sz w:val="22"/>
                <w:szCs w:val="22"/>
              </w:rPr>
            </w:pPr>
            <w:r w:rsidRPr="00452D62">
              <w:rPr>
                <w:b/>
                <w:sz w:val="22"/>
                <w:szCs w:val="22"/>
              </w:rPr>
              <w:t>Sužalojimai, apsinuodijimai ir procedūrų komplikacijos</w:t>
            </w:r>
          </w:p>
        </w:tc>
      </w:tr>
      <w:tr w:rsidR="00823785" w:rsidRPr="00452D62" w14:paraId="55476F55"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62431D15" w14:textId="77777777" w:rsidR="00823785" w:rsidRPr="00452D62" w:rsidRDefault="00823785" w:rsidP="006453B9">
            <w:pPr>
              <w:rPr>
                <w:sz w:val="22"/>
                <w:szCs w:val="22"/>
              </w:rPr>
            </w:pPr>
            <w:r w:rsidRPr="00452D62">
              <w:rPr>
                <w:sz w:val="22"/>
                <w:szCs w:val="22"/>
              </w:rPr>
              <w:t>Kraujavimas po procedūros (įskaitant pooperacinę anemiją ir kraujavimą iš žaizdos), kontūzija, sekrecija iš žaizdos</w:t>
            </w:r>
            <w:r w:rsidRPr="00452D62">
              <w:rPr>
                <w:sz w:val="22"/>
                <w:szCs w:val="22"/>
                <w:vertAlign w:val="superscript"/>
              </w:rPr>
              <w:t>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43BF9AAD" w14:textId="77777777" w:rsidR="00823785" w:rsidRPr="00452D62" w:rsidRDefault="00823785" w:rsidP="006453B9">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289DB5D7" w14:textId="77777777" w:rsidR="00823785" w:rsidRPr="00452D62" w:rsidRDefault="00823785" w:rsidP="006453B9">
            <w:pPr>
              <w:rPr>
                <w:sz w:val="22"/>
                <w:szCs w:val="22"/>
              </w:rPr>
            </w:pPr>
            <w:r w:rsidRPr="00452D62">
              <w:rPr>
                <w:sz w:val="22"/>
                <w:szCs w:val="22"/>
              </w:rPr>
              <w:t>Kraujagyslių pseudoaneurizma</w:t>
            </w:r>
            <w:r w:rsidRPr="00452D62">
              <w:rPr>
                <w:sz w:val="22"/>
                <w:szCs w:val="22"/>
                <w:vertAlign w:val="superscript"/>
              </w:rPr>
              <w:t>C</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4555CE86"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7E0C738" w14:textId="77777777" w:rsidR="00823785" w:rsidRPr="00452D62" w:rsidRDefault="00823785" w:rsidP="006453B9">
            <w:pPr>
              <w:rPr>
                <w:sz w:val="22"/>
                <w:szCs w:val="22"/>
              </w:rPr>
            </w:pPr>
          </w:p>
        </w:tc>
      </w:tr>
    </w:tbl>
    <w:p w14:paraId="3086EE5D" w14:textId="77777777" w:rsidR="00823785" w:rsidRPr="00452D62" w:rsidRDefault="00823785" w:rsidP="00823785">
      <w:pPr>
        <w:rPr>
          <w:sz w:val="22"/>
          <w:szCs w:val="22"/>
        </w:rPr>
      </w:pPr>
      <w:r w:rsidRPr="00452D62">
        <w:rPr>
          <w:sz w:val="22"/>
          <w:szCs w:val="22"/>
        </w:rPr>
        <w:t>A: pastebėta taikant VTE profilaktiką suaugusiems pacientams, atliekant planines klubo arba kelio sąnario pakeitimo operacijas;</w:t>
      </w:r>
    </w:p>
    <w:p w14:paraId="4373417F" w14:textId="77777777" w:rsidR="00823785" w:rsidRPr="00452D62" w:rsidRDefault="00823785" w:rsidP="00823785">
      <w:pPr>
        <w:rPr>
          <w:sz w:val="22"/>
          <w:szCs w:val="22"/>
        </w:rPr>
      </w:pPr>
      <w:r w:rsidRPr="00452D62">
        <w:rPr>
          <w:sz w:val="22"/>
          <w:szCs w:val="22"/>
        </w:rPr>
        <w:t>B: pastebėtas kaip labai dažnas nepageidaujamas poveikis, gydant GVT, PE ir taikant šių sutrikimų pasikartojimo profilaktiką jaunesnėms nei 55 metų amžiaus moterims;</w:t>
      </w:r>
    </w:p>
    <w:p w14:paraId="37A48B91" w14:textId="77777777" w:rsidR="00823785" w:rsidRPr="00452D62" w:rsidRDefault="00823785" w:rsidP="00823785">
      <w:pPr>
        <w:rPr>
          <w:sz w:val="22"/>
          <w:szCs w:val="22"/>
        </w:rPr>
      </w:pPr>
      <w:r w:rsidRPr="00452D62">
        <w:rPr>
          <w:sz w:val="22"/>
          <w:szCs w:val="22"/>
        </w:rPr>
        <w:t>C: pastebėtas kaip nedažnas nepageidaujamas poveikis, taikant aterotrombozinių reiškinių profilaktiką pacientams, patyrusiems ŪKS (po perkutaninės vainikinės intervencijos).</w:t>
      </w:r>
    </w:p>
    <w:p w14:paraId="3E8AF8C4" w14:textId="11F0E7A5" w:rsidR="00823785" w:rsidRPr="00452D62" w:rsidRDefault="00823785" w:rsidP="00823785">
      <w:pPr>
        <w:tabs>
          <w:tab w:val="clear" w:pos="567"/>
        </w:tabs>
        <w:rPr>
          <w:sz w:val="22"/>
          <w:szCs w:val="22"/>
        </w:rPr>
      </w:pPr>
      <w:r w:rsidRPr="00452D62">
        <w:rPr>
          <w:sz w:val="22"/>
          <w:szCs w:val="22"/>
        </w:rPr>
        <w:t>* Pasirinktų III fazės tyrimų metu buvo taikomas iš anksto numatytas selektyvus nepageidaujamų reiškinių rinkimo metodas. Remiantis šių tyrimų analize, nepageidaujamų reakcijų dažnis nepadidėjo ir naujų nepageidaujamų reakcijų nenustatyta.</w:t>
      </w:r>
    </w:p>
    <w:p w14:paraId="74764ECB" w14:textId="77777777" w:rsidR="00823785" w:rsidRPr="00452D62" w:rsidRDefault="00823785" w:rsidP="00823785">
      <w:pPr>
        <w:rPr>
          <w:sz w:val="22"/>
          <w:szCs w:val="22"/>
        </w:rPr>
      </w:pPr>
    </w:p>
    <w:p w14:paraId="79B9A88B" w14:textId="77777777" w:rsidR="00823785" w:rsidRPr="00452D62" w:rsidRDefault="00823785" w:rsidP="00823785">
      <w:pPr>
        <w:rPr>
          <w:sz w:val="22"/>
          <w:szCs w:val="22"/>
        </w:rPr>
      </w:pPr>
      <w:r w:rsidRPr="00452D62">
        <w:rPr>
          <w:sz w:val="22"/>
          <w:szCs w:val="22"/>
          <w:u w:val="single"/>
        </w:rPr>
        <w:t>Atrinktų nepageidaujamų reakcijų apibūdinimas</w:t>
      </w:r>
    </w:p>
    <w:p w14:paraId="6283E4CA" w14:textId="77777777" w:rsidR="00823785" w:rsidRPr="00452D62" w:rsidRDefault="00823785" w:rsidP="00823785">
      <w:pPr>
        <w:rPr>
          <w:sz w:val="22"/>
          <w:szCs w:val="22"/>
        </w:rPr>
      </w:pPr>
      <w:r w:rsidRPr="00452D62">
        <w:rPr>
          <w:sz w:val="22"/>
          <w:szCs w:val="22"/>
        </w:rPr>
        <w:t>Dėl farmakologinio veikimo mechanizmo rivaroksabano vartojimas gali būti susijęs su padidėjusia slapto ar akivaizdaus kraujavimo rizika iš bet kurio audinio ar organo, todėl gali pasireikšti pohemoraginė anemija. Požymiai, simptomai ir sunkumas (įskaitant mirties atvejus) yra skirtingi ir priklauso nuo kraujavimo vietos ir intensyvumo ir (arba) anemijos laipsnio (žr. poskyrį „Kraujavimo kontrolė“ 4.9 skyriuje). Klinikinių tyrimų metu kraujavimas iš gleivinės (t. y. iš nosies, dantenų, virškinimo trakto, lytinių organų ir šlapimo takų, įskaitant nenormalų kraujavimą iš makšties arba sustiprėjusį menstruacinį kraujavimą) ir anemija dažniau buvo pastebėtas taikant ilgalaikį gydymą rivaroksabanu, palyginti su gydymu VKA. Taigi, papildant reikiamą klinikinį stebėjimą, slaptam kraujavimui nustatyti ir klinikinei akivaizdaus kraujavimo reikšmei įvertinti gali būti naudingi hemoglobino ir (arba) hematokrito laboratoriniai tyrimai, jei manoma, kad jie yra tinkami. Gali būti padidėjusi kraujavimo rizika tam tikroms pacientų grupėms, pvz., tiems pacientams, kurie serga nekontroliuojama sunkia arterine hipertenzija ir (arba) kartu gydomi kitais vaistiniais preparatais, kurie veikia hemostazę (žr. poskyrį „Kraujavimo rizika“ 4.4 skyriuje). Gali sustiprėti ir (arba) pailgėti menstruacinis kraujavimas. Hemoraginės komplikacijos gali pasireikšti silpnumu, blyškumu, svaiguliu, galvos skausmu ar nepaaiškinamu patinimu, dusuliu ir nepaaiškinamu šoku. Kai kuriais atvejais, kaip anemijos pasekmė, pastebėta širdies išemijos simptomų, pvz., krūtinės skausmas arba krūtinės angina.</w:t>
      </w:r>
    </w:p>
    <w:p w14:paraId="78ED02CE" w14:textId="5A71D43F" w:rsidR="00823785" w:rsidRPr="00452D62" w:rsidRDefault="00823785" w:rsidP="00823785">
      <w:pPr>
        <w:rPr>
          <w:sz w:val="22"/>
          <w:szCs w:val="22"/>
        </w:rPr>
      </w:pPr>
      <w:r w:rsidRPr="00452D62">
        <w:rPr>
          <w:sz w:val="22"/>
          <w:szCs w:val="22"/>
        </w:rPr>
        <w:t xml:space="preserve">Pranešta apie žinomas antrines sunkaus kraujavimo komplikacijas, pvz., suspaudimo sindromą ir inkstų nepakankamumą dėl hipoperfuzijos </w:t>
      </w:r>
      <w:bookmarkStart w:id="2" w:name="_Hlk158724293"/>
      <w:r w:rsidR="00EF6C67" w:rsidRPr="00452D62">
        <w:rPr>
          <w:sz w:val="22"/>
          <w:szCs w:val="22"/>
        </w:rPr>
        <w:t xml:space="preserve">ar su antikoaguliantais susijusią nefropatiją </w:t>
      </w:r>
      <w:bookmarkEnd w:id="2"/>
      <w:r w:rsidRPr="00452D62">
        <w:rPr>
          <w:sz w:val="22"/>
          <w:szCs w:val="22"/>
        </w:rPr>
        <w:t>vartojant rivaroksabano. Todėl reikia atsižvelgti į kraujavimo galimybę, įvertinant bet kurio antikoaguliantais gydomo paciento būklę.</w:t>
      </w:r>
    </w:p>
    <w:p w14:paraId="6DEEC403" w14:textId="77777777" w:rsidR="00EF6C67" w:rsidRPr="00452D62" w:rsidRDefault="00EF6C67" w:rsidP="00EF6C67">
      <w:pPr>
        <w:rPr>
          <w:sz w:val="22"/>
          <w:szCs w:val="22"/>
        </w:rPr>
      </w:pPr>
    </w:p>
    <w:p w14:paraId="4C750280" w14:textId="2EAAEA64" w:rsidR="00EF6C67" w:rsidRPr="00452D62" w:rsidRDefault="00EF6C67" w:rsidP="00EF6C67">
      <w:pPr>
        <w:rPr>
          <w:sz w:val="22"/>
          <w:szCs w:val="22"/>
        </w:rPr>
      </w:pPr>
      <w:bookmarkStart w:id="3" w:name="_Hlk158724304"/>
      <w:r w:rsidRPr="00452D62">
        <w:rPr>
          <w:sz w:val="22"/>
          <w:szCs w:val="22"/>
        </w:rPr>
        <w:t>Vaikų populiacija</w:t>
      </w:r>
    </w:p>
    <w:p w14:paraId="3FEDD48C" w14:textId="77777777" w:rsidR="00EF6C67" w:rsidRPr="00AE1B80" w:rsidRDefault="00EF6C67" w:rsidP="00EF6C67">
      <w:pPr>
        <w:rPr>
          <w:i/>
          <w:sz w:val="22"/>
          <w:szCs w:val="22"/>
        </w:rPr>
      </w:pPr>
      <w:r w:rsidRPr="00AE1B80">
        <w:rPr>
          <w:i/>
          <w:sz w:val="22"/>
          <w:szCs w:val="22"/>
        </w:rPr>
        <w:t>VTE gydymas ir pasikartojančios VTE profilaktika</w:t>
      </w:r>
    </w:p>
    <w:p w14:paraId="21FFD5DA" w14:textId="556F378B" w:rsidR="00EF6C67" w:rsidRPr="00452D62" w:rsidRDefault="00EF6C67" w:rsidP="00EF6C67">
      <w:pPr>
        <w:rPr>
          <w:sz w:val="22"/>
          <w:szCs w:val="22"/>
        </w:rPr>
      </w:pPr>
      <w:r w:rsidRPr="00452D62">
        <w:rPr>
          <w:sz w:val="22"/>
          <w:szCs w:val="22"/>
        </w:rPr>
        <w:t>Saugumo vertinimas vaikams ir paaugliams yra pagrįstas saugumo duomenimis, gautais atlikus du II fazės ir vieną III fazės atvirus, veikliuoju vaistiniu preparatu kontroliuojamus tyrimus su vaikais</w:t>
      </w:r>
      <w:r w:rsidR="00217FE5">
        <w:rPr>
          <w:sz w:val="22"/>
          <w:szCs w:val="22"/>
        </w:rPr>
        <w:t xml:space="preserve"> ir paaugliais</w:t>
      </w:r>
      <w:r w:rsidRPr="00452D62">
        <w:rPr>
          <w:sz w:val="22"/>
          <w:szCs w:val="22"/>
        </w:rPr>
        <w:t>, kurių amžius buvo nuo gimimo iki mažiau kaip 18 metų. Rivaroksabano ir palyginamojo vaistinio preparato saugumo duomenys įvairiose vaikų amžiaus grupėse daugiausiai buvo panašūs. Apskritai 412 vaikų ir paauglių, gydytų rivaroksabanu, saugumo duomenys buvo panašūs į suaugusių populiacijoje gautus duomenis ir nuoseklūs skirtinguose amžiaus pogrupiuose, nors vertinimo galimybė buvo ribota dėl nedidelio pacientų skaičiaus.</w:t>
      </w:r>
    </w:p>
    <w:p w14:paraId="76C3F9B7" w14:textId="0C68CE79" w:rsidR="00823785" w:rsidRPr="00452D62" w:rsidRDefault="00EF6C67" w:rsidP="00EF6C67">
      <w:pPr>
        <w:rPr>
          <w:sz w:val="22"/>
          <w:szCs w:val="22"/>
        </w:rPr>
      </w:pPr>
      <w:r w:rsidRPr="00452D62">
        <w:rPr>
          <w:sz w:val="22"/>
          <w:szCs w:val="22"/>
        </w:rPr>
        <w:t>Vaikams, palyginti su suaugusiais pacientais, dažniau nustatytas galvos skausmas (labai dažnas, 16,7</w:t>
      </w:r>
      <w:r w:rsidR="008C3DF7">
        <w:rPr>
          <w:sz w:val="22"/>
          <w:szCs w:val="22"/>
        </w:rPr>
        <w:t> %</w:t>
      </w:r>
      <w:r w:rsidRPr="00452D62">
        <w:rPr>
          <w:sz w:val="22"/>
          <w:szCs w:val="22"/>
        </w:rPr>
        <w:t>), karščiavimas (labai dažnas, 11,7</w:t>
      </w:r>
      <w:r w:rsidR="008C3DF7">
        <w:rPr>
          <w:sz w:val="22"/>
          <w:szCs w:val="22"/>
        </w:rPr>
        <w:t> %</w:t>
      </w:r>
      <w:r w:rsidRPr="00452D62">
        <w:rPr>
          <w:sz w:val="22"/>
          <w:szCs w:val="22"/>
        </w:rPr>
        <w:t>), kraujavimas iš nosies (labai dažnas, 11,2</w:t>
      </w:r>
      <w:r w:rsidR="008C3DF7">
        <w:rPr>
          <w:sz w:val="22"/>
          <w:szCs w:val="22"/>
        </w:rPr>
        <w:t> %</w:t>
      </w:r>
      <w:r w:rsidRPr="00452D62">
        <w:rPr>
          <w:sz w:val="22"/>
          <w:szCs w:val="22"/>
        </w:rPr>
        <w:t>), vėmimas (labai dažnas, 10,7</w:t>
      </w:r>
      <w:r w:rsidR="008C3DF7">
        <w:rPr>
          <w:sz w:val="22"/>
          <w:szCs w:val="22"/>
        </w:rPr>
        <w:t> %</w:t>
      </w:r>
      <w:r w:rsidRPr="00452D62">
        <w:rPr>
          <w:sz w:val="22"/>
          <w:szCs w:val="22"/>
        </w:rPr>
        <w:t>), tachikardija (dažnas, 1,5</w:t>
      </w:r>
      <w:r w:rsidR="008C3DF7">
        <w:rPr>
          <w:sz w:val="22"/>
          <w:szCs w:val="22"/>
        </w:rPr>
        <w:t> %</w:t>
      </w:r>
      <w:r w:rsidRPr="00452D62">
        <w:rPr>
          <w:sz w:val="22"/>
          <w:szCs w:val="22"/>
        </w:rPr>
        <w:t>), padidėjęs bilirubino kiekis (dažnas, 1,5</w:t>
      </w:r>
      <w:r w:rsidR="008C3DF7">
        <w:rPr>
          <w:sz w:val="22"/>
          <w:szCs w:val="22"/>
        </w:rPr>
        <w:t> %</w:t>
      </w:r>
      <w:r w:rsidRPr="00452D62">
        <w:rPr>
          <w:sz w:val="22"/>
          <w:szCs w:val="22"/>
        </w:rPr>
        <w:t>) ir padidėjęs konjuguoto bilirubino kiekis (nedažnas, 0,7</w:t>
      </w:r>
      <w:r w:rsidR="008C3DF7">
        <w:rPr>
          <w:sz w:val="22"/>
          <w:szCs w:val="22"/>
        </w:rPr>
        <w:t> %</w:t>
      </w:r>
      <w:r w:rsidRPr="00452D62">
        <w:rPr>
          <w:sz w:val="22"/>
          <w:szCs w:val="22"/>
        </w:rPr>
        <w:t>). Panašiai kaip ir suaugusių populiacijoje, 6,6</w:t>
      </w:r>
      <w:r w:rsidR="008C3DF7">
        <w:rPr>
          <w:sz w:val="22"/>
          <w:szCs w:val="22"/>
        </w:rPr>
        <w:t> %</w:t>
      </w:r>
      <w:r w:rsidRPr="00452D62">
        <w:rPr>
          <w:sz w:val="22"/>
          <w:szCs w:val="22"/>
        </w:rPr>
        <w:t xml:space="preserve"> (dažnas) paauglių merginų po menarchės pasireiškė menoragija. Kaip ir suaugusių populiacijoje po vaistinio preparato pateikimo į rinką, su vaikais atliktų klinikinių tyrimų metu buvo dažnai (4,6 </w:t>
      </w:r>
      <w:r w:rsidR="008C3DF7">
        <w:rPr>
          <w:sz w:val="22"/>
          <w:szCs w:val="22"/>
        </w:rPr>
        <w:t> %</w:t>
      </w:r>
      <w:r w:rsidRPr="00452D62">
        <w:rPr>
          <w:sz w:val="22"/>
          <w:szCs w:val="22"/>
        </w:rPr>
        <w:t>) nustatyta trombocitopenija. Vaikams pasireiškusios nepageidaujamos reakcijos į vaistinį preparatą daugiausiai buvo lengvos ir vidutinio sunkumo.</w:t>
      </w:r>
    </w:p>
    <w:bookmarkEnd w:id="3"/>
    <w:p w14:paraId="5E2C9F2D" w14:textId="77777777" w:rsidR="00EF6C67" w:rsidRPr="00452D62" w:rsidRDefault="00EF6C67" w:rsidP="00EF6C67">
      <w:pPr>
        <w:rPr>
          <w:sz w:val="22"/>
          <w:szCs w:val="22"/>
        </w:rPr>
      </w:pPr>
    </w:p>
    <w:p w14:paraId="574FE7AD" w14:textId="77777777" w:rsidR="00823785" w:rsidRPr="00452D62" w:rsidRDefault="00823785" w:rsidP="00823785">
      <w:pPr>
        <w:rPr>
          <w:sz w:val="22"/>
          <w:szCs w:val="22"/>
        </w:rPr>
      </w:pPr>
      <w:r w:rsidRPr="00452D62">
        <w:rPr>
          <w:sz w:val="22"/>
          <w:szCs w:val="22"/>
          <w:u w:val="single"/>
        </w:rPr>
        <w:t>Pranešimas apie įtariamas nepageidaujamas reakcijas</w:t>
      </w:r>
    </w:p>
    <w:p w14:paraId="2A424224" w14:textId="5BF9E85B" w:rsidR="00CB25DC" w:rsidRPr="00701AC2" w:rsidRDefault="00CB25DC" w:rsidP="00701AC2">
      <w:pPr>
        <w:suppressAutoHyphens w:val="0"/>
        <w:jc w:val="both"/>
        <w:rPr>
          <w:color w:val="auto"/>
          <w:sz w:val="22"/>
        </w:rPr>
      </w:pPr>
      <w:r w:rsidRPr="00701AC2">
        <w:rPr>
          <w:color w:val="auto"/>
          <w:sz w:val="22"/>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w:t>
      </w:r>
      <w:r w:rsidRPr="00CB25DC">
        <w:rPr>
          <w:color w:val="auto"/>
          <w:sz w:val="22"/>
          <w:szCs w:val="22"/>
          <w:lang w:eastAsia="en-US"/>
        </w:rPr>
        <w:t xml:space="preserve"> ir pateikę</w:t>
      </w:r>
      <w:r w:rsidRPr="00701AC2">
        <w:rPr>
          <w:color w:val="auto"/>
          <w:sz w:val="22"/>
        </w:rPr>
        <w:t xml:space="preserve"> pranešimo formą </w:t>
      </w:r>
      <w:r w:rsidRPr="00CB25DC">
        <w:rPr>
          <w:color w:val="auto"/>
          <w:sz w:val="22"/>
          <w:szCs w:val="22"/>
          <w:lang w:eastAsia="en-US"/>
        </w:rPr>
        <w:t xml:space="preserve">Valstybinės vaistų kontrolės tarnybos prie Lietuvos Respublikos sveikatos apsaugos ministerijos tinklalapyje </w:t>
      </w:r>
      <w:r w:rsidRPr="00CB25DC">
        <w:rPr>
          <w:color w:val="auto"/>
          <w:sz w:val="22"/>
          <w:szCs w:val="22"/>
          <w:u w:val="single"/>
          <w:lang w:eastAsia="en-US"/>
        </w:rPr>
        <w:t>https://vvkt.lrv.lt/lt/</w:t>
      </w:r>
      <w:r w:rsidRPr="00CB25DC">
        <w:rPr>
          <w:color w:val="auto"/>
          <w:sz w:val="22"/>
          <w:szCs w:val="22"/>
          <w:lang w:eastAsia="en-US"/>
        </w:rPr>
        <w:t xml:space="preserve"> nurodytais būdais.</w:t>
      </w:r>
    </w:p>
    <w:p w14:paraId="2069D622" w14:textId="77777777" w:rsidR="00823785" w:rsidRPr="00452D62" w:rsidRDefault="00823785" w:rsidP="00823785">
      <w:pPr>
        <w:rPr>
          <w:sz w:val="22"/>
          <w:szCs w:val="22"/>
        </w:rPr>
      </w:pPr>
    </w:p>
    <w:p w14:paraId="1748954B" w14:textId="77777777" w:rsidR="00823785" w:rsidRPr="00452D62" w:rsidRDefault="00823785" w:rsidP="00823785">
      <w:pPr>
        <w:widowControl w:val="0"/>
        <w:suppressAutoHyphens w:val="0"/>
        <w:spacing w:line="240" w:lineRule="auto"/>
        <w:ind w:left="567" w:hanging="567"/>
        <w:outlineLvl w:val="2"/>
        <w:rPr>
          <w:sz w:val="22"/>
          <w:szCs w:val="22"/>
        </w:rPr>
      </w:pPr>
      <w:r w:rsidRPr="00452D62">
        <w:rPr>
          <w:b/>
          <w:color w:val="auto"/>
          <w:kern w:val="28"/>
          <w:sz w:val="22"/>
          <w:szCs w:val="22"/>
          <w:lang w:eastAsia="en-US"/>
        </w:rPr>
        <w:t>4.9</w:t>
      </w:r>
      <w:r w:rsidRPr="00452D62">
        <w:rPr>
          <w:b/>
          <w:color w:val="auto"/>
          <w:kern w:val="28"/>
          <w:sz w:val="22"/>
          <w:szCs w:val="22"/>
          <w:lang w:eastAsia="en-US"/>
        </w:rPr>
        <w:tab/>
        <w:t>Perdozavimas</w:t>
      </w:r>
    </w:p>
    <w:p w14:paraId="569427E6" w14:textId="77777777" w:rsidR="00823785" w:rsidRPr="00452D62" w:rsidRDefault="00823785" w:rsidP="00823785">
      <w:pPr>
        <w:rPr>
          <w:sz w:val="22"/>
          <w:szCs w:val="22"/>
        </w:rPr>
      </w:pPr>
    </w:p>
    <w:p w14:paraId="0CCB919A" w14:textId="4D043679" w:rsidR="00823785" w:rsidRPr="00452D62" w:rsidRDefault="00823785" w:rsidP="00823785">
      <w:pPr>
        <w:rPr>
          <w:sz w:val="22"/>
          <w:szCs w:val="22"/>
        </w:rPr>
      </w:pPr>
      <w:r w:rsidRPr="00452D62">
        <w:rPr>
          <w:sz w:val="22"/>
          <w:szCs w:val="22"/>
        </w:rPr>
        <w:t xml:space="preserve">Pranešta apie retus suaugusiųjų perdozavimo iki 1960 mg atvejus. Perdozavimo atveju, pacientas turi būti atidžiai stebimas dėl kraujavimo komplikacijų arba kitų nepageidaujamų reakcijų (žr. skyrių „Gydymas esant kraujavimui“). </w:t>
      </w:r>
      <w:bookmarkStart w:id="4" w:name="_Hlk158724355"/>
      <w:r w:rsidR="00EF6C67" w:rsidRPr="00452D62">
        <w:rPr>
          <w:sz w:val="22"/>
          <w:szCs w:val="22"/>
        </w:rPr>
        <w:t>Duomenys apie vaikus yra riboti.</w:t>
      </w:r>
      <w:bookmarkEnd w:id="4"/>
      <w:r w:rsidR="00EF6C67" w:rsidRPr="00452D62">
        <w:rPr>
          <w:sz w:val="22"/>
          <w:szCs w:val="22"/>
        </w:rPr>
        <w:t xml:space="preserve"> </w:t>
      </w:r>
      <w:r w:rsidRPr="00452D62">
        <w:rPr>
          <w:sz w:val="22"/>
          <w:szCs w:val="22"/>
        </w:rPr>
        <w:t>Tikėtina, kad dėl ribotos absorbcijos, vartojant terapines dozes viršijančias 50 mg ir didesnes rivaroksabano dozes, suaugusiems pasiekiama maksimali vidutinė ekspozicija plazmoje, kuri, toliau didinant dozę, nebedidėja</w:t>
      </w:r>
      <w:bookmarkStart w:id="5" w:name="_Hlk158724373"/>
      <w:r w:rsidR="00DA53AF" w:rsidRPr="00452D62">
        <w:rPr>
          <w:sz w:val="22"/>
          <w:szCs w:val="22"/>
        </w:rPr>
        <w:t>,</w:t>
      </w:r>
      <w:r w:rsidR="00DA53AF" w:rsidRPr="00AE1B80">
        <w:rPr>
          <w:sz w:val="22"/>
          <w:szCs w:val="22"/>
        </w:rPr>
        <w:t xml:space="preserve"> </w:t>
      </w:r>
      <w:r w:rsidR="00DA53AF" w:rsidRPr="00452D62">
        <w:rPr>
          <w:sz w:val="22"/>
          <w:szCs w:val="22"/>
        </w:rPr>
        <w:t>tačiau duomenų apie didesnių nei gydomųjų dozių vartojimą vaikams nėra</w:t>
      </w:r>
      <w:bookmarkEnd w:id="5"/>
      <w:r w:rsidRPr="00452D62">
        <w:rPr>
          <w:sz w:val="22"/>
          <w:szCs w:val="22"/>
        </w:rPr>
        <w:t>.</w:t>
      </w:r>
    </w:p>
    <w:p w14:paraId="789D7BC3" w14:textId="48CB477F" w:rsidR="00823785" w:rsidRPr="00452D62" w:rsidRDefault="00823785" w:rsidP="00823785">
      <w:pPr>
        <w:rPr>
          <w:sz w:val="22"/>
          <w:szCs w:val="22"/>
        </w:rPr>
      </w:pPr>
      <w:r w:rsidRPr="00452D62">
        <w:rPr>
          <w:sz w:val="22"/>
          <w:szCs w:val="22"/>
        </w:rPr>
        <w:t xml:space="preserve">Yra specifinis neutralizuojantis vaistinis preparatas (andeksanetas alfa), rivaroksabano farmakodinaminio poveikio antagonistas, kuris skirtas suaugusiems </w:t>
      </w:r>
      <w:bookmarkStart w:id="6" w:name="_Hlk158724390"/>
      <w:r w:rsidR="00EF6C67" w:rsidRPr="00452D62">
        <w:rPr>
          <w:sz w:val="22"/>
          <w:szCs w:val="22"/>
        </w:rPr>
        <w:t xml:space="preserve">bet neištirtas vaikams </w:t>
      </w:r>
      <w:bookmarkEnd w:id="6"/>
      <w:r w:rsidRPr="00452D62">
        <w:rPr>
          <w:sz w:val="22"/>
          <w:szCs w:val="22"/>
        </w:rPr>
        <w:t xml:space="preserve">(žr. andeksaneto alfa preparato charakteristikų santrauką). </w:t>
      </w:r>
    </w:p>
    <w:p w14:paraId="4CA1D83B" w14:textId="77777777" w:rsidR="00823785" w:rsidRPr="00452D62" w:rsidRDefault="00823785" w:rsidP="00823785">
      <w:pPr>
        <w:rPr>
          <w:sz w:val="22"/>
          <w:szCs w:val="22"/>
        </w:rPr>
      </w:pPr>
      <w:r w:rsidRPr="00452D62">
        <w:rPr>
          <w:sz w:val="22"/>
          <w:szCs w:val="22"/>
        </w:rPr>
        <w:t>Galima apsvarstyti aktyvintosios anglies skyrimą, taip sumažinant absorbciją po rivaroksabano perdozavimo.</w:t>
      </w:r>
    </w:p>
    <w:p w14:paraId="77F13AF4" w14:textId="77777777" w:rsidR="00823785" w:rsidRPr="00452D62" w:rsidRDefault="00823785" w:rsidP="00823785">
      <w:pPr>
        <w:rPr>
          <w:sz w:val="22"/>
          <w:szCs w:val="22"/>
          <w:u w:val="single"/>
        </w:rPr>
      </w:pPr>
    </w:p>
    <w:p w14:paraId="7C6F9594" w14:textId="77777777" w:rsidR="00823785" w:rsidRPr="00452D62" w:rsidRDefault="00823785" w:rsidP="00823785">
      <w:pPr>
        <w:rPr>
          <w:sz w:val="22"/>
          <w:szCs w:val="22"/>
        </w:rPr>
      </w:pPr>
      <w:r w:rsidRPr="00452D62">
        <w:rPr>
          <w:sz w:val="22"/>
          <w:szCs w:val="22"/>
          <w:u w:val="single"/>
        </w:rPr>
        <w:t>Kraujavimo kontrolė</w:t>
      </w:r>
    </w:p>
    <w:p w14:paraId="5FCA412E" w14:textId="7CD15B1D" w:rsidR="00823785" w:rsidRPr="00452D62" w:rsidRDefault="00823785" w:rsidP="00823785">
      <w:pPr>
        <w:rPr>
          <w:sz w:val="22"/>
          <w:szCs w:val="22"/>
        </w:rPr>
      </w:pPr>
      <w:r w:rsidRPr="00452D62">
        <w:rPr>
          <w:sz w:val="22"/>
          <w:szCs w:val="22"/>
        </w:rPr>
        <w:t>Jei rivaroksabano vartojančiam pacientui pasireiškė kraujavimo komplikacija, reikia pavėlinti kitos rivaroksabano dozės vartojimą arba gydymą nutraukti (kaip tinkama). Rivaroksabano pusinės eliminacijos laikas suaugusiems yra maždaug 5</w:t>
      </w:r>
      <w:r w:rsidRPr="00452D62">
        <w:rPr>
          <w:sz w:val="22"/>
          <w:szCs w:val="22"/>
        </w:rPr>
        <w:noBreakHyphen/>
        <w:t xml:space="preserve">13 valandų. </w:t>
      </w:r>
      <w:bookmarkStart w:id="7" w:name="_Hlk158724413"/>
      <w:r w:rsidR="00BB50F6" w:rsidRPr="00452D62">
        <w:rPr>
          <w:sz w:val="22"/>
          <w:szCs w:val="22"/>
        </w:rPr>
        <w:t xml:space="preserve">Pusinės eliminacijos laikas vaikams, kuris apskaičiuotas taikant populiacijos farmakokinetinį (popFK) modeliavimą, yra trumpesnis (žr. 5.2 skyrių). </w:t>
      </w:r>
      <w:bookmarkEnd w:id="7"/>
      <w:r w:rsidRPr="00452D62">
        <w:rPr>
          <w:sz w:val="22"/>
          <w:szCs w:val="22"/>
        </w:rPr>
        <w:t>Gydymas turi būti individualizuotas atsižvelgiant į kraujavimo sunkumą ir vietą. Prireikus turi būti taikomas atitinkamas simptominis gydymas, toks kaip mechaninė kompresija (pvz., stipriai kraujuojant iš nosies), chirurginė hemostazė taikant kraujavimo kontrolės procedūras, skysčių kiekio papildymas ir hemodinamikos palaikymas, kraujo preparatų (eritrocitų masės ar šviežiai šaldytos plazmos, atsižvelgiant į tai, ar yra susijusi anemija ar koagulopatija) ar trombocitų perpylimas.</w:t>
      </w:r>
    </w:p>
    <w:p w14:paraId="5BF0DF5C" w14:textId="77777777" w:rsidR="00122E20" w:rsidRPr="00452D62" w:rsidRDefault="00122E20" w:rsidP="00823785">
      <w:pPr>
        <w:rPr>
          <w:sz w:val="22"/>
          <w:szCs w:val="22"/>
        </w:rPr>
      </w:pPr>
    </w:p>
    <w:p w14:paraId="6D3369A2" w14:textId="06A1748E" w:rsidR="00823785" w:rsidRPr="00452D62" w:rsidRDefault="00823785" w:rsidP="00823785">
      <w:pPr>
        <w:rPr>
          <w:sz w:val="22"/>
          <w:szCs w:val="22"/>
        </w:rPr>
      </w:pPr>
      <w:r w:rsidRPr="00452D62">
        <w:rPr>
          <w:sz w:val="22"/>
          <w:szCs w:val="22"/>
        </w:rPr>
        <w:t xml:space="preserve">Jeigu anksčiau paminėtomis priemonėmis kraujavimo kontroliuoti nepavyksta, reikia spręsti dėl neutralizuojančiojo vaistinio preparato specifinio Xa faktoriaus inhibitoriaus (andeksaneto alfa), kuris yra rivaroksabano farmakodinaminio poveikio antagonistas, arba specifinio prokoaguliacinio </w:t>
      </w:r>
      <w:r w:rsidR="00217FE5">
        <w:rPr>
          <w:sz w:val="22"/>
          <w:szCs w:val="22"/>
        </w:rPr>
        <w:t xml:space="preserve">vaistinio </w:t>
      </w:r>
      <w:r w:rsidRPr="00452D62">
        <w:rPr>
          <w:sz w:val="22"/>
          <w:szCs w:val="22"/>
        </w:rPr>
        <w:t>preparato, pvz., protrombino komplekso koncentrato (PKK), aktyvuoto protrombino komplekso koncentrato (APKK) ar rekombinantinio VIIa faktoriaus (r-FVIIa) skyrimo. Vis dėlto, klinikinė patirtis skiriant šių vaistinių preparatų rivaroksabanu gydomiems suaugusiems</w:t>
      </w:r>
      <w:r w:rsidR="00122E20" w:rsidRPr="00452D62">
        <w:rPr>
          <w:sz w:val="22"/>
          <w:szCs w:val="22"/>
        </w:rPr>
        <w:t xml:space="preserve"> </w:t>
      </w:r>
      <w:bookmarkStart w:id="8" w:name="_Hlk158724440"/>
      <w:r w:rsidR="00122E20" w:rsidRPr="00452D62">
        <w:rPr>
          <w:sz w:val="22"/>
          <w:szCs w:val="22"/>
        </w:rPr>
        <w:t>ir vaikams</w:t>
      </w:r>
      <w:bookmarkEnd w:id="8"/>
      <w:r w:rsidRPr="00452D62">
        <w:rPr>
          <w:sz w:val="22"/>
          <w:szCs w:val="22"/>
        </w:rPr>
        <w:t xml:space="preserve"> yra labai nedidelė. Ši rekomendacija taip pat yra pagrįsta ribotais ikiklinikiniais duomenimis. Reikia apsvarstyti kartotinį rekombinantinio VIIa faktoriaus skyrimą ir dozę titruoti atsižvelgiant į kraujavimo mažėjimą. Atsižvelgiant į vietines galimybes, didžiojo kraujavimo atveju reikia spręsti dėl kraujo krešėjimo specialisto konsultacijos poreikio (žr. 5.1 skyrių).</w:t>
      </w:r>
    </w:p>
    <w:p w14:paraId="68686994" w14:textId="77777777" w:rsidR="00823785" w:rsidRPr="00452D62" w:rsidRDefault="00823785" w:rsidP="00823785">
      <w:pPr>
        <w:rPr>
          <w:sz w:val="22"/>
          <w:szCs w:val="22"/>
        </w:rPr>
      </w:pPr>
    </w:p>
    <w:p w14:paraId="08A74B2E" w14:textId="166396FF" w:rsidR="00823785" w:rsidRPr="00452D62" w:rsidRDefault="00823785" w:rsidP="00823785">
      <w:pPr>
        <w:rPr>
          <w:sz w:val="22"/>
          <w:szCs w:val="22"/>
        </w:rPr>
      </w:pPr>
      <w:r w:rsidRPr="00452D62">
        <w:rPr>
          <w:sz w:val="22"/>
          <w:szCs w:val="22"/>
        </w:rPr>
        <w:t>Nemanoma, kad protamino sulfatas ir vitaminas K darytų įtaką rivaroksabano antikoaguliaciniam aktyvumui. Patirtis, skiriant traneksamo rūgštį, yra nedidelė, o patirties skiriant aminokaprono rūgštį ir aprotininą rivaroksabano vartojantiems suaugusiems nėra.</w:t>
      </w:r>
      <w:r w:rsidR="00122E20" w:rsidRPr="00AE1B80">
        <w:rPr>
          <w:sz w:val="22"/>
          <w:szCs w:val="22"/>
        </w:rPr>
        <w:t xml:space="preserve"> </w:t>
      </w:r>
      <w:bookmarkStart w:id="9" w:name="_Hlk158724450"/>
      <w:r w:rsidR="00122E20" w:rsidRPr="00452D62">
        <w:rPr>
          <w:sz w:val="22"/>
          <w:szCs w:val="22"/>
        </w:rPr>
        <w:t>Patirties, skiriant šias medžiagas rivaroksabano vartojantiems vaikams, nėra.</w:t>
      </w:r>
      <w:r w:rsidRPr="00452D62">
        <w:rPr>
          <w:sz w:val="22"/>
          <w:szCs w:val="22"/>
        </w:rPr>
        <w:t xml:space="preserve"> </w:t>
      </w:r>
      <w:bookmarkEnd w:id="9"/>
      <w:r w:rsidRPr="00452D62">
        <w:rPr>
          <w:sz w:val="22"/>
          <w:szCs w:val="22"/>
        </w:rPr>
        <w:t>Nei mokslinio palankaus poveikio pagrindimo, nei patirties skiriant sisteminį hemostatiką desmopresiną rivaroksabanu gydomiems pacientams, nėra. Daug rivaroksabano prisijungia prie kraujo plazmos baltymų, todėl jo pašalinimas dialize nėra tikėtinas.</w:t>
      </w:r>
    </w:p>
    <w:p w14:paraId="14FBD338" w14:textId="77777777" w:rsidR="00823785" w:rsidRPr="00452D62" w:rsidRDefault="00823785" w:rsidP="00823785">
      <w:pPr>
        <w:rPr>
          <w:sz w:val="22"/>
          <w:szCs w:val="22"/>
        </w:rPr>
      </w:pPr>
    </w:p>
    <w:p w14:paraId="1BE2C4F7" w14:textId="77777777" w:rsidR="00823785" w:rsidRPr="00452D62" w:rsidRDefault="00823785" w:rsidP="00823785">
      <w:pPr>
        <w:rPr>
          <w:sz w:val="22"/>
          <w:szCs w:val="22"/>
        </w:rPr>
      </w:pPr>
    </w:p>
    <w:p w14:paraId="65AB055B" w14:textId="77777777" w:rsidR="00823785" w:rsidRPr="00452D62" w:rsidRDefault="00823785" w:rsidP="00823785">
      <w:pPr>
        <w:widowControl w:val="0"/>
        <w:suppressAutoHyphens w:val="0"/>
        <w:spacing w:line="240" w:lineRule="auto"/>
        <w:ind w:left="567" w:hanging="567"/>
        <w:outlineLvl w:val="1"/>
        <w:rPr>
          <w:b/>
          <w:bCs/>
          <w:color w:val="auto"/>
          <w:sz w:val="22"/>
          <w:szCs w:val="22"/>
          <w:lang w:eastAsia="en-US"/>
        </w:rPr>
      </w:pPr>
      <w:r w:rsidRPr="00452D62">
        <w:rPr>
          <w:b/>
          <w:bCs/>
          <w:color w:val="auto"/>
          <w:sz w:val="22"/>
          <w:szCs w:val="22"/>
          <w:lang w:eastAsia="en-US"/>
        </w:rPr>
        <w:t>5.</w:t>
      </w:r>
      <w:r w:rsidRPr="00452D62">
        <w:rPr>
          <w:b/>
          <w:bCs/>
          <w:color w:val="auto"/>
          <w:sz w:val="22"/>
          <w:szCs w:val="22"/>
          <w:lang w:eastAsia="en-US"/>
        </w:rPr>
        <w:tab/>
        <w:t>FARMAKOLOGINĖS SAVYBĖS</w:t>
      </w:r>
    </w:p>
    <w:p w14:paraId="6CF954CA" w14:textId="77777777" w:rsidR="00823785" w:rsidRPr="00452D62" w:rsidRDefault="00823785" w:rsidP="00823785">
      <w:pPr>
        <w:rPr>
          <w:sz w:val="22"/>
          <w:szCs w:val="22"/>
        </w:rPr>
      </w:pPr>
    </w:p>
    <w:p w14:paraId="3436B654"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 xml:space="preserve">5.1 </w:t>
      </w:r>
      <w:r w:rsidRPr="00452D62">
        <w:rPr>
          <w:b/>
          <w:color w:val="auto"/>
          <w:kern w:val="28"/>
          <w:sz w:val="22"/>
          <w:szCs w:val="22"/>
          <w:lang w:eastAsia="en-US"/>
        </w:rPr>
        <w:tab/>
        <w:t>Farmakodinaminės savybės</w:t>
      </w:r>
    </w:p>
    <w:p w14:paraId="31FD928D" w14:textId="77777777" w:rsidR="00823785" w:rsidRPr="00452D62" w:rsidRDefault="00823785" w:rsidP="00823785">
      <w:pPr>
        <w:rPr>
          <w:sz w:val="22"/>
          <w:szCs w:val="22"/>
        </w:rPr>
      </w:pPr>
    </w:p>
    <w:p w14:paraId="67EC037C" w14:textId="77777777" w:rsidR="00823785" w:rsidRPr="00452D62" w:rsidRDefault="00823785" w:rsidP="00823785">
      <w:pPr>
        <w:rPr>
          <w:sz w:val="22"/>
          <w:szCs w:val="22"/>
          <w:u w:val="single"/>
        </w:rPr>
      </w:pPr>
      <w:r w:rsidRPr="00452D62">
        <w:rPr>
          <w:sz w:val="22"/>
          <w:szCs w:val="22"/>
        </w:rPr>
        <w:t>Farmakoterapinė grupė – antitromboziniai vaistiniai preparatai, tiesioginiai Xa faktoriaus inhibitoriai, ATC kodas – B01AF01.</w:t>
      </w:r>
    </w:p>
    <w:p w14:paraId="644EAB33" w14:textId="77777777" w:rsidR="00823785" w:rsidRPr="00452D62" w:rsidRDefault="00823785" w:rsidP="00823785">
      <w:pPr>
        <w:rPr>
          <w:sz w:val="22"/>
          <w:szCs w:val="22"/>
          <w:u w:val="single"/>
        </w:rPr>
      </w:pPr>
    </w:p>
    <w:p w14:paraId="390AA6BC" w14:textId="77777777" w:rsidR="00823785" w:rsidRPr="00452D62" w:rsidRDefault="00823785" w:rsidP="00823785">
      <w:pPr>
        <w:rPr>
          <w:sz w:val="22"/>
          <w:szCs w:val="22"/>
        </w:rPr>
      </w:pPr>
      <w:r w:rsidRPr="00452D62">
        <w:rPr>
          <w:sz w:val="22"/>
          <w:szCs w:val="22"/>
          <w:u w:val="single"/>
        </w:rPr>
        <w:t>Veikimo mechanizmas</w:t>
      </w:r>
    </w:p>
    <w:p w14:paraId="68AB40A7" w14:textId="77777777" w:rsidR="00823785" w:rsidRPr="00452D62" w:rsidRDefault="00823785" w:rsidP="00823785">
      <w:pPr>
        <w:rPr>
          <w:sz w:val="22"/>
          <w:szCs w:val="22"/>
          <w:u w:val="single"/>
        </w:rPr>
      </w:pPr>
      <w:r w:rsidRPr="00452D62">
        <w:rPr>
          <w:sz w:val="22"/>
          <w:szCs w:val="22"/>
        </w:rPr>
        <w:t>Rivaroksabanas yra labai selektyvus tiesioginis Xa faktoriaus inhibitorius, kuris vartojant per burną yra biologiškai pasisavinamas. Xa faktoriaus slopinimas sutrikdo vidinį ir išorinį kraujo krešėjimo kaskados kelią, kadangi slopina trombino gamybą ir trombų formavimąsi. Rivaroksabanas neslopina trombino (aktyvuoto II faktorius) ir jo poveikis trombocitams nebuvo nustatytas.</w:t>
      </w:r>
    </w:p>
    <w:p w14:paraId="0CDC3604" w14:textId="77777777" w:rsidR="00823785" w:rsidRPr="00452D62" w:rsidRDefault="00823785" w:rsidP="00823785">
      <w:pPr>
        <w:rPr>
          <w:sz w:val="22"/>
          <w:szCs w:val="22"/>
          <w:u w:val="single"/>
        </w:rPr>
      </w:pPr>
    </w:p>
    <w:p w14:paraId="7710E7C7" w14:textId="77777777" w:rsidR="00823785" w:rsidRPr="00452D62" w:rsidRDefault="00823785" w:rsidP="00823785">
      <w:pPr>
        <w:rPr>
          <w:sz w:val="22"/>
          <w:szCs w:val="22"/>
        </w:rPr>
      </w:pPr>
      <w:r w:rsidRPr="00452D62">
        <w:rPr>
          <w:sz w:val="22"/>
          <w:szCs w:val="22"/>
          <w:u w:val="single"/>
        </w:rPr>
        <w:t>Farmakodinaminis poveikis</w:t>
      </w:r>
    </w:p>
    <w:p w14:paraId="5E98C390" w14:textId="77777777" w:rsidR="00823785" w:rsidRPr="00452D62" w:rsidRDefault="00823785" w:rsidP="00823785">
      <w:pPr>
        <w:rPr>
          <w:sz w:val="22"/>
          <w:szCs w:val="22"/>
        </w:rPr>
      </w:pPr>
      <w:r w:rsidRPr="00452D62">
        <w:rPr>
          <w:sz w:val="22"/>
          <w:szCs w:val="22"/>
        </w:rPr>
        <w:t xml:space="preserve">Žmonėms nustatytas nuo dozės priklausomas Xa faktoriaus slopinimas. Protrombino laiką (angl. </w:t>
      </w:r>
      <w:r w:rsidRPr="00452D62">
        <w:rPr>
          <w:i/>
          <w:iCs/>
          <w:sz w:val="22"/>
          <w:szCs w:val="22"/>
        </w:rPr>
        <w:t xml:space="preserve">prothrombin time, </w:t>
      </w:r>
      <w:r w:rsidRPr="00452D62">
        <w:rPr>
          <w:sz w:val="22"/>
          <w:szCs w:val="22"/>
        </w:rPr>
        <w:t xml:space="preserve">PT) rivaroksabanas veikia priklausomai nuo dozės, poveikis stipriai koreliuoja su koncentracija kraujo plazmoje (r rodmuo lygus 0,98), jei tyrimui naudojamas </w:t>
      </w:r>
      <w:r w:rsidRPr="00452D62">
        <w:rPr>
          <w:i/>
          <w:iCs/>
          <w:sz w:val="22"/>
          <w:szCs w:val="22"/>
        </w:rPr>
        <w:t>Neoplastin</w:t>
      </w:r>
      <w:r w:rsidRPr="00452D62">
        <w:rPr>
          <w:sz w:val="22"/>
          <w:szCs w:val="22"/>
        </w:rPr>
        <w:t xml:space="preserve">. Naudojant kitus reagentus, gaunami skirtingi rezultatai. PT nuskaitymas turi būti atliekamas per keletą sekundžių, nes </w:t>
      </w:r>
      <w:r w:rsidRPr="00452D62">
        <w:rPr>
          <w:iCs/>
          <w:sz w:val="22"/>
          <w:szCs w:val="22"/>
        </w:rPr>
        <w:t>INR</w:t>
      </w:r>
      <w:r w:rsidRPr="00452D62">
        <w:rPr>
          <w:sz w:val="22"/>
          <w:szCs w:val="22"/>
        </w:rPr>
        <w:t xml:space="preserve"> yra kalibruotas ir patvirtintas kumarinams ir turi būti nenaudojamas jokiam kitam antikoaguliantui. Pacientams, kuriems rivaroksabano buvo skiriama GVT bei PE gydymui ir pasikartojimo profilaktikai, 5/95 procentilių PT (</w:t>
      </w:r>
      <w:r w:rsidRPr="00452D62">
        <w:rPr>
          <w:i/>
          <w:iCs/>
          <w:sz w:val="22"/>
          <w:szCs w:val="22"/>
        </w:rPr>
        <w:t>Neoplastin</w:t>
      </w:r>
      <w:r w:rsidRPr="00452D62">
        <w:rPr>
          <w:sz w:val="22"/>
          <w:szCs w:val="22"/>
        </w:rPr>
        <w:t>), praėjus 2</w:t>
      </w:r>
      <w:r w:rsidRPr="00452D62">
        <w:rPr>
          <w:sz w:val="22"/>
          <w:szCs w:val="22"/>
        </w:rPr>
        <w:noBreakHyphen/>
        <w:t>4 valandoms po tabletės pavartojimo (t. y. maksimalaus poveikio metu) vartojant po 15 mg rivaroksabano du kartus per parą, svyravo nuo 17 iki 32 sekundžių, o vartojant 20 mg rivaroksabano vieną kartą per parą – nuo 15 iki 30 sekundžių. Esant mažiausiai koncentracijai (praėjus 8</w:t>
      </w:r>
      <w:r w:rsidRPr="00452D62">
        <w:rPr>
          <w:i/>
          <w:sz w:val="22"/>
          <w:szCs w:val="22"/>
        </w:rPr>
        <w:t>-</w:t>
      </w:r>
      <w:r w:rsidRPr="00452D62">
        <w:rPr>
          <w:sz w:val="22"/>
          <w:szCs w:val="22"/>
        </w:rPr>
        <w:t>16 valandų po tabletės pavartojimo), 5/95 procentilių, vartojant po 15 mg du kartus per parą, svyravo nuo 14 iki 24 sekundžių, o vartojant 20 mg vieną kartą per parą (praėjus 18-30 valandų po tabletės pavartojimo) – nuo 13 iki 20 sekundžių.</w:t>
      </w:r>
    </w:p>
    <w:p w14:paraId="25935856" w14:textId="77777777" w:rsidR="00823785" w:rsidRPr="00452D62" w:rsidRDefault="00823785" w:rsidP="00823785">
      <w:pPr>
        <w:rPr>
          <w:sz w:val="22"/>
          <w:szCs w:val="22"/>
        </w:rPr>
      </w:pPr>
      <w:r w:rsidRPr="00452D62">
        <w:rPr>
          <w:sz w:val="22"/>
          <w:szCs w:val="22"/>
        </w:rPr>
        <w:t>Pacientams, kuriems yra su vožtuvų liga nesusijęs prieširdžių virpėjimas ir rivaroksabano skiriama insulto ir sisteminės embolijos profilaktikai, 5/95 procentilių PT (</w:t>
      </w:r>
      <w:r w:rsidRPr="00452D62">
        <w:rPr>
          <w:i/>
          <w:iCs/>
          <w:sz w:val="22"/>
          <w:szCs w:val="22"/>
        </w:rPr>
        <w:t>Neoplastin</w:t>
      </w:r>
      <w:r w:rsidRPr="00452D62">
        <w:rPr>
          <w:sz w:val="22"/>
          <w:szCs w:val="22"/>
        </w:rPr>
        <w:t>), praėjus 1-4 valandoms po tabletės pavartojimo (t. y. maksimalaus poveikio metu), vartojant 20 mg rivaroksabano vieną kartą per parą, buvo nuo 14 iki 40 sekundžių, o esant vidutinio sunkumo inkstų funkcijos sutrikimui ir vartojant 15 mg rivaroksabano vieną kartą per parą – nuo 10 iki 50 sekundžių. Esant mažiausiai koncentracijai (praėjus 16-36 valandoms po tabletės pavartojimo), 5/95 procentilių, vartojant 20 mg vieną kartą per parą, svyravo nuo 12 iki 26 sekundžių, o esant vidutinio sunkumo inkstų funkcijos sutrikimui ir vartojant 15 mg vieną kartą per parą – nuo 12 iki 26 sekundžių.</w:t>
      </w:r>
    </w:p>
    <w:p w14:paraId="20B099BC" w14:textId="77777777" w:rsidR="00823785" w:rsidRPr="00452D62" w:rsidRDefault="00823785" w:rsidP="00823785">
      <w:pPr>
        <w:rPr>
          <w:sz w:val="22"/>
          <w:szCs w:val="22"/>
        </w:rPr>
      </w:pPr>
      <w:r w:rsidRPr="00452D62">
        <w:rPr>
          <w:sz w:val="22"/>
          <w:szCs w:val="22"/>
        </w:rPr>
        <w:t xml:space="preserve">Klinikinės farmakologijos tyrimo metu analizuojant rivaroksabano farmakodinaminio poveikio panaikinimą sveikiems suaugusiems tiriamiesiems (n=22), buvo įvertintas dviejų skirtingų PKK, t. y. 3-jų faktorių PKK (II, IX ir X faktorių) ir 4-ių faktorių PKK (II, VII, IX ir X faktorių), vienkartinės dozės (50 TV/kg) poveikis. 3-jų faktorių PKK sumažino </w:t>
      </w:r>
      <w:r w:rsidRPr="00452D62">
        <w:rPr>
          <w:i/>
          <w:iCs/>
          <w:sz w:val="22"/>
          <w:szCs w:val="22"/>
        </w:rPr>
        <w:t>Neoplastin</w:t>
      </w:r>
      <w:r w:rsidRPr="00452D62">
        <w:rPr>
          <w:sz w:val="22"/>
          <w:szCs w:val="22"/>
        </w:rPr>
        <w:t xml:space="preserve"> vidutinį PT maždaug 1,0 sekunde per 30 minučių, lyginant su maždaug 3,5 sekundžių sumažėjimu, stebėtu vartojant 4-faktorių PKK. Priešingai, 3-jų faktorių PKK sukėlė didesnį ir greitesnį poveikį bendram endogeninio trombino susiformavimo neutralizavimui, palyginti su 4-ių faktorių PKK (žr. 4.9 skyrių).</w:t>
      </w:r>
    </w:p>
    <w:p w14:paraId="32068782" w14:textId="77777777" w:rsidR="00823785" w:rsidRPr="00452D62" w:rsidRDefault="00823785" w:rsidP="00823785">
      <w:pPr>
        <w:rPr>
          <w:sz w:val="22"/>
          <w:szCs w:val="22"/>
        </w:rPr>
      </w:pPr>
      <w:r w:rsidRPr="00452D62">
        <w:rPr>
          <w:sz w:val="22"/>
          <w:szCs w:val="22"/>
        </w:rPr>
        <w:t xml:space="preserve">Dalinis aktyvintas tromboplastino laikas (DATL) ir </w:t>
      </w:r>
      <w:r w:rsidRPr="00452D62">
        <w:rPr>
          <w:i/>
          <w:sz w:val="22"/>
          <w:szCs w:val="22"/>
        </w:rPr>
        <w:t>HepTest</w:t>
      </w:r>
      <w:r w:rsidRPr="00452D62">
        <w:rPr>
          <w:sz w:val="22"/>
          <w:szCs w:val="22"/>
        </w:rPr>
        <w:t xml:space="preserve"> rodmuo pailgėja taip pat priklausomai nuo dozės, tačiau šie tyrimai nerekomenduojami rivaroksabano farmakodinaminiam poveikiui įvertinti. Įprastinėmis klinikinėmis sąlygomis gydant rivaroksabanu krešėjimo parametrų stebėti nereikia. Vis dėlto, esant klinikinėms indikacijoms, rivaroksabano lygį galima išmatuoti kalibruotu kiekybiniu anti-Xa faktoriaus tyrimu (žr. 5.2 skyrių).</w:t>
      </w:r>
    </w:p>
    <w:p w14:paraId="7D2246F5" w14:textId="77777777" w:rsidR="00F62170" w:rsidRPr="00452D62" w:rsidRDefault="00F62170" w:rsidP="00F62170">
      <w:pPr>
        <w:rPr>
          <w:sz w:val="22"/>
          <w:szCs w:val="22"/>
        </w:rPr>
      </w:pPr>
    </w:p>
    <w:p w14:paraId="630A7B61" w14:textId="44F16E53" w:rsidR="00F62170" w:rsidRPr="00452D62" w:rsidRDefault="00F62170" w:rsidP="00F62170">
      <w:pPr>
        <w:rPr>
          <w:sz w:val="22"/>
          <w:szCs w:val="22"/>
        </w:rPr>
      </w:pPr>
      <w:bookmarkStart w:id="10" w:name="_Hlk158724463"/>
      <w:r w:rsidRPr="00452D62">
        <w:rPr>
          <w:sz w:val="22"/>
          <w:szCs w:val="22"/>
        </w:rPr>
        <w:t>Vaikų populiacija</w:t>
      </w:r>
    </w:p>
    <w:p w14:paraId="1567A099" w14:textId="560A0175" w:rsidR="00823785" w:rsidRPr="00452D62" w:rsidRDefault="00F62170" w:rsidP="00F62170">
      <w:pPr>
        <w:rPr>
          <w:sz w:val="22"/>
          <w:szCs w:val="22"/>
        </w:rPr>
      </w:pPr>
      <w:r w:rsidRPr="00452D62">
        <w:rPr>
          <w:sz w:val="22"/>
          <w:szCs w:val="22"/>
        </w:rPr>
        <w:t>PL (nustatomas reagentu Neoplastin), DATL ir anti-Xa tyrimo (atliekant kalibruotą kiekybinį tyrimą) duomenys vaikams glaudžiai koreliuoja su plazmos koncentracija. Anti-Xa ir plazmos koncentracijos koreliacija yra linijinė, o jos nuolydis artimas 1. Gali būti individualių skirtumų, kai anti-Xa reikšmė yra didesnė arba mažesnė, palyginti su atitinkama plazmos koncentracija. Taikant gydymą rivaroksabanu klinikinėje aplinkoje, krešėjimo parametrų įprastai stebėti nereikia. Vis dėlto, jei yra klinikinių indikacijų, rivaroksabano koncentraciją μg/l galima nustatyti atlikus kalibruotą kiekybinį anti-Xa faktoriaus tyrimą (vaikams nustatytos rivaroksabano koncentracijos plazmoje intervalus žr. 13 lentelėje 5.2 skyriuje). Vaikams atliekant anti-Xa tyrimą, skirtą kiekybiškai įvertinti rivaroksabano koncentraciją plazmoje, būtina orientuotis į apatinę kiekybinio vertinimo ribą. Veiksmingumo ir saugumo reiškinių slenkstis nenustatytas.</w:t>
      </w:r>
    </w:p>
    <w:bookmarkEnd w:id="10"/>
    <w:p w14:paraId="58E6B8E6" w14:textId="77777777" w:rsidR="00F62170" w:rsidRPr="00452D62" w:rsidRDefault="00F62170" w:rsidP="00F62170">
      <w:pPr>
        <w:rPr>
          <w:sz w:val="22"/>
          <w:szCs w:val="22"/>
        </w:rPr>
      </w:pPr>
    </w:p>
    <w:p w14:paraId="4388CEEB" w14:textId="77777777" w:rsidR="00823785" w:rsidRPr="00452D62" w:rsidRDefault="00823785" w:rsidP="00823785">
      <w:pPr>
        <w:rPr>
          <w:sz w:val="22"/>
          <w:szCs w:val="22"/>
          <w:u w:val="single"/>
        </w:rPr>
      </w:pPr>
      <w:r w:rsidRPr="00452D62">
        <w:rPr>
          <w:sz w:val="22"/>
          <w:szCs w:val="22"/>
          <w:u w:val="single"/>
        </w:rPr>
        <w:t>Klinikinis veiksmingumas ir saugumas</w:t>
      </w:r>
    </w:p>
    <w:p w14:paraId="7276F631" w14:textId="77777777" w:rsidR="00823785" w:rsidRPr="00452D62" w:rsidRDefault="00823785" w:rsidP="00823785">
      <w:pPr>
        <w:rPr>
          <w:i/>
          <w:sz w:val="22"/>
          <w:szCs w:val="22"/>
        </w:rPr>
      </w:pPr>
      <w:r w:rsidRPr="00452D62">
        <w:rPr>
          <w:i/>
          <w:sz w:val="22"/>
          <w:szCs w:val="22"/>
        </w:rPr>
        <w:t>Insulto ir sisteminės embolijos profilaktika pacientams, kuriems yra su vožtuvų liga nesusijęs prieširdžių virpėjimas</w:t>
      </w:r>
    </w:p>
    <w:p w14:paraId="58CFBA6C" w14:textId="77777777" w:rsidR="00823785" w:rsidRPr="00452D62" w:rsidRDefault="00823785" w:rsidP="00823785">
      <w:pPr>
        <w:tabs>
          <w:tab w:val="clear" w:pos="567"/>
        </w:tabs>
        <w:suppressAutoHyphens w:val="0"/>
        <w:spacing w:line="240" w:lineRule="auto"/>
        <w:rPr>
          <w:sz w:val="22"/>
          <w:szCs w:val="22"/>
        </w:rPr>
      </w:pPr>
      <w:r w:rsidRPr="00452D62">
        <w:rPr>
          <w:sz w:val="22"/>
          <w:szCs w:val="22"/>
        </w:rPr>
        <w:t xml:space="preserve">Rivaroksabano klinikinė programa buvo suplanuota siekiant įrodyti rivaroksabano veiksmingumą insulto ir sisteminės embolijos profilaktikai pacientams, kuriems yra su vožtuvų liga nesusijęs prieširdžių virpėjimas. Pagrindiniame dvigubai koduotame </w:t>
      </w:r>
      <w:r w:rsidRPr="00452D62">
        <w:rPr>
          <w:i/>
          <w:iCs/>
          <w:sz w:val="22"/>
          <w:szCs w:val="22"/>
        </w:rPr>
        <w:t>ROCKET AF</w:t>
      </w:r>
      <w:r w:rsidRPr="00452D62">
        <w:rPr>
          <w:sz w:val="22"/>
          <w:szCs w:val="22"/>
        </w:rPr>
        <w:t xml:space="preserve"> tyrime, 14264 pacientams buvo skirtas rivaroksabanas po 20 mg vieną kartą per parą (tiriamiesiems, kurių kreatinino klirensas 30</w:t>
      </w:r>
      <w:r w:rsidRPr="00452D62">
        <w:rPr>
          <w:sz w:val="22"/>
          <w:szCs w:val="22"/>
        </w:rPr>
        <w:noBreakHyphen/>
        <w:t>49 ml/min. – po 15 mg vieną kartą per parą) arba varfarinas, titruotas iki tikslinio INR rodmens 2,5 (terapinis intervalas nuo 2,0 iki 3,0). Gydymo trukmės mediana buvo 19 mėnesių ir bendra gydymo trukmė buvo iki 41 mėnesio.</w:t>
      </w:r>
    </w:p>
    <w:p w14:paraId="342FAE8E" w14:textId="5C708EEA" w:rsidR="00823785" w:rsidRPr="00452D62" w:rsidRDefault="00823785" w:rsidP="00823785">
      <w:pPr>
        <w:tabs>
          <w:tab w:val="clear" w:pos="567"/>
        </w:tabs>
        <w:suppressAutoHyphens w:val="0"/>
        <w:spacing w:line="240" w:lineRule="auto"/>
        <w:rPr>
          <w:sz w:val="22"/>
          <w:szCs w:val="22"/>
        </w:rPr>
      </w:pPr>
      <w:r w:rsidRPr="00452D62">
        <w:rPr>
          <w:sz w:val="22"/>
          <w:szCs w:val="22"/>
        </w:rPr>
        <w:t>34,9 % pacientų buvo gydyti acetilsalicilo rūgštimi, o 11,4 % buvo gydyti III klasės antiaritminiais vaistiniais preparatais, įskaitant amjodaroną.</w:t>
      </w:r>
    </w:p>
    <w:p w14:paraId="244857F4" w14:textId="77777777" w:rsidR="00823785" w:rsidRPr="00452D62" w:rsidRDefault="00823785" w:rsidP="00823785">
      <w:pPr>
        <w:tabs>
          <w:tab w:val="clear" w:pos="567"/>
        </w:tabs>
        <w:suppressAutoHyphens w:val="0"/>
        <w:spacing w:line="240" w:lineRule="auto"/>
        <w:rPr>
          <w:sz w:val="22"/>
          <w:szCs w:val="22"/>
        </w:rPr>
      </w:pPr>
    </w:p>
    <w:p w14:paraId="0662E15E" w14:textId="4E4EF914" w:rsidR="00823785" w:rsidRPr="00452D62" w:rsidRDefault="00823785" w:rsidP="00823785">
      <w:pPr>
        <w:tabs>
          <w:tab w:val="clear" w:pos="567"/>
        </w:tabs>
        <w:suppressAutoHyphens w:val="0"/>
        <w:spacing w:line="240" w:lineRule="auto"/>
        <w:rPr>
          <w:sz w:val="22"/>
          <w:szCs w:val="22"/>
        </w:rPr>
      </w:pPr>
      <w:r w:rsidRPr="00452D62">
        <w:rPr>
          <w:sz w:val="22"/>
          <w:szCs w:val="22"/>
        </w:rPr>
        <w:t>Rivaroksabanas sukėlė neprastesnį poveikį už varfariną, vertinant pagrindinės vertinamosios baigties (bendrą insulto ir ne centrinės nervų sistemos (CNS) sisteminės embolijos) atvejų skaičių. Protokolą atitinkančioje populiacijoje, kurioje taikytas gydymas, insultas arba sisteminė embolija pasireiškė 188 rivaroksabano vartojusiems pacientams (1,71 % per metus) ir 241 varfarino vartojusiam pacientui (2,16 % per metus) (RS 0,79; 95 % PI, 0,66</w:t>
      </w:r>
      <w:r w:rsidRPr="00452D62">
        <w:rPr>
          <w:sz w:val="22"/>
          <w:szCs w:val="22"/>
        </w:rPr>
        <w:noBreakHyphen/>
        <w:t xml:space="preserve">0,96; P &lt; 0,001 neprastesniam poveikiui). Visus atsitiktinėms imtims priskirtus pacientus įvertinus taikant </w:t>
      </w:r>
      <w:r w:rsidRPr="00452D62">
        <w:rPr>
          <w:i/>
          <w:iCs/>
          <w:sz w:val="22"/>
          <w:szCs w:val="22"/>
        </w:rPr>
        <w:t>ITT</w:t>
      </w:r>
      <w:r w:rsidRPr="00452D62">
        <w:rPr>
          <w:sz w:val="22"/>
          <w:szCs w:val="22"/>
        </w:rPr>
        <w:t xml:space="preserve"> (ketintų gydyti tiriamųjų analizę), pagrindinės vertinamosios baigties reiškiniai pasireiškė 269 rivaroksabano vartojusiems pacientams (2,12 % per metus) ir 306 varfarino vartojusiems pacientams (2,42 % per metus) (rizikos santykis 0,88; 95 % PI, 0,74</w:t>
      </w:r>
      <w:r w:rsidRPr="00452D62">
        <w:rPr>
          <w:sz w:val="22"/>
          <w:szCs w:val="22"/>
        </w:rPr>
        <w:noBreakHyphen/>
        <w:t xml:space="preserve">1,03; P &lt; 0,001 neprastesniam poveikiui; P=0,117 pranašumui). Antrinių vertinamųjų baigčių rezultatai, kurie buvo tiriami hierarchine tvarka </w:t>
      </w:r>
      <w:r w:rsidRPr="00452D62">
        <w:rPr>
          <w:i/>
          <w:iCs/>
          <w:sz w:val="22"/>
          <w:szCs w:val="22"/>
        </w:rPr>
        <w:t>ITT</w:t>
      </w:r>
      <w:r w:rsidRPr="00452D62">
        <w:rPr>
          <w:sz w:val="22"/>
          <w:szCs w:val="22"/>
        </w:rPr>
        <w:t xml:space="preserve"> analizės būdu, yra pateikti 4 lentelėje. Varfarino grupės pacientams INR rodmenys buvo terapiniame intervale (nuo 2,0 iki 3,0) vidutiniškai 55 % laiko (mediana 58 %; tarpkvartilinės ribos nuo 43 iki 71). Rivaroksabano poveikis centrinio LIT (laiko iki tikslinio INR intervalo nuo 2,0 iki 3,0) lygmenyje vienodo dydžio kvartilėse (sąveikos P=0,74) nesiskyrė. Aukščiausioje kvartilėje (vertinant pagal centrą) rizikos santykis (RS) vartojant rivaroksabano, palyginti su varfarinu, buvo 0,74 (95 % PI, 0,49-1,12).</w:t>
      </w:r>
    </w:p>
    <w:p w14:paraId="1A6C8FB1" w14:textId="77777777" w:rsidR="00823785" w:rsidRPr="00452D62" w:rsidRDefault="00823785" w:rsidP="00823785">
      <w:pPr>
        <w:tabs>
          <w:tab w:val="clear" w:pos="567"/>
        </w:tabs>
        <w:suppressAutoHyphens w:val="0"/>
        <w:spacing w:line="240" w:lineRule="auto"/>
        <w:rPr>
          <w:rFonts w:eastAsia="MS Mincho"/>
          <w:color w:val="auto"/>
          <w:sz w:val="22"/>
          <w:szCs w:val="22"/>
          <w:lang w:eastAsia="fr-FR"/>
        </w:rPr>
      </w:pPr>
      <w:r w:rsidRPr="00452D62">
        <w:rPr>
          <w:sz w:val="22"/>
          <w:szCs w:val="22"/>
        </w:rPr>
        <w:t>Svarbiausios saugumo vertinamosios baigties (didžiojo ir ne didžiojo kliniškai reikšmingo kraujavimo reiškinių) atvejų dažnis abiejose tyrimo grupėse buvo panašus (žr. 5 lentelę).</w:t>
      </w:r>
    </w:p>
    <w:p w14:paraId="51D14A26" w14:textId="77777777" w:rsidR="00823785" w:rsidRPr="00452D62" w:rsidRDefault="00823785" w:rsidP="00823785">
      <w:pPr>
        <w:tabs>
          <w:tab w:val="clear" w:pos="567"/>
        </w:tabs>
        <w:suppressAutoHyphens w:val="0"/>
        <w:spacing w:line="240" w:lineRule="auto"/>
        <w:rPr>
          <w:rFonts w:eastAsia="MS Mincho"/>
          <w:color w:val="auto"/>
          <w:sz w:val="22"/>
          <w:szCs w:val="22"/>
          <w:lang w:eastAsia="fr-FR"/>
        </w:rPr>
      </w:pPr>
    </w:p>
    <w:p w14:paraId="65166D44" w14:textId="77777777" w:rsidR="00823785" w:rsidRPr="00452D62" w:rsidRDefault="00823785" w:rsidP="00823785">
      <w:pPr>
        <w:keepNext/>
        <w:tabs>
          <w:tab w:val="clear" w:pos="567"/>
        </w:tabs>
        <w:suppressAutoHyphens w:val="0"/>
        <w:spacing w:line="240" w:lineRule="auto"/>
        <w:rPr>
          <w:rFonts w:eastAsia="MS Mincho"/>
          <w:b/>
          <w:color w:val="auto"/>
          <w:sz w:val="22"/>
          <w:szCs w:val="22"/>
          <w:lang w:eastAsia="fr-FR"/>
        </w:rPr>
      </w:pPr>
      <w:r w:rsidRPr="00452D62">
        <w:rPr>
          <w:rFonts w:eastAsia="MS Mincho"/>
          <w:b/>
          <w:color w:val="auto"/>
          <w:sz w:val="22"/>
          <w:szCs w:val="22"/>
          <w:lang w:eastAsia="fr-FR"/>
        </w:rPr>
        <w:t>4</w:t>
      </w:r>
      <w:r w:rsidRPr="0016516E">
        <w:t> </w:t>
      </w:r>
      <w:r w:rsidRPr="00452D62">
        <w:rPr>
          <w:rFonts w:eastAsia="MS Mincho"/>
          <w:b/>
          <w:color w:val="auto"/>
          <w:sz w:val="22"/>
          <w:szCs w:val="22"/>
          <w:lang w:eastAsia="fr-FR"/>
        </w:rPr>
        <w:t xml:space="preserve">lentelė. III fazės </w:t>
      </w:r>
      <w:r w:rsidRPr="00452D62">
        <w:rPr>
          <w:rFonts w:eastAsia="MS Mincho"/>
          <w:b/>
          <w:i/>
          <w:iCs/>
          <w:color w:val="auto"/>
          <w:sz w:val="22"/>
          <w:szCs w:val="22"/>
          <w:lang w:eastAsia="fr-FR"/>
        </w:rPr>
        <w:t>ROCKET AF</w:t>
      </w:r>
      <w:r w:rsidRPr="00452D62">
        <w:rPr>
          <w:rFonts w:eastAsia="MS Mincho"/>
          <w:b/>
          <w:color w:val="auto"/>
          <w:sz w:val="22"/>
          <w:szCs w:val="22"/>
          <w:lang w:eastAsia="fr-FR"/>
        </w:rPr>
        <w:t xml:space="preserve"> tyrimo veiksmingumo rezultatai</w:t>
      </w:r>
    </w:p>
    <w:tbl>
      <w:tblPr>
        <w:tblW w:w="0" w:type="auto"/>
        <w:tblInd w:w="4" w:type="dxa"/>
        <w:tblLayout w:type="fixed"/>
        <w:tblCellMar>
          <w:left w:w="0" w:type="dxa"/>
          <w:right w:w="0" w:type="dxa"/>
        </w:tblCellMar>
        <w:tblLook w:val="01E0" w:firstRow="1" w:lastRow="1" w:firstColumn="1" w:lastColumn="1" w:noHBand="0" w:noVBand="0"/>
      </w:tblPr>
      <w:tblGrid>
        <w:gridCol w:w="2652"/>
        <w:gridCol w:w="2132"/>
        <w:gridCol w:w="2132"/>
        <w:gridCol w:w="1998"/>
      </w:tblGrid>
      <w:tr w:rsidR="00823785" w:rsidRPr="00452D62" w14:paraId="5FC7B6CF" w14:textId="77777777" w:rsidTr="006453B9">
        <w:trPr>
          <w:trHeight w:hRule="exact" w:val="599"/>
        </w:trPr>
        <w:tc>
          <w:tcPr>
            <w:tcW w:w="2652" w:type="dxa"/>
            <w:tcBorders>
              <w:top w:val="single" w:sz="4" w:space="0" w:color="000000"/>
              <w:left w:val="single" w:sz="3" w:space="0" w:color="000000"/>
              <w:bottom w:val="single" w:sz="4" w:space="0" w:color="000000"/>
              <w:right w:val="single" w:sz="4" w:space="0" w:color="000000"/>
            </w:tcBorders>
          </w:tcPr>
          <w:p w14:paraId="286AC543" w14:textId="77777777" w:rsidR="00823785" w:rsidRPr="00452D62" w:rsidRDefault="00823785" w:rsidP="006453B9">
            <w:pPr>
              <w:keepNext/>
              <w:tabs>
                <w:tab w:val="clear" w:pos="567"/>
              </w:tabs>
              <w:suppressAutoHyphens w:val="0"/>
              <w:spacing w:line="240" w:lineRule="auto"/>
              <w:ind w:left="142"/>
              <w:rPr>
                <w:rFonts w:eastAsia="MS Mincho"/>
                <w:b/>
                <w:bCs/>
                <w:color w:val="auto"/>
                <w:sz w:val="22"/>
                <w:szCs w:val="22"/>
                <w:lang w:eastAsia="fr-FR"/>
              </w:rPr>
            </w:pPr>
            <w:r w:rsidRPr="00452D62">
              <w:rPr>
                <w:rFonts w:eastAsia="MS Mincho"/>
                <w:b/>
                <w:bCs/>
                <w:color w:val="auto"/>
                <w:sz w:val="22"/>
                <w:szCs w:val="22"/>
                <w:lang w:eastAsia="fr-FR"/>
              </w:rPr>
              <w:t>Tyrimo populiacija</w:t>
            </w:r>
          </w:p>
        </w:tc>
        <w:tc>
          <w:tcPr>
            <w:tcW w:w="6262" w:type="dxa"/>
            <w:gridSpan w:val="3"/>
            <w:tcBorders>
              <w:top w:val="single" w:sz="4" w:space="0" w:color="000000"/>
              <w:left w:val="single" w:sz="4" w:space="0" w:color="000000"/>
              <w:bottom w:val="single" w:sz="4" w:space="0" w:color="000000"/>
              <w:right w:val="single" w:sz="4" w:space="0" w:color="000000"/>
            </w:tcBorders>
          </w:tcPr>
          <w:p w14:paraId="231E62F9" w14:textId="77777777" w:rsidR="00823785" w:rsidRPr="00452D62"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452D62">
              <w:rPr>
                <w:rFonts w:eastAsia="MS Mincho"/>
                <w:b/>
                <w:bCs/>
                <w:i/>
                <w:iCs/>
                <w:color w:val="auto"/>
                <w:sz w:val="22"/>
                <w:szCs w:val="22"/>
                <w:lang w:eastAsia="fr-FR"/>
              </w:rPr>
              <w:t>ITT</w:t>
            </w:r>
            <w:r w:rsidRPr="00452D62">
              <w:rPr>
                <w:rFonts w:eastAsia="MS Mincho"/>
                <w:b/>
                <w:bCs/>
                <w:color w:val="auto"/>
                <w:sz w:val="22"/>
                <w:szCs w:val="22"/>
                <w:lang w:eastAsia="fr-FR"/>
              </w:rPr>
              <w:t xml:space="preserve"> veiksmingumo analizė pacientams, kuriems yra su vožtuvų liga nesusijęs prieširdžių virpėjimas </w:t>
            </w:r>
          </w:p>
        </w:tc>
      </w:tr>
      <w:tr w:rsidR="00823785" w:rsidRPr="00452D62" w14:paraId="0967C49E" w14:textId="77777777" w:rsidTr="006453B9">
        <w:trPr>
          <w:trHeight w:hRule="exact" w:val="2559"/>
        </w:trPr>
        <w:tc>
          <w:tcPr>
            <w:tcW w:w="2652" w:type="dxa"/>
            <w:tcBorders>
              <w:top w:val="single" w:sz="4" w:space="0" w:color="000000"/>
              <w:left w:val="single" w:sz="3" w:space="0" w:color="000000"/>
              <w:bottom w:val="single" w:sz="3" w:space="0" w:color="000000"/>
              <w:right w:val="single" w:sz="4" w:space="0" w:color="000000"/>
            </w:tcBorders>
          </w:tcPr>
          <w:p w14:paraId="0BBD0090" w14:textId="77777777" w:rsidR="00823785" w:rsidRPr="00452D62" w:rsidRDefault="00823785" w:rsidP="006453B9">
            <w:pPr>
              <w:keepNext/>
              <w:tabs>
                <w:tab w:val="clear" w:pos="567"/>
              </w:tabs>
              <w:suppressAutoHyphens w:val="0"/>
              <w:spacing w:line="240" w:lineRule="auto"/>
              <w:ind w:left="142"/>
              <w:rPr>
                <w:rFonts w:eastAsia="MS Mincho"/>
                <w:b/>
                <w:bCs/>
                <w:color w:val="auto"/>
                <w:sz w:val="22"/>
                <w:szCs w:val="22"/>
                <w:lang w:eastAsia="fr-FR"/>
              </w:rPr>
            </w:pPr>
            <w:r w:rsidRPr="00452D62">
              <w:rPr>
                <w:rFonts w:eastAsia="MS Mincho"/>
                <w:b/>
                <w:bCs/>
                <w:color w:val="auto"/>
                <w:sz w:val="22"/>
                <w:szCs w:val="22"/>
                <w:lang w:eastAsia="fr-FR"/>
              </w:rPr>
              <w:t>Gydymo dozė</w:t>
            </w:r>
          </w:p>
        </w:tc>
        <w:tc>
          <w:tcPr>
            <w:tcW w:w="2132" w:type="dxa"/>
            <w:tcBorders>
              <w:top w:val="single" w:sz="4" w:space="0" w:color="000000"/>
              <w:left w:val="single" w:sz="4" w:space="0" w:color="000000"/>
              <w:bottom w:val="single" w:sz="3" w:space="0" w:color="000000"/>
              <w:right w:val="single" w:sz="3" w:space="0" w:color="000000"/>
            </w:tcBorders>
          </w:tcPr>
          <w:p w14:paraId="6CCB5439" w14:textId="77777777" w:rsidR="00823785" w:rsidRPr="00452D62"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452D62">
              <w:rPr>
                <w:rFonts w:eastAsia="MS Mincho"/>
                <w:b/>
                <w:bCs/>
                <w:color w:val="auto"/>
                <w:sz w:val="22"/>
                <w:szCs w:val="22"/>
                <w:lang w:eastAsia="fr-FR"/>
              </w:rPr>
              <w:t>Rivaroksabanas 20 mg vieną kartą per parą (15 mg vieną kartą per parą pacientams, kuriems yra vidutinis inkstų funkcijos sutrikimas)</w:t>
            </w:r>
          </w:p>
          <w:p w14:paraId="4F6B0C96" w14:textId="77777777" w:rsidR="00823785" w:rsidRPr="00452D62"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452D62">
              <w:rPr>
                <w:rFonts w:eastAsia="MS Mincho"/>
                <w:b/>
                <w:bCs/>
                <w:color w:val="auto"/>
                <w:sz w:val="22"/>
                <w:szCs w:val="22"/>
                <w:lang w:eastAsia="fr-FR"/>
              </w:rPr>
              <w:t>Reiškinių dažnis (100 paciento metų)</w:t>
            </w:r>
          </w:p>
        </w:tc>
        <w:tc>
          <w:tcPr>
            <w:tcW w:w="2132" w:type="dxa"/>
            <w:tcBorders>
              <w:top w:val="single" w:sz="4" w:space="0" w:color="000000"/>
              <w:left w:val="single" w:sz="3" w:space="0" w:color="000000"/>
              <w:bottom w:val="single" w:sz="3" w:space="0" w:color="000000"/>
              <w:right w:val="single" w:sz="4" w:space="0" w:color="000000"/>
            </w:tcBorders>
          </w:tcPr>
          <w:p w14:paraId="58CEB653" w14:textId="77777777" w:rsidR="00823785" w:rsidRPr="00452D62"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452D62">
              <w:rPr>
                <w:rFonts w:eastAsia="MS Mincho"/>
                <w:b/>
                <w:bCs/>
                <w:color w:val="auto"/>
                <w:sz w:val="22"/>
                <w:szCs w:val="22"/>
                <w:lang w:eastAsia="fr-FR"/>
              </w:rPr>
              <w:t xml:space="preserve">Varfarinas, titruotas iki tikslinio INR rodmens 2,5 (terapinis intervalas nuo 2,0 iki 3,0) </w:t>
            </w:r>
          </w:p>
          <w:p w14:paraId="0D357435" w14:textId="77777777" w:rsidR="00823785" w:rsidRPr="00452D62"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452D62">
              <w:rPr>
                <w:rFonts w:eastAsia="MS Mincho"/>
                <w:b/>
                <w:bCs/>
                <w:color w:val="auto"/>
                <w:sz w:val="22"/>
                <w:szCs w:val="22"/>
                <w:lang w:eastAsia="fr-FR"/>
              </w:rPr>
              <w:t>Reiškinių dažnis (100 paciento metų)</w:t>
            </w:r>
          </w:p>
        </w:tc>
        <w:tc>
          <w:tcPr>
            <w:tcW w:w="1998" w:type="dxa"/>
            <w:tcBorders>
              <w:top w:val="single" w:sz="4" w:space="0" w:color="000000"/>
              <w:left w:val="single" w:sz="4" w:space="0" w:color="000000"/>
              <w:bottom w:val="single" w:sz="3" w:space="0" w:color="000000"/>
              <w:right w:val="single" w:sz="4" w:space="0" w:color="000000"/>
            </w:tcBorders>
          </w:tcPr>
          <w:p w14:paraId="56B7D7DD" w14:textId="46B646E9" w:rsidR="00823785" w:rsidRPr="00452D62"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452D62">
              <w:rPr>
                <w:rFonts w:eastAsia="MS Mincho"/>
                <w:b/>
                <w:bCs/>
                <w:color w:val="auto"/>
                <w:sz w:val="22"/>
                <w:szCs w:val="22"/>
                <w:lang w:eastAsia="fr-FR"/>
              </w:rPr>
              <w:t>RS (95 % PI)</w:t>
            </w:r>
          </w:p>
          <w:p w14:paraId="65E1257B" w14:textId="77777777" w:rsidR="00823785" w:rsidRPr="00452D62"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452D62">
              <w:rPr>
                <w:rFonts w:eastAsia="MS Mincho"/>
                <w:b/>
                <w:bCs/>
                <w:color w:val="auto"/>
                <w:sz w:val="22"/>
                <w:szCs w:val="22"/>
                <w:lang w:eastAsia="fr-FR"/>
              </w:rPr>
              <w:t>p reikšmė, pranašumo testas</w:t>
            </w:r>
          </w:p>
        </w:tc>
      </w:tr>
      <w:tr w:rsidR="00823785" w:rsidRPr="00452D62" w14:paraId="46638F63" w14:textId="77777777" w:rsidTr="006453B9">
        <w:trPr>
          <w:trHeight w:hRule="exact" w:val="990"/>
        </w:trPr>
        <w:tc>
          <w:tcPr>
            <w:tcW w:w="2652" w:type="dxa"/>
            <w:tcBorders>
              <w:top w:val="single" w:sz="3" w:space="0" w:color="000000"/>
              <w:left w:val="single" w:sz="3" w:space="0" w:color="000000"/>
              <w:bottom w:val="single" w:sz="4" w:space="0" w:color="000000"/>
              <w:right w:val="single" w:sz="4" w:space="0" w:color="000000"/>
            </w:tcBorders>
          </w:tcPr>
          <w:p w14:paraId="6CEE8835" w14:textId="77777777" w:rsidR="00823785" w:rsidRPr="00452D62" w:rsidRDefault="00823785" w:rsidP="006453B9">
            <w:pPr>
              <w:tabs>
                <w:tab w:val="clear" w:pos="567"/>
              </w:tabs>
              <w:suppressAutoHyphens w:val="0"/>
              <w:spacing w:before="60" w:line="240" w:lineRule="auto"/>
              <w:ind w:left="142"/>
              <w:rPr>
                <w:rFonts w:eastAsia="MS Mincho"/>
                <w:color w:val="auto"/>
                <w:sz w:val="22"/>
                <w:szCs w:val="22"/>
                <w:lang w:eastAsia="fr-FR"/>
              </w:rPr>
            </w:pPr>
            <w:r w:rsidRPr="00452D62">
              <w:rPr>
                <w:rFonts w:eastAsia="MS Mincho"/>
                <w:color w:val="auto"/>
                <w:sz w:val="22"/>
                <w:szCs w:val="22"/>
                <w:lang w:eastAsia="fr-FR"/>
              </w:rPr>
              <w:t>Insultas ir ne CNS sisteminė embolija</w:t>
            </w:r>
          </w:p>
        </w:tc>
        <w:tc>
          <w:tcPr>
            <w:tcW w:w="2132" w:type="dxa"/>
            <w:tcBorders>
              <w:top w:val="single" w:sz="3" w:space="0" w:color="000000"/>
              <w:left w:val="single" w:sz="4" w:space="0" w:color="000000"/>
              <w:bottom w:val="single" w:sz="4" w:space="0" w:color="000000"/>
              <w:right w:val="single" w:sz="3" w:space="0" w:color="000000"/>
            </w:tcBorders>
          </w:tcPr>
          <w:p w14:paraId="15EC5CE8"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269 (2,12)</w:t>
            </w:r>
          </w:p>
        </w:tc>
        <w:tc>
          <w:tcPr>
            <w:tcW w:w="2132" w:type="dxa"/>
            <w:tcBorders>
              <w:top w:val="single" w:sz="3" w:space="0" w:color="000000"/>
              <w:left w:val="single" w:sz="3" w:space="0" w:color="000000"/>
              <w:bottom w:val="single" w:sz="4" w:space="0" w:color="000000"/>
              <w:right w:val="single" w:sz="4" w:space="0" w:color="000000"/>
            </w:tcBorders>
          </w:tcPr>
          <w:p w14:paraId="27B4E94E"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306 (2,42)</w:t>
            </w:r>
          </w:p>
        </w:tc>
        <w:tc>
          <w:tcPr>
            <w:tcW w:w="1998" w:type="dxa"/>
            <w:tcBorders>
              <w:top w:val="single" w:sz="3" w:space="0" w:color="000000"/>
              <w:left w:val="single" w:sz="4" w:space="0" w:color="000000"/>
              <w:bottom w:val="single" w:sz="4" w:space="0" w:color="000000"/>
              <w:right w:val="single" w:sz="4" w:space="0" w:color="000000"/>
            </w:tcBorders>
          </w:tcPr>
          <w:p w14:paraId="62671194"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0,88</w:t>
            </w:r>
          </w:p>
          <w:p w14:paraId="271A361B"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(0,74</w:t>
            </w:r>
            <w:r w:rsidRPr="00452D62">
              <w:rPr>
                <w:rFonts w:eastAsia="MS Mincho"/>
                <w:color w:val="auto"/>
                <w:sz w:val="22"/>
                <w:szCs w:val="22"/>
                <w:lang w:eastAsia="fr-FR"/>
              </w:rPr>
              <w:noBreakHyphen/>
              <w:t>1,03)</w:t>
            </w:r>
          </w:p>
          <w:p w14:paraId="339A6D65"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0,117</w:t>
            </w:r>
          </w:p>
        </w:tc>
      </w:tr>
      <w:tr w:rsidR="00823785" w:rsidRPr="00452D62" w14:paraId="62DBDD3C" w14:textId="77777777" w:rsidTr="006453B9">
        <w:trPr>
          <w:trHeight w:hRule="exact" w:val="1006"/>
        </w:trPr>
        <w:tc>
          <w:tcPr>
            <w:tcW w:w="2652" w:type="dxa"/>
            <w:tcBorders>
              <w:top w:val="single" w:sz="4" w:space="0" w:color="000000"/>
              <w:left w:val="single" w:sz="3" w:space="0" w:color="000000"/>
              <w:bottom w:val="single" w:sz="4" w:space="0" w:color="000000"/>
              <w:right w:val="single" w:sz="4" w:space="0" w:color="000000"/>
            </w:tcBorders>
          </w:tcPr>
          <w:p w14:paraId="74809EAE" w14:textId="77777777" w:rsidR="00823785" w:rsidRPr="00452D62" w:rsidRDefault="00823785" w:rsidP="006453B9">
            <w:pPr>
              <w:tabs>
                <w:tab w:val="clear" w:pos="567"/>
              </w:tabs>
              <w:suppressAutoHyphens w:val="0"/>
              <w:spacing w:before="60" w:line="240" w:lineRule="auto"/>
              <w:ind w:left="142"/>
              <w:rPr>
                <w:rFonts w:eastAsia="MS Mincho"/>
                <w:color w:val="auto"/>
                <w:sz w:val="22"/>
                <w:szCs w:val="22"/>
                <w:lang w:eastAsia="fr-FR"/>
              </w:rPr>
            </w:pPr>
            <w:r w:rsidRPr="00452D62">
              <w:rPr>
                <w:sz w:val="22"/>
                <w:szCs w:val="22"/>
              </w:rPr>
              <w:t>Insultas, ne CNS sisteminė embolija ir kraujagyslinė mirtis</w:t>
            </w:r>
          </w:p>
        </w:tc>
        <w:tc>
          <w:tcPr>
            <w:tcW w:w="2132" w:type="dxa"/>
            <w:tcBorders>
              <w:top w:val="single" w:sz="4" w:space="0" w:color="000000"/>
              <w:left w:val="single" w:sz="4" w:space="0" w:color="000000"/>
              <w:bottom w:val="single" w:sz="4" w:space="0" w:color="000000"/>
              <w:right w:val="single" w:sz="3" w:space="0" w:color="000000"/>
            </w:tcBorders>
          </w:tcPr>
          <w:p w14:paraId="055471A0"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572 (4,51)</w:t>
            </w:r>
          </w:p>
        </w:tc>
        <w:tc>
          <w:tcPr>
            <w:tcW w:w="2132" w:type="dxa"/>
            <w:tcBorders>
              <w:top w:val="single" w:sz="4" w:space="0" w:color="000000"/>
              <w:left w:val="single" w:sz="3" w:space="0" w:color="000000"/>
              <w:bottom w:val="single" w:sz="4" w:space="0" w:color="000000"/>
              <w:right w:val="single" w:sz="4" w:space="0" w:color="000000"/>
            </w:tcBorders>
          </w:tcPr>
          <w:p w14:paraId="1397B6B5"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609 (4,81)</w:t>
            </w:r>
          </w:p>
        </w:tc>
        <w:tc>
          <w:tcPr>
            <w:tcW w:w="1998" w:type="dxa"/>
            <w:tcBorders>
              <w:top w:val="single" w:sz="4" w:space="0" w:color="000000"/>
              <w:left w:val="single" w:sz="4" w:space="0" w:color="000000"/>
              <w:bottom w:val="single" w:sz="4" w:space="0" w:color="000000"/>
              <w:right w:val="single" w:sz="4" w:space="0" w:color="000000"/>
            </w:tcBorders>
          </w:tcPr>
          <w:p w14:paraId="3E48FE58"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0,94</w:t>
            </w:r>
          </w:p>
          <w:p w14:paraId="11523F7A"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(0,84</w:t>
            </w:r>
            <w:r w:rsidRPr="00452D62">
              <w:rPr>
                <w:rFonts w:eastAsia="MS Mincho"/>
                <w:color w:val="auto"/>
                <w:sz w:val="22"/>
                <w:szCs w:val="22"/>
                <w:lang w:eastAsia="fr-FR"/>
              </w:rPr>
              <w:noBreakHyphen/>
              <w:t>1,05)</w:t>
            </w:r>
          </w:p>
          <w:p w14:paraId="1B59E611"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0,265</w:t>
            </w:r>
          </w:p>
        </w:tc>
      </w:tr>
      <w:tr w:rsidR="00823785" w:rsidRPr="00452D62" w14:paraId="47F17F00" w14:textId="77777777" w:rsidTr="006453B9">
        <w:trPr>
          <w:trHeight w:hRule="exact" w:val="1108"/>
        </w:trPr>
        <w:tc>
          <w:tcPr>
            <w:tcW w:w="2652" w:type="dxa"/>
            <w:tcBorders>
              <w:top w:val="single" w:sz="4" w:space="0" w:color="000000"/>
              <w:left w:val="single" w:sz="3" w:space="0" w:color="000000"/>
              <w:bottom w:val="single" w:sz="4" w:space="0" w:color="000000"/>
              <w:right w:val="single" w:sz="4" w:space="0" w:color="000000"/>
            </w:tcBorders>
          </w:tcPr>
          <w:p w14:paraId="27C33671" w14:textId="77777777" w:rsidR="00823785" w:rsidRPr="00452D62" w:rsidRDefault="00823785" w:rsidP="006453B9">
            <w:pPr>
              <w:tabs>
                <w:tab w:val="clear" w:pos="567"/>
              </w:tabs>
              <w:suppressAutoHyphens w:val="0"/>
              <w:spacing w:before="60" w:line="240" w:lineRule="auto"/>
              <w:ind w:left="142"/>
              <w:rPr>
                <w:rFonts w:eastAsia="MS Mincho"/>
                <w:color w:val="auto"/>
                <w:sz w:val="22"/>
                <w:szCs w:val="22"/>
                <w:lang w:eastAsia="fr-FR"/>
              </w:rPr>
            </w:pPr>
            <w:r w:rsidRPr="00452D62">
              <w:rPr>
                <w:rFonts w:eastAsia="MS Mincho"/>
                <w:color w:val="auto"/>
                <w:sz w:val="22"/>
                <w:szCs w:val="22"/>
                <w:lang w:eastAsia="fr-FR"/>
              </w:rPr>
              <w:t>Insultas, ne CNS sisteminė embolija, kraujagyslinė mirtis ir miokardo infarktas</w:t>
            </w:r>
          </w:p>
        </w:tc>
        <w:tc>
          <w:tcPr>
            <w:tcW w:w="2132" w:type="dxa"/>
            <w:tcBorders>
              <w:top w:val="single" w:sz="4" w:space="0" w:color="000000"/>
              <w:left w:val="single" w:sz="4" w:space="0" w:color="000000"/>
              <w:bottom w:val="single" w:sz="4" w:space="0" w:color="000000"/>
              <w:right w:val="single" w:sz="3" w:space="0" w:color="000000"/>
            </w:tcBorders>
          </w:tcPr>
          <w:p w14:paraId="070C5942"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659 (5,24)</w:t>
            </w:r>
          </w:p>
        </w:tc>
        <w:tc>
          <w:tcPr>
            <w:tcW w:w="2132" w:type="dxa"/>
            <w:tcBorders>
              <w:top w:val="single" w:sz="4" w:space="0" w:color="000000"/>
              <w:left w:val="single" w:sz="3" w:space="0" w:color="000000"/>
              <w:bottom w:val="single" w:sz="4" w:space="0" w:color="000000"/>
              <w:right w:val="single" w:sz="4" w:space="0" w:color="000000"/>
            </w:tcBorders>
          </w:tcPr>
          <w:p w14:paraId="7FC8E209"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709 (5,65)</w:t>
            </w:r>
          </w:p>
        </w:tc>
        <w:tc>
          <w:tcPr>
            <w:tcW w:w="1998" w:type="dxa"/>
            <w:tcBorders>
              <w:top w:val="single" w:sz="4" w:space="0" w:color="000000"/>
              <w:left w:val="single" w:sz="4" w:space="0" w:color="000000"/>
              <w:bottom w:val="single" w:sz="4" w:space="0" w:color="000000"/>
              <w:right w:val="single" w:sz="4" w:space="0" w:color="000000"/>
            </w:tcBorders>
          </w:tcPr>
          <w:p w14:paraId="589461CA"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0,93</w:t>
            </w:r>
          </w:p>
          <w:p w14:paraId="4F785939"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(0,83</w:t>
            </w:r>
            <w:r w:rsidRPr="00452D62">
              <w:rPr>
                <w:rFonts w:eastAsia="MS Mincho"/>
                <w:color w:val="auto"/>
                <w:sz w:val="22"/>
                <w:szCs w:val="22"/>
                <w:lang w:eastAsia="fr-FR"/>
              </w:rPr>
              <w:noBreakHyphen/>
              <w:t>1,03)</w:t>
            </w:r>
          </w:p>
          <w:p w14:paraId="5703CD8D"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0,158</w:t>
            </w:r>
          </w:p>
        </w:tc>
      </w:tr>
      <w:tr w:rsidR="00823785" w:rsidRPr="00452D62" w14:paraId="2A80417E" w14:textId="77777777" w:rsidTr="006453B9">
        <w:trPr>
          <w:trHeight w:hRule="exact" w:val="1038"/>
        </w:trPr>
        <w:tc>
          <w:tcPr>
            <w:tcW w:w="2652" w:type="dxa"/>
            <w:tcBorders>
              <w:top w:val="single" w:sz="4" w:space="0" w:color="000000"/>
              <w:left w:val="single" w:sz="3" w:space="0" w:color="000000"/>
              <w:bottom w:val="single" w:sz="3" w:space="0" w:color="000000"/>
              <w:right w:val="single" w:sz="4" w:space="0" w:color="000000"/>
            </w:tcBorders>
          </w:tcPr>
          <w:p w14:paraId="16A2089B" w14:textId="77777777" w:rsidR="00823785" w:rsidRPr="00452D62" w:rsidRDefault="00823785" w:rsidP="006453B9">
            <w:pPr>
              <w:tabs>
                <w:tab w:val="clear" w:pos="567"/>
              </w:tabs>
              <w:suppressAutoHyphens w:val="0"/>
              <w:spacing w:before="60" w:line="240" w:lineRule="auto"/>
              <w:ind w:left="709"/>
              <w:rPr>
                <w:rFonts w:eastAsia="MS Mincho"/>
                <w:color w:val="auto"/>
                <w:sz w:val="22"/>
                <w:szCs w:val="22"/>
                <w:lang w:eastAsia="fr-FR"/>
              </w:rPr>
            </w:pPr>
            <w:r w:rsidRPr="00452D62">
              <w:rPr>
                <w:rFonts w:eastAsia="MS Mincho"/>
                <w:color w:val="auto"/>
                <w:sz w:val="22"/>
                <w:szCs w:val="22"/>
                <w:lang w:eastAsia="fr-FR"/>
              </w:rPr>
              <w:t>Insultas</w:t>
            </w:r>
          </w:p>
        </w:tc>
        <w:tc>
          <w:tcPr>
            <w:tcW w:w="2132" w:type="dxa"/>
            <w:tcBorders>
              <w:top w:val="single" w:sz="4" w:space="0" w:color="000000"/>
              <w:left w:val="single" w:sz="4" w:space="0" w:color="000000"/>
              <w:bottom w:val="single" w:sz="3" w:space="0" w:color="000000"/>
              <w:right w:val="single" w:sz="3" w:space="0" w:color="000000"/>
            </w:tcBorders>
          </w:tcPr>
          <w:p w14:paraId="6130E179"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253 (1,99)</w:t>
            </w:r>
          </w:p>
        </w:tc>
        <w:tc>
          <w:tcPr>
            <w:tcW w:w="2132" w:type="dxa"/>
            <w:tcBorders>
              <w:top w:val="single" w:sz="4" w:space="0" w:color="000000"/>
              <w:left w:val="single" w:sz="3" w:space="0" w:color="000000"/>
              <w:bottom w:val="single" w:sz="3" w:space="0" w:color="000000"/>
              <w:right w:val="single" w:sz="4" w:space="0" w:color="000000"/>
            </w:tcBorders>
          </w:tcPr>
          <w:p w14:paraId="2B46BD85"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281 (2,22)</w:t>
            </w:r>
          </w:p>
        </w:tc>
        <w:tc>
          <w:tcPr>
            <w:tcW w:w="1998" w:type="dxa"/>
            <w:tcBorders>
              <w:top w:val="single" w:sz="4" w:space="0" w:color="000000"/>
              <w:left w:val="single" w:sz="4" w:space="0" w:color="000000"/>
              <w:bottom w:val="single" w:sz="3" w:space="0" w:color="000000"/>
              <w:right w:val="single" w:sz="4" w:space="0" w:color="000000"/>
            </w:tcBorders>
          </w:tcPr>
          <w:p w14:paraId="53E153A2"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0,90</w:t>
            </w:r>
          </w:p>
          <w:p w14:paraId="06525029"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(0,76</w:t>
            </w:r>
            <w:r w:rsidRPr="00452D62">
              <w:rPr>
                <w:rFonts w:eastAsia="MS Mincho"/>
                <w:color w:val="auto"/>
                <w:sz w:val="22"/>
                <w:szCs w:val="22"/>
                <w:lang w:eastAsia="fr-FR"/>
              </w:rPr>
              <w:noBreakHyphen/>
              <w:t>1,07)</w:t>
            </w:r>
          </w:p>
          <w:p w14:paraId="1ED9F45C"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0,221</w:t>
            </w:r>
          </w:p>
        </w:tc>
      </w:tr>
      <w:tr w:rsidR="00823785" w:rsidRPr="00452D62" w14:paraId="353CAFD3" w14:textId="77777777" w:rsidTr="006453B9">
        <w:trPr>
          <w:trHeight w:hRule="exact" w:val="993"/>
        </w:trPr>
        <w:tc>
          <w:tcPr>
            <w:tcW w:w="2652" w:type="dxa"/>
            <w:tcBorders>
              <w:top w:val="single" w:sz="3" w:space="0" w:color="000000"/>
              <w:left w:val="single" w:sz="3" w:space="0" w:color="000000"/>
              <w:bottom w:val="single" w:sz="4" w:space="0" w:color="000000"/>
              <w:right w:val="single" w:sz="4" w:space="0" w:color="000000"/>
            </w:tcBorders>
          </w:tcPr>
          <w:p w14:paraId="155D50F9" w14:textId="77777777" w:rsidR="00823785" w:rsidRPr="00452D62" w:rsidRDefault="00823785" w:rsidP="006453B9">
            <w:pPr>
              <w:tabs>
                <w:tab w:val="clear" w:pos="567"/>
              </w:tabs>
              <w:suppressAutoHyphens w:val="0"/>
              <w:spacing w:before="60" w:line="240" w:lineRule="auto"/>
              <w:ind w:left="709"/>
              <w:rPr>
                <w:rFonts w:eastAsia="MS Mincho"/>
                <w:color w:val="auto"/>
                <w:sz w:val="22"/>
                <w:szCs w:val="22"/>
                <w:lang w:eastAsia="fr-FR"/>
              </w:rPr>
            </w:pPr>
            <w:r w:rsidRPr="00452D62">
              <w:rPr>
                <w:rFonts w:eastAsia="MS Mincho"/>
                <w:color w:val="auto"/>
                <w:sz w:val="22"/>
                <w:szCs w:val="22"/>
                <w:lang w:eastAsia="fr-FR"/>
              </w:rPr>
              <w:t>Ne CNS sisteminė embolija</w:t>
            </w:r>
          </w:p>
        </w:tc>
        <w:tc>
          <w:tcPr>
            <w:tcW w:w="2132" w:type="dxa"/>
            <w:tcBorders>
              <w:top w:val="single" w:sz="3" w:space="0" w:color="000000"/>
              <w:left w:val="single" w:sz="4" w:space="0" w:color="000000"/>
              <w:bottom w:val="single" w:sz="4" w:space="0" w:color="000000"/>
              <w:right w:val="single" w:sz="3" w:space="0" w:color="000000"/>
            </w:tcBorders>
          </w:tcPr>
          <w:p w14:paraId="37F81DE6"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20 (0,16)</w:t>
            </w:r>
          </w:p>
        </w:tc>
        <w:tc>
          <w:tcPr>
            <w:tcW w:w="2132" w:type="dxa"/>
            <w:tcBorders>
              <w:top w:val="single" w:sz="3" w:space="0" w:color="000000"/>
              <w:left w:val="single" w:sz="3" w:space="0" w:color="000000"/>
              <w:bottom w:val="single" w:sz="4" w:space="0" w:color="000000"/>
              <w:right w:val="single" w:sz="4" w:space="0" w:color="000000"/>
            </w:tcBorders>
          </w:tcPr>
          <w:p w14:paraId="449FD84C"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27 (0,21)</w:t>
            </w:r>
          </w:p>
        </w:tc>
        <w:tc>
          <w:tcPr>
            <w:tcW w:w="1998" w:type="dxa"/>
            <w:tcBorders>
              <w:top w:val="single" w:sz="3" w:space="0" w:color="000000"/>
              <w:left w:val="single" w:sz="4" w:space="0" w:color="000000"/>
              <w:bottom w:val="single" w:sz="4" w:space="0" w:color="000000"/>
              <w:right w:val="single" w:sz="4" w:space="0" w:color="000000"/>
            </w:tcBorders>
          </w:tcPr>
          <w:p w14:paraId="4339A9FC"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 xml:space="preserve">0,74 </w:t>
            </w:r>
          </w:p>
          <w:p w14:paraId="163B023D"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(0,42</w:t>
            </w:r>
            <w:r w:rsidRPr="00452D62">
              <w:rPr>
                <w:rFonts w:eastAsia="MS Mincho"/>
                <w:color w:val="auto"/>
                <w:sz w:val="22"/>
                <w:szCs w:val="22"/>
                <w:lang w:eastAsia="fr-FR"/>
              </w:rPr>
              <w:noBreakHyphen/>
              <w:t>1,32)</w:t>
            </w:r>
          </w:p>
          <w:p w14:paraId="70D1A1E5"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0,308</w:t>
            </w:r>
          </w:p>
        </w:tc>
      </w:tr>
      <w:tr w:rsidR="00823785" w:rsidRPr="00452D62" w14:paraId="59F6E855" w14:textId="77777777" w:rsidTr="006453B9">
        <w:trPr>
          <w:trHeight w:hRule="exact" w:val="996"/>
        </w:trPr>
        <w:tc>
          <w:tcPr>
            <w:tcW w:w="2652" w:type="dxa"/>
            <w:tcBorders>
              <w:top w:val="single" w:sz="4" w:space="0" w:color="000000"/>
              <w:left w:val="single" w:sz="3" w:space="0" w:color="000000"/>
              <w:bottom w:val="single" w:sz="4" w:space="0" w:color="000000"/>
              <w:right w:val="single" w:sz="4" w:space="0" w:color="000000"/>
            </w:tcBorders>
          </w:tcPr>
          <w:p w14:paraId="7431FF33" w14:textId="77777777" w:rsidR="00823785" w:rsidRPr="00452D62" w:rsidRDefault="00823785" w:rsidP="006453B9">
            <w:pPr>
              <w:tabs>
                <w:tab w:val="clear" w:pos="567"/>
              </w:tabs>
              <w:suppressAutoHyphens w:val="0"/>
              <w:spacing w:before="60" w:line="240" w:lineRule="auto"/>
              <w:ind w:left="142"/>
              <w:rPr>
                <w:rFonts w:eastAsia="MS Mincho"/>
                <w:color w:val="auto"/>
                <w:sz w:val="22"/>
                <w:szCs w:val="22"/>
                <w:lang w:eastAsia="fr-FR"/>
              </w:rPr>
            </w:pPr>
            <w:r w:rsidRPr="00452D62">
              <w:rPr>
                <w:rFonts w:eastAsia="MS Mincho"/>
                <w:color w:val="auto"/>
                <w:sz w:val="22"/>
                <w:szCs w:val="22"/>
                <w:lang w:eastAsia="fr-FR"/>
              </w:rPr>
              <w:t>Miokardo infarktas</w:t>
            </w:r>
          </w:p>
        </w:tc>
        <w:tc>
          <w:tcPr>
            <w:tcW w:w="2132" w:type="dxa"/>
            <w:tcBorders>
              <w:top w:val="single" w:sz="4" w:space="0" w:color="000000"/>
              <w:left w:val="single" w:sz="4" w:space="0" w:color="000000"/>
              <w:bottom w:val="single" w:sz="4" w:space="0" w:color="000000"/>
              <w:right w:val="single" w:sz="3" w:space="0" w:color="000000"/>
            </w:tcBorders>
          </w:tcPr>
          <w:p w14:paraId="3D1847A8"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p>
          <w:p w14:paraId="6781C2E2"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130 (1,02)</w:t>
            </w:r>
          </w:p>
        </w:tc>
        <w:tc>
          <w:tcPr>
            <w:tcW w:w="2132" w:type="dxa"/>
            <w:tcBorders>
              <w:top w:val="single" w:sz="4" w:space="0" w:color="000000"/>
              <w:left w:val="single" w:sz="3" w:space="0" w:color="000000"/>
              <w:bottom w:val="single" w:sz="4" w:space="0" w:color="000000"/>
              <w:right w:val="single" w:sz="4" w:space="0" w:color="000000"/>
            </w:tcBorders>
          </w:tcPr>
          <w:p w14:paraId="781E438C"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p>
          <w:p w14:paraId="3C123DD5"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142 (1,11)</w:t>
            </w:r>
          </w:p>
        </w:tc>
        <w:tc>
          <w:tcPr>
            <w:tcW w:w="1998" w:type="dxa"/>
            <w:tcBorders>
              <w:top w:val="single" w:sz="4" w:space="0" w:color="000000"/>
              <w:left w:val="single" w:sz="4" w:space="0" w:color="000000"/>
              <w:bottom w:val="single" w:sz="4" w:space="0" w:color="000000"/>
              <w:right w:val="single" w:sz="4" w:space="0" w:color="000000"/>
            </w:tcBorders>
          </w:tcPr>
          <w:p w14:paraId="22DAE47B"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 xml:space="preserve">0,91 </w:t>
            </w:r>
          </w:p>
          <w:p w14:paraId="427BFCD4"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(0,72</w:t>
            </w:r>
            <w:r w:rsidRPr="00452D62">
              <w:rPr>
                <w:rFonts w:eastAsia="MS Mincho"/>
                <w:color w:val="auto"/>
                <w:sz w:val="22"/>
                <w:szCs w:val="22"/>
                <w:lang w:eastAsia="fr-FR"/>
              </w:rPr>
              <w:noBreakHyphen/>
              <w:t>1,16)</w:t>
            </w:r>
          </w:p>
          <w:p w14:paraId="299F290F"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0,464</w:t>
            </w:r>
          </w:p>
        </w:tc>
      </w:tr>
    </w:tbl>
    <w:p w14:paraId="703BF472" w14:textId="77777777" w:rsidR="00823785" w:rsidRPr="00452D62" w:rsidRDefault="00823785" w:rsidP="00823785">
      <w:pPr>
        <w:tabs>
          <w:tab w:val="clear" w:pos="567"/>
        </w:tabs>
        <w:suppressAutoHyphens w:val="0"/>
        <w:spacing w:line="240" w:lineRule="auto"/>
        <w:rPr>
          <w:rFonts w:eastAsia="MS Mincho"/>
          <w:color w:val="auto"/>
          <w:sz w:val="22"/>
          <w:szCs w:val="22"/>
          <w:lang w:eastAsia="fr-FR"/>
        </w:rPr>
      </w:pPr>
    </w:p>
    <w:p w14:paraId="471DA503" w14:textId="77777777" w:rsidR="00823785" w:rsidRPr="00452D62" w:rsidRDefault="00823785" w:rsidP="00823785">
      <w:pPr>
        <w:tabs>
          <w:tab w:val="clear" w:pos="567"/>
        </w:tabs>
        <w:suppressAutoHyphens w:val="0"/>
        <w:spacing w:line="240" w:lineRule="auto"/>
        <w:rPr>
          <w:rFonts w:eastAsia="MS Mincho"/>
          <w:b/>
          <w:color w:val="auto"/>
          <w:sz w:val="22"/>
          <w:szCs w:val="22"/>
          <w:lang w:eastAsia="fr-FR"/>
        </w:rPr>
      </w:pPr>
      <w:r w:rsidRPr="00452D62">
        <w:rPr>
          <w:rFonts w:eastAsia="MS Mincho"/>
          <w:b/>
          <w:color w:val="auto"/>
          <w:sz w:val="22"/>
          <w:szCs w:val="22"/>
          <w:lang w:eastAsia="fr-FR"/>
        </w:rPr>
        <w:t xml:space="preserve">5 lentelė. III fazės </w:t>
      </w:r>
      <w:r w:rsidRPr="00452D62">
        <w:rPr>
          <w:rFonts w:eastAsia="MS Mincho"/>
          <w:b/>
          <w:i/>
          <w:iCs/>
          <w:color w:val="auto"/>
          <w:sz w:val="22"/>
          <w:szCs w:val="22"/>
          <w:lang w:eastAsia="fr-FR"/>
        </w:rPr>
        <w:t>ROCKET AF</w:t>
      </w:r>
      <w:r w:rsidRPr="00452D62">
        <w:rPr>
          <w:rFonts w:eastAsia="MS Mincho"/>
          <w:b/>
          <w:color w:val="auto"/>
          <w:sz w:val="22"/>
          <w:szCs w:val="22"/>
          <w:lang w:eastAsia="fr-FR"/>
        </w:rPr>
        <w:t xml:space="preserve"> tyrimo saugumo rezultatai</w:t>
      </w:r>
    </w:p>
    <w:tbl>
      <w:tblPr>
        <w:tblW w:w="0" w:type="auto"/>
        <w:tblInd w:w="4" w:type="dxa"/>
        <w:tblLayout w:type="fixed"/>
        <w:tblCellMar>
          <w:left w:w="0" w:type="dxa"/>
          <w:right w:w="0" w:type="dxa"/>
        </w:tblCellMar>
        <w:tblLook w:val="01E0" w:firstRow="1" w:lastRow="1" w:firstColumn="1" w:lastColumn="1" w:noHBand="0" w:noVBand="0"/>
      </w:tblPr>
      <w:tblGrid>
        <w:gridCol w:w="2601"/>
        <w:gridCol w:w="2312"/>
        <w:gridCol w:w="2312"/>
        <w:gridCol w:w="1693"/>
      </w:tblGrid>
      <w:tr w:rsidR="00823785" w:rsidRPr="00452D62" w14:paraId="4D0523ED" w14:textId="77777777" w:rsidTr="006453B9">
        <w:trPr>
          <w:trHeight w:hRule="exact" w:val="599"/>
        </w:trPr>
        <w:tc>
          <w:tcPr>
            <w:tcW w:w="2601" w:type="dxa"/>
            <w:tcBorders>
              <w:top w:val="single" w:sz="4" w:space="0" w:color="000000"/>
              <w:left w:val="single" w:sz="3" w:space="0" w:color="000000"/>
              <w:bottom w:val="single" w:sz="4" w:space="0" w:color="000000"/>
              <w:right w:val="single" w:sz="3" w:space="0" w:color="000000"/>
            </w:tcBorders>
          </w:tcPr>
          <w:p w14:paraId="575037A2" w14:textId="77777777" w:rsidR="00823785" w:rsidRPr="00452D62" w:rsidRDefault="00823785" w:rsidP="006453B9">
            <w:pPr>
              <w:keepNext/>
              <w:tabs>
                <w:tab w:val="clear" w:pos="567"/>
              </w:tabs>
              <w:suppressAutoHyphens w:val="0"/>
              <w:spacing w:line="240" w:lineRule="auto"/>
              <w:ind w:left="142"/>
              <w:rPr>
                <w:rFonts w:eastAsia="MS Mincho"/>
                <w:b/>
                <w:bCs/>
                <w:color w:val="auto"/>
                <w:sz w:val="22"/>
                <w:szCs w:val="22"/>
                <w:lang w:eastAsia="fr-FR"/>
              </w:rPr>
            </w:pPr>
            <w:r w:rsidRPr="00452D62">
              <w:rPr>
                <w:rFonts w:eastAsia="MS Mincho"/>
                <w:b/>
                <w:bCs/>
                <w:color w:val="auto"/>
                <w:sz w:val="22"/>
                <w:szCs w:val="22"/>
                <w:lang w:eastAsia="fr-FR"/>
              </w:rPr>
              <w:t>Tyrimo populiacija</w:t>
            </w:r>
          </w:p>
        </w:tc>
        <w:tc>
          <w:tcPr>
            <w:tcW w:w="6317" w:type="dxa"/>
            <w:gridSpan w:val="3"/>
            <w:tcBorders>
              <w:top w:val="single" w:sz="4" w:space="0" w:color="000000"/>
              <w:left w:val="single" w:sz="3" w:space="0" w:color="000000"/>
              <w:bottom w:val="single" w:sz="4" w:space="0" w:color="000000"/>
              <w:right w:val="single" w:sz="3" w:space="0" w:color="000000"/>
            </w:tcBorders>
          </w:tcPr>
          <w:p w14:paraId="3B732FFF" w14:textId="77777777" w:rsidR="00823785" w:rsidRPr="00452D62"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452D62">
              <w:rPr>
                <w:rFonts w:eastAsia="MS Mincho"/>
                <w:b/>
                <w:bCs/>
                <w:i/>
                <w:iCs/>
                <w:color w:val="auto"/>
                <w:sz w:val="22"/>
                <w:szCs w:val="22"/>
                <w:lang w:eastAsia="fr-FR"/>
              </w:rPr>
              <w:t>ITT</w:t>
            </w:r>
            <w:r w:rsidRPr="00452D62">
              <w:rPr>
                <w:rFonts w:eastAsia="MS Mincho"/>
                <w:b/>
                <w:bCs/>
                <w:color w:val="auto"/>
                <w:sz w:val="22"/>
                <w:szCs w:val="22"/>
                <w:lang w:eastAsia="fr-FR"/>
              </w:rPr>
              <w:t xml:space="preserve"> veiksmingumo analizė pacientams, kuriems yra su vožtuvų liga nesusijęs prieširdžių virpėjimas </w:t>
            </w:r>
          </w:p>
        </w:tc>
      </w:tr>
      <w:tr w:rsidR="00823785" w:rsidRPr="00452D62" w14:paraId="61CC66F0" w14:textId="77777777" w:rsidTr="006453B9">
        <w:trPr>
          <w:trHeight w:hRule="exact" w:val="2124"/>
        </w:trPr>
        <w:tc>
          <w:tcPr>
            <w:tcW w:w="2601" w:type="dxa"/>
            <w:tcBorders>
              <w:top w:val="single" w:sz="4" w:space="0" w:color="000000"/>
              <w:left w:val="single" w:sz="3" w:space="0" w:color="000000"/>
              <w:bottom w:val="single" w:sz="3" w:space="0" w:color="000000"/>
              <w:right w:val="single" w:sz="3" w:space="0" w:color="000000"/>
            </w:tcBorders>
          </w:tcPr>
          <w:p w14:paraId="59401037" w14:textId="77777777" w:rsidR="00823785" w:rsidRPr="00452D62" w:rsidRDefault="00823785" w:rsidP="006453B9">
            <w:pPr>
              <w:keepNext/>
              <w:tabs>
                <w:tab w:val="clear" w:pos="567"/>
              </w:tabs>
              <w:suppressAutoHyphens w:val="0"/>
              <w:spacing w:line="240" w:lineRule="auto"/>
              <w:ind w:left="142"/>
              <w:rPr>
                <w:rFonts w:eastAsia="MS Mincho"/>
                <w:b/>
                <w:bCs/>
                <w:color w:val="auto"/>
                <w:sz w:val="22"/>
                <w:szCs w:val="22"/>
                <w:lang w:eastAsia="fr-FR"/>
              </w:rPr>
            </w:pPr>
            <w:r w:rsidRPr="00452D62">
              <w:rPr>
                <w:rFonts w:eastAsia="MS Mincho"/>
                <w:b/>
                <w:bCs/>
                <w:color w:val="auto"/>
                <w:sz w:val="22"/>
                <w:szCs w:val="22"/>
                <w:lang w:eastAsia="fr-FR"/>
              </w:rPr>
              <w:t>Gydymo dozė</w:t>
            </w:r>
          </w:p>
        </w:tc>
        <w:tc>
          <w:tcPr>
            <w:tcW w:w="2312" w:type="dxa"/>
            <w:tcBorders>
              <w:top w:val="single" w:sz="4" w:space="0" w:color="000000"/>
              <w:left w:val="single" w:sz="3" w:space="0" w:color="000000"/>
              <w:bottom w:val="single" w:sz="3" w:space="0" w:color="000000"/>
              <w:right w:val="single" w:sz="4" w:space="0" w:color="000000"/>
            </w:tcBorders>
          </w:tcPr>
          <w:p w14:paraId="09BAF503" w14:textId="77777777" w:rsidR="00823785" w:rsidRPr="00452D62"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452D62">
              <w:rPr>
                <w:rFonts w:eastAsia="MS Mincho"/>
                <w:b/>
                <w:bCs/>
                <w:color w:val="auto"/>
                <w:sz w:val="22"/>
                <w:szCs w:val="22"/>
                <w:lang w:eastAsia="fr-FR"/>
              </w:rPr>
              <w:t>Rivaroksabanas 20 mg vieną kartą per parą (15 mg vieną kartą per parą pacientams, kuriems yra vidutinis inkstų funkcijos sutrikimas)</w:t>
            </w:r>
          </w:p>
          <w:p w14:paraId="64561E33" w14:textId="77777777" w:rsidR="00823785" w:rsidRPr="00452D62"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452D62">
              <w:rPr>
                <w:rFonts w:eastAsia="MS Mincho"/>
                <w:b/>
                <w:bCs/>
                <w:color w:val="auto"/>
                <w:sz w:val="22"/>
                <w:szCs w:val="22"/>
                <w:lang w:eastAsia="fr-FR"/>
              </w:rPr>
              <w:t>Reiškinių dažnis (100 paciento metų)</w:t>
            </w:r>
          </w:p>
        </w:tc>
        <w:tc>
          <w:tcPr>
            <w:tcW w:w="2312" w:type="dxa"/>
            <w:tcBorders>
              <w:top w:val="single" w:sz="4" w:space="0" w:color="000000"/>
              <w:left w:val="single" w:sz="4" w:space="0" w:color="000000"/>
              <w:bottom w:val="single" w:sz="3" w:space="0" w:color="000000"/>
              <w:right w:val="single" w:sz="3" w:space="0" w:color="000000"/>
            </w:tcBorders>
          </w:tcPr>
          <w:p w14:paraId="56D16783" w14:textId="77777777" w:rsidR="00823785" w:rsidRPr="00452D62"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452D62">
              <w:rPr>
                <w:rFonts w:eastAsia="MS Mincho"/>
                <w:b/>
                <w:bCs/>
                <w:color w:val="auto"/>
                <w:sz w:val="22"/>
                <w:szCs w:val="22"/>
                <w:lang w:eastAsia="fr-FR"/>
              </w:rPr>
              <w:t xml:space="preserve">Varfarinas, titruotas iki tikslinio INR rodmens 2,5 (terapinis intervalas nuo 2,0 iki 3,0) </w:t>
            </w:r>
          </w:p>
          <w:p w14:paraId="3A7CF664" w14:textId="77777777" w:rsidR="00823785" w:rsidRPr="00452D62"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452D62">
              <w:rPr>
                <w:rFonts w:eastAsia="MS Mincho"/>
                <w:b/>
                <w:bCs/>
                <w:color w:val="auto"/>
                <w:sz w:val="22"/>
                <w:szCs w:val="22"/>
                <w:lang w:eastAsia="fr-FR"/>
              </w:rPr>
              <w:t>Reiškinių dažnis (100 paciento metų)</w:t>
            </w:r>
          </w:p>
        </w:tc>
        <w:tc>
          <w:tcPr>
            <w:tcW w:w="1693" w:type="dxa"/>
            <w:tcBorders>
              <w:top w:val="single" w:sz="4" w:space="0" w:color="000000"/>
              <w:left w:val="single" w:sz="3" w:space="0" w:color="000000"/>
              <w:bottom w:val="single" w:sz="3" w:space="0" w:color="000000"/>
              <w:right w:val="single" w:sz="3" w:space="0" w:color="000000"/>
            </w:tcBorders>
          </w:tcPr>
          <w:p w14:paraId="67052016" w14:textId="59CB3FE5" w:rsidR="00823785" w:rsidRPr="00452D62"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452D62">
              <w:rPr>
                <w:rFonts w:eastAsia="MS Mincho"/>
                <w:b/>
                <w:bCs/>
                <w:color w:val="auto"/>
                <w:sz w:val="22"/>
                <w:szCs w:val="22"/>
                <w:lang w:eastAsia="fr-FR"/>
              </w:rPr>
              <w:t>RS (95 % PI)</w:t>
            </w:r>
          </w:p>
          <w:p w14:paraId="4AACC9F4" w14:textId="77777777" w:rsidR="00823785" w:rsidRPr="00452D62"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452D62">
              <w:rPr>
                <w:rFonts w:eastAsia="MS Mincho"/>
                <w:b/>
                <w:bCs/>
                <w:color w:val="auto"/>
                <w:sz w:val="22"/>
                <w:szCs w:val="22"/>
                <w:lang w:eastAsia="fr-FR"/>
              </w:rPr>
              <w:t>p reikšmė</w:t>
            </w:r>
          </w:p>
        </w:tc>
      </w:tr>
      <w:tr w:rsidR="00823785" w:rsidRPr="00452D62" w14:paraId="212ACDE6" w14:textId="77777777" w:rsidTr="006453B9">
        <w:trPr>
          <w:trHeight w:hRule="exact" w:val="834"/>
        </w:trPr>
        <w:tc>
          <w:tcPr>
            <w:tcW w:w="2601" w:type="dxa"/>
            <w:tcBorders>
              <w:top w:val="single" w:sz="3" w:space="0" w:color="000000"/>
              <w:left w:val="single" w:sz="3" w:space="0" w:color="000000"/>
              <w:bottom w:val="single" w:sz="4" w:space="0" w:color="000000"/>
              <w:right w:val="single" w:sz="3" w:space="0" w:color="000000"/>
            </w:tcBorders>
          </w:tcPr>
          <w:p w14:paraId="7995E218" w14:textId="77777777" w:rsidR="00823785" w:rsidRPr="00452D62" w:rsidRDefault="00823785" w:rsidP="006453B9">
            <w:pPr>
              <w:tabs>
                <w:tab w:val="clear" w:pos="567"/>
              </w:tabs>
              <w:suppressAutoHyphens w:val="0"/>
              <w:spacing w:line="240" w:lineRule="auto"/>
              <w:ind w:left="142"/>
              <w:rPr>
                <w:rFonts w:eastAsia="MS Mincho"/>
                <w:color w:val="auto"/>
                <w:sz w:val="22"/>
                <w:szCs w:val="22"/>
                <w:lang w:eastAsia="fr-FR"/>
              </w:rPr>
            </w:pPr>
            <w:r w:rsidRPr="00452D62">
              <w:rPr>
                <w:rFonts w:eastAsia="MS Mincho"/>
                <w:color w:val="auto"/>
                <w:sz w:val="22"/>
                <w:szCs w:val="22"/>
                <w:lang w:eastAsia="fr-FR"/>
              </w:rPr>
              <w:t>Didžiojo ir ne didžiojo kliniškai reikšmingo kraujavimo atvejai</w:t>
            </w:r>
          </w:p>
        </w:tc>
        <w:tc>
          <w:tcPr>
            <w:tcW w:w="2312" w:type="dxa"/>
            <w:tcBorders>
              <w:top w:val="single" w:sz="3" w:space="0" w:color="000000"/>
              <w:left w:val="single" w:sz="3" w:space="0" w:color="000000"/>
              <w:bottom w:val="single" w:sz="4" w:space="0" w:color="000000"/>
              <w:right w:val="single" w:sz="4" w:space="0" w:color="000000"/>
            </w:tcBorders>
          </w:tcPr>
          <w:p w14:paraId="060FBBEB"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1,475</w:t>
            </w:r>
          </w:p>
          <w:p w14:paraId="24A8C9F7"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(14,91)</w:t>
            </w:r>
          </w:p>
        </w:tc>
        <w:tc>
          <w:tcPr>
            <w:tcW w:w="2312" w:type="dxa"/>
            <w:tcBorders>
              <w:top w:val="single" w:sz="3" w:space="0" w:color="000000"/>
              <w:left w:val="single" w:sz="4" w:space="0" w:color="000000"/>
              <w:bottom w:val="single" w:sz="4" w:space="0" w:color="000000"/>
              <w:right w:val="single" w:sz="3" w:space="0" w:color="000000"/>
            </w:tcBorders>
          </w:tcPr>
          <w:p w14:paraId="7A58C6EB"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1,449</w:t>
            </w:r>
          </w:p>
          <w:p w14:paraId="3AD41C6F"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(14,52)</w:t>
            </w:r>
          </w:p>
        </w:tc>
        <w:tc>
          <w:tcPr>
            <w:tcW w:w="1693" w:type="dxa"/>
            <w:tcBorders>
              <w:top w:val="single" w:sz="3" w:space="0" w:color="000000"/>
              <w:left w:val="single" w:sz="3" w:space="0" w:color="000000"/>
              <w:bottom w:val="single" w:sz="4" w:space="0" w:color="000000"/>
              <w:right w:val="single" w:sz="3" w:space="0" w:color="000000"/>
            </w:tcBorders>
          </w:tcPr>
          <w:p w14:paraId="765399ED"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1,03</w:t>
            </w:r>
          </w:p>
          <w:p w14:paraId="0044FD81"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(0,96</w:t>
            </w:r>
            <w:r w:rsidRPr="00452D62">
              <w:rPr>
                <w:rFonts w:eastAsia="MS Mincho"/>
                <w:color w:val="auto"/>
                <w:sz w:val="22"/>
                <w:szCs w:val="22"/>
                <w:lang w:eastAsia="fr-FR"/>
              </w:rPr>
              <w:noBreakHyphen/>
              <w:t>1,11)</w:t>
            </w:r>
          </w:p>
          <w:p w14:paraId="71BE009F"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0,442</w:t>
            </w:r>
          </w:p>
        </w:tc>
      </w:tr>
      <w:tr w:rsidR="00823785" w:rsidRPr="00452D62" w14:paraId="21825F3C" w14:textId="77777777" w:rsidTr="006453B9">
        <w:trPr>
          <w:trHeight w:hRule="exact" w:val="852"/>
        </w:trPr>
        <w:tc>
          <w:tcPr>
            <w:tcW w:w="2601" w:type="dxa"/>
            <w:tcBorders>
              <w:top w:val="single" w:sz="4" w:space="0" w:color="000000"/>
              <w:left w:val="single" w:sz="3" w:space="0" w:color="000000"/>
              <w:bottom w:val="single" w:sz="4" w:space="0" w:color="000000"/>
              <w:right w:val="single" w:sz="3" w:space="0" w:color="000000"/>
            </w:tcBorders>
          </w:tcPr>
          <w:p w14:paraId="0229B545" w14:textId="77777777" w:rsidR="00823785" w:rsidRPr="00452D62" w:rsidRDefault="00823785" w:rsidP="006453B9">
            <w:pPr>
              <w:tabs>
                <w:tab w:val="clear" w:pos="567"/>
              </w:tabs>
              <w:suppressAutoHyphens w:val="0"/>
              <w:spacing w:line="240" w:lineRule="auto"/>
              <w:ind w:left="426"/>
              <w:rPr>
                <w:rFonts w:eastAsia="MS Mincho"/>
                <w:color w:val="auto"/>
                <w:sz w:val="22"/>
                <w:szCs w:val="22"/>
                <w:lang w:eastAsia="fr-FR"/>
              </w:rPr>
            </w:pPr>
            <w:r w:rsidRPr="00452D62">
              <w:rPr>
                <w:rFonts w:eastAsia="MS Mincho"/>
                <w:color w:val="auto"/>
                <w:sz w:val="22"/>
                <w:szCs w:val="22"/>
                <w:lang w:eastAsia="fr-FR"/>
              </w:rPr>
              <w:t>Didžiojo kraujavimo atveja</w:t>
            </w:r>
          </w:p>
        </w:tc>
        <w:tc>
          <w:tcPr>
            <w:tcW w:w="2312" w:type="dxa"/>
            <w:tcBorders>
              <w:top w:val="single" w:sz="4" w:space="0" w:color="000000"/>
              <w:left w:val="single" w:sz="3" w:space="0" w:color="000000"/>
              <w:bottom w:val="single" w:sz="4" w:space="0" w:color="000000"/>
              <w:right w:val="single" w:sz="4" w:space="0" w:color="000000"/>
            </w:tcBorders>
          </w:tcPr>
          <w:p w14:paraId="151BBAD6"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395</w:t>
            </w:r>
          </w:p>
          <w:p w14:paraId="63DB6202"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(3,60)</w:t>
            </w:r>
          </w:p>
        </w:tc>
        <w:tc>
          <w:tcPr>
            <w:tcW w:w="2312" w:type="dxa"/>
            <w:tcBorders>
              <w:top w:val="single" w:sz="4" w:space="0" w:color="000000"/>
              <w:left w:val="single" w:sz="4" w:space="0" w:color="000000"/>
              <w:bottom w:val="single" w:sz="4" w:space="0" w:color="000000"/>
              <w:right w:val="single" w:sz="3" w:space="0" w:color="000000"/>
            </w:tcBorders>
          </w:tcPr>
          <w:p w14:paraId="724BD565"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386</w:t>
            </w:r>
          </w:p>
          <w:p w14:paraId="62466865"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(3,45)</w:t>
            </w:r>
          </w:p>
        </w:tc>
        <w:tc>
          <w:tcPr>
            <w:tcW w:w="1693" w:type="dxa"/>
            <w:tcBorders>
              <w:top w:val="single" w:sz="4" w:space="0" w:color="000000"/>
              <w:left w:val="single" w:sz="3" w:space="0" w:color="000000"/>
              <w:bottom w:val="single" w:sz="4" w:space="0" w:color="000000"/>
              <w:right w:val="single" w:sz="3" w:space="0" w:color="000000"/>
            </w:tcBorders>
          </w:tcPr>
          <w:p w14:paraId="421FC953"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1,04</w:t>
            </w:r>
          </w:p>
          <w:p w14:paraId="587B5ECD"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(0,90</w:t>
            </w:r>
            <w:r w:rsidRPr="00452D62">
              <w:rPr>
                <w:rFonts w:eastAsia="MS Mincho"/>
                <w:color w:val="auto"/>
                <w:sz w:val="22"/>
                <w:szCs w:val="22"/>
                <w:lang w:eastAsia="fr-FR"/>
              </w:rPr>
              <w:noBreakHyphen/>
              <w:t>1,20)</w:t>
            </w:r>
          </w:p>
          <w:p w14:paraId="0FF0BCA9"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0,576</w:t>
            </w:r>
          </w:p>
        </w:tc>
      </w:tr>
      <w:tr w:rsidR="00823785" w:rsidRPr="00452D62" w14:paraId="7B542762" w14:textId="77777777" w:rsidTr="006453B9">
        <w:trPr>
          <w:trHeight w:hRule="exact" w:val="854"/>
        </w:trPr>
        <w:tc>
          <w:tcPr>
            <w:tcW w:w="2601" w:type="dxa"/>
            <w:tcBorders>
              <w:top w:val="single" w:sz="4" w:space="0" w:color="000000"/>
              <w:left w:val="single" w:sz="3" w:space="0" w:color="000000"/>
              <w:bottom w:val="single" w:sz="3" w:space="0" w:color="000000"/>
              <w:right w:val="single" w:sz="3" w:space="0" w:color="000000"/>
            </w:tcBorders>
          </w:tcPr>
          <w:p w14:paraId="218C5159" w14:textId="77777777" w:rsidR="00823785" w:rsidRPr="00452D62" w:rsidRDefault="00823785" w:rsidP="006453B9">
            <w:pPr>
              <w:tabs>
                <w:tab w:val="clear" w:pos="567"/>
              </w:tabs>
              <w:suppressAutoHyphens w:val="0"/>
              <w:spacing w:line="240" w:lineRule="auto"/>
              <w:ind w:left="709"/>
              <w:rPr>
                <w:rFonts w:eastAsia="MS Mincho"/>
                <w:color w:val="auto"/>
                <w:sz w:val="22"/>
                <w:szCs w:val="22"/>
                <w:lang w:eastAsia="fr-FR"/>
              </w:rPr>
            </w:pPr>
            <w:r w:rsidRPr="00452D62">
              <w:rPr>
                <w:rFonts w:eastAsia="MS Mincho"/>
                <w:color w:val="auto"/>
                <w:sz w:val="22"/>
                <w:szCs w:val="22"/>
                <w:lang w:eastAsia="fr-FR"/>
              </w:rPr>
              <w:t>Mirtis dėl kraujavimo*</w:t>
            </w:r>
          </w:p>
        </w:tc>
        <w:tc>
          <w:tcPr>
            <w:tcW w:w="2312" w:type="dxa"/>
            <w:tcBorders>
              <w:top w:val="single" w:sz="4" w:space="0" w:color="000000"/>
              <w:left w:val="single" w:sz="3" w:space="0" w:color="000000"/>
              <w:bottom w:val="single" w:sz="3" w:space="0" w:color="000000"/>
              <w:right w:val="single" w:sz="4" w:space="0" w:color="000000"/>
            </w:tcBorders>
          </w:tcPr>
          <w:p w14:paraId="1F1980ED"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 xml:space="preserve">27 </w:t>
            </w:r>
          </w:p>
          <w:p w14:paraId="3073C36A"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(0,24)</w:t>
            </w:r>
          </w:p>
        </w:tc>
        <w:tc>
          <w:tcPr>
            <w:tcW w:w="2312" w:type="dxa"/>
            <w:tcBorders>
              <w:top w:val="single" w:sz="4" w:space="0" w:color="000000"/>
              <w:left w:val="single" w:sz="4" w:space="0" w:color="000000"/>
              <w:bottom w:val="single" w:sz="3" w:space="0" w:color="000000"/>
              <w:right w:val="single" w:sz="3" w:space="0" w:color="000000"/>
            </w:tcBorders>
          </w:tcPr>
          <w:p w14:paraId="641C7FA4"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55 (0,48)</w:t>
            </w:r>
          </w:p>
        </w:tc>
        <w:tc>
          <w:tcPr>
            <w:tcW w:w="1693" w:type="dxa"/>
            <w:tcBorders>
              <w:top w:val="single" w:sz="4" w:space="0" w:color="000000"/>
              <w:left w:val="single" w:sz="3" w:space="0" w:color="000000"/>
              <w:bottom w:val="single" w:sz="3" w:space="0" w:color="000000"/>
              <w:right w:val="single" w:sz="3" w:space="0" w:color="000000"/>
            </w:tcBorders>
          </w:tcPr>
          <w:p w14:paraId="34599105"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 xml:space="preserve">0,50 </w:t>
            </w:r>
          </w:p>
          <w:p w14:paraId="6B1D2982"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(0,31</w:t>
            </w:r>
            <w:r w:rsidRPr="00452D62">
              <w:rPr>
                <w:rFonts w:eastAsia="MS Mincho"/>
                <w:color w:val="auto"/>
                <w:sz w:val="22"/>
                <w:szCs w:val="22"/>
                <w:lang w:eastAsia="fr-FR"/>
              </w:rPr>
              <w:noBreakHyphen/>
              <w:t>0,79)</w:t>
            </w:r>
          </w:p>
          <w:p w14:paraId="58CE3F02"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0,003</w:t>
            </w:r>
          </w:p>
        </w:tc>
      </w:tr>
      <w:tr w:rsidR="00823785" w:rsidRPr="00452D62" w14:paraId="2A86A044" w14:textId="77777777" w:rsidTr="006453B9">
        <w:trPr>
          <w:trHeight w:hRule="exact" w:val="848"/>
        </w:trPr>
        <w:tc>
          <w:tcPr>
            <w:tcW w:w="2601" w:type="dxa"/>
            <w:tcBorders>
              <w:top w:val="single" w:sz="3" w:space="0" w:color="000000"/>
              <w:left w:val="single" w:sz="3" w:space="0" w:color="000000"/>
              <w:bottom w:val="single" w:sz="3" w:space="0" w:color="000000"/>
              <w:right w:val="single" w:sz="3" w:space="0" w:color="000000"/>
            </w:tcBorders>
          </w:tcPr>
          <w:p w14:paraId="6677DDE0" w14:textId="77777777" w:rsidR="00823785" w:rsidRPr="00452D62" w:rsidRDefault="00823785" w:rsidP="006453B9">
            <w:pPr>
              <w:tabs>
                <w:tab w:val="clear" w:pos="567"/>
              </w:tabs>
              <w:suppressAutoHyphens w:val="0"/>
              <w:spacing w:line="240" w:lineRule="auto"/>
              <w:ind w:left="709"/>
              <w:rPr>
                <w:rFonts w:eastAsia="MS Mincho"/>
                <w:color w:val="auto"/>
                <w:sz w:val="22"/>
                <w:szCs w:val="22"/>
                <w:lang w:eastAsia="fr-FR"/>
              </w:rPr>
            </w:pPr>
            <w:r w:rsidRPr="00452D62">
              <w:rPr>
                <w:rFonts w:eastAsia="MS Mincho"/>
                <w:color w:val="auto"/>
                <w:sz w:val="22"/>
                <w:szCs w:val="22"/>
                <w:lang w:eastAsia="fr-FR"/>
              </w:rPr>
              <w:t>Kritinio organų kraujavimas*</w:t>
            </w:r>
          </w:p>
        </w:tc>
        <w:tc>
          <w:tcPr>
            <w:tcW w:w="2312" w:type="dxa"/>
            <w:tcBorders>
              <w:top w:val="single" w:sz="3" w:space="0" w:color="000000"/>
              <w:left w:val="single" w:sz="3" w:space="0" w:color="000000"/>
              <w:bottom w:val="single" w:sz="3" w:space="0" w:color="000000"/>
              <w:right w:val="single" w:sz="4" w:space="0" w:color="000000"/>
            </w:tcBorders>
          </w:tcPr>
          <w:p w14:paraId="1F87BD35"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 xml:space="preserve">91 </w:t>
            </w:r>
          </w:p>
          <w:p w14:paraId="35726422"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(0,82)</w:t>
            </w:r>
          </w:p>
        </w:tc>
        <w:tc>
          <w:tcPr>
            <w:tcW w:w="2312" w:type="dxa"/>
            <w:tcBorders>
              <w:top w:val="single" w:sz="3" w:space="0" w:color="000000"/>
              <w:left w:val="single" w:sz="4" w:space="0" w:color="000000"/>
              <w:bottom w:val="single" w:sz="3" w:space="0" w:color="000000"/>
              <w:right w:val="single" w:sz="3" w:space="0" w:color="000000"/>
            </w:tcBorders>
          </w:tcPr>
          <w:p w14:paraId="007849F1"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133 (1,18)</w:t>
            </w:r>
          </w:p>
        </w:tc>
        <w:tc>
          <w:tcPr>
            <w:tcW w:w="1693" w:type="dxa"/>
            <w:tcBorders>
              <w:top w:val="single" w:sz="3" w:space="0" w:color="000000"/>
              <w:left w:val="single" w:sz="3" w:space="0" w:color="000000"/>
              <w:bottom w:val="single" w:sz="3" w:space="0" w:color="000000"/>
              <w:right w:val="single" w:sz="3" w:space="0" w:color="000000"/>
            </w:tcBorders>
          </w:tcPr>
          <w:p w14:paraId="21B95102"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 xml:space="preserve">0,69 </w:t>
            </w:r>
          </w:p>
          <w:p w14:paraId="5D6584E1"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(0,53</w:t>
            </w:r>
            <w:r w:rsidRPr="00452D62">
              <w:rPr>
                <w:rFonts w:eastAsia="MS Mincho"/>
                <w:color w:val="auto"/>
                <w:sz w:val="22"/>
                <w:szCs w:val="22"/>
                <w:lang w:eastAsia="fr-FR"/>
              </w:rPr>
              <w:noBreakHyphen/>
              <w:t>0,91)</w:t>
            </w:r>
          </w:p>
          <w:p w14:paraId="1AA79833"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0,007</w:t>
            </w:r>
          </w:p>
        </w:tc>
      </w:tr>
      <w:tr w:rsidR="00823785" w:rsidRPr="00452D62" w14:paraId="04DFE636" w14:textId="77777777" w:rsidTr="006453B9">
        <w:trPr>
          <w:trHeight w:hRule="exact" w:val="846"/>
        </w:trPr>
        <w:tc>
          <w:tcPr>
            <w:tcW w:w="2601" w:type="dxa"/>
            <w:tcBorders>
              <w:top w:val="single" w:sz="3" w:space="0" w:color="000000"/>
              <w:left w:val="single" w:sz="3" w:space="0" w:color="000000"/>
              <w:bottom w:val="single" w:sz="4" w:space="0" w:color="000000"/>
              <w:right w:val="single" w:sz="3" w:space="0" w:color="000000"/>
            </w:tcBorders>
          </w:tcPr>
          <w:p w14:paraId="09BF0BFA" w14:textId="77777777" w:rsidR="00823785" w:rsidRPr="00452D62" w:rsidRDefault="00823785" w:rsidP="006453B9">
            <w:pPr>
              <w:tabs>
                <w:tab w:val="clear" w:pos="567"/>
              </w:tabs>
              <w:suppressAutoHyphens w:val="0"/>
              <w:spacing w:line="240" w:lineRule="auto"/>
              <w:ind w:left="709"/>
              <w:rPr>
                <w:rFonts w:eastAsia="MS Mincho"/>
                <w:color w:val="auto"/>
                <w:sz w:val="22"/>
                <w:szCs w:val="22"/>
                <w:lang w:eastAsia="fr-FR"/>
              </w:rPr>
            </w:pPr>
            <w:r w:rsidRPr="00452D62">
              <w:rPr>
                <w:rFonts w:eastAsia="MS Mincho"/>
                <w:color w:val="auto"/>
                <w:sz w:val="22"/>
                <w:szCs w:val="22"/>
                <w:lang w:eastAsia="fr-FR"/>
              </w:rPr>
              <w:t>Intrakranijinis kraujavimas*</w:t>
            </w:r>
          </w:p>
        </w:tc>
        <w:tc>
          <w:tcPr>
            <w:tcW w:w="2312" w:type="dxa"/>
            <w:tcBorders>
              <w:top w:val="single" w:sz="3" w:space="0" w:color="000000"/>
              <w:left w:val="single" w:sz="3" w:space="0" w:color="000000"/>
              <w:bottom w:val="single" w:sz="4" w:space="0" w:color="000000"/>
              <w:right w:val="single" w:sz="4" w:space="0" w:color="000000"/>
            </w:tcBorders>
          </w:tcPr>
          <w:p w14:paraId="013B1CF0"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 xml:space="preserve">55 </w:t>
            </w:r>
          </w:p>
          <w:p w14:paraId="53D1CF9E"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(0,49)</w:t>
            </w:r>
          </w:p>
        </w:tc>
        <w:tc>
          <w:tcPr>
            <w:tcW w:w="2312" w:type="dxa"/>
            <w:tcBorders>
              <w:top w:val="single" w:sz="3" w:space="0" w:color="000000"/>
              <w:left w:val="single" w:sz="4" w:space="0" w:color="000000"/>
              <w:bottom w:val="single" w:sz="4" w:space="0" w:color="000000"/>
              <w:right w:val="single" w:sz="3" w:space="0" w:color="000000"/>
            </w:tcBorders>
          </w:tcPr>
          <w:p w14:paraId="3316D597"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84 (0,74)</w:t>
            </w:r>
          </w:p>
        </w:tc>
        <w:tc>
          <w:tcPr>
            <w:tcW w:w="1693" w:type="dxa"/>
            <w:tcBorders>
              <w:top w:val="single" w:sz="3" w:space="0" w:color="000000"/>
              <w:left w:val="single" w:sz="3" w:space="0" w:color="000000"/>
              <w:bottom w:val="single" w:sz="4" w:space="0" w:color="000000"/>
              <w:right w:val="single" w:sz="3" w:space="0" w:color="000000"/>
            </w:tcBorders>
          </w:tcPr>
          <w:p w14:paraId="0E0CC418"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 xml:space="preserve">0,67 </w:t>
            </w:r>
          </w:p>
          <w:p w14:paraId="1ACB9613"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(0,47</w:t>
            </w:r>
            <w:r w:rsidRPr="00452D62">
              <w:rPr>
                <w:rFonts w:eastAsia="MS Mincho"/>
                <w:color w:val="auto"/>
                <w:sz w:val="22"/>
                <w:szCs w:val="22"/>
                <w:lang w:eastAsia="fr-FR"/>
              </w:rPr>
              <w:noBreakHyphen/>
              <w:t>0,93)</w:t>
            </w:r>
          </w:p>
          <w:p w14:paraId="0F492A13"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0,019</w:t>
            </w:r>
          </w:p>
        </w:tc>
      </w:tr>
      <w:tr w:rsidR="00823785" w:rsidRPr="00452D62" w14:paraId="170BDB24" w14:textId="77777777" w:rsidTr="006453B9">
        <w:trPr>
          <w:trHeight w:hRule="exact" w:val="846"/>
        </w:trPr>
        <w:tc>
          <w:tcPr>
            <w:tcW w:w="2601" w:type="dxa"/>
            <w:tcBorders>
              <w:top w:val="single" w:sz="4" w:space="0" w:color="000000"/>
              <w:left w:val="single" w:sz="3" w:space="0" w:color="000000"/>
              <w:bottom w:val="single" w:sz="4" w:space="0" w:color="000000"/>
              <w:right w:val="single" w:sz="3" w:space="0" w:color="000000"/>
            </w:tcBorders>
          </w:tcPr>
          <w:p w14:paraId="1C8F47C9" w14:textId="77777777" w:rsidR="00823785" w:rsidRPr="00452D62" w:rsidRDefault="00823785" w:rsidP="006453B9">
            <w:pPr>
              <w:tabs>
                <w:tab w:val="clear" w:pos="567"/>
              </w:tabs>
              <w:suppressAutoHyphens w:val="0"/>
              <w:spacing w:line="240" w:lineRule="auto"/>
              <w:ind w:left="709"/>
              <w:rPr>
                <w:rFonts w:eastAsia="MS Mincho"/>
                <w:color w:val="auto"/>
                <w:sz w:val="22"/>
                <w:szCs w:val="22"/>
                <w:lang w:eastAsia="fr-FR"/>
              </w:rPr>
            </w:pPr>
            <w:r w:rsidRPr="00452D62">
              <w:rPr>
                <w:rFonts w:eastAsia="MS Mincho"/>
                <w:color w:val="auto"/>
                <w:sz w:val="22"/>
                <w:szCs w:val="22"/>
                <w:lang w:eastAsia="fr-FR"/>
              </w:rPr>
              <w:t>Hemoglobino rodmens mažėjimas*</w:t>
            </w:r>
          </w:p>
        </w:tc>
        <w:tc>
          <w:tcPr>
            <w:tcW w:w="2312" w:type="dxa"/>
            <w:tcBorders>
              <w:top w:val="single" w:sz="4" w:space="0" w:color="000000"/>
              <w:left w:val="single" w:sz="3" w:space="0" w:color="000000"/>
              <w:bottom w:val="single" w:sz="4" w:space="0" w:color="000000"/>
              <w:right w:val="single" w:sz="4" w:space="0" w:color="000000"/>
            </w:tcBorders>
          </w:tcPr>
          <w:p w14:paraId="3FC1BD44"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 xml:space="preserve">305 </w:t>
            </w:r>
          </w:p>
          <w:p w14:paraId="0686ABFA"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(2,77)</w:t>
            </w:r>
          </w:p>
        </w:tc>
        <w:tc>
          <w:tcPr>
            <w:tcW w:w="2312" w:type="dxa"/>
            <w:tcBorders>
              <w:top w:val="single" w:sz="4" w:space="0" w:color="000000"/>
              <w:left w:val="single" w:sz="4" w:space="0" w:color="000000"/>
              <w:bottom w:val="single" w:sz="4" w:space="0" w:color="000000"/>
              <w:right w:val="single" w:sz="3" w:space="0" w:color="000000"/>
            </w:tcBorders>
          </w:tcPr>
          <w:p w14:paraId="77805A3A"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254 (2,26)</w:t>
            </w:r>
          </w:p>
        </w:tc>
        <w:tc>
          <w:tcPr>
            <w:tcW w:w="1693" w:type="dxa"/>
            <w:tcBorders>
              <w:top w:val="single" w:sz="4" w:space="0" w:color="000000"/>
              <w:left w:val="single" w:sz="3" w:space="0" w:color="000000"/>
              <w:bottom w:val="single" w:sz="4" w:space="0" w:color="000000"/>
              <w:right w:val="single" w:sz="3" w:space="0" w:color="000000"/>
            </w:tcBorders>
          </w:tcPr>
          <w:p w14:paraId="12125D0F"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 xml:space="preserve">1,22 </w:t>
            </w:r>
          </w:p>
          <w:p w14:paraId="6588B0D5"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(1,03</w:t>
            </w:r>
            <w:r w:rsidRPr="00452D62">
              <w:rPr>
                <w:rFonts w:eastAsia="MS Mincho"/>
                <w:color w:val="auto"/>
                <w:sz w:val="22"/>
                <w:szCs w:val="22"/>
                <w:lang w:eastAsia="fr-FR"/>
              </w:rPr>
              <w:noBreakHyphen/>
              <w:t>1,44)</w:t>
            </w:r>
          </w:p>
          <w:p w14:paraId="47F4D7E9"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0,019</w:t>
            </w:r>
          </w:p>
        </w:tc>
      </w:tr>
      <w:tr w:rsidR="00823785" w:rsidRPr="00452D62" w14:paraId="2222E123" w14:textId="77777777" w:rsidTr="006453B9">
        <w:trPr>
          <w:trHeight w:hRule="exact" w:val="1026"/>
        </w:trPr>
        <w:tc>
          <w:tcPr>
            <w:tcW w:w="2601" w:type="dxa"/>
            <w:tcBorders>
              <w:top w:val="single" w:sz="4" w:space="0" w:color="000000"/>
              <w:left w:val="single" w:sz="3" w:space="0" w:color="000000"/>
              <w:bottom w:val="single" w:sz="3" w:space="0" w:color="000000"/>
              <w:right w:val="single" w:sz="3" w:space="0" w:color="000000"/>
            </w:tcBorders>
          </w:tcPr>
          <w:p w14:paraId="3CE2B138" w14:textId="77777777" w:rsidR="00823785" w:rsidRPr="00452D62" w:rsidRDefault="00823785" w:rsidP="006453B9">
            <w:pPr>
              <w:tabs>
                <w:tab w:val="clear" w:pos="567"/>
              </w:tabs>
              <w:suppressAutoHyphens w:val="0"/>
              <w:spacing w:line="240" w:lineRule="auto"/>
              <w:ind w:left="709"/>
              <w:rPr>
                <w:rFonts w:eastAsia="MS Mincho"/>
                <w:color w:val="auto"/>
                <w:sz w:val="22"/>
                <w:szCs w:val="22"/>
                <w:lang w:eastAsia="fr-FR"/>
              </w:rPr>
            </w:pPr>
            <w:r w:rsidRPr="00452D62">
              <w:rPr>
                <w:rFonts w:eastAsia="MS Mincho"/>
                <w:color w:val="auto"/>
                <w:sz w:val="22"/>
                <w:szCs w:val="22"/>
                <w:lang w:eastAsia="fr-FR"/>
              </w:rPr>
              <w:t>2 ar daugiau eritrocitų masės ar viso kraujo pakuočių perpylimas*</w:t>
            </w:r>
          </w:p>
        </w:tc>
        <w:tc>
          <w:tcPr>
            <w:tcW w:w="2312" w:type="dxa"/>
            <w:tcBorders>
              <w:top w:val="single" w:sz="4" w:space="0" w:color="000000"/>
              <w:left w:val="single" w:sz="3" w:space="0" w:color="000000"/>
              <w:bottom w:val="single" w:sz="3" w:space="0" w:color="000000"/>
              <w:right w:val="single" w:sz="4" w:space="0" w:color="000000"/>
            </w:tcBorders>
          </w:tcPr>
          <w:p w14:paraId="5FB59393"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 xml:space="preserve">183 </w:t>
            </w:r>
          </w:p>
          <w:p w14:paraId="53EB4D43"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(1,65)</w:t>
            </w:r>
          </w:p>
        </w:tc>
        <w:tc>
          <w:tcPr>
            <w:tcW w:w="2312" w:type="dxa"/>
            <w:tcBorders>
              <w:top w:val="single" w:sz="4" w:space="0" w:color="000000"/>
              <w:left w:val="single" w:sz="4" w:space="0" w:color="000000"/>
              <w:bottom w:val="single" w:sz="3" w:space="0" w:color="000000"/>
              <w:right w:val="single" w:sz="3" w:space="0" w:color="000000"/>
            </w:tcBorders>
          </w:tcPr>
          <w:p w14:paraId="04FFDB89"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149 (1,32)</w:t>
            </w:r>
          </w:p>
        </w:tc>
        <w:tc>
          <w:tcPr>
            <w:tcW w:w="1693" w:type="dxa"/>
            <w:tcBorders>
              <w:top w:val="single" w:sz="4" w:space="0" w:color="000000"/>
              <w:left w:val="single" w:sz="3" w:space="0" w:color="000000"/>
              <w:bottom w:val="single" w:sz="3" w:space="0" w:color="000000"/>
              <w:right w:val="single" w:sz="3" w:space="0" w:color="000000"/>
            </w:tcBorders>
          </w:tcPr>
          <w:p w14:paraId="6695C23A"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 xml:space="preserve">1,25 </w:t>
            </w:r>
          </w:p>
          <w:p w14:paraId="1A491266"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(1,01</w:t>
            </w:r>
            <w:r w:rsidRPr="00452D62">
              <w:rPr>
                <w:rFonts w:eastAsia="MS Mincho"/>
                <w:color w:val="auto"/>
                <w:sz w:val="22"/>
                <w:szCs w:val="22"/>
                <w:lang w:eastAsia="fr-FR"/>
              </w:rPr>
              <w:noBreakHyphen/>
              <w:t>1,55)</w:t>
            </w:r>
          </w:p>
          <w:p w14:paraId="0053990B"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0,044</w:t>
            </w:r>
          </w:p>
        </w:tc>
      </w:tr>
      <w:tr w:rsidR="00823785" w:rsidRPr="00452D62" w14:paraId="4D422C2A" w14:textId="77777777" w:rsidTr="006453B9">
        <w:trPr>
          <w:trHeight w:hRule="exact" w:val="834"/>
        </w:trPr>
        <w:tc>
          <w:tcPr>
            <w:tcW w:w="2601" w:type="dxa"/>
            <w:tcBorders>
              <w:top w:val="single" w:sz="3" w:space="0" w:color="000000"/>
              <w:left w:val="single" w:sz="3" w:space="0" w:color="000000"/>
              <w:bottom w:val="single" w:sz="4" w:space="0" w:color="000000"/>
              <w:right w:val="single" w:sz="3" w:space="0" w:color="000000"/>
            </w:tcBorders>
          </w:tcPr>
          <w:p w14:paraId="2F23C0A7" w14:textId="77777777" w:rsidR="00823785" w:rsidRPr="00452D62" w:rsidRDefault="00823785" w:rsidP="006453B9">
            <w:pPr>
              <w:tabs>
                <w:tab w:val="clear" w:pos="567"/>
              </w:tabs>
              <w:suppressAutoHyphens w:val="0"/>
              <w:spacing w:line="240" w:lineRule="auto"/>
              <w:ind w:left="142"/>
              <w:rPr>
                <w:rFonts w:eastAsia="MS Mincho"/>
                <w:color w:val="auto"/>
                <w:sz w:val="22"/>
                <w:szCs w:val="22"/>
                <w:lang w:eastAsia="fr-FR"/>
              </w:rPr>
            </w:pPr>
            <w:r w:rsidRPr="00452D62">
              <w:rPr>
                <w:rFonts w:eastAsia="MS Mincho"/>
                <w:color w:val="auto"/>
                <w:sz w:val="22"/>
                <w:szCs w:val="22"/>
                <w:lang w:eastAsia="fr-FR"/>
              </w:rPr>
              <w:t>Ne didžiojo kliniškai reikšmingo kraujavimo atvejai</w:t>
            </w:r>
          </w:p>
        </w:tc>
        <w:tc>
          <w:tcPr>
            <w:tcW w:w="2312" w:type="dxa"/>
            <w:tcBorders>
              <w:top w:val="single" w:sz="3" w:space="0" w:color="000000"/>
              <w:left w:val="single" w:sz="3" w:space="0" w:color="000000"/>
              <w:bottom w:val="single" w:sz="4" w:space="0" w:color="000000"/>
              <w:right w:val="single" w:sz="4" w:space="0" w:color="000000"/>
            </w:tcBorders>
          </w:tcPr>
          <w:p w14:paraId="09A28CBB"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 xml:space="preserve">1,185 </w:t>
            </w:r>
          </w:p>
          <w:p w14:paraId="3BFD8F0A"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(11,80)</w:t>
            </w:r>
          </w:p>
        </w:tc>
        <w:tc>
          <w:tcPr>
            <w:tcW w:w="2312" w:type="dxa"/>
            <w:tcBorders>
              <w:top w:val="single" w:sz="3" w:space="0" w:color="000000"/>
              <w:left w:val="single" w:sz="4" w:space="0" w:color="000000"/>
              <w:bottom w:val="single" w:sz="4" w:space="0" w:color="000000"/>
              <w:right w:val="single" w:sz="3" w:space="0" w:color="000000"/>
            </w:tcBorders>
          </w:tcPr>
          <w:p w14:paraId="096559D0"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1,151 (11,37)</w:t>
            </w:r>
          </w:p>
        </w:tc>
        <w:tc>
          <w:tcPr>
            <w:tcW w:w="1693" w:type="dxa"/>
            <w:tcBorders>
              <w:top w:val="single" w:sz="3" w:space="0" w:color="000000"/>
              <w:left w:val="single" w:sz="3" w:space="0" w:color="000000"/>
              <w:bottom w:val="single" w:sz="4" w:space="0" w:color="000000"/>
              <w:right w:val="single" w:sz="3" w:space="0" w:color="000000"/>
            </w:tcBorders>
          </w:tcPr>
          <w:p w14:paraId="1033389D"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 xml:space="preserve">1,04 </w:t>
            </w:r>
          </w:p>
          <w:p w14:paraId="180F8D6B"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(0,96</w:t>
            </w:r>
            <w:r w:rsidRPr="00452D62">
              <w:rPr>
                <w:rFonts w:eastAsia="MS Mincho"/>
                <w:color w:val="auto"/>
                <w:sz w:val="22"/>
                <w:szCs w:val="22"/>
                <w:lang w:eastAsia="fr-FR"/>
              </w:rPr>
              <w:noBreakHyphen/>
              <w:t>1,13)</w:t>
            </w:r>
          </w:p>
          <w:p w14:paraId="27B1060F"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0,345</w:t>
            </w:r>
          </w:p>
        </w:tc>
      </w:tr>
      <w:tr w:rsidR="00823785" w:rsidRPr="00452D62" w14:paraId="72E9C3F2" w14:textId="77777777" w:rsidTr="006453B9">
        <w:trPr>
          <w:trHeight w:hRule="exact" w:val="829"/>
        </w:trPr>
        <w:tc>
          <w:tcPr>
            <w:tcW w:w="2601" w:type="dxa"/>
            <w:tcBorders>
              <w:top w:val="single" w:sz="4" w:space="0" w:color="000000"/>
              <w:left w:val="single" w:sz="3" w:space="0" w:color="000000"/>
              <w:bottom w:val="single" w:sz="4" w:space="0" w:color="000000"/>
              <w:right w:val="single" w:sz="3" w:space="0" w:color="000000"/>
            </w:tcBorders>
          </w:tcPr>
          <w:p w14:paraId="7EA5225E" w14:textId="77777777" w:rsidR="00823785" w:rsidRPr="00452D62" w:rsidRDefault="00823785" w:rsidP="006453B9">
            <w:pPr>
              <w:tabs>
                <w:tab w:val="clear" w:pos="567"/>
              </w:tabs>
              <w:suppressAutoHyphens w:val="0"/>
              <w:spacing w:line="240" w:lineRule="auto"/>
              <w:ind w:left="142"/>
              <w:rPr>
                <w:rFonts w:eastAsia="MS Mincho"/>
                <w:color w:val="auto"/>
                <w:sz w:val="22"/>
                <w:szCs w:val="22"/>
                <w:lang w:eastAsia="fr-FR"/>
              </w:rPr>
            </w:pPr>
            <w:r w:rsidRPr="00452D62">
              <w:rPr>
                <w:rFonts w:eastAsia="MS Mincho"/>
                <w:color w:val="auto"/>
                <w:sz w:val="22"/>
                <w:szCs w:val="22"/>
                <w:lang w:eastAsia="fr-FR"/>
              </w:rPr>
              <w:t>Mirtis dėl bet kurios priežasties</w:t>
            </w:r>
          </w:p>
        </w:tc>
        <w:tc>
          <w:tcPr>
            <w:tcW w:w="2312" w:type="dxa"/>
            <w:tcBorders>
              <w:top w:val="single" w:sz="4" w:space="0" w:color="000000"/>
              <w:left w:val="single" w:sz="3" w:space="0" w:color="000000"/>
              <w:bottom w:val="single" w:sz="4" w:space="0" w:color="000000"/>
              <w:right w:val="single" w:sz="4" w:space="0" w:color="000000"/>
            </w:tcBorders>
          </w:tcPr>
          <w:p w14:paraId="20246B8F"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 xml:space="preserve">208 </w:t>
            </w:r>
          </w:p>
          <w:p w14:paraId="303F06B8"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(1,87)</w:t>
            </w:r>
          </w:p>
        </w:tc>
        <w:tc>
          <w:tcPr>
            <w:tcW w:w="2312" w:type="dxa"/>
            <w:tcBorders>
              <w:top w:val="single" w:sz="4" w:space="0" w:color="000000"/>
              <w:left w:val="single" w:sz="4" w:space="0" w:color="000000"/>
              <w:bottom w:val="single" w:sz="4" w:space="0" w:color="000000"/>
              <w:right w:val="single" w:sz="3" w:space="0" w:color="000000"/>
            </w:tcBorders>
          </w:tcPr>
          <w:p w14:paraId="7CF19C67"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250 (2,21)</w:t>
            </w:r>
          </w:p>
        </w:tc>
        <w:tc>
          <w:tcPr>
            <w:tcW w:w="1693" w:type="dxa"/>
            <w:tcBorders>
              <w:top w:val="single" w:sz="4" w:space="0" w:color="000000"/>
              <w:left w:val="single" w:sz="3" w:space="0" w:color="000000"/>
              <w:bottom w:val="single" w:sz="4" w:space="0" w:color="000000"/>
              <w:right w:val="single" w:sz="3" w:space="0" w:color="000000"/>
            </w:tcBorders>
          </w:tcPr>
          <w:p w14:paraId="5C0A1A45"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 xml:space="preserve">0,85 </w:t>
            </w:r>
          </w:p>
          <w:p w14:paraId="0A9EB6D7"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(0,70</w:t>
            </w:r>
            <w:r w:rsidRPr="00452D62">
              <w:rPr>
                <w:rFonts w:eastAsia="MS Mincho"/>
                <w:color w:val="auto"/>
                <w:sz w:val="22"/>
                <w:szCs w:val="22"/>
                <w:lang w:eastAsia="fr-FR"/>
              </w:rPr>
              <w:noBreakHyphen/>
              <w:t>1,02)</w:t>
            </w:r>
          </w:p>
          <w:p w14:paraId="05D90D8E"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0,073</w:t>
            </w:r>
          </w:p>
        </w:tc>
      </w:tr>
    </w:tbl>
    <w:p w14:paraId="0D0F0012" w14:textId="77777777" w:rsidR="00823785" w:rsidRPr="00452D62" w:rsidRDefault="00823785" w:rsidP="00823785">
      <w:pPr>
        <w:tabs>
          <w:tab w:val="clear" w:pos="567"/>
        </w:tabs>
        <w:suppressAutoHyphens w:val="0"/>
        <w:spacing w:line="240" w:lineRule="auto"/>
        <w:rPr>
          <w:rFonts w:eastAsia="MS Mincho"/>
          <w:color w:val="auto"/>
          <w:sz w:val="22"/>
          <w:szCs w:val="22"/>
          <w:lang w:eastAsia="fr-FR"/>
        </w:rPr>
      </w:pPr>
      <w:r w:rsidRPr="00452D62">
        <w:rPr>
          <w:rFonts w:eastAsia="MS Mincho"/>
          <w:color w:val="auto"/>
          <w:sz w:val="22"/>
          <w:szCs w:val="22"/>
          <w:lang w:eastAsia="fr-FR"/>
        </w:rPr>
        <w:t>a) Saugumo populiacija, taikytas gydymas</w:t>
      </w:r>
    </w:p>
    <w:p w14:paraId="13826E69" w14:textId="77777777" w:rsidR="00823785" w:rsidRPr="00452D62" w:rsidRDefault="00823785" w:rsidP="00823785">
      <w:pPr>
        <w:tabs>
          <w:tab w:val="clear" w:pos="567"/>
        </w:tabs>
        <w:suppressAutoHyphens w:val="0"/>
        <w:spacing w:line="240" w:lineRule="auto"/>
        <w:rPr>
          <w:rFonts w:eastAsia="MS Mincho"/>
          <w:color w:val="auto"/>
          <w:sz w:val="22"/>
          <w:szCs w:val="22"/>
          <w:lang w:eastAsia="fr-FR"/>
        </w:rPr>
      </w:pPr>
      <w:r w:rsidRPr="00452D62">
        <w:rPr>
          <w:rFonts w:eastAsia="MS Mincho"/>
          <w:color w:val="auto"/>
          <w:sz w:val="22"/>
          <w:szCs w:val="22"/>
          <w:lang w:eastAsia="fr-FR"/>
        </w:rPr>
        <w:t>* Nominaliai reikšmingas</w:t>
      </w:r>
    </w:p>
    <w:p w14:paraId="0DD26AA5" w14:textId="77777777" w:rsidR="00823785" w:rsidRPr="00452D62" w:rsidRDefault="00823785" w:rsidP="00823785">
      <w:pPr>
        <w:tabs>
          <w:tab w:val="clear" w:pos="567"/>
        </w:tabs>
        <w:suppressAutoHyphens w:val="0"/>
        <w:spacing w:line="240" w:lineRule="auto"/>
        <w:rPr>
          <w:rFonts w:eastAsia="MS Mincho"/>
          <w:color w:val="auto"/>
          <w:sz w:val="22"/>
          <w:szCs w:val="22"/>
          <w:lang w:eastAsia="fr-FR"/>
        </w:rPr>
      </w:pPr>
    </w:p>
    <w:p w14:paraId="5C51EDC4" w14:textId="7DAD50E4" w:rsidR="00823785" w:rsidRPr="00452D62" w:rsidRDefault="00823785" w:rsidP="00823785">
      <w:pPr>
        <w:tabs>
          <w:tab w:val="clear" w:pos="567"/>
        </w:tabs>
        <w:suppressAutoHyphens w:val="0"/>
        <w:spacing w:line="240" w:lineRule="auto"/>
        <w:rPr>
          <w:rFonts w:eastAsia="MS Mincho"/>
          <w:color w:val="auto"/>
          <w:sz w:val="22"/>
          <w:szCs w:val="22"/>
          <w:lang w:eastAsia="fr-FR"/>
        </w:rPr>
      </w:pPr>
      <w:r w:rsidRPr="00452D62">
        <w:rPr>
          <w:rFonts w:eastAsia="MS Mincho"/>
          <w:color w:val="auto"/>
          <w:sz w:val="22"/>
          <w:szCs w:val="22"/>
          <w:lang w:eastAsia="fr-FR"/>
        </w:rPr>
        <w:t xml:space="preserve">Papildant III fazės </w:t>
      </w:r>
      <w:r w:rsidRPr="00452D62">
        <w:rPr>
          <w:rFonts w:eastAsia="MS Mincho"/>
          <w:i/>
          <w:iCs/>
          <w:color w:val="auto"/>
          <w:sz w:val="22"/>
          <w:szCs w:val="22"/>
          <w:lang w:eastAsia="fr-FR"/>
        </w:rPr>
        <w:t>ROCKET AF</w:t>
      </w:r>
      <w:r w:rsidRPr="00452D62">
        <w:rPr>
          <w:rFonts w:eastAsia="MS Mincho"/>
          <w:color w:val="auto"/>
          <w:sz w:val="22"/>
          <w:szCs w:val="22"/>
          <w:lang w:eastAsia="fr-FR"/>
        </w:rPr>
        <w:t xml:space="preserve"> tyrimą, buvo atliktas perspektyvinis, vienos grupės, poregistracinis, neintervencinis, atviras kohortos tyrimas (</w:t>
      </w:r>
      <w:r w:rsidRPr="00452D62">
        <w:rPr>
          <w:rFonts w:eastAsia="MS Mincho"/>
          <w:i/>
          <w:iCs/>
          <w:color w:val="auto"/>
          <w:sz w:val="22"/>
          <w:szCs w:val="22"/>
          <w:lang w:eastAsia="fr-FR"/>
        </w:rPr>
        <w:t>XANTUS</w:t>
      </w:r>
      <w:r w:rsidRPr="00452D62">
        <w:rPr>
          <w:rFonts w:eastAsia="MS Mincho"/>
          <w:color w:val="auto"/>
          <w:sz w:val="22"/>
          <w:szCs w:val="22"/>
          <w:lang w:eastAsia="fr-FR"/>
        </w:rPr>
        <w:t>),</w:t>
      </w:r>
      <w:r w:rsidRPr="00452D62">
        <w:rPr>
          <w:sz w:val="22"/>
          <w:szCs w:val="22"/>
        </w:rPr>
        <w:t xml:space="preserve"> kurio metu taikytas centralizuotas baigčių, įskaitant</w:t>
      </w:r>
      <w:r w:rsidRPr="00452D62">
        <w:rPr>
          <w:rFonts w:eastAsia="MS Mincho"/>
          <w:color w:val="auto"/>
          <w:sz w:val="22"/>
          <w:szCs w:val="22"/>
          <w:lang w:eastAsia="fr-FR"/>
        </w:rPr>
        <w:t xml:space="preserve"> tromboembolijos reiškinius ir didįjį kraujavimą, vertinimas. Į šį insulto ir ne CNS sisteminės embolijos prevencijos klinikinėje praktikoje tyrimą buvo įtraukti 6</w:t>
      </w:r>
      <w:r w:rsidR="002673FA">
        <w:rPr>
          <w:rFonts w:eastAsia="MS Mincho"/>
          <w:color w:val="auto"/>
          <w:sz w:val="22"/>
          <w:szCs w:val="22"/>
          <w:lang w:eastAsia="fr-FR"/>
        </w:rPr>
        <w:t xml:space="preserve"> </w:t>
      </w:r>
      <w:r w:rsidRPr="00452D62">
        <w:rPr>
          <w:rFonts w:eastAsia="MS Mincho"/>
          <w:color w:val="auto"/>
          <w:sz w:val="22"/>
          <w:szCs w:val="22"/>
          <w:lang w:eastAsia="fr-FR"/>
        </w:rPr>
        <w:t>7</w:t>
      </w:r>
      <w:r w:rsidR="00B72A1B" w:rsidRPr="00452D62">
        <w:rPr>
          <w:rFonts w:eastAsia="MS Mincho"/>
          <w:color w:val="auto"/>
          <w:sz w:val="22"/>
          <w:szCs w:val="22"/>
          <w:lang w:eastAsia="fr-FR"/>
        </w:rPr>
        <w:t>04</w:t>
      </w:r>
      <w:r w:rsidRPr="00452D62">
        <w:rPr>
          <w:rFonts w:eastAsia="MS Mincho"/>
          <w:color w:val="auto"/>
          <w:sz w:val="22"/>
          <w:szCs w:val="22"/>
          <w:lang w:eastAsia="fr-FR"/>
        </w:rPr>
        <w:t xml:space="preserve"> pacientai, kuriems pasireiškė su vožtuvų liga nesusijęs prieširdžių virpėjimas. Vidutinis </w:t>
      </w:r>
      <w:bookmarkStart w:id="11" w:name="_Hlk158724494"/>
      <w:r w:rsidR="00A22406" w:rsidRPr="00452D62">
        <w:rPr>
          <w:rFonts w:eastAsia="MS Mincho"/>
          <w:color w:val="auto"/>
          <w:sz w:val="22"/>
          <w:szCs w:val="22"/>
          <w:lang w:eastAsia="fr-FR"/>
        </w:rPr>
        <w:t xml:space="preserve">balas pagal </w:t>
      </w:r>
      <w:bookmarkEnd w:id="11"/>
      <w:r w:rsidRPr="00452D62">
        <w:rPr>
          <w:rFonts w:eastAsia="MS Mincho"/>
          <w:i/>
          <w:iCs/>
          <w:color w:val="auto"/>
          <w:sz w:val="22"/>
          <w:szCs w:val="22"/>
          <w:lang w:eastAsia="fr-FR"/>
        </w:rPr>
        <w:t>CHADS2</w:t>
      </w:r>
      <w:r w:rsidRPr="00452D62">
        <w:rPr>
          <w:rFonts w:eastAsia="MS Mincho"/>
          <w:color w:val="auto"/>
          <w:sz w:val="22"/>
          <w:szCs w:val="22"/>
          <w:lang w:eastAsia="fr-FR"/>
        </w:rPr>
        <w:t xml:space="preserve"> </w:t>
      </w:r>
      <w:bookmarkStart w:id="12" w:name="_Hlk158724509"/>
      <w:r w:rsidR="00A22406" w:rsidRPr="00AE1B80">
        <w:rPr>
          <w:sz w:val="22"/>
          <w:szCs w:val="22"/>
        </w:rPr>
        <w:t xml:space="preserve">skalę buvo </w:t>
      </w:r>
      <w:r w:rsidR="00A22406" w:rsidRPr="00452D62">
        <w:rPr>
          <w:sz w:val="22"/>
          <w:szCs w:val="22"/>
        </w:rPr>
        <w:t>1,9, o</w:t>
      </w:r>
      <w:bookmarkEnd w:id="12"/>
      <w:r w:rsidRPr="00452D62">
        <w:rPr>
          <w:rFonts w:eastAsia="MS Mincho"/>
          <w:color w:val="auto"/>
          <w:sz w:val="22"/>
          <w:szCs w:val="22"/>
          <w:lang w:eastAsia="fr-FR"/>
        </w:rPr>
        <w:t xml:space="preserve"> </w:t>
      </w:r>
      <w:r w:rsidRPr="00452D62">
        <w:rPr>
          <w:rFonts w:eastAsia="MS Mincho"/>
          <w:i/>
          <w:iCs/>
          <w:color w:val="auto"/>
          <w:sz w:val="22"/>
          <w:szCs w:val="22"/>
          <w:lang w:eastAsia="fr-FR"/>
        </w:rPr>
        <w:t>HAS-BLED</w:t>
      </w:r>
      <w:r w:rsidRPr="00452D62">
        <w:rPr>
          <w:rFonts w:eastAsia="MS Mincho"/>
          <w:color w:val="auto"/>
          <w:sz w:val="22"/>
          <w:szCs w:val="22"/>
          <w:lang w:eastAsia="fr-FR"/>
        </w:rPr>
        <w:t xml:space="preserve"> skalių įvertinimas </w:t>
      </w:r>
      <w:r w:rsidRPr="00452D62">
        <w:rPr>
          <w:rFonts w:eastAsia="MS Mincho"/>
          <w:i/>
          <w:iCs/>
          <w:color w:val="auto"/>
          <w:sz w:val="22"/>
          <w:szCs w:val="22"/>
          <w:lang w:eastAsia="fr-FR"/>
        </w:rPr>
        <w:t>XANTUS</w:t>
      </w:r>
      <w:r w:rsidRPr="00452D62">
        <w:rPr>
          <w:rFonts w:eastAsia="MS Mincho"/>
          <w:color w:val="auto"/>
          <w:sz w:val="22"/>
          <w:szCs w:val="22"/>
          <w:lang w:eastAsia="fr-FR"/>
        </w:rPr>
        <w:t xml:space="preserve"> tyrime buvo 2,0, o </w:t>
      </w:r>
      <w:r w:rsidRPr="00452D62">
        <w:rPr>
          <w:rFonts w:eastAsia="MS Mincho"/>
          <w:i/>
          <w:iCs/>
          <w:color w:val="auto"/>
          <w:sz w:val="22"/>
          <w:szCs w:val="22"/>
          <w:lang w:eastAsia="fr-FR"/>
        </w:rPr>
        <w:t>ROCKET AF</w:t>
      </w:r>
      <w:r w:rsidRPr="00452D62">
        <w:rPr>
          <w:rFonts w:eastAsia="MS Mincho"/>
          <w:color w:val="auto"/>
          <w:sz w:val="22"/>
          <w:szCs w:val="22"/>
          <w:lang w:eastAsia="fr-FR"/>
        </w:rPr>
        <w:t xml:space="preserve"> tyrime vidutinis </w:t>
      </w:r>
      <w:r w:rsidRPr="00452D62">
        <w:rPr>
          <w:rFonts w:eastAsia="MS Mincho"/>
          <w:i/>
          <w:iCs/>
          <w:color w:val="auto"/>
          <w:sz w:val="22"/>
          <w:szCs w:val="22"/>
          <w:lang w:eastAsia="fr-FR"/>
        </w:rPr>
        <w:t>CHADS2</w:t>
      </w:r>
      <w:r w:rsidRPr="00452D62">
        <w:rPr>
          <w:rFonts w:eastAsia="MS Mincho"/>
          <w:color w:val="auto"/>
          <w:sz w:val="22"/>
          <w:szCs w:val="22"/>
          <w:lang w:eastAsia="fr-FR"/>
        </w:rPr>
        <w:t xml:space="preserve"> ir </w:t>
      </w:r>
      <w:r w:rsidRPr="00452D62">
        <w:rPr>
          <w:rFonts w:eastAsia="MS Mincho"/>
          <w:i/>
          <w:iCs/>
          <w:color w:val="auto"/>
          <w:sz w:val="22"/>
          <w:szCs w:val="22"/>
          <w:lang w:eastAsia="fr-FR"/>
        </w:rPr>
        <w:t>HAS-BLED</w:t>
      </w:r>
      <w:r w:rsidRPr="00452D62">
        <w:rPr>
          <w:rFonts w:eastAsia="MS Mincho"/>
          <w:color w:val="auto"/>
          <w:sz w:val="22"/>
          <w:szCs w:val="22"/>
          <w:lang w:eastAsia="fr-FR"/>
        </w:rPr>
        <w:t xml:space="preserve"> skalių įvertinimas buvo atitinkamai 3,5 ir 2,8. Didžiojo kraujavimo dažnis buvo 2,1 atvejo 100 paciento metų. Mirtino kraujavimo dažnis buvo 0,2 atvejo 100 paciento metų ir intrakranijinio kraujavimo – 0,4 atvejo 100 paciento metų. Insulto arba ne CNS sisteminės embolijos atvejų dažnis buvo 0,8 atvejo 100 paciento metų.</w:t>
      </w:r>
    </w:p>
    <w:p w14:paraId="4E1B7063" w14:textId="77777777" w:rsidR="00823785" w:rsidRPr="00452D62" w:rsidRDefault="00823785" w:rsidP="00823785">
      <w:pPr>
        <w:tabs>
          <w:tab w:val="clear" w:pos="567"/>
        </w:tabs>
        <w:suppressAutoHyphens w:val="0"/>
        <w:spacing w:line="240" w:lineRule="auto"/>
        <w:rPr>
          <w:rFonts w:eastAsia="MS Mincho"/>
          <w:color w:val="auto"/>
          <w:sz w:val="22"/>
          <w:szCs w:val="22"/>
          <w:lang w:eastAsia="fr-FR"/>
        </w:rPr>
      </w:pPr>
      <w:r w:rsidRPr="00452D62">
        <w:rPr>
          <w:sz w:val="22"/>
          <w:szCs w:val="22"/>
        </w:rPr>
        <w:t>Šie rezultatai pacientams, stebėtiems klinikinėje praktikoje, atitinka šiai indikacijai nustatytus saugumo duomenis</w:t>
      </w:r>
      <w:r w:rsidRPr="00452D62">
        <w:rPr>
          <w:rFonts w:eastAsia="MS Mincho"/>
          <w:color w:val="auto"/>
          <w:sz w:val="22"/>
          <w:szCs w:val="22"/>
          <w:lang w:eastAsia="fr-FR"/>
        </w:rPr>
        <w:t>.</w:t>
      </w:r>
    </w:p>
    <w:p w14:paraId="755E77DA" w14:textId="77777777" w:rsidR="00B43309" w:rsidRPr="00452D62" w:rsidRDefault="00B43309" w:rsidP="00B43309">
      <w:pPr>
        <w:tabs>
          <w:tab w:val="clear" w:pos="567"/>
        </w:tabs>
        <w:suppressAutoHyphens w:val="0"/>
        <w:spacing w:line="240" w:lineRule="auto"/>
        <w:rPr>
          <w:rFonts w:eastAsia="MS Mincho"/>
          <w:color w:val="auto"/>
          <w:sz w:val="22"/>
          <w:szCs w:val="22"/>
          <w:lang w:eastAsia="fr-FR"/>
        </w:rPr>
      </w:pPr>
    </w:p>
    <w:p w14:paraId="0DB36D4B" w14:textId="2A6846C4" w:rsidR="00823785" w:rsidRPr="00452D62" w:rsidRDefault="00B43309" w:rsidP="00B43309">
      <w:pPr>
        <w:tabs>
          <w:tab w:val="clear" w:pos="567"/>
        </w:tabs>
        <w:suppressAutoHyphens w:val="0"/>
        <w:spacing w:line="240" w:lineRule="auto"/>
        <w:rPr>
          <w:rFonts w:eastAsia="MS Mincho"/>
          <w:color w:val="auto"/>
          <w:sz w:val="22"/>
          <w:szCs w:val="22"/>
          <w:lang w:eastAsia="fr-FR"/>
        </w:rPr>
      </w:pPr>
      <w:bookmarkStart w:id="13" w:name="_Hlk158724528"/>
      <w:r w:rsidRPr="00452D62">
        <w:rPr>
          <w:rFonts w:eastAsia="MS Mincho"/>
          <w:color w:val="auto"/>
          <w:sz w:val="22"/>
          <w:szCs w:val="22"/>
          <w:lang w:eastAsia="fr-FR"/>
        </w:rPr>
        <w:t xml:space="preserve">Poregistracinio neintervencinio tyrimo metu, kuriame dalyvavo daugiau nei 162 000 pacientų iš keturių šalių, rivaroksabano buvo paskirta insulto ir sisteminės embolijos profilaktikai pacientams, kuriems diagnozuotas su vožtuvų liga nesusijęs prieširdžių virpėjimas. Išeminio insulto atvejų dažnis buvo 0,70 (95 </w:t>
      </w:r>
      <w:r w:rsidR="008C3DF7">
        <w:rPr>
          <w:rFonts w:eastAsia="MS Mincho"/>
          <w:color w:val="auto"/>
          <w:sz w:val="22"/>
          <w:szCs w:val="22"/>
          <w:lang w:eastAsia="fr-FR"/>
        </w:rPr>
        <w:t> %</w:t>
      </w:r>
      <w:r w:rsidRPr="00452D62">
        <w:rPr>
          <w:rFonts w:eastAsia="MS Mincho"/>
          <w:color w:val="auto"/>
          <w:sz w:val="22"/>
          <w:szCs w:val="22"/>
          <w:lang w:eastAsia="fr-FR"/>
        </w:rPr>
        <w:t xml:space="preserve"> PI 0,44-1,13) 100-ui pacientų metų. Kraujavimas, dėl kurio prireikė hospitalizacijos, pasireiškė tokiais dažniais 100-ui pacientų metų: 0,43 (95 </w:t>
      </w:r>
      <w:r w:rsidR="008C3DF7">
        <w:rPr>
          <w:rFonts w:eastAsia="MS Mincho"/>
          <w:color w:val="auto"/>
          <w:sz w:val="22"/>
          <w:szCs w:val="22"/>
          <w:lang w:eastAsia="fr-FR"/>
        </w:rPr>
        <w:t> %</w:t>
      </w:r>
      <w:r w:rsidRPr="00452D62">
        <w:rPr>
          <w:rFonts w:eastAsia="MS Mincho"/>
          <w:color w:val="auto"/>
          <w:sz w:val="22"/>
          <w:szCs w:val="22"/>
          <w:lang w:eastAsia="fr-FR"/>
        </w:rPr>
        <w:t xml:space="preserve"> PI 0,31-0,59) intrakranijinio kraujavimo atveju, 1,04 (95 </w:t>
      </w:r>
      <w:r w:rsidR="008C3DF7">
        <w:rPr>
          <w:rFonts w:eastAsia="MS Mincho"/>
          <w:color w:val="auto"/>
          <w:sz w:val="22"/>
          <w:szCs w:val="22"/>
          <w:lang w:eastAsia="fr-FR"/>
        </w:rPr>
        <w:t> %</w:t>
      </w:r>
      <w:r w:rsidRPr="00452D62">
        <w:rPr>
          <w:rFonts w:eastAsia="MS Mincho"/>
          <w:color w:val="auto"/>
          <w:sz w:val="22"/>
          <w:szCs w:val="22"/>
          <w:lang w:eastAsia="fr-FR"/>
        </w:rPr>
        <w:t xml:space="preserve"> PI 0,65-1,66) kraujavimo iš virškinimo trakto atveju, 0,41 (95 </w:t>
      </w:r>
      <w:r w:rsidR="008C3DF7">
        <w:rPr>
          <w:rFonts w:eastAsia="MS Mincho"/>
          <w:color w:val="auto"/>
          <w:sz w:val="22"/>
          <w:szCs w:val="22"/>
          <w:lang w:eastAsia="fr-FR"/>
        </w:rPr>
        <w:t> %</w:t>
      </w:r>
      <w:r w:rsidRPr="00452D62">
        <w:rPr>
          <w:rFonts w:eastAsia="MS Mincho"/>
          <w:color w:val="auto"/>
          <w:sz w:val="22"/>
          <w:szCs w:val="22"/>
          <w:lang w:eastAsia="fr-FR"/>
        </w:rPr>
        <w:t xml:space="preserve"> PI 0,31-0,53) urogenitalinio kraujavimo atveju ir 0,40 (95 </w:t>
      </w:r>
      <w:r w:rsidR="008C3DF7">
        <w:rPr>
          <w:rFonts w:eastAsia="MS Mincho"/>
          <w:color w:val="auto"/>
          <w:sz w:val="22"/>
          <w:szCs w:val="22"/>
          <w:lang w:eastAsia="fr-FR"/>
        </w:rPr>
        <w:t> %</w:t>
      </w:r>
      <w:r w:rsidRPr="00452D62">
        <w:rPr>
          <w:rFonts w:eastAsia="MS Mincho"/>
          <w:color w:val="auto"/>
          <w:sz w:val="22"/>
          <w:szCs w:val="22"/>
          <w:lang w:eastAsia="fr-FR"/>
        </w:rPr>
        <w:t xml:space="preserve"> PI 0,25-0,65) kitokio kraujavimo atveju.</w:t>
      </w:r>
    </w:p>
    <w:bookmarkEnd w:id="13"/>
    <w:p w14:paraId="46AF478A" w14:textId="77777777" w:rsidR="00B43309" w:rsidRPr="00452D62" w:rsidRDefault="00B43309" w:rsidP="00B43309">
      <w:pPr>
        <w:tabs>
          <w:tab w:val="clear" w:pos="567"/>
        </w:tabs>
        <w:suppressAutoHyphens w:val="0"/>
        <w:spacing w:line="240" w:lineRule="auto"/>
        <w:rPr>
          <w:rFonts w:eastAsia="MS Mincho"/>
          <w:color w:val="auto"/>
          <w:sz w:val="22"/>
          <w:szCs w:val="22"/>
          <w:lang w:eastAsia="fr-FR"/>
        </w:rPr>
      </w:pPr>
    </w:p>
    <w:p w14:paraId="37749C3B" w14:textId="77777777" w:rsidR="00823785" w:rsidRPr="00452D62" w:rsidRDefault="00823785" w:rsidP="00823785">
      <w:pPr>
        <w:tabs>
          <w:tab w:val="clear" w:pos="567"/>
        </w:tabs>
        <w:suppressAutoHyphens w:val="0"/>
        <w:spacing w:line="240" w:lineRule="auto"/>
        <w:rPr>
          <w:rFonts w:eastAsia="MS Mincho"/>
          <w:color w:val="auto"/>
          <w:sz w:val="22"/>
          <w:szCs w:val="22"/>
          <w:u w:val="single"/>
          <w:lang w:eastAsia="fr-FR"/>
        </w:rPr>
      </w:pPr>
      <w:r w:rsidRPr="00452D62">
        <w:rPr>
          <w:rFonts w:eastAsia="MS Mincho"/>
          <w:color w:val="auto"/>
          <w:sz w:val="22"/>
          <w:szCs w:val="22"/>
          <w:u w:val="single"/>
          <w:lang w:eastAsia="fr-FR"/>
        </w:rPr>
        <w:t>Pacientai, kuriems atliekama kardioversija</w:t>
      </w:r>
    </w:p>
    <w:p w14:paraId="0F9A4FF0" w14:textId="239E1202" w:rsidR="00823785" w:rsidRPr="00452D62" w:rsidRDefault="00823785" w:rsidP="00823785">
      <w:pPr>
        <w:tabs>
          <w:tab w:val="clear" w:pos="567"/>
        </w:tabs>
        <w:suppressAutoHyphens w:val="0"/>
        <w:spacing w:line="240" w:lineRule="auto"/>
        <w:rPr>
          <w:rFonts w:eastAsia="MS Mincho"/>
          <w:color w:val="auto"/>
          <w:sz w:val="22"/>
          <w:szCs w:val="22"/>
          <w:lang w:eastAsia="fr-FR"/>
        </w:rPr>
      </w:pPr>
      <w:r w:rsidRPr="00452D62">
        <w:rPr>
          <w:rFonts w:eastAsia="MS Mincho"/>
          <w:color w:val="auto"/>
          <w:sz w:val="22"/>
          <w:szCs w:val="22"/>
          <w:lang w:eastAsia="fr-FR"/>
        </w:rPr>
        <w:t>Buvo atliktas perspektyvinis, atsitiktinių imčių, atviras, daugiacentris žvalgomasis tyrimas su koduotu vertinamųjų baigčių vertinimu (</w:t>
      </w:r>
      <w:r w:rsidRPr="00452D62">
        <w:rPr>
          <w:rFonts w:eastAsia="MS Mincho"/>
          <w:i/>
          <w:iCs/>
          <w:color w:val="auto"/>
          <w:sz w:val="22"/>
          <w:szCs w:val="22"/>
          <w:lang w:eastAsia="fr-FR"/>
        </w:rPr>
        <w:t>X-VERT</w:t>
      </w:r>
      <w:r w:rsidRPr="00452D62">
        <w:rPr>
          <w:rFonts w:eastAsia="MS Mincho"/>
          <w:color w:val="auto"/>
          <w:sz w:val="22"/>
          <w:szCs w:val="22"/>
          <w:lang w:eastAsia="fr-FR"/>
        </w:rPr>
        <w:t>). Tyrime dalyvavo 1504 pacientai (anksčiau gydyti arba negydyti geriamaisiais antikoaguliantais), kuriems pasireiškė su vožtuvų liga nesusijęs prieširdžių virpėjimas ir kuriems buvo nuspręsta taikyti kardioversiją. Šiuo tyrimu siekta palyginti rivaroksabano ir VKA (koreguotos dozės) poveikį kardiovaskulinių reiškinių profilaktikai (priskyrimo atsitiktinėms imtims santykis 2:1). Buvo naudojamos transezofagine echokardiograma (TEE) stebimos (prieš tai gydyta 1</w:t>
      </w:r>
      <w:r w:rsidRPr="00452D62">
        <w:rPr>
          <w:rFonts w:eastAsia="MS Mincho"/>
          <w:color w:val="auto"/>
          <w:sz w:val="22"/>
          <w:szCs w:val="22"/>
          <w:lang w:eastAsia="fr-FR"/>
        </w:rPr>
        <w:noBreakHyphen/>
        <w:t>5 dienas) arba įprastos (prieš tai gydyta mažiausiai 3 savaites) kardioversijos strategijos. Pagrindinės veiksmingumo vertinamosios baigties (bet koks insultas, praeinantis smegenų išemijos priepuolis, ne CNS sisteminė embolija, miokardo infarktas (MI) ir kardiovaskulinė mirtis) reiškinys pasireiškė 5 (0,5 %) pacientams rivaroksabano grupėje (n=978) ir 5 (1,0 %) pacientams VKA grupėje (n=492; SR 0,50; 95 % PI 0,15</w:t>
      </w:r>
      <w:r w:rsidRPr="00452D62">
        <w:rPr>
          <w:rFonts w:eastAsia="MS Mincho"/>
          <w:color w:val="auto"/>
          <w:sz w:val="22"/>
          <w:szCs w:val="22"/>
          <w:lang w:eastAsia="fr-FR"/>
        </w:rPr>
        <w:noBreakHyphen/>
        <w:t xml:space="preserve">1,73; modifikuota </w:t>
      </w:r>
      <w:r w:rsidRPr="00452D62">
        <w:rPr>
          <w:rFonts w:eastAsia="MS Mincho"/>
          <w:i/>
          <w:iCs/>
          <w:color w:val="auto"/>
          <w:sz w:val="22"/>
          <w:szCs w:val="22"/>
          <w:lang w:eastAsia="fr-FR"/>
        </w:rPr>
        <w:t>ITT</w:t>
      </w:r>
      <w:r w:rsidRPr="00452D62">
        <w:rPr>
          <w:rFonts w:eastAsia="MS Mincho"/>
          <w:color w:val="auto"/>
          <w:sz w:val="22"/>
          <w:szCs w:val="22"/>
          <w:lang w:eastAsia="fr-FR"/>
        </w:rPr>
        <w:t xml:space="preserve"> populiacija). Svarbiausios saugumo vertinamosios baigties (didžiojo kraujavimo) atvejų pasireiškė 6 (0,6 %) rivaroksabanu (n=988) ir 4 (0,8 %) VKA (n=499) gydytiems pacientams (SR 0,76; 95 % PI 0,21</w:t>
      </w:r>
      <w:r w:rsidRPr="00452D62">
        <w:rPr>
          <w:rFonts w:eastAsia="MS Mincho"/>
          <w:color w:val="auto"/>
          <w:sz w:val="22"/>
          <w:szCs w:val="22"/>
          <w:lang w:eastAsia="fr-FR"/>
        </w:rPr>
        <w:noBreakHyphen/>
        <w:t>2,67; saugumo populiacija). Šis žvalgomasis tyrimas parodė panašų gydymo rivaroksabanu ir VKA veiksmingumą ir saugumą taikant kardioversiją.</w:t>
      </w:r>
    </w:p>
    <w:p w14:paraId="2DF96F1F" w14:textId="77777777" w:rsidR="00823785" w:rsidRPr="00452D62" w:rsidRDefault="00823785" w:rsidP="00823785">
      <w:pPr>
        <w:tabs>
          <w:tab w:val="clear" w:pos="567"/>
        </w:tabs>
        <w:suppressAutoHyphens w:val="0"/>
        <w:spacing w:line="240" w:lineRule="auto"/>
        <w:rPr>
          <w:rFonts w:eastAsia="MS Mincho"/>
          <w:color w:val="auto"/>
          <w:sz w:val="22"/>
          <w:szCs w:val="22"/>
          <w:lang w:eastAsia="fr-FR"/>
        </w:rPr>
      </w:pPr>
    </w:p>
    <w:p w14:paraId="5528D64C" w14:textId="77777777" w:rsidR="00823785" w:rsidRPr="00452D62" w:rsidRDefault="00823785" w:rsidP="00823785">
      <w:pPr>
        <w:tabs>
          <w:tab w:val="clear" w:pos="567"/>
        </w:tabs>
        <w:suppressAutoHyphens w:val="0"/>
        <w:spacing w:line="240" w:lineRule="auto"/>
        <w:rPr>
          <w:rFonts w:eastAsia="MS Mincho"/>
          <w:color w:val="auto"/>
          <w:sz w:val="22"/>
          <w:szCs w:val="22"/>
          <w:u w:val="single"/>
          <w:lang w:eastAsia="fr-FR"/>
        </w:rPr>
      </w:pPr>
      <w:r w:rsidRPr="00452D62">
        <w:rPr>
          <w:rFonts w:eastAsia="MS Mincho"/>
          <w:color w:val="auto"/>
          <w:sz w:val="22"/>
          <w:szCs w:val="22"/>
          <w:u w:val="single"/>
          <w:lang w:eastAsia="fr-FR"/>
        </w:rPr>
        <w:t>Pacientai, sergantys su vožtuvų liga nesusijusiu prieširdžių virpėjimu, kuriems atliekama PVI su stento įvedimu</w:t>
      </w:r>
    </w:p>
    <w:p w14:paraId="1AB1F9E1" w14:textId="77777777" w:rsidR="00823785" w:rsidRPr="00452D62" w:rsidRDefault="00823785" w:rsidP="00823785">
      <w:pPr>
        <w:tabs>
          <w:tab w:val="clear" w:pos="567"/>
        </w:tabs>
        <w:suppressAutoHyphens w:val="0"/>
        <w:spacing w:line="240" w:lineRule="auto"/>
        <w:rPr>
          <w:rFonts w:eastAsia="MS Mincho"/>
          <w:color w:val="auto"/>
          <w:sz w:val="22"/>
          <w:szCs w:val="22"/>
          <w:lang w:eastAsia="fr-FR"/>
        </w:rPr>
      </w:pPr>
      <w:r w:rsidRPr="00452D62">
        <w:rPr>
          <w:rFonts w:eastAsia="MS Mincho"/>
          <w:color w:val="auto"/>
          <w:sz w:val="22"/>
          <w:szCs w:val="22"/>
          <w:lang w:eastAsia="fr-FR"/>
        </w:rPr>
        <w:t>Atsitiktinių imčių, atvirame, daugiacentriame klinikiniame tyrime (</w:t>
      </w:r>
      <w:r w:rsidRPr="00452D62">
        <w:rPr>
          <w:rFonts w:eastAsia="MS Mincho"/>
          <w:i/>
          <w:iCs/>
          <w:color w:val="auto"/>
          <w:sz w:val="22"/>
          <w:szCs w:val="22"/>
          <w:lang w:eastAsia="fr-FR"/>
        </w:rPr>
        <w:t>PIONEER AF–PCI</w:t>
      </w:r>
      <w:r w:rsidRPr="00452D62">
        <w:rPr>
          <w:rFonts w:eastAsia="MS Mincho"/>
          <w:color w:val="auto"/>
          <w:sz w:val="22"/>
          <w:szCs w:val="22"/>
          <w:lang w:eastAsia="fr-FR"/>
        </w:rPr>
        <w:t>) dalyvavo 2124 pacientai, kurie sirgo su vožtuvų liga nesusijusiu prieširdžių virpėjimu ir kuriems dėl pirminės aterosklerozinės širdies ligos atlikta PVI su stento įvedimu. Tyrimo metu buvo lyginamas dviejų rivaroksabano ir vieno VKA dozavimo schemų saugumas. Pacientai buvo priskirti atsitiktinėms imtims santykiu 1:1:1 ir gydyti iš viso 12 mėnesių. Pacientai, anksčiau patyrę insultą arba PSIP, į tyrimą įtraukti nebuvo.</w:t>
      </w:r>
    </w:p>
    <w:p w14:paraId="38CBDF2A" w14:textId="77777777" w:rsidR="00823785" w:rsidRPr="00452D62" w:rsidRDefault="00823785" w:rsidP="00823785">
      <w:pPr>
        <w:tabs>
          <w:tab w:val="clear" w:pos="567"/>
        </w:tabs>
        <w:suppressAutoHyphens w:val="0"/>
        <w:spacing w:line="240" w:lineRule="auto"/>
        <w:rPr>
          <w:rFonts w:eastAsia="MS Mincho"/>
          <w:color w:val="auto"/>
          <w:sz w:val="22"/>
          <w:szCs w:val="22"/>
          <w:lang w:eastAsia="fr-FR"/>
        </w:rPr>
      </w:pPr>
      <w:r w:rsidRPr="00452D62">
        <w:rPr>
          <w:rFonts w:eastAsia="MS Mincho"/>
          <w:color w:val="auto"/>
          <w:sz w:val="22"/>
          <w:szCs w:val="22"/>
          <w:lang w:eastAsia="fr-FR"/>
        </w:rPr>
        <w:t>1 grupės pacientai vartojo 15 mg rivaroksabano vieną kartą per parą (pacientai, kurių kreatinino klirensas buvo 30</w:t>
      </w:r>
      <w:r w:rsidRPr="00452D62">
        <w:rPr>
          <w:rFonts w:eastAsia="MS Mincho"/>
          <w:color w:val="auto"/>
          <w:sz w:val="22"/>
          <w:szCs w:val="22"/>
          <w:lang w:eastAsia="fr-FR"/>
        </w:rPr>
        <w:noBreakHyphen/>
        <w:t>49 ml/min., vartojo 10 mg dozę vieną kartą per parą) kartu su P2Y12 inhibitoriumi. 2 grupės pacientai 1, 6 arba 12 mėnesių vartojo 2,5 mg rivaroksabano du kartus per parą kartu su DAT (dviguba antitrombocitine terapija, t. y. 75 mg klopidogrelio [arba kito P2Y12 inhibitoriaus] kartu su maža acetilsalicilo rūgšties [ASR] doze), o vėliau – 15 mg rivaroksabano (pacientai, kurių kreatinino klirensas 30</w:t>
      </w:r>
      <w:r w:rsidRPr="00452D62">
        <w:rPr>
          <w:rFonts w:eastAsia="MS Mincho"/>
          <w:color w:val="auto"/>
          <w:sz w:val="22"/>
          <w:szCs w:val="22"/>
          <w:lang w:eastAsia="fr-FR"/>
        </w:rPr>
        <w:noBreakHyphen/>
        <w:t>49 ml/min., vartojo 10 mg dozę) vieną kartą per parą kartu su maža ASR doze. 3 grupės pacientai 1, 6 arba 12 mėnesių vartojo pritaikytos dozės VKA kartu su DAT, o vėliau – pritaikytos dozės VKA kartu su maža ASR doze.</w:t>
      </w:r>
    </w:p>
    <w:p w14:paraId="003D3178" w14:textId="6FE5C187" w:rsidR="00823785" w:rsidRPr="00452D62" w:rsidRDefault="00823785" w:rsidP="00823785">
      <w:pPr>
        <w:tabs>
          <w:tab w:val="clear" w:pos="567"/>
        </w:tabs>
        <w:suppressAutoHyphens w:val="0"/>
        <w:spacing w:line="240" w:lineRule="auto"/>
        <w:rPr>
          <w:rFonts w:eastAsia="MS Mincho"/>
          <w:color w:val="auto"/>
          <w:sz w:val="22"/>
          <w:szCs w:val="22"/>
          <w:lang w:eastAsia="fr-FR"/>
        </w:rPr>
      </w:pPr>
      <w:r w:rsidRPr="00452D62">
        <w:rPr>
          <w:rFonts w:eastAsia="MS Mincho"/>
          <w:color w:val="auto"/>
          <w:sz w:val="22"/>
          <w:szCs w:val="22"/>
          <w:lang w:eastAsia="fr-FR"/>
        </w:rPr>
        <w:t>Pagrindinė saugumo vertinamoji baigtis, kliniškai reikšmingas kraujavimas, atitinkamai pasireiškė 109 (15,7 %), 117 (16,6 %) ir 167 (24,0 %) 1 grupės, 2 grupės ir 3 grupės tiriamųjų (atitinkamai RS 0,59; 95 % PI 0,47</w:t>
      </w:r>
      <w:r w:rsidRPr="00452D62">
        <w:rPr>
          <w:rFonts w:eastAsia="MS Mincho"/>
          <w:color w:val="auto"/>
          <w:sz w:val="22"/>
          <w:szCs w:val="22"/>
          <w:lang w:eastAsia="fr-FR"/>
        </w:rPr>
        <w:noBreakHyphen/>
        <w:t>0,76; p &lt; 0,001 ir RS 0,63; 95 % PI 0,50</w:t>
      </w:r>
      <w:r w:rsidRPr="00452D62">
        <w:rPr>
          <w:rFonts w:eastAsia="MS Mincho"/>
          <w:color w:val="auto"/>
          <w:sz w:val="22"/>
          <w:szCs w:val="22"/>
          <w:lang w:eastAsia="fr-FR"/>
        </w:rPr>
        <w:noBreakHyphen/>
        <w:t>0,80; p &lt; 0,001). Antrinė sudėtinė vertinamoji baigtis (ją sudarė kardiovaskuliniai reiškiniai: KV mirtis, MI arba insultas) pasireiškė 41 (5,9 %), 36 (5,1 %) ir 36 (5,2 %) atitinkamai 1 grupės, 2 grupės ir 3 grupės tiriamųjų. Pacientams, kuriems buvo vožtuvų liga nesusijęs prieširdžių virpėjimas ir kuriems atlikta PVI su stento įvedimu, taikant kiekvieną rivaroksabano dozavimo schemą, pasireiškė reikšmingai mažiau kliniškai svarbių kraujavimo reiškinių, palyginti su pacientais, gydytais taikant VKA schemą.</w:t>
      </w:r>
    </w:p>
    <w:p w14:paraId="469F6897" w14:textId="77777777" w:rsidR="00823785" w:rsidRPr="00452D62" w:rsidRDefault="00823785" w:rsidP="00823785">
      <w:pPr>
        <w:tabs>
          <w:tab w:val="clear" w:pos="567"/>
        </w:tabs>
        <w:suppressAutoHyphens w:val="0"/>
        <w:spacing w:line="240" w:lineRule="auto"/>
        <w:rPr>
          <w:rFonts w:eastAsia="MS Mincho"/>
          <w:color w:val="auto"/>
          <w:sz w:val="22"/>
          <w:szCs w:val="22"/>
          <w:lang w:eastAsia="fr-FR"/>
        </w:rPr>
      </w:pPr>
      <w:r w:rsidRPr="00452D62">
        <w:rPr>
          <w:rFonts w:eastAsia="MS Mincho"/>
          <w:color w:val="auto"/>
          <w:sz w:val="22"/>
          <w:szCs w:val="22"/>
          <w:lang w:eastAsia="fr-FR"/>
        </w:rPr>
        <w:t xml:space="preserve">Pagrindinis </w:t>
      </w:r>
      <w:r w:rsidRPr="00452D62">
        <w:rPr>
          <w:rFonts w:eastAsia="MS Mincho"/>
          <w:i/>
          <w:iCs/>
          <w:color w:val="auto"/>
          <w:sz w:val="22"/>
          <w:szCs w:val="22"/>
          <w:lang w:eastAsia="fr-FR"/>
        </w:rPr>
        <w:t>PIONEER AF–PCI</w:t>
      </w:r>
      <w:r w:rsidRPr="00452D62">
        <w:rPr>
          <w:rFonts w:eastAsia="MS Mincho"/>
          <w:color w:val="auto"/>
          <w:sz w:val="22"/>
          <w:szCs w:val="22"/>
          <w:lang w:eastAsia="fr-FR"/>
        </w:rPr>
        <w:t xml:space="preserve"> klinikinio tyrimo tikslas buvo saugumo įvertinimas. Duomenų apie veiksmingumą (įskaitant tromboembolijos reiškinius) šiai populiacijai yra nedaug.</w:t>
      </w:r>
    </w:p>
    <w:p w14:paraId="6C7C31D6" w14:textId="77777777" w:rsidR="00823785" w:rsidRPr="00452D62" w:rsidRDefault="00823785" w:rsidP="00823785">
      <w:pPr>
        <w:rPr>
          <w:sz w:val="22"/>
          <w:szCs w:val="22"/>
        </w:rPr>
      </w:pPr>
    </w:p>
    <w:p w14:paraId="7390C3D1" w14:textId="77777777" w:rsidR="00823785" w:rsidRPr="00452D62" w:rsidRDefault="00823785" w:rsidP="00823785">
      <w:pPr>
        <w:rPr>
          <w:i/>
          <w:sz w:val="22"/>
          <w:szCs w:val="22"/>
        </w:rPr>
      </w:pPr>
      <w:r w:rsidRPr="00452D62">
        <w:rPr>
          <w:i/>
          <w:sz w:val="22"/>
          <w:szCs w:val="22"/>
        </w:rPr>
        <w:t>GVT gydymas, PE gydymas ir pasikartojančios GVT bei PE profilaktika</w:t>
      </w:r>
    </w:p>
    <w:p w14:paraId="13B52A7B" w14:textId="77777777" w:rsidR="00823785" w:rsidRPr="00452D62" w:rsidRDefault="00823785" w:rsidP="00823785">
      <w:pPr>
        <w:rPr>
          <w:sz w:val="22"/>
          <w:szCs w:val="22"/>
        </w:rPr>
      </w:pPr>
      <w:r w:rsidRPr="00452D62">
        <w:rPr>
          <w:sz w:val="22"/>
          <w:szCs w:val="22"/>
        </w:rPr>
        <w:t>Rivaroksabano klinikinė programa buvo suplanuota siekiant įrodyti rivaroksabano veiksmingumą, skiriant pradinį ir tęstinį ūminės GVT bei PE gydymą ir pasikartojimo profilaktiką.</w:t>
      </w:r>
    </w:p>
    <w:p w14:paraId="282B6669" w14:textId="77777777" w:rsidR="00823785" w:rsidRPr="00452D62" w:rsidRDefault="00823785" w:rsidP="00823785">
      <w:pPr>
        <w:rPr>
          <w:sz w:val="22"/>
          <w:szCs w:val="22"/>
        </w:rPr>
      </w:pPr>
      <w:r w:rsidRPr="00452D62">
        <w:rPr>
          <w:sz w:val="22"/>
          <w:szCs w:val="22"/>
        </w:rPr>
        <w:t>Keturiuose atsitiktinių imčių kontroliuojamuose III fazės klinikiniuose tyrimuose (</w:t>
      </w:r>
      <w:r w:rsidRPr="00452D62">
        <w:rPr>
          <w:i/>
          <w:sz w:val="22"/>
          <w:szCs w:val="22"/>
        </w:rPr>
        <w:t>Einstein DVT, Einstein PE, Einstein Extention ir Einstein Choice</w:t>
      </w:r>
      <w:r w:rsidRPr="00452D62">
        <w:rPr>
          <w:sz w:val="22"/>
          <w:szCs w:val="22"/>
        </w:rPr>
        <w:t xml:space="preserve">) buvo tirta daugiau nei 12800 pacientų ir atlikta iš anksto numatyta apibendrinta </w:t>
      </w:r>
      <w:r w:rsidRPr="00452D62">
        <w:rPr>
          <w:i/>
          <w:sz w:val="22"/>
          <w:szCs w:val="22"/>
        </w:rPr>
        <w:t xml:space="preserve">Einstein DVT </w:t>
      </w:r>
      <w:r w:rsidRPr="00452D62">
        <w:rPr>
          <w:sz w:val="22"/>
          <w:szCs w:val="22"/>
        </w:rPr>
        <w:t xml:space="preserve">ir </w:t>
      </w:r>
      <w:r w:rsidRPr="00452D62">
        <w:rPr>
          <w:i/>
          <w:sz w:val="22"/>
          <w:szCs w:val="22"/>
        </w:rPr>
        <w:t>Einstein PE</w:t>
      </w:r>
      <w:r w:rsidRPr="00452D62">
        <w:rPr>
          <w:sz w:val="22"/>
          <w:szCs w:val="22"/>
        </w:rPr>
        <w:t xml:space="preserve"> tyrimų analizė. Bendra kombinuotojo gydymo trukmė visuose tyrimuose buvo iki 21 mėnesio.</w:t>
      </w:r>
    </w:p>
    <w:p w14:paraId="240486B0" w14:textId="77777777" w:rsidR="00823785" w:rsidRPr="00452D62" w:rsidRDefault="00823785" w:rsidP="00823785">
      <w:pPr>
        <w:rPr>
          <w:sz w:val="22"/>
          <w:szCs w:val="22"/>
        </w:rPr>
      </w:pPr>
    </w:p>
    <w:p w14:paraId="5CAFDEC9" w14:textId="77777777" w:rsidR="00823785" w:rsidRPr="00452D62" w:rsidRDefault="00823785" w:rsidP="00823785">
      <w:pPr>
        <w:rPr>
          <w:sz w:val="22"/>
          <w:szCs w:val="22"/>
        </w:rPr>
      </w:pPr>
      <w:r w:rsidRPr="00452D62">
        <w:rPr>
          <w:i/>
          <w:sz w:val="22"/>
          <w:szCs w:val="22"/>
        </w:rPr>
        <w:t>Einstein DVT</w:t>
      </w:r>
      <w:r w:rsidRPr="00452D62">
        <w:rPr>
          <w:sz w:val="22"/>
          <w:szCs w:val="22"/>
        </w:rPr>
        <w:t xml:space="preserve"> tyrime vertintas GVT gydymas ir pasikartojančios GVT bei PE profilaktika ir tirti 3449 pacientai, sergantys ūmine GVT (pacientai, kuriems buvo simptominė PE, į tyrimą nebuvo įtraukti). Gydymas truko 3, 6 arba 12 mėnesių, priklausomai nuo klinikinio tyrėjo sprendimo.</w:t>
      </w:r>
    </w:p>
    <w:p w14:paraId="62029E7B" w14:textId="77777777" w:rsidR="00823785" w:rsidRPr="00452D62" w:rsidRDefault="00823785" w:rsidP="00823785">
      <w:pPr>
        <w:rPr>
          <w:sz w:val="22"/>
          <w:szCs w:val="22"/>
        </w:rPr>
      </w:pPr>
      <w:r w:rsidRPr="00452D62">
        <w:rPr>
          <w:sz w:val="22"/>
          <w:szCs w:val="22"/>
        </w:rPr>
        <w:t>Pradinio ūminės GVT 3 savaičių trukmės gydymo laikotarpiu du kartus per parą buvo skiriama po 15 mg rivaroksabano. Po to buvo skiriama 20 mg rivaroksabano vieną kartą per parą.</w:t>
      </w:r>
    </w:p>
    <w:p w14:paraId="1986D03E" w14:textId="77777777" w:rsidR="00823785" w:rsidRPr="00452D62" w:rsidRDefault="00823785" w:rsidP="00823785">
      <w:pPr>
        <w:rPr>
          <w:sz w:val="22"/>
          <w:szCs w:val="22"/>
        </w:rPr>
      </w:pPr>
    </w:p>
    <w:p w14:paraId="63EFA227" w14:textId="77777777" w:rsidR="00823785" w:rsidRPr="00452D62" w:rsidRDefault="00823785" w:rsidP="00823785">
      <w:pPr>
        <w:rPr>
          <w:sz w:val="22"/>
          <w:szCs w:val="22"/>
        </w:rPr>
      </w:pPr>
      <w:r w:rsidRPr="00452D62">
        <w:rPr>
          <w:i/>
          <w:sz w:val="22"/>
          <w:szCs w:val="22"/>
        </w:rPr>
        <w:t>Einstein PE</w:t>
      </w:r>
      <w:r w:rsidRPr="00452D62">
        <w:rPr>
          <w:sz w:val="22"/>
          <w:szCs w:val="22"/>
        </w:rPr>
        <w:t xml:space="preserve"> tyrimo metu 4832 ūmine PE sergantiems pacientams buvo taikomas PE gydymas ir pasikartojančios GVT bei PE profilaktika. Gydymo trukmė buvo 3, 6 arba 12 mėnesių, priklausomai nuo klinikinio tyrėjo sprendimo.</w:t>
      </w:r>
    </w:p>
    <w:p w14:paraId="7B2CA4E1" w14:textId="77777777" w:rsidR="00823785" w:rsidRPr="00452D62" w:rsidRDefault="00823785" w:rsidP="00823785">
      <w:pPr>
        <w:rPr>
          <w:sz w:val="22"/>
          <w:szCs w:val="22"/>
        </w:rPr>
      </w:pPr>
      <w:r w:rsidRPr="00452D62">
        <w:rPr>
          <w:sz w:val="22"/>
          <w:szCs w:val="22"/>
        </w:rPr>
        <w:t>Ūminės PE gydymui pirmąsias tris savaites buvo skiriama po 15 mg rivaroksabano du kartus per parą, vėliau – 20 mg rivaroksabano vieną kartą per parą.</w:t>
      </w:r>
    </w:p>
    <w:p w14:paraId="7ABE4F75" w14:textId="77777777" w:rsidR="00823785" w:rsidRPr="00452D62" w:rsidRDefault="00823785" w:rsidP="00823785">
      <w:pPr>
        <w:rPr>
          <w:sz w:val="22"/>
          <w:szCs w:val="22"/>
        </w:rPr>
      </w:pPr>
    </w:p>
    <w:p w14:paraId="71FB484B" w14:textId="77777777" w:rsidR="00823785" w:rsidRPr="00452D62" w:rsidRDefault="00823785" w:rsidP="00823785">
      <w:pPr>
        <w:rPr>
          <w:sz w:val="22"/>
          <w:szCs w:val="22"/>
        </w:rPr>
      </w:pPr>
      <w:r w:rsidRPr="00452D62">
        <w:rPr>
          <w:iCs/>
          <w:sz w:val="22"/>
          <w:szCs w:val="22"/>
        </w:rPr>
        <w:t xml:space="preserve">Ir </w:t>
      </w:r>
      <w:r w:rsidRPr="00452D62">
        <w:rPr>
          <w:i/>
          <w:sz w:val="22"/>
          <w:szCs w:val="22"/>
        </w:rPr>
        <w:t>Einstein DVT</w:t>
      </w:r>
      <w:r w:rsidRPr="00452D62">
        <w:rPr>
          <w:sz w:val="22"/>
          <w:szCs w:val="22"/>
        </w:rPr>
        <w:t xml:space="preserve"> ir </w:t>
      </w:r>
      <w:r w:rsidRPr="00452D62">
        <w:rPr>
          <w:i/>
          <w:sz w:val="22"/>
          <w:szCs w:val="22"/>
        </w:rPr>
        <w:t>Einstein PE</w:t>
      </w:r>
      <w:r w:rsidRPr="00452D62">
        <w:rPr>
          <w:sz w:val="22"/>
          <w:szCs w:val="22"/>
        </w:rPr>
        <w:t xml:space="preserve"> tyrimuose palyginamajam gydymui mažiausiai 5 dienas kartu su vitamino K antagonistu buvo skiriamas enoksaparinas, kol protrombino laikas/INR pasiekė terapinį intervalą (≥ 2,0). Gydymas buvo tęsiamas vitamino K antagonistu, kurio dozė buvo parenkama atsižvelgiant į PT/INR rodmenis siekiant, kad jie būtų terapiniame intervale nuo 2,0 ir 3,0.</w:t>
      </w:r>
    </w:p>
    <w:p w14:paraId="50114AC6" w14:textId="77777777" w:rsidR="00823785" w:rsidRPr="00452D62" w:rsidRDefault="00823785" w:rsidP="00823785">
      <w:pPr>
        <w:rPr>
          <w:sz w:val="22"/>
          <w:szCs w:val="22"/>
        </w:rPr>
      </w:pPr>
    </w:p>
    <w:p w14:paraId="426E6C90" w14:textId="77777777" w:rsidR="00823785" w:rsidRPr="00452D62" w:rsidRDefault="00823785" w:rsidP="00823785">
      <w:pPr>
        <w:rPr>
          <w:sz w:val="22"/>
          <w:szCs w:val="22"/>
        </w:rPr>
      </w:pPr>
      <w:r w:rsidRPr="00452D62">
        <w:rPr>
          <w:i/>
          <w:sz w:val="22"/>
          <w:szCs w:val="22"/>
        </w:rPr>
        <w:t xml:space="preserve">Einstein Extention </w:t>
      </w:r>
      <w:r w:rsidRPr="00452D62">
        <w:rPr>
          <w:sz w:val="22"/>
          <w:szCs w:val="22"/>
        </w:rPr>
        <w:t>tyrime buvo vertinta pasikartojančios GVT ir PE profilaktika ir tirti 1197 pacientai, sergantys GVT arba PE. Pacientų, kuriems buvo baigtas 6</w:t>
      </w:r>
      <w:r w:rsidRPr="00452D62">
        <w:rPr>
          <w:sz w:val="22"/>
          <w:szCs w:val="22"/>
        </w:rPr>
        <w:noBreakHyphen/>
        <w:t>12 mėnesių trukmės venų tromboembolijos gydymas, papildomas gydymas truko dar 6 arba 12 mėnesių, priklausomai nuo klinikinio tyrėjo sprendimo. Buvo lyginamas vieną kartą per parą vartojamos 20 mg rivaroksabano dozės ir placebo poveikis.</w:t>
      </w:r>
    </w:p>
    <w:p w14:paraId="2147B9F7" w14:textId="77777777" w:rsidR="00823785" w:rsidRPr="00452D62" w:rsidRDefault="00823785" w:rsidP="00823785">
      <w:pPr>
        <w:rPr>
          <w:sz w:val="22"/>
          <w:szCs w:val="22"/>
        </w:rPr>
      </w:pPr>
    </w:p>
    <w:p w14:paraId="57B5F08D" w14:textId="77777777" w:rsidR="00823785" w:rsidRPr="00452D62" w:rsidRDefault="00823785" w:rsidP="00823785">
      <w:pPr>
        <w:rPr>
          <w:sz w:val="22"/>
          <w:szCs w:val="22"/>
        </w:rPr>
      </w:pPr>
      <w:r w:rsidRPr="00452D62">
        <w:rPr>
          <w:i/>
          <w:sz w:val="22"/>
          <w:szCs w:val="22"/>
        </w:rPr>
        <w:t>Einstein DVT, PE</w:t>
      </w:r>
      <w:r w:rsidRPr="00452D62">
        <w:rPr>
          <w:sz w:val="22"/>
          <w:szCs w:val="22"/>
        </w:rPr>
        <w:t xml:space="preserve"> ir </w:t>
      </w:r>
      <w:r w:rsidRPr="00452D62">
        <w:rPr>
          <w:i/>
          <w:sz w:val="22"/>
          <w:szCs w:val="22"/>
        </w:rPr>
        <w:t>Extension</w:t>
      </w:r>
      <w:r w:rsidRPr="00452D62">
        <w:rPr>
          <w:sz w:val="22"/>
          <w:szCs w:val="22"/>
        </w:rPr>
        <w:t xml:space="preserve"> tyrimuose analizuotos tokios pačios iš anksto numatytos pagrindinės ir antrinės veiksmingumo vertinamosios baigtys. Pagrindinė sudėtinė veiksmingumo vertinamoji baigtis buvo simptominė pasikartojanti VTE, apibūdinama kaip pasikartojanti GVT ir mirtina arba nemirtina PE. Antrinė veiksmingumo vertinamoji baigtis buvo sudėtinė, ją sudarė pasikartojanti GVT, nemirtina PE ir mirtis dėl bet kokios priežasties.</w:t>
      </w:r>
    </w:p>
    <w:p w14:paraId="79DA376C" w14:textId="77777777" w:rsidR="00823785" w:rsidRPr="00452D62" w:rsidRDefault="00823785" w:rsidP="00823785">
      <w:pPr>
        <w:rPr>
          <w:sz w:val="22"/>
          <w:szCs w:val="22"/>
        </w:rPr>
      </w:pPr>
    </w:p>
    <w:p w14:paraId="438D2125" w14:textId="5AF19980" w:rsidR="00823785" w:rsidRPr="00452D62" w:rsidRDefault="00823785" w:rsidP="00823785">
      <w:pPr>
        <w:rPr>
          <w:sz w:val="22"/>
          <w:szCs w:val="22"/>
        </w:rPr>
      </w:pPr>
      <w:r w:rsidRPr="00452D62">
        <w:rPr>
          <w:sz w:val="22"/>
          <w:szCs w:val="22"/>
        </w:rPr>
        <w:t xml:space="preserve">Tyrime </w:t>
      </w:r>
      <w:r w:rsidRPr="00452D62">
        <w:rPr>
          <w:i/>
          <w:sz w:val="22"/>
          <w:szCs w:val="22"/>
        </w:rPr>
        <w:t>Einstein Choice</w:t>
      </w:r>
      <w:r w:rsidRPr="00452D62">
        <w:rPr>
          <w:sz w:val="22"/>
          <w:szCs w:val="22"/>
        </w:rPr>
        <w:t>, kuriame dalyvavo 3396 pacientai, patyrę patvirtintą simptominę GVT ir (arba) PE ir užbaigę 6</w:t>
      </w:r>
      <w:r w:rsidRPr="00452D62">
        <w:rPr>
          <w:sz w:val="22"/>
          <w:szCs w:val="22"/>
        </w:rPr>
        <w:noBreakHyphen/>
        <w:t>12 mėnesių trukusį gydymą antikoaguliantais, buvo tiriama mirtinos PE arba nemirtinos pasikartojančios simptominės GVT arba PE profilaktika. Pacientai, kuriems buvo tęstinio gydymo terapinėmis antikoaguliantų dozėmis indikacijų, į tyrimą įtraukti nebuvo. Gydymo trukmė buvo iki 12 mėnesių ir priklausė nuo priskyrimo atsitiktinei imčiai datos (mediana: 351 diena). Buvo lyginamas vieną kartą per parą vartojamos 20 rivaroksabano dozės, vieną kartą per parą vartojamos 10 mg rivaroksabano dozės ir vieną kartą per parą vartojamos 100 mg acetilsalicilo rūgšties dozės poveikis.</w:t>
      </w:r>
    </w:p>
    <w:p w14:paraId="183D6C79" w14:textId="77777777" w:rsidR="00823785" w:rsidRPr="00452D62" w:rsidRDefault="00823785" w:rsidP="00823785">
      <w:pPr>
        <w:rPr>
          <w:sz w:val="22"/>
          <w:szCs w:val="22"/>
        </w:rPr>
      </w:pPr>
    </w:p>
    <w:p w14:paraId="0777243E" w14:textId="77777777" w:rsidR="00823785" w:rsidRPr="00452D62" w:rsidRDefault="00823785" w:rsidP="00823785">
      <w:pPr>
        <w:rPr>
          <w:sz w:val="22"/>
          <w:szCs w:val="22"/>
        </w:rPr>
      </w:pPr>
      <w:r w:rsidRPr="00452D62">
        <w:rPr>
          <w:sz w:val="22"/>
          <w:szCs w:val="22"/>
        </w:rPr>
        <w:t>Pagrindinė sudėtinė veiksmingumo vertinamoji baigtis buvo simptominė pasikartojanti VTE, apibūdinama kaip pasikartojanti GVT ir mirtina arba nemirtina PE.</w:t>
      </w:r>
    </w:p>
    <w:p w14:paraId="00B6208A" w14:textId="77777777" w:rsidR="00823785" w:rsidRPr="00452D62" w:rsidRDefault="00823785" w:rsidP="00823785">
      <w:pPr>
        <w:rPr>
          <w:sz w:val="22"/>
          <w:szCs w:val="22"/>
        </w:rPr>
      </w:pPr>
    </w:p>
    <w:p w14:paraId="660B0295" w14:textId="5297A8C6" w:rsidR="00823785" w:rsidRPr="00452D62" w:rsidRDefault="00823785" w:rsidP="00823785">
      <w:pPr>
        <w:rPr>
          <w:sz w:val="22"/>
          <w:szCs w:val="22"/>
        </w:rPr>
      </w:pPr>
      <w:r w:rsidRPr="00452D62">
        <w:rPr>
          <w:i/>
          <w:sz w:val="22"/>
          <w:szCs w:val="22"/>
        </w:rPr>
        <w:t>Einstein DVT</w:t>
      </w:r>
      <w:r w:rsidRPr="00452D62">
        <w:rPr>
          <w:sz w:val="22"/>
          <w:szCs w:val="22"/>
        </w:rPr>
        <w:t xml:space="preserve"> tyrimo metu (žr. 6 lentelę) analizuojant pagrindinę veiksmingumo vertinamąją baigtį, įrodytas neprastesnis poveikis, palyginti su enoksaparino/VKA poveikiu (p &lt; 0,0001 (neprastesnio poveikio testas); rizikos santykis (RS): 0,680 (0,443</w:t>
      </w:r>
      <w:r w:rsidRPr="00452D62">
        <w:rPr>
          <w:sz w:val="22"/>
          <w:szCs w:val="22"/>
        </w:rPr>
        <w:noBreakHyphen/>
        <w:t>1,042), p=0,076 (pranašumo tyrimas). Vertinant iš anksto numatytą suminę klinikinę naudą (pagrindinės veiksmingumo vertinamosios baigties reiškiniai plius didžiojo kraujavimo atvejai), RS buvo 0,67 ((95 % PI: 0,47</w:t>
      </w:r>
      <w:r w:rsidRPr="00452D62">
        <w:rPr>
          <w:sz w:val="22"/>
          <w:szCs w:val="22"/>
        </w:rPr>
        <w:noBreakHyphen/>
        <w:t>0,95), nominali p reikšmė p=0,027) rivaroksabano naudai. INR rodmuo vidutiniškai 60,3 % laiko buvo terapiniame intervale, kai vidutinė gydymo trukmė buvo 189 dienos, ir 55,4 %, 60,1 % bei 62,8 % laiko atitinkamai 3, 6 ir 12 mėnesių trukmės gydymo grupėse. Enoksaparino/VKA grupėje nebuvo aiškaus ryšio tarp vidutinio centrinio LIT (laiko iki tikslinio INR intervalo nuo 2,0 iki 3,0) vienodo dydžio tertilėse ir pasikartojančios VTE dažnio (sąveikos p=0,932). Aukščiausioje tertilėje (vertinant pagal centrą) RS vartojant rivaroksabaną, palyginti su varfarinu, buvo 0,69 (95 % PI: 0,35-1,35).</w:t>
      </w:r>
    </w:p>
    <w:p w14:paraId="4F6EEDAA" w14:textId="77777777" w:rsidR="00823785" w:rsidRPr="00452D62" w:rsidRDefault="00823785" w:rsidP="00823785">
      <w:pPr>
        <w:rPr>
          <w:sz w:val="22"/>
          <w:szCs w:val="22"/>
        </w:rPr>
      </w:pPr>
    </w:p>
    <w:p w14:paraId="6DA06866" w14:textId="77777777" w:rsidR="00823785" w:rsidRPr="00452D62" w:rsidRDefault="00823785" w:rsidP="00823785">
      <w:pPr>
        <w:rPr>
          <w:sz w:val="22"/>
          <w:szCs w:val="22"/>
        </w:rPr>
      </w:pPr>
      <w:r w:rsidRPr="00452D62">
        <w:rPr>
          <w:sz w:val="22"/>
          <w:szCs w:val="22"/>
        </w:rPr>
        <w:t>Pagrindinės saugumo vertinamosios baigties reiškinių (didžiojo arba kliniškai reikšmingų ne didžiojo kraujavimo reiškinių) ir antrinės saugumo vertinamosios baigties reiškinių (didžiojo kraujavimo reiškinių) atvejų dažnis abiejose gydymo grupėse buvo panašūs.</w:t>
      </w:r>
    </w:p>
    <w:p w14:paraId="3DD2027F" w14:textId="77777777" w:rsidR="00823785" w:rsidRPr="00452D62" w:rsidRDefault="00823785" w:rsidP="00823785">
      <w:pPr>
        <w:rPr>
          <w:sz w:val="22"/>
          <w:szCs w:val="22"/>
        </w:rPr>
      </w:pPr>
    </w:p>
    <w:p w14:paraId="3CB69C47" w14:textId="77777777" w:rsidR="00823785" w:rsidRPr="00452D62" w:rsidRDefault="00823785" w:rsidP="00823785">
      <w:pPr>
        <w:rPr>
          <w:b/>
          <w:sz w:val="22"/>
          <w:szCs w:val="22"/>
        </w:rPr>
      </w:pPr>
      <w:r w:rsidRPr="00452D62">
        <w:rPr>
          <w:b/>
          <w:sz w:val="22"/>
          <w:szCs w:val="22"/>
        </w:rPr>
        <w:t xml:space="preserve">6 lentelė. III fazės </w:t>
      </w:r>
      <w:r w:rsidRPr="00452D62">
        <w:rPr>
          <w:b/>
          <w:i/>
          <w:iCs/>
          <w:sz w:val="22"/>
          <w:szCs w:val="22"/>
        </w:rPr>
        <w:t>Einstein DVT</w:t>
      </w:r>
      <w:r w:rsidRPr="00452D62">
        <w:rPr>
          <w:b/>
          <w:sz w:val="22"/>
          <w:szCs w:val="22"/>
        </w:rPr>
        <w:t xml:space="preserve"> tyrimo veiksmingumo ir saugumo rezultatai</w:t>
      </w: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7"/>
        <w:gridCol w:w="2882"/>
        <w:gridCol w:w="2855"/>
      </w:tblGrid>
      <w:tr w:rsidR="00823785" w:rsidRPr="00452D62" w14:paraId="03D8D84C" w14:textId="77777777" w:rsidTr="006453B9">
        <w:tc>
          <w:tcPr>
            <w:tcW w:w="2877" w:type="dxa"/>
            <w:shd w:val="clear" w:color="auto" w:fill="auto"/>
          </w:tcPr>
          <w:p w14:paraId="449616FA"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Tyrimo populiacija</w:t>
            </w:r>
          </w:p>
        </w:tc>
        <w:tc>
          <w:tcPr>
            <w:tcW w:w="5737" w:type="dxa"/>
            <w:gridSpan w:val="2"/>
            <w:shd w:val="clear" w:color="auto" w:fill="auto"/>
          </w:tcPr>
          <w:p w14:paraId="4CFC3DBA"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3 449 pacientai, sergantys simptomine ūmine giliųjų venų tromboze</w:t>
            </w:r>
          </w:p>
        </w:tc>
      </w:tr>
      <w:tr w:rsidR="00823785" w:rsidRPr="00452D62" w14:paraId="6CFD91C0" w14:textId="77777777" w:rsidTr="006453B9">
        <w:tc>
          <w:tcPr>
            <w:tcW w:w="2877" w:type="dxa"/>
            <w:shd w:val="clear" w:color="auto" w:fill="auto"/>
          </w:tcPr>
          <w:p w14:paraId="30EE9947" w14:textId="77777777" w:rsidR="00823785" w:rsidRPr="000877E9"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Gydymo dozė ir trukmė</w:t>
            </w:r>
          </w:p>
        </w:tc>
        <w:tc>
          <w:tcPr>
            <w:tcW w:w="2882" w:type="dxa"/>
            <w:shd w:val="clear" w:color="auto" w:fill="auto"/>
          </w:tcPr>
          <w:p w14:paraId="4C7AFF13"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vertAlign w:val="superscript"/>
                <w:lang w:eastAsia="en-US"/>
              </w:rPr>
            </w:pPr>
            <w:r w:rsidRPr="00452D62">
              <w:rPr>
                <w:b/>
                <w:bCs/>
                <w:color w:val="231F20"/>
                <w:spacing w:val="-1"/>
                <w:sz w:val="22"/>
                <w:szCs w:val="22"/>
                <w:lang w:eastAsia="en-US"/>
              </w:rPr>
              <w:t>Rivaroksabanas</w:t>
            </w:r>
            <w:r w:rsidRPr="00452D62">
              <w:rPr>
                <w:b/>
                <w:bCs/>
                <w:color w:val="231F20"/>
                <w:spacing w:val="-1"/>
                <w:sz w:val="22"/>
                <w:szCs w:val="22"/>
                <w:vertAlign w:val="superscript"/>
                <w:lang w:eastAsia="en-US"/>
              </w:rPr>
              <w:t>a)</w:t>
            </w:r>
          </w:p>
          <w:p w14:paraId="25986448"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 xml:space="preserve">3, 6 arba 12 mėnesių </w:t>
            </w:r>
          </w:p>
          <w:p w14:paraId="624BD29B"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N=1 731</w:t>
            </w:r>
          </w:p>
        </w:tc>
        <w:tc>
          <w:tcPr>
            <w:tcW w:w="2855" w:type="dxa"/>
            <w:shd w:val="clear" w:color="auto" w:fill="auto"/>
          </w:tcPr>
          <w:p w14:paraId="11DB63D8"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Enoksaparinas/VKA</w:t>
            </w:r>
            <w:r w:rsidRPr="00452D62">
              <w:rPr>
                <w:b/>
                <w:bCs/>
                <w:color w:val="231F20"/>
                <w:spacing w:val="-1"/>
                <w:sz w:val="22"/>
                <w:szCs w:val="22"/>
                <w:vertAlign w:val="superscript"/>
                <w:lang w:eastAsia="en-US"/>
              </w:rPr>
              <w:t>b)</w:t>
            </w:r>
          </w:p>
          <w:p w14:paraId="28921FA6"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3, 6 arba 12 mėnesių</w:t>
            </w:r>
          </w:p>
          <w:p w14:paraId="08D4F667"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N=1 718</w:t>
            </w:r>
          </w:p>
        </w:tc>
      </w:tr>
      <w:tr w:rsidR="00823785" w:rsidRPr="00452D62" w14:paraId="702568BA" w14:textId="77777777" w:rsidTr="006453B9">
        <w:tc>
          <w:tcPr>
            <w:tcW w:w="2877" w:type="dxa"/>
            <w:shd w:val="clear" w:color="auto" w:fill="auto"/>
          </w:tcPr>
          <w:p w14:paraId="56CD65C4" w14:textId="77777777" w:rsidR="00823785" w:rsidRPr="00452D62" w:rsidRDefault="00823785"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452D62">
              <w:rPr>
                <w:color w:val="231F20"/>
                <w:spacing w:val="-1"/>
                <w:sz w:val="22"/>
                <w:szCs w:val="22"/>
                <w:lang w:eastAsia="en-US"/>
              </w:rPr>
              <w:t>Simptominė pasikartojanti VTE*</w:t>
            </w:r>
          </w:p>
        </w:tc>
        <w:tc>
          <w:tcPr>
            <w:tcW w:w="2882" w:type="dxa"/>
            <w:shd w:val="clear" w:color="auto" w:fill="auto"/>
          </w:tcPr>
          <w:p w14:paraId="20C5E327"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36 </w:t>
            </w:r>
          </w:p>
          <w:p w14:paraId="62A80590" w14:textId="1F3292CB"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(2,1 %)</w:t>
            </w:r>
          </w:p>
        </w:tc>
        <w:tc>
          <w:tcPr>
            <w:tcW w:w="2855" w:type="dxa"/>
            <w:shd w:val="clear" w:color="auto" w:fill="auto"/>
          </w:tcPr>
          <w:p w14:paraId="62EA6091"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51 </w:t>
            </w:r>
          </w:p>
          <w:p w14:paraId="54879329" w14:textId="72362792"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(3,0 %)</w:t>
            </w:r>
          </w:p>
        </w:tc>
      </w:tr>
      <w:tr w:rsidR="00823785" w:rsidRPr="00452D62" w14:paraId="75514C64" w14:textId="77777777" w:rsidTr="006453B9">
        <w:tc>
          <w:tcPr>
            <w:tcW w:w="2877" w:type="dxa"/>
            <w:shd w:val="clear" w:color="auto" w:fill="auto"/>
          </w:tcPr>
          <w:p w14:paraId="662FA9CB" w14:textId="77777777" w:rsidR="00823785" w:rsidRPr="00452D62"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452D62">
              <w:rPr>
                <w:color w:val="231F20"/>
                <w:spacing w:val="-1"/>
                <w:sz w:val="22"/>
                <w:szCs w:val="22"/>
                <w:lang w:eastAsia="en-US"/>
              </w:rPr>
              <w:t>Simptominė pasikartojanti PE</w:t>
            </w:r>
          </w:p>
        </w:tc>
        <w:tc>
          <w:tcPr>
            <w:tcW w:w="2882" w:type="dxa"/>
            <w:shd w:val="clear" w:color="auto" w:fill="auto"/>
          </w:tcPr>
          <w:p w14:paraId="4D91C542"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20 </w:t>
            </w:r>
          </w:p>
          <w:p w14:paraId="6C49601F" w14:textId="2299043A"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(1,2 %)</w:t>
            </w:r>
          </w:p>
        </w:tc>
        <w:tc>
          <w:tcPr>
            <w:tcW w:w="2855" w:type="dxa"/>
            <w:shd w:val="clear" w:color="auto" w:fill="auto"/>
          </w:tcPr>
          <w:p w14:paraId="55F97BB9"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18 </w:t>
            </w:r>
          </w:p>
          <w:p w14:paraId="5F0C48CA" w14:textId="6343E608"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(1,0 %)</w:t>
            </w:r>
          </w:p>
        </w:tc>
      </w:tr>
      <w:tr w:rsidR="00823785" w:rsidRPr="00452D62" w14:paraId="2703C29F" w14:textId="77777777" w:rsidTr="006453B9">
        <w:tc>
          <w:tcPr>
            <w:tcW w:w="2877" w:type="dxa"/>
            <w:shd w:val="clear" w:color="auto" w:fill="auto"/>
          </w:tcPr>
          <w:p w14:paraId="4AEC7E74" w14:textId="77777777" w:rsidR="00823785" w:rsidRPr="00452D62" w:rsidRDefault="00823785" w:rsidP="006453B9">
            <w:pPr>
              <w:widowControl w:val="0"/>
              <w:tabs>
                <w:tab w:val="clear" w:pos="567"/>
                <w:tab w:val="left" w:pos="8505"/>
              </w:tabs>
              <w:suppressAutoHyphens w:val="0"/>
              <w:spacing w:before="75" w:line="240" w:lineRule="auto"/>
              <w:ind w:left="284" w:right="35"/>
              <w:contextualSpacing/>
              <w:rPr>
                <w:color w:val="231F20"/>
                <w:spacing w:val="-1"/>
                <w:sz w:val="22"/>
                <w:szCs w:val="22"/>
                <w:lang w:eastAsia="en-US"/>
              </w:rPr>
            </w:pPr>
            <w:r w:rsidRPr="00452D62">
              <w:rPr>
                <w:color w:val="231F20"/>
                <w:spacing w:val="-1"/>
                <w:sz w:val="22"/>
                <w:szCs w:val="22"/>
                <w:lang w:eastAsia="en-US"/>
              </w:rPr>
              <w:t>Simptominė pasikartojanti GVT</w:t>
            </w:r>
          </w:p>
        </w:tc>
        <w:tc>
          <w:tcPr>
            <w:tcW w:w="2882" w:type="dxa"/>
            <w:shd w:val="clear" w:color="auto" w:fill="auto"/>
          </w:tcPr>
          <w:p w14:paraId="6DBC1828"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14 </w:t>
            </w:r>
          </w:p>
          <w:p w14:paraId="63F7A593" w14:textId="3EDCAD41"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(0,8 %)</w:t>
            </w:r>
          </w:p>
        </w:tc>
        <w:tc>
          <w:tcPr>
            <w:tcW w:w="2855" w:type="dxa"/>
            <w:shd w:val="clear" w:color="auto" w:fill="auto"/>
          </w:tcPr>
          <w:p w14:paraId="2E97D9BC"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28 </w:t>
            </w:r>
          </w:p>
          <w:p w14:paraId="1288D944" w14:textId="32EF631E"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(1,6 %)</w:t>
            </w:r>
          </w:p>
        </w:tc>
      </w:tr>
      <w:tr w:rsidR="00823785" w:rsidRPr="00452D62" w14:paraId="65651ACD" w14:textId="77777777" w:rsidTr="006453B9">
        <w:tc>
          <w:tcPr>
            <w:tcW w:w="2877" w:type="dxa"/>
            <w:shd w:val="clear" w:color="auto" w:fill="auto"/>
          </w:tcPr>
          <w:p w14:paraId="564E1B16" w14:textId="77777777" w:rsidR="00823785" w:rsidRPr="00452D62"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452D62">
              <w:rPr>
                <w:color w:val="auto"/>
                <w:sz w:val="22"/>
                <w:szCs w:val="22"/>
                <w:lang w:eastAsia="en-US"/>
              </w:rPr>
              <w:t>Simptominė PE ir GVT</w:t>
            </w:r>
          </w:p>
        </w:tc>
        <w:tc>
          <w:tcPr>
            <w:tcW w:w="2882" w:type="dxa"/>
            <w:shd w:val="clear" w:color="auto" w:fill="auto"/>
          </w:tcPr>
          <w:p w14:paraId="0D720638"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 xml:space="preserve">1 </w:t>
            </w:r>
          </w:p>
          <w:p w14:paraId="6A65430B" w14:textId="24BA3AD6"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auto"/>
                <w:sz w:val="22"/>
                <w:szCs w:val="22"/>
                <w:lang w:eastAsia="en-US"/>
              </w:rPr>
              <w:t>(0,1 %)</w:t>
            </w:r>
          </w:p>
        </w:tc>
        <w:tc>
          <w:tcPr>
            <w:tcW w:w="2855" w:type="dxa"/>
            <w:shd w:val="clear" w:color="auto" w:fill="auto"/>
          </w:tcPr>
          <w:p w14:paraId="49C9FFBF"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w:t>
            </w:r>
          </w:p>
        </w:tc>
      </w:tr>
      <w:tr w:rsidR="00823785" w:rsidRPr="00452D62" w14:paraId="7FD24760" w14:textId="77777777" w:rsidTr="006453B9">
        <w:tc>
          <w:tcPr>
            <w:tcW w:w="2877" w:type="dxa"/>
            <w:shd w:val="clear" w:color="auto" w:fill="auto"/>
          </w:tcPr>
          <w:p w14:paraId="72C21132" w14:textId="77777777" w:rsidR="00823785" w:rsidRPr="00452D62"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452D62">
              <w:rPr>
                <w:color w:val="231F20"/>
                <w:spacing w:val="-1"/>
                <w:sz w:val="22"/>
                <w:szCs w:val="22"/>
                <w:lang w:eastAsia="en-US"/>
              </w:rPr>
              <w:t>Mirtina PE/mirtis, kai negalima atmesti PE kaip galimos priežasties</w:t>
            </w:r>
          </w:p>
        </w:tc>
        <w:tc>
          <w:tcPr>
            <w:tcW w:w="2882" w:type="dxa"/>
            <w:shd w:val="clear" w:color="auto" w:fill="auto"/>
          </w:tcPr>
          <w:p w14:paraId="1A1AAC7E"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4 </w:t>
            </w:r>
          </w:p>
          <w:p w14:paraId="0C582509" w14:textId="176FDB6B"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(0,2 %)</w:t>
            </w:r>
          </w:p>
        </w:tc>
        <w:tc>
          <w:tcPr>
            <w:tcW w:w="2855" w:type="dxa"/>
            <w:shd w:val="clear" w:color="auto" w:fill="auto"/>
          </w:tcPr>
          <w:p w14:paraId="2C9173C8"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6 </w:t>
            </w:r>
          </w:p>
          <w:p w14:paraId="63138B42" w14:textId="394149C6"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(0,3 %)</w:t>
            </w:r>
          </w:p>
        </w:tc>
      </w:tr>
      <w:tr w:rsidR="00823785" w:rsidRPr="00452D62" w14:paraId="6E6875CD" w14:textId="77777777" w:rsidTr="006453B9">
        <w:tc>
          <w:tcPr>
            <w:tcW w:w="2877" w:type="dxa"/>
            <w:shd w:val="clear" w:color="auto" w:fill="auto"/>
          </w:tcPr>
          <w:p w14:paraId="41093D5D" w14:textId="77777777" w:rsidR="00823785" w:rsidRPr="00452D62" w:rsidRDefault="00823785"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452D62">
              <w:rPr>
                <w:color w:val="231F20"/>
                <w:spacing w:val="-1"/>
                <w:sz w:val="22"/>
                <w:szCs w:val="22"/>
                <w:lang w:eastAsia="en-US"/>
              </w:rPr>
              <w:t>Didysis ar kliniškai reikšmingas ne didysis kraujavimas</w:t>
            </w:r>
          </w:p>
        </w:tc>
        <w:tc>
          <w:tcPr>
            <w:tcW w:w="2882" w:type="dxa"/>
            <w:shd w:val="clear" w:color="auto" w:fill="auto"/>
          </w:tcPr>
          <w:p w14:paraId="1A83ECA2"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139 </w:t>
            </w:r>
          </w:p>
          <w:p w14:paraId="5219C024" w14:textId="18B809B9"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(8,1 %)</w:t>
            </w:r>
          </w:p>
        </w:tc>
        <w:tc>
          <w:tcPr>
            <w:tcW w:w="2855" w:type="dxa"/>
            <w:shd w:val="clear" w:color="auto" w:fill="auto"/>
          </w:tcPr>
          <w:p w14:paraId="40ED153F"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138 </w:t>
            </w:r>
          </w:p>
          <w:p w14:paraId="6254E881" w14:textId="6759BB0C"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(8,1 %)</w:t>
            </w:r>
          </w:p>
        </w:tc>
      </w:tr>
      <w:tr w:rsidR="00823785" w:rsidRPr="00452D62" w14:paraId="38458CB6" w14:textId="77777777" w:rsidTr="006453B9">
        <w:tc>
          <w:tcPr>
            <w:tcW w:w="2877" w:type="dxa"/>
            <w:shd w:val="clear" w:color="auto" w:fill="auto"/>
          </w:tcPr>
          <w:p w14:paraId="387C2A9D"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Didžiojo kraujavimo reiškiniai</w:t>
            </w:r>
          </w:p>
        </w:tc>
        <w:tc>
          <w:tcPr>
            <w:tcW w:w="2882" w:type="dxa"/>
            <w:shd w:val="clear" w:color="auto" w:fill="auto"/>
          </w:tcPr>
          <w:p w14:paraId="0E7BADAB"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14 </w:t>
            </w:r>
          </w:p>
          <w:p w14:paraId="39C22A6D" w14:textId="7869A814"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(0,8 %)</w:t>
            </w:r>
          </w:p>
        </w:tc>
        <w:tc>
          <w:tcPr>
            <w:tcW w:w="2855" w:type="dxa"/>
            <w:shd w:val="clear" w:color="auto" w:fill="auto"/>
          </w:tcPr>
          <w:p w14:paraId="68E25F01"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20 </w:t>
            </w:r>
          </w:p>
          <w:p w14:paraId="4F63872C" w14:textId="0861F69D"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(1,2 %)</w:t>
            </w:r>
          </w:p>
        </w:tc>
      </w:tr>
    </w:tbl>
    <w:p w14:paraId="5F33E0E8" w14:textId="77777777" w:rsidR="00823785" w:rsidRPr="000877E9" w:rsidRDefault="00823785" w:rsidP="00823785">
      <w:pPr>
        <w:spacing w:before="120"/>
        <w:rPr>
          <w:sz w:val="22"/>
          <w:szCs w:val="22"/>
        </w:rPr>
      </w:pPr>
      <w:r w:rsidRPr="00452D62">
        <w:rPr>
          <w:sz w:val="22"/>
          <w:szCs w:val="22"/>
          <w:vertAlign w:val="superscript"/>
        </w:rPr>
        <w:t>a)</w:t>
      </w:r>
      <w:r w:rsidRPr="00452D62">
        <w:rPr>
          <w:sz w:val="22"/>
          <w:szCs w:val="22"/>
        </w:rPr>
        <w:t xml:space="preserve"> Rivaroksabanas po 15 mg du kartus per parą 3 savaites, po to po 20 mg vieną kartą per parą.</w:t>
      </w:r>
    </w:p>
    <w:p w14:paraId="6448065C" w14:textId="77777777" w:rsidR="00823785" w:rsidRPr="00452D62" w:rsidRDefault="00823785" w:rsidP="00823785">
      <w:pPr>
        <w:rPr>
          <w:sz w:val="22"/>
          <w:szCs w:val="22"/>
        </w:rPr>
      </w:pPr>
      <w:r w:rsidRPr="00452D62">
        <w:rPr>
          <w:sz w:val="22"/>
          <w:szCs w:val="22"/>
          <w:vertAlign w:val="superscript"/>
        </w:rPr>
        <w:t>b)</w:t>
      </w:r>
      <w:r w:rsidRPr="00452D62">
        <w:rPr>
          <w:sz w:val="22"/>
          <w:szCs w:val="22"/>
        </w:rPr>
        <w:t xml:space="preserve"> Enoksaparinas mažiausiai 5 dienas, kartu vartojant ir vėliau tęsiant gydymą VKA. </w:t>
      </w:r>
    </w:p>
    <w:p w14:paraId="3A28EEB5" w14:textId="77777777" w:rsidR="00823785" w:rsidRPr="00452D62" w:rsidRDefault="00823785" w:rsidP="00823785">
      <w:pPr>
        <w:ind w:left="142" w:hanging="142"/>
        <w:rPr>
          <w:sz w:val="22"/>
          <w:szCs w:val="22"/>
        </w:rPr>
      </w:pPr>
      <w:r w:rsidRPr="00452D62">
        <w:rPr>
          <w:sz w:val="22"/>
          <w:szCs w:val="22"/>
        </w:rPr>
        <w:t>* p &lt; 0,0001 (neprastesnis poveikis, kai iš anksto numatytas RS buvo 2,0); RS: 0,680 (0,443</w:t>
      </w:r>
      <w:r w:rsidRPr="00452D62">
        <w:rPr>
          <w:sz w:val="22"/>
          <w:szCs w:val="22"/>
        </w:rPr>
        <w:noBreakHyphen/>
        <w:t>1,042), p=0,076 (pranašumas).</w:t>
      </w:r>
    </w:p>
    <w:p w14:paraId="4F5A7630" w14:textId="77777777" w:rsidR="00823785" w:rsidRPr="00452D62" w:rsidRDefault="00823785" w:rsidP="00823785">
      <w:pPr>
        <w:rPr>
          <w:sz w:val="22"/>
          <w:szCs w:val="22"/>
        </w:rPr>
      </w:pPr>
    </w:p>
    <w:p w14:paraId="5C74E082" w14:textId="085EE607" w:rsidR="00823785" w:rsidRPr="00452D62" w:rsidRDefault="00823785" w:rsidP="00823785">
      <w:pPr>
        <w:rPr>
          <w:sz w:val="22"/>
          <w:szCs w:val="22"/>
        </w:rPr>
      </w:pPr>
      <w:r w:rsidRPr="00452D62">
        <w:rPr>
          <w:i/>
          <w:sz w:val="22"/>
          <w:szCs w:val="22"/>
        </w:rPr>
        <w:t>Einstein PE</w:t>
      </w:r>
      <w:r w:rsidRPr="00452D62">
        <w:rPr>
          <w:sz w:val="22"/>
          <w:szCs w:val="22"/>
        </w:rPr>
        <w:t xml:space="preserve"> tyrimo metu (žr. 7 lentelę), analizuojant pagrindinę veiksmingumo vertinamąją baigtį patvirtintas neprastesnis rivaroksabano poveikis, palyginti su enoksaparinu/VKA (p=0,0026) (neprastesnio poveikio testas); RS 1,123 (0,749</w:t>
      </w:r>
      <w:r w:rsidRPr="00452D62">
        <w:rPr>
          <w:sz w:val="22"/>
          <w:szCs w:val="22"/>
        </w:rPr>
        <w:noBreakHyphen/>
        <w:t>1,684)). Vertinant iš anksto numatytą suminę klinikinę naudą (pagrindinės veiksmingumo vertinamosios baigties reiškiniai plius didžiojo kraujavimo atvejai), RS buvo 0,849 ((95 % PI: 0,633</w:t>
      </w:r>
      <w:r w:rsidRPr="00452D62">
        <w:rPr>
          <w:sz w:val="22"/>
          <w:szCs w:val="22"/>
        </w:rPr>
        <w:noBreakHyphen/>
        <w:t>1,139), nominali p reikšmė p=0,275). INR rodmuo vidutiniškai 63 % laiko buvo terapiniame intervale, kai vidutinė gydymo trukmė buvo 215 dienų, ir 57 %, 62 % bei 65 % laiko atitinkamai 3, 6 ir 12 mėnesių trukmės gydymo grupėse. Enoksaparino/VKA grupėje nebuvo aiškaus ryšio tarp vidutinio centrinio LIT (laiko iki tikslinio INR intervalo nuo 2,0 iki 3,0) vienodo dydžio tertilėse ir pasikartojančios VTE dažnio (sąveikos p=0,082). Aukščiausioje tertilėje (vertinant pagal centrą) RS vartojant rivaroksabaną, palyginti su varfarinu, buvo 0,642 (95 % PI: 0,277</w:t>
      </w:r>
      <w:r w:rsidRPr="00452D62">
        <w:rPr>
          <w:sz w:val="22"/>
          <w:szCs w:val="22"/>
        </w:rPr>
        <w:noBreakHyphen/>
        <w:t>1,484).</w:t>
      </w:r>
    </w:p>
    <w:p w14:paraId="0AD5C999" w14:textId="77777777" w:rsidR="00823785" w:rsidRPr="00452D62" w:rsidRDefault="00823785" w:rsidP="00823785">
      <w:pPr>
        <w:rPr>
          <w:sz w:val="22"/>
          <w:szCs w:val="22"/>
        </w:rPr>
      </w:pPr>
    </w:p>
    <w:p w14:paraId="46A3BB6A" w14:textId="0CD64953" w:rsidR="00823785" w:rsidRPr="00452D62" w:rsidRDefault="00823785" w:rsidP="00823785">
      <w:pPr>
        <w:rPr>
          <w:sz w:val="22"/>
          <w:szCs w:val="22"/>
        </w:rPr>
      </w:pPr>
      <w:r w:rsidRPr="00452D62">
        <w:rPr>
          <w:sz w:val="22"/>
          <w:szCs w:val="22"/>
        </w:rPr>
        <w:t>Antrinės saugumo vertinamosios baigties (didžiojo kraujavimo reiškinių) atvejų dažnis rivaroksabano grupėje dažnis buvo šiek tiek mažesnis (10,3 %, 249/2412) negu enoksaparino/VKA grupėje (11,4 %, 274/2405). Pagrindinės saugumo vertinamosios baigties (didžiųjų arba kliniškai reikšmingų nedidžiųjų kraujavimo reiškinių) atvejų dažnis rivaroksabano grupėje dažnis buvo mažesnis (1,1 %, 26/2412) negu enoksaparino/VKA grupėje (2,2 %, 52/2405), RS buvo 0,493 (95 % PI: 0,308</w:t>
      </w:r>
      <w:r w:rsidRPr="00452D62">
        <w:rPr>
          <w:sz w:val="22"/>
          <w:szCs w:val="22"/>
        </w:rPr>
        <w:noBreakHyphen/>
        <w:t>0,789).</w:t>
      </w:r>
    </w:p>
    <w:p w14:paraId="12599A44" w14:textId="77777777" w:rsidR="00823785" w:rsidRPr="00452D62" w:rsidRDefault="00823785" w:rsidP="00823785">
      <w:pPr>
        <w:rPr>
          <w:sz w:val="22"/>
          <w:szCs w:val="22"/>
        </w:rPr>
      </w:pPr>
    </w:p>
    <w:p w14:paraId="127FE47E" w14:textId="77777777" w:rsidR="00823785" w:rsidRPr="00452D62" w:rsidRDefault="00823785" w:rsidP="00823785">
      <w:pPr>
        <w:rPr>
          <w:b/>
          <w:sz w:val="22"/>
          <w:szCs w:val="22"/>
        </w:rPr>
      </w:pPr>
      <w:r w:rsidRPr="00452D62">
        <w:rPr>
          <w:b/>
          <w:sz w:val="22"/>
          <w:szCs w:val="22"/>
        </w:rPr>
        <w:t xml:space="preserve">7 lentelė. III fazės </w:t>
      </w:r>
      <w:r w:rsidRPr="00452D62">
        <w:rPr>
          <w:b/>
          <w:i/>
          <w:iCs/>
          <w:sz w:val="22"/>
          <w:szCs w:val="22"/>
        </w:rPr>
        <w:t>Einstein PE</w:t>
      </w:r>
      <w:r w:rsidRPr="00452D62">
        <w:rPr>
          <w:b/>
          <w:sz w:val="22"/>
          <w:szCs w:val="22"/>
        </w:rPr>
        <w:t xml:space="preserve"> tyrimo veiksmingumo ir saugumo rezultatai</w:t>
      </w:r>
    </w:p>
    <w:tbl>
      <w:tblPr>
        <w:tblW w:w="8614"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7"/>
        <w:gridCol w:w="2882"/>
        <w:gridCol w:w="2855"/>
      </w:tblGrid>
      <w:tr w:rsidR="00823785" w:rsidRPr="00452D62" w14:paraId="37DA313A" w14:textId="77777777" w:rsidTr="006453B9">
        <w:tc>
          <w:tcPr>
            <w:tcW w:w="2877" w:type="dxa"/>
          </w:tcPr>
          <w:p w14:paraId="4F6D7BAE"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Tyrimo populiacija</w:t>
            </w:r>
          </w:p>
        </w:tc>
        <w:tc>
          <w:tcPr>
            <w:tcW w:w="5737" w:type="dxa"/>
            <w:gridSpan w:val="2"/>
            <w:shd w:val="clear" w:color="auto" w:fill="auto"/>
          </w:tcPr>
          <w:p w14:paraId="362EAE1C"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4 832 pacientai, sergantys ūmine simptomine PE</w:t>
            </w:r>
          </w:p>
        </w:tc>
      </w:tr>
      <w:tr w:rsidR="00823785" w:rsidRPr="00452D62" w14:paraId="34C2BD99" w14:textId="77777777" w:rsidTr="006453B9">
        <w:tc>
          <w:tcPr>
            <w:tcW w:w="2877" w:type="dxa"/>
          </w:tcPr>
          <w:p w14:paraId="489F5BBB"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Gydymo dozė ir trukmė</w:t>
            </w:r>
          </w:p>
        </w:tc>
        <w:tc>
          <w:tcPr>
            <w:tcW w:w="2882" w:type="dxa"/>
            <w:shd w:val="clear" w:color="auto" w:fill="auto"/>
          </w:tcPr>
          <w:p w14:paraId="248EF0B9"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vertAlign w:val="superscript"/>
                <w:lang w:eastAsia="en-US"/>
              </w:rPr>
            </w:pPr>
            <w:r w:rsidRPr="00452D62">
              <w:rPr>
                <w:b/>
                <w:bCs/>
                <w:color w:val="231F20"/>
                <w:spacing w:val="-1"/>
                <w:sz w:val="22"/>
                <w:szCs w:val="22"/>
                <w:lang w:eastAsia="en-US"/>
              </w:rPr>
              <w:t>Rivaroksabanas</w:t>
            </w:r>
            <w:r w:rsidRPr="00452D62">
              <w:rPr>
                <w:b/>
                <w:bCs/>
                <w:color w:val="231F20"/>
                <w:spacing w:val="-1"/>
                <w:sz w:val="22"/>
                <w:szCs w:val="22"/>
                <w:vertAlign w:val="superscript"/>
                <w:lang w:eastAsia="en-US"/>
              </w:rPr>
              <w:t>a)</w:t>
            </w:r>
          </w:p>
          <w:p w14:paraId="1AB5B03E"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 xml:space="preserve">3, 6 arba 12 mėnesių </w:t>
            </w:r>
          </w:p>
          <w:p w14:paraId="4736F57E"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N=2419</w:t>
            </w:r>
          </w:p>
        </w:tc>
        <w:tc>
          <w:tcPr>
            <w:tcW w:w="2855" w:type="dxa"/>
            <w:shd w:val="clear" w:color="auto" w:fill="auto"/>
          </w:tcPr>
          <w:p w14:paraId="2274BABE"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Enoksaparinas/VKA</w:t>
            </w:r>
            <w:r w:rsidRPr="00452D62">
              <w:rPr>
                <w:b/>
                <w:bCs/>
                <w:color w:val="231F20"/>
                <w:spacing w:val="-1"/>
                <w:sz w:val="22"/>
                <w:szCs w:val="22"/>
                <w:vertAlign w:val="superscript"/>
                <w:lang w:eastAsia="en-US"/>
              </w:rPr>
              <w:t>b)</w:t>
            </w:r>
          </w:p>
          <w:p w14:paraId="732CC7F0"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3, 6 arba 12 mėnesių</w:t>
            </w:r>
          </w:p>
          <w:p w14:paraId="17FF35E1"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N=2413</w:t>
            </w:r>
          </w:p>
        </w:tc>
      </w:tr>
      <w:tr w:rsidR="00823785" w:rsidRPr="00452D62" w14:paraId="56268D52" w14:textId="77777777" w:rsidTr="006453B9">
        <w:tc>
          <w:tcPr>
            <w:tcW w:w="2877" w:type="dxa"/>
          </w:tcPr>
          <w:p w14:paraId="2DF06DA6" w14:textId="77777777" w:rsidR="00823785" w:rsidRPr="00452D62" w:rsidRDefault="00823785"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452D62">
              <w:rPr>
                <w:color w:val="231F20"/>
                <w:spacing w:val="-1"/>
                <w:sz w:val="22"/>
                <w:szCs w:val="22"/>
                <w:lang w:eastAsia="en-US"/>
              </w:rPr>
              <w:t>Simptominė pasikartojanti VTE*</w:t>
            </w:r>
          </w:p>
        </w:tc>
        <w:tc>
          <w:tcPr>
            <w:tcW w:w="2882" w:type="dxa"/>
            <w:shd w:val="clear" w:color="auto" w:fill="auto"/>
          </w:tcPr>
          <w:p w14:paraId="7BAB55B0"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50 </w:t>
            </w:r>
          </w:p>
          <w:p w14:paraId="77033FB7" w14:textId="13C7B299"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(2,1 %)</w:t>
            </w:r>
          </w:p>
        </w:tc>
        <w:tc>
          <w:tcPr>
            <w:tcW w:w="2855" w:type="dxa"/>
            <w:shd w:val="clear" w:color="auto" w:fill="auto"/>
          </w:tcPr>
          <w:p w14:paraId="52B03635"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44</w:t>
            </w:r>
          </w:p>
          <w:p w14:paraId="4D1C6A4B" w14:textId="6F1B48F5"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(1,8 %)</w:t>
            </w:r>
          </w:p>
        </w:tc>
      </w:tr>
      <w:tr w:rsidR="00823785" w:rsidRPr="00452D62" w14:paraId="74F46D08" w14:textId="77777777" w:rsidTr="006453B9">
        <w:tc>
          <w:tcPr>
            <w:tcW w:w="2877" w:type="dxa"/>
          </w:tcPr>
          <w:p w14:paraId="200866F8" w14:textId="77777777" w:rsidR="00823785" w:rsidRPr="00452D62"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452D62">
              <w:rPr>
                <w:color w:val="231F20"/>
                <w:spacing w:val="-1"/>
                <w:sz w:val="22"/>
                <w:szCs w:val="22"/>
                <w:lang w:eastAsia="en-US"/>
              </w:rPr>
              <w:t>Simptominė pasikartojanti PE</w:t>
            </w:r>
          </w:p>
        </w:tc>
        <w:tc>
          <w:tcPr>
            <w:tcW w:w="2882" w:type="dxa"/>
            <w:shd w:val="clear" w:color="auto" w:fill="auto"/>
          </w:tcPr>
          <w:p w14:paraId="7D630C4F"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23 </w:t>
            </w:r>
          </w:p>
          <w:p w14:paraId="5BDC3932" w14:textId="04CAD3BF"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(1,0 %)</w:t>
            </w:r>
          </w:p>
        </w:tc>
        <w:tc>
          <w:tcPr>
            <w:tcW w:w="2855" w:type="dxa"/>
            <w:shd w:val="clear" w:color="auto" w:fill="auto"/>
          </w:tcPr>
          <w:p w14:paraId="2A8B0ECE"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20 </w:t>
            </w:r>
          </w:p>
          <w:p w14:paraId="33C3ADEF" w14:textId="7429F9DC"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(0,8 %)</w:t>
            </w:r>
          </w:p>
        </w:tc>
      </w:tr>
      <w:tr w:rsidR="00823785" w:rsidRPr="00452D62" w14:paraId="6F855533" w14:textId="77777777" w:rsidTr="006453B9">
        <w:tc>
          <w:tcPr>
            <w:tcW w:w="2877" w:type="dxa"/>
          </w:tcPr>
          <w:p w14:paraId="6007C97C" w14:textId="77777777" w:rsidR="00823785" w:rsidRPr="00452D62"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452D62">
              <w:rPr>
                <w:color w:val="231F20"/>
                <w:spacing w:val="-1"/>
                <w:sz w:val="22"/>
                <w:szCs w:val="22"/>
                <w:lang w:eastAsia="en-US"/>
              </w:rPr>
              <w:t>Simptominė pasikartojanti GVT</w:t>
            </w:r>
          </w:p>
        </w:tc>
        <w:tc>
          <w:tcPr>
            <w:tcW w:w="2882" w:type="dxa"/>
            <w:shd w:val="clear" w:color="auto" w:fill="auto"/>
          </w:tcPr>
          <w:p w14:paraId="25C9845F"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18 </w:t>
            </w:r>
          </w:p>
          <w:p w14:paraId="3EE800AF" w14:textId="096364F6"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(0,7 %)</w:t>
            </w:r>
          </w:p>
        </w:tc>
        <w:tc>
          <w:tcPr>
            <w:tcW w:w="2855" w:type="dxa"/>
            <w:shd w:val="clear" w:color="auto" w:fill="auto"/>
          </w:tcPr>
          <w:p w14:paraId="656F210C"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17 </w:t>
            </w:r>
          </w:p>
          <w:p w14:paraId="7353C3A4" w14:textId="4524E48B"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(0,7 %)</w:t>
            </w:r>
          </w:p>
        </w:tc>
      </w:tr>
      <w:tr w:rsidR="00823785" w:rsidRPr="00452D62" w14:paraId="091C92AE" w14:textId="77777777" w:rsidTr="006453B9">
        <w:tc>
          <w:tcPr>
            <w:tcW w:w="2877" w:type="dxa"/>
          </w:tcPr>
          <w:p w14:paraId="692271A6" w14:textId="77777777" w:rsidR="00823785" w:rsidRPr="00452D62"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452D62">
              <w:rPr>
                <w:color w:val="auto"/>
                <w:sz w:val="22"/>
                <w:szCs w:val="22"/>
                <w:lang w:eastAsia="en-US"/>
              </w:rPr>
              <w:t>Simptominė PE ir GVT</w:t>
            </w:r>
          </w:p>
        </w:tc>
        <w:tc>
          <w:tcPr>
            <w:tcW w:w="2882" w:type="dxa"/>
            <w:shd w:val="clear" w:color="auto" w:fill="auto"/>
          </w:tcPr>
          <w:p w14:paraId="696ECB56"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w:t>
            </w:r>
          </w:p>
        </w:tc>
        <w:tc>
          <w:tcPr>
            <w:tcW w:w="2855" w:type="dxa"/>
            <w:shd w:val="clear" w:color="auto" w:fill="auto"/>
          </w:tcPr>
          <w:p w14:paraId="5A7BA0DF"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2 </w:t>
            </w:r>
          </w:p>
          <w:p w14:paraId="53D763CD" w14:textId="336084A9"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(&lt;0,1 %)</w:t>
            </w:r>
          </w:p>
        </w:tc>
      </w:tr>
      <w:tr w:rsidR="00823785" w:rsidRPr="00452D62" w14:paraId="6EDF445D" w14:textId="77777777" w:rsidTr="006453B9">
        <w:tc>
          <w:tcPr>
            <w:tcW w:w="2877" w:type="dxa"/>
          </w:tcPr>
          <w:p w14:paraId="2833E392" w14:textId="77777777" w:rsidR="00823785" w:rsidRPr="00452D62"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452D62">
              <w:rPr>
                <w:color w:val="231F20"/>
                <w:spacing w:val="-1"/>
                <w:sz w:val="22"/>
                <w:szCs w:val="22"/>
                <w:lang w:eastAsia="en-US"/>
              </w:rPr>
              <w:t>Mirtina PE/mirtis, kai negalima atmesti PE kaip galimos priežasties</w:t>
            </w:r>
          </w:p>
        </w:tc>
        <w:tc>
          <w:tcPr>
            <w:tcW w:w="2882" w:type="dxa"/>
            <w:shd w:val="clear" w:color="auto" w:fill="auto"/>
          </w:tcPr>
          <w:p w14:paraId="69AE2104"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11 </w:t>
            </w:r>
          </w:p>
          <w:p w14:paraId="58359382" w14:textId="18CE0AE8"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(0,5 %)</w:t>
            </w:r>
          </w:p>
        </w:tc>
        <w:tc>
          <w:tcPr>
            <w:tcW w:w="2855" w:type="dxa"/>
            <w:shd w:val="clear" w:color="auto" w:fill="auto"/>
          </w:tcPr>
          <w:p w14:paraId="1A68C223"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7 </w:t>
            </w:r>
          </w:p>
          <w:p w14:paraId="3FEC7F5F" w14:textId="33853302"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(0,3 %)</w:t>
            </w:r>
          </w:p>
        </w:tc>
      </w:tr>
      <w:tr w:rsidR="00823785" w:rsidRPr="00452D62" w14:paraId="5B52E0C6" w14:textId="77777777" w:rsidTr="006453B9">
        <w:tc>
          <w:tcPr>
            <w:tcW w:w="2877" w:type="dxa"/>
          </w:tcPr>
          <w:p w14:paraId="064E905C" w14:textId="77777777" w:rsidR="00823785" w:rsidRPr="00452D62" w:rsidRDefault="00823785"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452D62">
              <w:rPr>
                <w:color w:val="231F20"/>
                <w:spacing w:val="-1"/>
                <w:sz w:val="22"/>
                <w:szCs w:val="22"/>
                <w:lang w:eastAsia="en-US"/>
              </w:rPr>
              <w:t>Didysis ar kliniškai reikšmingas ne didysis kraujavimas</w:t>
            </w:r>
          </w:p>
        </w:tc>
        <w:tc>
          <w:tcPr>
            <w:tcW w:w="2882" w:type="dxa"/>
            <w:shd w:val="clear" w:color="auto" w:fill="auto"/>
          </w:tcPr>
          <w:p w14:paraId="0F04D48B"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249 </w:t>
            </w:r>
          </w:p>
          <w:p w14:paraId="475A9809" w14:textId="1802AD91"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(10,3 %)</w:t>
            </w:r>
          </w:p>
        </w:tc>
        <w:tc>
          <w:tcPr>
            <w:tcW w:w="2855" w:type="dxa"/>
            <w:shd w:val="clear" w:color="auto" w:fill="auto"/>
          </w:tcPr>
          <w:p w14:paraId="79876C4E" w14:textId="39C96559"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274 (11,4 %)</w:t>
            </w:r>
          </w:p>
        </w:tc>
      </w:tr>
      <w:tr w:rsidR="00823785" w:rsidRPr="00452D62" w14:paraId="67E0EF48" w14:textId="77777777" w:rsidTr="006453B9">
        <w:tc>
          <w:tcPr>
            <w:tcW w:w="2877" w:type="dxa"/>
          </w:tcPr>
          <w:p w14:paraId="1585F043"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Didžiojo kraujavimo atvejai</w:t>
            </w:r>
          </w:p>
        </w:tc>
        <w:tc>
          <w:tcPr>
            <w:tcW w:w="2882" w:type="dxa"/>
            <w:shd w:val="clear" w:color="auto" w:fill="auto"/>
          </w:tcPr>
          <w:p w14:paraId="4E5EF622"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26 </w:t>
            </w:r>
          </w:p>
          <w:p w14:paraId="2C154E3E" w14:textId="7E41E0B8"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(1,1 %)</w:t>
            </w:r>
          </w:p>
        </w:tc>
        <w:tc>
          <w:tcPr>
            <w:tcW w:w="2855" w:type="dxa"/>
            <w:shd w:val="clear" w:color="auto" w:fill="auto"/>
          </w:tcPr>
          <w:p w14:paraId="48677CD6"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52 </w:t>
            </w:r>
          </w:p>
          <w:p w14:paraId="452CEF30" w14:textId="4056E76F"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(2,2 %)</w:t>
            </w:r>
          </w:p>
        </w:tc>
      </w:tr>
    </w:tbl>
    <w:p w14:paraId="3B489E1C" w14:textId="77777777" w:rsidR="00823785" w:rsidRPr="00452D62" w:rsidRDefault="00823785" w:rsidP="00823785">
      <w:pPr>
        <w:spacing w:before="120"/>
        <w:rPr>
          <w:sz w:val="22"/>
          <w:szCs w:val="22"/>
        </w:rPr>
      </w:pPr>
      <w:r w:rsidRPr="00452D62">
        <w:rPr>
          <w:sz w:val="22"/>
          <w:szCs w:val="22"/>
          <w:vertAlign w:val="superscript"/>
        </w:rPr>
        <w:t>a)</w:t>
      </w:r>
      <w:r w:rsidRPr="00452D62">
        <w:rPr>
          <w:sz w:val="22"/>
          <w:szCs w:val="22"/>
        </w:rPr>
        <w:t xml:space="preserve"> Rivaroksabanas po 15 mg du kartus per parą 3 savaites, po to po 20 mg vieną kartą per parą.</w:t>
      </w:r>
    </w:p>
    <w:p w14:paraId="6BE662CC" w14:textId="77777777" w:rsidR="00823785" w:rsidRPr="00452D62" w:rsidRDefault="00823785" w:rsidP="00823785">
      <w:pPr>
        <w:rPr>
          <w:sz w:val="22"/>
          <w:szCs w:val="22"/>
        </w:rPr>
      </w:pPr>
      <w:r w:rsidRPr="00452D62">
        <w:rPr>
          <w:sz w:val="22"/>
          <w:szCs w:val="22"/>
          <w:vertAlign w:val="superscript"/>
        </w:rPr>
        <w:t>b)</w:t>
      </w:r>
      <w:r w:rsidRPr="00452D62">
        <w:rPr>
          <w:sz w:val="22"/>
          <w:szCs w:val="22"/>
        </w:rPr>
        <w:t xml:space="preserve"> Enoksaparinas mažiausiai 5 dienas, kartu vartojant ir vėliau tęsiant gydymą VKA.</w:t>
      </w:r>
    </w:p>
    <w:p w14:paraId="00692905" w14:textId="77777777" w:rsidR="00823785" w:rsidRPr="00452D62" w:rsidRDefault="00823785" w:rsidP="00823785">
      <w:pPr>
        <w:ind w:left="142" w:hanging="142"/>
        <w:rPr>
          <w:sz w:val="22"/>
          <w:szCs w:val="22"/>
        </w:rPr>
      </w:pPr>
      <w:r w:rsidRPr="00452D62">
        <w:rPr>
          <w:sz w:val="22"/>
          <w:szCs w:val="22"/>
        </w:rPr>
        <w:t>* p &lt; 0,0026 (neprastesnis poveikis, kai iš anksto numatytas RS buvo 2,0); RS: 1,123 (0,749</w:t>
      </w:r>
      <w:r w:rsidRPr="00452D62">
        <w:rPr>
          <w:sz w:val="22"/>
          <w:szCs w:val="22"/>
        </w:rPr>
        <w:noBreakHyphen/>
        <w:t>1,684).</w:t>
      </w:r>
    </w:p>
    <w:p w14:paraId="5D575080" w14:textId="77777777" w:rsidR="00823785" w:rsidRPr="00452D62" w:rsidRDefault="00823785" w:rsidP="00823785">
      <w:pPr>
        <w:rPr>
          <w:sz w:val="22"/>
          <w:szCs w:val="22"/>
        </w:rPr>
      </w:pPr>
    </w:p>
    <w:p w14:paraId="79B8145E" w14:textId="77777777" w:rsidR="00823785" w:rsidRPr="00452D62" w:rsidRDefault="00823785" w:rsidP="00823785">
      <w:pPr>
        <w:rPr>
          <w:sz w:val="22"/>
          <w:szCs w:val="22"/>
        </w:rPr>
      </w:pPr>
      <w:r w:rsidRPr="00452D62">
        <w:rPr>
          <w:sz w:val="22"/>
          <w:szCs w:val="22"/>
        </w:rPr>
        <w:t xml:space="preserve">Buvo atlikta iš anksto numatyta apibendrinta </w:t>
      </w:r>
      <w:r w:rsidRPr="00452D62">
        <w:rPr>
          <w:i/>
          <w:sz w:val="22"/>
          <w:szCs w:val="22"/>
        </w:rPr>
        <w:t>Einstein DVT</w:t>
      </w:r>
      <w:r w:rsidRPr="00452D62">
        <w:rPr>
          <w:sz w:val="22"/>
          <w:szCs w:val="22"/>
        </w:rPr>
        <w:t xml:space="preserve"> ir </w:t>
      </w:r>
      <w:r w:rsidRPr="00452D62">
        <w:rPr>
          <w:i/>
          <w:sz w:val="22"/>
          <w:szCs w:val="22"/>
        </w:rPr>
        <w:t>PE</w:t>
      </w:r>
      <w:r w:rsidRPr="00452D62">
        <w:rPr>
          <w:sz w:val="22"/>
          <w:szCs w:val="22"/>
        </w:rPr>
        <w:t xml:space="preserve"> tyrimų rezultatų analizė (žr. 8 lentelę).</w:t>
      </w:r>
    </w:p>
    <w:p w14:paraId="25F24885" w14:textId="77777777" w:rsidR="00823785" w:rsidRPr="00452D62" w:rsidRDefault="00823785" w:rsidP="00823785">
      <w:pPr>
        <w:rPr>
          <w:sz w:val="22"/>
          <w:szCs w:val="22"/>
        </w:rPr>
      </w:pPr>
    </w:p>
    <w:p w14:paraId="5AD4DF38" w14:textId="77777777" w:rsidR="00823785" w:rsidRPr="00452D62" w:rsidRDefault="00823785" w:rsidP="00823785">
      <w:pPr>
        <w:rPr>
          <w:b/>
          <w:sz w:val="22"/>
          <w:szCs w:val="22"/>
        </w:rPr>
      </w:pPr>
      <w:r w:rsidRPr="00452D62">
        <w:rPr>
          <w:b/>
          <w:sz w:val="22"/>
          <w:szCs w:val="22"/>
        </w:rPr>
        <w:t xml:space="preserve">8 lentelė. Veiksmingumo ir saugumo rezultatai, gauti atlikus apibendrintą III fazės </w:t>
      </w:r>
      <w:r w:rsidRPr="00452D62">
        <w:rPr>
          <w:b/>
          <w:i/>
          <w:sz w:val="22"/>
          <w:szCs w:val="22"/>
        </w:rPr>
        <w:t>Einstein DVT</w:t>
      </w:r>
      <w:r w:rsidRPr="00452D62">
        <w:rPr>
          <w:b/>
          <w:sz w:val="22"/>
          <w:szCs w:val="22"/>
        </w:rPr>
        <w:t xml:space="preserve"> ir </w:t>
      </w:r>
      <w:r w:rsidRPr="00452D62">
        <w:rPr>
          <w:b/>
          <w:i/>
          <w:sz w:val="22"/>
          <w:szCs w:val="22"/>
        </w:rPr>
        <w:t>Einstein PE</w:t>
      </w:r>
      <w:r w:rsidRPr="00452D62">
        <w:rPr>
          <w:b/>
          <w:sz w:val="22"/>
          <w:szCs w:val="22"/>
        </w:rPr>
        <w:t xml:space="preserve"> tyrimų analizę</w:t>
      </w: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7"/>
        <w:gridCol w:w="2882"/>
        <w:gridCol w:w="2855"/>
      </w:tblGrid>
      <w:tr w:rsidR="00823785" w:rsidRPr="00452D62" w14:paraId="5F8E5E8E" w14:textId="77777777" w:rsidTr="006453B9">
        <w:tc>
          <w:tcPr>
            <w:tcW w:w="2877" w:type="dxa"/>
            <w:shd w:val="clear" w:color="auto" w:fill="auto"/>
          </w:tcPr>
          <w:p w14:paraId="33845D6F"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Tyrimo populiacija</w:t>
            </w:r>
          </w:p>
        </w:tc>
        <w:tc>
          <w:tcPr>
            <w:tcW w:w="5737" w:type="dxa"/>
            <w:gridSpan w:val="2"/>
            <w:shd w:val="clear" w:color="auto" w:fill="auto"/>
          </w:tcPr>
          <w:p w14:paraId="780128FD"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8 281 pacientas, sergantis ūmine simptomine GVT arba PE</w:t>
            </w:r>
          </w:p>
        </w:tc>
      </w:tr>
      <w:tr w:rsidR="00823785" w:rsidRPr="00452D62" w14:paraId="36339717" w14:textId="77777777" w:rsidTr="006453B9">
        <w:tc>
          <w:tcPr>
            <w:tcW w:w="2877" w:type="dxa"/>
            <w:shd w:val="clear" w:color="auto" w:fill="auto"/>
          </w:tcPr>
          <w:p w14:paraId="73CE561C"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Gydymo dozė ir trukmė</w:t>
            </w:r>
          </w:p>
        </w:tc>
        <w:tc>
          <w:tcPr>
            <w:tcW w:w="2882" w:type="dxa"/>
            <w:shd w:val="clear" w:color="auto" w:fill="auto"/>
          </w:tcPr>
          <w:p w14:paraId="4DCA58EC"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vertAlign w:val="superscript"/>
                <w:lang w:eastAsia="en-US"/>
              </w:rPr>
            </w:pPr>
            <w:r w:rsidRPr="00452D62">
              <w:rPr>
                <w:b/>
                <w:bCs/>
                <w:color w:val="231F20"/>
                <w:spacing w:val="-1"/>
                <w:sz w:val="22"/>
                <w:szCs w:val="22"/>
                <w:lang w:eastAsia="en-US"/>
              </w:rPr>
              <w:t>Rivaroksabanas</w:t>
            </w:r>
            <w:r w:rsidRPr="00452D62">
              <w:rPr>
                <w:b/>
                <w:bCs/>
                <w:color w:val="231F20"/>
                <w:spacing w:val="-1"/>
                <w:sz w:val="22"/>
                <w:szCs w:val="22"/>
                <w:vertAlign w:val="superscript"/>
                <w:lang w:eastAsia="en-US"/>
              </w:rPr>
              <w:t>a)</w:t>
            </w:r>
          </w:p>
          <w:p w14:paraId="66C22D2C" w14:textId="77777777" w:rsidR="00823785" w:rsidRPr="00452D62" w:rsidRDefault="00823785" w:rsidP="006453B9">
            <w:pPr>
              <w:widowControl w:val="0"/>
              <w:tabs>
                <w:tab w:val="clear" w:pos="567"/>
                <w:tab w:val="left" w:pos="8505"/>
              </w:tabs>
              <w:suppressAutoHyphens w:val="0"/>
              <w:spacing w:before="75" w:line="240" w:lineRule="auto"/>
              <w:ind w:right="35"/>
              <w:contextualSpacing/>
              <w:rPr>
                <w:b/>
                <w:bCs/>
                <w:color w:val="231F20"/>
                <w:spacing w:val="-1"/>
                <w:sz w:val="22"/>
                <w:szCs w:val="22"/>
                <w:lang w:eastAsia="en-US"/>
              </w:rPr>
            </w:pPr>
            <w:r w:rsidRPr="00452D62">
              <w:rPr>
                <w:b/>
                <w:bCs/>
                <w:color w:val="231F20"/>
                <w:spacing w:val="-1"/>
                <w:sz w:val="22"/>
                <w:szCs w:val="22"/>
                <w:lang w:eastAsia="en-US"/>
              </w:rPr>
              <w:t>3, 6 arba 12 mėnesių</w:t>
            </w:r>
          </w:p>
          <w:p w14:paraId="424BF036"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N=4 150</w:t>
            </w:r>
          </w:p>
        </w:tc>
        <w:tc>
          <w:tcPr>
            <w:tcW w:w="2855" w:type="dxa"/>
            <w:shd w:val="clear" w:color="auto" w:fill="auto"/>
          </w:tcPr>
          <w:p w14:paraId="764B31CA"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Enoksaparinas/VKA</w:t>
            </w:r>
            <w:r w:rsidRPr="00452D62">
              <w:rPr>
                <w:b/>
                <w:bCs/>
                <w:color w:val="231F20"/>
                <w:spacing w:val="-1"/>
                <w:sz w:val="22"/>
                <w:szCs w:val="22"/>
                <w:vertAlign w:val="superscript"/>
                <w:lang w:eastAsia="en-US"/>
              </w:rPr>
              <w:t>b)</w:t>
            </w:r>
          </w:p>
          <w:p w14:paraId="3DC1FAFC"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3, 6 arba 12 mėnesių</w:t>
            </w:r>
          </w:p>
          <w:p w14:paraId="55C65EE7"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N=4 131</w:t>
            </w:r>
          </w:p>
        </w:tc>
      </w:tr>
      <w:tr w:rsidR="00823785" w:rsidRPr="00452D62" w14:paraId="2A9E4272" w14:textId="77777777" w:rsidTr="006453B9">
        <w:tc>
          <w:tcPr>
            <w:tcW w:w="2877" w:type="dxa"/>
            <w:shd w:val="clear" w:color="auto" w:fill="auto"/>
          </w:tcPr>
          <w:p w14:paraId="743818A8" w14:textId="77777777" w:rsidR="00823785" w:rsidRPr="00452D62" w:rsidRDefault="00823785"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452D62">
              <w:rPr>
                <w:color w:val="231F20"/>
                <w:spacing w:val="-1"/>
                <w:sz w:val="22"/>
                <w:szCs w:val="22"/>
                <w:lang w:eastAsia="en-US"/>
              </w:rPr>
              <w:t>Simptominė pasikartojanti VTE*</w:t>
            </w:r>
          </w:p>
        </w:tc>
        <w:tc>
          <w:tcPr>
            <w:tcW w:w="2882" w:type="dxa"/>
            <w:shd w:val="clear" w:color="auto" w:fill="auto"/>
          </w:tcPr>
          <w:p w14:paraId="2716D3ED"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86 </w:t>
            </w:r>
          </w:p>
          <w:p w14:paraId="31CCFE58" w14:textId="60F95913"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(2,1 %)</w:t>
            </w:r>
          </w:p>
        </w:tc>
        <w:tc>
          <w:tcPr>
            <w:tcW w:w="2855" w:type="dxa"/>
            <w:shd w:val="clear" w:color="auto" w:fill="auto"/>
          </w:tcPr>
          <w:p w14:paraId="2046483E"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95 </w:t>
            </w:r>
          </w:p>
          <w:p w14:paraId="434E36EF" w14:textId="58DB203E"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(2,3 %)</w:t>
            </w:r>
          </w:p>
        </w:tc>
      </w:tr>
      <w:tr w:rsidR="00823785" w:rsidRPr="00452D62" w14:paraId="2F305DEB" w14:textId="77777777" w:rsidTr="006453B9">
        <w:tc>
          <w:tcPr>
            <w:tcW w:w="2877" w:type="dxa"/>
            <w:shd w:val="clear" w:color="auto" w:fill="auto"/>
          </w:tcPr>
          <w:p w14:paraId="1467DE2B" w14:textId="77777777" w:rsidR="00823785" w:rsidRPr="00452D62" w:rsidRDefault="00823785" w:rsidP="006453B9">
            <w:pPr>
              <w:widowControl w:val="0"/>
              <w:tabs>
                <w:tab w:val="clear" w:pos="567"/>
                <w:tab w:val="left" w:pos="8505"/>
              </w:tabs>
              <w:suppressAutoHyphens w:val="0"/>
              <w:spacing w:before="75" w:line="240" w:lineRule="auto"/>
              <w:ind w:left="284" w:right="35"/>
              <w:contextualSpacing/>
              <w:rPr>
                <w:color w:val="231F20"/>
                <w:spacing w:val="-1"/>
                <w:sz w:val="22"/>
                <w:szCs w:val="22"/>
                <w:lang w:eastAsia="en-US"/>
              </w:rPr>
            </w:pPr>
            <w:r w:rsidRPr="00452D62">
              <w:rPr>
                <w:color w:val="231F20"/>
                <w:spacing w:val="-1"/>
                <w:sz w:val="22"/>
                <w:szCs w:val="22"/>
                <w:lang w:eastAsia="en-US"/>
              </w:rPr>
              <w:t>Simptominė pasikartojanti PE</w:t>
            </w:r>
          </w:p>
        </w:tc>
        <w:tc>
          <w:tcPr>
            <w:tcW w:w="2882" w:type="dxa"/>
            <w:shd w:val="clear" w:color="auto" w:fill="auto"/>
          </w:tcPr>
          <w:p w14:paraId="6FC2C76C"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43 </w:t>
            </w:r>
          </w:p>
          <w:p w14:paraId="1E697618" w14:textId="6970CB6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(1,0 %)</w:t>
            </w:r>
          </w:p>
        </w:tc>
        <w:tc>
          <w:tcPr>
            <w:tcW w:w="2855" w:type="dxa"/>
            <w:shd w:val="clear" w:color="auto" w:fill="auto"/>
          </w:tcPr>
          <w:p w14:paraId="4EE433EF"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38 </w:t>
            </w:r>
          </w:p>
          <w:p w14:paraId="23A94107" w14:textId="2738294D"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(0,9 %)</w:t>
            </w:r>
          </w:p>
        </w:tc>
      </w:tr>
      <w:tr w:rsidR="00823785" w:rsidRPr="00452D62" w14:paraId="2AFE7FCB" w14:textId="77777777" w:rsidTr="006453B9">
        <w:tc>
          <w:tcPr>
            <w:tcW w:w="2877" w:type="dxa"/>
            <w:shd w:val="clear" w:color="auto" w:fill="auto"/>
          </w:tcPr>
          <w:p w14:paraId="6D8FD8EF" w14:textId="77777777" w:rsidR="00823785" w:rsidRPr="00452D62" w:rsidRDefault="00823785" w:rsidP="006453B9">
            <w:pPr>
              <w:widowControl w:val="0"/>
              <w:tabs>
                <w:tab w:val="clear" w:pos="567"/>
                <w:tab w:val="left" w:pos="8505"/>
              </w:tabs>
              <w:suppressAutoHyphens w:val="0"/>
              <w:spacing w:before="75" w:line="240" w:lineRule="auto"/>
              <w:ind w:left="284" w:right="35"/>
              <w:contextualSpacing/>
              <w:rPr>
                <w:color w:val="231F20"/>
                <w:spacing w:val="-1"/>
                <w:sz w:val="22"/>
                <w:szCs w:val="22"/>
                <w:lang w:eastAsia="en-US"/>
              </w:rPr>
            </w:pPr>
            <w:r w:rsidRPr="00452D62">
              <w:rPr>
                <w:color w:val="231F20"/>
                <w:spacing w:val="-1"/>
                <w:sz w:val="22"/>
                <w:szCs w:val="22"/>
                <w:lang w:eastAsia="en-US"/>
              </w:rPr>
              <w:t>Simptominė pasikartojanti GVT</w:t>
            </w:r>
          </w:p>
        </w:tc>
        <w:tc>
          <w:tcPr>
            <w:tcW w:w="2882" w:type="dxa"/>
            <w:shd w:val="clear" w:color="auto" w:fill="auto"/>
          </w:tcPr>
          <w:p w14:paraId="42823D7D"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32 </w:t>
            </w:r>
          </w:p>
          <w:p w14:paraId="197DB735" w14:textId="3095449E"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(0,8 %)</w:t>
            </w:r>
          </w:p>
        </w:tc>
        <w:tc>
          <w:tcPr>
            <w:tcW w:w="2855" w:type="dxa"/>
            <w:shd w:val="clear" w:color="auto" w:fill="auto"/>
          </w:tcPr>
          <w:p w14:paraId="06EA3B15"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45 </w:t>
            </w:r>
          </w:p>
          <w:p w14:paraId="62E94B66" w14:textId="69762C79"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(1,1 %)</w:t>
            </w:r>
          </w:p>
        </w:tc>
      </w:tr>
      <w:tr w:rsidR="00823785" w:rsidRPr="00452D62" w14:paraId="239D4E62" w14:textId="77777777" w:rsidTr="006453B9">
        <w:tc>
          <w:tcPr>
            <w:tcW w:w="2877" w:type="dxa"/>
            <w:shd w:val="clear" w:color="auto" w:fill="auto"/>
          </w:tcPr>
          <w:p w14:paraId="00794C44" w14:textId="77777777" w:rsidR="00823785" w:rsidRPr="00452D62" w:rsidRDefault="00823785" w:rsidP="006453B9">
            <w:pPr>
              <w:widowControl w:val="0"/>
              <w:tabs>
                <w:tab w:val="clear" w:pos="567"/>
                <w:tab w:val="left" w:pos="8505"/>
              </w:tabs>
              <w:suppressAutoHyphens w:val="0"/>
              <w:spacing w:before="75" w:line="240" w:lineRule="auto"/>
              <w:ind w:left="284" w:right="35"/>
              <w:contextualSpacing/>
              <w:rPr>
                <w:color w:val="231F20"/>
                <w:spacing w:val="-1"/>
                <w:sz w:val="22"/>
                <w:szCs w:val="22"/>
                <w:lang w:eastAsia="en-US"/>
              </w:rPr>
            </w:pPr>
            <w:r w:rsidRPr="00452D62">
              <w:rPr>
                <w:color w:val="231F20"/>
                <w:spacing w:val="-1"/>
                <w:sz w:val="22"/>
                <w:szCs w:val="22"/>
                <w:lang w:eastAsia="en-US"/>
              </w:rPr>
              <w:t>Simptominė PE ir GVT</w:t>
            </w:r>
          </w:p>
        </w:tc>
        <w:tc>
          <w:tcPr>
            <w:tcW w:w="2882" w:type="dxa"/>
            <w:shd w:val="clear" w:color="auto" w:fill="auto"/>
          </w:tcPr>
          <w:p w14:paraId="486F850D"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1 </w:t>
            </w:r>
          </w:p>
          <w:p w14:paraId="79500DF9" w14:textId="75951E4E"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(&lt;0,1 %)</w:t>
            </w:r>
          </w:p>
        </w:tc>
        <w:tc>
          <w:tcPr>
            <w:tcW w:w="2855" w:type="dxa"/>
            <w:shd w:val="clear" w:color="auto" w:fill="auto"/>
          </w:tcPr>
          <w:p w14:paraId="0F35155A"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2</w:t>
            </w:r>
          </w:p>
          <w:p w14:paraId="0280D5F8" w14:textId="74B89C4E"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 (&lt;0,1 %)</w:t>
            </w:r>
          </w:p>
        </w:tc>
      </w:tr>
      <w:tr w:rsidR="00823785" w:rsidRPr="00452D62" w14:paraId="27DB6B61" w14:textId="77777777" w:rsidTr="006453B9">
        <w:tc>
          <w:tcPr>
            <w:tcW w:w="2877" w:type="dxa"/>
            <w:shd w:val="clear" w:color="auto" w:fill="auto"/>
          </w:tcPr>
          <w:p w14:paraId="64D4BD6C" w14:textId="77777777" w:rsidR="00823785" w:rsidRPr="00452D62"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452D62">
              <w:rPr>
                <w:color w:val="231F20"/>
                <w:spacing w:val="-1"/>
                <w:sz w:val="22"/>
                <w:szCs w:val="22"/>
                <w:lang w:eastAsia="en-US"/>
              </w:rPr>
              <w:t>Mirtina PE/mirtis, kai negalima atmesti PE kaip galimos priežasties</w:t>
            </w:r>
          </w:p>
        </w:tc>
        <w:tc>
          <w:tcPr>
            <w:tcW w:w="2882" w:type="dxa"/>
            <w:shd w:val="clear" w:color="auto" w:fill="auto"/>
          </w:tcPr>
          <w:p w14:paraId="5073D570"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15 </w:t>
            </w:r>
          </w:p>
          <w:p w14:paraId="06D01789" w14:textId="695153D8"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(0,4 %)</w:t>
            </w:r>
          </w:p>
        </w:tc>
        <w:tc>
          <w:tcPr>
            <w:tcW w:w="2855" w:type="dxa"/>
            <w:shd w:val="clear" w:color="auto" w:fill="auto"/>
          </w:tcPr>
          <w:p w14:paraId="7823A12F"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13 </w:t>
            </w:r>
          </w:p>
          <w:p w14:paraId="09EB6DAE" w14:textId="700A7AE1"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(0,3 %)</w:t>
            </w:r>
          </w:p>
        </w:tc>
      </w:tr>
      <w:tr w:rsidR="00823785" w:rsidRPr="00452D62" w14:paraId="45137887" w14:textId="77777777" w:rsidTr="006453B9">
        <w:tc>
          <w:tcPr>
            <w:tcW w:w="2877" w:type="dxa"/>
            <w:shd w:val="clear" w:color="auto" w:fill="auto"/>
          </w:tcPr>
          <w:p w14:paraId="27B32070" w14:textId="77777777" w:rsidR="00823785" w:rsidRPr="00452D62" w:rsidRDefault="00823785"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452D62">
              <w:rPr>
                <w:color w:val="231F20"/>
                <w:spacing w:val="-1"/>
                <w:sz w:val="22"/>
                <w:szCs w:val="22"/>
                <w:lang w:eastAsia="en-US"/>
              </w:rPr>
              <w:t>Didysis ar kliniškai reikšmingas ne didysis kraujavimas</w:t>
            </w:r>
          </w:p>
        </w:tc>
        <w:tc>
          <w:tcPr>
            <w:tcW w:w="2882" w:type="dxa"/>
            <w:shd w:val="clear" w:color="auto" w:fill="auto"/>
          </w:tcPr>
          <w:p w14:paraId="1DF02502"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388 </w:t>
            </w:r>
          </w:p>
          <w:p w14:paraId="20C879AC" w14:textId="5D18FBC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(9,4 %)</w:t>
            </w:r>
          </w:p>
        </w:tc>
        <w:tc>
          <w:tcPr>
            <w:tcW w:w="2855" w:type="dxa"/>
            <w:shd w:val="clear" w:color="auto" w:fill="auto"/>
          </w:tcPr>
          <w:p w14:paraId="45F07AF3"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412 </w:t>
            </w:r>
          </w:p>
          <w:p w14:paraId="35A99059" w14:textId="227FECD1"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(10,0 %)</w:t>
            </w:r>
          </w:p>
        </w:tc>
      </w:tr>
      <w:tr w:rsidR="00823785" w:rsidRPr="00452D62" w14:paraId="5F75BCC9" w14:textId="77777777" w:rsidTr="006453B9">
        <w:tc>
          <w:tcPr>
            <w:tcW w:w="2877" w:type="dxa"/>
            <w:shd w:val="clear" w:color="auto" w:fill="auto"/>
          </w:tcPr>
          <w:p w14:paraId="1703B6DA"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Didžiojo kraujavimo atvejai</w:t>
            </w:r>
          </w:p>
        </w:tc>
        <w:tc>
          <w:tcPr>
            <w:tcW w:w="2882" w:type="dxa"/>
            <w:shd w:val="clear" w:color="auto" w:fill="auto"/>
          </w:tcPr>
          <w:p w14:paraId="048A7A94"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40 </w:t>
            </w:r>
          </w:p>
          <w:p w14:paraId="4F8D27C7" w14:textId="20ACDA81"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(1,0 %)</w:t>
            </w:r>
          </w:p>
        </w:tc>
        <w:tc>
          <w:tcPr>
            <w:tcW w:w="2855" w:type="dxa"/>
            <w:shd w:val="clear" w:color="auto" w:fill="auto"/>
          </w:tcPr>
          <w:p w14:paraId="753BD6FB"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72 </w:t>
            </w:r>
          </w:p>
          <w:p w14:paraId="13B34549" w14:textId="224752C5"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(1,7 %)</w:t>
            </w:r>
          </w:p>
        </w:tc>
      </w:tr>
    </w:tbl>
    <w:p w14:paraId="42D85EDC" w14:textId="77777777" w:rsidR="00823785" w:rsidRPr="00452D62" w:rsidRDefault="00823785" w:rsidP="00823785">
      <w:pPr>
        <w:spacing w:before="120"/>
        <w:rPr>
          <w:sz w:val="22"/>
          <w:szCs w:val="22"/>
        </w:rPr>
      </w:pPr>
      <w:r w:rsidRPr="00452D62">
        <w:rPr>
          <w:sz w:val="22"/>
          <w:szCs w:val="22"/>
          <w:vertAlign w:val="superscript"/>
        </w:rPr>
        <w:t>a)</w:t>
      </w:r>
      <w:r w:rsidRPr="00452D62">
        <w:rPr>
          <w:sz w:val="22"/>
          <w:szCs w:val="22"/>
        </w:rPr>
        <w:t xml:space="preserve"> Rivaroksabanas po 15 mg du kartus per parą 3 savaites, po to po 20 mg vieną kartą per parą.</w:t>
      </w:r>
    </w:p>
    <w:p w14:paraId="01BBF0B9" w14:textId="77777777" w:rsidR="00823785" w:rsidRPr="00452D62" w:rsidRDefault="00823785" w:rsidP="00823785">
      <w:pPr>
        <w:rPr>
          <w:sz w:val="22"/>
          <w:szCs w:val="22"/>
        </w:rPr>
      </w:pPr>
      <w:r w:rsidRPr="00452D62">
        <w:rPr>
          <w:sz w:val="22"/>
          <w:szCs w:val="22"/>
          <w:vertAlign w:val="superscript"/>
        </w:rPr>
        <w:t>b)</w:t>
      </w:r>
      <w:r w:rsidRPr="00452D62">
        <w:rPr>
          <w:sz w:val="22"/>
          <w:szCs w:val="22"/>
        </w:rPr>
        <w:t xml:space="preserve"> Enoksaparinas mažiausiai 5 dienas, kartu vartojant ir vėliau tęsiant gydymą VKA.</w:t>
      </w:r>
    </w:p>
    <w:p w14:paraId="220E91AC" w14:textId="77777777" w:rsidR="00823785" w:rsidRPr="00452D62" w:rsidRDefault="00823785" w:rsidP="00823785">
      <w:pPr>
        <w:ind w:left="142" w:hanging="142"/>
        <w:rPr>
          <w:sz w:val="22"/>
          <w:szCs w:val="22"/>
        </w:rPr>
      </w:pPr>
      <w:r w:rsidRPr="00452D62">
        <w:rPr>
          <w:sz w:val="22"/>
          <w:szCs w:val="22"/>
        </w:rPr>
        <w:t>* p &lt; 0,0001 (neprastesnis poveikis, kai iš anksto numatytas RS buvo 1,75); RS: 0,886 (0,661</w:t>
      </w:r>
      <w:r w:rsidRPr="00452D62">
        <w:rPr>
          <w:sz w:val="22"/>
          <w:szCs w:val="22"/>
        </w:rPr>
        <w:noBreakHyphen/>
        <w:t>1,186).</w:t>
      </w:r>
    </w:p>
    <w:p w14:paraId="23F72A43" w14:textId="77777777" w:rsidR="00823785" w:rsidRPr="00452D62" w:rsidRDefault="00823785" w:rsidP="00823785">
      <w:pPr>
        <w:rPr>
          <w:sz w:val="22"/>
          <w:szCs w:val="22"/>
        </w:rPr>
      </w:pPr>
    </w:p>
    <w:p w14:paraId="5C1D0E5A" w14:textId="253F031E" w:rsidR="00823785" w:rsidRPr="00452D62" w:rsidRDefault="00823785" w:rsidP="00823785">
      <w:pPr>
        <w:rPr>
          <w:sz w:val="22"/>
          <w:szCs w:val="22"/>
        </w:rPr>
      </w:pPr>
      <w:r w:rsidRPr="00452D62">
        <w:rPr>
          <w:sz w:val="22"/>
          <w:szCs w:val="22"/>
        </w:rPr>
        <w:t>Vertinant iš anksto numatytą suminę klinikinę naudą (pagrindinės veiksmingumo vertinamosios baigties reiškiniai plius didžiojo kraujavimo atvejai), RS buvo 0,771 ((95 % PI: 0,614</w:t>
      </w:r>
      <w:r w:rsidRPr="00452D62">
        <w:rPr>
          <w:sz w:val="22"/>
          <w:szCs w:val="22"/>
        </w:rPr>
        <w:noBreakHyphen/>
        <w:t>0,967), nominali p reikšmė p=0,0244).</w:t>
      </w:r>
    </w:p>
    <w:p w14:paraId="61BC6D82" w14:textId="77777777" w:rsidR="00823785" w:rsidRPr="00452D62" w:rsidRDefault="00823785" w:rsidP="00823785">
      <w:pPr>
        <w:rPr>
          <w:sz w:val="22"/>
          <w:szCs w:val="22"/>
        </w:rPr>
      </w:pPr>
    </w:p>
    <w:p w14:paraId="14C1F3C3" w14:textId="77777777" w:rsidR="00823785" w:rsidRPr="00452D62" w:rsidRDefault="00823785" w:rsidP="00823785">
      <w:pPr>
        <w:rPr>
          <w:sz w:val="22"/>
          <w:szCs w:val="22"/>
        </w:rPr>
      </w:pPr>
      <w:r w:rsidRPr="00452D62">
        <w:rPr>
          <w:i/>
          <w:sz w:val="22"/>
          <w:szCs w:val="22"/>
        </w:rPr>
        <w:t>Einstein Extention</w:t>
      </w:r>
      <w:r w:rsidRPr="00452D62">
        <w:rPr>
          <w:sz w:val="22"/>
          <w:szCs w:val="22"/>
        </w:rPr>
        <w:t xml:space="preserve"> tyrime (žr. 9 lentelę) rivaroksabanas, palyginti su placebu, sukėlė pranašesnį poveikį vertinant pagrindinę ir antrines veiksmingumo vertinamąsias baigtis. Analizuojant pagrindinę saugumo vertinamąja baigtį (didžiojo kraujavimo reiškinius) pacientų, vartojusių rivaroksabano 20 mg vieną kartą per parą, grupėje, atvejų dažnis skaitine reikšme buvo nereikšmingai didesnis, palyginti su placebo grupės duomenimis. Analizuojant antrinę saugumo vertinamąja baigtį (didžiojo ar </w:t>
      </w:r>
      <w:r w:rsidRPr="00452D62">
        <w:rPr>
          <w:color w:val="231F20"/>
          <w:spacing w:val="-1"/>
          <w:sz w:val="22"/>
          <w:szCs w:val="22"/>
          <w:lang w:eastAsia="en-US"/>
        </w:rPr>
        <w:t xml:space="preserve">kliniškai </w:t>
      </w:r>
      <w:r w:rsidRPr="00452D62">
        <w:rPr>
          <w:sz w:val="22"/>
          <w:szCs w:val="22"/>
        </w:rPr>
        <w:t>reikšmingo ne didžiojo kraujavimo reiškinius), nustatytas atvejų dažnis buvo didesnis pacientams, vartojusiems 20 mg rivaroksabano vieną kartą per parą, palyginti su vartojusiais placebu.</w:t>
      </w:r>
    </w:p>
    <w:p w14:paraId="6FB14A04" w14:textId="77777777" w:rsidR="00823785" w:rsidRPr="00452D62" w:rsidRDefault="00823785" w:rsidP="00823785">
      <w:pPr>
        <w:rPr>
          <w:sz w:val="22"/>
          <w:szCs w:val="22"/>
        </w:rPr>
      </w:pPr>
    </w:p>
    <w:p w14:paraId="7F7174E9" w14:textId="77777777" w:rsidR="00823785" w:rsidRPr="00452D62" w:rsidRDefault="00823785" w:rsidP="00823785">
      <w:pPr>
        <w:rPr>
          <w:b/>
          <w:sz w:val="22"/>
          <w:szCs w:val="22"/>
        </w:rPr>
      </w:pPr>
      <w:r w:rsidRPr="00452D62">
        <w:rPr>
          <w:b/>
          <w:sz w:val="22"/>
          <w:szCs w:val="22"/>
        </w:rPr>
        <w:t xml:space="preserve">9 lentelė. III fazės </w:t>
      </w:r>
      <w:r w:rsidRPr="00452D62">
        <w:rPr>
          <w:b/>
          <w:i/>
          <w:sz w:val="22"/>
          <w:szCs w:val="22"/>
        </w:rPr>
        <w:t>Einstein Extention</w:t>
      </w:r>
      <w:r w:rsidRPr="00452D62">
        <w:rPr>
          <w:b/>
          <w:sz w:val="22"/>
          <w:szCs w:val="22"/>
        </w:rPr>
        <w:t xml:space="preserve"> tyrimo veiksmingumo ir saugumo rezultatai</w:t>
      </w: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7"/>
        <w:gridCol w:w="2882"/>
        <w:gridCol w:w="2855"/>
      </w:tblGrid>
      <w:tr w:rsidR="00823785" w:rsidRPr="00452D62" w14:paraId="0CECFD66" w14:textId="77777777" w:rsidTr="006453B9">
        <w:tc>
          <w:tcPr>
            <w:tcW w:w="2877" w:type="dxa"/>
            <w:shd w:val="clear" w:color="auto" w:fill="auto"/>
          </w:tcPr>
          <w:p w14:paraId="3E9EF96B"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Tyrimo populiacija</w:t>
            </w:r>
          </w:p>
        </w:tc>
        <w:tc>
          <w:tcPr>
            <w:tcW w:w="5737" w:type="dxa"/>
            <w:gridSpan w:val="2"/>
            <w:shd w:val="clear" w:color="auto" w:fill="auto"/>
          </w:tcPr>
          <w:p w14:paraId="73D35190" w14:textId="77777777" w:rsidR="00823785" w:rsidRPr="00452D62" w:rsidRDefault="00823785" w:rsidP="006453B9">
            <w:pPr>
              <w:widowControl w:val="0"/>
              <w:tabs>
                <w:tab w:val="clear" w:pos="567"/>
                <w:tab w:val="left" w:pos="8505"/>
              </w:tabs>
              <w:suppressAutoHyphens w:val="0"/>
              <w:spacing w:before="75" w:line="240" w:lineRule="auto"/>
              <w:ind w:right="35"/>
              <w:contextualSpacing/>
              <w:rPr>
                <w:b/>
                <w:bCs/>
                <w:color w:val="231F20"/>
                <w:spacing w:val="-1"/>
                <w:sz w:val="22"/>
                <w:szCs w:val="22"/>
                <w:lang w:eastAsia="en-US"/>
              </w:rPr>
            </w:pPr>
            <w:r w:rsidRPr="00452D62">
              <w:rPr>
                <w:b/>
                <w:bCs/>
                <w:color w:val="231F20"/>
                <w:spacing w:val="-1"/>
                <w:sz w:val="22"/>
                <w:szCs w:val="22"/>
                <w:lang w:eastAsia="en-US"/>
              </w:rPr>
              <w:t>1 197 tiriamieji tęsė pasikartojančios venų tromboembolijos gydymą ir profilaktiką</w:t>
            </w:r>
          </w:p>
        </w:tc>
      </w:tr>
      <w:tr w:rsidR="00823785" w:rsidRPr="00452D62" w14:paraId="62B42E82" w14:textId="77777777" w:rsidTr="006453B9">
        <w:tc>
          <w:tcPr>
            <w:tcW w:w="2877" w:type="dxa"/>
            <w:shd w:val="clear" w:color="auto" w:fill="auto"/>
          </w:tcPr>
          <w:p w14:paraId="7AC1DDBC"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Gydymo dozė ir trukmė</w:t>
            </w:r>
          </w:p>
          <w:p w14:paraId="7A647186"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p>
        </w:tc>
        <w:tc>
          <w:tcPr>
            <w:tcW w:w="2882" w:type="dxa"/>
            <w:shd w:val="clear" w:color="auto" w:fill="auto"/>
          </w:tcPr>
          <w:p w14:paraId="7A64282C"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vertAlign w:val="superscript"/>
                <w:lang w:eastAsia="en-US"/>
              </w:rPr>
            </w:pPr>
            <w:r w:rsidRPr="00452D62">
              <w:rPr>
                <w:b/>
                <w:bCs/>
                <w:color w:val="231F20"/>
                <w:spacing w:val="-1"/>
                <w:sz w:val="22"/>
                <w:szCs w:val="22"/>
                <w:lang w:eastAsia="en-US"/>
              </w:rPr>
              <w:t>Rivaroksabanas</w:t>
            </w:r>
            <w:r w:rsidRPr="00452D62">
              <w:rPr>
                <w:b/>
                <w:bCs/>
                <w:color w:val="231F20"/>
                <w:spacing w:val="-1"/>
                <w:sz w:val="22"/>
                <w:szCs w:val="22"/>
                <w:vertAlign w:val="superscript"/>
                <w:lang w:eastAsia="en-US"/>
              </w:rPr>
              <w:t>a)</w:t>
            </w:r>
          </w:p>
          <w:p w14:paraId="6F6621FB"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6 arba 12 mėnesių</w:t>
            </w:r>
          </w:p>
          <w:p w14:paraId="3C32A015"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N=602</w:t>
            </w:r>
          </w:p>
        </w:tc>
        <w:tc>
          <w:tcPr>
            <w:tcW w:w="2855" w:type="dxa"/>
            <w:shd w:val="clear" w:color="auto" w:fill="auto"/>
          </w:tcPr>
          <w:p w14:paraId="7D340FE1"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Placebas</w:t>
            </w:r>
          </w:p>
          <w:p w14:paraId="51522B2A"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6 arba 12 mėnesių</w:t>
            </w:r>
          </w:p>
          <w:p w14:paraId="584ED0FC"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N=594</w:t>
            </w:r>
          </w:p>
        </w:tc>
      </w:tr>
      <w:tr w:rsidR="00823785" w:rsidRPr="00452D62" w14:paraId="62F2293B" w14:textId="77777777" w:rsidTr="006453B9">
        <w:tc>
          <w:tcPr>
            <w:tcW w:w="2877" w:type="dxa"/>
            <w:shd w:val="clear" w:color="auto" w:fill="auto"/>
          </w:tcPr>
          <w:p w14:paraId="35691EB3" w14:textId="77777777" w:rsidR="00823785" w:rsidRPr="00452D62" w:rsidRDefault="00823785"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452D62">
              <w:rPr>
                <w:color w:val="231F20"/>
                <w:spacing w:val="-1"/>
                <w:sz w:val="22"/>
                <w:szCs w:val="22"/>
                <w:lang w:eastAsia="en-US"/>
              </w:rPr>
              <w:t>Simptominė pasikartojanti VTE*</w:t>
            </w:r>
          </w:p>
        </w:tc>
        <w:tc>
          <w:tcPr>
            <w:tcW w:w="2882" w:type="dxa"/>
            <w:shd w:val="clear" w:color="auto" w:fill="auto"/>
          </w:tcPr>
          <w:p w14:paraId="1CCB7AF7"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8 </w:t>
            </w:r>
          </w:p>
          <w:p w14:paraId="45392993" w14:textId="7D676E89"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(1,3 %)</w:t>
            </w:r>
          </w:p>
        </w:tc>
        <w:tc>
          <w:tcPr>
            <w:tcW w:w="2855" w:type="dxa"/>
            <w:shd w:val="clear" w:color="auto" w:fill="auto"/>
          </w:tcPr>
          <w:p w14:paraId="3CFCD00F"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42 </w:t>
            </w:r>
          </w:p>
          <w:p w14:paraId="49C69941" w14:textId="04087968"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(7,1 %)</w:t>
            </w:r>
          </w:p>
        </w:tc>
      </w:tr>
      <w:tr w:rsidR="00823785" w:rsidRPr="00452D62" w14:paraId="7DF9265C" w14:textId="77777777" w:rsidTr="006453B9">
        <w:tc>
          <w:tcPr>
            <w:tcW w:w="2877" w:type="dxa"/>
            <w:shd w:val="clear" w:color="auto" w:fill="auto"/>
          </w:tcPr>
          <w:tbl>
            <w:tblPr>
              <w:tblW w:w="0" w:type="auto"/>
              <w:tblBorders>
                <w:top w:val="nil"/>
                <w:left w:val="nil"/>
                <w:bottom w:val="nil"/>
                <w:right w:val="nil"/>
              </w:tblBorders>
              <w:tblLook w:val="0000" w:firstRow="0" w:lastRow="0" w:firstColumn="0" w:lastColumn="0" w:noHBand="0" w:noVBand="0"/>
            </w:tblPr>
            <w:tblGrid>
              <w:gridCol w:w="2661"/>
            </w:tblGrid>
            <w:tr w:rsidR="00823785" w:rsidRPr="00452D62" w14:paraId="39834EA7" w14:textId="77777777" w:rsidTr="006453B9">
              <w:trPr>
                <w:trHeight w:val="145"/>
              </w:trPr>
              <w:tc>
                <w:tcPr>
                  <w:tcW w:w="0" w:type="auto"/>
                </w:tcPr>
                <w:p w14:paraId="7F24955F"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Simptominė pasikartojanti PE</w:t>
                  </w:r>
                </w:p>
              </w:tc>
            </w:tr>
          </w:tbl>
          <w:p w14:paraId="7D6D414B"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p>
        </w:tc>
        <w:tc>
          <w:tcPr>
            <w:tcW w:w="2882" w:type="dxa"/>
            <w:shd w:val="clear" w:color="auto" w:fill="auto"/>
          </w:tcPr>
          <w:p w14:paraId="636ED846"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2 </w:t>
            </w:r>
          </w:p>
          <w:p w14:paraId="2E6BE35A" w14:textId="5426332B"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(0,3 %)</w:t>
            </w:r>
          </w:p>
        </w:tc>
        <w:tc>
          <w:tcPr>
            <w:tcW w:w="2855" w:type="dxa"/>
            <w:shd w:val="clear" w:color="auto" w:fill="auto"/>
          </w:tcPr>
          <w:p w14:paraId="7BFDB913"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13 </w:t>
            </w:r>
          </w:p>
          <w:p w14:paraId="4FB215BF" w14:textId="5885CECA"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(2,2 %)</w:t>
            </w:r>
          </w:p>
        </w:tc>
      </w:tr>
      <w:tr w:rsidR="00823785" w:rsidRPr="00452D62" w14:paraId="19B950EF" w14:textId="77777777" w:rsidTr="006453B9">
        <w:tc>
          <w:tcPr>
            <w:tcW w:w="2877" w:type="dxa"/>
            <w:shd w:val="clear" w:color="auto" w:fill="auto"/>
          </w:tcPr>
          <w:p w14:paraId="5A419FCA" w14:textId="77777777" w:rsidR="00823785" w:rsidRPr="00452D62" w:rsidRDefault="00823785" w:rsidP="006453B9">
            <w:pPr>
              <w:widowControl w:val="0"/>
              <w:tabs>
                <w:tab w:val="clear" w:pos="567"/>
                <w:tab w:val="left" w:pos="8505"/>
              </w:tabs>
              <w:suppressAutoHyphens w:val="0"/>
              <w:spacing w:before="75" w:line="240" w:lineRule="auto"/>
              <w:ind w:left="142" w:right="35"/>
              <w:contextualSpacing/>
              <w:rPr>
                <w:color w:val="231F20"/>
                <w:spacing w:val="-1"/>
                <w:sz w:val="22"/>
                <w:szCs w:val="22"/>
                <w:lang w:eastAsia="en-US"/>
              </w:rPr>
            </w:pPr>
            <w:r w:rsidRPr="00452D62">
              <w:rPr>
                <w:color w:val="231F20"/>
                <w:spacing w:val="-1"/>
                <w:sz w:val="22"/>
                <w:szCs w:val="22"/>
                <w:lang w:eastAsia="en-US"/>
              </w:rPr>
              <w:t>Simptominė pasikartojanti GVT</w:t>
            </w:r>
          </w:p>
        </w:tc>
        <w:tc>
          <w:tcPr>
            <w:tcW w:w="2882" w:type="dxa"/>
            <w:shd w:val="clear" w:color="auto" w:fill="auto"/>
          </w:tcPr>
          <w:p w14:paraId="229BF8B4"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5 </w:t>
            </w:r>
          </w:p>
          <w:p w14:paraId="54A0CF95" w14:textId="205AF0E1"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(0,8 %)</w:t>
            </w:r>
          </w:p>
        </w:tc>
        <w:tc>
          <w:tcPr>
            <w:tcW w:w="2855" w:type="dxa"/>
            <w:shd w:val="clear" w:color="auto" w:fill="auto"/>
          </w:tcPr>
          <w:p w14:paraId="384857D4"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31 </w:t>
            </w:r>
          </w:p>
          <w:p w14:paraId="4A5E2B8B" w14:textId="5BD7A4E1"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(5,2 %)</w:t>
            </w:r>
          </w:p>
        </w:tc>
      </w:tr>
      <w:tr w:rsidR="00823785" w:rsidRPr="00452D62" w14:paraId="1B8C50B7" w14:textId="77777777" w:rsidTr="006453B9">
        <w:tc>
          <w:tcPr>
            <w:tcW w:w="2877" w:type="dxa"/>
            <w:shd w:val="clear" w:color="auto" w:fill="auto"/>
          </w:tcPr>
          <w:tbl>
            <w:tblPr>
              <w:tblW w:w="0" w:type="auto"/>
              <w:tblBorders>
                <w:top w:val="nil"/>
                <w:left w:val="nil"/>
                <w:bottom w:val="nil"/>
                <w:right w:val="nil"/>
              </w:tblBorders>
              <w:tblLook w:val="0000" w:firstRow="0" w:lastRow="0" w:firstColumn="0" w:lastColumn="0" w:noHBand="0" w:noVBand="0"/>
            </w:tblPr>
            <w:tblGrid>
              <w:gridCol w:w="2661"/>
            </w:tblGrid>
            <w:tr w:rsidR="00823785" w:rsidRPr="00452D62" w14:paraId="64C89E26" w14:textId="77777777" w:rsidTr="006453B9">
              <w:trPr>
                <w:trHeight w:val="275"/>
              </w:trPr>
              <w:tc>
                <w:tcPr>
                  <w:tcW w:w="0" w:type="auto"/>
                </w:tcPr>
                <w:p w14:paraId="7562A7B4" w14:textId="77777777" w:rsidR="00823785" w:rsidRPr="00452D62" w:rsidRDefault="00823785" w:rsidP="006453B9">
                  <w:pPr>
                    <w:pStyle w:val="Default"/>
                    <w:rPr>
                      <w:sz w:val="22"/>
                      <w:szCs w:val="22"/>
                    </w:rPr>
                  </w:pPr>
                  <w:r w:rsidRPr="00452D62">
                    <w:rPr>
                      <w:color w:val="231F20"/>
                      <w:spacing w:val="-1"/>
                      <w:sz w:val="22"/>
                      <w:szCs w:val="22"/>
                      <w:lang w:eastAsia="en-US"/>
                    </w:rPr>
                    <w:t>Mirtina PE/mirtis, kai negalima atmesti PE kaip galimos priežasties</w:t>
                  </w:r>
                </w:p>
              </w:tc>
            </w:tr>
          </w:tbl>
          <w:p w14:paraId="7F67F816"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p>
        </w:tc>
        <w:tc>
          <w:tcPr>
            <w:tcW w:w="2882" w:type="dxa"/>
            <w:shd w:val="clear" w:color="auto" w:fill="auto"/>
          </w:tcPr>
          <w:p w14:paraId="52A54D7E"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1 </w:t>
            </w:r>
          </w:p>
          <w:p w14:paraId="2A9AAB06" w14:textId="7ADD2DF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(0,2 %)</w:t>
            </w:r>
          </w:p>
        </w:tc>
        <w:tc>
          <w:tcPr>
            <w:tcW w:w="2855" w:type="dxa"/>
            <w:shd w:val="clear" w:color="auto" w:fill="auto"/>
          </w:tcPr>
          <w:p w14:paraId="0A9FCD44"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1 </w:t>
            </w:r>
          </w:p>
          <w:p w14:paraId="2F925324" w14:textId="123961F5"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(0,2 %)</w:t>
            </w:r>
          </w:p>
        </w:tc>
      </w:tr>
      <w:tr w:rsidR="00823785" w:rsidRPr="00452D62" w14:paraId="3D69C0F9" w14:textId="77777777" w:rsidTr="006453B9">
        <w:tc>
          <w:tcPr>
            <w:tcW w:w="2877" w:type="dxa"/>
            <w:shd w:val="clear" w:color="auto" w:fill="auto"/>
          </w:tcPr>
          <w:p w14:paraId="71013EA4"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Didžiojo kraujavimo atvejai</w:t>
            </w:r>
          </w:p>
        </w:tc>
        <w:tc>
          <w:tcPr>
            <w:tcW w:w="2882" w:type="dxa"/>
            <w:shd w:val="clear" w:color="auto" w:fill="auto"/>
          </w:tcPr>
          <w:p w14:paraId="57CD0254"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4 </w:t>
            </w:r>
          </w:p>
          <w:p w14:paraId="6EDF27F4" w14:textId="3E6FA5FB"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(0,7 %)</w:t>
            </w:r>
          </w:p>
        </w:tc>
        <w:tc>
          <w:tcPr>
            <w:tcW w:w="2855" w:type="dxa"/>
            <w:shd w:val="clear" w:color="auto" w:fill="auto"/>
          </w:tcPr>
          <w:p w14:paraId="020CBADF"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w:t>
            </w:r>
          </w:p>
        </w:tc>
      </w:tr>
      <w:tr w:rsidR="00823785" w:rsidRPr="00452D62" w14:paraId="7E79A69A" w14:textId="77777777" w:rsidTr="006453B9">
        <w:tc>
          <w:tcPr>
            <w:tcW w:w="2877" w:type="dxa"/>
            <w:shd w:val="clear" w:color="auto" w:fill="auto"/>
          </w:tcPr>
          <w:p w14:paraId="1D1CE0A3" w14:textId="77777777" w:rsidR="00823785" w:rsidRPr="00452D62" w:rsidRDefault="00823785"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452D62">
              <w:rPr>
                <w:color w:val="231F20"/>
                <w:spacing w:val="-1"/>
                <w:sz w:val="22"/>
                <w:szCs w:val="22"/>
                <w:lang w:eastAsia="en-US"/>
              </w:rPr>
              <w:t>Didysis ar kliniškai reikšmingas ne didysis kraujavimas</w:t>
            </w:r>
          </w:p>
        </w:tc>
        <w:tc>
          <w:tcPr>
            <w:tcW w:w="2882" w:type="dxa"/>
            <w:shd w:val="clear" w:color="auto" w:fill="auto"/>
          </w:tcPr>
          <w:p w14:paraId="77E27EF7"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32 </w:t>
            </w:r>
          </w:p>
          <w:p w14:paraId="472DBAF2" w14:textId="5C3F6DF1"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(5,4 %)</w:t>
            </w:r>
          </w:p>
        </w:tc>
        <w:tc>
          <w:tcPr>
            <w:tcW w:w="2855" w:type="dxa"/>
            <w:shd w:val="clear" w:color="auto" w:fill="auto"/>
          </w:tcPr>
          <w:p w14:paraId="4069C170"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7 </w:t>
            </w:r>
          </w:p>
          <w:p w14:paraId="342EB244" w14:textId="086995A3"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(1,2 %)</w:t>
            </w:r>
          </w:p>
        </w:tc>
      </w:tr>
    </w:tbl>
    <w:p w14:paraId="1BF9623A" w14:textId="77777777" w:rsidR="00823785" w:rsidRPr="00452D62" w:rsidRDefault="00823785" w:rsidP="00823785">
      <w:pPr>
        <w:spacing w:before="120"/>
        <w:rPr>
          <w:sz w:val="22"/>
          <w:szCs w:val="22"/>
        </w:rPr>
      </w:pPr>
      <w:r w:rsidRPr="00452D62">
        <w:rPr>
          <w:sz w:val="22"/>
          <w:szCs w:val="22"/>
          <w:vertAlign w:val="superscript"/>
        </w:rPr>
        <w:t>a)</w:t>
      </w:r>
      <w:r w:rsidRPr="00452D62">
        <w:rPr>
          <w:sz w:val="22"/>
          <w:szCs w:val="22"/>
        </w:rPr>
        <w:t xml:space="preserve"> Rivaroksabanas 20 mg vieną kartą per parą</w:t>
      </w:r>
    </w:p>
    <w:p w14:paraId="4939FD59" w14:textId="77777777" w:rsidR="00823785" w:rsidRPr="00452D62" w:rsidRDefault="00823785" w:rsidP="00823785">
      <w:pPr>
        <w:rPr>
          <w:sz w:val="22"/>
          <w:szCs w:val="22"/>
        </w:rPr>
      </w:pPr>
      <w:r w:rsidRPr="00452D62">
        <w:rPr>
          <w:sz w:val="22"/>
          <w:szCs w:val="22"/>
        </w:rPr>
        <w:t>* p &lt; 0,0001 (pranašumas), RS: 0,185 (0,087</w:t>
      </w:r>
      <w:r w:rsidRPr="00452D62">
        <w:rPr>
          <w:sz w:val="22"/>
          <w:szCs w:val="22"/>
        </w:rPr>
        <w:noBreakHyphen/>
        <w:t>0,393)</w:t>
      </w:r>
    </w:p>
    <w:p w14:paraId="50B9149A" w14:textId="77777777" w:rsidR="00823785" w:rsidRPr="00452D62" w:rsidRDefault="00823785" w:rsidP="00823785">
      <w:pPr>
        <w:rPr>
          <w:sz w:val="22"/>
          <w:szCs w:val="22"/>
        </w:rPr>
      </w:pPr>
    </w:p>
    <w:p w14:paraId="6758268B" w14:textId="77777777" w:rsidR="00823785" w:rsidRPr="00452D62" w:rsidRDefault="00823785" w:rsidP="00823785">
      <w:pPr>
        <w:rPr>
          <w:sz w:val="22"/>
          <w:szCs w:val="22"/>
        </w:rPr>
      </w:pPr>
      <w:r w:rsidRPr="00452D62">
        <w:rPr>
          <w:sz w:val="22"/>
          <w:szCs w:val="22"/>
        </w:rPr>
        <w:t xml:space="preserve">Tyrimo </w:t>
      </w:r>
      <w:r w:rsidRPr="00452D62">
        <w:rPr>
          <w:i/>
          <w:sz w:val="22"/>
          <w:szCs w:val="22"/>
        </w:rPr>
        <w:t>Einstein Choice</w:t>
      </w:r>
      <w:r w:rsidRPr="00452D62">
        <w:rPr>
          <w:sz w:val="22"/>
          <w:szCs w:val="22"/>
        </w:rPr>
        <w:t xml:space="preserve"> metu (žr. 10 lentelę), vertinant pagrindinę veiksmingumo vertinamąją baigtį, 20 mg ir 10 mg rivaroksabano dozės buvo pranašesnės už 100 mg acetilsalicilo rūgšties dozę. Pacientų, vieną kartą per parą vartojusių 20 mg ir 10 mg rivaroksabano dozę, pagrindinės saugumo vertinamosios baigties (didžiųjų kraujavimo reiškinių) atvejų dažnis buvo panašus į nustatytą vartojant 100 mg acetilsalicilo rūgšties dozę.</w:t>
      </w:r>
    </w:p>
    <w:p w14:paraId="3BCB9117" w14:textId="77777777" w:rsidR="00823785" w:rsidRPr="00452D62" w:rsidRDefault="00823785" w:rsidP="00823785">
      <w:pPr>
        <w:rPr>
          <w:sz w:val="22"/>
          <w:szCs w:val="22"/>
        </w:rPr>
      </w:pPr>
    </w:p>
    <w:p w14:paraId="0B89FD18" w14:textId="77777777" w:rsidR="00823785" w:rsidRPr="00452D62" w:rsidRDefault="00823785" w:rsidP="00823785">
      <w:pPr>
        <w:rPr>
          <w:b/>
          <w:sz w:val="22"/>
          <w:szCs w:val="22"/>
        </w:rPr>
      </w:pPr>
      <w:r w:rsidRPr="00452D62">
        <w:rPr>
          <w:b/>
          <w:sz w:val="22"/>
          <w:szCs w:val="22"/>
        </w:rPr>
        <w:t xml:space="preserve">10 lentelė. III fazės </w:t>
      </w:r>
      <w:r w:rsidRPr="00452D62">
        <w:rPr>
          <w:b/>
          <w:i/>
          <w:sz w:val="22"/>
          <w:szCs w:val="22"/>
        </w:rPr>
        <w:t>Einstein Choice</w:t>
      </w:r>
      <w:r w:rsidRPr="00452D62">
        <w:rPr>
          <w:b/>
          <w:sz w:val="22"/>
          <w:szCs w:val="22"/>
        </w:rPr>
        <w:t xml:space="preserve"> tyrimo veiksmingumo ir saugumo rezultatai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9"/>
        <w:gridCol w:w="2329"/>
        <w:gridCol w:w="2250"/>
        <w:gridCol w:w="2129"/>
      </w:tblGrid>
      <w:tr w:rsidR="00823785" w:rsidRPr="00452D62" w14:paraId="4244741F" w14:textId="77777777" w:rsidTr="006453B9">
        <w:tc>
          <w:tcPr>
            <w:tcW w:w="2189" w:type="dxa"/>
            <w:shd w:val="clear" w:color="auto" w:fill="auto"/>
          </w:tcPr>
          <w:p w14:paraId="47BF3E1C"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b/>
                <w:bCs/>
                <w:color w:val="231F20"/>
                <w:spacing w:val="-1"/>
                <w:sz w:val="22"/>
                <w:szCs w:val="22"/>
                <w:lang w:eastAsia="en-US"/>
              </w:rPr>
            </w:pPr>
            <w:r w:rsidRPr="00452D62">
              <w:rPr>
                <w:rFonts w:eastAsia="Calibri"/>
                <w:b/>
                <w:bCs/>
                <w:color w:val="231F20"/>
                <w:spacing w:val="-1"/>
                <w:sz w:val="22"/>
                <w:szCs w:val="22"/>
                <w:lang w:eastAsia="en-US"/>
              </w:rPr>
              <w:t>Tyrimo populiacija</w:t>
            </w:r>
          </w:p>
        </w:tc>
        <w:tc>
          <w:tcPr>
            <w:tcW w:w="6708" w:type="dxa"/>
            <w:gridSpan w:val="3"/>
            <w:shd w:val="clear" w:color="auto" w:fill="auto"/>
          </w:tcPr>
          <w:p w14:paraId="0EBEA173"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b/>
                <w:bCs/>
                <w:color w:val="231F20"/>
                <w:spacing w:val="-1"/>
                <w:sz w:val="22"/>
                <w:szCs w:val="22"/>
                <w:lang w:eastAsia="en-US"/>
              </w:rPr>
            </w:pPr>
            <w:r w:rsidRPr="00452D62">
              <w:rPr>
                <w:rFonts w:eastAsia="Calibri"/>
                <w:b/>
                <w:bCs/>
                <w:color w:val="231F20"/>
                <w:spacing w:val="-1"/>
                <w:sz w:val="22"/>
                <w:szCs w:val="22"/>
                <w:lang w:eastAsia="en-US"/>
              </w:rPr>
              <w:t>3 396 pacientai tęsė pasikartojančios venų tromboembolijos profilaktiką</w:t>
            </w:r>
          </w:p>
        </w:tc>
      </w:tr>
      <w:tr w:rsidR="00823785" w:rsidRPr="00452D62" w14:paraId="561CF213" w14:textId="77777777" w:rsidTr="006453B9">
        <w:tc>
          <w:tcPr>
            <w:tcW w:w="2189" w:type="dxa"/>
            <w:shd w:val="clear" w:color="auto" w:fill="auto"/>
          </w:tcPr>
          <w:p w14:paraId="57279DB4"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b/>
                <w:bCs/>
                <w:color w:val="231F20"/>
                <w:spacing w:val="-1"/>
                <w:sz w:val="22"/>
                <w:szCs w:val="22"/>
                <w:lang w:eastAsia="en-US"/>
              </w:rPr>
            </w:pPr>
            <w:r w:rsidRPr="00452D62">
              <w:rPr>
                <w:rFonts w:eastAsia="Calibri"/>
                <w:b/>
                <w:bCs/>
                <w:color w:val="231F20"/>
                <w:spacing w:val="-1"/>
                <w:sz w:val="22"/>
                <w:szCs w:val="22"/>
                <w:lang w:eastAsia="en-US"/>
              </w:rPr>
              <w:t>Gydymo dozė</w:t>
            </w:r>
          </w:p>
        </w:tc>
        <w:tc>
          <w:tcPr>
            <w:tcW w:w="2329" w:type="dxa"/>
            <w:shd w:val="clear" w:color="auto" w:fill="auto"/>
          </w:tcPr>
          <w:p w14:paraId="25D9F76E" w14:textId="019AB8D8" w:rsidR="00823785" w:rsidRPr="00452D62" w:rsidRDefault="00823785" w:rsidP="006453B9">
            <w:pPr>
              <w:tabs>
                <w:tab w:val="clear" w:pos="567"/>
              </w:tabs>
              <w:suppressAutoHyphens w:val="0"/>
              <w:autoSpaceDE w:val="0"/>
              <w:autoSpaceDN w:val="0"/>
              <w:adjustRightInd w:val="0"/>
              <w:spacing w:line="240" w:lineRule="auto"/>
              <w:rPr>
                <w:rFonts w:eastAsia="Calibri"/>
                <w:b/>
                <w:bCs/>
                <w:color w:val="231F20"/>
                <w:spacing w:val="-1"/>
                <w:sz w:val="22"/>
                <w:szCs w:val="22"/>
                <w:lang w:eastAsia="en-US"/>
              </w:rPr>
            </w:pPr>
            <w:r w:rsidRPr="00452D62">
              <w:rPr>
                <w:rFonts w:eastAsia="Calibri"/>
                <w:b/>
                <w:bCs/>
                <w:color w:val="231F20"/>
                <w:spacing w:val="-1"/>
                <w:sz w:val="22"/>
                <w:szCs w:val="22"/>
                <w:lang w:eastAsia="en-US"/>
              </w:rPr>
              <w:t>Rivaroksabanas 20 mg vieną kartą per parą</w:t>
            </w:r>
          </w:p>
          <w:p w14:paraId="35F60629" w14:textId="27B1D4D1" w:rsidR="00823785" w:rsidRPr="00452D62" w:rsidRDefault="00823785" w:rsidP="006453B9">
            <w:pPr>
              <w:tabs>
                <w:tab w:val="clear" w:pos="567"/>
              </w:tabs>
              <w:suppressAutoHyphens w:val="0"/>
              <w:autoSpaceDE w:val="0"/>
              <w:autoSpaceDN w:val="0"/>
              <w:adjustRightInd w:val="0"/>
              <w:spacing w:line="240" w:lineRule="auto"/>
              <w:rPr>
                <w:rFonts w:eastAsia="Calibri"/>
                <w:b/>
                <w:bCs/>
                <w:color w:val="231F20"/>
                <w:spacing w:val="-1"/>
                <w:sz w:val="22"/>
                <w:szCs w:val="22"/>
                <w:lang w:eastAsia="en-US"/>
              </w:rPr>
            </w:pPr>
            <w:r w:rsidRPr="00452D62">
              <w:rPr>
                <w:rFonts w:eastAsia="Calibri"/>
                <w:b/>
                <w:bCs/>
                <w:color w:val="231F20"/>
                <w:spacing w:val="-1"/>
                <w:sz w:val="22"/>
                <w:szCs w:val="22"/>
                <w:lang w:eastAsia="en-US"/>
              </w:rPr>
              <w:t>N=1 107</w:t>
            </w:r>
          </w:p>
        </w:tc>
        <w:tc>
          <w:tcPr>
            <w:tcW w:w="2250" w:type="dxa"/>
            <w:shd w:val="clear" w:color="auto" w:fill="auto"/>
          </w:tcPr>
          <w:p w14:paraId="3A572C82" w14:textId="6C3E1F0E" w:rsidR="00823785" w:rsidRPr="00452D62" w:rsidRDefault="00823785" w:rsidP="006453B9">
            <w:pPr>
              <w:tabs>
                <w:tab w:val="clear" w:pos="567"/>
              </w:tabs>
              <w:suppressAutoHyphens w:val="0"/>
              <w:autoSpaceDE w:val="0"/>
              <w:autoSpaceDN w:val="0"/>
              <w:adjustRightInd w:val="0"/>
              <w:spacing w:line="240" w:lineRule="auto"/>
              <w:rPr>
                <w:rFonts w:eastAsia="Calibri"/>
                <w:b/>
                <w:bCs/>
                <w:color w:val="231F20"/>
                <w:spacing w:val="-1"/>
                <w:sz w:val="22"/>
                <w:szCs w:val="22"/>
                <w:lang w:eastAsia="en-US"/>
              </w:rPr>
            </w:pPr>
            <w:r w:rsidRPr="00452D62">
              <w:rPr>
                <w:rFonts w:eastAsia="Calibri"/>
                <w:b/>
                <w:bCs/>
                <w:color w:val="231F20"/>
                <w:spacing w:val="-1"/>
                <w:sz w:val="22"/>
                <w:szCs w:val="22"/>
                <w:lang w:eastAsia="en-US"/>
              </w:rPr>
              <w:t>Rivaroksabanas 10 mg vieną kartą per parą</w:t>
            </w:r>
          </w:p>
          <w:p w14:paraId="3D535A5B" w14:textId="77777777" w:rsidR="00823785" w:rsidRPr="00452D62" w:rsidRDefault="00823785" w:rsidP="006453B9">
            <w:pPr>
              <w:tabs>
                <w:tab w:val="clear" w:pos="567"/>
              </w:tabs>
              <w:suppressAutoHyphens w:val="0"/>
              <w:autoSpaceDE w:val="0"/>
              <w:autoSpaceDN w:val="0"/>
              <w:adjustRightInd w:val="0"/>
              <w:spacing w:line="240" w:lineRule="auto"/>
              <w:rPr>
                <w:rFonts w:eastAsia="Calibri"/>
                <w:b/>
                <w:bCs/>
                <w:color w:val="231F20"/>
                <w:spacing w:val="-1"/>
                <w:sz w:val="22"/>
                <w:szCs w:val="22"/>
                <w:lang w:eastAsia="en-US"/>
              </w:rPr>
            </w:pPr>
            <w:r w:rsidRPr="00452D62">
              <w:rPr>
                <w:rFonts w:eastAsia="Calibri"/>
                <w:b/>
                <w:bCs/>
                <w:color w:val="231F20"/>
                <w:spacing w:val="-1"/>
                <w:sz w:val="22"/>
                <w:szCs w:val="22"/>
                <w:lang w:eastAsia="en-US"/>
              </w:rPr>
              <w:t>N=1 127</w:t>
            </w:r>
          </w:p>
        </w:tc>
        <w:tc>
          <w:tcPr>
            <w:tcW w:w="2129" w:type="dxa"/>
            <w:shd w:val="clear" w:color="auto" w:fill="auto"/>
          </w:tcPr>
          <w:p w14:paraId="41BE3AD0" w14:textId="77777777" w:rsidR="00823785" w:rsidRPr="00452D62" w:rsidRDefault="00823785" w:rsidP="006453B9">
            <w:pPr>
              <w:tabs>
                <w:tab w:val="clear" w:pos="567"/>
              </w:tabs>
              <w:suppressAutoHyphens w:val="0"/>
              <w:autoSpaceDE w:val="0"/>
              <w:autoSpaceDN w:val="0"/>
              <w:adjustRightInd w:val="0"/>
              <w:spacing w:line="240" w:lineRule="auto"/>
              <w:rPr>
                <w:rFonts w:eastAsia="Calibri"/>
                <w:b/>
                <w:bCs/>
                <w:color w:val="231F20"/>
                <w:spacing w:val="-1"/>
                <w:sz w:val="22"/>
                <w:szCs w:val="22"/>
                <w:lang w:eastAsia="en-US"/>
              </w:rPr>
            </w:pPr>
            <w:r w:rsidRPr="00452D62">
              <w:rPr>
                <w:rFonts w:eastAsia="Calibri"/>
                <w:b/>
                <w:bCs/>
                <w:color w:val="231F20"/>
                <w:spacing w:val="-1"/>
                <w:sz w:val="22"/>
                <w:szCs w:val="22"/>
                <w:lang w:eastAsia="en-US"/>
              </w:rPr>
              <w:t>100 mg ASR vieną kartą per parą</w:t>
            </w:r>
          </w:p>
          <w:p w14:paraId="39E30AAA"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b/>
                <w:bCs/>
                <w:color w:val="231F20"/>
                <w:spacing w:val="-1"/>
                <w:sz w:val="22"/>
                <w:szCs w:val="22"/>
                <w:lang w:eastAsia="en-US"/>
              </w:rPr>
            </w:pPr>
            <w:r w:rsidRPr="00452D62">
              <w:rPr>
                <w:rFonts w:eastAsia="Calibri"/>
                <w:b/>
                <w:bCs/>
                <w:color w:val="231F20"/>
                <w:spacing w:val="-1"/>
                <w:sz w:val="22"/>
                <w:szCs w:val="22"/>
                <w:lang w:eastAsia="en-US"/>
              </w:rPr>
              <w:t>N=1 131</w:t>
            </w:r>
          </w:p>
        </w:tc>
      </w:tr>
      <w:tr w:rsidR="00823785" w:rsidRPr="00452D62" w14:paraId="56BF670C" w14:textId="77777777" w:rsidTr="006453B9">
        <w:tc>
          <w:tcPr>
            <w:tcW w:w="2189" w:type="dxa"/>
            <w:shd w:val="clear" w:color="auto" w:fill="auto"/>
          </w:tcPr>
          <w:p w14:paraId="2F7FA655"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452D62">
              <w:rPr>
                <w:rFonts w:eastAsia="Calibri"/>
                <w:color w:val="231F20"/>
                <w:spacing w:val="-1"/>
                <w:sz w:val="22"/>
                <w:szCs w:val="22"/>
                <w:lang w:eastAsia="en-US"/>
              </w:rPr>
              <w:t>Gydymo trukmės mediana [tarpkvartilinės ribos]</w:t>
            </w:r>
          </w:p>
        </w:tc>
        <w:tc>
          <w:tcPr>
            <w:tcW w:w="2329" w:type="dxa"/>
            <w:shd w:val="clear" w:color="auto" w:fill="auto"/>
          </w:tcPr>
          <w:p w14:paraId="4F1CE624"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349 [189</w:t>
            </w:r>
            <w:r w:rsidRPr="00452D62">
              <w:rPr>
                <w:rFonts w:eastAsia="Calibri"/>
                <w:color w:val="231F20"/>
                <w:spacing w:val="-1"/>
                <w:sz w:val="22"/>
                <w:szCs w:val="22"/>
                <w:lang w:eastAsia="en-US"/>
              </w:rPr>
              <w:noBreakHyphen/>
              <w:t>362] dienos</w:t>
            </w:r>
          </w:p>
        </w:tc>
        <w:tc>
          <w:tcPr>
            <w:tcW w:w="2250" w:type="dxa"/>
            <w:shd w:val="clear" w:color="auto" w:fill="auto"/>
          </w:tcPr>
          <w:p w14:paraId="22B5D60F"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353 [190</w:t>
            </w:r>
            <w:r w:rsidRPr="00452D62">
              <w:rPr>
                <w:rFonts w:eastAsia="Calibri"/>
                <w:color w:val="231F20"/>
                <w:spacing w:val="-1"/>
                <w:sz w:val="22"/>
                <w:szCs w:val="22"/>
                <w:lang w:eastAsia="en-US"/>
              </w:rPr>
              <w:noBreakHyphen/>
              <w:t>362] dienos</w:t>
            </w:r>
          </w:p>
        </w:tc>
        <w:tc>
          <w:tcPr>
            <w:tcW w:w="2129" w:type="dxa"/>
            <w:shd w:val="clear" w:color="auto" w:fill="auto"/>
          </w:tcPr>
          <w:p w14:paraId="34E1D544"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452D62">
              <w:rPr>
                <w:rFonts w:eastAsia="Calibri"/>
                <w:color w:val="231F20"/>
                <w:spacing w:val="-1"/>
                <w:sz w:val="22"/>
                <w:szCs w:val="22"/>
                <w:lang w:eastAsia="en-US"/>
              </w:rPr>
              <w:t>350 [186</w:t>
            </w:r>
            <w:r w:rsidRPr="00452D62">
              <w:rPr>
                <w:rFonts w:eastAsia="Calibri"/>
                <w:color w:val="231F20"/>
                <w:spacing w:val="-1"/>
                <w:sz w:val="22"/>
                <w:szCs w:val="22"/>
                <w:lang w:eastAsia="en-US"/>
              </w:rPr>
              <w:noBreakHyphen/>
              <w:t>362] dienos</w:t>
            </w:r>
          </w:p>
        </w:tc>
      </w:tr>
      <w:tr w:rsidR="00823785" w:rsidRPr="00452D62" w14:paraId="05042341" w14:textId="77777777" w:rsidTr="006453B9">
        <w:tc>
          <w:tcPr>
            <w:tcW w:w="2189" w:type="dxa"/>
            <w:shd w:val="clear" w:color="auto" w:fill="auto"/>
          </w:tcPr>
          <w:p w14:paraId="07E10CEE"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Simptominė pasikartojanti VTE</w:t>
            </w:r>
          </w:p>
        </w:tc>
        <w:tc>
          <w:tcPr>
            <w:tcW w:w="2329" w:type="dxa"/>
            <w:shd w:val="clear" w:color="auto" w:fill="auto"/>
          </w:tcPr>
          <w:p w14:paraId="5FB9CA92"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17 </w:t>
            </w:r>
          </w:p>
          <w:p w14:paraId="759D2125" w14:textId="559E54F2"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(1,5 %)*</w:t>
            </w:r>
          </w:p>
        </w:tc>
        <w:tc>
          <w:tcPr>
            <w:tcW w:w="2250" w:type="dxa"/>
            <w:shd w:val="clear" w:color="auto" w:fill="auto"/>
          </w:tcPr>
          <w:p w14:paraId="280D8E0A"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13 </w:t>
            </w:r>
          </w:p>
          <w:p w14:paraId="2B0EEA61" w14:textId="362DB3BD"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(1,2 %)**</w:t>
            </w:r>
          </w:p>
        </w:tc>
        <w:tc>
          <w:tcPr>
            <w:tcW w:w="2129" w:type="dxa"/>
            <w:shd w:val="clear" w:color="auto" w:fill="auto"/>
          </w:tcPr>
          <w:p w14:paraId="76424F6C"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50 </w:t>
            </w:r>
          </w:p>
          <w:p w14:paraId="68EDC74F" w14:textId="12551BC0"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(4,4 %)</w:t>
            </w:r>
          </w:p>
        </w:tc>
      </w:tr>
      <w:tr w:rsidR="00823785" w:rsidRPr="00452D62" w14:paraId="0B162711" w14:textId="77777777" w:rsidTr="006453B9">
        <w:tc>
          <w:tcPr>
            <w:tcW w:w="2189" w:type="dxa"/>
            <w:shd w:val="clear" w:color="auto" w:fill="auto"/>
          </w:tcPr>
          <w:p w14:paraId="0AC92A44" w14:textId="77777777" w:rsidR="00823785" w:rsidRPr="00452D62" w:rsidRDefault="00823785" w:rsidP="006453B9">
            <w:pPr>
              <w:tabs>
                <w:tab w:val="clear" w:pos="567"/>
              </w:tabs>
              <w:suppressAutoHyphens w:val="0"/>
              <w:autoSpaceDE w:val="0"/>
              <w:autoSpaceDN w:val="0"/>
              <w:adjustRightInd w:val="0"/>
              <w:spacing w:line="240" w:lineRule="auto"/>
              <w:ind w:left="284"/>
              <w:jc w:val="both"/>
              <w:rPr>
                <w:rFonts w:eastAsia="Calibri"/>
                <w:color w:val="231F20"/>
                <w:spacing w:val="-1"/>
                <w:sz w:val="22"/>
                <w:szCs w:val="22"/>
                <w:lang w:eastAsia="en-US"/>
              </w:rPr>
            </w:pPr>
            <w:r w:rsidRPr="00452D62">
              <w:rPr>
                <w:rFonts w:eastAsia="Calibri"/>
                <w:color w:val="231F20"/>
                <w:spacing w:val="-1"/>
                <w:sz w:val="22"/>
                <w:szCs w:val="22"/>
                <w:lang w:eastAsia="en-US"/>
              </w:rPr>
              <w:t>Simptominė pasikartojanti GVT</w:t>
            </w:r>
          </w:p>
        </w:tc>
        <w:tc>
          <w:tcPr>
            <w:tcW w:w="2329" w:type="dxa"/>
            <w:shd w:val="clear" w:color="auto" w:fill="auto"/>
          </w:tcPr>
          <w:p w14:paraId="62672846"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6 </w:t>
            </w:r>
          </w:p>
          <w:p w14:paraId="2A8100C3" w14:textId="6616502B"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(0,5 %)</w:t>
            </w:r>
          </w:p>
        </w:tc>
        <w:tc>
          <w:tcPr>
            <w:tcW w:w="2250" w:type="dxa"/>
            <w:shd w:val="clear" w:color="auto" w:fill="auto"/>
          </w:tcPr>
          <w:p w14:paraId="320711EE"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6 </w:t>
            </w:r>
          </w:p>
          <w:p w14:paraId="5447B02D" w14:textId="010E5D0A"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(0,5 %)</w:t>
            </w:r>
          </w:p>
        </w:tc>
        <w:tc>
          <w:tcPr>
            <w:tcW w:w="2129" w:type="dxa"/>
            <w:shd w:val="clear" w:color="auto" w:fill="auto"/>
          </w:tcPr>
          <w:p w14:paraId="5D3E8A95"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19 </w:t>
            </w:r>
          </w:p>
          <w:p w14:paraId="435766F9" w14:textId="1F13ECD3"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(1,7 %)</w:t>
            </w:r>
          </w:p>
        </w:tc>
      </w:tr>
      <w:tr w:rsidR="00823785" w:rsidRPr="00452D62" w14:paraId="5ADF12E3" w14:textId="77777777" w:rsidTr="006453B9">
        <w:tc>
          <w:tcPr>
            <w:tcW w:w="2189" w:type="dxa"/>
            <w:shd w:val="clear" w:color="auto" w:fill="auto"/>
          </w:tcPr>
          <w:tbl>
            <w:tblPr>
              <w:tblW w:w="0" w:type="auto"/>
              <w:tblBorders>
                <w:top w:val="nil"/>
                <w:left w:val="nil"/>
                <w:bottom w:val="nil"/>
                <w:right w:val="nil"/>
              </w:tblBorders>
              <w:tblLook w:val="0000" w:firstRow="0" w:lastRow="0" w:firstColumn="0" w:lastColumn="0" w:noHBand="0" w:noVBand="0"/>
            </w:tblPr>
            <w:tblGrid>
              <w:gridCol w:w="1973"/>
            </w:tblGrid>
            <w:tr w:rsidR="00823785" w:rsidRPr="00452D62" w14:paraId="5B47B9B1" w14:textId="77777777" w:rsidTr="006453B9">
              <w:trPr>
                <w:trHeight w:val="271"/>
              </w:trPr>
              <w:tc>
                <w:tcPr>
                  <w:tcW w:w="0" w:type="auto"/>
                </w:tcPr>
                <w:p w14:paraId="6BE56B06" w14:textId="77777777" w:rsidR="00823785" w:rsidRPr="00452D62" w:rsidRDefault="00823785" w:rsidP="006453B9">
                  <w:pPr>
                    <w:tabs>
                      <w:tab w:val="clear" w:pos="567"/>
                    </w:tabs>
                    <w:suppressAutoHyphens w:val="0"/>
                    <w:autoSpaceDE w:val="0"/>
                    <w:autoSpaceDN w:val="0"/>
                    <w:adjustRightInd w:val="0"/>
                    <w:spacing w:line="240" w:lineRule="auto"/>
                    <w:ind w:left="227"/>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Simptominė pasikartojanti GVT </w:t>
                  </w:r>
                </w:p>
              </w:tc>
            </w:tr>
          </w:tbl>
          <w:p w14:paraId="69ABA685"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p>
        </w:tc>
        <w:tc>
          <w:tcPr>
            <w:tcW w:w="2329" w:type="dxa"/>
            <w:shd w:val="clear" w:color="auto" w:fill="auto"/>
          </w:tcPr>
          <w:p w14:paraId="792039BE"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9 </w:t>
            </w:r>
          </w:p>
          <w:p w14:paraId="645430C5" w14:textId="5A712A3A"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(0,8 %)</w:t>
            </w:r>
          </w:p>
        </w:tc>
        <w:tc>
          <w:tcPr>
            <w:tcW w:w="2250" w:type="dxa"/>
            <w:shd w:val="clear" w:color="auto" w:fill="auto"/>
          </w:tcPr>
          <w:p w14:paraId="0CDFF46C"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8 </w:t>
            </w:r>
          </w:p>
          <w:p w14:paraId="06B09A92" w14:textId="426DD4AA"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(0,7 %)</w:t>
            </w:r>
          </w:p>
        </w:tc>
        <w:tc>
          <w:tcPr>
            <w:tcW w:w="2129" w:type="dxa"/>
            <w:shd w:val="clear" w:color="auto" w:fill="auto"/>
          </w:tcPr>
          <w:p w14:paraId="40268385"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30 </w:t>
            </w:r>
          </w:p>
          <w:p w14:paraId="20904CCD" w14:textId="0A845AF9"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(2,7 %)</w:t>
            </w:r>
          </w:p>
        </w:tc>
      </w:tr>
      <w:tr w:rsidR="00823785" w:rsidRPr="00452D62" w14:paraId="5520701D" w14:textId="77777777" w:rsidTr="006453B9">
        <w:tc>
          <w:tcPr>
            <w:tcW w:w="2189" w:type="dxa"/>
            <w:shd w:val="clear" w:color="auto" w:fill="auto"/>
          </w:tcPr>
          <w:p w14:paraId="3AE47411" w14:textId="77777777" w:rsidR="00823785" w:rsidRPr="00452D62" w:rsidRDefault="00823785" w:rsidP="006453B9">
            <w:pPr>
              <w:tabs>
                <w:tab w:val="clear" w:pos="567"/>
              </w:tabs>
              <w:suppressAutoHyphens w:val="0"/>
              <w:autoSpaceDE w:val="0"/>
              <w:autoSpaceDN w:val="0"/>
              <w:adjustRightInd w:val="0"/>
              <w:spacing w:line="240" w:lineRule="auto"/>
              <w:ind w:left="284"/>
              <w:rPr>
                <w:rFonts w:eastAsia="Calibri"/>
                <w:color w:val="231F20"/>
                <w:spacing w:val="-1"/>
                <w:sz w:val="22"/>
                <w:szCs w:val="22"/>
                <w:lang w:eastAsia="en-US"/>
              </w:rPr>
            </w:pPr>
            <w:r w:rsidRPr="00452D62">
              <w:rPr>
                <w:color w:val="231F20"/>
                <w:spacing w:val="-1"/>
                <w:sz w:val="22"/>
                <w:szCs w:val="22"/>
                <w:lang w:eastAsia="en-US"/>
              </w:rPr>
              <w:t>Mirtina PE/mirtis, kai negalima atmesti PE kaip galimos priežasties</w:t>
            </w:r>
          </w:p>
        </w:tc>
        <w:tc>
          <w:tcPr>
            <w:tcW w:w="2329" w:type="dxa"/>
            <w:shd w:val="clear" w:color="auto" w:fill="auto"/>
          </w:tcPr>
          <w:p w14:paraId="694595B4"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2 </w:t>
            </w:r>
          </w:p>
          <w:p w14:paraId="2D8CF8F4" w14:textId="12A2B470"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(0,2 %)</w:t>
            </w:r>
          </w:p>
        </w:tc>
        <w:tc>
          <w:tcPr>
            <w:tcW w:w="2250" w:type="dxa"/>
            <w:shd w:val="clear" w:color="auto" w:fill="auto"/>
          </w:tcPr>
          <w:p w14:paraId="143764F6"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0</w:t>
            </w:r>
          </w:p>
        </w:tc>
        <w:tc>
          <w:tcPr>
            <w:tcW w:w="2129" w:type="dxa"/>
            <w:shd w:val="clear" w:color="auto" w:fill="auto"/>
          </w:tcPr>
          <w:p w14:paraId="2C28ED50"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2 </w:t>
            </w:r>
          </w:p>
          <w:p w14:paraId="3924D587" w14:textId="06F0E616"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(0,2 %_)</w:t>
            </w:r>
          </w:p>
        </w:tc>
      </w:tr>
      <w:tr w:rsidR="00823785" w:rsidRPr="00452D62" w14:paraId="608C791F" w14:textId="77777777" w:rsidTr="006453B9">
        <w:tc>
          <w:tcPr>
            <w:tcW w:w="2189" w:type="dxa"/>
            <w:shd w:val="clear" w:color="auto" w:fill="auto"/>
          </w:tcPr>
          <w:p w14:paraId="5879DABB"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452D62">
              <w:rPr>
                <w:rFonts w:eastAsia="Calibri"/>
                <w:color w:val="231F20"/>
                <w:spacing w:val="-1"/>
                <w:sz w:val="22"/>
                <w:szCs w:val="22"/>
                <w:lang w:eastAsia="en-US"/>
              </w:rPr>
              <w:t>Simptominė pasikartojanti VTE, MI, insultas arba ne CNS sisteminė embolija</w:t>
            </w:r>
          </w:p>
        </w:tc>
        <w:tc>
          <w:tcPr>
            <w:tcW w:w="2329" w:type="dxa"/>
            <w:shd w:val="clear" w:color="auto" w:fill="auto"/>
          </w:tcPr>
          <w:p w14:paraId="55C91BBD"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19 </w:t>
            </w:r>
          </w:p>
          <w:p w14:paraId="1F39F967" w14:textId="62B792B6"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(1,7 %)</w:t>
            </w:r>
          </w:p>
        </w:tc>
        <w:tc>
          <w:tcPr>
            <w:tcW w:w="2250" w:type="dxa"/>
            <w:shd w:val="clear" w:color="auto" w:fill="auto"/>
          </w:tcPr>
          <w:p w14:paraId="0E21B2CC"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18 </w:t>
            </w:r>
          </w:p>
          <w:p w14:paraId="3DD4EF70" w14:textId="37843D3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(1,6 %)</w:t>
            </w:r>
          </w:p>
        </w:tc>
        <w:tc>
          <w:tcPr>
            <w:tcW w:w="2129" w:type="dxa"/>
            <w:shd w:val="clear" w:color="auto" w:fill="auto"/>
          </w:tcPr>
          <w:p w14:paraId="2CF25F6D"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56 </w:t>
            </w:r>
          </w:p>
          <w:p w14:paraId="694393DD" w14:textId="672D2C70"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(5,0 %)</w:t>
            </w:r>
          </w:p>
        </w:tc>
      </w:tr>
      <w:tr w:rsidR="00823785" w:rsidRPr="00452D62" w14:paraId="0EA11366" w14:textId="77777777" w:rsidTr="006453B9">
        <w:tc>
          <w:tcPr>
            <w:tcW w:w="2189" w:type="dxa"/>
            <w:shd w:val="clear" w:color="auto" w:fill="auto"/>
          </w:tcPr>
          <w:p w14:paraId="080F936D"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452D62">
              <w:rPr>
                <w:rFonts w:eastAsia="Calibri"/>
                <w:color w:val="231F20"/>
                <w:spacing w:val="-1"/>
                <w:sz w:val="22"/>
                <w:szCs w:val="22"/>
                <w:lang w:eastAsia="en-US"/>
              </w:rPr>
              <w:t>Didžiojo kraujavimo reiškiniai</w:t>
            </w:r>
          </w:p>
        </w:tc>
        <w:tc>
          <w:tcPr>
            <w:tcW w:w="2329" w:type="dxa"/>
            <w:shd w:val="clear" w:color="auto" w:fill="auto"/>
          </w:tcPr>
          <w:p w14:paraId="5897650F"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6 </w:t>
            </w:r>
          </w:p>
          <w:p w14:paraId="430CCD96" w14:textId="4B0EAD23"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(0,5 %)</w:t>
            </w:r>
          </w:p>
        </w:tc>
        <w:tc>
          <w:tcPr>
            <w:tcW w:w="2250" w:type="dxa"/>
            <w:shd w:val="clear" w:color="auto" w:fill="auto"/>
          </w:tcPr>
          <w:p w14:paraId="5D37C4DD"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5 </w:t>
            </w:r>
          </w:p>
          <w:p w14:paraId="3F88362A" w14:textId="0D14F980"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(0,4 %)</w:t>
            </w:r>
          </w:p>
        </w:tc>
        <w:tc>
          <w:tcPr>
            <w:tcW w:w="2129" w:type="dxa"/>
            <w:shd w:val="clear" w:color="auto" w:fill="auto"/>
          </w:tcPr>
          <w:p w14:paraId="6792C7F7"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3 </w:t>
            </w:r>
          </w:p>
          <w:p w14:paraId="050E3F5A" w14:textId="78B4588C"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(0,3 %)</w:t>
            </w:r>
          </w:p>
        </w:tc>
      </w:tr>
      <w:tr w:rsidR="00823785" w:rsidRPr="00452D62" w14:paraId="50E7A490" w14:textId="77777777" w:rsidTr="006453B9">
        <w:tc>
          <w:tcPr>
            <w:tcW w:w="2189" w:type="dxa"/>
            <w:shd w:val="clear" w:color="auto" w:fill="auto"/>
          </w:tcPr>
          <w:p w14:paraId="5471F044"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452D62">
              <w:rPr>
                <w:rFonts w:eastAsia="Calibri"/>
                <w:color w:val="231F20"/>
                <w:spacing w:val="-1"/>
                <w:sz w:val="22"/>
                <w:szCs w:val="22"/>
                <w:lang w:eastAsia="en-US"/>
              </w:rPr>
              <w:t>Kliniškai reikšmingas ne didysis kraujavimas</w:t>
            </w:r>
          </w:p>
        </w:tc>
        <w:tc>
          <w:tcPr>
            <w:tcW w:w="2329" w:type="dxa"/>
            <w:shd w:val="clear" w:color="auto" w:fill="auto"/>
          </w:tcPr>
          <w:p w14:paraId="321B5418"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30 </w:t>
            </w:r>
          </w:p>
          <w:p w14:paraId="5D75EC11" w14:textId="39B5E3C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(2,7 %)</w:t>
            </w:r>
          </w:p>
        </w:tc>
        <w:tc>
          <w:tcPr>
            <w:tcW w:w="2250" w:type="dxa"/>
            <w:shd w:val="clear" w:color="auto" w:fill="auto"/>
          </w:tcPr>
          <w:p w14:paraId="0FEE2FBB"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22 </w:t>
            </w:r>
          </w:p>
          <w:p w14:paraId="3FA9CD75" w14:textId="11F018F2"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(2,0 %)</w:t>
            </w:r>
          </w:p>
        </w:tc>
        <w:tc>
          <w:tcPr>
            <w:tcW w:w="2129" w:type="dxa"/>
            <w:shd w:val="clear" w:color="auto" w:fill="auto"/>
          </w:tcPr>
          <w:p w14:paraId="703BE801"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20 </w:t>
            </w:r>
          </w:p>
          <w:p w14:paraId="45405AC9" w14:textId="42F9B29D"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(1,8 %)</w:t>
            </w:r>
          </w:p>
        </w:tc>
      </w:tr>
      <w:tr w:rsidR="00823785" w:rsidRPr="00452D62" w14:paraId="034D8B3A" w14:textId="77777777" w:rsidTr="006453B9">
        <w:tc>
          <w:tcPr>
            <w:tcW w:w="2189" w:type="dxa"/>
            <w:shd w:val="clear" w:color="auto" w:fill="auto"/>
          </w:tcPr>
          <w:tbl>
            <w:tblPr>
              <w:tblW w:w="0" w:type="auto"/>
              <w:tblBorders>
                <w:top w:val="nil"/>
                <w:left w:val="nil"/>
                <w:bottom w:val="nil"/>
                <w:right w:val="nil"/>
              </w:tblBorders>
              <w:tblLook w:val="0000" w:firstRow="0" w:lastRow="0" w:firstColumn="0" w:lastColumn="0" w:noHBand="0" w:noVBand="0"/>
            </w:tblPr>
            <w:tblGrid>
              <w:gridCol w:w="1973"/>
            </w:tblGrid>
            <w:tr w:rsidR="00823785" w:rsidRPr="00452D62" w14:paraId="7BE760CA" w14:textId="77777777" w:rsidTr="006453B9">
              <w:trPr>
                <w:trHeight w:val="524"/>
              </w:trPr>
              <w:tc>
                <w:tcPr>
                  <w:tcW w:w="0" w:type="auto"/>
                </w:tcPr>
                <w:p w14:paraId="61A11675" w14:textId="77777777" w:rsidR="00823785" w:rsidRPr="00452D62" w:rsidRDefault="00823785" w:rsidP="006453B9">
                  <w:pPr>
                    <w:pStyle w:val="Default"/>
                    <w:spacing w:before="60" w:after="60"/>
                    <w:ind w:left="-108"/>
                    <w:rPr>
                      <w:sz w:val="22"/>
                      <w:szCs w:val="22"/>
                    </w:rPr>
                  </w:pPr>
                  <w:r w:rsidRPr="00452D62">
                    <w:rPr>
                      <w:sz w:val="22"/>
                      <w:szCs w:val="22"/>
                    </w:rPr>
                    <w:t xml:space="preserve">Simptominė pasikartojanti VTE arba didysis kraujavimas (suminė klinikinė nauda) </w:t>
                  </w:r>
                </w:p>
              </w:tc>
            </w:tr>
          </w:tbl>
          <w:p w14:paraId="767920DD"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p>
        </w:tc>
        <w:tc>
          <w:tcPr>
            <w:tcW w:w="2329" w:type="dxa"/>
            <w:shd w:val="clear" w:color="auto" w:fill="auto"/>
          </w:tcPr>
          <w:p w14:paraId="1FEEA550"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23 </w:t>
            </w:r>
          </w:p>
          <w:p w14:paraId="2148BE9D" w14:textId="0045FB71"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(2,1 %)</w:t>
            </w:r>
            <w:r w:rsidRPr="00452D62">
              <w:rPr>
                <w:rFonts w:eastAsia="Calibri"/>
                <w:color w:val="231F20"/>
                <w:spacing w:val="-1"/>
                <w:sz w:val="22"/>
                <w:szCs w:val="22"/>
                <w:vertAlign w:val="superscript"/>
                <w:lang w:eastAsia="en-US"/>
              </w:rPr>
              <w:t>+</w:t>
            </w:r>
          </w:p>
        </w:tc>
        <w:tc>
          <w:tcPr>
            <w:tcW w:w="2250" w:type="dxa"/>
            <w:shd w:val="clear" w:color="auto" w:fill="auto"/>
          </w:tcPr>
          <w:p w14:paraId="7EC54A9F"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17 </w:t>
            </w:r>
          </w:p>
          <w:p w14:paraId="71CCC1CD" w14:textId="17CBDFB1"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(1,5 %)</w:t>
            </w:r>
            <w:r w:rsidRPr="00452D62">
              <w:rPr>
                <w:rFonts w:eastAsia="Calibri"/>
                <w:color w:val="231F20"/>
                <w:spacing w:val="-1"/>
                <w:sz w:val="22"/>
                <w:szCs w:val="22"/>
                <w:vertAlign w:val="superscript"/>
                <w:lang w:eastAsia="en-US"/>
              </w:rPr>
              <w:t>++</w:t>
            </w:r>
          </w:p>
        </w:tc>
        <w:tc>
          <w:tcPr>
            <w:tcW w:w="2129" w:type="dxa"/>
            <w:shd w:val="clear" w:color="auto" w:fill="auto"/>
          </w:tcPr>
          <w:p w14:paraId="5733C20B"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53 </w:t>
            </w:r>
          </w:p>
          <w:p w14:paraId="77A8017A" w14:textId="0351414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(4,7 %)</w:t>
            </w:r>
          </w:p>
        </w:tc>
      </w:tr>
    </w:tbl>
    <w:p w14:paraId="50E2E4BF" w14:textId="77777777" w:rsidR="00823785" w:rsidRPr="00452D62" w:rsidRDefault="00823785" w:rsidP="00823785">
      <w:pPr>
        <w:spacing w:before="120"/>
        <w:ind w:left="142" w:hanging="142"/>
        <w:rPr>
          <w:sz w:val="22"/>
          <w:szCs w:val="22"/>
        </w:rPr>
      </w:pPr>
      <w:r w:rsidRPr="00452D62">
        <w:rPr>
          <w:sz w:val="22"/>
          <w:szCs w:val="22"/>
        </w:rPr>
        <w:t>* p &lt; 0,001 (pranašumas), vartojant 20 mg rivaroksabano vieną kartą per parą, palyginti su ASR 100 mg kartą per parą; RS=0,34 (0,20</w:t>
      </w:r>
      <w:r w:rsidRPr="00452D62">
        <w:rPr>
          <w:sz w:val="22"/>
          <w:szCs w:val="22"/>
        </w:rPr>
        <w:noBreakHyphen/>
        <w:t>0,59).</w:t>
      </w:r>
    </w:p>
    <w:p w14:paraId="2B6E4177" w14:textId="77777777" w:rsidR="00823785" w:rsidRPr="00452D62" w:rsidRDefault="00823785" w:rsidP="00823785">
      <w:pPr>
        <w:ind w:left="142" w:hanging="142"/>
        <w:rPr>
          <w:sz w:val="22"/>
          <w:szCs w:val="22"/>
        </w:rPr>
      </w:pPr>
      <w:r w:rsidRPr="00452D62">
        <w:rPr>
          <w:sz w:val="22"/>
          <w:szCs w:val="22"/>
        </w:rPr>
        <w:t>** p &lt; 0,001 (pranašumas), vartojant 10 mg rivaroksabano vieną kartą per parą, palyginti su ASR 100 mg kartą per parą; RS=0,26 (0,14 0,47).</w:t>
      </w:r>
    </w:p>
    <w:p w14:paraId="3FD2470D" w14:textId="77777777" w:rsidR="00823785" w:rsidRPr="00452D62" w:rsidRDefault="00823785" w:rsidP="00823785">
      <w:pPr>
        <w:ind w:left="142" w:hanging="142"/>
        <w:rPr>
          <w:sz w:val="22"/>
          <w:szCs w:val="22"/>
        </w:rPr>
      </w:pPr>
      <w:r w:rsidRPr="00452D62">
        <w:rPr>
          <w:sz w:val="22"/>
          <w:szCs w:val="22"/>
          <w:vertAlign w:val="superscript"/>
        </w:rPr>
        <w:t>+</w:t>
      </w:r>
      <w:r w:rsidRPr="00452D62">
        <w:rPr>
          <w:sz w:val="22"/>
          <w:szCs w:val="22"/>
        </w:rPr>
        <w:t xml:space="preserve"> Rivaroksabanas 20 mg vieną kartą per parą, palyginti su ASR 100 mg vieną kartą per parą; RS=0,44 (0,27</w:t>
      </w:r>
      <w:r w:rsidRPr="00452D62">
        <w:rPr>
          <w:sz w:val="22"/>
          <w:szCs w:val="22"/>
        </w:rPr>
        <w:noBreakHyphen/>
        <w:t>0,71), p=0,0009 (nominali reikšmė).</w:t>
      </w:r>
    </w:p>
    <w:p w14:paraId="00FC88E1" w14:textId="77777777" w:rsidR="00823785" w:rsidRPr="00452D62" w:rsidRDefault="00823785" w:rsidP="00823785">
      <w:pPr>
        <w:ind w:left="142" w:hanging="142"/>
        <w:rPr>
          <w:sz w:val="22"/>
          <w:szCs w:val="22"/>
        </w:rPr>
      </w:pPr>
      <w:r w:rsidRPr="00452D62">
        <w:rPr>
          <w:sz w:val="22"/>
          <w:szCs w:val="22"/>
          <w:vertAlign w:val="superscript"/>
        </w:rPr>
        <w:t>++</w:t>
      </w:r>
      <w:r w:rsidRPr="00452D62">
        <w:rPr>
          <w:sz w:val="22"/>
          <w:szCs w:val="22"/>
        </w:rPr>
        <w:t xml:space="preserve"> Rivaroksabano 10 mg vieną kartą per parą, palyginti su ASR 100 mg vieną kartą per parą; RS=0,32 (0,18</w:t>
      </w:r>
      <w:r w:rsidRPr="00452D62">
        <w:rPr>
          <w:sz w:val="22"/>
          <w:szCs w:val="22"/>
        </w:rPr>
        <w:noBreakHyphen/>
        <w:t>0,55), p &lt; 0,0001 (nominali reikšmė).</w:t>
      </w:r>
    </w:p>
    <w:p w14:paraId="731BDA54" w14:textId="77777777" w:rsidR="00823785" w:rsidRPr="00452D62" w:rsidRDefault="00823785" w:rsidP="00823785">
      <w:pPr>
        <w:rPr>
          <w:sz w:val="22"/>
          <w:szCs w:val="22"/>
        </w:rPr>
      </w:pPr>
    </w:p>
    <w:p w14:paraId="0E93CA5F" w14:textId="7A40F2D9" w:rsidR="00823785" w:rsidRPr="00452D62" w:rsidRDefault="00823785" w:rsidP="00823785">
      <w:pPr>
        <w:rPr>
          <w:sz w:val="22"/>
          <w:szCs w:val="22"/>
        </w:rPr>
      </w:pPr>
      <w:r w:rsidRPr="00452D62">
        <w:rPr>
          <w:sz w:val="22"/>
          <w:szCs w:val="22"/>
        </w:rPr>
        <w:t xml:space="preserve">Papildant III fazės </w:t>
      </w:r>
      <w:r w:rsidRPr="00452D62">
        <w:rPr>
          <w:i/>
          <w:sz w:val="22"/>
          <w:szCs w:val="22"/>
        </w:rPr>
        <w:t>EINSTEIN</w:t>
      </w:r>
      <w:r w:rsidRPr="00452D62">
        <w:rPr>
          <w:sz w:val="22"/>
          <w:szCs w:val="22"/>
        </w:rPr>
        <w:t xml:space="preserve"> programą, buvo atliktas perspektyvinis, neintervencinis, atviras kohortos tyrimas (XALIA), kurio metu taikytas centralizuotas baigčių, įskaitant pasikartojančią VTE, didįjį kraujavimą ir mirtį, vertinimas. Į šį ilgalaikio rivaroksabano, palyginti su standartiniu antikoaguliaciniu gydymu, saugumo klinikinėje praktikoje tyrimą buvo įtraukti 5142 pacientai, kuriems pasireiškė ūminė GVT. Didžiojo kraujavimo, pasikartojančios VTE ir mirties nuo bet kokios priežasties dažnis, vartojant rivaroksabaną, buvo atitinkamai 0,7 %, 1,4 % ir 0,5 %. Pradinės pacientų charakteristikos, įskaitant amžių, sirgimą vėžiu ir inkstų funkcijos sutrikimą, skyrėsi. Buvo naudojama iš anksto numatyta paskirstymo pagal polinkio įvertinimo (angl. </w:t>
      </w:r>
      <w:r w:rsidRPr="00452D62">
        <w:rPr>
          <w:i/>
          <w:iCs/>
          <w:sz w:val="22"/>
          <w:szCs w:val="22"/>
        </w:rPr>
        <w:t>propensity score matching</w:t>
      </w:r>
      <w:r w:rsidRPr="00452D62">
        <w:rPr>
          <w:sz w:val="22"/>
          <w:szCs w:val="22"/>
        </w:rPr>
        <w:t>) stratifikuota analizė pradinių pacientų charakteristikų skirtumų koregavimui, tačiau nepaisant to liekamoji paklaida gali turėti įtakos rezultatams. Koreguotas RS, lyginant rivaroksabaną su standartine terapija, buvo 0,77 (95 % PI: 0,40</w:t>
      </w:r>
      <w:r w:rsidRPr="00452D62">
        <w:rPr>
          <w:sz w:val="22"/>
          <w:szCs w:val="22"/>
        </w:rPr>
        <w:noBreakHyphen/>
        <w:t>1,50), 0,91 (95 % PI: 0,54</w:t>
      </w:r>
      <w:r w:rsidRPr="00452D62">
        <w:rPr>
          <w:sz w:val="22"/>
          <w:szCs w:val="22"/>
        </w:rPr>
        <w:noBreakHyphen/>
        <w:t>1,54) ir 0,51 (95 % PI: 0,24</w:t>
      </w:r>
      <w:r w:rsidRPr="00452D62">
        <w:rPr>
          <w:sz w:val="22"/>
          <w:szCs w:val="22"/>
        </w:rPr>
        <w:noBreakHyphen/>
        <w:t>1,07) atitinkamai didžiajam kraujavimui, pasikartojančiai VTE ir mirties dėl bet kokios priežasties atvejams.</w:t>
      </w:r>
    </w:p>
    <w:p w14:paraId="56C75549" w14:textId="77777777" w:rsidR="00823785" w:rsidRPr="00452D62" w:rsidRDefault="00823785" w:rsidP="00823785">
      <w:pPr>
        <w:rPr>
          <w:sz w:val="22"/>
          <w:szCs w:val="22"/>
        </w:rPr>
      </w:pPr>
      <w:r w:rsidRPr="00452D62">
        <w:rPr>
          <w:sz w:val="22"/>
          <w:szCs w:val="22"/>
        </w:rPr>
        <w:t>Šie rezultatai pacientams, stebėtiems klinikinėje praktikoje, atitinka šiai indikacijai nustatytus saugumo duomenis.</w:t>
      </w:r>
    </w:p>
    <w:p w14:paraId="33E1F80D" w14:textId="77777777" w:rsidR="002C615E" w:rsidRPr="00452D62" w:rsidRDefault="002C615E" w:rsidP="00823785">
      <w:pPr>
        <w:spacing w:line="240" w:lineRule="auto"/>
        <w:rPr>
          <w:sz w:val="22"/>
          <w:szCs w:val="22"/>
        </w:rPr>
      </w:pPr>
    </w:p>
    <w:p w14:paraId="589AB940" w14:textId="1BDB07F8" w:rsidR="00823785" w:rsidRPr="00452D62" w:rsidRDefault="002C615E" w:rsidP="00823785">
      <w:pPr>
        <w:spacing w:line="240" w:lineRule="auto"/>
        <w:rPr>
          <w:sz w:val="22"/>
          <w:szCs w:val="22"/>
        </w:rPr>
      </w:pPr>
      <w:bookmarkStart w:id="14" w:name="_Hlk158724649"/>
      <w:r w:rsidRPr="00452D62">
        <w:rPr>
          <w:sz w:val="22"/>
          <w:szCs w:val="22"/>
        </w:rPr>
        <w:t>Poregistracinio neintervencinio tyrimo metu, kuriame dalyvavo daugiau nei 40 000 vėžiu nesirgusių pacientų iš keturių šalių, rivaroksabano buvo paskirta GVT ir PE gydymui arba profilaktikai. Simptominių / kliniškai akivaizdžių VTE / tromboembolinių reiškinių, dėl kurių prireikė hospitalizacijos, atvejų dažnis 100-ui pacientų metų svyravo nuo 0,64 (95</w:t>
      </w:r>
      <w:r w:rsidR="008C3DF7">
        <w:rPr>
          <w:sz w:val="22"/>
          <w:szCs w:val="22"/>
        </w:rPr>
        <w:t> %</w:t>
      </w:r>
      <w:r w:rsidRPr="00452D62">
        <w:rPr>
          <w:sz w:val="22"/>
          <w:szCs w:val="22"/>
        </w:rPr>
        <w:t xml:space="preserve"> PI 0,40-0,97) Jungtinėje Karalystėje iki 2,30 (95</w:t>
      </w:r>
      <w:r w:rsidR="008C3DF7">
        <w:rPr>
          <w:sz w:val="22"/>
          <w:szCs w:val="22"/>
        </w:rPr>
        <w:t> %</w:t>
      </w:r>
      <w:r w:rsidRPr="00452D62">
        <w:rPr>
          <w:sz w:val="22"/>
          <w:szCs w:val="22"/>
        </w:rPr>
        <w:t xml:space="preserve"> PI 2,11-2,51) Vokietijoje. Kraujavimas, dėl kurio prireikė hospitalizacijos, pasireiškė tokiais dažniais 100-ui pacientų metų: 0,31 (95</w:t>
      </w:r>
      <w:r w:rsidR="008C3DF7">
        <w:rPr>
          <w:sz w:val="22"/>
          <w:szCs w:val="22"/>
        </w:rPr>
        <w:t> %</w:t>
      </w:r>
      <w:r w:rsidRPr="00452D62">
        <w:rPr>
          <w:sz w:val="22"/>
          <w:szCs w:val="22"/>
        </w:rPr>
        <w:t xml:space="preserve"> PI 0,23-0,42) intrakranijinio kraujavimo atveju, 0,89 (95</w:t>
      </w:r>
      <w:r w:rsidR="008C3DF7">
        <w:rPr>
          <w:sz w:val="22"/>
          <w:szCs w:val="22"/>
        </w:rPr>
        <w:t> %</w:t>
      </w:r>
      <w:r w:rsidRPr="00452D62">
        <w:rPr>
          <w:sz w:val="22"/>
          <w:szCs w:val="22"/>
        </w:rPr>
        <w:t xml:space="preserve"> PI 0,67-1,17) kraujavimo iš virškinimo trakto atveju, 0,44 (95</w:t>
      </w:r>
      <w:r w:rsidR="008C3DF7">
        <w:rPr>
          <w:sz w:val="22"/>
          <w:szCs w:val="22"/>
        </w:rPr>
        <w:t> %</w:t>
      </w:r>
      <w:r w:rsidRPr="00452D62">
        <w:rPr>
          <w:sz w:val="22"/>
          <w:szCs w:val="22"/>
        </w:rPr>
        <w:t xml:space="preserve"> PI 0,26-0,74) urogenitalinio kraujavimo atveju ir 0,41 (95</w:t>
      </w:r>
      <w:r w:rsidR="008C3DF7">
        <w:rPr>
          <w:sz w:val="22"/>
          <w:szCs w:val="22"/>
        </w:rPr>
        <w:t> %</w:t>
      </w:r>
      <w:r w:rsidRPr="00452D62">
        <w:rPr>
          <w:sz w:val="22"/>
          <w:szCs w:val="22"/>
        </w:rPr>
        <w:t xml:space="preserve"> PI 0,31-0,54) kitokio kraujavimo atveju.</w:t>
      </w:r>
    </w:p>
    <w:p w14:paraId="314CD79E" w14:textId="77777777" w:rsidR="002C615E" w:rsidRPr="00452D62" w:rsidRDefault="002C615E" w:rsidP="002C615E">
      <w:pPr>
        <w:spacing w:line="240" w:lineRule="auto"/>
        <w:rPr>
          <w:sz w:val="22"/>
          <w:szCs w:val="22"/>
        </w:rPr>
      </w:pPr>
    </w:p>
    <w:p w14:paraId="07345DE2" w14:textId="7A2324EF" w:rsidR="002C615E" w:rsidRPr="00452D62" w:rsidRDefault="002C615E" w:rsidP="002C615E">
      <w:pPr>
        <w:spacing w:line="240" w:lineRule="auto"/>
        <w:rPr>
          <w:sz w:val="22"/>
          <w:szCs w:val="22"/>
        </w:rPr>
      </w:pPr>
      <w:r w:rsidRPr="00452D62">
        <w:rPr>
          <w:sz w:val="22"/>
          <w:szCs w:val="22"/>
        </w:rPr>
        <w:t>Vaikų populiacija</w:t>
      </w:r>
    </w:p>
    <w:p w14:paraId="7F0267E9" w14:textId="77777777" w:rsidR="002C615E" w:rsidRPr="00AE1B80" w:rsidRDefault="002C615E" w:rsidP="002C615E">
      <w:pPr>
        <w:spacing w:line="240" w:lineRule="auto"/>
        <w:rPr>
          <w:i/>
          <w:sz w:val="22"/>
          <w:szCs w:val="22"/>
        </w:rPr>
      </w:pPr>
      <w:r w:rsidRPr="00AE1B80">
        <w:rPr>
          <w:i/>
          <w:sz w:val="22"/>
          <w:szCs w:val="22"/>
        </w:rPr>
        <w:t>VTE gydymas ir pasikartojančios VTE profilaktika vaikams</w:t>
      </w:r>
    </w:p>
    <w:p w14:paraId="1A595A6C" w14:textId="7D054751" w:rsidR="002C615E" w:rsidRPr="00452D62" w:rsidRDefault="002C615E" w:rsidP="002C615E">
      <w:pPr>
        <w:spacing w:line="240" w:lineRule="auto"/>
        <w:rPr>
          <w:sz w:val="22"/>
          <w:szCs w:val="22"/>
        </w:rPr>
      </w:pPr>
      <w:r w:rsidRPr="00452D62">
        <w:rPr>
          <w:sz w:val="22"/>
          <w:szCs w:val="22"/>
        </w:rPr>
        <w:t>6 atvirų, daugiacentrių, su vaikais atliktų tyrimų metu iš viso buvo tiriami 727 vaikai, sergantys patvirtinta ūmine VTE, iš kurių 528 vartojo rivaroksabaną. Kaip buvo patvirtinta III fazės tyrimu, vaikams</w:t>
      </w:r>
      <w:r w:rsidR="00F67A3F">
        <w:rPr>
          <w:sz w:val="22"/>
          <w:szCs w:val="22"/>
        </w:rPr>
        <w:t xml:space="preserve"> ir paaugliams</w:t>
      </w:r>
      <w:r w:rsidRPr="00452D62">
        <w:rPr>
          <w:sz w:val="22"/>
          <w:szCs w:val="22"/>
        </w:rPr>
        <w:t>, kurių amžius buvo nuo gimimo iki mažiau kaip 18 metų, taikant pagal kūno svorį parinktą dozavimą, buvo pasiekta rivaroksabano ekspozicija, panaši į stebimą suaugusiems pacientams, vartojantiems 20</w:t>
      </w:r>
      <w:r w:rsidR="00F67A3F">
        <w:rPr>
          <w:sz w:val="22"/>
          <w:szCs w:val="22"/>
        </w:rPr>
        <w:t> </w:t>
      </w:r>
      <w:r w:rsidRPr="00452D62">
        <w:rPr>
          <w:sz w:val="22"/>
          <w:szCs w:val="22"/>
        </w:rPr>
        <w:t>mg rivaroksabano nuo GVT vieną kartą per parą (žr. 5.2 skyrių).</w:t>
      </w:r>
    </w:p>
    <w:p w14:paraId="16692301" w14:textId="77777777" w:rsidR="002C615E" w:rsidRPr="00452D62" w:rsidRDefault="002C615E" w:rsidP="002C615E">
      <w:pPr>
        <w:spacing w:line="240" w:lineRule="auto"/>
        <w:rPr>
          <w:sz w:val="22"/>
          <w:szCs w:val="22"/>
        </w:rPr>
      </w:pPr>
    </w:p>
    <w:p w14:paraId="70EE8F9D" w14:textId="4E8DDE71" w:rsidR="002C615E" w:rsidRPr="00452D62" w:rsidRDefault="002C615E" w:rsidP="002C615E">
      <w:pPr>
        <w:spacing w:line="240" w:lineRule="auto"/>
        <w:rPr>
          <w:sz w:val="22"/>
          <w:szCs w:val="22"/>
        </w:rPr>
      </w:pPr>
      <w:r w:rsidRPr="00452D62">
        <w:rPr>
          <w:sz w:val="22"/>
          <w:szCs w:val="22"/>
        </w:rPr>
        <w:t xml:space="preserve">III fazės tyrimas EINSTEIN Junior buvo atsitiktinių imčių, veikliuoju vaistiniu preparatu kontroliuojamas, atviras, daugiacentris klinikinis tyrimas, kuriame dalyvavo 500 vaikų </w:t>
      </w:r>
      <w:r w:rsidR="00F67A3F">
        <w:rPr>
          <w:sz w:val="22"/>
          <w:szCs w:val="22"/>
        </w:rPr>
        <w:t xml:space="preserve">ir paauglių </w:t>
      </w:r>
      <w:r w:rsidRPr="00452D62">
        <w:rPr>
          <w:sz w:val="22"/>
          <w:szCs w:val="22"/>
        </w:rPr>
        <w:t xml:space="preserve">(nuo gimimo iki &lt; 18 metų amžiaus), sergančių patvirtinta ūmine VTE. 276 </w:t>
      </w:r>
      <w:r w:rsidR="00F67A3F">
        <w:rPr>
          <w:sz w:val="22"/>
          <w:szCs w:val="22"/>
        </w:rPr>
        <w:t xml:space="preserve">paaugliai </w:t>
      </w:r>
      <w:r w:rsidRPr="00452D62">
        <w:rPr>
          <w:sz w:val="22"/>
          <w:szCs w:val="22"/>
        </w:rPr>
        <w:t xml:space="preserve">buvo nuo 12 iki &lt; 18 metų amžiaus, 101 vaikas </w:t>
      </w:r>
      <w:r w:rsidR="00F67A3F">
        <w:rPr>
          <w:sz w:val="22"/>
          <w:szCs w:val="22"/>
        </w:rPr>
        <w:t xml:space="preserve">ir paauglys </w:t>
      </w:r>
      <w:r w:rsidRPr="00452D62">
        <w:rPr>
          <w:sz w:val="22"/>
          <w:szCs w:val="22"/>
        </w:rPr>
        <w:t>nuo 6 iki &lt; 12 metų amžiaus, 69 vaikai nuo 2 iki &lt; 6 metų amžiaus ir 54 vaikai &lt; 2 metų amžiaus.</w:t>
      </w:r>
    </w:p>
    <w:p w14:paraId="605C3E9E" w14:textId="77777777" w:rsidR="002C615E" w:rsidRPr="00452D62" w:rsidRDefault="002C615E" w:rsidP="002C615E">
      <w:pPr>
        <w:spacing w:line="240" w:lineRule="auto"/>
        <w:rPr>
          <w:sz w:val="22"/>
          <w:szCs w:val="22"/>
        </w:rPr>
      </w:pPr>
    </w:p>
    <w:p w14:paraId="4AC35CFC" w14:textId="339B842C" w:rsidR="002C615E" w:rsidRPr="00452D62" w:rsidRDefault="002C615E" w:rsidP="002C615E">
      <w:pPr>
        <w:spacing w:line="240" w:lineRule="auto"/>
        <w:rPr>
          <w:sz w:val="22"/>
          <w:szCs w:val="22"/>
        </w:rPr>
      </w:pPr>
      <w:r w:rsidRPr="00452D62">
        <w:rPr>
          <w:sz w:val="22"/>
          <w:szCs w:val="22"/>
        </w:rPr>
        <w:t xml:space="preserve">Pirmąkart pasireiškusi VTE buvo klasifikuojama kaip su centrinės venos kateteriu susijusi VTE (CVK-VTE; 90/335 pacientų rivaroksabano grupėje, 37/165 pacientai lyginamojoje grupėje), galvos smegenų venos ir sinuso trombozė (GSVST, 74/335 pacientai rivaroksabano grupėje, 43/165 pacientai lyginamojoje grupėje) ir visi kiti reiškiniai, įskaitant GVT ir PE (ne-CVK-VTE; 171/335 pacientas rivaroksabano grupėje, 85/165 pacientai lyginamojoje grupėje). </w:t>
      </w:r>
      <w:r w:rsidR="00F67A3F">
        <w:rPr>
          <w:sz w:val="22"/>
          <w:szCs w:val="22"/>
        </w:rPr>
        <w:t>Paaugliams</w:t>
      </w:r>
      <w:r w:rsidRPr="00452D62">
        <w:rPr>
          <w:sz w:val="22"/>
          <w:szCs w:val="22"/>
        </w:rPr>
        <w:t xml:space="preserve"> nuo 12 iki &lt; 18 metų amžiaus dažniausia pirmąkart pasireiškusi trombozė buvo ne-CVK-VTE, kuri nustatyta 211</w:t>
      </w:r>
      <w:r w:rsidR="00F67A3F">
        <w:rPr>
          <w:sz w:val="22"/>
          <w:szCs w:val="22"/>
        </w:rPr>
        <w:t xml:space="preserve"> pacientų</w:t>
      </w:r>
      <w:r w:rsidRPr="00452D62">
        <w:rPr>
          <w:sz w:val="22"/>
          <w:szCs w:val="22"/>
        </w:rPr>
        <w:t xml:space="preserve"> (76,4</w:t>
      </w:r>
      <w:r w:rsidR="008C3DF7">
        <w:rPr>
          <w:sz w:val="22"/>
          <w:szCs w:val="22"/>
        </w:rPr>
        <w:t> %</w:t>
      </w:r>
      <w:r w:rsidRPr="00452D62">
        <w:rPr>
          <w:sz w:val="22"/>
          <w:szCs w:val="22"/>
        </w:rPr>
        <w:t>); vaikams</w:t>
      </w:r>
      <w:r w:rsidR="00F67A3F">
        <w:rPr>
          <w:sz w:val="22"/>
          <w:szCs w:val="22"/>
        </w:rPr>
        <w:t xml:space="preserve"> ir paaugliams</w:t>
      </w:r>
      <w:r w:rsidRPr="00452D62">
        <w:rPr>
          <w:sz w:val="22"/>
          <w:szCs w:val="22"/>
        </w:rPr>
        <w:t xml:space="preserve"> nuo 6 iki &lt; 12 metų amžiaus ir nuo 2 iki &lt; 6 metų amžiaus tai buvo GSVST, kuri nustatyta atitinkamai 48 (47,5</w:t>
      </w:r>
      <w:r w:rsidR="008C3DF7">
        <w:rPr>
          <w:sz w:val="22"/>
          <w:szCs w:val="22"/>
        </w:rPr>
        <w:t> %</w:t>
      </w:r>
      <w:r w:rsidRPr="00452D62">
        <w:rPr>
          <w:sz w:val="22"/>
          <w:szCs w:val="22"/>
        </w:rPr>
        <w:t>) ir 35 (50,7</w:t>
      </w:r>
      <w:r w:rsidR="008C3DF7">
        <w:rPr>
          <w:sz w:val="22"/>
          <w:szCs w:val="22"/>
        </w:rPr>
        <w:t> %</w:t>
      </w:r>
      <w:r w:rsidRPr="00452D62">
        <w:rPr>
          <w:sz w:val="22"/>
          <w:szCs w:val="22"/>
        </w:rPr>
        <w:t>), o &lt; 2 metų amžiaus vaikams tai buvo CVK-VTE, kuri nustatyta 37 (68,5</w:t>
      </w:r>
      <w:r w:rsidR="008C3DF7">
        <w:rPr>
          <w:sz w:val="22"/>
          <w:szCs w:val="22"/>
        </w:rPr>
        <w:t> %</w:t>
      </w:r>
      <w:r w:rsidRPr="00452D62">
        <w:rPr>
          <w:sz w:val="22"/>
          <w:szCs w:val="22"/>
        </w:rPr>
        <w:t>). Rivaroksabano grupėje nebuvo &lt; 6 mėnesių amžiaus vaikų, sergančių GSVST.</w:t>
      </w:r>
      <w:r w:rsidRPr="00AE1B80">
        <w:rPr>
          <w:sz w:val="22"/>
          <w:szCs w:val="22"/>
        </w:rPr>
        <w:t xml:space="preserve"> </w:t>
      </w:r>
      <w:r w:rsidRPr="00452D62">
        <w:rPr>
          <w:sz w:val="22"/>
          <w:szCs w:val="22"/>
        </w:rPr>
        <w:t>22-iems iš GSVST sergančių pacientų buvo nustatyta CNS infekcija (13 pacientų rivaroksabano grupėje ir 9 pacientai lyginamojoje grupėje).</w:t>
      </w:r>
    </w:p>
    <w:p w14:paraId="4432AC73" w14:textId="77777777" w:rsidR="002C615E" w:rsidRPr="00452D62" w:rsidRDefault="002C615E" w:rsidP="002C615E">
      <w:pPr>
        <w:spacing w:line="240" w:lineRule="auto"/>
        <w:rPr>
          <w:sz w:val="22"/>
          <w:szCs w:val="22"/>
        </w:rPr>
      </w:pPr>
    </w:p>
    <w:p w14:paraId="570FCB4B" w14:textId="7D3A3081" w:rsidR="002C615E" w:rsidRPr="00452D62" w:rsidRDefault="002C615E" w:rsidP="002C615E">
      <w:pPr>
        <w:spacing w:line="240" w:lineRule="auto"/>
        <w:rPr>
          <w:sz w:val="22"/>
          <w:szCs w:val="22"/>
        </w:rPr>
      </w:pPr>
      <w:r w:rsidRPr="00452D62">
        <w:rPr>
          <w:sz w:val="22"/>
          <w:szCs w:val="22"/>
        </w:rPr>
        <w:t>438 (87,6</w:t>
      </w:r>
      <w:r w:rsidR="008C3DF7">
        <w:rPr>
          <w:sz w:val="22"/>
          <w:szCs w:val="22"/>
        </w:rPr>
        <w:t> %</w:t>
      </w:r>
      <w:r w:rsidRPr="00452D62">
        <w:rPr>
          <w:sz w:val="22"/>
          <w:szCs w:val="22"/>
        </w:rPr>
        <w:t>) vaikams VTE išprovokavo nuolatiniai, laikini arba ir nuolatiniai, ir laikini rizikos veiksniai.</w:t>
      </w:r>
    </w:p>
    <w:p w14:paraId="31F0ED64" w14:textId="77777777" w:rsidR="002C615E" w:rsidRPr="00452D62" w:rsidRDefault="002C615E" w:rsidP="002C615E">
      <w:pPr>
        <w:spacing w:line="240" w:lineRule="auto"/>
        <w:rPr>
          <w:sz w:val="22"/>
          <w:szCs w:val="22"/>
        </w:rPr>
      </w:pPr>
    </w:p>
    <w:p w14:paraId="7BB6593E" w14:textId="753FF6EE" w:rsidR="002C615E" w:rsidRPr="00452D62" w:rsidRDefault="002C615E" w:rsidP="002C615E">
      <w:pPr>
        <w:spacing w:line="240" w:lineRule="auto"/>
        <w:rPr>
          <w:sz w:val="22"/>
          <w:szCs w:val="22"/>
        </w:rPr>
      </w:pPr>
      <w:r w:rsidRPr="00452D62">
        <w:rPr>
          <w:sz w:val="22"/>
          <w:szCs w:val="22"/>
        </w:rPr>
        <w:t>Pacientams ne trumpiau kaip 5 dienas buvo taikytas pradinis gydymas, skiriant terapines NFH, MMMH arba fondaparinukso dozes, ir tada jie buvo suskirstyti atsitiktinių imčių būdu 2:1 santykiu, kad pagrindinį tyrimo gydymo laikotarpį, kuris truko 3 mėnesius (&lt; 2 metų vaikams, sergantiems CVK-VTE, 1 mėnesį), vartotų pagal kūno svorį dozuojamą rivaroksabaną arba palyginamuosius vaistinius preparatus (heparinus, VKA). Jei buvo kliniškai tikslinga, baigiantis pagrindinio tyrimo gydymo laikotarpiui, buvo pakartoti diagnostiniai vaizdo atkūrimo tyrimai, atlikti dar tyrimo pradžioje. Šiuo momentu buvo galima nutraukti tyrimo gydymą arba tyrėjo nuožiūra tęsti iš viso iki 12 mėnesių (&lt; 2 metų amžiaus vaikams, sergantiems CVK-VTE, iki 3 mėnesių).</w:t>
      </w:r>
    </w:p>
    <w:p w14:paraId="1045EB7F" w14:textId="77777777" w:rsidR="002C615E" w:rsidRPr="00452D62" w:rsidRDefault="002C615E" w:rsidP="002C615E">
      <w:pPr>
        <w:spacing w:line="240" w:lineRule="auto"/>
        <w:rPr>
          <w:sz w:val="22"/>
          <w:szCs w:val="22"/>
        </w:rPr>
      </w:pPr>
    </w:p>
    <w:p w14:paraId="1D8AA0B4" w14:textId="60113C5F" w:rsidR="002C615E" w:rsidRPr="00452D62" w:rsidRDefault="002C615E" w:rsidP="002C615E">
      <w:pPr>
        <w:spacing w:line="240" w:lineRule="auto"/>
        <w:rPr>
          <w:sz w:val="22"/>
          <w:szCs w:val="22"/>
        </w:rPr>
      </w:pPr>
      <w:r w:rsidRPr="00452D62">
        <w:rPr>
          <w:sz w:val="22"/>
          <w:szCs w:val="22"/>
        </w:rPr>
        <w:t>Pirminė veiksmingumo vertinamoji baigtis buvo simptominė pasikartojanti VTE. Pirminė saugumo vertinamoji baigtis buvo sudaryta iš didžiojo kraujavimo ir klinikiniu požiūriu reikšmingo ne didžiojo kraujavimo (KRNDK). Visas veiksmingumo ir saugumo vertinamąsias baigtis centriniu būdu patvirtino nepriklausomas komitetas, kuris negalėjo žinoti pacientams taikyto gydymo. Veiksmingumo ir saugumo rezultatai yra nurodyti toliau pateiktose 11 ir 12 lentelėse.</w:t>
      </w:r>
    </w:p>
    <w:p w14:paraId="39C3B4FB" w14:textId="77777777" w:rsidR="002C615E" w:rsidRPr="00452D62" w:rsidRDefault="002C615E" w:rsidP="002C615E">
      <w:pPr>
        <w:spacing w:line="240" w:lineRule="auto"/>
        <w:rPr>
          <w:sz w:val="22"/>
          <w:szCs w:val="22"/>
        </w:rPr>
      </w:pPr>
    </w:p>
    <w:p w14:paraId="22EA5A21" w14:textId="702A4DC5" w:rsidR="002C615E" w:rsidRPr="00452D62" w:rsidRDefault="002C615E" w:rsidP="002C615E">
      <w:pPr>
        <w:spacing w:line="240" w:lineRule="auto"/>
        <w:rPr>
          <w:sz w:val="22"/>
          <w:szCs w:val="22"/>
        </w:rPr>
      </w:pPr>
      <w:r w:rsidRPr="00452D62">
        <w:rPr>
          <w:sz w:val="22"/>
          <w:szCs w:val="22"/>
        </w:rPr>
        <w:t>Rivaroksabano grupėje pasikartojanti VTE nustatyta 4-iems iš 335 pacientų, o lyginamojoje grupėje – 5-iems iš 165 pacientų. Didžiojo kraujavimo ir KRNDK sudėtiniai reiškiniai nustatyti 10-iai iš 329 pacientų (3</w:t>
      </w:r>
      <w:r w:rsidR="008C3DF7">
        <w:rPr>
          <w:sz w:val="22"/>
          <w:szCs w:val="22"/>
        </w:rPr>
        <w:t> %</w:t>
      </w:r>
      <w:r w:rsidRPr="00452D62">
        <w:rPr>
          <w:sz w:val="22"/>
          <w:szCs w:val="22"/>
        </w:rPr>
        <w:t xml:space="preserve">), gydytų rivaroksabanu, ir 3-ims iš 162 pacientų (1,9 </w:t>
      </w:r>
      <w:r w:rsidR="008C3DF7">
        <w:rPr>
          <w:sz w:val="22"/>
          <w:szCs w:val="22"/>
        </w:rPr>
        <w:t> %</w:t>
      </w:r>
      <w:r w:rsidRPr="00452D62">
        <w:rPr>
          <w:sz w:val="22"/>
          <w:szCs w:val="22"/>
        </w:rPr>
        <w:t>), gydytų palyginamuoju vaistiniu preparatu. Su grynąja klinikine nauda siejami reiškiniai (simptominės pasikartojančios VTE plius didžiojo kraujavimo reiškiniai) rivaroksabano grupėje nustatyti 4-iems iš 335 pacientų, o lyginamojoje grupėje 7-iems iš 165 pacientų. Pakartojus vaizdo atkūrimo tyrimus, normalus vaizdas išnykus trombams gautas 128-iems iš 335 pacientų, gydytų rivaroksabanu, ir 43-ims iš 165 lyginamosios grupės pacientų. Šie duomenys apytikriai yra panašūs visose amžiaus grupėse. 119-ai (36,2</w:t>
      </w:r>
      <w:r w:rsidR="008C3DF7">
        <w:rPr>
          <w:sz w:val="22"/>
          <w:szCs w:val="22"/>
        </w:rPr>
        <w:t> %</w:t>
      </w:r>
      <w:r w:rsidRPr="00452D62">
        <w:rPr>
          <w:sz w:val="22"/>
          <w:szCs w:val="22"/>
        </w:rPr>
        <w:t>) vaikų pasireiškė bet koks dėl gydymo atsirandantis kraujavimas rivaroksabano grupėje ir 45-iems (27,8</w:t>
      </w:r>
      <w:r w:rsidR="008C3DF7">
        <w:rPr>
          <w:sz w:val="22"/>
          <w:szCs w:val="22"/>
        </w:rPr>
        <w:t> %</w:t>
      </w:r>
      <w:r w:rsidRPr="00452D62">
        <w:rPr>
          <w:sz w:val="22"/>
          <w:szCs w:val="22"/>
        </w:rPr>
        <w:t>) vaikams – lyginamojoje grupėje.</w:t>
      </w:r>
    </w:p>
    <w:p w14:paraId="4E725B87" w14:textId="77777777" w:rsidR="002C615E" w:rsidRPr="00452D62" w:rsidRDefault="002C615E" w:rsidP="002C615E">
      <w:pPr>
        <w:spacing w:line="240" w:lineRule="auto"/>
        <w:rPr>
          <w:sz w:val="22"/>
          <w:szCs w:val="22"/>
        </w:rPr>
      </w:pPr>
    </w:p>
    <w:p w14:paraId="701C2AAB" w14:textId="4045AEB7" w:rsidR="002C615E" w:rsidRPr="00AE1B80" w:rsidRDefault="002C615E" w:rsidP="002C615E">
      <w:pPr>
        <w:spacing w:line="240" w:lineRule="auto"/>
        <w:rPr>
          <w:b/>
          <w:sz w:val="22"/>
          <w:szCs w:val="22"/>
        </w:rPr>
      </w:pPr>
      <w:r w:rsidRPr="00AE1B80">
        <w:rPr>
          <w:b/>
          <w:sz w:val="22"/>
          <w:szCs w:val="22"/>
        </w:rPr>
        <w:t>11 lentelė. Veiksmingumo rezultatai pagrindinio gydymo laikotarpio pabaigoje</w:t>
      </w:r>
    </w:p>
    <w:tbl>
      <w:tblPr>
        <w:tblW w:w="5000" w:type="pct"/>
        <w:tblBorders>
          <w:top w:val="single" w:sz="4" w:space="0" w:color="7E7E7E"/>
          <w:left w:val="single" w:sz="4" w:space="0" w:color="7E7E7E"/>
          <w:bottom w:val="single" w:sz="4" w:space="0" w:color="7E7E7E"/>
          <w:right w:val="single" w:sz="4" w:space="0" w:color="7E7E7E"/>
          <w:insideH w:val="single" w:sz="4" w:space="0" w:color="7E7E7E"/>
          <w:insideV w:val="single" w:sz="4" w:space="0" w:color="7E7E7E"/>
        </w:tblBorders>
        <w:tblCellMar>
          <w:left w:w="0" w:type="dxa"/>
          <w:right w:w="0" w:type="dxa"/>
        </w:tblCellMar>
        <w:tblLook w:val="01E0" w:firstRow="1" w:lastRow="1" w:firstColumn="1" w:lastColumn="1" w:noHBand="0" w:noVBand="0"/>
      </w:tblPr>
      <w:tblGrid>
        <w:gridCol w:w="5206"/>
        <w:gridCol w:w="2124"/>
        <w:gridCol w:w="1730"/>
      </w:tblGrid>
      <w:tr w:rsidR="002C615E" w:rsidRPr="00452D62" w14:paraId="27DF4BC8" w14:textId="77777777" w:rsidTr="007C6272">
        <w:trPr>
          <w:trHeight w:val="506"/>
        </w:trPr>
        <w:tc>
          <w:tcPr>
            <w:tcW w:w="2873" w:type="pct"/>
            <w:shd w:val="clear" w:color="auto" w:fill="auto"/>
          </w:tcPr>
          <w:p w14:paraId="216C4923" w14:textId="21F66AD7" w:rsidR="002C615E" w:rsidRPr="00AE1B80" w:rsidRDefault="00F67A3F" w:rsidP="002C615E">
            <w:pPr>
              <w:widowControl w:val="0"/>
              <w:tabs>
                <w:tab w:val="clear" w:pos="567"/>
              </w:tabs>
              <w:suppressAutoHyphens w:val="0"/>
              <w:autoSpaceDE w:val="0"/>
              <w:autoSpaceDN w:val="0"/>
              <w:spacing w:line="253" w:lineRule="exact"/>
              <w:rPr>
                <w:rFonts w:eastAsia="Calibri"/>
                <w:b/>
                <w:color w:val="auto"/>
                <w:sz w:val="22"/>
                <w:szCs w:val="22"/>
                <w:lang w:val="en-US" w:eastAsia="en-US"/>
              </w:rPr>
            </w:pPr>
            <w:r>
              <w:rPr>
                <w:rFonts w:eastAsia="Calibri"/>
                <w:b/>
                <w:color w:val="auto"/>
                <w:sz w:val="22"/>
                <w:szCs w:val="22"/>
                <w:lang w:val="en-US" w:eastAsia="en-US"/>
              </w:rPr>
              <w:t>Reiškinys</w:t>
            </w:r>
          </w:p>
        </w:tc>
        <w:tc>
          <w:tcPr>
            <w:tcW w:w="1172" w:type="pct"/>
            <w:shd w:val="clear" w:color="auto" w:fill="auto"/>
          </w:tcPr>
          <w:p w14:paraId="523E8E31" w14:textId="1022E3E7" w:rsidR="002C615E" w:rsidRPr="00AE1B80" w:rsidRDefault="008C7CD5" w:rsidP="002C615E">
            <w:pPr>
              <w:widowControl w:val="0"/>
              <w:tabs>
                <w:tab w:val="clear" w:pos="567"/>
              </w:tabs>
              <w:suppressAutoHyphens w:val="0"/>
              <w:autoSpaceDE w:val="0"/>
              <w:autoSpaceDN w:val="0"/>
              <w:spacing w:before="2" w:line="254" w:lineRule="exact"/>
              <w:rPr>
                <w:rFonts w:eastAsia="Calibri"/>
                <w:b/>
                <w:color w:val="auto"/>
                <w:sz w:val="22"/>
                <w:szCs w:val="22"/>
                <w:lang w:val="en-US" w:eastAsia="en-US"/>
              </w:rPr>
            </w:pPr>
            <w:r w:rsidRPr="00AE1B80">
              <w:rPr>
                <w:rFonts w:eastAsia="Calibri"/>
                <w:b/>
                <w:color w:val="auto"/>
                <w:sz w:val="22"/>
                <w:szCs w:val="22"/>
                <w:lang w:val="en-US" w:eastAsia="en-US"/>
              </w:rPr>
              <w:t>Rivaroksabanas</w:t>
            </w:r>
            <w:r w:rsidR="002C615E" w:rsidRPr="00AE1B80">
              <w:rPr>
                <w:rFonts w:eastAsia="Calibri"/>
                <w:b/>
                <w:color w:val="auto"/>
                <w:sz w:val="22"/>
                <w:szCs w:val="22"/>
                <w:lang w:val="en-US" w:eastAsia="en-US"/>
              </w:rPr>
              <w:t xml:space="preserve"> N=335*</w:t>
            </w:r>
          </w:p>
        </w:tc>
        <w:tc>
          <w:tcPr>
            <w:tcW w:w="955" w:type="pct"/>
            <w:shd w:val="clear" w:color="auto" w:fill="auto"/>
          </w:tcPr>
          <w:p w14:paraId="44E1DCC5" w14:textId="15DC628A" w:rsidR="002C615E" w:rsidRPr="00AE1B80" w:rsidRDefault="008C7CD5" w:rsidP="002C615E">
            <w:pPr>
              <w:widowControl w:val="0"/>
              <w:tabs>
                <w:tab w:val="clear" w:pos="567"/>
              </w:tabs>
              <w:suppressAutoHyphens w:val="0"/>
              <w:autoSpaceDE w:val="0"/>
              <w:autoSpaceDN w:val="0"/>
              <w:spacing w:before="2" w:line="254" w:lineRule="exact"/>
              <w:rPr>
                <w:rFonts w:eastAsia="Calibri"/>
                <w:b/>
                <w:color w:val="auto"/>
                <w:sz w:val="22"/>
                <w:szCs w:val="22"/>
                <w:lang w:val="en-US" w:eastAsia="en-US"/>
              </w:rPr>
            </w:pPr>
            <w:r w:rsidRPr="00AE1B80">
              <w:rPr>
                <w:rFonts w:eastAsia="Calibri"/>
                <w:b/>
                <w:color w:val="auto"/>
                <w:sz w:val="22"/>
                <w:szCs w:val="22"/>
                <w:lang w:val="en-US" w:eastAsia="en-US"/>
              </w:rPr>
              <w:t>Palyginamasis vaistinis preparatas</w:t>
            </w:r>
            <w:r w:rsidR="002C615E" w:rsidRPr="00AE1B80">
              <w:rPr>
                <w:rFonts w:eastAsia="Calibri"/>
                <w:b/>
                <w:color w:val="auto"/>
                <w:sz w:val="22"/>
                <w:szCs w:val="22"/>
                <w:lang w:val="en-US" w:eastAsia="en-US"/>
              </w:rPr>
              <w:t xml:space="preserve"> N=165*</w:t>
            </w:r>
          </w:p>
        </w:tc>
      </w:tr>
      <w:tr w:rsidR="002C615E" w:rsidRPr="00452D62" w14:paraId="071BEB87" w14:textId="77777777" w:rsidTr="007C6272">
        <w:trPr>
          <w:trHeight w:val="253"/>
        </w:trPr>
        <w:tc>
          <w:tcPr>
            <w:tcW w:w="2873" w:type="pct"/>
            <w:tcBorders>
              <w:bottom w:val="nil"/>
            </w:tcBorders>
            <w:shd w:val="clear" w:color="auto" w:fill="auto"/>
          </w:tcPr>
          <w:p w14:paraId="3C6B05CF" w14:textId="3D3D3E63" w:rsidR="002C615E" w:rsidRPr="00AE1B80" w:rsidRDefault="00062477" w:rsidP="00AE1B80">
            <w:pPr>
              <w:pStyle w:val="Default"/>
              <w:rPr>
                <w:sz w:val="22"/>
                <w:szCs w:val="22"/>
              </w:rPr>
            </w:pPr>
            <w:r w:rsidRPr="00452D62">
              <w:rPr>
                <w:sz w:val="22"/>
                <w:szCs w:val="22"/>
              </w:rPr>
              <w:t>Pasikartojanti VTE (pirminė veiksmingumo vertinamoji baigtis)</w:t>
            </w:r>
          </w:p>
        </w:tc>
        <w:tc>
          <w:tcPr>
            <w:tcW w:w="1172" w:type="pct"/>
            <w:tcBorders>
              <w:bottom w:val="nil"/>
            </w:tcBorders>
            <w:shd w:val="clear" w:color="auto" w:fill="auto"/>
          </w:tcPr>
          <w:p w14:paraId="70CA9AFB" w14:textId="77777777" w:rsidR="002C615E" w:rsidRPr="00AE1B80" w:rsidRDefault="002C615E" w:rsidP="002C615E">
            <w:pPr>
              <w:widowControl w:val="0"/>
              <w:tabs>
                <w:tab w:val="clear" w:pos="567"/>
              </w:tabs>
              <w:suppressAutoHyphens w:val="0"/>
              <w:autoSpaceDE w:val="0"/>
              <w:autoSpaceDN w:val="0"/>
              <w:spacing w:line="234" w:lineRule="exact"/>
              <w:rPr>
                <w:rFonts w:eastAsia="Calibri"/>
                <w:color w:val="auto"/>
                <w:sz w:val="22"/>
                <w:szCs w:val="22"/>
                <w:lang w:val="en-US" w:eastAsia="en-US"/>
              </w:rPr>
            </w:pPr>
            <w:r w:rsidRPr="00AE1B80">
              <w:rPr>
                <w:rFonts w:eastAsia="Calibri"/>
                <w:color w:val="auto"/>
                <w:w w:val="99"/>
                <w:sz w:val="22"/>
                <w:szCs w:val="22"/>
                <w:lang w:val="en-US" w:eastAsia="en-US"/>
              </w:rPr>
              <w:t>4</w:t>
            </w:r>
          </w:p>
        </w:tc>
        <w:tc>
          <w:tcPr>
            <w:tcW w:w="955" w:type="pct"/>
            <w:tcBorders>
              <w:bottom w:val="nil"/>
            </w:tcBorders>
            <w:shd w:val="clear" w:color="auto" w:fill="auto"/>
          </w:tcPr>
          <w:p w14:paraId="27A885A6" w14:textId="77777777" w:rsidR="002C615E" w:rsidRPr="00AE1B80" w:rsidRDefault="002C615E" w:rsidP="002C615E">
            <w:pPr>
              <w:widowControl w:val="0"/>
              <w:tabs>
                <w:tab w:val="clear" w:pos="567"/>
              </w:tabs>
              <w:suppressAutoHyphens w:val="0"/>
              <w:autoSpaceDE w:val="0"/>
              <w:autoSpaceDN w:val="0"/>
              <w:spacing w:line="234" w:lineRule="exact"/>
              <w:rPr>
                <w:rFonts w:eastAsia="Calibri"/>
                <w:color w:val="auto"/>
                <w:sz w:val="22"/>
                <w:szCs w:val="22"/>
                <w:lang w:val="en-US" w:eastAsia="en-US"/>
              </w:rPr>
            </w:pPr>
            <w:r w:rsidRPr="00AE1B80">
              <w:rPr>
                <w:rFonts w:eastAsia="Calibri"/>
                <w:color w:val="auto"/>
                <w:w w:val="99"/>
                <w:sz w:val="22"/>
                <w:szCs w:val="22"/>
                <w:lang w:val="en-US" w:eastAsia="en-US"/>
              </w:rPr>
              <w:t>5</w:t>
            </w:r>
          </w:p>
        </w:tc>
      </w:tr>
      <w:tr w:rsidR="002C615E" w:rsidRPr="00452D62" w14:paraId="38B24530" w14:textId="77777777" w:rsidTr="007C6272">
        <w:trPr>
          <w:trHeight w:val="253"/>
        </w:trPr>
        <w:tc>
          <w:tcPr>
            <w:tcW w:w="2873" w:type="pct"/>
            <w:tcBorders>
              <w:top w:val="nil"/>
              <w:bottom w:val="nil"/>
            </w:tcBorders>
            <w:shd w:val="clear" w:color="auto" w:fill="auto"/>
          </w:tcPr>
          <w:p w14:paraId="552752B0" w14:textId="77777777" w:rsidR="002C615E" w:rsidRPr="00AE1B80" w:rsidRDefault="002C615E" w:rsidP="002C615E">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1172" w:type="pct"/>
            <w:tcBorders>
              <w:top w:val="nil"/>
              <w:bottom w:val="nil"/>
            </w:tcBorders>
            <w:shd w:val="clear" w:color="auto" w:fill="auto"/>
          </w:tcPr>
          <w:p w14:paraId="609C1010" w14:textId="35762500" w:rsidR="002C615E" w:rsidRPr="00AE1B80" w:rsidRDefault="002C615E" w:rsidP="002C615E">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E1B80">
              <w:rPr>
                <w:rFonts w:eastAsia="Calibri"/>
                <w:color w:val="auto"/>
                <w:sz w:val="22"/>
                <w:szCs w:val="22"/>
                <w:lang w:val="en-US" w:eastAsia="en-US"/>
              </w:rPr>
              <w:t>(1,2</w:t>
            </w:r>
            <w:r w:rsidR="008C3DF7">
              <w:rPr>
                <w:rFonts w:eastAsia="Calibri"/>
                <w:color w:val="auto"/>
                <w:sz w:val="22"/>
                <w:szCs w:val="22"/>
                <w:lang w:val="en-US" w:eastAsia="en-US"/>
              </w:rPr>
              <w:t> %</w:t>
            </w:r>
            <w:r w:rsidRPr="00AE1B80">
              <w:rPr>
                <w:rFonts w:eastAsia="Calibri"/>
                <w:color w:val="auto"/>
                <w:sz w:val="22"/>
                <w:szCs w:val="22"/>
                <w:lang w:val="en-US" w:eastAsia="en-US"/>
              </w:rPr>
              <w:t>, 95</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PI</w:t>
            </w:r>
          </w:p>
        </w:tc>
        <w:tc>
          <w:tcPr>
            <w:tcW w:w="955" w:type="pct"/>
            <w:tcBorders>
              <w:top w:val="nil"/>
              <w:bottom w:val="nil"/>
            </w:tcBorders>
            <w:shd w:val="clear" w:color="auto" w:fill="auto"/>
          </w:tcPr>
          <w:p w14:paraId="5E2125C1" w14:textId="6C9FA34F" w:rsidR="002C615E" w:rsidRPr="00AE1B80" w:rsidRDefault="002C615E" w:rsidP="002C615E">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E1B80">
              <w:rPr>
                <w:rFonts w:eastAsia="Calibri"/>
                <w:color w:val="auto"/>
                <w:sz w:val="22"/>
                <w:szCs w:val="22"/>
                <w:lang w:val="en-US" w:eastAsia="en-US"/>
              </w:rPr>
              <w:t>(3,0</w:t>
            </w:r>
            <w:r w:rsidR="008C3DF7">
              <w:rPr>
                <w:rFonts w:eastAsia="Calibri"/>
                <w:color w:val="auto"/>
                <w:sz w:val="22"/>
                <w:szCs w:val="22"/>
                <w:lang w:val="en-US" w:eastAsia="en-US"/>
              </w:rPr>
              <w:t> %</w:t>
            </w:r>
            <w:r w:rsidRPr="00AE1B80">
              <w:rPr>
                <w:rFonts w:eastAsia="Calibri"/>
                <w:color w:val="auto"/>
                <w:sz w:val="22"/>
                <w:szCs w:val="22"/>
                <w:lang w:val="en-US" w:eastAsia="en-US"/>
              </w:rPr>
              <w:t>, 95</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PI</w:t>
            </w:r>
          </w:p>
        </w:tc>
      </w:tr>
      <w:tr w:rsidR="002C615E" w:rsidRPr="00452D62" w14:paraId="41CF3003" w14:textId="77777777" w:rsidTr="007C6272">
        <w:trPr>
          <w:trHeight w:val="248"/>
        </w:trPr>
        <w:tc>
          <w:tcPr>
            <w:tcW w:w="2873" w:type="pct"/>
            <w:tcBorders>
              <w:top w:val="nil"/>
            </w:tcBorders>
            <w:shd w:val="clear" w:color="auto" w:fill="auto"/>
          </w:tcPr>
          <w:p w14:paraId="2A1527BE" w14:textId="77777777" w:rsidR="002C615E" w:rsidRPr="00AE1B80" w:rsidRDefault="002C615E" w:rsidP="002C615E">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1172" w:type="pct"/>
            <w:tcBorders>
              <w:top w:val="nil"/>
            </w:tcBorders>
            <w:shd w:val="clear" w:color="auto" w:fill="auto"/>
          </w:tcPr>
          <w:p w14:paraId="08A26DAF" w14:textId="1B8D7665" w:rsidR="002C615E" w:rsidRPr="00AE1B80" w:rsidRDefault="002C615E" w:rsidP="002C615E">
            <w:pPr>
              <w:widowControl w:val="0"/>
              <w:tabs>
                <w:tab w:val="clear" w:pos="567"/>
              </w:tabs>
              <w:suppressAutoHyphens w:val="0"/>
              <w:autoSpaceDE w:val="0"/>
              <w:autoSpaceDN w:val="0"/>
              <w:spacing w:line="228" w:lineRule="exact"/>
              <w:rPr>
                <w:rFonts w:eastAsia="Calibri"/>
                <w:color w:val="auto"/>
                <w:sz w:val="22"/>
                <w:szCs w:val="22"/>
                <w:lang w:val="en-US" w:eastAsia="en-US"/>
              </w:rPr>
            </w:pPr>
            <w:r w:rsidRPr="00AE1B80">
              <w:rPr>
                <w:rFonts w:eastAsia="Calibri"/>
                <w:color w:val="auto"/>
                <w:sz w:val="22"/>
                <w:szCs w:val="22"/>
                <w:lang w:val="en-US" w:eastAsia="en-US"/>
              </w:rPr>
              <w:t>0,4</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 3,0</w:t>
            </w:r>
            <w:r w:rsidR="008C3DF7">
              <w:rPr>
                <w:rFonts w:eastAsia="Calibri"/>
                <w:color w:val="auto"/>
                <w:sz w:val="22"/>
                <w:szCs w:val="22"/>
                <w:lang w:val="en-US" w:eastAsia="en-US"/>
              </w:rPr>
              <w:t> %</w:t>
            </w:r>
            <w:r w:rsidRPr="00AE1B80">
              <w:rPr>
                <w:rFonts w:eastAsia="Calibri"/>
                <w:color w:val="auto"/>
                <w:sz w:val="22"/>
                <w:szCs w:val="22"/>
                <w:lang w:val="en-US" w:eastAsia="en-US"/>
              </w:rPr>
              <w:t>)</w:t>
            </w:r>
          </w:p>
        </w:tc>
        <w:tc>
          <w:tcPr>
            <w:tcW w:w="955" w:type="pct"/>
            <w:tcBorders>
              <w:top w:val="nil"/>
            </w:tcBorders>
            <w:shd w:val="clear" w:color="auto" w:fill="auto"/>
          </w:tcPr>
          <w:p w14:paraId="5A5674E4" w14:textId="5654BF6D" w:rsidR="002C615E" w:rsidRPr="00AE1B80" w:rsidRDefault="002C615E" w:rsidP="002C615E">
            <w:pPr>
              <w:widowControl w:val="0"/>
              <w:tabs>
                <w:tab w:val="clear" w:pos="567"/>
              </w:tabs>
              <w:suppressAutoHyphens w:val="0"/>
              <w:autoSpaceDE w:val="0"/>
              <w:autoSpaceDN w:val="0"/>
              <w:spacing w:line="228" w:lineRule="exact"/>
              <w:rPr>
                <w:rFonts w:eastAsia="Calibri"/>
                <w:color w:val="auto"/>
                <w:sz w:val="22"/>
                <w:szCs w:val="22"/>
                <w:lang w:val="en-US" w:eastAsia="en-US"/>
              </w:rPr>
            </w:pPr>
            <w:r w:rsidRPr="00AE1B80">
              <w:rPr>
                <w:rFonts w:eastAsia="Calibri"/>
                <w:color w:val="auto"/>
                <w:sz w:val="22"/>
                <w:szCs w:val="22"/>
                <w:lang w:val="en-US" w:eastAsia="en-US"/>
              </w:rPr>
              <w:t>1,2</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- 6,6</w:t>
            </w:r>
            <w:r w:rsidR="008C3DF7">
              <w:rPr>
                <w:rFonts w:eastAsia="Calibri"/>
                <w:color w:val="auto"/>
                <w:sz w:val="22"/>
                <w:szCs w:val="22"/>
                <w:lang w:val="en-US" w:eastAsia="en-US"/>
              </w:rPr>
              <w:t> %</w:t>
            </w:r>
            <w:r w:rsidRPr="00AE1B80">
              <w:rPr>
                <w:rFonts w:eastAsia="Calibri"/>
                <w:color w:val="auto"/>
                <w:sz w:val="22"/>
                <w:szCs w:val="22"/>
                <w:lang w:val="en-US" w:eastAsia="en-US"/>
              </w:rPr>
              <w:t>)</w:t>
            </w:r>
          </w:p>
        </w:tc>
      </w:tr>
      <w:tr w:rsidR="002C615E" w:rsidRPr="00452D62" w14:paraId="3043C177" w14:textId="77777777" w:rsidTr="007C6272">
        <w:trPr>
          <w:trHeight w:val="257"/>
        </w:trPr>
        <w:tc>
          <w:tcPr>
            <w:tcW w:w="2873" w:type="pct"/>
            <w:tcBorders>
              <w:bottom w:val="nil"/>
            </w:tcBorders>
            <w:shd w:val="clear" w:color="auto" w:fill="auto"/>
          </w:tcPr>
          <w:p w14:paraId="4471AD1E" w14:textId="0A9A98E7" w:rsidR="002C615E" w:rsidRPr="00AE1B80" w:rsidRDefault="00062477" w:rsidP="002C615E">
            <w:pPr>
              <w:widowControl w:val="0"/>
              <w:tabs>
                <w:tab w:val="clear" w:pos="567"/>
              </w:tabs>
              <w:suppressAutoHyphens w:val="0"/>
              <w:autoSpaceDE w:val="0"/>
              <w:autoSpaceDN w:val="0"/>
              <w:spacing w:line="238" w:lineRule="exact"/>
              <w:rPr>
                <w:rFonts w:eastAsia="Calibri"/>
                <w:color w:val="auto"/>
                <w:sz w:val="22"/>
              </w:rPr>
            </w:pPr>
            <w:r w:rsidRPr="00AE1B80">
              <w:rPr>
                <w:rFonts w:eastAsia="Calibri"/>
                <w:color w:val="auto"/>
                <w:sz w:val="22"/>
              </w:rPr>
              <w:t>Sud</w:t>
            </w:r>
            <w:r w:rsidRPr="00AE1B80">
              <w:rPr>
                <w:rFonts w:eastAsia="Calibri"/>
                <w:color w:val="auto"/>
                <w:sz w:val="22"/>
                <w:szCs w:val="22"/>
                <w:lang w:eastAsia="en-US"/>
              </w:rPr>
              <w:t>ėtiniai reiškiniai</w:t>
            </w:r>
            <w:r w:rsidRPr="00AE1B80">
              <w:rPr>
                <w:rFonts w:eastAsia="Calibri"/>
                <w:color w:val="auto"/>
                <w:sz w:val="22"/>
              </w:rPr>
              <w:t>: simptominė pasikartojanti</w:t>
            </w:r>
            <w:r w:rsidR="002C615E" w:rsidRPr="00AE1B80">
              <w:rPr>
                <w:rFonts w:eastAsia="Calibri"/>
                <w:color w:val="auto"/>
                <w:sz w:val="22"/>
              </w:rPr>
              <w:t xml:space="preserve"> VTE +</w:t>
            </w:r>
            <w:r w:rsidRPr="00AE1B80">
              <w:rPr>
                <w:rFonts w:eastAsia="Calibri"/>
                <w:color w:val="auto"/>
                <w:sz w:val="22"/>
              </w:rPr>
              <w:t xml:space="preserve"> besimtomis pablogėjimas, nustatytas kartojant vaizdo atkūrimo tyrimą</w:t>
            </w:r>
          </w:p>
        </w:tc>
        <w:tc>
          <w:tcPr>
            <w:tcW w:w="1172" w:type="pct"/>
            <w:tcBorders>
              <w:bottom w:val="nil"/>
            </w:tcBorders>
            <w:shd w:val="clear" w:color="auto" w:fill="auto"/>
          </w:tcPr>
          <w:p w14:paraId="580B436B" w14:textId="77777777" w:rsidR="002C615E" w:rsidRPr="00AE1B80" w:rsidRDefault="002C615E" w:rsidP="002C615E">
            <w:pPr>
              <w:widowControl w:val="0"/>
              <w:tabs>
                <w:tab w:val="clear" w:pos="567"/>
              </w:tabs>
              <w:suppressAutoHyphens w:val="0"/>
              <w:autoSpaceDE w:val="0"/>
              <w:autoSpaceDN w:val="0"/>
              <w:spacing w:line="238" w:lineRule="exact"/>
              <w:rPr>
                <w:rFonts w:eastAsia="Calibri"/>
                <w:color w:val="auto"/>
                <w:sz w:val="22"/>
                <w:szCs w:val="22"/>
                <w:lang w:val="en-US" w:eastAsia="en-US"/>
              </w:rPr>
            </w:pPr>
            <w:r w:rsidRPr="00AE1B80">
              <w:rPr>
                <w:rFonts w:eastAsia="Calibri"/>
                <w:color w:val="auto"/>
                <w:w w:val="99"/>
                <w:sz w:val="22"/>
                <w:szCs w:val="22"/>
                <w:lang w:val="en-US" w:eastAsia="en-US"/>
              </w:rPr>
              <w:t>5</w:t>
            </w:r>
          </w:p>
        </w:tc>
        <w:tc>
          <w:tcPr>
            <w:tcW w:w="955" w:type="pct"/>
            <w:tcBorders>
              <w:bottom w:val="nil"/>
            </w:tcBorders>
            <w:shd w:val="clear" w:color="auto" w:fill="auto"/>
          </w:tcPr>
          <w:p w14:paraId="432652D0" w14:textId="77777777" w:rsidR="002C615E" w:rsidRPr="00AE1B80" w:rsidRDefault="002C615E" w:rsidP="002C615E">
            <w:pPr>
              <w:widowControl w:val="0"/>
              <w:tabs>
                <w:tab w:val="clear" w:pos="567"/>
              </w:tabs>
              <w:suppressAutoHyphens w:val="0"/>
              <w:autoSpaceDE w:val="0"/>
              <w:autoSpaceDN w:val="0"/>
              <w:spacing w:line="238" w:lineRule="exact"/>
              <w:rPr>
                <w:rFonts w:eastAsia="Calibri"/>
                <w:color w:val="auto"/>
                <w:sz w:val="22"/>
                <w:szCs w:val="22"/>
                <w:lang w:val="en-US" w:eastAsia="en-US"/>
              </w:rPr>
            </w:pPr>
            <w:r w:rsidRPr="00AE1B80">
              <w:rPr>
                <w:rFonts w:eastAsia="Calibri"/>
                <w:color w:val="auto"/>
                <w:w w:val="99"/>
                <w:sz w:val="22"/>
                <w:szCs w:val="22"/>
                <w:lang w:val="en-US" w:eastAsia="en-US"/>
              </w:rPr>
              <w:t>6</w:t>
            </w:r>
          </w:p>
        </w:tc>
      </w:tr>
      <w:tr w:rsidR="002C615E" w:rsidRPr="00452D62" w14:paraId="47A6984E" w14:textId="77777777" w:rsidTr="007C6272">
        <w:trPr>
          <w:trHeight w:val="252"/>
        </w:trPr>
        <w:tc>
          <w:tcPr>
            <w:tcW w:w="2873" w:type="pct"/>
            <w:tcBorders>
              <w:top w:val="nil"/>
              <w:bottom w:val="nil"/>
            </w:tcBorders>
            <w:shd w:val="clear" w:color="auto" w:fill="auto"/>
          </w:tcPr>
          <w:p w14:paraId="3261CC25" w14:textId="43414C29" w:rsidR="002C615E" w:rsidRPr="00AE1B80" w:rsidRDefault="002C615E" w:rsidP="002C615E">
            <w:pPr>
              <w:widowControl w:val="0"/>
              <w:tabs>
                <w:tab w:val="clear" w:pos="567"/>
              </w:tabs>
              <w:suppressAutoHyphens w:val="0"/>
              <w:autoSpaceDE w:val="0"/>
              <w:autoSpaceDN w:val="0"/>
              <w:spacing w:line="233" w:lineRule="exact"/>
              <w:rPr>
                <w:rFonts w:eastAsia="Calibri"/>
                <w:color w:val="auto"/>
                <w:sz w:val="22"/>
                <w:szCs w:val="22"/>
                <w:lang w:val="en-US" w:eastAsia="en-US"/>
              </w:rPr>
            </w:pPr>
          </w:p>
        </w:tc>
        <w:tc>
          <w:tcPr>
            <w:tcW w:w="1172" w:type="pct"/>
            <w:tcBorders>
              <w:top w:val="nil"/>
              <w:bottom w:val="nil"/>
            </w:tcBorders>
            <w:shd w:val="clear" w:color="auto" w:fill="auto"/>
          </w:tcPr>
          <w:p w14:paraId="6CE18014" w14:textId="219C01F2" w:rsidR="002C615E" w:rsidRPr="00AE1B80" w:rsidRDefault="002C615E" w:rsidP="002C615E">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E1B80">
              <w:rPr>
                <w:rFonts w:eastAsia="Calibri"/>
                <w:color w:val="auto"/>
                <w:sz w:val="22"/>
                <w:szCs w:val="22"/>
                <w:lang w:val="en-US" w:eastAsia="en-US"/>
              </w:rPr>
              <w:t>(1,5</w:t>
            </w:r>
            <w:r w:rsidR="008C3DF7">
              <w:rPr>
                <w:rFonts w:eastAsia="Calibri"/>
                <w:color w:val="auto"/>
                <w:sz w:val="22"/>
                <w:szCs w:val="22"/>
                <w:lang w:val="en-US" w:eastAsia="en-US"/>
              </w:rPr>
              <w:t> %</w:t>
            </w:r>
            <w:r w:rsidRPr="00AE1B80">
              <w:rPr>
                <w:rFonts w:eastAsia="Calibri"/>
                <w:color w:val="auto"/>
                <w:sz w:val="22"/>
                <w:szCs w:val="22"/>
                <w:lang w:val="en-US" w:eastAsia="en-US"/>
              </w:rPr>
              <w:t>, 95</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PI</w:t>
            </w:r>
          </w:p>
        </w:tc>
        <w:tc>
          <w:tcPr>
            <w:tcW w:w="955" w:type="pct"/>
            <w:tcBorders>
              <w:top w:val="nil"/>
              <w:bottom w:val="nil"/>
            </w:tcBorders>
            <w:shd w:val="clear" w:color="auto" w:fill="auto"/>
          </w:tcPr>
          <w:p w14:paraId="21FB7AE6" w14:textId="4355C38B" w:rsidR="002C615E" w:rsidRPr="00AE1B80" w:rsidRDefault="002C615E" w:rsidP="002C615E">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E1B80">
              <w:rPr>
                <w:rFonts w:eastAsia="Calibri"/>
                <w:color w:val="auto"/>
                <w:sz w:val="22"/>
                <w:szCs w:val="22"/>
                <w:lang w:val="en-US" w:eastAsia="en-US"/>
              </w:rPr>
              <w:t>(3,6</w:t>
            </w:r>
            <w:r w:rsidR="008C3DF7">
              <w:rPr>
                <w:rFonts w:eastAsia="Calibri"/>
                <w:color w:val="auto"/>
                <w:sz w:val="22"/>
                <w:szCs w:val="22"/>
                <w:lang w:val="en-US" w:eastAsia="en-US"/>
              </w:rPr>
              <w:t> %</w:t>
            </w:r>
            <w:r w:rsidRPr="00AE1B80">
              <w:rPr>
                <w:rFonts w:eastAsia="Calibri"/>
                <w:color w:val="auto"/>
                <w:sz w:val="22"/>
                <w:szCs w:val="22"/>
                <w:lang w:val="en-US" w:eastAsia="en-US"/>
              </w:rPr>
              <w:t>, 95</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PI</w:t>
            </w:r>
          </w:p>
        </w:tc>
      </w:tr>
      <w:tr w:rsidR="002C615E" w:rsidRPr="00452D62" w14:paraId="6D40D48B" w14:textId="77777777" w:rsidTr="007C6272">
        <w:trPr>
          <w:trHeight w:val="247"/>
        </w:trPr>
        <w:tc>
          <w:tcPr>
            <w:tcW w:w="2873" w:type="pct"/>
            <w:tcBorders>
              <w:top w:val="nil"/>
            </w:tcBorders>
            <w:shd w:val="clear" w:color="auto" w:fill="auto"/>
          </w:tcPr>
          <w:p w14:paraId="5D2DBE81" w14:textId="77777777" w:rsidR="002C615E" w:rsidRPr="00AE1B80" w:rsidRDefault="002C615E" w:rsidP="002C615E">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1172" w:type="pct"/>
            <w:tcBorders>
              <w:top w:val="nil"/>
            </w:tcBorders>
            <w:shd w:val="clear" w:color="auto" w:fill="auto"/>
          </w:tcPr>
          <w:p w14:paraId="3EF2305B" w14:textId="0C73CA60" w:rsidR="002C615E" w:rsidRPr="00AE1B80" w:rsidRDefault="002C615E" w:rsidP="002C615E">
            <w:pPr>
              <w:widowControl w:val="0"/>
              <w:tabs>
                <w:tab w:val="clear" w:pos="567"/>
              </w:tabs>
              <w:suppressAutoHyphens w:val="0"/>
              <w:autoSpaceDE w:val="0"/>
              <w:autoSpaceDN w:val="0"/>
              <w:spacing w:line="228" w:lineRule="exact"/>
              <w:rPr>
                <w:rFonts w:eastAsia="Calibri"/>
                <w:color w:val="auto"/>
                <w:sz w:val="22"/>
                <w:szCs w:val="22"/>
                <w:lang w:val="en-US" w:eastAsia="en-US"/>
              </w:rPr>
            </w:pPr>
            <w:r w:rsidRPr="00AE1B80">
              <w:rPr>
                <w:rFonts w:eastAsia="Calibri"/>
                <w:color w:val="auto"/>
                <w:sz w:val="22"/>
                <w:szCs w:val="22"/>
                <w:lang w:val="en-US" w:eastAsia="en-US"/>
              </w:rPr>
              <w:t>0,6</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 3,4</w:t>
            </w:r>
            <w:r w:rsidR="008C3DF7">
              <w:rPr>
                <w:rFonts w:eastAsia="Calibri"/>
                <w:color w:val="auto"/>
                <w:sz w:val="22"/>
                <w:szCs w:val="22"/>
                <w:lang w:val="en-US" w:eastAsia="en-US"/>
              </w:rPr>
              <w:t> %</w:t>
            </w:r>
            <w:r w:rsidRPr="00AE1B80">
              <w:rPr>
                <w:rFonts w:eastAsia="Calibri"/>
                <w:color w:val="auto"/>
                <w:sz w:val="22"/>
                <w:szCs w:val="22"/>
                <w:lang w:val="en-US" w:eastAsia="en-US"/>
              </w:rPr>
              <w:t>)</w:t>
            </w:r>
          </w:p>
        </w:tc>
        <w:tc>
          <w:tcPr>
            <w:tcW w:w="955" w:type="pct"/>
            <w:tcBorders>
              <w:top w:val="nil"/>
            </w:tcBorders>
            <w:shd w:val="clear" w:color="auto" w:fill="auto"/>
          </w:tcPr>
          <w:p w14:paraId="6C35F690" w14:textId="21768441" w:rsidR="002C615E" w:rsidRPr="00AE1B80" w:rsidRDefault="002C615E" w:rsidP="002C615E">
            <w:pPr>
              <w:widowControl w:val="0"/>
              <w:tabs>
                <w:tab w:val="clear" w:pos="567"/>
              </w:tabs>
              <w:suppressAutoHyphens w:val="0"/>
              <w:autoSpaceDE w:val="0"/>
              <w:autoSpaceDN w:val="0"/>
              <w:spacing w:line="228" w:lineRule="exact"/>
              <w:rPr>
                <w:rFonts w:eastAsia="Calibri"/>
                <w:color w:val="auto"/>
                <w:sz w:val="22"/>
                <w:szCs w:val="22"/>
                <w:lang w:val="en-US" w:eastAsia="en-US"/>
              </w:rPr>
            </w:pPr>
            <w:r w:rsidRPr="00AE1B80">
              <w:rPr>
                <w:rFonts w:eastAsia="Calibri"/>
                <w:color w:val="auto"/>
                <w:sz w:val="22"/>
                <w:szCs w:val="22"/>
                <w:lang w:val="en-US" w:eastAsia="en-US"/>
              </w:rPr>
              <w:t>1,6</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 7,6</w:t>
            </w:r>
            <w:r w:rsidR="008C3DF7">
              <w:rPr>
                <w:rFonts w:eastAsia="Calibri"/>
                <w:color w:val="auto"/>
                <w:sz w:val="22"/>
                <w:szCs w:val="22"/>
                <w:lang w:val="en-US" w:eastAsia="en-US"/>
              </w:rPr>
              <w:t> %</w:t>
            </w:r>
            <w:r w:rsidRPr="00AE1B80">
              <w:rPr>
                <w:rFonts w:eastAsia="Calibri"/>
                <w:color w:val="auto"/>
                <w:sz w:val="22"/>
                <w:szCs w:val="22"/>
                <w:lang w:val="en-US" w:eastAsia="en-US"/>
              </w:rPr>
              <w:t>)</w:t>
            </w:r>
          </w:p>
        </w:tc>
      </w:tr>
      <w:tr w:rsidR="00062477" w:rsidRPr="00452D62" w14:paraId="7CB27ED3" w14:textId="77777777" w:rsidTr="007C6272">
        <w:trPr>
          <w:trHeight w:val="257"/>
        </w:trPr>
        <w:tc>
          <w:tcPr>
            <w:tcW w:w="2873" w:type="pct"/>
            <w:tcBorders>
              <w:bottom w:val="nil"/>
            </w:tcBorders>
            <w:shd w:val="clear" w:color="auto" w:fill="auto"/>
          </w:tcPr>
          <w:p w14:paraId="6B26B76E" w14:textId="0F161B6F" w:rsidR="00062477" w:rsidRPr="00AE1B80" w:rsidRDefault="00062477" w:rsidP="00062477">
            <w:pPr>
              <w:widowControl w:val="0"/>
              <w:tabs>
                <w:tab w:val="clear" w:pos="567"/>
              </w:tabs>
              <w:suppressAutoHyphens w:val="0"/>
              <w:autoSpaceDE w:val="0"/>
              <w:autoSpaceDN w:val="0"/>
              <w:spacing w:line="238" w:lineRule="exact"/>
              <w:rPr>
                <w:rFonts w:eastAsia="Calibri"/>
                <w:color w:val="auto"/>
                <w:sz w:val="22"/>
              </w:rPr>
            </w:pPr>
            <w:r w:rsidRPr="00AE1B80">
              <w:rPr>
                <w:sz w:val="22"/>
                <w:szCs w:val="22"/>
              </w:rPr>
              <w:t>Sudėtiniai reiškiniai: simptominė pasikartojanti VTE + besimptomis pablogėjimas + jokių pokyčių kartojant vaizdo atkūrimo tyrimą</w:t>
            </w:r>
          </w:p>
        </w:tc>
        <w:tc>
          <w:tcPr>
            <w:tcW w:w="1172" w:type="pct"/>
            <w:tcBorders>
              <w:bottom w:val="nil"/>
            </w:tcBorders>
            <w:shd w:val="clear" w:color="auto" w:fill="auto"/>
          </w:tcPr>
          <w:p w14:paraId="4757D632" w14:textId="77777777" w:rsidR="00062477" w:rsidRPr="00AE1B80" w:rsidRDefault="00062477" w:rsidP="00062477">
            <w:pPr>
              <w:widowControl w:val="0"/>
              <w:tabs>
                <w:tab w:val="clear" w:pos="567"/>
              </w:tabs>
              <w:suppressAutoHyphens w:val="0"/>
              <w:autoSpaceDE w:val="0"/>
              <w:autoSpaceDN w:val="0"/>
              <w:spacing w:line="238" w:lineRule="exact"/>
              <w:rPr>
                <w:rFonts w:eastAsia="Calibri"/>
                <w:color w:val="auto"/>
                <w:sz w:val="22"/>
                <w:szCs w:val="22"/>
                <w:lang w:val="en-US" w:eastAsia="en-US"/>
              </w:rPr>
            </w:pPr>
            <w:r w:rsidRPr="00AE1B80">
              <w:rPr>
                <w:rFonts w:eastAsia="Calibri"/>
                <w:color w:val="auto"/>
                <w:sz w:val="22"/>
                <w:szCs w:val="22"/>
                <w:lang w:val="en-US" w:eastAsia="en-US"/>
              </w:rPr>
              <w:t>21</w:t>
            </w:r>
          </w:p>
        </w:tc>
        <w:tc>
          <w:tcPr>
            <w:tcW w:w="955" w:type="pct"/>
            <w:tcBorders>
              <w:bottom w:val="nil"/>
            </w:tcBorders>
            <w:shd w:val="clear" w:color="auto" w:fill="auto"/>
          </w:tcPr>
          <w:p w14:paraId="0FC110E9" w14:textId="77777777" w:rsidR="00062477" w:rsidRPr="00AE1B80" w:rsidRDefault="00062477" w:rsidP="00062477">
            <w:pPr>
              <w:widowControl w:val="0"/>
              <w:tabs>
                <w:tab w:val="clear" w:pos="567"/>
              </w:tabs>
              <w:suppressAutoHyphens w:val="0"/>
              <w:autoSpaceDE w:val="0"/>
              <w:autoSpaceDN w:val="0"/>
              <w:spacing w:line="238" w:lineRule="exact"/>
              <w:rPr>
                <w:rFonts w:eastAsia="Calibri"/>
                <w:color w:val="auto"/>
                <w:sz w:val="22"/>
                <w:szCs w:val="22"/>
                <w:lang w:val="en-US" w:eastAsia="en-US"/>
              </w:rPr>
            </w:pPr>
            <w:r w:rsidRPr="00AE1B80">
              <w:rPr>
                <w:rFonts w:eastAsia="Calibri"/>
                <w:color w:val="auto"/>
                <w:sz w:val="22"/>
                <w:szCs w:val="22"/>
                <w:lang w:val="en-US" w:eastAsia="en-US"/>
              </w:rPr>
              <w:t>19</w:t>
            </w:r>
          </w:p>
        </w:tc>
      </w:tr>
      <w:tr w:rsidR="00062477" w:rsidRPr="00452D62" w14:paraId="2810B42F" w14:textId="77777777" w:rsidTr="007C6272">
        <w:trPr>
          <w:trHeight w:val="253"/>
        </w:trPr>
        <w:tc>
          <w:tcPr>
            <w:tcW w:w="2873" w:type="pct"/>
            <w:tcBorders>
              <w:top w:val="nil"/>
              <w:bottom w:val="nil"/>
            </w:tcBorders>
            <w:shd w:val="clear" w:color="auto" w:fill="auto"/>
          </w:tcPr>
          <w:p w14:paraId="66B87018" w14:textId="00E8C002" w:rsidR="00062477" w:rsidRPr="00AE1B80" w:rsidRDefault="00062477" w:rsidP="00062477">
            <w:pPr>
              <w:widowControl w:val="0"/>
              <w:tabs>
                <w:tab w:val="clear" w:pos="567"/>
              </w:tabs>
              <w:suppressAutoHyphens w:val="0"/>
              <w:autoSpaceDE w:val="0"/>
              <w:autoSpaceDN w:val="0"/>
              <w:spacing w:line="233" w:lineRule="exact"/>
              <w:rPr>
                <w:rFonts w:eastAsia="Calibri"/>
                <w:color w:val="auto"/>
                <w:sz w:val="22"/>
                <w:szCs w:val="22"/>
                <w:lang w:val="en-US" w:eastAsia="en-US"/>
              </w:rPr>
            </w:pPr>
          </w:p>
        </w:tc>
        <w:tc>
          <w:tcPr>
            <w:tcW w:w="1172" w:type="pct"/>
            <w:tcBorders>
              <w:top w:val="nil"/>
              <w:bottom w:val="nil"/>
            </w:tcBorders>
            <w:shd w:val="clear" w:color="auto" w:fill="auto"/>
          </w:tcPr>
          <w:p w14:paraId="4CB123E8" w14:textId="5F405678" w:rsidR="00062477" w:rsidRPr="00AE1B80" w:rsidRDefault="00062477" w:rsidP="00062477">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E1B80">
              <w:rPr>
                <w:rFonts w:eastAsia="Calibri"/>
                <w:color w:val="auto"/>
                <w:sz w:val="22"/>
                <w:szCs w:val="22"/>
                <w:lang w:val="en-US" w:eastAsia="en-US"/>
              </w:rPr>
              <w:t>(6,3</w:t>
            </w:r>
            <w:r w:rsidR="008C3DF7">
              <w:rPr>
                <w:rFonts w:eastAsia="Calibri"/>
                <w:color w:val="auto"/>
                <w:sz w:val="22"/>
                <w:szCs w:val="22"/>
                <w:lang w:val="en-US" w:eastAsia="en-US"/>
              </w:rPr>
              <w:t> %</w:t>
            </w:r>
            <w:r w:rsidRPr="00AE1B80">
              <w:rPr>
                <w:rFonts w:eastAsia="Calibri"/>
                <w:color w:val="auto"/>
                <w:sz w:val="22"/>
                <w:szCs w:val="22"/>
                <w:lang w:val="en-US" w:eastAsia="en-US"/>
              </w:rPr>
              <w:t>, 95</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PI</w:t>
            </w:r>
          </w:p>
        </w:tc>
        <w:tc>
          <w:tcPr>
            <w:tcW w:w="955" w:type="pct"/>
            <w:tcBorders>
              <w:top w:val="nil"/>
              <w:bottom w:val="nil"/>
            </w:tcBorders>
            <w:shd w:val="clear" w:color="auto" w:fill="auto"/>
          </w:tcPr>
          <w:p w14:paraId="42BB574B" w14:textId="5F2CBDBA" w:rsidR="00062477" w:rsidRPr="00AE1B80" w:rsidRDefault="00062477" w:rsidP="00062477">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E1B80">
              <w:rPr>
                <w:rFonts w:eastAsia="Calibri"/>
                <w:color w:val="auto"/>
                <w:sz w:val="22"/>
                <w:szCs w:val="22"/>
                <w:lang w:val="en-US" w:eastAsia="en-US"/>
              </w:rPr>
              <w:t>(11,5</w:t>
            </w:r>
            <w:r w:rsidR="008C3DF7">
              <w:rPr>
                <w:rFonts w:eastAsia="Calibri"/>
                <w:color w:val="auto"/>
                <w:sz w:val="22"/>
                <w:szCs w:val="22"/>
                <w:lang w:val="en-US" w:eastAsia="en-US"/>
              </w:rPr>
              <w:t> %</w:t>
            </w:r>
            <w:r w:rsidRPr="00AE1B80">
              <w:rPr>
                <w:rFonts w:eastAsia="Calibri"/>
                <w:color w:val="auto"/>
                <w:sz w:val="22"/>
                <w:szCs w:val="22"/>
                <w:lang w:val="en-US" w:eastAsia="en-US"/>
              </w:rPr>
              <w:t>, 95</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PI</w:t>
            </w:r>
          </w:p>
        </w:tc>
      </w:tr>
      <w:tr w:rsidR="00062477" w:rsidRPr="00452D62" w14:paraId="24F41AFE" w14:textId="77777777" w:rsidTr="007C6272">
        <w:trPr>
          <w:trHeight w:val="309"/>
        </w:trPr>
        <w:tc>
          <w:tcPr>
            <w:tcW w:w="2873" w:type="pct"/>
            <w:tcBorders>
              <w:top w:val="nil"/>
            </w:tcBorders>
            <w:shd w:val="clear" w:color="auto" w:fill="auto"/>
          </w:tcPr>
          <w:p w14:paraId="23DD440C" w14:textId="29777AA0" w:rsidR="00062477" w:rsidRPr="00AE1B80" w:rsidRDefault="00062477" w:rsidP="00062477">
            <w:pPr>
              <w:widowControl w:val="0"/>
              <w:tabs>
                <w:tab w:val="clear" w:pos="567"/>
              </w:tabs>
              <w:suppressAutoHyphens w:val="0"/>
              <w:autoSpaceDE w:val="0"/>
              <w:autoSpaceDN w:val="0"/>
              <w:spacing w:line="248" w:lineRule="exact"/>
              <w:rPr>
                <w:rFonts w:eastAsia="Calibri"/>
                <w:color w:val="auto"/>
                <w:sz w:val="22"/>
                <w:szCs w:val="22"/>
                <w:lang w:val="en-US" w:eastAsia="en-US"/>
              </w:rPr>
            </w:pPr>
          </w:p>
        </w:tc>
        <w:tc>
          <w:tcPr>
            <w:tcW w:w="1172" w:type="pct"/>
            <w:tcBorders>
              <w:top w:val="nil"/>
            </w:tcBorders>
            <w:shd w:val="clear" w:color="auto" w:fill="auto"/>
          </w:tcPr>
          <w:p w14:paraId="7A883315" w14:textId="58E608CB" w:rsidR="00062477" w:rsidRPr="00AE1B80" w:rsidRDefault="00062477" w:rsidP="00062477">
            <w:pPr>
              <w:widowControl w:val="0"/>
              <w:tabs>
                <w:tab w:val="clear" w:pos="567"/>
              </w:tabs>
              <w:suppressAutoHyphens w:val="0"/>
              <w:autoSpaceDE w:val="0"/>
              <w:autoSpaceDN w:val="0"/>
              <w:spacing w:line="248" w:lineRule="exact"/>
              <w:rPr>
                <w:rFonts w:eastAsia="Calibri"/>
                <w:color w:val="auto"/>
                <w:sz w:val="22"/>
                <w:szCs w:val="22"/>
                <w:lang w:val="en-US" w:eastAsia="en-US"/>
              </w:rPr>
            </w:pPr>
            <w:r w:rsidRPr="00AE1B80">
              <w:rPr>
                <w:rFonts w:eastAsia="Calibri"/>
                <w:color w:val="auto"/>
                <w:sz w:val="22"/>
                <w:szCs w:val="22"/>
                <w:lang w:val="en-US" w:eastAsia="en-US"/>
              </w:rPr>
              <w:t>4,0</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 9,2</w:t>
            </w:r>
            <w:r w:rsidR="008C3DF7">
              <w:rPr>
                <w:rFonts w:eastAsia="Calibri"/>
                <w:color w:val="auto"/>
                <w:sz w:val="22"/>
                <w:szCs w:val="22"/>
                <w:lang w:val="en-US" w:eastAsia="en-US"/>
              </w:rPr>
              <w:t> %</w:t>
            </w:r>
            <w:r w:rsidRPr="00AE1B80">
              <w:rPr>
                <w:rFonts w:eastAsia="Calibri"/>
                <w:color w:val="auto"/>
                <w:sz w:val="22"/>
                <w:szCs w:val="22"/>
                <w:lang w:val="en-US" w:eastAsia="en-US"/>
              </w:rPr>
              <w:t>)</w:t>
            </w:r>
          </w:p>
        </w:tc>
        <w:tc>
          <w:tcPr>
            <w:tcW w:w="955" w:type="pct"/>
            <w:tcBorders>
              <w:top w:val="nil"/>
            </w:tcBorders>
            <w:shd w:val="clear" w:color="auto" w:fill="auto"/>
          </w:tcPr>
          <w:p w14:paraId="561CABB5" w14:textId="5631697C" w:rsidR="00062477" w:rsidRPr="00AE1B80" w:rsidRDefault="00062477" w:rsidP="00062477">
            <w:pPr>
              <w:widowControl w:val="0"/>
              <w:tabs>
                <w:tab w:val="clear" w:pos="567"/>
              </w:tabs>
              <w:suppressAutoHyphens w:val="0"/>
              <w:autoSpaceDE w:val="0"/>
              <w:autoSpaceDN w:val="0"/>
              <w:spacing w:line="248" w:lineRule="exact"/>
              <w:rPr>
                <w:rFonts w:eastAsia="Calibri"/>
                <w:color w:val="auto"/>
                <w:sz w:val="22"/>
                <w:szCs w:val="22"/>
                <w:lang w:val="en-US" w:eastAsia="en-US"/>
              </w:rPr>
            </w:pPr>
            <w:r w:rsidRPr="00AE1B80">
              <w:rPr>
                <w:rFonts w:eastAsia="Calibri"/>
                <w:color w:val="auto"/>
                <w:sz w:val="22"/>
                <w:szCs w:val="22"/>
                <w:lang w:val="en-US" w:eastAsia="en-US"/>
              </w:rPr>
              <w:t>7,3</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 17,4</w:t>
            </w:r>
            <w:r w:rsidR="008C3DF7">
              <w:rPr>
                <w:rFonts w:eastAsia="Calibri"/>
                <w:color w:val="auto"/>
                <w:sz w:val="22"/>
                <w:szCs w:val="22"/>
                <w:lang w:val="en-US" w:eastAsia="en-US"/>
              </w:rPr>
              <w:t> %</w:t>
            </w:r>
            <w:r w:rsidRPr="00AE1B80">
              <w:rPr>
                <w:rFonts w:eastAsia="Calibri"/>
                <w:color w:val="auto"/>
                <w:sz w:val="22"/>
                <w:szCs w:val="22"/>
                <w:lang w:val="en-US" w:eastAsia="en-US"/>
              </w:rPr>
              <w:t>)</w:t>
            </w:r>
          </w:p>
        </w:tc>
      </w:tr>
      <w:tr w:rsidR="002C615E" w:rsidRPr="00452D62" w14:paraId="749C7699" w14:textId="77777777" w:rsidTr="007C6272">
        <w:trPr>
          <w:trHeight w:val="257"/>
        </w:trPr>
        <w:tc>
          <w:tcPr>
            <w:tcW w:w="2873" w:type="pct"/>
            <w:tcBorders>
              <w:bottom w:val="nil"/>
            </w:tcBorders>
            <w:shd w:val="clear" w:color="auto" w:fill="auto"/>
          </w:tcPr>
          <w:p w14:paraId="43BC4CC1" w14:textId="325B19ED" w:rsidR="002C615E" w:rsidRPr="00AE1B80" w:rsidRDefault="00062477" w:rsidP="002C615E">
            <w:pPr>
              <w:widowControl w:val="0"/>
              <w:tabs>
                <w:tab w:val="clear" w:pos="567"/>
              </w:tabs>
              <w:suppressAutoHyphens w:val="0"/>
              <w:autoSpaceDE w:val="0"/>
              <w:autoSpaceDN w:val="0"/>
              <w:spacing w:line="238" w:lineRule="exact"/>
              <w:rPr>
                <w:rFonts w:eastAsia="Calibri"/>
                <w:color w:val="auto"/>
                <w:sz w:val="22"/>
                <w:lang w:val="pt-PT"/>
              </w:rPr>
            </w:pPr>
            <w:r w:rsidRPr="00AE1B80">
              <w:rPr>
                <w:rFonts w:eastAsia="Calibri"/>
                <w:color w:val="auto"/>
                <w:sz w:val="22"/>
                <w:lang w:val="pt-PT"/>
              </w:rPr>
              <w:t>Normalus vaizdas, kartojant vaizdo atkūrimo tyrimą</w:t>
            </w:r>
          </w:p>
        </w:tc>
        <w:tc>
          <w:tcPr>
            <w:tcW w:w="1172" w:type="pct"/>
            <w:tcBorders>
              <w:bottom w:val="nil"/>
            </w:tcBorders>
            <w:shd w:val="clear" w:color="auto" w:fill="auto"/>
          </w:tcPr>
          <w:p w14:paraId="29D950B8" w14:textId="77777777" w:rsidR="002C615E" w:rsidRPr="00AE1B80" w:rsidRDefault="002C615E" w:rsidP="002C615E">
            <w:pPr>
              <w:widowControl w:val="0"/>
              <w:tabs>
                <w:tab w:val="clear" w:pos="567"/>
              </w:tabs>
              <w:suppressAutoHyphens w:val="0"/>
              <w:autoSpaceDE w:val="0"/>
              <w:autoSpaceDN w:val="0"/>
              <w:spacing w:line="238" w:lineRule="exact"/>
              <w:rPr>
                <w:rFonts w:eastAsia="Calibri"/>
                <w:color w:val="auto"/>
                <w:sz w:val="22"/>
                <w:szCs w:val="22"/>
                <w:lang w:val="en-US" w:eastAsia="en-US"/>
              </w:rPr>
            </w:pPr>
            <w:r w:rsidRPr="00AE1B80">
              <w:rPr>
                <w:rFonts w:eastAsia="Calibri"/>
                <w:color w:val="auto"/>
                <w:sz w:val="22"/>
                <w:szCs w:val="22"/>
                <w:lang w:val="en-US" w:eastAsia="en-US"/>
              </w:rPr>
              <w:t>128</w:t>
            </w:r>
          </w:p>
        </w:tc>
        <w:tc>
          <w:tcPr>
            <w:tcW w:w="955" w:type="pct"/>
            <w:tcBorders>
              <w:bottom w:val="nil"/>
            </w:tcBorders>
            <w:shd w:val="clear" w:color="auto" w:fill="auto"/>
          </w:tcPr>
          <w:p w14:paraId="10FA7D10" w14:textId="77777777" w:rsidR="002C615E" w:rsidRPr="00AE1B80" w:rsidRDefault="002C615E" w:rsidP="002C615E">
            <w:pPr>
              <w:widowControl w:val="0"/>
              <w:tabs>
                <w:tab w:val="clear" w:pos="567"/>
              </w:tabs>
              <w:suppressAutoHyphens w:val="0"/>
              <w:autoSpaceDE w:val="0"/>
              <w:autoSpaceDN w:val="0"/>
              <w:spacing w:line="238" w:lineRule="exact"/>
              <w:rPr>
                <w:rFonts w:eastAsia="Calibri"/>
                <w:color w:val="auto"/>
                <w:sz w:val="22"/>
                <w:szCs w:val="22"/>
                <w:lang w:val="en-US" w:eastAsia="en-US"/>
              </w:rPr>
            </w:pPr>
            <w:r w:rsidRPr="00AE1B80">
              <w:rPr>
                <w:rFonts w:eastAsia="Calibri"/>
                <w:color w:val="auto"/>
                <w:sz w:val="22"/>
                <w:szCs w:val="22"/>
                <w:lang w:val="en-US" w:eastAsia="en-US"/>
              </w:rPr>
              <w:t>43</w:t>
            </w:r>
          </w:p>
        </w:tc>
      </w:tr>
      <w:tr w:rsidR="002C615E" w:rsidRPr="00452D62" w14:paraId="7D500954" w14:textId="77777777" w:rsidTr="007C6272">
        <w:trPr>
          <w:trHeight w:val="253"/>
        </w:trPr>
        <w:tc>
          <w:tcPr>
            <w:tcW w:w="2873" w:type="pct"/>
            <w:tcBorders>
              <w:top w:val="nil"/>
              <w:bottom w:val="nil"/>
            </w:tcBorders>
            <w:shd w:val="clear" w:color="auto" w:fill="auto"/>
          </w:tcPr>
          <w:p w14:paraId="317EB6BB" w14:textId="77777777" w:rsidR="002C615E" w:rsidRPr="00AE1B80" w:rsidRDefault="002C615E" w:rsidP="002C615E">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1172" w:type="pct"/>
            <w:tcBorders>
              <w:top w:val="nil"/>
              <w:bottom w:val="nil"/>
            </w:tcBorders>
            <w:shd w:val="clear" w:color="auto" w:fill="auto"/>
          </w:tcPr>
          <w:p w14:paraId="6534F42E" w14:textId="6778AFC5" w:rsidR="002C615E" w:rsidRPr="00AE1B80" w:rsidRDefault="002C615E" w:rsidP="002C615E">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E1B80">
              <w:rPr>
                <w:rFonts w:eastAsia="Calibri"/>
                <w:color w:val="auto"/>
                <w:sz w:val="22"/>
                <w:szCs w:val="22"/>
                <w:lang w:val="en-US" w:eastAsia="en-US"/>
              </w:rPr>
              <w:t>(38,2</w:t>
            </w:r>
            <w:r w:rsidR="008C3DF7">
              <w:rPr>
                <w:rFonts w:eastAsia="Calibri"/>
                <w:color w:val="auto"/>
                <w:sz w:val="22"/>
                <w:szCs w:val="22"/>
                <w:lang w:val="en-US" w:eastAsia="en-US"/>
              </w:rPr>
              <w:t> %</w:t>
            </w:r>
            <w:r w:rsidRPr="00AE1B80">
              <w:rPr>
                <w:rFonts w:eastAsia="Calibri"/>
                <w:color w:val="auto"/>
                <w:sz w:val="22"/>
                <w:szCs w:val="22"/>
                <w:lang w:val="en-US" w:eastAsia="en-US"/>
              </w:rPr>
              <w:t>, 95</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PI</w:t>
            </w:r>
          </w:p>
        </w:tc>
        <w:tc>
          <w:tcPr>
            <w:tcW w:w="955" w:type="pct"/>
            <w:tcBorders>
              <w:top w:val="nil"/>
              <w:bottom w:val="nil"/>
            </w:tcBorders>
            <w:shd w:val="clear" w:color="auto" w:fill="auto"/>
          </w:tcPr>
          <w:p w14:paraId="3B887728" w14:textId="3F5FC4A5" w:rsidR="002C615E" w:rsidRPr="00AE1B80" w:rsidRDefault="002C615E" w:rsidP="002C615E">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E1B80">
              <w:rPr>
                <w:rFonts w:eastAsia="Calibri"/>
                <w:color w:val="auto"/>
                <w:sz w:val="22"/>
                <w:szCs w:val="22"/>
                <w:lang w:val="en-US" w:eastAsia="en-US"/>
              </w:rPr>
              <w:t>(26,1</w:t>
            </w:r>
            <w:r w:rsidR="008C3DF7">
              <w:rPr>
                <w:rFonts w:eastAsia="Calibri"/>
                <w:color w:val="auto"/>
                <w:sz w:val="22"/>
                <w:szCs w:val="22"/>
                <w:lang w:val="en-US" w:eastAsia="en-US"/>
              </w:rPr>
              <w:t> %</w:t>
            </w:r>
            <w:r w:rsidRPr="00AE1B80">
              <w:rPr>
                <w:rFonts w:eastAsia="Calibri"/>
                <w:color w:val="auto"/>
                <w:sz w:val="22"/>
                <w:szCs w:val="22"/>
                <w:lang w:val="en-US" w:eastAsia="en-US"/>
              </w:rPr>
              <w:t>, 95</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PI</w:t>
            </w:r>
          </w:p>
        </w:tc>
      </w:tr>
      <w:tr w:rsidR="002C615E" w:rsidRPr="00452D62" w14:paraId="31AEB3E4" w14:textId="77777777" w:rsidTr="007C6272">
        <w:trPr>
          <w:trHeight w:val="336"/>
        </w:trPr>
        <w:tc>
          <w:tcPr>
            <w:tcW w:w="2873" w:type="pct"/>
            <w:tcBorders>
              <w:top w:val="nil"/>
            </w:tcBorders>
            <w:shd w:val="clear" w:color="auto" w:fill="auto"/>
          </w:tcPr>
          <w:p w14:paraId="0282C684" w14:textId="77777777" w:rsidR="002C615E" w:rsidRPr="00AE1B80" w:rsidRDefault="002C615E" w:rsidP="002C615E">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1172" w:type="pct"/>
            <w:tcBorders>
              <w:top w:val="nil"/>
            </w:tcBorders>
            <w:shd w:val="clear" w:color="auto" w:fill="auto"/>
          </w:tcPr>
          <w:p w14:paraId="6E06781D" w14:textId="59011CDD" w:rsidR="002C615E" w:rsidRPr="00AE1B80" w:rsidRDefault="002C615E" w:rsidP="002C615E">
            <w:pPr>
              <w:widowControl w:val="0"/>
              <w:tabs>
                <w:tab w:val="clear" w:pos="567"/>
              </w:tabs>
              <w:suppressAutoHyphens w:val="0"/>
              <w:autoSpaceDE w:val="0"/>
              <w:autoSpaceDN w:val="0"/>
              <w:spacing w:line="248" w:lineRule="exact"/>
              <w:rPr>
                <w:rFonts w:eastAsia="Calibri"/>
                <w:color w:val="auto"/>
                <w:sz w:val="22"/>
                <w:szCs w:val="22"/>
                <w:lang w:val="en-US" w:eastAsia="en-US"/>
              </w:rPr>
            </w:pPr>
            <w:r w:rsidRPr="00AE1B80">
              <w:rPr>
                <w:rFonts w:eastAsia="Calibri"/>
                <w:color w:val="auto"/>
                <w:sz w:val="22"/>
                <w:szCs w:val="22"/>
                <w:lang w:val="en-US" w:eastAsia="en-US"/>
              </w:rPr>
              <w:t>33,0</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- 43,5</w:t>
            </w:r>
            <w:r w:rsidR="008C3DF7">
              <w:rPr>
                <w:rFonts w:eastAsia="Calibri"/>
                <w:color w:val="auto"/>
                <w:sz w:val="22"/>
                <w:szCs w:val="22"/>
                <w:lang w:val="en-US" w:eastAsia="en-US"/>
              </w:rPr>
              <w:t> %</w:t>
            </w:r>
            <w:r w:rsidRPr="00AE1B80">
              <w:rPr>
                <w:rFonts w:eastAsia="Calibri"/>
                <w:color w:val="auto"/>
                <w:sz w:val="22"/>
                <w:szCs w:val="22"/>
                <w:lang w:val="en-US" w:eastAsia="en-US"/>
              </w:rPr>
              <w:t>)</w:t>
            </w:r>
          </w:p>
        </w:tc>
        <w:tc>
          <w:tcPr>
            <w:tcW w:w="955" w:type="pct"/>
            <w:tcBorders>
              <w:top w:val="nil"/>
            </w:tcBorders>
            <w:shd w:val="clear" w:color="auto" w:fill="auto"/>
          </w:tcPr>
          <w:p w14:paraId="093AD94A" w14:textId="033018D2" w:rsidR="002C615E" w:rsidRPr="00AE1B80" w:rsidRDefault="002C615E" w:rsidP="002C615E">
            <w:pPr>
              <w:widowControl w:val="0"/>
              <w:tabs>
                <w:tab w:val="clear" w:pos="567"/>
              </w:tabs>
              <w:suppressAutoHyphens w:val="0"/>
              <w:autoSpaceDE w:val="0"/>
              <w:autoSpaceDN w:val="0"/>
              <w:spacing w:line="248" w:lineRule="exact"/>
              <w:rPr>
                <w:rFonts w:eastAsia="Calibri"/>
                <w:color w:val="auto"/>
                <w:sz w:val="22"/>
                <w:szCs w:val="22"/>
                <w:lang w:val="en-US" w:eastAsia="en-US"/>
              </w:rPr>
            </w:pPr>
            <w:r w:rsidRPr="00AE1B80">
              <w:rPr>
                <w:rFonts w:eastAsia="Calibri"/>
                <w:color w:val="auto"/>
                <w:sz w:val="22"/>
                <w:szCs w:val="22"/>
                <w:lang w:val="en-US" w:eastAsia="en-US"/>
              </w:rPr>
              <w:t>19,8</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- 33.0</w:t>
            </w:r>
            <w:r w:rsidR="008C3DF7">
              <w:rPr>
                <w:rFonts w:eastAsia="Calibri"/>
                <w:color w:val="auto"/>
                <w:sz w:val="22"/>
                <w:szCs w:val="22"/>
                <w:lang w:val="en-US" w:eastAsia="en-US"/>
              </w:rPr>
              <w:t> %</w:t>
            </w:r>
            <w:r w:rsidRPr="00AE1B80">
              <w:rPr>
                <w:rFonts w:eastAsia="Calibri"/>
                <w:color w:val="auto"/>
                <w:sz w:val="22"/>
                <w:szCs w:val="22"/>
                <w:lang w:val="en-US" w:eastAsia="en-US"/>
              </w:rPr>
              <w:t>)</w:t>
            </w:r>
          </w:p>
        </w:tc>
      </w:tr>
      <w:tr w:rsidR="00062477" w:rsidRPr="00452D62" w14:paraId="43A8F010" w14:textId="77777777" w:rsidTr="007C6272">
        <w:trPr>
          <w:trHeight w:val="257"/>
        </w:trPr>
        <w:tc>
          <w:tcPr>
            <w:tcW w:w="2873" w:type="pct"/>
            <w:tcBorders>
              <w:bottom w:val="nil"/>
            </w:tcBorders>
            <w:shd w:val="clear" w:color="auto" w:fill="auto"/>
          </w:tcPr>
          <w:p w14:paraId="1637FAA9" w14:textId="49411644" w:rsidR="00062477" w:rsidRPr="00AE1B80" w:rsidRDefault="00062477" w:rsidP="00062477">
            <w:pPr>
              <w:widowControl w:val="0"/>
              <w:tabs>
                <w:tab w:val="clear" w:pos="567"/>
              </w:tabs>
              <w:suppressAutoHyphens w:val="0"/>
              <w:autoSpaceDE w:val="0"/>
              <w:autoSpaceDN w:val="0"/>
              <w:spacing w:line="238" w:lineRule="exact"/>
              <w:rPr>
                <w:rFonts w:eastAsia="Calibri"/>
                <w:color w:val="auto"/>
                <w:sz w:val="22"/>
              </w:rPr>
            </w:pPr>
            <w:r w:rsidRPr="00AE1B80">
              <w:rPr>
                <w:sz w:val="22"/>
                <w:szCs w:val="22"/>
              </w:rPr>
              <w:t>Sudėtiniai reiškiniai: simptominė pasikartojanti VTE + didysis kraujavimas (grynoji klinikinė nauda)</w:t>
            </w:r>
          </w:p>
        </w:tc>
        <w:tc>
          <w:tcPr>
            <w:tcW w:w="1172" w:type="pct"/>
            <w:tcBorders>
              <w:bottom w:val="nil"/>
            </w:tcBorders>
            <w:shd w:val="clear" w:color="auto" w:fill="auto"/>
          </w:tcPr>
          <w:p w14:paraId="7C97EE26" w14:textId="77777777" w:rsidR="00062477" w:rsidRPr="00AE1B80" w:rsidRDefault="00062477" w:rsidP="00062477">
            <w:pPr>
              <w:widowControl w:val="0"/>
              <w:tabs>
                <w:tab w:val="clear" w:pos="567"/>
              </w:tabs>
              <w:suppressAutoHyphens w:val="0"/>
              <w:autoSpaceDE w:val="0"/>
              <w:autoSpaceDN w:val="0"/>
              <w:spacing w:line="238" w:lineRule="exact"/>
              <w:rPr>
                <w:rFonts w:eastAsia="Calibri"/>
                <w:color w:val="auto"/>
                <w:sz w:val="22"/>
                <w:szCs w:val="22"/>
                <w:lang w:val="en-US" w:eastAsia="en-US"/>
              </w:rPr>
            </w:pPr>
            <w:r w:rsidRPr="00AE1B80">
              <w:rPr>
                <w:rFonts w:eastAsia="Calibri"/>
                <w:color w:val="auto"/>
                <w:w w:val="99"/>
                <w:sz w:val="22"/>
                <w:szCs w:val="22"/>
                <w:lang w:val="en-US" w:eastAsia="en-US"/>
              </w:rPr>
              <w:t>4</w:t>
            </w:r>
          </w:p>
        </w:tc>
        <w:tc>
          <w:tcPr>
            <w:tcW w:w="955" w:type="pct"/>
            <w:tcBorders>
              <w:bottom w:val="nil"/>
            </w:tcBorders>
            <w:shd w:val="clear" w:color="auto" w:fill="auto"/>
          </w:tcPr>
          <w:p w14:paraId="6B980FF4" w14:textId="77777777" w:rsidR="00062477" w:rsidRPr="00AE1B80" w:rsidRDefault="00062477" w:rsidP="00062477">
            <w:pPr>
              <w:widowControl w:val="0"/>
              <w:tabs>
                <w:tab w:val="clear" w:pos="567"/>
              </w:tabs>
              <w:suppressAutoHyphens w:val="0"/>
              <w:autoSpaceDE w:val="0"/>
              <w:autoSpaceDN w:val="0"/>
              <w:spacing w:line="238" w:lineRule="exact"/>
              <w:rPr>
                <w:rFonts w:eastAsia="Calibri"/>
                <w:color w:val="auto"/>
                <w:sz w:val="22"/>
                <w:szCs w:val="22"/>
                <w:lang w:val="en-US" w:eastAsia="en-US"/>
              </w:rPr>
            </w:pPr>
            <w:r w:rsidRPr="00AE1B80">
              <w:rPr>
                <w:rFonts w:eastAsia="Calibri"/>
                <w:color w:val="auto"/>
                <w:w w:val="99"/>
                <w:sz w:val="22"/>
                <w:szCs w:val="22"/>
                <w:lang w:val="en-US" w:eastAsia="en-US"/>
              </w:rPr>
              <w:t>7</w:t>
            </w:r>
          </w:p>
        </w:tc>
      </w:tr>
      <w:tr w:rsidR="00062477" w:rsidRPr="00452D62" w14:paraId="324A90D5" w14:textId="77777777" w:rsidTr="007C6272">
        <w:trPr>
          <w:trHeight w:val="253"/>
        </w:trPr>
        <w:tc>
          <w:tcPr>
            <w:tcW w:w="2873" w:type="pct"/>
            <w:tcBorders>
              <w:top w:val="nil"/>
              <w:bottom w:val="nil"/>
            </w:tcBorders>
            <w:shd w:val="clear" w:color="auto" w:fill="auto"/>
          </w:tcPr>
          <w:p w14:paraId="430E695C" w14:textId="4BB1BB00" w:rsidR="00062477" w:rsidRPr="00AE1B80" w:rsidRDefault="00062477" w:rsidP="00062477">
            <w:pPr>
              <w:widowControl w:val="0"/>
              <w:tabs>
                <w:tab w:val="clear" w:pos="567"/>
              </w:tabs>
              <w:suppressAutoHyphens w:val="0"/>
              <w:autoSpaceDE w:val="0"/>
              <w:autoSpaceDN w:val="0"/>
              <w:spacing w:line="233" w:lineRule="exact"/>
              <w:rPr>
                <w:rFonts w:eastAsia="Calibri"/>
                <w:color w:val="auto"/>
                <w:sz w:val="22"/>
                <w:szCs w:val="22"/>
                <w:lang w:val="en-US" w:eastAsia="en-US"/>
              </w:rPr>
            </w:pPr>
          </w:p>
        </w:tc>
        <w:tc>
          <w:tcPr>
            <w:tcW w:w="1172" w:type="pct"/>
            <w:tcBorders>
              <w:top w:val="nil"/>
              <w:bottom w:val="nil"/>
            </w:tcBorders>
            <w:shd w:val="clear" w:color="auto" w:fill="auto"/>
          </w:tcPr>
          <w:p w14:paraId="1AECB635" w14:textId="14F84EF4" w:rsidR="00062477" w:rsidRPr="00AE1B80" w:rsidRDefault="00062477" w:rsidP="00062477">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E1B80">
              <w:rPr>
                <w:rFonts w:eastAsia="Calibri"/>
                <w:color w:val="auto"/>
                <w:sz w:val="22"/>
                <w:szCs w:val="22"/>
                <w:lang w:val="en-US" w:eastAsia="en-US"/>
              </w:rPr>
              <w:t>(1,2</w:t>
            </w:r>
            <w:r w:rsidR="008C3DF7">
              <w:rPr>
                <w:rFonts w:eastAsia="Calibri"/>
                <w:color w:val="auto"/>
                <w:sz w:val="22"/>
                <w:szCs w:val="22"/>
                <w:lang w:val="en-US" w:eastAsia="en-US"/>
              </w:rPr>
              <w:t> %</w:t>
            </w:r>
            <w:r w:rsidRPr="00AE1B80">
              <w:rPr>
                <w:rFonts w:eastAsia="Calibri"/>
                <w:color w:val="auto"/>
                <w:sz w:val="22"/>
                <w:szCs w:val="22"/>
                <w:lang w:val="en-US" w:eastAsia="en-US"/>
              </w:rPr>
              <w:t>, 95</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PI</w:t>
            </w:r>
          </w:p>
        </w:tc>
        <w:tc>
          <w:tcPr>
            <w:tcW w:w="955" w:type="pct"/>
            <w:tcBorders>
              <w:top w:val="nil"/>
              <w:bottom w:val="nil"/>
            </w:tcBorders>
            <w:shd w:val="clear" w:color="auto" w:fill="auto"/>
          </w:tcPr>
          <w:p w14:paraId="0616C32F" w14:textId="303A8E93" w:rsidR="00062477" w:rsidRPr="00AE1B80" w:rsidRDefault="00062477" w:rsidP="00062477">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E1B80">
              <w:rPr>
                <w:rFonts w:eastAsia="Calibri"/>
                <w:color w:val="auto"/>
                <w:sz w:val="22"/>
                <w:szCs w:val="22"/>
                <w:lang w:val="en-US" w:eastAsia="en-US"/>
              </w:rPr>
              <w:t>(4,2</w:t>
            </w:r>
            <w:r w:rsidR="008C3DF7">
              <w:rPr>
                <w:rFonts w:eastAsia="Calibri"/>
                <w:color w:val="auto"/>
                <w:sz w:val="22"/>
                <w:szCs w:val="22"/>
                <w:lang w:val="en-US" w:eastAsia="en-US"/>
              </w:rPr>
              <w:t> %</w:t>
            </w:r>
            <w:r w:rsidRPr="00AE1B80">
              <w:rPr>
                <w:rFonts w:eastAsia="Calibri"/>
                <w:color w:val="auto"/>
                <w:sz w:val="22"/>
                <w:szCs w:val="22"/>
                <w:lang w:val="en-US" w:eastAsia="en-US"/>
              </w:rPr>
              <w:t>, 95</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PI</w:t>
            </w:r>
          </w:p>
        </w:tc>
      </w:tr>
      <w:tr w:rsidR="002C615E" w:rsidRPr="00452D62" w14:paraId="3FF4E14E" w14:textId="77777777" w:rsidTr="007C6272">
        <w:trPr>
          <w:trHeight w:val="462"/>
        </w:trPr>
        <w:tc>
          <w:tcPr>
            <w:tcW w:w="2873" w:type="pct"/>
            <w:tcBorders>
              <w:top w:val="nil"/>
            </w:tcBorders>
            <w:shd w:val="clear" w:color="auto" w:fill="auto"/>
          </w:tcPr>
          <w:p w14:paraId="71A2FC0A" w14:textId="77777777" w:rsidR="002C615E" w:rsidRPr="00AE1B80" w:rsidRDefault="002C615E" w:rsidP="002C615E">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1172" w:type="pct"/>
            <w:tcBorders>
              <w:top w:val="nil"/>
            </w:tcBorders>
            <w:shd w:val="clear" w:color="auto" w:fill="auto"/>
          </w:tcPr>
          <w:p w14:paraId="14AC0279" w14:textId="658E60FD" w:rsidR="002C615E" w:rsidRPr="00AE1B80" w:rsidRDefault="002C615E" w:rsidP="002C615E">
            <w:pPr>
              <w:widowControl w:val="0"/>
              <w:tabs>
                <w:tab w:val="clear" w:pos="567"/>
              </w:tabs>
              <w:suppressAutoHyphens w:val="0"/>
              <w:autoSpaceDE w:val="0"/>
              <w:autoSpaceDN w:val="0"/>
              <w:spacing w:line="248" w:lineRule="exact"/>
              <w:rPr>
                <w:rFonts w:eastAsia="Calibri"/>
                <w:color w:val="auto"/>
                <w:sz w:val="22"/>
                <w:szCs w:val="22"/>
                <w:lang w:val="en-US" w:eastAsia="en-US"/>
              </w:rPr>
            </w:pPr>
            <w:r w:rsidRPr="00AE1B80">
              <w:rPr>
                <w:rFonts w:eastAsia="Calibri"/>
                <w:color w:val="auto"/>
                <w:sz w:val="22"/>
                <w:szCs w:val="22"/>
                <w:lang w:val="en-US" w:eastAsia="en-US"/>
              </w:rPr>
              <w:t>0,4</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- 3,0</w:t>
            </w:r>
            <w:r w:rsidR="008C3DF7">
              <w:rPr>
                <w:rFonts w:eastAsia="Calibri"/>
                <w:color w:val="auto"/>
                <w:sz w:val="22"/>
                <w:szCs w:val="22"/>
                <w:lang w:val="en-US" w:eastAsia="en-US"/>
              </w:rPr>
              <w:t> %</w:t>
            </w:r>
            <w:r w:rsidRPr="00AE1B80">
              <w:rPr>
                <w:rFonts w:eastAsia="Calibri"/>
                <w:color w:val="auto"/>
                <w:sz w:val="22"/>
                <w:szCs w:val="22"/>
                <w:lang w:val="en-US" w:eastAsia="en-US"/>
              </w:rPr>
              <w:t>)</w:t>
            </w:r>
          </w:p>
        </w:tc>
        <w:tc>
          <w:tcPr>
            <w:tcW w:w="955" w:type="pct"/>
            <w:tcBorders>
              <w:top w:val="nil"/>
            </w:tcBorders>
            <w:shd w:val="clear" w:color="auto" w:fill="auto"/>
          </w:tcPr>
          <w:p w14:paraId="25E792BB" w14:textId="6DA36B2E" w:rsidR="002C615E" w:rsidRPr="00AE1B80" w:rsidRDefault="002C615E" w:rsidP="002C615E">
            <w:pPr>
              <w:widowControl w:val="0"/>
              <w:tabs>
                <w:tab w:val="clear" w:pos="567"/>
              </w:tabs>
              <w:suppressAutoHyphens w:val="0"/>
              <w:autoSpaceDE w:val="0"/>
              <w:autoSpaceDN w:val="0"/>
              <w:spacing w:line="248" w:lineRule="exact"/>
              <w:rPr>
                <w:rFonts w:eastAsia="Calibri"/>
                <w:color w:val="auto"/>
                <w:sz w:val="22"/>
                <w:szCs w:val="22"/>
                <w:lang w:val="en-US" w:eastAsia="en-US"/>
              </w:rPr>
            </w:pPr>
            <w:r w:rsidRPr="00AE1B80">
              <w:rPr>
                <w:rFonts w:eastAsia="Calibri"/>
                <w:color w:val="auto"/>
                <w:sz w:val="22"/>
                <w:szCs w:val="22"/>
                <w:lang w:val="en-US" w:eastAsia="en-US"/>
              </w:rPr>
              <w:t>2,0</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- 8,4</w:t>
            </w:r>
            <w:r w:rsidR="008C3DF7">
              <w:rPr>
                <w:rFonts w:eastAsia="Calibri"/>
                <w:color w:val="auto"/>
                <w:sz w:val="22"/>
                <w:szCs w:val="22"/>
                <w:lang w:val="en-US" w:eastAsia="en-US"/>
              </w:rPr>
              <w:t> %</w:t>
            </w:r>
            <w:r w:rsidRPr="00AE1B80">
              <w:rPr>
                <w:rFonts w:eastAsia="Calibri"/>
                <w:color w:val="auto"/>
                <w:sz w:val="22"/>
                <w:szCs w:val="22"/>
                <w:lang w:val="en-US" w:eastAsia="en-US"/>
              </w:rPr>
              <w:t>)</w:t>
            </w:r>
          </w:p>
        </w:tc>
      </w:tr>
      <w:tr w:rsidR="002C615E" w:rsidRPr="00452D62" w14:paraId="2016C2BA" w14:textId="77777777" w:rsidTr="007C6272">
        <w:trPr>
          <w:trHeight w:val="256"/>
        </w:trPr>
        <w:tc>
          <w:tcPr>
            <w:tcW w:w="2873" w:type="pct"/>
            <w:tcBorders>
              <w:bottom w:val="nil"/>
            </w:tcBorders>
            <w:shd w:val="clear" w:color="auto" w:fill="auto"/>
          </w:tcPr>
          <w:p w14:paraId="30745137" w14:textId="61DE105F" w:rsidR="002C615E" w:rsidRPr="00AE1B80" w:rsidRDefault="00062477" w:rsidP="002C615E">
            <w:pPr>
              <w:widowControl w:val="0"/>
              <w:tabs>
                <w:tab w:val="clear" w:pos="567"/>
              </w:tabs>
              <w:suppressAutoHyphens w:val="0"/>
              <w:autoSpaceDE w:val="0"/>
              <w:autoSpaceDN w:val="0"/>
              <w:spacing w:line="237" w:lineRule="exact"/>
              <w:rPr>
                <w:rFonts w:eastAsia="Calibri"/>
                <w:color w:val="auto"/>
                <w:sz w:val="22"/>
                <w:lang w:val="pt-PT"/>
              </w:rPr>
            </w:pPr>
            <w:r w:rsidRPr="00AE1B80">
              <w:rPr>
                <w:rFonts w:eastAsia="Calibri"/>
                <w:color w:val="auto"/>
                <w:sz w:val="22"/>
                <w:lang w:val="pt-PT"/>
              </w:rPr>
              <w:t>Mirtina arba ne mirtina plaučių embolija</w:t>
            </w:r>
          </w:p>
        </w:tc>
        <w:tc>
          <w:tcPr>
            <w:tcW w:w="1172" w:type="pct"/>
            <w:tcBorders>
              <w:bottom w:val="nil"/>
            </w:tcBorders>
            <w:shd w:val="clear" w:color="auto" w:fill="auto"/>
          </w:tcPr>
          <w:p w14:paraId="795C89B0" w14:textId="77777777" w:rsidR="002C615E" w:rsidRPr="00AE1B80" w:rsidRDefault="002C615E" w:rsidP="002C615E">
            <w:pPr>
              <w:widowControl w:val="0"/>
              <w:tabs>
                <w:tab w:val="clear" w:pos="567"/>
              </w:tabs>
              <w:suppressAutoHyphens w:val="0"/>
              <w:autoSpaceDE w:val="0"/>
              <w:autoSpaceDN w:val="0"/>
              <w:spacing w:line="237" w:lineRule="exact"/>
              <w:rPr>
                <w:rFonts w:eastAsia="Calibri"/>
                <w:color w:val="auto"/>
                <w:sz w:val="22"/>
                <w:szCs w:val="22"/>
                <w:lang w:val="en-US" w:eastAsia="en-US"/>
              </w:rPr>
            </w:pPr>
            <w:r w:rsidRPr="00AE1B80">
              <w:rPr>
                <w:rFonts w:eastAsia="Calibri"/>
                <w:color w:val="auto"/>
                <w:w w:val="99"/>
                <w:sz w:val="22"/>
                <w:szCs w:val="22"/>
                <w:lang w:val="en-US" w:eastAsia="en-US"/>
              </w:rPr>
              <w:t>1</w:t>
            </w:r>
          </w:p>
        </w:tc>
        <w:tc>
          <w:tcPr>
            <w:tcW w:w="955" w:type="pct"/>
            <w:tcBorders>
              <w:bottom w:val="nil"/>
            </w:tcBorders>
            <w:shd w:val="clear" w:color="auto" w:fill="auto"/>
          </w:tcPr>
          <w:p w14:paraId="6E1B158D" w14:textId="77777777" w:rsidR="002C615E" w:rsidRPr="00AE1B80" w:rsidRDefault="002C615E" w:rsidP="002C615E">
            <w:pPr>
              <w:widowControl w:val="0"/>
              <w:tabs>
                <w:tab w:val="clear" w:pos="567"/>
              </w:tabs>
              <w:suppressAutoHyphens w:val="0"/>
              <w:autoSpaceDE w:val="0"/>
              <w:autoSpaceDN w:val="0"/>
              <w:spacing w:line="237" w:lineRule="exact"/>
              <w:rPr>
                <w:rFonts w:eastAsia="Calibri"/>
                <w:color w:val="auto"/>
                <w:sz w:val="22"/>
                <w:szCs w:val="22"/>
                <w:lang w:val="en-US" w:eastAsia="en-US"/>
              </w:rPr>
            </w:pPr>
            <w:r w:rsidRPr="00AE1B80">
              <w:rPr>
                <w:rFonts w:eastAsia="Calibri"/>
                <w:color w:val="auto"/>
                <w:w w:val="99"/>
                <w:sz w:val="22"/>
                <w:szCs w:val="22"/>
                <w:lang w:val="en-US" w:eastAsia="en-US"/>
              </w:rPr>
              <w:t>1</w:t>
            </w:r>
          </w:p>
        </w:tc>
      </w:tr>
      <w:tr w:rsidR="002C615E" w:rsidRPr="00452D62" w14:paraId="5512925D" w14:textId="77777777" w:rsidTr="007C6272">
        <w:trPr>
          <w:trHeight w:val="252"/>
        </w:trPr>
        <w:tc>
          <w:tcPr>
            <w:tcW w:w="2873" w:type="pct"/>
            <w:tcBorders>
              <w:top w:val="nil"/>
              <w:bottom w:val="nil"/>
            </w:tcBorders>
            <w:shd w:val="clear" w:color="auto" w:fill="auto"/>
          </w:tcPr>
          <w:p w14:paraId="243920D4" w14:textId="77777777" w:rsidR="002C615E" w:rsidRPr="00AE1B80" w:rsidRDefault="002C615E" w:rsidP="002C615E">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1172" w:type="pct"/>
            <w:tcBorders>
              <w:top w:val="nil"/>
              <w:bottom w:val="nil"/>
            </w:tcBorders>
            <w:shd w:val="clear" w:color="auto" w:fill="auto"/>
          </w:tcPr>
          <w:p w14:paraId="3EAD34E4" w14:textId="0CB89189" w:rsidR="002C615E" w:rsidRPr="00AE1B80" w:rsidRDefault="002C615E" w:rsidP="002C615E">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E1B80">
              <w:rPr>
                <w:rFonts w:eastAsia="Calibri"/>
                <w:color w:val="auto"/>
                <w:sz w:val="22"/>
                <w:szCs w:val="22"/>
                <w:lang w:val="en-US" w:eastAsia="en-US"/>
              </w:rPr>
              <w:t>(0,3</w:t>
            </w:r>
            <w:r w:rsidR="008C3DF7">
              <w:rPr>
                <w:rFonts w:eastAsia="Calibri"/>
                <w:color w:val="auto"/>
                <w:sz w:val="22"/>
                <w:szCs w:val="22"/>
                <w:lang w:val="en-US" w:eastAsia="en-US"/>
              </w:rPr>
              <w:t> %</w:t>
            </w:r>
            <w:r w:rsidRPr="00AE1B80">
              <w:rPr>
                <w:rFonts w:eastAsia="Calibri"/>
                <w:color w:val="auto"/>
                <w:sz w:val="22"/>
                <w:szCs w:val="22"/>
                <w:lang w:val="en-US" w:eastAsia="en-US"/>
              </w:rPr>
              <w:t>, 95</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PI</w:t>
            </w:r>
          </w:p>
        </w:tc>
        <w:tc>
          <w:tcPr>
            <w:tcW w:w="955" w:type="pct"/>
            <w:tcBorders>
              <w:top w:val="nil"/>
              <w:bottom w:val="nil"/>
            </w:tcBorders>
            <w:shd w:val="clear" w:color="auto" w:fill="auto"/>
          </w:tcPr>
          <w:p w14:paraId="15D2DA6F" w14:textId="44D52A40" w:rsidR="002C615E" w:rsidRPr="00AE1B80" w:rsidRDefault="002C615E" w:rsidP="002C615E">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E1B80">
              <w:rPr>
                <w:rFonts w:eastAsia="Calibri"/>
                <w:color w:val="auto"/>
                <w:sz w:val="22"/>
                <w:szCs w:val="22"/>
                <w:lang w:val="en-US" w:eastAsia="en-US"/>
              </w:rPr>
              <w:t>(0,6</w:t>
            </w:r>
            <w:r w:rsidR="008C3DF7">
              <w:rPr>
                <w:rFonts w:eastAsia="Calibri"/>
                <w:color w:val="auto"/>
                <w:sz w:val="22"/>
                <w:szCs w:val="22"/>
                <w:lang w:val="en-US" w:eastAsia="en-US"/>
              </w:rPr>
              <w:t> %</w:t>
            </w:r>
            <w:r w:rsidRPr="00AE1B80">
              <w:rPr>
                <w:rFonts w:eastAsia="Calibri"/>
                <w:color w:val="auto"/>
                <w:sz w:val="22"/>
                <w:szCs w:val="22"/>
                <w:lang w:val="en-US" w:eastAsia="en-US"/>
              </w:rPr>
              <w:t>, 95</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PI</w:t>
            </w:r>
          </w:p>
        </w:tc>
      </w:tr>
      <w:tr w:rsidR="002C615E" w:rsidRPr="00452D62" w14:paraId="47CF4717" w14:textId="77777777" w:rsidTr="007C6272">
        <w:trPr>
          <w:trHeight w:val="334"/>
        </w:trPr>
        <w:tc>
          <w:tcPr>
            <w:tcW w:w="2873" w:type="pct"/>
            <w:tcBorders>
              <w:top w:val="nil"/>
              <w:bottom w:val="single" w:sz="4" w:space="0" w:color="000000"/>
            </w:tcBorders>
            <w:shd w:val="clear" w:color="auto" w:fill="auto"/>
          </w:tcPr>
          <w:p w14:paraId="4485E2E9" w14:textId="77777777" w:rsidR="002C615E" w:rsidRPr="00AE1B80" w:rsidRDefault="002C615E" w:rsidP="002C615E">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1172" w:type="pct"/>
            <w:tcBorders>
              <w:top w:val="nil"/>
              <w:bottom w:val="single" w:sz="4" w:space="0" w:color="000000"/>
            </w:tcBorders>
            <w:shd w:val="clear" w:color="auto" w:fill="auto"/>
          </w:tcPr>
          <w:p w14:paraId="5F5ED86A" w14:textId="5C94FA59" w:rsidR="002C615E" w:rsidRPr="00AE1B80" w:rsidRDefault="002C615E" w:rsidP="002C615E">
            <w:pPr>
              <w:widowControl w:val="0"/>
              <w:tabs>
                <w:tab w:val="clear" w:pos="567"/>
              </w:tabs>
              <w:suppressAutoHyphens w:val="0"/>
              <w:autoSpaceDE w:val="0"/>
              <w:autoSpaceDN w:val="0"/>
              <w:spacing w:line="248" w:lineRule="exact"/>
              <w:rPr>
                <w:rFonts w:eastAsia="Calibri"/>
                <w:color w:val="auto"/>
                <w:sz w:val="22"/>
                <w:szCs w:val="22"/>
                <w:lang w:val="en-US" w:eastAsia="en-US"/>
              </w:rPr>
            </w:pPr>
            <w:r w:rsidRPr="00AE1B80">
              <w:rPr>
                <w:rFonts w:eastAsia="Calibri"/>
                <w:color w:val="auto"/>
                <w:sz w:val="22"/>
                <w:szCs w:val="22"/>
                <w:lang w:val="en-US" w:eastAsia="en-US"/>
              </w:rPr>
              <w:t>0,0</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 1,6</w:t>
            </w:r>
            <w:r w:rsidR="008C3DF7">
              <w:rPr>
                <w:rFonts w:eastAsia="Calibri"/>
                <w:color w:val="auto"/>
                <w:sz w:val="22"/>
                <w:szCs w:val="22"/>
                <w:lang w:val="en-US" w:eastAsia="en-US"/>
              </w:rPr>
              <w:t> %</w:t>
            </w:r>
            <w:r w:rsidRPr="00AE1B80">
              <w:rPr>
                <w:rFonts w:eastAsia="Calibri"/>
                <w:color w:val="auto"/>
                <w:sz w:val="22"/>
                <w:szCs w:val="22"/>
                <w:lang w:val="en-US" w:eastAsia="en-US"/>
              </w:rPr>
              <w:t>)</w:t>
            </w:r>
          </w:p>
        </w:tc>
        <w:tc>
          <w:tcPr>
            <w:tcW w:w="955" w:type="pct"/>
            <w:tcBorders>
              <w:top w:val="nil"/>
              <w:bottom w:val="single" w:sz="4" w:space="0" w:color="000000"/>
            </w:tcBorders>
            <w:shd w:val="clear" w:color="auto" w:fill="auto"/>
          </w:tcPr>
          <w:p w14:paraId="54A13731" w14:textId="07E14887" w:rsidR="002C615E" w:rsidRPr="00AE1B80" w:rsidRDefault="002C615E" w:rsidP="002C615E">
            <w:pPr>
              <w:widowControl w:val="0"/>
              <w:tabs>
                <w:tab w:val="clear" w:pos="567"/>
              </w:tabs>
              <w:suppressAutoHyphens w:val="0"/>
              <w:autoSpaceDE w:val="0"/>
              <w:autoSpaceDN w:val="0"/>
              <w:spacing w:line="248" w:lineRule="exact"/>
              <w:rPr>
                <w:rFonts w:eastAsia="Calibri"/>
                <w:color w:val="auto"/>
                <w:sz w:val="22"/>
                <w:szCs w:val="22"/>
                <w:lang w:val="en-US" w:eastAsia="en-US"/>
              </w:rPr>
            </w:pPr>
            <w:r w:rsidRPr="00AE1B80">
              <w:rPr>
                <w:rFonts w:eastAsia="Calibri"/>
                <w:color w:val="auto"/>
                <w:sz w:val="22"/>
                <w:szCs w:val="22"/>
                <w:lang w:val="en-US" w:eastAsia="en-US"/>
              </w:rPr>
              <w:t>0,0</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 3,1</w:t>
            </w:r>
            <w:r w:rsidR="008C3DF7">
              <w:rPr>
                <w:rFonts w:eastAsia="Calibri"/>
                <w:color w:val="auto"/>
                <w:sz w:val="22"/>
                <w:szCs w:val="22"/>
                <w:lang w:val="en-US" w:eastAsia="en-US"/>
              </w:rPr>
              <w:t> %</w:t>
            </w:r>
            <w:r w:rsidRPr="00AE1B80">
              <w:rPr>
                <w:rFonts w:eastAsia="Calibri"/>
                <w:color w:val="auto"/>
                <w:sz w:val="22"/>
                <w:szCs w:val="22"/>
                <w:lang w:val="en-US" w:eastAsia="en-US"/>
              </w:rPr>
              <w:t>)</w:t>
            </w:r>
          </w:p>
        </w:tc>
      </w:tr>
    </w:tbl>
    <w:p w14:paraId="4C4C66E4" w14:textId="4E7E68D5" w:rsidR="002C615E" w:rsidRPr="000877E9" w:rsidRDefault="008C7CD5" w:rsidP="002C615E">
      <w:pPr>
        <w:spacing w:line="240" w:lineRule="auto"/>
        <w:rPr>
          <w:sz w:val="22"/>
          <w:szCs w:val="22"/>
        </w:rPr>
      </w:pPr>
      <w:r w:rsidRPr="00452D62">
        <w:rPr>
          <w:sz w:val="22"/>
          <w:szCs w:val="22"/>
        </w:rPr>
        <w:t>*VAG = visa analizės grupė, visi vaikai, kurie buvo atrinkti atsitiktinių imčių būdu</w:t>
      </w:r>
    </w:p>
    <w:p w14:paraId="65C76004" w14:textId="77777777" w:rsidR="008C7CD5" w:rsidRPr="00452D62" w:rsidRDefault="008C7CD5" w:rsidP="008C7CD5">
      <w:pPr>
        <w:spacing w:line="240" w:lineRule="auto"/>
        <w:rPr>
          <w:sz w:val="22"/>
          <w:szCs w:val="22"/>
        </w:rPr>
      </w:pPr>
    </w:p>
    <w:p w14:paraId="23AD8CAD" w14:textId="31DF7CE6" w:rsidR="008C7CD5" w:rsidRPr="00AE1B80" w:rsidRDefault="008C7CD5" w:rsidP="008C7CD5">
      <w:pPr>
        <w:spacing w:line="240" w:lineRule="auto"/>
        <w:rPr>
          <w:b/>
          <w:sz w:val="22"/>
          <w:szCs w:val="22"/>
        </w:rPr>
      </w:pPr>
      <w:r w:rsidRPr="00AE1B80">
        <w:rPr>
          <w:b/>
          <w:sz w:val="22"/>
          <w:szCs w:val="22"/>
        </w:rPr>
        <w:t>12 lentelė. Saugumo rezultatai pagrindinio gydymo laikotarpio pabaigoje</w:t>
      </w:r>
    </w:p>
    <w:tbl>
      <w:tblPr>
        <w:tblW w:w="5000" w:type="pct"/>
        <w:tblBorders>
          <w:top w:val="single" w:sz="4" w:space="0" w:color="7E7E7E"/>
          <w:left w:val="single" w:sz="4" w:space="0" w:color="7E7E7E"/>
          <w:bottom w:val="single" w:sz="4" w:space="0" w:color="7E7E7E"/>
          <w:right w:val="single" w:sz="4" w:space="0" w:color="7E7E7E"/>
          <w:insideH w:val="single" w:sz="4" w:space="0" w:color="7E7E7E"/>
          <w:insideV w:val="single" w:sz="4" w:space="0" w:color="7E7E7E"/>
        </w:tblBorders>
        <w:tblCellMar>
          <w:left w:w="0" w:type="dxa"/>
          <w:right w:w="0" w:type="dxa"/>
        </w:tblCellMar>
        <w:tblLook w:val="01E0" w:firstRow="1" w:lastRow="1" w:firstColumn="1" w:lastColumn="1" w:noHBand="0" w:noVBand="0"/>
      </w:tblPr>
      <w:tblGrid>
        <w:gridCol w:w="4990"/>
        <w:gridCol w:w="2035"/>
        <w:gridCol w:w="2035"/>
      </w:tblGrid>
      <w:tr w:rsidR="008C7CD5" w:rsidRPr="00452D62" w14:paraId="452B74B5" w14:textId="77777777" w:rsidTr="007C6272">
        <w:trPr>
          <w:trHeight w:val="506"/>
        </w:trPr>
        <w:tc>
          <w:tcPr>
            <w:tcW w:w="2753" w:type="pct"/>
            <w:shd w:val="clear" w:color="auto" w:fill="auto"/>
          </w:tcPr>
          <w:p w14:paraId="4ACC2328" w14:textId="77777777" w:rsidR="008C7CD5" w:rsidRPr="00AE1B80" w:rsidRDefault="008C7CD5" w:rsidP="008C7CD5">
            <w:pPr>
              <w:widowControl w:val="0"/>
              <w:tabs>
                <w:tab w:val="clear" w:pos="567"/>
              </w:tabs>
              <w:suppressAutoHyphens w:val="0"/>
              <w:autoSpaceDE w:val="0"/>
              <w:autoSpaceDN w:val="0"/>
              <w:spacing w:line="240" w:lineRule="auto"/>
              <w:rPr>
                <w:rFonts w:eastAsia="Calibri"/>
                <w:color w:val="auto"/>
                <w:sz w:val="22"/>
                <w:lang w:val="pt-PT"/>
              </w:rPr>
            </w:pPr>
          </w:p>
        </w:tc>
        <w:tc>
          <w:tcPr>
            <w:tcW w:w="1123" w:type="pct"/>
            <w:shd w:val="clear" w:color="auto" w:fill="auto"/>
          </w:tcPr>
          <w:p w14:paraId="146D8230" w14:textId="6404EF3C" w:rsidR="008C7CD5" w:rsidRPr="00AE1B80" w:rsidRDefault="000D7104" w:rsidP="008C7CD5">
            <w:pPr>
              <w:widowControl w:val="0"/>
              <w:tabs>
                <w:tab w:val="clear" w:pos="567"/>
              </w:tabs>
              <w:suppressAutoHyphens w:val="0"/>
              <w:autoSpaceDE w:val="0"/>
              <w:autoSpaceDN w:val="0"/>
              <w:spacing w:before="2" w:line="254" w:lineRule="exact"/>
              <w:rPr>
                <w:rFonts w:eastAsia="Calibri"/>
                <w:b/>
                <w:color w:val="auto"/>
                <w:sz w:val="22"/>
                <w:szCs w:val="22"/>
                <w:lang w:val="en-US" w:eastAsia="en-US"/>
              </w:rPr>
            </w:pPr>
            <w:r w:rsidRPr="00AE1B80">
              <w:rPr>
                <w:rFonts w:eastAsia="Calibri"/>
                <w:b/>
                <w:color w:val="auto"/>
                <w:sz w:val="22"/>
                <w:szCs w:val="22"/>
                <w:lang w:val="en-US" w:eastAsia="en-US"/>
              </w:rPr>
              <w:t>Rivaksabanas</w:t>
            </w:r>
            <w:r w:rsidR="008C7CD5" w:rsidRPr="00AE1B80">
              <w:rPr>
                <w:rFonts w:eastAsia="Calibri"/>
                <w:b/>
                <w:color w:val="auto"/>
                <w:sz w:val="22"/>
                <w:szCs w:val="22"/>
                <w:lang w:val="en-US" w:eastAsia="en-US"/>
              </w:rPr>
              <w:t xml:space="preserve"> N=329*</w:t>
            </w:r>
          </w:p>
        </w:tc>
        <w:tc>
          <w:tcPr>
            <w:tcW w:w="1123" w:type="pct"/>
            <w:shd w:val="clear" w:color="auto" w:fill="auto"/>
          </w:tcPr>
          <w:p w14:paraId="482817F2" w14:textId="6CCF8B93" w:rsidR="008C7CD5" w:rsidRPr="00AE1B80" w:rsidRDefault="000D7104" w:rsidP="008C7CD5">
            <w:pPr>
              <w:widowControl w:val="0"/>
              <w:tabs>
                <w:tab w:val="clear" w:pos="567"/>
              </w:tabs>
              <w:suppressAutoHyphens w:val="0"/>
              <w:autoSpaceDE w:val="0"/>
              <w:autoSpaceDN w:val="0"/>
              <w:spacing w:before="2" w:line="254" w:lineRule="exact"/>
              <w:rPr>
                <w:rFonts w:eastAsia="Calibri"/>
                <w:b/>
                <w:color w:val="auto"/>
                <w:sz w:val="22"/>
                <w:szCs w:val="22"/>
                <w:lang w:val="en-US" w:eastAsia="en-US"/>
              </w:rPr>
            </w:pPr>
            <w:r w:rsidRPr="00AE1B80">
              <w:rPr>
                <w:rFonts w:eastAsia="Calibri"/>
                <w:b/>
                <w:color w:val="auto"/>
                <w:sz w:val="22"/>
                <w:szCs w:val="22"/>
                <w:lang w:val="en-US" w:eastAsia="en-US"/>
              </w:rPr>
              <w:t>Palyginamasis vaistinis preparatas</w:t>
            </w:r>
            <w:r w:rsidR="008C7CD5" w:rsidRPr="00AE1B80">
              <w:rPr>
                <w:rFonts w:eastAsia="Calibri"/>
                <w:b/>
                <w:color w:val="auto"/>
                <w:sz w:val="22"/>
                <w:szCs w:val="22"/>
                <w:lang w:val="en-US" w:eastAsia="en-US"/>
              </w:rPr>
              <w:t xml:space="preserve"> N=162*</w:t>
            </w:r>
          </w:p>
        </w:tc>
      </w:tr>
      <w:tr w:rsidR="008C7CD5" w:rsidRPr="00452D62" w14:paraId="52C514B8" w14:textId="77777777" w:rsidTr="007C6272">
        <w:trPr>
          <w:trHeight w:val="753"/>
        </w:trPr>
        <w:tc>
          <w:tcPr>
            <w:tcW w:w="2753" w:type="pct"/>
            <w:shd w:val="clear" w:color="auto" w:fill="auto"/>
          </w:tcPr>
          <w:p w14:paraId="2F291CC5" w14:textId="2B24E574" w:rsidR="008C7CD5" w:rsidRPr="00AE1B80" w:rsidRDefault="00BE48D2" w:rsidP="008C7CD5">
            <w:pPr>
              <w:widowControl w:val="0"/>
              <w:tabs>
                <w:tab w:val="clear" w:pos="567"/>
              </w:tabs>
              <w:suppressAutoHyphens w:val="0"/>
              <w:autoSpaceDE w:val="0"/>
              <w:autoSpaceDN w:val="0"/>
              <w:spacing w:line="240" w:lineRule="auto"/>
              <w:rPr>
                <w:rFonts w:eastAsia="Calibri"/>
                <w:color w:val="auto"/>
                <w:sz w:val="22"/>
              </w:rPr>
            </w:pPr>
            <w:r w:rsidRPr="00AE1B80">
              <w:rPr>
                <w:rFonts w:eastAsia="Calibri"/>
                <w:color w:val="auto"/>
                <w:sz w:val="22"/>
              </w:rPr>
              <w:t>Sudėtiniai reiškiniai: didysis kraujavimas + KRNDK (pirminė saugumo vertinamoji baigtis)</w:t>
            </w:r>
          </w:p>
        </w:tc>
        <w:tc>
          <w:tcPr>
            <w:tcW w:w="1123" w:type="pct"/>
            <w:shd w:val="clear" w:color="auto" w:fill="auto"/>
          </w:tcPr>
          <w:p w14:paraId="57418350" w14:textId="77777777" w:rsidR="008C7CD5" w:rsidRPr="00AE1B80" w:rsidRDefault="008C7CD5" w:rsidP="008C7CD5">
            <w:pPr>
              <w:widowControl w:val="0"/>
              <w:tabs>
                <w:tab w:val="clear" w:pos="567"/>
              </w:tabs>
              <w:suppressAutoHyphens w:val="0"/>
              <w:autoSpaceDE w:val="0"/>
              <w:autoSpaceDN w:val="0"/>
              <w:spacing w:line="249" w:lineRule="exact"/>
              <w:rPr>
                <w:rFonts w:eastAsia="Calibri"/>
                <w:color w:val="auto"/>
                <w:sz w:val="22"/>
                <w:szCs w:val="22"/>
                <w:lang w:val="en-US" w:eastAsia="en-US"/>
              </w:rPr>
            </w:pPr>
            <w:r w:rsidRPr="00AE1B80">
              <w:rPr>
                <w:rFonts w:eastAsia="Calibri"/>
                <w:color w:val="auto"/>
                <w:sz w:val="22"/>
                <w:szCs w:val="22"/>
                <w:lang w:val="en-US" w:eastAsia="en-US"/>
              </w:rPr>
              <w:t>10</w:t>
            </w:r>
          </w:p>
          <w:p w14:paraId="0757746D" w14:textId="62DE6A18" w:rsidR="008C7CD5" w:rsidRPr="00AE1B80" w:rsidRDefault="000D7104" w:rsidP="008C7CD5">
            <w:pPr>
              <w:widowControl w:val="0"/>
              <w:tabs>
                <w:tab w:val="clear" w:pos="567"/>
              </w:tabs>
              <w:suppressAutoHyphens w:val="0"/>
              <w:autoSpaceDE w:val="0"/>
              <w:autoSpaceDN w:val="0"/>
              <w:spacing w:line="252" w:lineRule="exact"/>
              <w:rPr>
                <w:rFonts w:eastAsia="Calibri"/>
                <w:color w:val="auto"/>
                <w:sz w:val="22"/>
                <w:szCs w:val="22"/>
                <w:lang w:val="en-US" w:eastAsia="en-US"/>
              </w:rPr>
            </w:pPr>
            <w:r w:rsidRPr="00AE1B80">
              <w:rPr>
                <w:rFonts w:eastAsia="Calibri"/>
                <w:color w:val="auto"/>
                <w:sz w:val="22"/>
                <w:szCs w:val="22"/>
                <w:lang w:val="en-US" w:eastAsia="en-US"/>
              </w:rPr>
              <w:t>(3,0</w:t>
            </w:r>
            <w:r w:rsidR="008C3DF7">
              <w:rPr>
                <w:rFonts w:eastAsia="Calibri"/>
                <w:color w:val="auto"/>
                <w:sz w:val="22"/>
                <w:szCs w:val="22"/>
                <w:lang w:val="en-US" w:eastAsia="en-US"/>
              </w:rPr>
              <w:t> %</w:t>
            </w:r>
            <w:r w:rsidRPr="00AE1B80">
              <w:rPr>
                <w:rFonts w:eastAsia="Calibri"/>
                <w:color w:val="auto"/>
                <w:sz w:val="22"/>
                <w:szCs w:val="22"/>
                <w:lang w:val="en-US" w:eastAsia="en-US"/>
              </w:rPr>
              <w:t>, 95</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P</w:t>
            </w:r>
            <w:r w:rsidR="008C7CD5" w:rsidRPr="00AE1B80">
              <w:rPr>
                <w:rFonts w:eastAsia="Calibri"/>
                <w:color w:val="auto"/>
                <w:sz w:val="22"/>
                <w:szCs w:val="22"/>
                <w:lang w:val="en-US" w:eastAsia="en-US"/>
              </w:rPr>
              <w:t>I</w:t>
            </w:r>
          </w:p>
          <w:p w14:paraId="411A1D57" w14:textId="08CA0504" w:rsidR="008C7CD5" w:rsidRPr="00AE1B80" w:rsidRDefault="000D7104" w:rsidP="008C7CD5">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E1B80">
              <w:rPr>
                <w:rFonts w:eastAsia="Calibri"/>
                <w:color w:val="auto"/>
                <w:sz w:val="22"/>
                <w:szCs w:val="22"/>
                <w:lang w:val="en-US" w:eastAsia="en-US"/>
              </w:rPr>
              <w:t>1,6</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- 5,</w:t>
            </w:r>
            <w:r w:rsidR="008C7CD5" w:rsidRPr="00AE1B80">
              <w:rPr>
                <w:rFonts w:eastAsia="Calibri"/>
                <w:color w:val="auto"/>
                <w:sz w:val="22"/>
                <w:szCs w:val="22"/>
                <w:lang w:val="en-US" w:eastAsia="en-US"/>
              </w:rPr>
              <w:t>5</w:t>
            </w:r>
            <w:r w:rsidR="008C3DF7">
              <w:rPr>
                <w:rFonts w:eastAsia="Calibri"/>
                <w:color w:val="auto"/>
                <w:sz w:val="22"/>
                <w:szCs w:val="22"/>
                <w:lang w:val="en-US" w:eastAsia="en-US"/>
              </w:rPr>
              <w:t> %</w:t>
            </w:r>
            <w:r w:rsidR="008C7CD5" w:rsidRPr="00AE1B80">
              <w:rPr>
                <w:rFonts w:eastAsia="Calibri"/>
                <w:color w:val="auto"/>
                <w:sz w:val="22"/>
                <w:szCs w:val="22"/>
                <w:lang w:val="en-US" w:eastAsia="en-US"/>
              </w:rPr>
              <w:t>)</w:t>
            </w:r>
          </w:p>
        </w:tc>
        <w:tc>
          <w:tcPr>
            <w:tcW w:w="1123" w:type="pct"/>
            <w:shd w:val="clear" w:color="auto" w:fill="auto"/>
          </w:tcPr>
          <w:p w14:paraId="21E45EBC" w14:textId="77777777" w:rsidR="008C7CD5" w:rsidRPr="00AE1B80" w:rsidRDefault="008C7CD5" w:rsidP="008C7CD5">
            <w:pPr>
              <w:widowControl w:val="0"/>
              <w:tabs>
                <w:tab w:val="clear" w:pos="567"/>
              </w:tabs>
              <w:suppressAutoHyphens w:val="0"/>
              <w:autoSpaceDE w:val="0"/>
              <w:autoSpaceDN w:val="0"/>
              <w:spacing w:line="249" w:lineRule="exact"/>
              <w:rPr>
                <w:rFonts w:eastAsia="Calibri"/>
                <w:color w:val="auto"/>
                <w:sz w:val="22"/>
                <w:szCs w:val="22"/>
                <w:lang w:val="en-US" w:eastAsia="en-US"/>
              </w:rPr>
            </w:pPr>
            <w:r w:rsidRPr="00AE1B80">
              <w:rPr>
                <w:rFonts w:eastAsia="Calibri"/>
                <w:color w:val="auto"/>
                <w:w w:val="99"/>
                <w:sz w:val="22"/>
                <w:szCs w:val="22"/>
                <w:lang w:val="en-US" w:eastAsia="en-US"/>
              </w:rPr>
              <w:t>3</w:t>
            </w:r>
          </w:p>
          <w:p w14:paraId="51131AC0" w14:textId="6BFCF1D6" w:rsidR="008C7CD5" w:rsidRPr="00AE1B80" w:rsidRDefault="000D7104" w:rsidP="008C7CD5">
            <w:pPr>
              <w:widowControl w:val="0"/>
              <w:tabs>
                <w:tab w:val="clear" w:pos="567"/>
              </w:tabs>
              <w:suppressAutoHyphens w:val="0"/>
              <w:autoSpaceDE w:val="0"/>
              <w:autoSpaceDN w:val="0"/>
              <w:spacing w:line="252" w:lineRule="exact"/>
              <w:rPr>
                <w:rFonts w:eastAsia="Calibri"/>
                <w:color w:val="auto"/>
                <w:sz w:val="22"/>
                <w:szCs w:val="22"/>
                <w:lang w:val="en-US" w:eastAsia="en-US"/>
              </w:rPr>
            </w:pPr>
            <w:r w:rsidRPr="00AE1B80">
              <w:rPr>
                <w:rFonts w:eastAsia="Calibri"/>
                <w:color w:val="auto"/>
                <w:sz w:val="22"/>
                <w:szCs w:val="22"/>
                <w:lang w:val="en-US" w:eastAsia="en-US"/>
              </w:rPr>
              <w:t>(1,9</w:t>
            </w:r>
            <w:r w:rsidR="008C3DF7">
              <w:rPr>
                <w:rFonts w:eastAsia="Calibri"/>
                <w:color w:val="auto"/>
                <w:sz w:val="22"/>
                <w:szCs w:val="22"/>
                <w:lang w:val="en-US" w:eastAsia="en-US"/>
              </w:rPr>
              <w:t> %</w:t>
            </w:r>
            <w:r w:rsidRPr="00AE1B80">
              <w:rPr>
                <w:rFonts w:eastAsia="Calibri"/>
                <w:color w:val="auto"/>
                <w:sz w:val="22"/>
                <w:szCs w:val="22"/>
                <w:lang w:val="en-US" w:eastAsia="en-US"/>
              </w:rPr>
              <w:t>, 95</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P</w:t>
            </w:r>
            <w:r w:rsidR="008C7CD5" w:rsidRPr="00AE1B80">
              <w:rPr>
                <w:rFonts w:eastAsia="Calibri"/>
                <w:color w:val="auto"/>
                <w:sz w:val="22"/>
                <w:szCs w:val="22"/>
                <w:lang w:val="en-US" w:eastAsia="en-US"/>
              </w:rPr>
              <w:t>I</w:t>
            </w:r>
          </w:p>
          <w:p w14:paraId="64F62A63" w14:textId="1FA927D1" w:rsidR="008C7CD5" w:rsidRPr="00AE1B80" w:rsidRDefault="000D7104" w:rsidP="008C7CD5">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E1B80">
              <w:rPr>
                <w:rFonts w:eastAsia="Calibri"/>
                <w:color w:val="auto"/>
                <w:sz w:val="22"/>
                <w:szCs w:val="22"/>
                <w:lang w:val="en-US" w:eastAsia="en-US"/>
              </w:rPr>
              <w:t>0,5</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- 5,</w:t>
            </w:r>
            <w:r w:rsidR="008C7CD5" w:rsidRPr="00AE1B80">
              <w:rPr>
                <w:rFonts w:eastAsia="Calibri"/>
                <w:color w:val="auto"/>
                <w:sz w:val="22"/>
                <w:szCs w:val="22"/>
                <w:lang w:val="en-US" w:eastAsia="en-US"/>
              </w:rPr>
              <w:t>3</w:t>
            </w:r>
            <w:r w:rsidR="008C3DF7">
              <w:rPr>
                <w:rFonts w:eastAsia="Calibri"/>
                <w:color w:val="auto"/>
                <w:sz w:val="22"/>
                <w:szCs w:val="22"/>
                <w:lang w:val="en-US" w:eastAsia="en-US"/>
              </w:rPr>
              <w:t> %</w:t>
            </w:r>
            <w:r w:rsidR="008C7CD5" w:rsidRPr="00AE1B80">
              <w:rPr>
                <w:rFonts w:eastAsia="Calibri"/>
                <w:color w:val="auto"/>
                <w:sz w:val="22"/>
                <w:szCs w:val="22"/>
                <w:lang w:val="en-US" w:eastAsia="en-US"/>
              </w:rPr>
              <w:t>)</w:t>
            </w:r>
          </w:p>
        </w:tc>
      </w:tr>
      <w:tr w:rsidR="008C7CD5" w:rsidRPr="00452D62" w14:paraId="3A548170" w14:textId="77777777" w:rsidTr="007C6272">
        <w:trPr>
          <w:trHeight w:val="759"/>
        </w:trPr>
        <w:tc>
          <w:tcPr>
            <w:tcW w:w="2753" w:type="pct"/>
            <w:shd w:val="clear" w:color="auto" w:fill="auto"/>
          </w:tcPr>
          <w:p w14:paraId="6DB8C13D" w14:textId="0710285D" w:rsidR="008C7CD5" w:rsidRPr="00AE1B80" w:rsidRDefault="00BE48D2" w:rsidP="008C7CD5">
            <w:pPr>
              <w:widowControl w:val="0"/>
              <w:tabs>
                <w:tab w:val="clear" w:pos="567"/>
              </w:tabs>
              <w:suppressAutoHyphens w:val="0"/>
              <w:autoSpaceDE w:val="0"/>
              <w:autoSpaceDN w:val="0"/>
              <w:spacing w:before="1" w:line="240" w:lineRule="auto"/>
              <w:rPr>
                <w:rFonts w:eastAsia="Calibri"/>
                <w:color w:val="auto"/>
                <w:sz w:val="22"/>
                <w:szCs w:val="22"/>
                <w:lang w:val="en-US" w:eastAsia="en-US"/>
              </w:rPr>
            </w:pPr>
            <w:r w:rsidRPr="00AE1B80">
              <w:rPr>
                <w:rFonts w:eastAsia="Calibri"/>
                <w:color w:val="auto"/>
                <w:sz w:val="22"/>
                <w:szCs w:val="22"/>
                <w:lang w:val="en-US" w:eastAsia="en-US"/>
              </w:rPr>
              <w:t>Didysis kraujavimas</w:t>
            </w:r>
          </w:p>
        </w:tc>
        <w:tc>
          <w:tcPr>
            <w:tcW w:w="1123" w:type="pct"/>
            <w:shd w:val="clear" w:color="auto" w:fill="auto"/>
          </w:tcPr>
          <w:p w14:paraId="63DA3EAA" w14:textId="77777777" w:rsidR="008C7CD5" w:rsidRPr="00AE1B80" w:rsidRDefault="008C7CD5" w:rsidP="008C7CD5">
            <w:pPr>
              <w:widowControl w:val="0"/>
              <w:tabs>
                <w:tab w:val="clear" w:pos="567"/>
              </w:tabs>
              <w:suppressAutoHyphens w:val="0"/>
              <w:autoSpaceDE w:val="0"/>
              <w:autoSpaceDN w:val="0"/>
              <w:spacing w:before="1" w:line="252" w:lineRule="exact"/>
              <w:rPr>
                <w:rFonts w:eastAsia="Calibri"/>
                <w:color w:val="auto"/>
                <w:sz w:val="22"/>
                <w:szCs w:val="22"/>
                <w:lang w:val="en-US" w:eastAsia="en-US"/>
              </w:rPr>
            </w:pPr>
            <w:r w:rsidRPr="00AE1B80">
              <w:rPr>
                <w:rFonts w:eastAsia="Calibri"/>
                <w:color w:val="auto"/>
                <w:w w:val="99"/>
                <w:sz w:val="22"/>
                <w:szCs w:val="22"/>
                <w:lang w:val="en-US" w:eastAsia="en-US"/>
              </w:rPr>
              <w:t>0</w:t>
            </w:r>
          </w:p>
          <w:p w14:paraId="46A2E330" w14:textId="3AAF3B88" w:rsidR="008C7CD5" w:rsidRPr="00AE1B80" w:rsidRDefault="000D7104" w:rsidP="008C7CD5">
            <w:pPr>
              <w:widowControl w:val="0"/>
              <w:tabs>
                <w:tab w:val="clear" w:pos="567"/>
              </w:tabs>
              <w:suppressAutoHyphens w:val="0"/>
              <w:autoSpaceDE w:val="0"/>
              <w:autoSpaceDN w:val="0"/>
              <w:spacing w:line="252" w:lineRule="exact"/>
              <w:rPr>
                <w:rFonts w:eastAsia="Calibri"/>
                <w:color w:val="auto"/>
                <w:sz w:val="22"/>
                <w:szCs w:val="22"/>
                <w:lang w:val="en-US" w:eastAsia="en-US"/>
              </w:rPr>
            </w:pPr>
            <w:r w:rsidRPr="00AE1B80">
              <w:rPr>
                <w:rFonts w:eastAsia="Calibri"/>
                <w:color w:val="auto"/>
                <w:sz w:val="22"/>
                <w:szCs w:val="22"/>
                <w:lang w:val="en-US" w:eastAsia="en-US"/>
              </w:rPr>
              <w:t>(0,0</w:t>
            </w:r>
            <w:r w:rsidR="008C3DF7">
              <w:rPr>
                <w:rFonts w:eastAsia="Calibri"/>
                <w:color w:val="auto"/>
                <w:sz w:val="22"/>
                <w:szCs w:val="22"/>
                <w:lang w:val="en-US" w:eastAsia="en-US"/>
              </w:rPr>
              <w:t> %</w:t>
            </w:r>
            <w:r w:rsidRPr="00AE1B80">
              <w:rPr>
                <w:rFonts w:eastAsia="Calibri"/>
                <w:color w:val="auto"/>
                <w:sz w:val="22"/>
                <w:szCs w:val="22"/>
                <w:lang w:val="en-US" w:eastAsia="en-US"/>
              </w:rPr>
              <w:t>, 95</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P</w:t>
            </w:r>
            <w:r w:rsidR="008C7CD5" w:rsidRPr="00AE1B80">
              <w:rPr>
                <w:rFonts w:eastAsia="Calibri"/>
                <w:color w:val="auto"/>
                <w:sz w:val="22"/>
                <w:szCs w:val="22"/>
                <w:lang w:val="en-US" w:eastAsia="en-US"/>
              </w:rPr>
              <w:t>I</w:t>
            </w:r>
          </w:p>
          <w:p w14:paraId="71F283B3" w14:textId="62771F58" w:rsidR="008C7CD5" w:rsidRPr="00AE1B80" w:rsidRDefault="000D7104" w:rsidP="008C7CD5">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E1B80">
              <w:rPr>
                <w:rFonts w:eastAsia="Calibri"/>
                <w:color w:val="auto"/>
                <w:sz w:val="22"/>
                <w:szCs w:val="22"/>
                <w:lang w:val="en-US" w:eastAsia="en-US"/>
              </w:rPr>
              <w:t>0,0</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- 1,</w:t>
            </w:r>
            <w:r w:rsidR="008C7CD5" w:rsidRPr="00AE1B80">
              <w:rPr>
                <w:rFonts w:eastAsia="Calibri"/>
                <w:color w:val="auto"/>
                <w:sz w:val="22"/>
                <w:szCs w:val="22"/>
                <w:lang w:val="en-US" w:eastAsia="en-US"/>
              </w:rPr>
              <w:t>1</w:t>
            </w:r>
            <w:r w:rsidR="008C3DF7">
              <w:rPr>
                <w:rFonts w:eastAsia="Calibri"/>
                <w:color w:val="auto"/>
                <w:sz w:val="22"/>
                <w:szCs w:val="22"/>
                <w:lang w:val="en-US" w:eastAsia="en-US"/>
              </w:rPr>
              <w:t> %</w:t>
            </w:r>
            <w:r w:rsidR="008C7CD5" w:rsidRPr="00AE1B80">
              <w:rPr>
                <w:rFonts w:eastAsia="Calibri"/>
                <w:color w:val="auto"/>
                <w:sz w:val="22"/>
                <w:szCs w:val="22"/>
                <w:lang w:val="en-US" w:eastAsia="en-US"/>
              </w:rPr>
              <w:t>)</w:t>
            </w:r>
          </w:p>
        </w:tc>
        <w:tc>
          <w:tcPr>
            <w:tcW w:w="1123" w:type="pct"/>
            <w:shd w:val="clear" w:color="auto" w:fill="auto"/>
          </w:tcPr>
          <w:p w14:paraId="7FB34D01" w14:textId="77777777" w:rsidR="008C7CD5" w:rsidRPr="00AE1B80" w:rsidRDefault="008C7CD5" w:rsidP="008C7CD5">
            <w:pPr>
              <w:widowControl w:val="0"/>
              <w:tabs>
                <w:tab w:val="clear" w:pos="567"/>
              </w:tabs>
              <w:suppressAutoHyphens w:val="0"/>
              <w:autoSpaceDE w:val="0"/>
              <w:autoSpaceDN w:val="0"/>
              <w:spacing w:before="1" w:line="252" w:lineRule="exact"/>
              <w:rPr>
                <w:rFonts w:eastAsia="Calibri"/>
                <w:color w:val="auto"/>
                <w:sz w:val="22"/>
                <w:szCs w:val="22"/>
                <w:lang w:val="en-US" w:eastAsia="en-US"/>
              </w:rPr>
            </w:pPr>
            <w:r w:rsidRPr="00AE1B80">
              <w:rPr>
                <w:rFonts w:eastAsia="Calibri"/>
                <w:color w:val="auto"/>
                <w:w w:val="99"/>
                <w:sz w:val="22"/>
                <w:szCs w:val="22"/>
                <w:lang w:val="en-US" w:eastAsia="en-US"/>
              </w:rPr>
              <w:t>2</w:t>
            </w:r>
          </w:p>
          <w:p w14:paraId="1C9E1D9F" w14:textId="0D1D707A" w:rsidR="008C7CD5" w:rsidRPr="00AE1B80" w:rsidRDefault="000D7104" w:rsidP="008C7CD5">
            <w:pPr>
              <w:widowControl w:val="0"/>
              <w:tabs>
                <w:tab w:val="clear" w:pos="567"/>
              </w:tabs>
              <w:suppressAutoHyphens w:val="0"/>
              <w:autoSpaceDE w:val="0"/>
              <w:autoSpaceDN w:val="0"/>
              <w:spacing w:line="252" w:lineRule="exact"/>
              <w:rPr>
                <w:rFonts w:eastAsia="Calibri"/>
                <w:color w:val="auto"/>
                <w:sz w:val="22"/>
                <w:szCs w:val="22"/>
                <w:lang w:val="en-US" w:eastAsia="en-US"/>
              </w:rPr>
            </w:pPr>
            <w:r w:rsidRPr="00AE1B80">
              <w:rPr>
                <w:rFonts w:eastAsia="Calibri"/>
                <w:color w:val="auto"/>
                <w:sz w:val="22"/>
                <w:szCs w:val="22"/>
                <w:lang w:val="en-US" w:eastAsia="en-US"/>
              </w:rPr>
              <w:t>(1,2</w:t>
            </w:r>
            <w:r w:rsidR="008C3DF7">
              <w:rPr>
                <w:rFonts w:eastAsia="Calibri"/>
                <w:color w:val="auto"/>
                <w:sz w:val="22"/>
                <w:szCs w:val="22"/>
                <w:lang w:val="en-US" w:eastAsia="en-US"/>
              </w:rPr>
              <w:t> %</w:t>
            </w:r>
            <w:r w:rsidRPr="00AE1B80">
              <w:rPr>
                <w:rFonts w:eastAsia="Calibri"/>
                <w:color w:val="auto"/>
                <w:sz w:val="22"/>
                <w:szCs w:val="22"/>
                <w:lang w:val="en-US" w:eastAsia="en-US"/>
              </w:rPr>
              <w:t>, 95</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P</w:t>
            </w:r>
            <w:r w:rsidR="008C7CD5" w:rsidRPr="00AE1B80">
              <w:rPr>
                <w:rFonts w:eastAsia="Calibri"/>
                <w:color w:val="auto"/>
                <w:sz w:val="22"/>
                <w:szCs w:val="22"/>
                <w:lang w:val="en-US" w:eastAsia="en-US"/>
              </w:rPr>
              <w:t>I</w:t>
            </w:r>
          </w:p>
          <w:p w14:paraId="78E312C8" w14:textId="570B0051" w:rsidR="008C7CD5" w:rsidRPr="00AE1B80" w:rsidRDefault="000D7104" w:rsidP="008C7CD5">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E1B80">
              <w:rPr>
                <w:rFonts w:eastAsia="Calibri"/>
                <w:color w:val="auto"/>
                <w:sz w:val="22"/>
                <w:szCs w:val="22"/>
                <w:lang w:val="en-US" w:eastAsia="en-US"/>
              </w:rPr>
              <w:t>0,2</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- 4,</w:t>
            </w:r>
            <w:r w:rsidR="008C7CD5" w:rsidRPr="00AE1B80">
              <w:rPr>
                <w:rFonts w:eastAsia="Calibri"/>
                <w:color w:val="auto"/>
                <w:sz w:val="22"/>
                <w:szCs w:val="22"/>
                <w:lang w:val="en-US" w:eastAsia="en-US"/>
              </w:rPr>
              <w:t>3</w:t>
            </w:r>
            <w:r w:rsidR="008C3DF7">
              <w:rPr>
                <w:rFonts w:eastAsia="Calibri"/>
                <w:color w:val="auto"/>
                <w:sz w:val="22"/>
                <w:szCs w:val="22"/>
                <w:lang w:val="en-US" w:eastAsia="en-US"/>
              </w:rPr>
              <w:t> %</w:t>
            </w:r>
            <w:r w:rsidR="008C7CD5" w:rsidRPr="00AE1B80">
              <w:rPr>
                <w:rFonts w:eastAsia="Calibri"/>
                <w:color w:val="auto"/>
                <w:sz w:val="22"/>
                <w:szCs w:val="22"/>
                <w:lang w:val="en-US" w:eastAsia="en-US"/>
              </w:rPr>
              <w:t>)</w:t>
            </w:r>
          </w:p>
        </w:tc>
      </w:tr>
      <w:tr w:rsidR="008C7CD5" w:rsidRPr="00452D62" w14:paraId="2B89AC4C" w14:textId="77777777" w:rsidTr="007C6272">
        <w:trPr>
          <w:trHeight w:val="252"/>
        </w:trPr>
        <w:tc>
          <w:tcPr>
            <w:tcW w:w="2753" w:type="pct"/>
            <w:tcBorders>
              <w:bottom w:val="single" w:sz="4" w:space="0" w:color="000000"/>
            </w:tcBorders>
            <w:shd w:val="clear" w:color="auto" w:fill="auto"/>
          </w:tcPr>
          <w:p w14:paraId="56F6660D" w14:textId="0F5F1391" w:rsidR="008C7CD5" w:rsidRPr="00AE1B80" w:rsidRDefault="00BE48D2" w:rsidP="008C7CD5">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E1B80">
              <w:rPr>
                <w:rFonts w:eastAsia="Calibri"/>
                <w:color w:val="auto"/>
                <w:sz w:val="22"/>
                <w:szCs w:val="22"/>
                <w:lang w:val="en-US" w:eastAsia="en-US"/>
              </w:rPr>
              <w:t>Bet koks dėl gydymo atsirandantis kraujavimas</w:t>
            </w:r>
          </w:p>
        </w:tc>
        <w:tc>
          <w:tcPr>
            <w:tcW w:w="1123" w:type="pct"/>
            <w:tcBorders>
              <w:bottom w:val="single" w:sz="4" w:space="0" w:color="000000"/>
            </w:tcBorders>
            <w:shd w:val="clear" w:color="auto" w:fill="auto"/>
          </w:tcPr>
          <w:p w14:paraId="45B5DBB0" w14:textId="20A95C60" w:rsidR="008C7CD5" w:rsidRPr="00AE1B80" w:rsidRDefault="000D7104" w:rsidP="008C7CD5">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E1B80">
              <w:rPr>
                <w:rFonts w:eastAsia="Calibri"/>
                <w:color w:val="auto"/>
                <w:sz w:val="22"/>
                <w:szCs w:val="22"/>
                <w:lang w:val="en-US" w:eastAsia="en-US"/>
              </w:rPr>
              <w:t>119 (36,</w:t>
            </w:r>
            <w:r w:rsidR="008C7CD5" w:rsidRPr="00AE1B80">
              <w:rPr>
                <w:rFonts w:eastAsia="Calibri"/>
                <w:color w:val="auto"/>
                <w:sz w:val="22"/>
                <w:szCs w:val="22"/>
                <w:lang w:val="en-US" w:eastAsia="en-US"/>
              </w:rPr>
              <w:t>2</w:t>
            </w:r>
            <w:r w:rsidR="008C3DF7">
              <w:rPr>
                <w:rFonts w:eastAsia="Calibri"/>
                <w:color w:val="auto"/>
                <w:sz w:val="22"/>
                <w:szCs w:val="22"/>
                <w:lang w:val="en-US" w:eastAsia="en-US"/>
              </w:rPr>
              <w:t> %</w:t>
            </w:r>
            <w:r w:rsidR="008C7CD5" w:rsidRPr="00AE1B80">
              <w:rPr>
                <w:rFonts w:eastAsia="Calibri"/>
                <w:color w:val="auto"/>
                <w:sz w:val="22"/>
                <w:szCs w:val="22"/>
                <w:lang w:val="en-US" w:eastAsia="en-US"/>
              </w:rPr>
              <w:t>)</w:t>
            </w:r>
          </w:p>
        </w:tc>
        <w:tc>
          <w:tcPr>
            <w:tcW w:w="1123" w:type="pct"/>
            <w:tcBorders>
              <w:bottom w:val="single" w:sz="4" w:space="0" w:color="000000"/>
            </w:tcBorders>
            <w:shd w:val="clear" w:color="auto" w:fill="auto"/>
          </w:tcPr>
          <w:p w14:paraId="6CB9B60B" w14:textId="4E22A573" w:rsidR="008C7CD5" w:rsidRPr="00AE1B80" w:rsidRDefault="000D7104" w:rsidP="008C7CD5">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E1B80">
              <w:rPr>
                <w:rFonts w:eastAsia="Calibri"/>
                <w:color w:val="auto"/>
                <w:sz w:val="22"/>
                <w:szCs w:val="22"/>
                <w:lang w:val="en-US" w:eastAsia="en-US"/>
              </w:rPr>
              <w:t>45 (27,</w:t>
            </w:r>
            <w:r w:rsidR="008C7CD5" w:rsidRPr="00AE1B80">
              <w:rPr>
                <w:rFonts w:eastAsia="Calibri"/>
                <w:color w:val="auto"/>
                <w:sz w:val="22"/>
                <w:szCs w:val="22"/>
                <w:lang w:val="en-US" w:eastAsia="en-US"/>
              </w:rPr>
              <w:t>8</w:t>
            </w:r>
            <w:r w:rsidR="008C3DF7">
              <w:rPr>
                <w:rFonts w:eastAsia="Calibri"/>
                <w:color w:val="auto"/>
                <w:sz w:val="22"/>
                <w:szCs w:val="22"/>
                <w:lang w:val="en-US" w:eastAsia="en-US"/>
              </w:rPr>
              <w:t> %</w:t>
            </w:r>
            <w:r w:rsidR="008C7CD5" w:rsidRPr="00AE1B80">
              <w:rPr>
                <w:rFonts w:eastAsia="Calibri"/>
                <w:color w:val="auto"/>
                <w:sz w:val="22"/>
                <w:szCs w:val="22"/>
                <w:lang w:val="en-US" w:eastAsia="en-US"/>
              </w:rPr>
              <w:t>)</w:t>
            </w:r>
          </w:p>
        </w:tc>
      </w:tr>
    </w:tbl>
    <w:p w14:paraId="3CBB83AD" w14:textId="0715574B" w:rsidR="008C7CD5" w:rsidRPr="00452D62" w:rsidRDefault="008C7CD5" w:rsidP="008C7CD5">
      <w:pPr>
        <w:spacing w:line="240" w:lineRule="auto"/>
        <w:rPr>
          <w:sz w:val="22"/>
          <w:szCs w:val="22"/>
        </w:rPr>
      </w:pPr>
      <w:r w:rsidRPr="00452D62">
        <w:rPr>
          <w:sz w:val="22"/>
          <w:szCs w:val="22"/>
        </w:rPr>
        <w:t>*SAG = saugumo analizės grupė, visi vaikai, kurie buvo atrinkti atsitiktinių imčių būdu ir suvartojo bent 1 tiriamųjų vaistinių preparatų dozę</w:t>
      </w:r>
    </w:p>
    <w:p w14:paraId="6D14E1AE" w14:textId="77777777" w:rsidR="00BE48D2" w:rsidRPr="00452D62" w:rsidRDefault="00BE48D2" w:rsidP="008C7CD5">
      <w:pPr>
        <w:spacing w:line="240" w:lineRule="auto"/>
        <w:rPr>
          <w:sz w:val="22"/>
          <w:szCs w:val="22"/>
        </w:rPr>
      </w:pPr>
    </w:p>
    <w:p w14:paraId="628897B5" w14:textId="1BD13969" w:rsidR="008C7CD5" w:rsidRPr="00452D62" w:rsidRDefault="008C7CD5" w:rsidP="008C7CD5">
      <w:pPr>
        <w:spacing w:line="240" w:lineRule="auto"/>
        <w:rPr>
          <w:sz w:val="22"/>
          <w:szCs w:val="22"/>
        </w:rPr>
      </w:pPr>
      <w:r w:rsidRPr="00452D62">
        <w:rPr>
          <w:sz w:val="22"/>
          <w:szCs w:val="22"/>
        </w:rPr>
        <w:t>VTE sergančių vaikų populiacijoje ir GVT ir (arba) PE sergančių suaugusių populiacijoje rivaroksabano veiksmingumo ir saugumo duomenys buvo daugiausiai panašūs, tačiau pacientų, kuriems pasireiškė bet koks kraujavimas, dalis vaikų VTE populiacijoje buvo didesnė, palyginti su GVT ir (arba) PE suaugusiųjų populiacija.</w:t>
      </w:r>
    </w:p>
    <w:bookmarkEnd w:id="14"/>
    <w:p w14:paraId="44944178" w14:textId="77777777" w:rsidR="00BE48D2" w:rsidRPr="00452D62" w:rsidRDefault="00BE48D2" w:rsidP="008C7CD5">
      <w:pPr>
        <w:spacing w:line="240" w:lineRule="auto"/>
        <w:rPr>
          <w:sz w:val="22"/>
          <w:szCs w:val="22"/>
        </w:rPr>
      </w:pPr>
    </w:p>
    <w:p w14:paraId="42C19E5F" w14:textId="77777777" w:rsidR="00823785" w:rsidRPr="00452D62" w:rsidRDefault="00823785" w:rsidP="00823785">
      <w:pPr>
        <w:rPr>
          <w:sz w:val="22"/>
          <w:szCs w:val="22"/>
          <w:u w:val="single"/>
        </w:rPr>
      </w:pPr>
      <w:r w:rsidRPr="00452D62">
        <w:rPr>
          <w:sz w:val="22"/>
          <w:szCs w:val="22"/>
          <w:u w:val="single"/>
        </w:rPr>
        <w:t>Didelės rizikos trigubai teigiamu antifosfolipidiniu sindromu sergantys pacientai</w:t>
      </w:r>
    </w:p>
    <w:p w14:paraId="18E57F5A" w14:textId="4C61B167" w:rsidR="00823785" w:rsidRPr="00452D62" w:rsidRDefault="00823785" w:rsidP="00823785">
      <w:pPr>
        <w:rPr>
          <w:sz w:val="22"/>
          <w:szCs w:val="22"/>
        </w:rPr>
      </w:pPr>
      <w:r w:rsidRPr="00452D62">
        <w:rPr>
          <w:sz w:val="22"/>
          <w:szCs w:val="22"/>
        </w:rPr>
        <w:t>Atliekant tyrėjo remiamą, atsitiktinių imčių, atvirą daugiacentrį tyrimą su koduotu vertinamųjų baigčių vertinimu, buvo lyginamas rivaroksabano ir varfarino poveikis gydant pacientus, kuriems diagnozuotas antifosfolipidinis sindromas ir nustatyta didelė tromboembolijos reiškinių rizika (visų trijų antifosfolipidinių antikūnų, t. y. vilkligės antikoaguliantų, antikardiolipino antikūnų ir anti-beta 2-glikoproteino I antikūnų, tyrimų rezultatai buvo teigiami) ir praeityje buvo nustatyta trombozė. Tyrimas buvo nutrauktas anksčiau nei numatyta į tyrimą įtraukus 120 pacientų, nes rivaroksabano tyrimo grupėje buvo nustatyta itin daug nepageidaujamų reiškinių atvejų. Vidutinė stebėjimo laikotarpio trukmė buvo 569 dienos. 59 pacientai buvo atsitiktinai priskirti vartoti rivaroksabano 20 mg dozę (15 mg dozę pacientams, kurių kreatinino klirensas (KrKl) &lt; 50 ml/min.), 61 pacientui buvo skirtas varfarinas (INR 2,0–3,0). Tromboembolinių reiškinių nustatyta 12 </w:t>
      </w:r>
      <w:r w:rsidR="008C3DF7">
        <w:rPr>
          <w:sz w:val="22"/>
          <w:szCs w:val="22"/>
        </w:rPr>
        <w:t> %</w:t>
      </w:r>
      <w:r w:rsidRPr="00452D62">
        <w:rPr>
          <w:sz w:val="22"/>
          <w:szCs w:val="22"/>
        </w:rPr>
        <w:t xml:space="preserve"> pacientų, kuriems buvo paskirtas rivaroksabanas (4 išeminio insulto ir 3 miokardo infarkto atvejai). Pacientų, kuriems buvo paskirtas varfarinas, grupėje nepageidaujamų reiškinių nenustatyta. Didysis kraujavimas pasireiškė 4 (7 </w:t>
      </w:r>
      <w:r w:rsidR="008C3DF7">
        <w:rPr>
          <w:sz w:val="22"/>
          <w:szCs w:val="22"/>
        </w:rPr>
        <w:t> %</w:t>
      </w:r>
      <w:r w:rsidRPr="00452D62">
        <w:rPr>
          <w:sz w:val="22"/>
          <w:szCs w:val="22"/>
        </w:rPr>
        <w:t>) rivaroksabano grupės pacientams ir 2 (3 </w:t>
      </w:r>
      <w:r w:rsidR="008C3DF7">
        <w:rPr>
          <w:sz w:val="22"/>
          <w:szCs w:val="22"/>
        </w:rPr>
        <w:t> %</w:t>
      </w:r>
      <w:r w:rsidRPr="00452D62">
        <w:rPr>
          <w:sz w:val="22"/>
          <w:szCs w:val="22"/>
        </w:rPr>
        <w:t>) varfarino grupės pacientams.</w:t>
      </w:r>
    </w:p>
    <w:p w14:paraId="37535532" w14:textId="77777777" w:rsidR="00823785" w:rsidRPr="00452D62" w:rsidRDefault="00823785" w:rsidP="00823785">
      <w:pPr>
        <w:rPr>
          <w:b/>
          <w:sz w:val="22"/>
          <w:szCs w:val="22"/>
        </w:rPr>
      </w:pPr>
    </w:p>
    <w:p w14:paraId="12F82D2B" w14:textId="77777777" w:rsidR="00823785" w:rsidRPr="00452D62" w:rsidRDefault="00823785" w:rsidP="00823785">
      <w:pPr>
        <w:rPr>
          <w:sz w:val="22"/>
          <w:szCs w:val="22"/>
        </w:rPr>
      </w:pPr>
      <w:r w:rsidRPr="00452D62">
        <w:rPr>
          <w:sz w:val="22"/>
          <w:szCs w:val="22"/>
          <w:u w:val="single"/>
        </w:rPr>
        <w:t>Vaikų populiacija</w:t>
      </w:r>
    </w:p>
    <w:p w14:paraId="55E98178" w14:textId="258AC069" w:rsidR="00823785" w:rsidRPr="00452D62" w:rsidRDefault="00823785" w:rsidP="00823785">
      <w:pPr>
        <w:rPr>
          <w:iCs/>
          <w:sz w:val="22"/>
          <w:szCs w:val="22"/>
        </w:rPr>
      </w:pPr>
      <w:r w:rsidRPr="00452D62">
        <w:rPr>
          <w:sz w:val="22"/>
          <w:szCs w:val="22"/>
        </w:rPr>
        <w:t>Europos vaistų agentūra nereikalauja įsipareigoti pateikti tyrimų, atliktų su rivaroksabano referentiniu vaistiniu preparatu visuose vaikų populiacijos pogrupiuose tromboembolijos reiškinių profilaktikai, rezultatų (informaciją apie vartojimą vaikams žr. 4.2 skyriuje).</w:t>
      </w:r>
    </w:p>
    <w:p w14:paraId="7A18B0EE" w14:textId="77777777" w:rsidR="00823785" w:rsidRPr="00452D62" w:rsidRDefault="00823785" w:rsidP="00823785">
      <w:pPr>
        <w:ind w:right="-2"/>
        <w:rPr>
          <w:iCs/>
          <w:sz w:val="22"/>
          <w:szCs w:val="22"/>
        </w:rPr>
      </w:pPr>
    </w:p>
    <w:p w14:paraId="2048A096"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5.2</w:t>
      </w:r>
      <w:r w:rsidRPr="00452D62">
        <w:rPr>
          <w:b/>
          <w:color w:val="auto"/>
          <w:kern w:val="28"/>
          <w:sz w:val="22"/>
          <w:szCs w:val="22"/>
          <w:lang w:eastAsia="en-US"/>
        </w:rPr>
        <w:tab/>
        <w:t>Farmakokinetinės savybės</w:t>
      </w:r>
    </w:p>
    <w:p w14:paraId="1D45535D" w14:textId="77777777" w:rsidR="00823785" w:rsidRPr="00452D62" w:rsidRDefault="00823785" w:rsidP="00823785">
      <w:pPr>
        <w:ind w:left="567" w:hanging="567"/>
        <w:rPr>
          <w:sz w:val="22"/>
          <w:szCs w:val="22"/>
        </w:rPr>
      </w:pPr>
    </w:p>
    <w:p w14:paraId="079BEB75" w14:textId="77777777" w:rsidR="00823785" w:rsidRPr="00452D62" w:rsidRDefault="00823785" w:rsidP="00823785">
      <w:pPr>
        <w:rPr>
          <w:sz w:val="22"/>
          <w:szCs w:val="22"/>
        </w:rPr>
      </w:pPr>
      <w:r w:rsidRPr="00452D62">
        <w:rPr>
          <w:sz w:val="22"/>
          <w:szCs w:val="22"/>
          <w:u w:val="single"/>
        </w:rPr>
        <w:t>Absorbcija</w:t>
      </w:r>
    </w:p>
    <w:p w14:paraId="7469169B" w14:textId="77777777" w:rsidR="006F09DF" w:rsidRPr="00452D62" w:rsidRDefault="006F09DF" w:rsidP="00823785">
      <w:pPr>
        <w:rPr>
          <w:sz w:val="22"/>
          <w:szCs w:val="22"/>
        </w:rPr>
      </w:pPr>
      <w:r w:rsidRPr="00452D62">
        <w:rPr>
          <w:sz w:val="22"/>
          <w:szCs w:val="22"/>
        </w:rPr>
        <w:t>Toliau pateikta informacija yra pagrįsta suaugusių duomenimis.</w:t>
      </w:r>
    </w:p>
    <w:p w14:paraId="5E50100B" w14:textId="0B591AE2" w:rsidR="00823785" w:rsidRPr="00452D62" w:rsidRDefault="00823785" w:rsidP="00823785">
      <w:pPr>
        <w:rPr>
          <w:sz w:val="22"/>
          <w:szCs w:val="22"/>
        </w:rPr>
      </w:pPr>
      <w:r w:rsidRPr="00452D62">
        <w:rPr>
          <w:sz w:val="22"/>
          <w:szCs w:val="22"/>
        </w:rPr>
        <w:t>Rivaroksabanas yra greitai absorbuojamas, didžiausia koncentracija (C</w:t>
      </w:r>
      <w:r w:rsidRPr="00452D62">
        <w:rPr>
          <w:sz w:val="22"/>
          <w:szCs w:val="22"/>
          <w:vertAlign w:val="subscript"/>
        </w:rPr>
        <w:t>max</w:t>
      </w:r>
      <w:r w:rsidRPr="00452D62">
        <w:rPr>
          <w:sz w:val="22"/>
          <w:szCs w:val="22"/>
        </w:rPr>
        <w:t>) atsiranda praėjus 2</w:t>
      </w:r>
      <w:r w:rsidRPr="00452D62">
        <w:rPr>
          <w:sz w:val="22"/>
          <w:szCs w:val="22"/>
        </w:rPr>
        <w:noBreakHyphen/>
        <w:t>4 valandoms po tabletės suvartojimo.</w:t>
      </w:r>
    </w:p>
    <w:p w14:paraId="408450BC" w14:textId="3C63C25E" w:rsidR="00823785" w:rsidRPr="00452D62" w:rsidRDefault="00823785" w:rsidP="00823785">
      <w:pPr>
        <w:rPr>
          <w:sz w:val="22"/>
          <w:szCs w:val="22"/>
        </w:rPr>
      </w:pPr>
      <w:r w:rsidRPr="00452D62">
        <w:rPr>
          <w:sz w:val="22"/>
          <w:szCs w:val="22"/>
        </w:rPr>
        <w:t>Išgertas rivaroksabanas beveik visas absorbuojamas ir biologinis geriamojo rivaroksabano prieinamumas, suvartojus 2,5 mg ir 10 mg dozės tabletę, yra didelis (80</w:t>
      </w:r>
      <w:r w:rsidRPr="00452D62">
        <w:rPr>
          <w:sz w:val="22"/>
          <w:szCs w:val="22"/>
        </w:rPr>
        <w:noBreakHyphen/>
        <w:t>100 %), nepriklausomai nuo to, ar vaistinis preparatas suvartotas valgio metu, ar kitu laiku. Vartojant 2,5 mg ir 10 mg dozes, maistas nedaro įtakos rivaroksabano AUC ar C</w:t>
      </w:r>
      <w:r w:rsidRPr="00452D62">
        <w:rPr>
          <w:sz w:val="22"/>
          <w:szCs w:val="22"/>
          <w:vertAlign w:val="subscript"/>
        </w:rPr>
        <w:t>max</w:t>
      </w:r>
      <w:r w:rsidRPr="00452D62">
        <w:rPr>
          <w:sz w:val="22"/>
          <w:szCs w:val="22"/>
        </w:rPr>
        <w:t>.</w:t>
      </w:r>
    </w:p>
    <w:p w14:paraId="2F1A14DD" w14:textId="4372D007" w:rsidR="00823785" w:rsidRPr="00452D62" w:rsidRDefault="00823785" w:rsidP="00823785">
      <w:pPr>
        <w:rPr>
          <w:sz w:val="22"/>
          <w:szCs w:val="22"/>
        </w:rPr>
      </w:pPr>
      <w:r w:rsidRPr="00452D62">
        <w:rPr>
          <w:sz w:val="22"/>
          <w:szCs w:val="22"/>
        </w:rPr>
        <w:t>Pavartojus 20 mg tabletę nevalgius, nustatytas biologinis prieinamumas buvo 66 %, tai lėmė sumažėjusi absorbcija. Kai rivaroksabano 20 mg tabletės vartojamos kartu su maistu, vidutinis AUC padidėja 39 %, palyginti su rodmeniu tabletę vartojant nevalgius, tai rodo beveik visišką absorbciją ir didelė per burną pavartoto vaistinio preparato biologinį prieinamumą. Rivaroksabano 15 mg ir 20 mg tabletes reikia vartoti su maistu (žr. 4.2 skyrių).</w:t>
      </w:r>
    </w:p>
    <w:p w14:paraId="169F3097" w14:textId="253F507B" w:rsidR="00823785" w:rsidRPr="00452D62" w:rsidRDefault="00823785" w:rsidP="00823785">
      <w:pPr>
        <w:rPr>
          <w:sz w:val="22"/>
          <w:szCs w:val="22"/>
        </w:rPr>
      </w:pPr>
      <w:r w:rsidRPr="00452D62">
        <w:rPr>
          <w:sz w:val="22"/>
          <w:szCs w:val="22"/>
        </w:rPr>
        <w:t>Rivaroksabano farmakokinetika yra maždaug tiesinė, kai jo skiriama iki maždaug 15 mg vieną kartą per parą nevalgius. Vartojant pavalgius, rivaroksabano 10 mg, 15 mg ir 20 mg tablečių farmakokinetika buvo proporcinga dozei. Skiriant didesnes rivaroksabano dozes, gaunama dėl tirpumo savybių ribota absorbcija su sumažėjusiu biologiniu prieinamumu ir sumažėjusiu absorbcijos greičiu, didinant dozę. Rivaroksabano farmakokinetikos kintamumas yra vidutinis, kintamumas tarp pacientų (CV %) svyruoja nuo 30 % iki 40 %.</w:t>
      </w:r>
    </w:p>
    <w:p w14:paraId="7417BD36" w14:textId="465005B9" w:rsidR="00823785" w:rsidRPr="00452D62" w:rsidRDefault="00823785" w:rsidP="00823785">
      <w:pPr>
        <w:rPr>
          <w:sz w:val="22"/>
          <w:szCs w:val="22"/>
        </w:rPr>
      </w:pPr>
      <w:r w:rsidRPr="00452D62">
        <w:rPr>
          <w:sz w:val="22"/>
          <w:szCs w:val="22"/>
        </w:rPr>
        <w:t>Rivaroksabano absorbcija priklauso nuo jo atpalaidavimo vietos virškinimo trakte. Nustatyta, kad tada, kai rivaroksabano granulės atpalaiduojamos proksimalinėje plonosios žarnos dalyje, palyginti su tablete, AUC ir C</w:t>
      </w:r>
      <w:r w:rsidRPr="00452D62">
        <w:rPr>
          <w:sz w:val="22"/>
          <w:szCs w:val="22"/>
          <w:vertAlign w:val="subscript"/>
        </w:rPr>
        <w:t xml:space="preserve">max </w:t>
      </w:r>
      <w:r w:rsidRPr="00452D62">
        <w:rPr>
          <w:sz w:val="22"/>
          <w:szCs w:val="22"/>
        </w:rPr>
        <w:t>sumažėja 29 % ir 56 %. Kai rivaroksabanas atpalaiduojamas distalinėje plonosios žarnos dalyje arba kylančioje gaubtinėje žarnoje, ekspozicija dar labiau sumažėja. Taigi reikia vengti skirti rivaroksabano, kai jis atsipalaiduoja distaliau nuo skrandžio, nes tai gali sumažinti absorbciją ir atitinkamai rivaroksabano ekspoziciją.</w:t>
      </w:r>
    </w:p>
    <w:p w14:paraId="4DC2AED6" w14:textId="77777777" w:rsidR="00823785" w:rsidRPr="00452D62" w:rsidRDefault="00823785" w:rsidP="00823785">
      <w:pPr>
        <w:rPr>
          <w:sz w:val="22"/>
          <w:szCs w:val="22"/>
          <w:u w:val="single"/>
        </w:rPr>
      </w:pPr>
      <w:r w:rsidRPr="00452D62">
        <w:rPr>
          <w:sz w:val="22"/>
          <w:szCs w:val="22"/>
        </w:rPr>
        <w:t>20 mg rivaroksabano tabletės, kuri suvartojama per burną, ją sutraiškius ir išmaišius obuolių tyrėje arba paruošus suspensiją vandenyje ir supylus per skrandžio vamzdelį, po to pavartojant skysto maisto, biologinis prieinamumas (AUC ir C</w:t>
      </w:r>
      <w:r w:rsidRPr="00452D62">
        <w:rPr>
          <w:sz w:val="22"/>
          <w:szCs w:val="22"/>
          <w:vertAlign w:val="subscript"/>
        </w:rPr>
        <w:t>max</w:t>
      </w:r>
      <w:r w:rsidRPr="00452D62">
        <w:rPr>
          <w:sz w:val="22"/>
          <w:szCs w:val="22"/>
        </w:rPr>
        <w:t>), palyginti su nepažeista tablete, buvo panašus. Atsižvelgiant į nuspėjamas ir dozei proporcingas rivaroksabano farmakokinetinės savybes, tikėtina, kad šio tyrimo metu gauti biologinio prieinamumo rezultatai tinka ir mažesnėms rivaroksabano dozėms.</w:t>
      </w:r>
    </w:p>
    <w:p w14:paraId="1E583AAC" w14:textId="77777777" w:rsidR="00705BAE" w:rsidRPr="00452D62" w:rsidRDefault="00705BAE" w:rsidP="00705BAE">
      <w:pPr>
        <w:rPr>
          <w:sz w:val="22"/>
          <w:szCs w:val="22"/>
          <w:u w:val="single"/>
        </w:rPr>
      </w:pPr>
    </w:p>
    <w:p w14:paraId="384035A7" w14:textId="02DAC8DB" w:rsidR="00705BAE" w:rsidRPr="00AE1B80" w:rsidRDefault="00705BAE" w:rsidP="00705BAE">
      <w:pPr>
        <w:rPr>
          <w:i/>
          <w:sz w:val="22"/>
          <w:szCs w:val="22"/>
        </w:rPr>
      </w:pPr>
      <w:r w:rsidRPr="00AE1B80">
        <w:rPr>
          <w:i/>
          <w:sz w:val="22"/>
          <w:szCs w:val="22"/>
        </w:rPr>
        <w:t>Vaikų populiacija</w:t>
      </w:r>
    </w:p>
    <w:p w14:paraId="12570C15" w14:textId="77777777" w:rsidR="00705BAE" w:rsidRPr="00AE1B80" w:rsidRDefault="00705BAE" w:rsidP="00705BAE">
      <w:pPr>
        <w:rPr>
          <w:sz w:val="22"/>
          <w:szCs w:val="22"/>
        </w:rPr>
      </w:pPr>
      <w:r w:rsidRPr="00AE1B80">
        <w:rPr>
          <w:sz w:val="22"/>
          <w:szCs w:val="22"/>
        </w:rPr>
        <w:t>Rivaroksabano tabletes arba geriamąją suspensiją vaikai vartojo maitinimo arba valgio metu arba netrukus po to ir kartu su įprastu skysčio kiekiu, kad būtų užtikrintas patikimas dozavimas. Kaip ir suaugusiems, tablečių arba granulių geriamajai suspensijai pavidalu išgertas rivaroksabanas vaikams yra lengvai absorbuojamas. Absorbcijos greičio ir absorbcijos laipsnio skirtumų, vartojant tabletes arba granules geriamajai suspensijai, nenustatyta. Farmakokinetikos duomenų, rivaroksabano suleidus vaikams į veną, nėra, taigi absoliutus biologinis jo prieinamumas vaikams nežinomas. Nustatyta, kad didinant dozes (mg/kg kūno svorio) santykinis biologinis prieinamumas mažėja, ir tai leidžia manyti, kad didesnių dozių absorbcija yra ribota, net kai vaistinio preparato vartojama valgio metu.</w:t>
      </w:r>
    </w:p>
    <w:p w14:paraId="77AA9FC9" w14:textId="5F668F8F" w:rsidR="00823785" w:rsidRPr="00AE1B80" w:rsidRDefault="00705BAE" w:rsidP="00705BAE">
      <w:pPr>
        <w:rPr>
          <w:sz w:val="22"/>
          <w:szCs w:val="22"/>
        </w:rPr>
      </w:pPr>
      <w:r w:rsidRPr="00AE1B80">
        <w:rPr>
          <w:sz w:val="22"/>
          <w:szCs w:val="22"/>
        </w:rPr>
        <w:t>Rivaroksabano 15 mg tabletes reikia vartoti maitinimo arba valgio metu (žr. 4.2 skyrių).</w:t>
      </w:r>
    </w:p>
    <w:p w14:paraId="7C9E4713" w14:textId="77777777" w:rsidR="00705BAE" w:rsidRPr="00452D62" w:rsidRDefault="00705BAE" w:rsidP="00705BAE">
      <w:pPr>
        <w:rPr>
          <w:sz w:val="22"/>
          <w:szCs w:val="22"/>
          <w:u w:val="single"/>
        </w:rPr>
      </w:pPr>
    </w:p>
    <w:p w14:paraId="67C0CD3D" w14:textId="77777777" w:rsidR="00823785" w:rsidRPr="00452D62" w:rsidRDefault="00823785" w:rsidP="00823785">
      <w:pPr>
        <w:rPr>
          <w:sz w:val="22"/>
          <w:szCs w:val="22"/>
        </w:rPr>
      </w:pPr>
      <w:r w:rsidRPr="00452D62">
        <w:rPr>
          <w:sz w:val="22"/>
          <w:szCs w:val="22"/>
          <w:u w:val="single"/>
        </w:rPr>
        <w:t>Pasiskirstymas</w:t>
      </w:r>
    </w:p>
    <w:p w14:paraId="2397C937" w14:textId="06F86852" w:rsidR="00823785" w:rsidRPr="00452D62" w:rsidRDefault="00823785" w:rsidP="00C815AC">
      <w:pPr>
        <w:tabs>
          <w:tab w:val="clear" w:pos="567"/>
        </w:tabs>
        <w:rPr>
          <w:sz w:val="22"/>
          <w:szCs w:val="22"/>
        </w:rPr>
      </w:pPr>
      <w:r w:rsidRPr="00452D62">
        <w:rPr>
          <w:sz w:val="22"/>
          <w:szCs w:val="22"/>
        </w:rPr>
        <w:t>Daug (maždaug 92</w:t>
      </w:r>
      <w:r w:rsidRPr="00452D62">
        <w:rPr>
          <w:sz w:val="22"/>
          <w:szCs w:val="22"/>
        </w:rPr>
        <w:noBreakHyphen/>
        <w:t>95 %) vaistinio preparato prisijungia prie suaugusiųjų plazmos baltymų, daugiausia serumo albumino. Pasiskirstymo tūris yra vidutinis, V</w:t>
      </w:r>
      <w:r w:rsidRPr="00452D62">
        <w:rPr>
          <w:sz w:val="22"/>
          <w:szCs w:val="22"/>
          <w:vertAlign w:val="subscript"/>
        </w:rPr>
        <w:t xml:space="preserve">ss </w:t>
      </w:r>
      <w:r w:rsidRPr="00452D62">
        <w:rPr>
          <w:sz w:val="22"/>
          <w:szCs w:val="22"/>
        </w:rPr>
        <w:t>yra maždaug 50 litrų.</w:t>
      </w:r>
    </w:p>
    <w:p w14:paraId="74DFCC7E" w14:textId="77777777" w:rsidR="0031025A" w:rsidRPr="00452D62" w:rsidRDefault="0031025A" w:rsidP="0031025A">
      <w:pPr>
        <w:ind w:left="567" w:hanging="567"/>
        <w:rPr>
          <w:sz w:val="22"/>
          <w:szCs w:val="22"/>
        </w:rPr>
      </w:pPr>
    </w:p>
    <w:p w14:paraId="1A788165" w14:textId="4C0B9F01" w:rsidR="0031025A" w:rsidRPr="00AE1B80" w:rsidRDefault="0031025A" w:rsidP="0031025A">
      <w:pPr>
        <w:ind w:left="567" w:hanging="567"/>
        <w:rPr>
          <w:i/>
          <w:sz w:val="22"/>
          <w:szCs w:val="22"/>
        </w:rPr>
      </w:pPr>
      <w:r w:rsidRPr="00AE1B80">
        <w:rPr>
          <w:i/>
          <w:sz w:val="22"/>
          <w:szCs w:val="22"/>
        </w:rPr>
        <w:t>Vaikų populiacija</w:t>
      </w:r>
    </w:p>
    <w:p w14:paraId="110EFCE7" w14:textId="4EED4FA4" w:rsidR="00823785" w:rsidRPr="00452D62" w:rsidRDefault="0031025A" w:rsidP="00AE1B80">
      <w:pPr>
        <w:rPr>
          <w:sz w:val="22"/>
          <w:szCs w:val="22"/>
        </w:rPr>
      </w:pPr>
      <w:r w:rsidRPr="00452D62">
        <w:rPr>
          <w:sz w:val="22"/>
          <w:szCs w:val="22"/>
        </w:rPr>
        <w:t xml:space="preserve">Vaikams specifinių rivaroksabano jungimosi su plazmos baltymais duomenų nėra. Farmakokinetikos duomenų, rivaroksabano suleidus vaikams į veną, nėra. Taikant populiacijos farmakokinetikos modeliavimą, vaikams </w:t>
      </w:r>
      <w:r w:rsidR="00B90B35">
        <w:rPr>
          <w:sz w:val="22"/>
          <w:szCs w:val="22"/>
        </w:rPr>
        <w:t>ir paaugliams</w:t>
      </w:r>
      <w:r w:rsidRPr="00452D62">
        <w:rPr>
          <w:sz w:val="22"/>
          <w:szCs w:val="22"/>
        </w:rPr>
        <w:t>(nuo 0 iki &lt; 18 metų amžiaus) apskaičiuotas Vss, išgėrus rivaroksabano, priklauso nuo kūno svorio, jį apibūdina alometrinė funkcija ir, jei tiriamojo asmens kūno svoris yra 82,8</w:t>
      </w:r>
      <w:r w:rsidR="00B90B35">
        <w:rPr>
          <w:sz w:val="22"/>
          <w:szCs w:val="22"/>
        </w:rPr>
        <w:t> </w:t>
      </w:r>
      <w:r w:rsidRPr="00452D62">
        <w:rPr>
          <w:sz w:val="22"/>
          <w:szCs w:val="22"/>
        </w:rPr>
        <w:t>kg, Vss vidurkis siekia 113</w:t>
      </w:r>
      <w:r w:rsidR="00B90B35">
        <w:rPr>
          <w:sz w:val="22"/>
          <w:szCs w:val="22"/>
        </w:rPr>
        <w:t> </w:t>
      </w:r>
      <w:r w:rsidRPr="00452D62">
        <w:rPr>
          <w:sz w:val="22"/>
          <w:szCs w:val="22"/>
        </w:rPr>
        <w:t>l.</w:t>
      </w:r>
    </w:p>
    <w:p w14:paraId="3EED8397" w14:textId="77777777" w:rsidR="0031025A" w:rsidRPr="00452D62" w:rsidRDefault="0031025A" w:rsidP="00823785">
      <w:pPr>
        <w:ind w:left="567" w:hanging="567"/>
        <w:rPr>
          <w:sz w:val="22"/>
          <w:szCs w:val="22"/>
        </w:rPr>
      </w:pPr>
    </w:p>
    <w:p w14:paraId="0708ED0F" w14:textId="77777777" w:rsidR="00823785" w:rsidRPr="00452D62" w:rsidRDefault="00823785" w:rsidP="00823785">
      <w:pPr>
        <w:rPr>
          <w:sz w:val="22"/>
          <w:szCs w:val="22"/>
        </w:rPr>
      </w:pPr>
      <w:r w:rsidRPr="00452D62">
        <w:rPr>
          <w:sz w:val="22"/>
          <w:szCs w:val="22"/>
          <w:u w:val="single"/>
        </w:rPr>
        <w:t>Biotransformacija ir eliminacija</w:t>
      </w:r>
    </w:p>
    <w:p w14:paraId="7C7B0255" w14:textId="268970C5" w:rsidR="00823785" w:rsidRPr="00452D62" w:rsidRDefault="00823785" w:rsidP="00823785">
      <w:pPr>
        <w:rPr>
          <w:sz w:val="22"/>
          <w:szCs w:val="22"/>
        </w:rPr>
      </w:pPr>
      <w:r w:rsidRPr="00452D62">
        <w:rPr>
          <w:sz w:val="22"/>
          <w:szCs w:val="22"/>
        </w:rPr>
        <w:t>Suaugusiems maždaug 2/3 suvartotos rivaroksabano dozės suardoma metabolizmo metu ir pusė to kiekio yra pašalinama per inkstus, o pusė su išmatomis. Likusi 1/3 suvartotos dozės dalis šalinama nepakitusia veikliosios medžiagos forma su šlapimu tiesioginės ekskrecijos per inkstus būdu, daugiausiai aktyvios inkstų sekrecijos būdu.</w:t>
      </w:r>
    </w:p>
    <w:p w14:paraId="16156553" w14:textId="77777777" w:rsidR="00823785" w:rsidRPr="00452D62" w:rsidRDefault="00823785" w:rsidP="00823785">
      <w:pPr>
        <w:rPr>
          <w:sz w:val="22"/>
          <w:szCs w:val="22"/>
        </w:rPr>
      </w:pPr>
      <w:r w:rsidRPr="00452D62">
        <w:rPr>
          <w:sz w:val="22"/>
          <w:szCs w:val="22"/>
        </w:rPr>
        <w:t xml:space="preserve">Rivaroksabanas yra metabolizuojamas CYP3A4, CYP2J2 ir nuo CYP nepriklausomais mechanizmais. Morfolinono dalies oksidacinis irimas ir amido jungčių hidrolizė yra pagrindinės biotransformacijos sritys. Remiantis </w:t>
      </w:r>
      <w:r w:rsidRPr="00452D62">
        <w:rPr>
          <w:i/>
          <w:iCs/>
          <w:sz w:val="22"/>
          <w:szCs w:val="22"/>
        </w:rPr>
        <w:t xml:space="preserve">in vitro </w:t>
      </w:r>
      <w:r w:rsidRPr="00452D62">
        <w:rPr>
          <w:sz w:val="22"/>
          <w:szCs w:val="22"/>
        </w:rPr>
        <w:t>tyrimais, rivaroksabanas yra P-gp (P-glikoproteino) ir Bcrp (krūties vėžio atsparumo baltymo) pernašos baltymų substratas.</w:t>
      </w:r>
    </w:p>
    <w:p w14:paraId="4DDCF11A" w14:textId="77777777" w:rsidR="00823785" w:rsidRPr="00452D62" w:rsidRDefault="00823785" w:rsidP="00823785">
      <w:pPr>
        <w:rPr>
          <w:sz w:val="22"/>
          <w:szCs w:val="22"/>
          <w:u w:val="single"/>
        </w:rPr>
      </w:pPr>
      <w:r w:rsidRPr="00452D62">
        <w:rPr>
          <w:sz w:val="22"/>
          <w:szCs w:val="22"/>
        </w:rPr>
        <w:t>Nepakitęs rivaroksabanas yra svarbiausias darinys žmogaus kraujo plazmoje, labai svarbių ar aktyvių cirkuliuojančių metabolitų nėra. Sisteminis klirensas yra apie 10 l/val., dėl to rivaroksabaną galima priskirti prie mažo klirenso medžiagų. 1 mg dozę suleidus į veną, pusinės eliminacijos laikas trunka maždaug 4,5 valandos. Suvartoto per burną vaistinio preparato eliminaciją riboja absorbcijos greitis. Rivaroksabano galutinis pusinės eliminacijos iš kraujo plazmos laikas jauniems asmenims trunka nuo 5 iki 9 valandų, senyviems asmenims – nuo 11 iki 13 valandų.</w:t>
      </w:r>
    </w:p>
    <w:p w14:paraId="01EC35A2" w14:textId="77777777" w:rsidR="00EE113E" w:rsidRPr="00452D62" w:rsidRDefault="00EE113E" w:rsidP="00EE113E">
      <w:pPr>
        <w:rPr>
          <w:sz w:val="22"/>
          <w:szCs w:val="22"/>
          <w:u w:val="single"/>
        </w:rPr>
      </w:pPr>
    </w:p>
    <w:p w14:paraId="27F6C10C" w14:textId="61151C51" w:rsidR="00EE113E" w:rsidRPr="00AE1B80" w:rsidRDefault="00EE113E" w:rsidP="00EE113E">
      <w:pPr>
        <w:rPr>
          <w:i/>
          <w:sz w:val="22"/>
          <w:szCs w:val="22"/>
        </w:rPr>
      </w:pPr>
      <w:r w:rsidRPr="00AE1B80">
        <w:rPr>
          <w:i/>
          <w:sz w:val="22"/>
          <w:szCs w:val="22"/>
        </w:rPr>
        <w:t>Vaikų populiacija</w:t>
      </w:r>
    </w:p>
    <w:p w14:paraId="5E8A5D5B" w14:textId="36C44D9E" w:rsidR="00823785" w:rsidRPr="00AE1B80" w:rsidRDefault="00EE113E" w:rsidP="00EE113E">
      <w:pPr>
        <w:rPr>
          <w:sz w:val="22"/>
          <w:szCs w:val="22"/>
        </w:rPr>
      </w:pPr>
      <w:r w:rsidRPr="00AE1B80">
        <w:rPr>
          <w:sz w:val="22"/>
          <w:szCs w:val="22"/>
        </w:rPr>
        <w:t>Vaikams specifinių metabolizmo duomenų nėra. Farmakokinetikos duomenų, rivaroksabano suleidus vaikams į veną, nėra. Taikant populiacijos farmakokinetikos modeliavimą, vaikams</w:t>
      </w:r>
      <w:r w:rsidR="0083231C">
        <w:rPr>
          <w:sz w:val="22"/>
          <w:szCs w:val="22"/>
        </w:rPr>
        <w:t xml:space="preserve"> ir paaugliams</w:t>
      </w:r>
      <w:r w:rsidRPr="00AE1B80">
        <w:rPr>
          <w:sz w:val="22"/>
          <w:szCs w:val="22"/>
        </w:rPr>
        <w:t xml:space="preserve"> (nuo 0 iki &lt; 18 metų amžiaus) apskaičiuotas klirensas (CL), išgėrus rivaroksabano, priklauso nuo kūno svorio, jį apibūdina alometrinė funkcija ir, jei tiriamojo asmens kūno svoris yra 82,8</w:t>
      </w:r>
      <w:r w:rsidR="005337A6">
        <w:rPr>
          <w:sz w:val="22"/>
          <w:szCs w:val="22"/>
        </w:rPr>
        <w:t> </w:t>
      </w:r>
      <w:r w:rsidRPr="00AE1B80">
        <w:rPr>
          <w:sz w:val="22"/>
          <w:szCs w:val="22"/>
        </w:rPr>
        <w:t>kg, CL vidurkis siekia 8</w:t>
      </w:r>
      <w:r w:rsidR="005337A6">
        <w:rPr>
          <w:sz w:val="22"/>
          <w:szCs w:val="22"/>
        </w:rPr>
        <w:t> </w:t>
      </w:r>
      <w:r w:rsidRPr="00AE1B80">
        <w:rPr>
          <w:sz w:val="22"/>
          <w:szCs w:val="22"/>
        </w:rPr>
        <w:t>l/val. Mažėjant amžiui, pusinių eliminacijos laikų (t1/2) geometrinio vidurkio reikšmės, apskaičiuotos taikant farmakokinetikos modeliavimą, mažėja, ir jos svyruoja nuo 4,2</w:t>
      </w:r>
      <w:r w:rsidR="005337A6">
        <w:rPr>
          <w:sz w:val="22"/>
          <w:szCs w:val="22"/>
        </w:rPr>
        <w:t> </w:t>
      </w:r>
      <w:r w:rsidRPr="00AE1B80">
        <w:rPr>
          <w:sz w:val="22"/>
          <w:szCs w:val="22"/>
        </w:rPr>
        <w:t>val. paaugliams iki maždaug 3</w:t>
      </w:r>
      <w:r w:rsidR="005337A6">
        <w:rPr>
          <w:sz w:val="22"/>
          <w:szCs w:val="22"/>
        </w:rPr>
        <w:t> </w:t>
      </w:r>
      <w:r w:rsidRPr="00AE1B80">
        <w:rPr>
          <w:sz w:val="22"/>
          <w:szCs w:val="22"/>
        </w:rPr>
        <w:t>val. 2-12 metų vaikams</w:t>
      </w:r>
      <w:r w:rsidR="005337A6">
        <w:rPr>
          <w:sz w:val="22"/>
          <w:szCs w:val="22"/>
        </w:rPr>
        <w:t xml:space="preserve"> ir paaugliams</w:t>
      </w:r>
      <w:r w:rsidRPr="00AE1B80">
        <w:rPr>
          <w:sz w:val="22"/>
          <w:szCs w:val="22"/>
        </w:rPr>
        <w:t xml:space="preserve"> ir iki 1,9</w:t>
      </w:r>
      <w:r w:rsidR="005337A6">
        <w:rPr>
          <w:sz w:val="22"/>
          <w:szCs w:val="22"/>
        </w:rPr>
        <w:t> </w:t>
      </w:r>
      <w:r w:rsidRPr="00AE1B80">
        <w:rPr>
          <w:sz w:val="22"/>
          <w:szCs w:val="22"/>
        </w:rPr>
        <w:t>val. bei 1,6</w:t>
      </w:r>
      <w:r w:rsidR="005337A6">
        <w:rPr>
          <w:sz w:val="22"/>
          <w:szCs w:val="22"/>
        </w:rPr>
        <w:t> </w:t>
      </w:r>
      <w:r w:rsidRPr="00AE1B80">
        <w:rPr>
          <w:sz w:val="22"/>
          <w:szCs w:val="22"/>
        </w:rPr>
        <w:t>val. atitinkamai 0,5-&lt; 2 metų ir jaunesniems kaip 0,5 metų amžiaus vaikams.</w:t>
      </w:r>
    </w:p>
    <w:p w14:paraId="33982012" w14:textId="77777777" w:rsidR="00EE113E" w:rsidRPr="00452D62" w:rsidRDefault="00EE113E" w:rsidP="00EE113E">
      <w:pPr>
        <w:rPr>
          <w:sz w:val="22"/>
          <w:szCs w:val="22"/>
          <w:u w:val="single"/>
        </w:rPr>
      </w:pPr>
    </w:p>
    <w:p w14:paraId="7D2C5A80" w14:textId="77777777" w:rsidR="00823785" w:rsidRPr="00452D62" w:rsidRDefault="00823785" w:rsidP="00823785">
      <w:pPr>
        <w:rPr>
          <w:i/>
          <w:iCs/>
          <w:sz w:val="22"/>
          <w:szCs w:val="22"/>
        </w:rPr>
      </w:pPr>
      <w:r w:rsidRPr="00452D62">
        <w:rPr>
          <w:sz w:val="22"/>
          <w:szCs w:val="22"/>
          <w:u w:val="single"/>
        </w:rPr>
        <w:t>Ypatingos populiacijos</w:t>
      </w:r>
    </w:p>
    <w:p w14:paraId="2998D6AA" w14:textId="77777777" w:rsidR="00823785" w:rsidRPr="00452D62" w:rsidRDefault="00823785" w:rsidP="00823785">
      <w:pPr>
        <w:rPr>
          <w:sz w:val="22"/>
          <w:szCs w:val="22"/>
        </w:rPr>
      </w:pPr>
      <w:r w:rsidRPr="00452D62">
        <w:rPr>
          <w:i/>
          <w:iCs/>
          <w:sz w:val="22"/>
          <w:szCs w:val="22"/>
        </w:rPr>
        <w:t>Lytis</w:t>
      </w:r>
    </w:p>
    <w:p w14:paraId="676FFC77" w14:textId="042E0B56" w:rsidR="00823785" w:rsidRPr="00452D62" w:rsidRDefault="00823785" w:rsidP="00823785">
      <w:pPr>
        <w:tabs>
          <w:tab w:val="clear" w:pos="567"/>
          <w:tab w:val="left" w:pos="0"/>
        </w:tabs>
        <w:rPr>
          <w:sz w:val="22"/>
          <w:szCs w:val="22"/>
        </w:rPr>
      </w:pPr>
      <w:r w:rsidRPr="00452D62">
        <w:rPr>
          <w:sz w:val="22"/>
          <w:szCs w:val="22"/>
        </w:rPr>
        <w:t>Kliniškai reikšmingų farmakokinetikos ir farmakodinamikos skirtumų tarp suaugusiųjų vyrų ir moterų nenustatyta.</w:t>
      </w:r>
      <w:r w:rsidR="00F776D9" w:rsidRPr="00AE1B80">
        <w:rPr>
          <w:sz w:val="22"/>
          <w:szCs w:val="22"/>
        </w:rPr>
        <w:t xml:space="preserve"> </w:t>
      </w:r>
      <w:r w:rsidR="00F776D9" w:rsidRPr="00452D62">
        <w:rPr>
          <w:sz w:val="22"/>
          <w:szCs w:val="22"/>
        </w:rPr>
        <w:t>Taikant tiriamąją analizę, reikšmingų rivaroksabano ekspozicijos skirtumų tarp berniukų ir mergaičių nenustatyta.</w:t>
      </w:r>
    </w:p>
    <w:p w14:paraId="4E3550B9" w14:textId="77777777" w:rsidR="00823785" w:rsidRPr="00452D62" w:rsidRDefault="00823785" w:rsidP="00823785">
      <w:pPr>
        <w:ind w:left="567" w:hanging="567"/>
        <w:rPr>
          <w:sz w:val="22"/>
          <w:szCs w:val="22"/>
        </w:rPr>
      </w:pPr>
    </w:p>
    <w:p w14:paraId="6E66ADD5" w14:textId="77777777" w:rsidR="00823785" w:rsidRPr="00452D62" w:rsidRDefault="00823785" w:rsidP="00823785">
      <w:pPr>
        <w:rPr>
          <w:sz w:val="22"/>
          <w:szCs w:val="22"/>
        </w:rPr>
      </w:pPr>
      <w:r w:rsidRPr="00452D62">
        <w:rPr>
          <w:i/>
          <w:iCs/>
          <w:sz w:val="22"/>
          <w:szCs w:val="22"/>
        </w:rPr>
        <w:t>Senyvi pacientai</w:t>
      </w:r>
    </w:p>
    <w:p w14:paraId="7427C268" w14:textId="77777777" w:rsidR="00823785" w:rsidRPr="00452D62" w:rsidRDefault="00823785" w:rsidP="00823785">
      <w:pPr>
        <w:rPr>
          <w:i/>
          <w:iCs/>
          <w:sz w:val="22"/>
          <w:szCs w:val="22"/>
        </w:rPr>
      </w:pPr>
      <w:r w:rsidRPr="00452D62">
        <w:rPr>
          <w:sz w:val="22"/>
          <w:szCs w:val="22"/>
        </w:rPr>
        <w:t>Senyviems pacientams nustatyta didesnė koncentracija kraujo plazmoje nei jaunesniems pacientams. Vidutiniai AUC rodmenys buvo maždaug 1,5 karto didesni daugiausia dėl sumažėjusio (tariamojo) bendro ir inkstų klirenso. Dozės koreguoti nereikia.</w:t>
      </w:r>
    </w:p>
    <w:p w14:paraId="3459FDB4" w14:textId="77777777" w:rsidR="00823785" w:rsidRPr="00452D62" w:rsidRDefault="00823785" w:rsidP="00823785">
      <w:pPr>
        <w:rPr>
          <w:i/>
          <w:iCs/>
          <w:sz w:val="22"/>
          <w:szCs w:val="22"/>
        </w:rPr>
      </w:pPr>
    </w:p>
    <w:p w14:paraId="7B66A7D9" w14:textId="77777777" w:rsidR="00823785" w:rsidRPr="00452D62" w:rsidRDefault="00823785" w:rsidP="00823785">
      <w:pPr>
        <w:rPr>
          <w:sz w:val="22"/>
          <w:szCs w:val="22"/>
        </w:rPr>
      </w:pPr>
      <w:r w:rsidRPr="00452D62">
        <w:rPr>
          <w:i/>
          <w:iCs/>
          <w:sz w:val="22"/>
          <w:szCs w:val="22"/>
        </w:rPr>
        <w:t>Skirtingos svorio kategorijos</w:t>
      </w:r>
    </w:p>
    <w:p w14:paraId="7EAA6416" w14:textId="02C6CAAA" w:rsidR="00823785" w:rsidRPr="00452D62" w:rsidRDefault="00823785" w:rsidP="00823785">
      <w:pPr>
        <w:rPr>
          <w:i/>
          <w:iCs/>
          <w:sz w:val="22"/>
          <w:szCs w:val="22"/>
        </w:rPr>
      </w:pPr>
      <w:r w:rsidRPr="00452D62">
        <w:rPr>
          <w:sz w:val="22"/>
          <w:szCs w:val="22"/>
        </w:rPr>
        <w:t>Suaugusiems svorio kraštutinumai (&lt; 50 kg arba &gt; 120 kg) darė mažą įtaką rivaroksabano koncentracijai kraujo plazmoje (mažiau nei 25 %). Dozės koreguoti nereikia.</w:t>
      </w:r>
    </w:p>
    <w:p w14:paraId="69CE8957" w14:textId="6FE3004F" w:rsidR="00823785" w:rsidRPr="00AE1B80" w:rsidRDefault="00711755" w:rsidP="00823785">
      <w:pPr>
        <w:rPr>
          <w:iCs/>
          <w:sz w:val="22"/>
          <w:szCs w:val="22"/>
        </w:rPr>
      </w:pPr>
      <w:r w:rsidRPr="00AE1B80">
        <w:rPr>
          <w:iCs/>
          <w:sz w:val="22"/>
          <w:szCs w:val="22"/>
        </w:rPr>
        <w:t>Vaikams rivaroksabanas dozuojamas pagal kūno svorį. Taikant tiriamąją analizę, reikšmingos nepakankamo svorio ar nutukimo įtakos rivaroksabano ekspozicijai vaikams nenustatyta.</w:t>
      </w:r>
    </w:p>
    <w:p w14:paraId="728FC477" w14:textId="77777777" w:rsidR="00711755" w:rsidRPr="00452D62" w:rsidRDefault="00711755" w:rsidP="00823785">
      <w:pPr>
        <w:rPr>
          <w:i/>
          <w:iCs/>
          <w:sz w:val="22"/>
          <w:szCs w:val="22"/>
        </w:rPr>
      </w:pPr>
    </w:p>
    <w:p w14:paraId="3377B76E" w14:textId="77777777" w:rsidR="00823785" w:rsidRPr="00452D62" w:rsidRDefault="00823785" w:rsidP="00823785">
      <w:pPr>
        <w:rPr>
          <w:sz w:val="22"/>
          <w:szCs w:val="22"/>
        </w:rPr>
      </w:pPr>
      <w:r w:rsidRPr="00452D62">
        <w:rPr>
          <w:i/>
          <w:iCs/>
          <w:sz w:val="22"/>
          <w:szCs w:val="22"/>
        </w:rPr>
        <w:t>Etniniai skirtumai</w:t>
      </w:r>
    </w:p>
    <w:p w14:paraId="12C4D539" w14:textId="69891A5C" w:rsidR="00823785" w:rsidRPr="00452D62" w:rsidRDefault="00823785" w:rsidP="00823785">
      <w:pPr>
        <w:rPr>
          <w:i/>
          <w:iCs/>
          <w:sz w:val="22"/>
          <w:szCs w:val="22"/>
        </w:rPr>
      </w:pPr>
      <w:r w:rsidRPr="00452D62">
        <w:rPr>
          <w:sz w:val="22"/>
          <w:szCs w:val="22"/>
        </w:rPr>
        <w:t>Atsižvelgiant į rivaroksabano farmakokinetiką ir farmakodinamiką, kliniškai reikšmingų skirtumų tarp baltųjų, afroamerikiečių, ispanų, japonų ar kinų etninių grupių suaugusiųjų pacientų nepastebėta.</w:t>
      </w:r>
    </w:p>
    <w:p w14:paraId="2434B284" w14:textId="6D6CD142" w:rsidR="00823785" w:rsidRPr="00AE1B80" w:rsidRDefault="00711755" w:rsidP="00823785">
      <w:pPr>
        <w:rPr>
          <w:iCs/>
          <w:sz w:val="22"/>
          <w:szCs w:val="22"/>
        </w:rPr>
      </w:pPr>
      <w:r w:rsidRPr="00AE1B80">
        <w:rPr>
          <w:iCs/>
          <w:sz w:val="22"/>
          <w:szCs w:val="22"/>
        </w:rPr>
        <w:t>Taikant tiriamąją analizę, reikšmingų rivaroksabano ekspozicijos skirtumų tarp japonų, kinų arba azijiečių (ne japonų ir ne kinų) etninių grupių vaikų, palyginti su atitinkama bendra vaikų populiacija, nenustatyta.</w:t>
      </w:r>
    </w:p>
    <w:p w14:paraId="02A4D441" w14:textId="77777777" w:rsidR="00711755" w:rsidRPr="00452D62" w:rsidRDefault="00711755" w:rsidP="00823785">
      <w:pPr>
        <w:rPr>
          <w:i/>
          <w:iCs/>
          <w:sz w:val="22"/>
          <w:szCs w:val="22"/>
        </w:rPr>
      </w:pPr>
    </w:p>
    <w:p w14:paraId="14B13E62" w14:textId="77777777" w:rsidR="00823785" w:rsidRPr="00452D62" w:rsidRDefault="00823785" w:rsidP="00823785">
      <w:pPr>
        <w:rPr>
          <w:sz w:val="22"/>
          <w:szCs w:val="22"/>
        </w:rPr>
      </w:pPr>
      <w:r w:rsidRPr="00452D62">
        <w:rPr>
          <w:i/>
          <w:iCs/>
          <w:sz w:val="22"/>
          <w:szCs w:val="22"/>
        </w:rPr>
        <w:t>Sutrikusi kepenų funkcija</w:t>
      </w:r>
    </w:p>
    <w:p w14:paraId="6EB2F391" w14:textId="77777777" w:rsidR="00823785" w:rsidRPr="00452D62" w:rsidRDefault="00823785" w:rsidP="00823785">
      <w:pPr>
        <w:rPr>
          <w:sz w:val="22"/>
          <w:szCs w:val="22"/>
        </w:rPr>
      </w:pPr>
      <w:r w:rsidRPr="00452D62">
        <w:rPr>
          <w:sz w:val="22"/>
          <w:szCs w:val="22"/>
        </w:rPr>
        <w:t xml:space="preserve">Ciroze sergantiems suaugusiems pacientams, kuriems buvo lengvas kepenų funkcijos sutrikimas (A klasė pagal </w:t>
      </w:r>
      <w:r w:rsidRPr="00452D62">
        <w:rPr>
          <w:i/>
          <w:sz w:val="22"/>
          <w:szCs w:val="22"/>
        </w:rPr>
        <w:t>Child Pugh</w:t>
      </w:r>
      <w:r w:rsidRPr="00452D62">
        <w:rPr>
          <w:sz w:val="22"/>
          <w:szCs w:val="22"/>
        </w:rPr>
        <w:t xml:space="preserve">), nustatyta tik nedidelių rivaroksabano farmakokinetikos pokyčių (vidutiniškai 1,2 karto padidėjęs rivaroksabano AUC), ir rodmenys beveik atitiko atitinkamos sveikų asmenų kontrolinės grupės rodmenis. Pacientams, kuriems dėl cirozės yra vidutinio sunkumo kepenų funkcijos sutrikimas (B pagal </w:t>
      </w:r>
      <w:r w:rsidRPr="00452D62">
        <w:rPr>
          <w:i/>
          <w:sz w:val="22"/>
          <w:szCs w:val="22"/>
        </w:rPr>
        <w:t>Child Pugh</w:t>
      </w:r>
      <w:r w:rsidRPr="00452D62">
        <w:rPr>
          <w:sz w:val="22"/>
          <w:szCs w:val="22"/>
        </w:rPr>
        <w:t>), rivaroksabano vidutinis AUC buvo reikšmingai 2,3 karto didesnis, palyginti su sveikų savanorių rodmeniu. Laisvos medžiagos AUC padidėjo 2,6 karto. Tokiems pacientams rivaroksabano eliminacija per inkstus taip pat buvo sulėtėjusi, panašiai kaip ir pacientų, kuriems yra vidutinio laipsnio inkstų funkcijos sutrikimas. Duomenų apie pacientus, kuriems yra sunkus kepenų funkcijos sutrikimas, nėra.</w:t>
      </w:r>
    </w:p>
    <w:p w14:paraId="6236E3D5" w14:textId="77777777" w:rsidR="00823785" w:rsidRPr="00452D62" w:rsidRDefault="00823785" w:rsidP="00823785">
      <w:pPr>
        <w:rPr>
          <w:sz w:val="22"/>
          <w:szCs w:val="22"/>
        </w:rPr>
      </w:pPr>
      <w:r w:rsidRPr="00452D62">
        <w:rPr>
          <w:sz w:val="22"/>
          <w:szCs w:val="22"/>
        </w:rPr>
        <w:t>Xa faktoriaus aktyvumo slopinimas pacientams, kuriems buvo vidutinio sunkumo kepenų funkcijos sutrikimas, buvo padidėjęs 2,6 karto, palyginti su sveikų savanorių rodmeniu, PT buvo pailgėjęs panašiai – 2,1 karto. Pacientai, kuriems yra vidutinio sunkumo kepenų funkcijos sutrikimas, buvo jautresni rivaroksabano poveikiui, todėl jų FK/FD santykis tarp koncentracijos ir PT buvo statesnis.</w:t>
      </w:r>
    </w:p>
    <w:p w14:paraId="1F01051F" w14:textId="543CF606" w:rsidR="00823785" w:rsidRPr="00452D62" w:rsidRDefault="00823785" w:rsidP="00823785">
      <w:pPr>
        <w:tabs>
          <w:tab w:val="clear" w:pos="567"/>
          <w:tab w:val="left" w:pos="0"/>
        </w:tabs>
        <w:rPr>
          <w:sz w:val="22"/>
          <w:szCs w:val="22"/>
        </w:rPr>
      </w:pPr>
      <w:r w:rsidRPr="00452D62">
        <w:rPr>
          <w:sz w:val="22"/>
          <w:szCs w:val="22"/>
        </w:rPr>
        <w:t xml:space="preserve">Rivaroksabano draudžiama vartoti pacientams, kurie serga kepenų liga, susijusia su koagulopatija ir kliniškai reikšminga kraujavimo rizika, įskaitant pacientus, kuriems yra cirozė (B ir C pagal </w:t>
      </w:r>
      <w:r w:rsidRPr="00452D62">
        <w:rPr>
          <w:i/>
          <w:sz w:val="22"/>
          <w:szCs w:val="22"/>
        </w:rPr>
        <w:t>Child</w:t>
      </w:r>
      <w:r w:rsidRPr="00452D62">
        <w:rPr>
          <w:sz w:val="22"/>
          <w:szCs w:val="22"/>
        </w:rPr>
        <w:t xml:space="preserve"> </w:t>
      </w:r>
      <w:r w:rsidRPr="00452D62">
        <w:rPr>
          <w:i/>
          <w:sz w:val="22"/>
          <w:szCs w:val="22"/>
        </w:rPr>
        <w:t>Pugh</w:t>
      </w:r>
      <w:r w:rsidRPr="00452D62">
        <w:rPr>
          <w:sz w:val="22"/>
          <w:szCs w:val="22"/>
        </w:rPr>
        <w:t>) (žr. 4.3 skyrių).</w:t>
      </w:r>
    </w:p>
    <w:p w14:paraId="052E3F9F" w14:textId="4A29D62C" w:rsidR="00823785" w:rsidRPr="00452D62" w:rsidRDefault="00D0206D" w:rsidP="00823785">
      <w:pPr>
        <w:ind w:left="567" w:hanging="567"/>
        <w:rPr>
          <w:sz w:val="22"/>
          <w:szCs w:val="22"/>
        </w:rPr>
      </w:pPr>
      <w:r w:rsidRPr="00452D62">
        <w:rPr>
          <w:sz w:val="22"/>
          <w:szCs w:val="22"/>
        </w:rPr>
        <w:t>Vaikams, kurių sutrikusi kepenų funkcija, klinikinių duomenų nėra.</w:t>
      </w:r>
    </w:p>
    <w:p w14:paraId="420A31EC" w14:textId="77777777" w:rsidR="00D0206D" w:rsidRPr="00452D62" w:rsidRDefault="00D0206D" w:rsidP="00823785">
      <w:pPr>
        <w:ind w:left="567" w:hanging="567"/>
        <w:rPr>
          <w:sz w:val="22"/>
          <w:szCs w:val="22"/>
        </w:rPr>
      </w:pPr>
    </w:p>
    <w:p w14:paraId="5A4B6391" w14:textId="77777777" w:rsidR="00823785" w:rsidRPr="00452D62" w:rsidRDefault="00823785" w:rsidP="00823785">
      <w:pPr>
        <w:rPr>
          <w:sz w:val="22"/>
          <w:szCs w:val="22"/>
        </w:rPr>
      </w:pPr>
      <w:r w:rsidRPr="00452D62">
        <w:rPr>
          <w:i/>
          <w:iCs/>
          <w:sz w:val="22"/>
          <w:szCs w:val="22"/>
        </w:rPr>
        <w:t>Sutrikusi inkstų funkcija</w:t>
      </w:r>
    </w:p>
    <w:p w14:paraId="1937A358" w14:textId="08AA8EB4" w:rsidR="00823785" w:rsidRPr="00452D62" w:rsidRDefault="00823785" w:rsidP="00823785">
      <w:pPr>
        <w:rPr>
          <w:sz w:val="22"/>
          <w:szCs w:val="22"/>
        </w:rPr>
      </w:pPr>
      <w:r w:rsidRPr="00452D62">
        <w:rPr>
          <w:i/>
          <w:sz w:val="22"/>
          <w:szCs w:val="22"/>
        </w:rPr>
        <w:t>Suaugusiems r</w:t>
      </w:r>
      <w:r w:rsidRPr="00452D62">
        <w:rPr>
          <w:sz w:val="22"/>
          <w:szCs w:val="22"/>
        </w:rPr>
        <w:t>ivaroksabano ekspozicijos padidėjimas koreliavo su inkstų funkcijos susilpnėjimu vertinant kreatinino klirenso tyrimus. Asmenims, kuriems buvo lengvas (kreatinino klirensas 50</w:t>
      </w:r>
      <w:r w:rsidRPr="00452D62">
        <w:rPr>
          <w:sz w:val="22"/>
          <w:szCs w:val="22"/>
        </w:rPr>
        <w:noBreakHyphen/>
        <w:t>80 ml/min.), vidutinio sunkumo (kreatinino klirensas 30</w:t>
      </w:r>
      <w:r w:rsidRPr="00452D62">
        <w:rPr>
          <w:sz w:val="22"/>
          <w:szCs w:val="22"/>
        </w:rPr>
        <w:noBreakHyphen/>
        <w:t>49 ml/min.) ir sunkus (kreatinino klirensas 15</w:t>
      </w:r>
      <w:r w:rsidRPr="00452D62">
        <w:rPr>
          <w:sz w:val="22"/>
          <w:szCs w:val="22"/>
        </w:rPr>
        <w:noBreakHyphen/>
        <w:t>29 ml/min.) inkstų funkcijos sutrikimas, rivaroksabano koncentracija kraujo plazmoje (AUC) buvo padidėjusi atitinkamai 1,4, 1,5 ir 1,6 karto. Atitinkamai buvo ryškesnis farmakodinaminio poveikio sustiprėjimas. Asmenims, kuriems buvo lengvas, vidutinio sunkumo ir sunkus inkstų funkcijos sutrikimas, bendras Xa faktoriaus aktyvumo slopinimas buvo padidėjęs atitinkamai 1,5, 1,9 ir 2,0 karto, palyginti su sveikų savanorių rodmenimis; PT pailgėjo atitinkamai 1,3, 2,2 ir 2,4 karto. Duomenų apie pacientus, kurių kreatinino klirensas &lt; 15 ml/min., nėra.</w:t>
      </w:r>
    </w:p>
    <w:p w14:paraId="06822F81" w14:textId="77777777" w:rsidR="00823785" w:rsidRPr="00452D62" w:rsidRDefault="00823785" w:rsidP="00823785">
      <w:pPr>
        <w:rPr>
          <w:sz w:val="22"/>
          <w:szCs w:val="22"/>
        </w:rPr>
      </w:pPr>
      <w:r w:rsidRPr="00452D62">
        <w:rPr>
          <w:sz w:val="22"/>
          <w:szCs w:val="22"/>
        </w:rPr>
        <w:t>Daug rivaroksabano prisijungia prie kraujo plazmos baltymų, todėl jo pašalinimas dialize nėra tikėtinas.</w:t>
      </w:r>
    </w:p>
    <w:p w14:paraId="7FD9B5A8" w14:textId="123151B5" w:rsidR="00823785" w:rsidRPr="00452D62" w:rsidRDefault="00823785" w:rsidP="00823785">
      <w:pPr>
        <w:tabs>
          <w:tab w:val="clear" w:pos="567"/>
          <w:tab w:val="left" w:pos="0"/>
        </w:tabs>
        <w:rPr>
          <w:sz w:val="22"/>
          <w:szCs w:val="22"/>
        </w:rPr>
      </w:pPr>
      <w:r w:rsidRPr="00452D62">
        <w:rPr>
          <w:sz w:val="22"/>
          <w:szCs w:val="22"/>
        </w:rPr>
        <w:t>Vartojimas nerekomenduojamas pacientams, kurių kreatinino klirensas yra &lt; 15 ml/min. Pacientams, kurių kreatinino klirensas yra 15</w:t>
      </w:r>
      <w:r w:rsidRPr="00452D62">
        <w:rPr>
          <w:sz w:val="22"/>
          <w:szCs w:val="22"/>
        </w:rPr>
        <w:noBreakHyphen/>
        <w:t>29 ml/min., rivaroksabano reikia skirti atsargiai (žr. 4.4 skyrių).</w:t>
      </w:r>
    </w:p>
    <w:p w14:paraId="5E1AD8CD" w14:textId="23E26EDB" w:rsidR="00823785" w:rsidRPr="00452D62" w:rsidRDefault="008762E5" w:rsidP="00AE1B80">
      <w:pPr>
        <w:rPr>
          <w:sz w:val="22"/>
          <w:szCs w:val="22"/>
        </w:rPr>
      </w:pPr>
      <w:r w:rsidRPr="00452D62">
        <w:rPr>
          <w:sz w:val="22"/>
          <w:szCs w:val="22"/>
        </w:rPr>
        <w:t>1 metų amžiaus arba vyresniems vaikams, kuriems yra vidutinio sunkumo arba sunkus inkstų funkcijos sutrikimas (glomerulų filtracijos greitis &lt; 50</w:t>
      </w:r>
      <w:r w:rsidR="005337A6">
        <w:rPr>
          <w:sz w:val="22"/>
          <w:szCs w:val="22"/>
        </w:rPr>
        <w:t> </w:t>
      </w:r>
      <w:r w:rsidRPr="00452D62">
        <w:rPr>
          <w:sz w:val="22"/>
          <w:szCs w:val="22"/>
        </w:rPr>
        <w:t>ml/min./1,73 m</w:t>
      </w:r>
      <w:r w:rsidRPr="00AE1B80">
        <w:rPr>
          <w:sz w:val="22"/>
          <w:szCs w:val="22"/>
          <w:vertAlign w:val="superscript"/>
        </w:rPr>
        <w:t>2</w:t>
      </w:r>
      <w:r w:rsidRPr="00452D62">
        <w:rPr>
          <w:sz w:val="22"/>
          <w:szCs w:val="22"/>
        </w:rPr>
        <w:t>), klinikinių duomenų nėra.</w:t>
      </w:r>
    </w:p>
    <w:p w14:paraId="74C4EEB8" w14:textId="77777777" w:rsidR="008762E5" w:rsidRPr="00452D62" w:rsidRDefault="008762E5" w:rsidP="008762E5">
      <w:pPr>
        <w:ind w:left="567" w:hanging="567"/>
        <w:rPr>
          <w:sz w:val="22"/>
          <w:szCs w:val="22"/>
        </w:rPr>
      </w:pPr>
    </w:p>
    <w:p w14:paraId="46FC2A88" w14:textId="77777777" w:rsidR="00823785" w:rsidRPr="00452D62" w:rsidRDefault="00823785" w:rsidP="00823785">
      <w:pPr>
        <w:rPr>
          <w:sz w:val="22"/>
          <w:szCs w:val="22"/>
        </w:rPr>
      </w:pPr>
      <w:r w:rsidRPr="00452D62">
        <w:rPr>
          <w:sz w:val="22"/>
          <w:szCs w:val="22"/>
          <w:u w:val="single"/>
        </w:rPr>
        <w:t>Farmakokinetikos duomenys pacientams</w:t>
      </w:r>
    </w:p>
    <w:p w14:paraId="52F87920" w14:textId="1F598A11" w:rsidR="00823785" w:rsidRPr="00452D62" w:rsidRDefault="00823785" w:rsidP="00823785">
      <w:pPr>
        <w:rPr>
          <w:sz w:val="22"/>
          <w:szCs w:val="22"/>
          <w:u w:val="single"/>
        </w:rPr>
      </w:pPr>
      <w:r w:rsidRPr="00452D62">
        <w:rPr>
          <w:sz w:val="22"/>
          <w:szCs w:val="22"/>
        </w:rPr>
        <w:t>Pacientams, vartojusiems po 20 mg rivaroksabano vieną kartą per parą GVT gydymui, geometrinis koncentracijos vidurkis (90 % prognozavimo intervalas), praėjus 2-4 val. ir maždaug 12 val. po dozės pavartojimo (apytikriai tai atitinka didžiausią ir mažiausią koncentraciją laikotarpiu tarp dozių) buvo atitinkamai 215 (22</w:t>
      </w:r>
      <w:r w:rsidRPr="00452D62">
        <w:rPr>
          <w:sz w:val="22"/>
          <w:szCs w:val="22"/>
        </w:rPr>
        <w:noBreakHyphen/>
        <w:t>535) μg/l ir 32 (6-239) μg/l.</w:t>
      </w:r>
    </w:p>
    <w:p w14:paraId="2B2AE157" w14:textId="77777777" w:rsidR="00982349" w:rsidRPr="00452D62" w:rsidRDefault="00982349" w:rsidP="00823785">
      <w:pPr>
        <w:rPr>
          <w:sz w:val="22"/>
          <w:szCs w:val="22"/>
          <w:u w:val="single"/>
        </w:rPr>
      </w:pPr>
    </w:p>
    <w:p w14:paraId="32AEC627" w14:textId="2A0B4F23" w:rsidR="00823785" w:rsidRPr="00AE1B80" w:rsidRDefault="00982349" w:rsidP="00823785">
      <w:pPr>
        <w:rPr>
          <w:sz w:val="22"/>
          <w:szCs w:val="22"/>
        </w:rPr>
      </w:pPr>
      <w:r w:rsidRPr="00AE1B80">
        <w:rPr>
          <w:sz w:val="22"/>
          <w:szCs w:val="22"/>
        </w:rPr>
        <w:t>Vaikams, sergantiems ūmine VTE ir vartojantiems pagal kūno svorį dozuojamą rivaroksabaną, siekiant panašios ekspozicijos kaip ir suaugusiems pacientams, vieną kartą per parą vartojantiems 20</w:t>
      </w:r>
      <w:r w:rsidR="005337A6">
        <w:rPr>
          <w:sz w:val="22"/>
          <w:szCs w:val="22"/>
        </w:rPr>
        <w:t> </w:t>
      </w:r>
      <w:r w:rsidRPr="00AE1B80">
        <w:rPr>
          <w:sz w:val="22"/>
          <w:szCs w:val="22"/>
        </w:rPr>
        <w:t>mg rivaroksabano nuo GVT, koncentracijų geometriniai vidurkiai (90</w:t>
      </w:r>
      <w:r w:rsidR="008C3DF7">
        <w:rPr>
          <w:sz w:val="22"/>
          <w:szCs w:val="22"/>
        </w:rPr>
        <w:t> %</w:t>
      </w:r>
      <w:r w:rsidRPr="00AE1B80">
        <w:rPr>
          <w:sz w:val="22"/>
          <w:szCs w:val="22"/>
        </w:rPr>
        <w:t xml:space="preserve"> intervalas), kai mėginių paėmimo intervalai apytikriai atitinka didžiausią ir mažiausią tarp dozių susidarančią koncentraciją, apibendrinami 13 lentelėje.</w:t>
      </w:r>
    </w:p>
    <w:p w14:paraId="3772FB74" w14:textId="77777777" w:rsidR="003E3B5C" w:rsidRPr="00452D62" w:rsidRDefault="003E3B5C" w:rsidP="00823785">
      <w:pPr>
        <w:rPr>
          <w:sz w:val="22"/>
          <w:szCs w:val="22"/>
          <w:u w:val="single"/>
        </w:rPr>
      </w:pPr>
    </w:p>
    <w:p w14:paraId="2261E4E9" w14:textId="0EE7B5C1" w:rsidR="00982349" w:rsidRPr="00AE1B80" w:rsidRDefault="003E3B5C" w:rsidP="00823785">
      <w:pPr>
        <w:rPr>
          <w:b/>
          <w:sz w:val="22"/>
          <w:szCs w:val="22"/>
          <w:u w:val="single"/>
        </w:rPr>
      </w:pPr>
      <w:r w:rsidRPr="00AE1B80">
        <w:rPr>
          <w:b/>
          <w:sz w:val="22"/>
          <w:szCs w:val="22"/>
          <w:u w:val="single"/>
        </w:rPr>
        <w:t>13 lentelė. Rivaroksabano koncentracijos pusiausvyros sąlygomis (μg/l) statistikos suvestinė (geometrinis vidurkis (90</w:t>
      </w:r>
      <w:r w:rsidR="008C3DF7">
        <w:rPr>
          <w:b/>
          <w:sz w:val="22"/>
          <w:szCs w:val="22"/>
          <w:u w:val="single"/>
        </w:rPr>
        <w:t> %</w:t>
      </w:r>
      <w:r w:rsidRPr="00AE1B80">
        <w:rPr>
          <w:b/>
          <w:sz w:val="22"/>
          <w:szCs w:val="22"/>
          <w:u w:val="single"/>
        </w:rPr>
        <w:t xml:space="preserve"> intervalas)) pagal dozavimo režimą ir amžių</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75"/>
        <w:gridCol w:w="540"/>
        <w:gridCol w:w="1421"/>
        <w:gridCol w:w="538"/>
        <w:gridCol w:w="1392"/>
        <w:gridCol w:w="422"/>
        <w:gridCol w:w="1426"/>
        <w:gridCol w:w="417"/>
        <w:gridCol w:w="1629"/>
      </w:tblGrid>
      <w:tr w:rsidR="003E3B5C" w:rsidRPr="00452D62" w14:paraId="5FC87A59" w14:textId="77777777" w:rsidTr="00752E29">
        <w:trPr>
          <w:trHeight w:val="506"/>
        </w:trPr>
        <w:tc>
          <w:tcPr>
            <w:tcW w:w="704" w:type="pct"/>
            <w:shd w:val="clear" w:color="auto" w:fill="auto"/>
          </w:tcPr>
          <w:p w14:paraId="32FF1101" w14:textId="07DDF894" w:rsidR="003E3B5C" w:rsidRPr="00AE1B80" w:rsidRDefault="003E3B5C" w:rsidP="003E3B5C">
            <w:pPr>
              <w:widowControl w:val="0"/>
              <w:tabs>
                <w:tab w:val="clear" w:pos="567"/>
              </w:tabs>
              <w:suppressAutoHyphens w:val="0"/>
              <w:autoSpaceDE w:val="0"/>
              <w:autoSpaceDN w:val="0"/>
              <w:spacing w:before="2" w:line="254" w:lineRule="exact"/>
              <w:ind w:left="107"/>
              <w:rPr>
                <w:rFonts w:eastAsia="Calibri"/>
                <w:b/>
                <w:color w:val="auto"/>
                <w:sz w:val="22"/>
                <w:szCs w:val="22"/>
                <w:lang w:val="en-US" w:eastAsia="en-US"/>
              </w:rPr>
            </w:pPr>
            <w:r w:rsidRPr="00AE1B80">
              <w:rPr>
                <w:rFonts w:eastAsia="Calibri"/>
                <w:b/>
                <w:color w:val="auto"/>
                <w:sz w:val="22"/>
                <w:szCs w:val="22"/>
                <w:lang w:val="en-US" w:eastAsia="en-US"/>
              </w:rPr>
              <w:t>Laiko intervalai</w:t>
            </w:r>
          </w:p>
        </w:tc>
        <w:tc>
          <w:tcPr>
            <w:tcW w:w="298" w:type="pct"/>
            <w:shd w:val="clear" w:color="auto" w:fill="auto"/>
          </w:tcPr>
          <w:p w14:paraId="7E3C3032" w14:textId="77777777" w:rsidR="003E3B5C" w:rsidRPr="00AE1B80"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784" w:type="pct"/>
            <w:shd w:val="clear" w:color="auto" w:fill="auto"/>
          </w:tcPr>
          <w:p w14:paraId="6611F063" w14:textId="77777777" w:rsidR="003E3B5C" w:rsidRPr="00AE1B80"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297" w:type="pct"/>
            <w:shd w:val="clear" w:color="auto" w:fill="auto"/>
          </w:tcPr>
          <w:p w14:paraId="593FFA7A" w14:textId="77777777" w:rsidR="003E3B5C" w:rsidRPr="00AE1B80"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768" w:type="pct"/>
            <w:shd w:val="clear" w:color="auto" w:fill="auto"/>
          </w:tcPr>
          <w:p w14:paraId="06790579" w14:textId="77777777" w:rsidR="003E3B5C" w:rsidRPr="00AE1B80"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233" w:type="pct"/>
            <w:shd w:val="clear" w:color="auto" w:fill="auto"/>
          </w:tcPr>
          <w:p w14:paraId="6BD39CB1" w14:textId="77777777" w:rsidR="003E3B5C" w:rsidRPr="00AE1B80"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787" w:type="pct"/>
            <w:shd w:val="clear" w:color="auto" w:fill="auto"/>
          </w:tcPr>
          <w:p w14:paraId="302F12CF" w14:textId="77777777" w:rsidR="003E3B5C" w:rsidRPr="00AE1B80"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230" w:type="pct"/>
            <w:shd w:val="clear" w:color="auto" w:fill="auto"/>
          </w:tcPr>
          <w:p w14:paraId="18F1673E" w14:textId="77777777" w:rsidR="003E3B5C" w:rsidRPr="00AE1B80"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899" w:type="pct"/>
            <w:shd w:val="clear" w:color="auto" w:fill="auto"/>
          </w:tcPr>
          <w:p w14:paraId="0012796A" w14:textId="77777777" w:rsidR="003E3B5C" w:rsidRPr="00AE1B80"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r>
      <w:tr w:rsidR="003E3B5C" w:rsidRPr="00452D62" w14:paraId="326F37DD" w14:textId="77777777" w:rsidTr="00752E29">
        <w:trPr>
          <w:trHeight w:val="501"/>
        </w:trPr>
        <w:tc>
          <w:tcPr>
            <w:tcW w:w="704" w:type="pct"/>
            <w:shd w:val="clear" w:color="auto" w:fill="auto"/>
          </w:tcPr>
          <w:p w14:paraId="290A93EF" w14:textId="618AB348" w:rsidR="003E3B5C" w:rsidRPr="00AE1B80" w:rsidRDefault="003E3B5C" w:rsidP="003E3B5C">
            <w:pPr>
              <w:widowControl w:val="0"/>
              <w:tabs>
                <w:tab w:val="clear" w:pos="567"/>
              </w:tabs>
              <w:suppressAutoHyphens w:val="0"/>
              <w:autoSpaceDE w:val="0"/>
              <w:autoSpaceDN w:val="0"/>
              <w:spacing w:line="249" w:lineRule="exact"/>
              <w:ind w:left="107"/>
              <w:rPr>
                <w:rFonts w:eastAsia="Calibri"/>
                <w:b/>
                <w:color w:val="auto"/>
                <w:sz w:val="22"/>
                <w:szCs w:val="22"/>
                <w:lang w:val="en-US" w:eastAsia="en-US"/>
              </w:rPr>
            </w:pPr>
            <w:r w:rsidRPr="00AE1B80">
              <w:rPr>
                <w:rFonts w:eastAsia="Calibri"/>
                <w:b/>
                <w:color w:val="auto"/>
                <w:sz w:val="22"/>
                <w:szCs w:val="22"/>
                <w:lang w:val="en-US" w:eastAsia="en-US"/>
              </w:rPr>
              <w:t>VKP</w:t>
            </w:r>
          </w:p>
        </w:tc>
        <w:tc>
          <w:tcPr>
            <w:tcW w:w="298" w:type="pct"/>
            <w:shd w:val="clear" w:color="auto" w:fill="auto"/>
          </w:tcPr>
          <w:p w14:paraId="15D9F2A5" w14:textId="77777777" w:rsidR="003E3B5C" w:rsidRPr="00AE1B80" w:rsidRDefault="003E3B5C" w:rsidP="003E3B5C">
            <w:pPr>
              <w:widowControl w:val="0"/>
              <w:tabs>
                <w:tab w:val="clear" w:pos="567"/>
              </w:tabs>
              <w:suppressAutoHyphens w:val="0"/>
              <w:autoSpaceDE w:val="0"/>
              <w:autoSpaceDN w:val="0"/>
              <w:spacing w:line="249" w:lineRule="exact"/>
              <w:ind w:left="107"/>
              <w:rPr>
                <w:rFonts w:eastAsia="Calibri"/>
                <w:b/>
                <w:color w:val="auto"/>
                <w:sz w:val="22"/>
                <w:szCs w:val="22"/>
                <w:lang w:val="en-US" w:eastAsia="en-US"/>
              </w:rPr>
            </w:pPr>
            <w:r w:rsidRPr="00AE1B80">
              <w:rPr>
                <w:rFonts w:eastAsia="Calibri"/>
                <w:b/>
                <w:color w:val="auto"/>
                <w:w w:val="99"/>
                <w:sz w:val="22"/>
                <w:szCs w:val="22"/>
                <w:lang w:val="en-US" w:eastAsia="en-US"/>
              </w:rPr>
              <w:t>N</w:t>
            </w:r>
          </w:p>
        </w:tc>
        <w:tc>
          <w:tcPr>
            <w:tcW w:w="784" w:type="pct"/>
            <w:shd w:val="clear" w:color="auto" w:fill="auto"/>
          </w:tcPr>
          <w:p w14:paraId="653E6DF8" w14:textId="77777777" w:rsidR="003E3B5C" w:rsidRPr="00AE1B80" w:rsidRDefault="003E3B5C" w:rsidP="003E3B5C">
            <w:pPr>
              <w:widowControl w:val="0"/>
              <w:tabs>
                <w:tab w:val="clear" w:pos="567"/>
              </w:tabs>
              <w:suppressAutoHyphens w:val="0"/>
              <w:autoSpaceDE w:val="0"/>
              <w:autoSpaceDN w:val="0"/>
              <w:spacing w:line="249" w:lineRule="exact"/>
              <w:ind w:left="107"/>
              <w:rPr>
                <w:rFonts w:eastAsia="Calibri"/>
                <w:b/>
                <w:color w:val="auto"/>
                <w:sz w:val="22"/>
                <w:szCs w:val="22"/>
                <w:lang w:val="en-US" w:eastAsia="en-US"/>
              </w:rPr>
            </w:pPr>
            <w:r w:rsidRPr="00AE1B80">
              <w:rPr>
                <w:rFonts w:eastAsia="Calibri"/>
                <w:b/>
                <w:color w:val="auto"/>
                <w:sz w:val="22"/>
                <w:szCs w:val="22"/>
                <w:lang w:val="en-US" w:eastAsia="en-US"/>
              </w:rPr>
              <w:t>12 -</w:t>
            </w:r>
          </w:p>
          <w:p w14:paraId="270DAE9E" w14:textId="13723911" w:rsidR="003E3B5C" w:rsidRPr="00AE1B80" w:rsidRDefault="003E3B5C" w:rsidP="003E3B5C">
            <w:pPr>
              <w:widowControl w:val="0"/>
              <w:tabs>
                <w:tab w:val="clear" w:pos="567"/>
              </w:tabs>
              <w:suppressAutoHyphens w:val="0"/>
              <w:autoSpaceDE w:val="0"/>
              <w:autoSpaceDN w:val="0"/>
              <w:spacing w:line="233" w:lineRule="exact"/>
              <w:ind w:left="107"/>
              <w:rPr>
                <w:rFonts w:eastAsia="Calibri"/>
                <w:b/>
                <w:color w:val="auto"/>
                <w:sz w:val="22"/>
                <w:szCs w:val="22"/>
                <w:lang w:val="en-US" w:eastAsia="en-US"/>
              </w:rPr>
            </w:pPr>
            <w:r w:rsidRPr="00AE1B80">
              <w:rPr>
                <w:rFonts w:eastAsia="Calibri"/>
                <w:b/>
                <w:color w:val="auto"/>
                <w:sz w:val="22"/>
                <w:szCs w:val="22"/>
                <w:lang w:val="en-US" w:eastAsia="en-US"/>
              </w:rPr>
              <w:t>&lt; 18 metų</w:t>
            </w:r>
          </w:p>
        </w:tc>
        <w:tc>
          <w:tcPr>
            <w:tcW w:w="297" w:type="pct"/>
            <w:shd w:val="clear" w:color="auto" w:fill="auto"/>
          </w:tcPr>
          <w:p w14:paraId="52F0AFF9" w14:textId="77777777" w:rsidR="003E3B5C" w:rsidRPr="00AE1B80" w:rsidRDefault="003E3B5C" w:rsidP="003E3B5C">
            <w:pPr>
              <w:widowControl w:val="0"/>
              <w:tabs>
                <w:tab w:val="clear" w:pos="567"/>
              </w:tabs>
              <w:suppressAutoHyphens w:val="0"/>
              <w:autoSpaceDE w:val="0"/>
              <w:autoSpaceDN w:val="0"/>
              <w:spacing w:line="249" w:lineRule="exact"/>
              <w:ind w:left="107"/>
              <w:rPr>
                <w:rFonts w:eastAsia="Calibri"/>
                <w:b/>
                <w:color w:val="auto"/>
                <w:sz w:val="22"/>
                <w:szCs w:val="22"/>
                <w:lang w:val="en-US" w:eastAsia="en-US"/>
              </w:rPr>
            </w:pPr>
            <w:r w:rsidRPr="00AE1B80">
              <w:rPr>
                <w:rFonts w:eastAsia="Calibri"/>
                <w:b/>
                <w:color w:val="auto"/>
                <w:w w:val="99"/>
                <w:sz w:val="22"/>
                <w:szCs w:val="22"/>
                <w:lang w:val="en-US" w:eastAsia="en-US"/>
              </w:rPr>
              <w:t>N</w:t>
            </w:r>
          </w:p>
        </w:tc>
        <w:tc>
          <w:tcPr>
            <w:tcW w:w="768" w:type="pct"/>
            <w:shd w:val="clear" w:color="auto" w:fill="auto"/>
          </w:tcPr>
          <w:p w14:paraId="769BD5B8" w14:textId="0A39B5C7" w:rsidR="003E3B5C" w:rsidRPr="00AE1B80" w:rsidRDefault="003E3B5C" w:rsidP="003E3B5C">
            <w:pPr>
              <w:widowControl w:val="0"/>
              <w:tabs>
                <w:tab w:val="clear" w:pos="567"/>
              </w:tabs>
              <w:suppressAutoHyphens w:val="0"/>
              <w:autoSpaceDE w:val="0"/>
              <w:autoSpaceDN w:val="0"/>
              <w:spacing w:line="249" w:lineRule="exact"/>
              <w:ind w:left="106"/>
              <w:rPr>
                <w:rFonts w:eastAsia="Calibri"/>
                <w:b/>
                <w:color w:val="auto"/>
                <w:sz w:val="22"/>
                <w:szCs w:val="22"/>
                <w:lang w:val="en-US" w:eastAsia="en-US"/>
              </w:rPr>
            </w:pPr>
            <w:r w:rsidRPr="00AE1B80">
              <w:rPr>
                <w:rFonts w:eastAsia="Calibri"/>
                <w:b/>
                <w:color w:val="auto"/>
                <w:sz w:val="22"/>
                <w:szCs w:val="22"/>
                <w:lang w:val="en-US" w:eastAsia="en-US"/>
              </w:rPr>
              <w:t>6 -&lt; 12 metų</w:t>
            </w:r>
          </w:p>
        </w:tc>
        <w:tc>
          <w:tcPr>
            <w:tcW w:w="233" w:type="pct"/>
            <w:shd w:val="clear" w:color="auto" w:fill="auto"/>
          </w:tcPr>
          <w:p w14:paraId="5362F41F" w14:textId="77777777" w:rsidR="003E3B5C" w:rsidRPr="00AE1B80"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787" w:type="pct"/>
            <w:shd w:val="clear" w:color="auto" w:fill="auto"/>
          </w:tcPr>
          <w:p w14:paraId="163C21E8" w14:textId="77777777" w:rsidR="003E3B5C" w:rsidRPr="00AE1B80"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230" w:type="pct"/>
            <w:shd w:val="clear" w:color="auto" w:fill="auto"/>
          </w:tcPr>
          <w:p w14:paraId="1BED7030" w14:textId="77777777" w:rsidR="003E3B5C" w:rsidRPr="00AE1B80"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899" w:type="pct"/>
            <w:shd w:val="clear" w:color="auto" w:fill="auto"/>
          </w:tcPr>
          <w:p w14:paraId="7EF5B009" w14:textId="77777777" w:rsidR="003E3B5C" w:rsidRPr="00AE1B80"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r>
      <w:tr w:rsidR="003E3B5C" w:rsidRPr="00452D62" w14:paraId="584C384F" w14:textId="77777777" w:rsidTr="00752E29">
        <w:trPr>
          <w:trHeight w:val="506"/>
        </w:trPr>
        <w:tc>
          <w:tcPr>
            <w:tcW w:w="704" w:type="pct"/>
            <w:shd w:val="clear" w:color="auto" w:fill="auto"/>
          </w:tcPr>
          <w:p w14:paraId="6FBEF705" w14:textId="6A345DE4" w:rsidR="003E3B5C" w:rsidRPr="00AE1B80" w:rsidRDefault="003E3B5C" w:rsidP="003E3B5C">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E1B80">
              <w:rPr>
                <w:rFonts w:eastAsia="Calibri"/>
                <w:color w:val="auto"/>
                <w:sz w:val="22"/>
                <w:szCs w:val="22"/>
                <w:lang w:val="en-US" w:eastAsia="en-US"/>
              </w:rPr>
              <w:t>2,5-4</w:t>
            </w:r>
            <w:r w:rsidR="005337A6">
              <w:rPr>
                <w:rFonts w:eastAsia="Calibri"/>
                <w:color w:val="auto"/>
                <w:sz w:val="22"/>
                <w:szCs w:val="22"/>
                <w:lang w:val="en-US" w:eastAsia="en-US"/>
              </w:rPr>
              <w:t> </w:t>
            </w:r>
            <w:r w:rsidRPr="00AE1B80">
              <w:rPr>
                <w:rFonts w:eastAsia="Calibri"/>
                <w:color w:val="auto"/>
                <w:sz w:val="22"/>
                <w:szCs w:val="22"/>
                <w:lang w:val="en-US" w:eastAsia="en-US"/>
              </w:rPr>
              <w:t>val</w:t>
            </w:r>
            <w:r w:rsidR="00D05123" w:rsidRPr="00AE1B80">
              <w:rPr>
                <w:rFonts w:eastAsia="Calibri"/>
                <w:color w:val="auto"/>
                <w:sz w:val="22"/>
                <w:szCs w:val="22"/>
                <w:lang w:val="en-US" w:eastAsia="en-US"/>
              </w:rPr>
              <w:t>.</w:t>
            </w:r>
            <w:r w:rsidRPr="00AE1B80">
              <w:rPr>
                <w:rFonts w:eastAsia="Calibri"/>
                <w:color w:val="auto"/>
                <w:sz w:val="22"/>
                <w:szCs w:val="22"/>
                <w:lang w:val="en-US" w:eastAsia="en-US"/>
              </w:rPr>
              <w:t xml:space="preserve"> po vartojimo</w:t>
            </w:r>
          </w:p>
        </w:tc>
        <w:tc>
          <w:tcPr>
            <w:tcW w:w="298" w:type="pct"/>
            <w:shd w:val="clear" w:color="auto" w:fill="auto"/>
          </w:tcPr>
          <w:p w14:paraId="0C175D93" w14:textId="77777777" w:rsidR="003E3B5C" w:rsidRPr="00AE1B80" w:rsidRDefault="003E3B5C" w:rsidP="003E3B5C">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E1B80">
              <w:rPr>
                <w:rFonts w:eastAsia="Calibri"/>
                <w:color w:val="auto"/>
                <w:sz w:val="22"/>
                <w:szCs w:val="22"/>
                <w:lang w:val="en-US" w:eastAsia="en-US"/>
              </w:rPr>
              <w:t>171</w:t>
            </w:r>
          </w:p>
        </w:tc>
        <w:tc>
          <w:tcPr>
            <w:tcW w:w="784" w:type="pct"/>
            <w:shd w:val="clear" w:color="auto" w:fill="auto"/>
          </w:tcPr>
          <w:p w14:paraId="776D9376" w14:textId="72954AAB" w:rsidR="003E3B5C" w:rsidRPr="00AE1B80" w:rsidRDefault="003E3B5C" w:rsidP="003E3B5C">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E1B80">
              <w:rPr>
                <w:rFonts w:eastAsia="Calibri"/>
                <w:color w:val="auto"/>
                <w:sz w:val="22"/>
                <w:szCs w:val="22"/>
                <w:lang w:val="en-US" w:eastAsia="en-US"/>
              </w:rPr>
              <w:t>241,5</w:t>
            </w:r>
          </w:p>
          <w:p w14:paraId="41BF0583" w14:textId="77777777" w:rsidR="003E3B5C" w:rsidRPr="00AE1B80" w:rsidRDefault="003E3B5C" w:rsidP="003E3B5C">
            <w:pPr>
              <w:widowControl w:val="0"/>
              <w:tabs>
                <w:tab w:val="clear" w:pos="567"/>
              </w:tabs>
              <w:suppressAutoHyphens w:val="0"/>
              <w:autoSpaceDE w:val="0"/>
              <w:autoSpaceDN w:val="0"/>
              <w:spacing w:line="233" w:lineRule="exact"/>
              <w:ind w:left="107"/>
              <w:rPr>
                <w:rFonts w:eastAsia="Calibri"/>
                <w:color w:val="auto"/>
                <w:sz w:val="22"/>
                <w:szCs w:val="22"/>
                <w:lang w:val="en-US" w:eastAsia="en-US"/>
              </w:rPr>
            </w:pPr>
            <w:r w:rsidRPr="00AE1B80">
              <w:rPr>
                <w:rFonts w:eastAsia="Calibri"/>
                <w:color w:val="auto"/>
                <w:sz w:val="22"/>
                <w:szCs w:val="22"/>
                <w:lang w:val="en-US" w:eastAsia="en-US"/>
              </w:rPr>
              <w:t>(105-484)</w:t>
            </w:r>
          </w:p>
        </w:tc>
        <w:tc>
          <w:tcPr>
            <w:tcW w:w="297" w:type="pct"/>
            <w:shd w:val="clear" w:color="auto" w:fill="auto"/>
          </w:tcPr>
          <w:p w14:paraId="58433EF1" w14:textId="77777777" w:rsidR="003E3B5C" w:rsidRPr="00AE1B80" w:rsidRDefault="003E3B5C" w:rsidP="003E3B5C">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E1B80">
              <w:rPr>
                <w:rFonts w:eastAsia="Calibri"/>
                <w:color w:val="auto"/>
                <w:sz w:val="22"/>
                <w:szCs w:val="22"/>
                <w:lang w:val="en-US" w:eastAsia="en-US"/>
              </w:rPr>
              <w:t>24</w:t>
            </w:r>
          </w:p>
        </w:tc>
        <w:tc>
          <w:tcPr>
            <w:tcW w:w="768" w:type="pct"/>
            <w:shd w:val="clear" w:color="auto" w:fill="auto"/>
          </w:tcPr>
          <w:p w14:paraId="26D280EA" w14:textId="4A51FC0A" w:rsidR="003E3B5C" w:rsidRPr="00AE1B80" w:rsidRDefault="003E3B5C" w:rsidP="003E3B5C">
            <w:pPr>
              <w:widowControl w:val="0"/>
              <w:tabs>
                <w:tab w:val="clear" w:pos="567"/>
              </w:tabs>
              <w:suppressAutoHyphens w:val="0"/>
              <w:autoSpaceDE w:val="0"/>
              <w:autoSpaceDN w:val="0"/>
              <w:spacing w:line="253" w:lineRule="exact"/>
              <w:ind w:left="106"/>
              <w:rPr>
                <w:rFonts w:eastAsia="Calibri"/>
                <w:color w:val="auto"/>
                <w:sz w:val="22"/>
                <w:szCs w:val="22"/>
                <w:lang w:val="en-US" w:eastAsia="en-US"/>
              </w:rPr>
            </w:pPr>
            <w:r w:rsidRPr="00AE1B80">
              <w:rPr>
                <w:rFonts w:eastAsia="Calibri"/>
                <w:color w:val="auto"/>
                <w:sz w:val="22"/>
                <w:szCs w:val="22"/>
                <w:lang w:val="en-US" w:eastAsia="en-US"/>
              </w:rPr>
              <w:t>229,7</w:t>
            </w:r>
          </w:p>
          <w:p w14:paraId="74A850EB" w14:textId="4D489F14" w:rsidR="003E3B5C" w:rsidRPr="00AE1B80" w:rsidRDefault="003E3B5C" w:rsidP="003E3B5C">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E1B80">
              <w:rPr>
                <w:rFonts w:eastAsia="Calibri"/>
                <w:color w:val="auto"/>
                <w:sz w:val="22"/>
                <w:szCs w:val="22"/>
                <w:lang w:val="en-US" w:eastAsia="en-US"/>
              </w:rPr>
              <w:t>(91,5-777)</w:t>
            </w:r>
          </w:p>
        </w:tc>
        <w:tc>
          <w:tcPr>
            <w:tcW w:w="233" w:type="pct"/>
            <w:shd w:val="clear" w:color="auto" w:fill="auto"/>
          </w:tcPr>
          <w:p w14:paraId="7835453F" w14:textId="77777777" w:rsidR="003E3B5C" w:rsidRPr="00AE1B80"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787" w:type="pct"/>
            <w:shd w:val="clear" w:color="auto" w:fill="auto"/>
          </w:tcPr>
          <w:p w14:paraId="2EAE8816" w14:textId="77777777" w:rsidR="003E3B5C" w:rsidRPr="00AE1B80"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230" w:type="pct"/>
            <w:shd w:val="clear" w:color="auto" w:fill="auto"/>
          </w:tcPr>
          <w:p w14:paraId="78A773C1" w14:textId="77777777" w:rsidR="003E3B5C" w:rsidRPr="00AE1B80"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899" w:type="pct"/>
            <w:shd w:val="clear" w:color="auto" w:fill="auto"/>
          </w:tcPr>
          <w:p w14:paraId="4B10A30E" w14:textId="77777777" w:rsidR="003E3B5C" w:rsidRPr="00AE1B80"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r>
      <w:tr w:rsidR="003E3B5C" w:rsidRPr="00452D62" w14:paraId="020F02ED" w14:textId="77777777" w:rsidTr="00752E29">
        <w:trPr>
          <w:trHeight w:val="504"/>
        </w:trPr>
        <w:tc>
          <w:tcPr>
            <w:tcW w:w="704" w:type="pct"/>
            <w:shd w:val="clear" w:color="auto" w:fill="auto"/>
          </w:tcPr>
          <w:p w14:paraId="7F1921EF" w14:textId="7602D72E" w:rsidR="003E3B5C" w:rsidRPr="00AE1B80" w:rsidRDefault="00D05123" w:rsidP="003E3B5C">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E1B80">
              <w:rPr>
                <w:rFonts w:eastAsia="Calibri"/>
                <w:color w:val="auto"/>
                <w:sz w:val="22"/>
                <w:szCs w:val="22"/>
                <w:lang w:val="en-US" w:eastAsia="en-US"/>
              </w:rPr>
              <w:t>20-24</w:t>
            </w:r>
            <w:r w:rsidR="005337A6">
              <w:rPr>
                <w:rFonts w:eastAsia="Calibri"/>
                <w:color w:val="auto"/>
                <w:sz w:val="22"/>
                <w:szCs w:val="22"/>
                <w:lang w:val="en-US" w:eastAsia="en-US"/>
              </w:rPr>
              <w:t> </w:t>
            </w:r>
            <w:r w:rsidRPr="00AE1B80">
              <w:rPr>
                <w:rFonts w:eastAsia="Calibri"/>
                <w:color w:val="auto"/>
                <w:sz w:val="22"/>
                <w:szCs w:val="22"/>
                <w:lang w:val="en-US" w:eastAsia="en-US"/>
              </w:rPr>
              <w:t>val. Po vartojimo</w:t>
            </w:r>
          </w:p>
        </w:tc>
        <w:tc>
          <w:tcPr>
            <w:tcW w:w="298" w:type="pct"/>
            <w:shd w:val="clear" w:color="auto" w:fill="auto"/>
          </w:tcPr>
          <w:p w14:paraId="0237DBF8" w14:textId="77777777" w:rsidR="003E3B5C" w:rsidRPr="00AE1B80" w:rsidRDefault="003E3B5C" w:rsidP="003E3B5C">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E1B80">
              <w:rPr>
                <w:rFonts w:eastAsia="Calibri"/>
                <w:color w:val="auto"/>
                <w:sz w:val="22"/>
                <w:szCs w:val="22"/>
                <w:lang w:val="en-US" w:eastAsia="en-US"/>
              </w:rPr>
              <w:t>151</w:t>
            </w:r>
          </w:p>
        </w:tc>
        <w:tc>
          <w:tcPr>
            <w:tcW w:w="784" w:type="pct"/>
            <w:shd w:val="clear" w:color="auto" w:fill="auto"/>
          </w:tcPr>
          <w:p w14:paraId="33FE5C3C" w14:textId="35D9F907" w:rsidR="003E3B5C" w:rsidRPr="00AE1B80" w:rsidRDefault="00D05123" w:rsidP="003E3B5C">
            <w:pPr>
              <w:widowControl w:val="0"/>
              <w:tabs>
                <w:tab w:val="clear" w:pos="567"/>
              </w:tabs>
              <w:suppressAutoHyphens w:val="0"/>
              <w:autoSpaceDE w:val="0"/>
              <w:autoSpaceDN w:val="0"/>
              <w:spacing w:line="252" w:lineRule="exact"/>
              <w:ind w:left="107"/>
              <w:rPr>
                <w:rFonts w:eastAsia="Calibri"/>
                <w:color w:val="auto"/>
                <w:sz w:val="22"/>
                <w:szCs w:val="22"/>
                <w:lang w:val="en-US" w:eastAsia="en-US"/>
              </w:rPr>
            </w:pPr>
            <w:r w:rsidRPr="00AE1B80">
              <w:rPr>
                <w:rFonts w:eastAsia="Calibri"/>
                <w:color w:val="auto"/>
                <w:sz w:val="22"/>
                <w:szCs w:val="22"/>
                <w:lang w:val="en-US" w:eastAsia="en-US"/>
              </w:rPr>
              <w:t>20,</w:t>
            </w:r>
            <w:r w:rsidR="003E3B5C" w:rsidRPr="00AE1B80">
              <w:rPr>
                <w:rFonts w:eastAsia="Calibri"/>
                <w:color w:val="auto"/>
                <w:sz w:val="22"/>
                <w:szCs w:val="22"/>
                <w:lang w:val="en-US" w:eastAsia="en-US"/>
              </w:rPr>
              <w:t>6</w:t>
            </w:r>
          </w:p>
          <w:p w14:paraId="40254AE8" w14:textId="65132BAB" w:rsidR="003E3B5C" w:rsidRPr="00AE1B80" w:rsidRDefault="00D05123" w:rsidP="003E3B5C">
            <w:pPr>
              <w:widowControl w:val="0"/>
              <w:tabs>
                <w:tab w:val="clear" w:pos="567"/>
              </w:tabs>
              <w:suppressAutoHyphens w:val="0"/>
              <w:autoSpaceDE w:val="0"/>
              <w:autoSpaceDN w:val="0"/>
              <w:spacing w:line="233" w:lineRule="exact"/>
              <w:ind w:left="107"/>
              <w:rPr>
                <w:rFonts w:eastAsia="Calibri"/>
                <w:color w:val="auto"/>
                <w:sz w:val="22"/>
                <w:szCs w:val="22"/>
                <w:lang w:val="en-US" w:eastAsia="en-US"/>
              </w:rPr>
            </w:pPr>
            <w:r w:rsidRPr="00AE1B80">
              <w:rPr>
                <w:rFonts w:eastAsia="Calibri"/>
                <w:color w:val="auto"/>
                <w:sz w:val="22"/>
                <w:szCs w:val="22"/>
                <w:lang w:val="en-US" w:eastAsia="en-US"/>
              </w:rPr>
              <w:t>(5,69-66,</w:t>
            </w:r>
            <w:r w:rsidR="003E3B5C" w:rsidRPr="00AE1B80">
              <w:rPr>
                <w:rFonts w:eastAsia="Calibri"/>
                <w:color w:val="auto"/>
                <w:sz w:val="22"/>
                <w:szCs w:val="22"/>
                <w:lang w:val="en-US" w:eastAsia="en-US"/>
              </w:rPr>
              <w:t>5)</w:t>
            </w:r>
          </w:p>
        </w:tc>
        <w:tc>
          <w:tcPr>
            <w:tcW w:w="297" w:type="pct"/>
            <w:shd w:val="clear" w:color="auto" w:fill="auto"/>
          </w:tcPr>
          <w:p w14:paraId="71B78058" w14:textId="77777777" w:rsidR="003E3B5C" w:rsidRPr="00AE1B80" w:rsidRDefault="003E3B5C" w:rsidP="003E3B5C">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E1B80">
              <w:rPr>
                <w:rFonts w:eastAsia="Calibri"/>
                <w:color w:val="auto"/>
                <w:sz w:val="22"/>
                <w:szCs w:val="22"/>
                <w:lang w:val="en-US" w:eastAsia="en-US"/>
              </w:rPr>
              <w:t>24</w:t>
            </w:r>
          </w:p>
        </w:tc>
        <w:tc>
          <w:tcPr>
            <w:tcW w:w="768" w:type="pct"/>
            <w:shd w:val="clear" w:color="auto" w:fill="auto"/>
          </w:tcPr>
          <w:p w14:paraId="27C3968C" w14:textId="05895442" w:rsidR="003E3B5C" w:rsidRPr="00AE1B80" w:rsidRDefault="00D05123" w:rsidP="003E3B5C">
            <w:pPr>
              <w:widowControl w:val="0"/>
              <w:tabs>
                <w:tab w:val="clear" w:pos="567"/>
              </w:tabs>
              <w:suppressAutoHyphens w:val="0"/>
              <w:autoSpaceDE w:val="0"/>
              <w:autoSpaceDN w:val="0"/>
              <w:spacing w:line="252" w:lineRule="exact"/>
              <w:ind w:left="106"/>
              <w:rPr>
                <w:rFonts w:eastAsia="Calibri"/>
                <w:color w:val="auto"/>
                <w:sz w:val="22"/>
                <w:szCs w:val="22"/>
                <w:lang w:val="en-US" w:eastAsia="en-US"/>
              </w:rPr>
            </w:pPr>
            <w:r w:rsidRPr="00AE1B80">
              <w:rPr>
                <w:rFonts w:eastAsia="Calibri"/>
                <w:color w:val="auto"/>
                <w:sz w:val="22"/>
                <w:szCs w:val="22"/>
                <w:lang w:val="en-US" w:eastAsia="en-US"/>
              </w:rPr>
              <w:t>15,</w:t>
            </w:r>
            <w:r w:rsidR="003E3B5C" w:rsidRPr="00AE1B80">
              <w:rPr>
                <w:rFonts w:eastAsia="Calibri"/>
                <w:color w:val="auto"/>
                <w:sz w:val="22"/>
                <w:szCs w:val="22"/>
                <w:lang w:val="en-US" w:eastAsia="en-US"/>
              </w:rPr>
              <w:t>9</w:t>
            </w:r>
          </w:p>
          <w:p w14:paraId="157345F7" w14:textId="19AF38E7" w:rsidR="003E3B5C" w:rsidRPr="00AE1B80" w:rsidRDefault="00D05123" w:rsidP="003E3B5C">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E1B80">
              <w:rPr>
                <w:rFonts w:eastAsia="Calibri"/>
                <w:color w:val="auto"/>
                <w:sz w:val="22"/>
                <w:szCs w:val="22"/>
                <w:lang w:val="en-US" w:eastAsia="en-US"/>
              </w:rPr>
              <w:t>(3,42-45,</w:t>
            </w:r>
            <w:r w:rsidR="003E3B5C" w:rsidRPr="00AE1B80">
              <w:rPr>
                <w:rFonts w:eastAsia="Calibri"/>
                <w:color w:val="auto"/>
                <w:sz w:val="22"/>
                <w:szCs w:val="22"/>
                <w:lang w:val="en-US" w:eastAsia="en-US"/>
              </w:rPr>
              <w:t>5)</w:t>
            </w:r>
          </w:p>
        </w:tc>
        <w:tc>
          <w:tcPr>
            <w:tcW w:w="233" w:type="pct"/>
            <w:shd w:val="clear" w:color="auto" w:fill="auto"/>
          </w:tcPr>
          <w:p w14:paraId="024FC4B0" w14:textId="77777777" w:rsidR="003E3B5C" w:rsidRPr="00AE1B80"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787" w:type="pct"/>
            <w:shd w:val="clear" w:color="auto" w:fill="auto"/>
          </w:tcPr>
          <w:p w14:paraId="49395101" w14:textId="77777777" w:rsidR="003E3B5C" w:rsidRPr="00AE1B80"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230" w:type="pct"/>
            <w:shd w:val="clear" w:color="auto" w:fill="auto"/>
          </w:tcPr>
          <w:p w14:paraId="36E56EA1" w14:textId="77777777" w:rsidR="003E3B5C" w:rsidRPr="00AE1B80"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899" w:type="pct"/>
            <w:shd w:val="clear" w:color="auto" w:fill="auto"/>
          </w:tcPr>
          <w:p w14:paraId="1AD1EA1C" w14:textId="77777777" w:rsidR="003E3B5C" w:rsidRPr="00AE1B80"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r>
      <w:tr w:rsidR="003E3B5C" w:rsidRPr="00452D62" w14:paraId="6766F3D8" w14:textId="77777777" w:rsidTr="00752E29">
        <w:trPr>
          <w:trHeight w:val="254"/>
        </w:trPr>
        <w:tc>
          <w:tcPr>
            <w:tcW w:w="704" w:type="pct"/>
            <w:shd w:val="clear" w:color="auto" w:fill="auto"/>
          </w:tcPr>
          <w:p w14:paraId="14EFEDE8" w14:textId="17D1A318" w:rsidR="003E3B5C" w:rsidRPr="00AE1B80" w:rsidRDefault="00D05123" w:rsidP="003E3B5C">
            <w:pPr>
              <w:widowControl w:val="0"/>
              <w:tabs>
                <w:tab w:val="clear" w:pos="567"/>
              </w:tabs>
              <w:suppressAutoHyphens w:val="0"/>
              <w:autoSpaceDE w:val="0"/>
              <w:autoSpaceDN w:val="0"/>
              <w:spacing w:before="1" w:line="233" w:lineRule="exact"/>
              <w:ind w:left="107"/>
              <w:rPr>
                <w:rFonts w:eastAsia="Calibri"/>
                <w:b/>
                <w:color w:val="auto"/>
                <w:sz w:val="22"/>
                <w:szCs w:val="22"/>
                <w:lang w:val="en-US" w:eastAsia="en-US"/>
              </w:rPr>
            </w:pPr>
            <w:r w:rsidRPr="00AE1B80">
              <w:rPr>
                <w:rFonts w:eastAsia="Calibri"/>
                <w:b/>
                <w:color w:val="auto"/>
                <w:sz w:val="22"/>
                <w:szCs w:val="22"/>
                <w:lang w:val="en-US" w:eastAsia="en-US"/>
              </w:rPr>
              <w:t>DKP</w:t>
            </w:r>
          </w:p>
        </w:tc>
        <w:tc>
          <w:tcPr>
            <w:tcW w:w="298" w:type="pct"/>
            <w:shd w:val="clear" w:color="auto" w:fill="auto"/>
          </w:tcPr>
          <w:p w14:paraId="53868C6A" w14:textId="77777777" w:rsidR="003E3B5C" w:rsidRPr="00AE1B80" w:rsidRDefault="003E3B5C" w:rsidP="003E3B5C">
            <w:pPr>
              <w:widowControl w:val="0"/>
              <w:tabs>
                <w:tab w:val="clear" w:pos="567"/>
              </w:tabs>
              <w:suppressAutoHyphens w:val="0"/>
              <w:autoSpaceDE w:val="0"/>
              <w:autoSpaceDN w:val="0"/>
              <w:spacing w:before="1" w:line="233" w:lineRule="exact"/>
              <w:ind w:left="107"/>
              <w:rPr>
                <w:rFonts w:eastAsia="Calibri"/>
                <w:b/>
                <w:color w:val="auto"/>
                <w:sz w:val="22"/>
                <w:szCs w:val="22"/>
                <w:lang w:val="en-US" w:eastAsia="en-US"/>
              </w:rPr>
            </w:pPr>
            <w:r w:rsidRPr="00AE1B80">
              <w:rPr>
                <w:rFonts w:eastAsia="Calibri"/>
                <w:b/>
                <w:color w:val="auto"/>
                <w:w w:val="99"/>
                <w:sz w:val="22"/>
                <w:szCs w:val="22"/>
                <w:lang w:val="en-US" w:eastAsia="en-US"/>
              </w:rPr>
              <w:t>N</w:t>
            </w:r>
          </w:p>
        </w:tc>
        <w:tc>
          <w:tcPr>
            <w:tcW w:w="784" w:type="pct"/>
            <w:shd w:val="clear" w:color="auto" w:fill="auto"/>
          </w:tcPr>
          <w:p w14:paraId="6BC592A6" w14:textId="30EE9614" w:rsidR="003E3B5C" w:rsidRPr="00AE1B80" w:rsidRDefault="003E3B5C" w:rsidP="003E3B5C">
            <w:pPr>
              <w:widowControl w:val="0"/>
              <w:tabs>
                <w:tab w:val="clear" w:pos="567"/>
              </w:tabs>
              <w:suppressAutoHyphens w:val="0"/>
              <w:autoSpaceDE w:val="0"/>
              <w:autoSpaceDN w:val="0"/>
              <w:spacing w:before="1" w:line="233" w:lineRule="exact"/>
              <w:ind w:left="107"/>
              <w:rPr>
                <w:rFonts w:eastAsia="Calibri"/>
                <w:b/>
                <w:color w:val="auto"/>
                <w:sz w:val="22"/>
                <w:szCs w:val="22"/>
                <w:lang w:val="en-US" w:eastAsia="en-US"/>
              </w:rPr>
            </w:pPr>
            <w:r w:rsidRPr="00AE1B80">
              <w:rPr>
                <w:rFonts w:eastAsia="Calibri"/>
                <w:b/>
                <w:color w:val="auto"/>
                <w:sz w:val="22"/>
                <w:szCs w:val="22"/>
                <w:lang w:val="en-US" w:eastAsia="en-US"/>
              </w:rPr>
              <w:t>6 -&lt; </w:t>
            </w:r>
            <w:r w:rsidR="00D05123" w:rsidRPr="00AE1B80">
              <w:rPr>
                <w:rFonts w:eastAsia="Calibri"/>
                <w:b/>
                <w:color w:val="auto"/>
                <w:sz w:val="22"/>
                <w:szCs w:val="22"/>
                <w:lang w:val="en-US" w:eastAsia="en-US"/>
              </w:rPr>
              <w:t>12 metų</w:t>
            </w:r>
          </w:p>
        </w:tc>
        <w:tc>
          <w:tcPr>
            <w:tcW w:w="297" w:type="pct"/>
            <w:shd w:val="clear" w:color="auto" w:fill="auto"/>
          </w:tcPr>
          <w:p w14:paraId="1597E9D6" w14:textId="77777777" w:rsidR="003E3B5C" w:rsidRPr="00AE1B80" w:rsidRDefault="003E3B5C" w:rsidP="003E3B5C">
            <w:pPr>
              <w:widowControl w:val="0"/>
              <w:tabs>
                <w:tab w:val="clear" w:pos="567"/>
              </w:tabs>
              <w:suppressAutoHyphens w:val="0"/>
              <w:autoSpaceDE w:val="0"/>
              <w:autoSpaceDN w:val="0"/>
              <w:spacing w:before="1" w:line="233" w:lineRule="exact"/>
              <w:ind w:left="107"/>
              <w:rPr>
                <w:rFonts w:eastAsia="Calibri"/>
                <w:b/>
                <w:color w:val="auto"/>
                <w:sz w:val="22"/>
                <w:szCs w:val="22"/>
                <w:lang w:val="en-US" w:eastAsia="en-US"/>
              </w:rPr>
            </w:pPr>
            <w:r w:rsidRPr="00AE1B80">
              <w:rPr>
                <w:rFonts w:eastAsia="Calibri"/>
                <w:b/>
                <w:color w:val="auto"/>
                <w:w w:val="99"/>
                <w:sz w:val="22"/>
                <w:szCs w:val="22"/>
                <w:lang w:val="en-US" w:eastAsia="en-US"/>
              </w:rPr>
              <w:t>N</w:t>
            </w:r>
          </w:p>
        </w:tc>
        <w:tc>
          <w:tcPr>
            <w:tcW w:w="768" w:type="pct"/>
            <w:shd w:val="clear" w:color="auto" w:fill="auto"/>
          </w:tcPr>
          <w:p w14:paraId="7FF27035" w14:textId="655289FE" w:rsidR="003E3B5C" w:rsidRPr="00AE1B80" w:rsidRDefault="003E3B5C" w:rsidP="003E3B5C">
            <w:pPr>
              <w:widowControl w:val="0"/>
              <w:tabs>
                <w:tab w:val="clear" w:pos="567"/>
              </w:tabs>
              <w:suppressAutoHyphens w:val="0"/>
              <w:autoSpaceDE w:val="0"/>
              <w:autoSpaceDN w:val="0"/>
              <w:spacing w:before="1" w:line="233" w:lineRule="exact"/>
              <w:ind w:left="106"/>
              <w:rPr>
                <w:rFonts w:eastAsia="Calibri"/>
                <w:b/>
                <w:color w:val="auto"/>
                <w:sz w:val="22"/>
                <w:szCs w:val="22"/>
                <w:lang w:val="en-US" w:eastAsia="en-US"/>
              </w:rPr>
            </w:pPr>
            <w:r w:rsidRPr="00AE1B80">
              <w:rPr>
                <w:rFonts w:eastAsia="Calibri"/>
                <w:b/>
                <w:color w:val="auto"/>
                <w:sz w:val="22"/>
                <w:szCs w:val="22"/>
                <w:lang w:val="en-US" w:eastAsia="en-US"/>
              </w:rPr>
              <w:t>2 -&lt; </w:t>
            </w:r>
            <w:r w:rsidR="00E3008C" w:rsidRPr="00AE1B80">
              <w:rPr>
                <w:rFonts w:eastAsia="Calibri"/>
                <w:b/>
                <w:color w:val="auto"/>
                <w:sz w:val="22"/>
                <w:szCs w:val="22"/>
                <w:lang w:val="en-US" w:eastAsia="en-US"/>
              </w:rPr>
              <w:t>6 metai</w:t>
            </w:r>
          </w:p>
        </w:tc>
        <w:tc>
          <w:tcPr>
            <w:tcW w:w="233" w:type="pct"/>
            <w:shd w:val="clear" w:color="auto" w:fill="auto"/>
          </w:tcPr>
          <w:p w14:paraId="12C7ADAC" w14:textId="77777777" w:rsidR="003E3B5C" w:rsidRPr="00AE1B80" w:rsidRDefault="003E3B5C" w:rsidP="003E3B5C">
            <w:pPr>
              <w:widowControl w:val="0"/>
              <w:tabs>
                <w:tab w:val="clear" w:pos="567"/>
              </w:tabs>
              <w:suppressAutoHyphens w:val="0"/>
              <w:autoSpaceDE w:val="0"/>
              <w:autoSpaceDN w:val="0"/>
              <w:spacing w:before="1" w:line="233" w:lineRule="exact"/>
              <w:ind w:left="107"/>
              <w:rPr>
                <w:rFonts w:eastAsia="Calibri"/>
                <w:b/>
                <w:color w:val="auto"/>
                <w:sz w:val="22"/>
                <w:szCs w:val="22"/>
                <w:lang w:val="en-US" w:eastAsia="en-US"/>
              </w:rPr>
            </w:pPr>
            <w:r w:rsidRPr="00AE1B80">
              <w:rPr>
                <w:rFonts w:eastAsia="Calibri"/>
                <w:b/>
                <w:color w:val="auto"/>
                <w:w w:val="99"/>
                <w:sz w:val="22"/>
                <w:szCs w:val="22"/>
                <w:lang w:val="en-US" w:eastAsia="en-US"/>
              </w:rPr>
              <w:t>N</w:t>
            </w:r>
          </w:p>
        </w:tc>
        <w:tc>
          <w:tcPr>
            <w:tcW w:w="787" w:type="pct"/>
            <w:shd w:val="clear" w:color="auto" w:fill="auto"/>
          </w:tcPr>
          <w:p w14:paraId="115E6240" w14:textId="1FD87897" w:rsidR="003E3B5C" w:rsidRPr="00AE1B80" w:rsidRDefault="00D05123" w:rsidP="003E3B5C">
            <w:pPr>
              <w:widowControl w:val="0"/>
              <w:tabs>
                <w:tab w:val="clear" w:pos="567"/>
              </w:tabs>
              <w:suppressAutoHyphens w:val="0"/>
              <w:autoSpaceDE w:val="0"/>
              <w:autoSpaceDN w:val="0"/>
              <w:spacing w:before="1" w:line="233" w:lineRule="exact"/>
              <w:ind w:left="106"/>
              <w:rPr>
                <w:rFonts w:eastAsia="Calibri"/>
                <w:b/>
                <w:color w:val="auto"/>
                <w:sz w:val="22"/>
                <w:szCs w:val="22"/>
                <w:lang w:val="en-US" w:eastAsia="en-US"/>
              </w:rPr>
            </w:pPr>
            <w:r w:rsidRPr="00AE1B80">
              <w:rPr>
                <w:rFonts w:eastAsia="Calibri"/>
                <w:b/>
                <w:color w:val="auto"/>
                <w:sz w:val="22"/>
                <w:szCs w:val="22"/>
                <w:lang w:val="en-US" w:eastAsia="en-US"/>
              </w:rPr>
              <w:t>0,</w:t>
            </w:r>
            <w:r w:rsidR="003E3B5C" w:rsidRPr="00AE1B80">
              <w:rPr>
                <w:rFonts w:eastAsia="Calibri"/>
                <w:b/>
                <w:color w:val="auto"/>
                <w:sz w:val="22"/>
                <w:szCs w:val="22"/>
                <w:lang w:val="en-US" w:eastAsia="en-US"/>
              </w:rPr>
              <w:t>5 -&lt; </w:t>
            </w:r>
            <w:r w:rsidR="00E3008C" w:rsidRPr="00AE1B80">
              <w:rPr>
                <w:rFonts w:eastAsia="Calibri"/>
                <w:b/>
                <w:color w:val="auto"/>
                <w:sz w:val="22"/>
                <w:szCs w:val="22"/>
                <w:lang w:val="en-US" w:eastAsia="en-US"/>
              </w:rPr>
              <w:t>2 metai</w:t>
            </w:r>
          </w:p>
        </w:tc>
        <w:tc>
          <w:tcPr>
            <w:tcW w:w="230" w:type="pct"/>
            <w:shd w:val="clear" w:color="auto" w:fill="auto"/>
          </w:tcPr>
          <w:p w14:paraId="6CEBDEA7" w14:textId="77777777" w:rsidR="003E3B5C" w:rsidRPr="00AE1B80"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899" w:type="pct"/>
            <w:shd w:val="clear" w:color="auto" w:fill="auto"/>
          </w:tcPr>
          <w:p w14:paraId="2FC9AFB8" w14:textId="77777777" w:rsidR="003E3B5C" w:rsidRPr="00AE1B80"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r>
      <w:tr w:rsidR="003E3B5C" w:rsidRPr="00452D62" w14:paraId="1CA07E86" w14:textId="77777777" w:rsidTr="00752E29">
        <w:trPr>
          <w:trHeight w:val="505"/>
        </w:trPr>
        <w:tc>
          <w:tcPr>
            <w:tcW w:w="704" w:type="pct"/>
            <w:shd w:val="clear" w:color="auto" w:fill="auto"/>
          </w:tcPr>
          <w:p w14:paraId="73A582AD" w14:textId="0E62CF54" w:rsidR="003E3B5C" w:rsidRPr="00AE1B80" w:rsidRDefault="00D05123" w:rsidP="003E3B5C">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E1B80">
              <w:rPr>
                <w:rFonts w:eastAsia="Calibri"/>
                <w:color w:val="auto"/>
                <w:sz w:val="22"/>
                <w:szCs w:val="22"/>
                <w:lang w:val="en-US" w:eastAsia="en-US"/>
              </w:rPr>
              <w:t>2,5-4</w:t>
            </w:r>
            <w:r w:rsidR="005337A6">
              <w:rPr>
                <w:rFonts w:eastAsia="Calibri"/>
                <w:color w:val="auto"/>
                <w:sz w:val="22"/>
                <w:szCs w:val="22"/>
                <w:lang w:val="en-US" w:eastAsia="en-US"/>
              </w:rPr>
              <w:t> </w:t>
            </w:r>
            <w:r w:rsidRPr="00AE1B80">
              <w:rPr>
                <w:rFonts w:eastAsia="Calibri"/>
                <w:color w:val="auto"/>
                <w:sz w:val="22"/>
                <w:szCs w:val="22"/>
                <w:lang w:val="en-US" w:eastAsia="en-US"/>
              </w:rPr>
              <w:t xml:space="preserve">val. </w:t>
            </w:r>
            <w:r w:rsidR="005337A6">
              <w:rPr>
                <w:rFonts w:eastAsia="Calibri"/>
                <w:color w:val="auto"/>
                <w:sz w:val="22"/>
                <w:szCs w:val="22"/>
                <w:lang w:val="en-US" w:eastAsia="en-US"/>
              </w:rPr>
              <w:t>p</w:t>
            </w:r>
            <w:r w:rsidRPr="00AE1B80">
              <w:rPr>
                <w:rFonts w:eastAsia="Calibri"/>
                <w:color w:val="auto"/>
                <w:sz w:val="22"/>
                <w:szCs w:val="22"/>
                <w:lang w:val="en-US" w:eastAsia="en-US"/>
              </w:rPr>
              <w:t>o vartojimo</w:t>
            </w:r>
          </w:p>
        </w:tc>
        <w:tc>
          <w:tcPr>
            <w:tcW w:w="298" w:type="pct"/>
            <w:shd w:val="clear" w:color="auto" w:fill="auto"/>
          </w:tcPr>
          <w:p w14:paraId="2F93258D" w14:textId="77777777" w:rsidR="003E3B5C" w:rsidRPr="00AE1B80" w:rsidRDefault="003E3B5C" w:rsidP="003E3B5C">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E1B80">
              <w:rPr>
                <w:rFonts w:eastAsia="Calibri"/>
                <w:color w:val="auto"/>
                <w:sz w:val="22"/>
                <w:szCs w:val="22"/>
                <w:lang w:val="en-US" w:eastAsia="en-US"/>
              </w:rPr>
              <w:t>36</w:t>
            </w:r>
          </w:p>
        </w:tc>
        <w:tc>
          <w:tcPr>
            <w:tcW w:w="784" w:type="pct"/>
            <w:shd w:val="clear" w:color="auto" w:fill="auto"/>
          </w:tcPr>
          <w:p w14:paraId="3B14720E" w14:textId="2BE854A5" w:rsidR="003E3B5C" w:rsidRPr="00AE1B80" w:rsidRDefault="00D05123" w:rsidP="003E3B5C">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E1B80">
              <w:rPr>
                <w:rFonts w:eastAsia="Calibri"/>
                <w:color w:val="auto"/>
                <w:sz w:val="22"/>
                <w:szCs w:val="22"/>
                <w:lang w:val="en-US" w:eastAsia="en-US"/>
              </w:rPr>
              <w:t>145,</w:t>
            </w:r>
            <w:r w:rsidR="003E3B5C" w:rsidRPr="00AE1B80">
              <w:rPr>
                <w:rFonts w:eastAsia="Calibri"/>
                <w:color w:val="auto"/>
                <w:sz w:val="22"/>
                <w:szCs w:val="22"/>
                <w:lang w:val="en-US" w:eastAsia="en-US"/>
              </w:rPr>
              <w:t>4</w:t>
            </w:r>
          </w:p>
          <w:p w14:paraId="1A686924" w14:textId="125A7830" w:rsidR="003E3B5C" w:rsidRPr="00AE1B80" w:rsidRDefault="00D05123" w:rsidP="003E3B5C">
            <w:pPr>
              <w:widowControl w:val="0"/>
              <w:tabs>
                <w:tab w:val="clear" w:pos="567"/>
              </w:tabs>
              <w:suppressAutoHyphens w:val="0"/>
              <w:autoSpaceDE w:val="0"/>
              <w:autoSpaceDN w:val="0"/>
              <w:spacing w:line="233" w:lineRule="exact"/>
              <w:ind w:left="107"/>
              <w:rPr>
                <w:rFonts w:eastAsia="Calibri"/>
                <w:color w:val="auto"/>
                <w:sz w:val="22"/>
                <w:szCs w:val="22"/>
                <w:lang w:val="en-US" w:eastAsia="en-US"/>
              </w:rPr>
            </w:pPr>
            <w:r w:rsidRPr="00AE1B80">
              <w:rPr>
                <w:rFonts w:eastAsia="Calibri"/>
                <w:color w:val="auto"/>
                <w:sz w:val="22"/>
                <w:szCs w:val="22"/>
                <w:lang w:val="en-US" w:eastAsia="en-US"/>
              </w:rPr>
              <w:t>(46,</w:t>
            </w:r>
            <w:r w:rsidR="003E3B5C" w:rsidRPr="00AE1B80">
              <w:rPr>
                <w:rFonts w:eastAsia="Calibri"/>
                <w:color w:val="auto"/>
                <w:sz w:val="22"/>
                <w:szCs w:val="22"/>
                <w:lang w:val="en-US" w:eastAsia="en-US"/>
              </w:rPr>
              <w:t>0-343)</w:t>
            </w:r>
          </w:p>
        </w:tc>
        <w:tc>
          <w:tcPr>
            <w:tcW w:w="297" w:type="pct"/>
            <w:shd w:val="clear" w:color="auto" w:fill="auto"/>
          </w:tcPr>
          <w:p w14:paraId="32964CB1" w14:textId="77777777" w:rsidR="003E3B5C" w:rsidRPr="00AE1B80" w:rsidRDefault="003E3B5C" w:rsidP="003E3B5C">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E1B80">
              <w:rPr>
                <w:rFonts w:eastAsia="Calibri"/>
                <w:color w:val="auto"/>
                <w:sz w:val="22"/>
                <w:szCs w:val="22"/>
                <w:lang w:val="en-US" w:eastAsia="en-US"/>
              </w:rPr>
              <w:t>38</w:t>
            </w:r>
          </w:p>
        </w:tc>
        <w:tc>
          <w:tcPr>
            <w:tcW w:w="768" w:type="pct"/>
            <w:shd w:val="clear" w:color="auto" w:fill="auto"/>
          </w:tcPr>
          <w:p w14:paraId="4B08E822" w14:textId="23ACCBB1" w:rsidR="003E3B5C" w:rsidRPr="00AE1B80" w:rsidRDefault="00D05123" w:rsidP="003E3B5C">
            <w:pPr>
              <w:widowControl w:val="0"/>
              <w:tabs>
                <w:tab w:val="clear" w:pos="567"/>
              </w:tabs>
              <w:suppressAutoHyphens w:val="0"/>
              <w:autoSpaceDE w:val="0"/>
              <w:autoSpaceDN w:val="0"/>
              <w:spacing w:line="253" w:lineRule="exact"/>
              <w:ind w:left="106"/>
              <w:rPr>
                <w:rFonts w:eastAsia="Calibri"/>
                <w:color w:val="auto"/>
                <w:sz w:val="22"/>
                <w:szCs w:val="22"/>
                <w:lang w:val="en-US" w:eastAsia="en-US"/>
              </w:rPr>
            </w:pPr>
            <w:r w:rsidRPr="00AE1B80">
              <w:rPr>
                <w:rFonts w:eastAsia="Calibri"/>
                <w:color w:val="auto"/>
                <w:sz w:val="22"/>
                <w:szCs w:val="22"/>
                <w:lang w:val="en-US" w:eastAsia="en-US"/>
              </w:rPr>
              <w:t>171,</w:t>
            </w:r>
            <w:r w:rsidR="003E3B5C" w:rsidRPr="00AE1B80">
              <w:rPr>
                <w:rFonts w:eastAsia="Calibri"/>
                <w:color w:val="auto"/>
                <w:sz w:val="22"/>
                <w:szCs w:val="22"/>
                <w:lang w:val="en-US" w:eastAsia="en-US"/>
              </w:rPr>
              <w:t>8</w:t>
            </w:r>
          </w:p>
          <w:p w14:paraId="2FBE4548" w14:textId="0D83FE72" w:rsidR="003E3B5C" w:rsidRPr="00AE1B80" w:rsidRDefault="00D05123" w:rsidP="003E3B5C">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E1B80">
              <w:rPr>
                <w:rFonts w:eastAsia="Calibri"/>
                <w:color w:val="auto"/>
                <w:sz w:val="22"/>
                <w:szCs w:val="22"/>
                <w:lang w:val="en-US" w:eastAsia="en-US"/>
              </w:rPr>
              <w:t>(70,</w:t>
            </w:r>
            <w:r w:rsidR="003E3B5C" w:rsidRPr="00AE1B80">
              <w:rPr>
                <w:rFonts w:eastAsia="Calibri"/>
                <w:color w:val="auto"/>
                <w:sz w:val="22"/>
                <w:szCs w:val="22"/>
                <w:lang w:val="en-US" w:eastAsia="en-US"/>
              </w:rPr>
              <w:t>7-438)</w:t>
            </w:r>
          </w:p>
        </w:tc>
        <w:tc>
          <w:tcPr>
            <w:tcW w:w="233" w:type="pct"/>
            <w:shd w:val="clear" w:color="auto" w:fill="auto"/>
          </w:tcPr>
          <w:p w14:paraId="3174A855" w14:textId="77777777" w:rsidR="003E3B5C" w:rsidRPr="00AE1B80" w:rsidRDefault="003E3B5C" w:rsidP="003E3B5C">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E1B80">
              <w:rPr>
                <w:rFonts w:eastAsia="Calibri"/>
                <w:color w:val="auto"/>
                <w:w w:val="99"/>
                <w:sz w:val="22"/>
                <w:szCs w:val="22"/>
                <w:lang w:val="en-US" w:eastAsia="en-US"/>
              </w:rPr>
              <w:t>2</w:t>
            </w:r>
          </w:p>
        </w:tc>
        <w:tc>
          <w:tcPr>
            <w:tcW w:w="787" w:type="pct"/>
            <w:shd w:val="clear" w:color="auto" w:fill="auto"/>
          </w:tcPr>
          <w:p w14:paraId="636AA22A" w14:textId="32683B71" w:rsidR="003E3B5C" w:rsidRPr="00AE1B80" w:rsidRDefault="00D05123" w:rsidP="003E3B5C">
            <w:pPr>
              <w:widowControl w:val="0"/>
              <w:tabs>
                <w:tab w:val="clear" w:pos="567"/>
              </w:tabs>
              <w:suppressAutoHyphens w:val="0"/>
              <w:autoSpaceDE w:val="0"/>
              <w:autoSpaceDN w:val="0"/>
              <w:spacing w:line="253" w:lineRule="exact"/>
              <w:ind w:left="106"/>
              <w:rPr>
                <w:rFonts w:eastAsia="Calibri"/>
                <w:color w:val="auto"/>
                <w:sz w:val="22"/>
                <w:szCs w:val="22"/>
                <w:lang w:val="en-US" w:eastAsia="en-US"/>
              </w:rPr>
            </w:pPr>
            <w:r w:rsidRPr="00AE1B80">
              <w:rPr>
                <w:rFonts w:eastAsia="Calibri"/>
                <w:color w:val="auto"/>
                <w:sz w:val="22"/>
                <w:szCs w:val="22"/>
                <w:lang w:val="en-US" w:eastAsia="en-US"/>
              </w:rPr>
              <w:t>NA</w:t>
            </w:r>
          </w:p>
        </w:tc>
        <w:tc>
          <w:tcPr>
            <w:tcW w:w="230" w:type="pct"/>
            <w:shd w:val="clear" w:color="auto" w:fill="auto"/>
          </w:tcPr>
          <w:p w14:paraId="0CDC0492" w14:textId="77777777" w:rsidR="003E3B5C" w:rsidRPr="00AE1B80"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899" w:type="pct"/>
            <w:shd w:val="clear" w:color="auto" w:fill="auto"/>
          </w:tcPr>
          <w:p w14:paraId="6FA80A4F" w14:textId="77777777" w:rsidR="003E3B5C" w:rsidRPr="00AE1B80"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r>
      <w:tr w:rsidR="003E3B5C" w:rsidRPr="00452D62" w14:paraId="2A3D7588" w14:textId="77777777" w:rsidTr="00752E29">
        <w:trPr>
          <w:trHeight w:val="506"/>
        </w:trPr>
        <w:tc>
          <w:tcPr>
            <w:tcW w:w="704" w:type="pct"/>
            <w:shd w:val="clear" w:color="auto" w:fill="auto"/>
          </w:tcPr>
          <w:p w14:paraId="54229E0A" w14:textId="644F460E" w:rsidR="003E3B5C" w:rsidRPr="00AE1B80" w:rsidRDefault="00D05123" w:rsidP="005337A6">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E1B80">
              <w:rPr>
                <w:rFonts w:eastAsia="Calibri"/>
                <w:color w:val="auto"/>
                <w:sz w:val="22"/>
                <w:szCs w:val="22"/>
                <w:lang w:val="en-US" w:eastAsia="en-US"/>
              </w:rPr>
              <w:t>10-16</w:t>
            </w:r>
            <w:r w:rsidR="005337A6">
              <w:rPr>
                <w:rFonts w:eastAsia="Calibri"/>
                <w:color w:val="auto"/>
                <w:sz w:val="22"/>
                <w:szCs w:val="22"/>
                <w:lang w:val="en-US" w:eastAsia="en-US"/>
              </w:rPr>
              <w:t> </w:t>
            </w:r>
            <w:r w:rsidRPr="00AE1B80">
              <w:rPr>
                <w:rFonts w:eastAsia="Calibri"/>
                <w:color w:val="auto"/>
                <w:sz w:val="22"/>
                <w:szCs w:val="22"/>
                <w:lang w:val="en-US" w:eastAsia="en-US"/>
              </w:rPr>
              <w:t xml:space="preserve">val. </w:t>
            </w:r>
            <w:r w:rsidR="005337A6">
              <w:rPr>
                <w:rFonts w:eastAsia="Calibri"/>
                <w:color w:val="auto"/>
                <w:sz w:val="22"/>
                <w:szCs w:val="22"/>
                <w:lang w:val="en-US" w:eastAsia="en-US"/>
              </w:rPr>
              <w:t>p</w:t>
            </w:r>
            <w:r w:rsidRPr="00AE1B80">
              <w:rPr>
                <w:rFonts w:eastAsia="Calibri"/>
                <w:color w:val="auto"/>
                <w:sz w:val="22"/>
                <w:szCs w:val="22"/>
                <w:lang w:val="en-US" w:eastAsia="en-US"/>
              </w:rPr>
              <w:t>o varojimo</w:t>
            </w:r>
          </w:p>
        </w:tc>
        <w:tc>
          <w:tcPr>
            <w:tcW w:w="298" w:type="pct"/>
            <w:shd w:val="clear" w:color="auto" w:fill="auto"/>
          </w:tcPr>
          <w:p w14:paraId="4F15CAC9" w14:textId="77777777" w:rsidR="003E3B5C" w:rsidRPr="00AE1B80" w:rsidRDefault="003E3B5C" w:rsidP="003E3B5C">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E1B80">
              <w:rPr>
                <w:rFonts w:eastAsia="Calibri"/>
                <w:color w:val="auto"/>
                <w:sz w:val="22"/>
                <w:szCs w:val="22"/>
                <w:lang w:val="en-US" w:eastAsia="en-US"/>
              </w:rPr>
              <w:t>33</w:t>
            </w:r>
          </w:p>
        </w:tc>
        <w:tc>
          <w:tcPr>
            <w:tcW w:w="784" w:type="pct"/>
            <w:shd w:val="clear" w:color="auto" w:fill="auto"/>
          </w:tcPr>
          <w:p w14:paraId="1211631B" w14:textId="43E4C69D" w:rsidR="003E3B5C" w:rsidRPr="00AE1B80" w:rsidRDefault="00D05123" w:rsidP="003E3B5C">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E1B80">
              <w:rPr>
                <w:rFonts w:eastAsia="Calibri"/>
                <w:color w:val="auto"/>
                <w:sz w:val="22"/>
                <w:szCs w:val="22"/>
                <w:lang w:val="en-US" w:eastAsia="en-US"/>
              </w:rPr>
              <w:t>26,</w:t>
            </w:r>
            <w:r w:rsidR="003E3B5C" w:rsidRPr="00AE1B80">
              <w:rPr>
                <w:rFonts w:eastAsia="Calibri"/>
                <w:color w:val="auto"/>
                <w:sz w:val="22"/>
                <w:szCs w:val="22"/>
                <w:lang w:val="en-US" w:eastAsia="en-US"/>
              </w:rPr>
              <w:t>0</w:t>
            </w:r>
          </w:p>
          <w:p w14:paraId="4013AD5E" w14:textId="37DD7FD2" w:rsidR="003E3B5C" w:rsidRPr="00AE1B80" w:rsidRDefault="00D05123" w:rsidP="003E3B5C">
            <w:pPr>
              <w:widowControl w:val="0"/>
              <w:tabs>
                <w:tab w:val="clear" w:pos="567"/>
              </w:tabs>
              <w:suppressAutoHyphens w:val="0"/>
              <w:autoSpaceDE w:val="0"/>
              <w:autoSpaceDN w:val="0"/>
              <w:spacing w:line="233" w:lineRule="exact"/>
              <w:ind w:left="107"/>
              <w:rPr>
                <w:rFonts w:eastAsia="Calibri"/>
                <w:color w:val="auto"/>
                <w:sz w:val="22"/>
                <w:szCs w:val="22"/>
                <w:lang w:val="en-US" w:eastAsia="en-US"/>
              </w:rPr>
            </w:pPr>
            <w:r w:rsidRPr="00AE1B80">
              <w:rPr>
                <w:rFonts w:eastAsia="Calibri"/>
                <w:color w:val="auto"/>
                <w:sz w:val="22"/>
                <w:szCs w:val="22"/>
                <w:lang w:val="en-US" w:eastAsia="en-US"/>
              </w:rPr>
              <w:t>(7,99-94,</w:t>
            </w:r>
            <w:r w:rsidR="003E3B5C" w:rsidRPr="00AE1B80">
              <w:rPr>
                <w:rFonts w:eastAsia="Calibri"/>
                <w:color w:val="auto"/>
                <w:sz w:val="22"/>
                <w:szCs w:val="22"/>
                <w:lang w:val="en-US" w:eastAsia="en-US"/>
              </w:rPr>
              <w:t>9)</w:t>
            </w:r>
          </w:p>
        </w:tc>
        <w:tc>
          <w:tcPr>
            <w:tcW w:w="297" w:type="pct"/>
            <w:shd w:val="clear" w:color="auto" w:fill="auto"/>
          </w:tcPr>
          <w:p w14:paraId="4DEECF95" w14:textId="77777777" w:rsidR="003E3B5C" w:rsidRPr="00AE1B80" w:rsidRDefault="003E3B5C" w:rsidP="003E3B5C">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E1B80">
              <w:rPr>
                <w:rFonts w:eastAsia="Calibri"/>
                <w:color w:val="auto"/>
                <w:sz w:val="22"/>
                <w:szCs w:val="22"/>
                <w:lang w:val="en-US" w:eastAsia="en-US"/>
              </w:rPr>
              <w:t>37</w:t>
            </w:r>
          </w:p>
        </w:tc>
        <w:tc>
          <w:tcPr>
            <w:tcW w:w="768" w:type="pct"/>
            <w:shd w:val="clear" w:color="auto" w:fill="auto"/>
          </w:tcPr>
          <w:p w14:paraId="5D9E5833" w14:textId="471309D7" w:rsidR="003E3B5C" w:rsidRPr="00AE1B80" w:rsidRDefault="00D05123" w:rsidP="003E3B5C">
            <w:pPr>
              <w:widowControl w:val="0"/>
              <w:tabs>
                <w:tab w:val="clear" w:pos="567"/>
              </w:tabs>
              <w:suppressAutoHyphens w:val="0"/>
              <w:autoSpaceDE w:val="0"/>
              <w:autoSpaceDN w:val="0"/>
              <w:spacing w:line="253" w:lineRule="exact"/>
              <w:ind w:left="106"/>
              <w:rPr>
                <w:rFonts w:eastAsia="Calibri"/>
                <w:color w:val="auto"/>
                <w:sz w:val="22"/>
                <w:szCs w:val="22"/>
                <w:lang w:val="en-US" w:eastAsia="en-US"/>
              </w:rPr>
            </w:pPr>
            <w:r w:rsidRPr="00AE1B80">
              <w:rPr>
                <w:rFonts w:eastAsia="Calibri"/>
                <w:color w:val="auto"/>
                <w:sz w:val="22"/>
                <w:szCs w:val="22"/>
                <w:lang w:val="en-US" w:eastAsia="en-US"/>
              </w:rPr>
              <w:t>22,</w:t>
            </w:r>
            <w:r w:rsidR="003E3B5C" w:rsidRPr="00AE1B80">
              <w:rPr>
                <w:rFonts w:eastAsia="Calibri"/>
                <w:color w:val="auto"/>
                <w:sz w:val="22"/>
                <w:szCs w:val="22"/>
                <w:lang w:val="en-US" w:eastAsia="en-US"/>
              </w:rPr>
              <w:t>2</w:t>
            </w:r>
          </w:p>
          <w:p w14:paraId="1EAA8AE6" w14:textId="460F0135" w:rsidR="003E3B5C" w:rsidRPr="00AE1B80" w:rsidRDefault="00D05123" w:rsidP="003E3B5C">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E1B80">
              <w:rPr>
                <w:rFonts w:eastAsia="Calibri"/>
                <w:color w:val="auto"/>
                <w:sz w:val="22"/>
                <w:szCs w:val="22"/>
                <w:lang w:val="en-US" w:eastAsia="en-US"/>
              </w:rPr>
              <w:t>(0,</w:t>
            </w:r>
            <w:r w:rsidR="003E3B5C" w:rsidRPr="00AE1B80">
              <w:rPr>
                <w:rFonts w:eastAsia="Calibri"/>
                <w:color w:val="auto"/>
                <w:sz w:val="22"/>
                <w:szCs w:val="22"/>
                <w:lang w:val="en-US" w:eastAsia="en-US"/>
              </w:rPr>
              <w:t>25-127)</w:t>
            </w:r>
          </w:p>
        </w:tc>
        <w:tc>
          <w:tcPr>
            <w:tcW w:w="233" w:type="pct"/>
            <w:shd w:val="clear" w:color="auto" w:fill="auto"/>
          </w:tcPr>
          <w:p w14:paraId="0F9F6263" w14:textId="77777777" w:rsidR="003E3B5C" w:rsidRPr="00AE1B80" w:rsidRDefault="003E3B5C" w:rsidP="003E3B5C">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E1B80">
              <w:rPr>
                <w:rFonts w:eastAsia="Calibri"/>
                <w:color w:val="auto"/>
                <w:w w:val="99"/>
                <w:sz w:val="22"/>
                <w:szCs w:val="22"/>
                <w:lang w:val="en-US" w:eastAsia="en-US"/>
              </w:rPr>
              <w:t>3</w:t>
            </w:r>
          </w:p>
        </w:tc>
        <w:tc>
          <w:tcPr>
            <w:tcW w:w="787" w:type="pct"/>
            <w:shd w:val="clear" w:color="auto" w:fill="auto"/>
          </w:tcPr>
          <w:p w14:paraId="708E38B8" w14:textId="78BE2856" w:rsidR="003E3B5C" w:rsidRPr="00AE1B80" w:rsidRDefault="00D05123" w:rsidP="003E3B5C">
            <w:pPr>
              <w:widowControl w:val="0"/>
              <w:tabs>
                <w:tab w:val="clear" w:pos="567"/>
              </w:tabs>
              <w:suppressAutoHyphens w:val="0"/>
              <w:autoSpaceDE w:val="0"/>
              <w:autoSpaceDN w:val="0"/>
              <w:spacing w:line="253" w:lineRule="exact"/>
              <w:ind w:left="106"/>
              <w:rPr>
                <w:rFonts w:eastAsia="Calibri"/>
                <w:color w:val="auto"/>
                <w:sz w:val="22"/>
                <w:szCs w:val="22"/>
                <w:lang w:val="en-US" w:eastAsia="en-US"/>
              </w:rPr>
            </w:pPr>
            <w:r w:rsidRPr="00AE1B80">
              <w:rPr>
                <w:rFonts w:eastAsia="Calibri"/>
                <w:color w:val="auto"/>
                <w:sz w:val="22"/>
                <w:szCs w:val="22"/>
                <w:lang w:val="en-US" w:eastAsia="en-US"/>
              </w:rPr>
              <w:t>10,</w:t>
            </w:r>
            <w:r w:rsidR="003E3B5C" w:rsidRPr="00AE1B80">
              <w:rPr>
                <w:rFonts w:eastAsia="Calibri"/>
                <w:color w:val="auto"/>
                <w:sz w:val="22"/>
                <w:szCs w:val="22"/>
                <w:lang w:val="en-US" w:eastAsia="en-US"/>
              </w:rPr>
              <w:t>7</w:t>
            </w:r>
          </w:p>
          <w:p w14:paraId="1B22D2FF" w14:textId="61FBECE7" w:rsidR="003E3B5C" w:rsidRPr="00AE1B80" w:rsidRDefault="00D05123" w:rsidP="003E3B5C">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E1B80">
              <w:rPr>
                <w:rFonts w:eastAsia="Calibri"/>
                <w:color w:val="auto"/>
                <w:sz w:val="22"/>
                <w:szCs w:val="22"/>
                <w:lang w:val="en-US" w:eastAsia="en-US"/>
              </w:rPr>
              <w:t>(NA-NA</w:t>
            </w:r>
            <w:r w:rsidR="003E3B5C" w:rsidRPr="00AE1B80">
              <w:rPr>
                <w:rFonts w:eastAsia="Calibri"/>
                <w:color w:val="auto"/>
                <w:sz w:val="22"/>
                <w:szCs w:val="22"/>
                <w:lang w:val="en-US" w:eastAsia="en-US"/>
              </w:rPr>
              <w:t>)</w:t>
            </w:r>
          </w:p>
        </w:tc>
        <w:tc>
          <w:tcPr>
            <w:tcW w:w="230" w:type="pct"/>
            <w:shd w:val="clear" w:color="auto" w:fill="auto"/>
          </w:tcPr>
          <w:p w14:paraId="220546B2" w14:textId="77777777" w:rsidR="003E3B5C" w:rsidRPr="00AE1B80"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899" w:type="pct"/>
            <w:shd w:val="clear" w:color="auto" w:fill="auto"/>
          </w:tcPr>
          <w:p w14:paraId="3F75EE22" w14:textId="77777777" w:rsidR="003E3B5C" w:rsidRPr="00AE1B80"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r>
      <w:tr w:rsidR="003E3B5C" w:rsidRPr="00452D62" w14:paraId="20DD721C" w14:textId="77777777" w:rsidTr="00752E29">
        <w:trPr>
          <w:trHeight w:val="505"/>
        </w:trPr>
        <w:tc>
          <w:tcPr>
            <w:tcW w:w="704" w:type="pct"/>
            <w:shd w:val="clear" w:color="auto" w:fill="auto"/>
          </w:tcPr>
          <w:p w14:paraId="12D29A75" w14:textId="714C204D" w:rsidR="003E3B5C" w:rsidRPr="00AE1B80" w:rsidRDefault="00E3008C" w:rsidP="003E3B5C">
            <w:pPr>
              <w:widowControl w:val="0"/>
              <w:tabs>
                <w:tab w:val="clear" w:pos="567"/>
              </w:tabs>
              <w:suppressAutoHyphens w:val="0"/>
              <w:autoSpaceDE w:val="0"/>
              <w:autoSpaceDN w:val="0"/>
              <w:spacing w:line="253" w:lineRule="exact"/>
              <w:ind w:left="107"/>
              <w:rPr>
                <w:rFonts w:eastAsia="Calibri"/>
                <w:b/>
                <w:color w:val="auto"/>
                <w:sz w:val="22"/>
                <w:szCs w:val="22"/>
                <w:lang w:val="en-US" w:eastAsia="en-US"/>
              </w:rPr>
            </w:pPr>
            <w:r w:rsidRPr="00AE1B80">
              <w:rPr>
                <w:rFonts w:eastAsia="Calibri"/>
                <w:b/>
                <w:color w:val="auto"/>
                <w:sz w:val="22"/>
                <w:szCs w:val="22"/>
                <w:lang w:val="en-US" w:eastAsia="en-US"/>
              </w:rPr>
              <w:t>TKP</w:t>
            </w:r>
          </w:p>
        </w:tc>
        <w:tc>
          <w:tcPr>
            <w:tcW w:w="298" w:type="pct"/>
            <w:shd w:val="clear" w:color="auto" w:fill="auto"/>
          </w:tcPr>
          <w:p w14:paraId="347C28E3" w14:textId="77777777" w:rsidR="003E3B5C" w:rsidRPr="00AE1B80" w:rsidRDefault="003E3B5C" w:rsidP="003E3B5C">
            <w:pPr>
              <w:widowControl w:val="0"/>
              <w:tabs>
                <w:tab w:val="clear" w:pos="567"/>
              </w:tabs>
              <w:suppressAutoHyphens w:val="0"/>
              <w:autoSpaceDE w:val="0"/>
              <w:autoSpaceDN w:val="0"/>
              <w:spacing w:line="253" w:lineRule="exact"/>
              <w:ind w:left="107"/>
              <w:rPr>
                <w:rFonts w:eastAsia="Calibri"/>
                <w:b/>
                <w:color w:val="auto"/>
                <w:sz w:val="22"/>
                <w:szCs w:val="22"/>
                <w:lang w:val="en-US" w:eastAsia="en-US"/>
              </w:rPr>
            </w:pPr>
            <w:r w:rsidRPr="00AE1B80">
              <w:rPr>
                <w:rFonts w:eastAsia="Calibri"/>
                <w:b/>
                <w:color w:val="auto"/>
                <w:w w:val="99"/>
                <w:sz w:val="22"/>
                <w:szCs w:val="22"/>
                <w:lang w:val="en-US" w:eastAsia="en-US"/>
              </w:rPr>
              <w:t>N</w:t>
            </w:r>
          </w:p>
        </w:tc>
        <w:tc>
          <w:tcPr>
            <w:tcW w:w="784" w:type="pct"/>
            <w:shd w:val="clear" w:color="auto" w:fill="auto"/>
          </w:tcPr>
          <w:p w14:paraId="1A3950A7" w14:textId="287FA126" w:rsidR="003E3B5C" w:rsidRPr="00AE1B80" w:rsidRDefault="003E3B5C" w:rsidP="003E3B5C">
            <w:pPr>
              <w:widowControl w:val="0"/>
              <w:tabs>
                <w:tab w:val="clear" w:pos="567"/>
              </w:tabs>
              <w:suppressAutoHyphens w:val="0"/>
              <w:autoSpaceDE w:val="0"/>
              <w:autoSpaceDN w:val="0"/>
              <w:spacing w:line="253" w:lineRule="exact"/>
              <w:ind w:left="107"/>
              <w:rPr>
                <w:rFonts w:eastAsia="Calibri"/>
                <w:b/>
                <w:color w:val="auto"/>
                <w:sz w:val="22"/>
                <w:szCs w:val="22"/>
                <w:lang w:val="en-US" w:eastAsia="en-US"/>
              </w:rPr>
            </w:pPr>
            <w:r w:rsidRPr="00AE1B80">
              <w:rPr>
                <w:rFonts w:eastAsia="Calibri"/>
                <w:b/>
                <w:color w:val="auto"/>
                <w:sz w:val="22"/>
                <w:szCs w:val="22"/>
                <w:lang w:val="en-US" w:eastAsia="en-US"/>
              </w:rPr>
              <w:t>2 -&lt; </w:t>
            </w:r>
            <w:r w:rsidR="00E3008C" w:rsidRPr="00AE1B80">
              <w:rPr>
                <w:rFonts w:eastAsia="Calibri"/>
                <w:b/>
                <w:color w:val="auto"/>
                <w:sz w:val="22"/>
                <w:szCs w:val="22"/>
                <w:lang w:val="en-US" w:eastAsia="en-US"/>
              </w:rPr>
              <w:t>6 metai</w:t>
            </w:r>
          </w:p>
        </w:tc>
        <w:tc>
          <w:tcPr>
            <w:tcW w:w="297" w:type="pct"/>
            <w:shd w:val="clear" w:color="auto" w:fill="auto"/>
          </w:tcPr>
          <w:p w14:paraId="23D7D563" w14:textId="77777777" w:rsidR="003E3B5C" w:rsidRPr="00AE1B80" w:rsidRDefault="003E3B5C" w:rsidP="003E3B5C">
            <w:pPr>
              <w:widowControl w:val="0"/>
              <w:tabs>
                <w:tab w:val="clear" w:pos="567"/>
              </w:tabs>
              <w:suppressAutoHyphens w:val="0"/>
              <w:autoSpaceDE w:val="0"/>
              <w:autoSpaceDN w:val="0"/>
              <w:spacing w:line="253" w:lineRule="exact"/>
              <w:ind w:left="107"/>
              <w:rPr>
                <w:rFonts w:eastAsia="Calibri"/>
                <w:b/>
                <w:color w:val="auto"/>
                <w:sz w:val="22"/>
                <w:szCs w:val="22"/>
                <w:lang w:val="en-US" w:eastAsia="en-US"/>
              </w:rPr>
            </w:pPr>
            <w:r w:rsidRPr="00AE1B80">
              <w:rPr>
                <w:rFonts w:eastAsia="Calibri"/>
                <w:b/>
                <w:color w:val="auto"/>
                <w:w w:val="99"/>
                <w:sz w:val="22"/>
                <w:szCs w:val="22"/>
                <w:lang w:val="en-US" w:eastAsia="en-US"/>
              </w:rPr>
              <w:t>N</w:t>
            </w:r>
          </w:p>
        </w:tc>
        <w:tc>
          <w:tcPr>
            <w:tcW w:w="768" w:type="pct"/>
            <w:shd w:val="clear" w:color="auto" w:fill="auto"/>
          </w:tcPr>
          <w:p w14:paraId="2A21EBB7" w14:textId="74116D77" w:rsidR="003E3B5C" w:rsidRPr="00AE1B80" w:rsidRDefault="00E3008C" w:rsidP="003E3B5C">
            <w:pPr>
              <w:widowControl w:val="0"/>
              <w:tabs>
                <w:tab w:val="clear" w:pos="567"/>
              </w:tabs>
              <w:suppressAutoHyphens w:val="0"/>
              <w:autoSpaceDE w:val="0"/>
              <w:autoSpaceDN w:val="0"/>
              <w:spacing w:line="253" w:lineRule="exact"/>
              <w:ind w:left="106"/>
              <w:rPr>
                <w:rFonts w:eastAsia="Calibri"/>
                <w:b/>
                <w:color w:val="auto"/>
                <w:sz w:val="22"/>
                <w:szCs w:val="22"/>
                <w:lang w:val="en-US" w:eastAsia="en-US"/>
              </w:rPr>
            </w:pPr>
            <w:r w:rsidRPr="00AE1B80">
              <w:rPr>
                <w:rFonts w:eastAsia="Calibri"/>
                <w:b/>
                <w:color w:val="auto"/>
                <w:sz w:val="22"/>
                <w:szCs w:val="22"/>
                <w:lang w:val="en-US" w:eastAsia="en-US"/>
              </w:rPr>
              <w:t>Nuo gimimo</w:t>
            </w:r>
            <w:r w:rsidR="003E3B5C" w:rsidRPr="00AE1B80">
              <w:rPr>
                <w:rFonts w:eastAsia="Calibri"/>
                <w:b/>
                <w:color w:val="auto"/>
                <w:sz w:val="22"/>
                <w:szCs w:val="22"/>
                <w:lang w:val="en-US" w:eastAsia="en-US"/>
              </w:rPr>
              <w:t xml:space="preserve"> -</w:t>
            </w:r>
          </w:p>
          <w:p w14:paraId="725CA085" w14:textId="37E40A2A" w:rsidR="003E3B5C" w:rsidRPr="00AE1B80" w:rsidRDefault="003E3B5C" w:rsidP="003E3B5C">
            <w:pPr>
              <w:widowControl w:val="0"/>
              <w:tabs>
                <w:tab w:val="clear" w:pos="567"/>
              </w:tabs>
              <w:suppressAutoHyphens w:val="0"/>
              <w:autoSpaceDE w:val="0"/>
              <w:autoSpaceDN w:val="0"/>
              <w:spacing w:line="233" w:lineRule="exact"/>
              <w:ind w:left="106"/>
              <w:rPr>
                <w:rFonts w:eastAsia="Calibri"/>
                <w:b/>
                <w:color w:val="auto"/>
                <w:sz w:val="22"/>
                <w:szCs w:val="22"/>
                <w:lang w:val="en-US" w:eastAsia="en-US"/>
              </w:rPr>
            </w:pPr>
            <w:r w:rsidRPr="00AE1B80">
              <w:rPr>
                <w:rFonts w:eastAsia="Calibri"/>
                <w:b/>
                <w:color w:val="auto"/>
                <w:sz w:val="22"/>
                <w:szCs w:val="22"/>
                <w:lang w:val="en-US" w:eastAsia="en-US"/>
              </w:rPr>
              <w:t>&lt; </w:t>
            </w:r>
            <w:r w:rsidR="00E3008C" w:rsidRPr="00AE1B80">
              <w:rPr>
                <w:rFonts w:eastAsia="Calibri"/>
                <w:b/>
                <w:color w:val="auto"/>
                <w:sz w:val="22"/>
                <w:szCs w:val="22"/>
                <w:lang w:val="en-US" w:eastAsia="en-US"/>
              </w:rPr>
              <w:t>2 metai</w:t>
            </w:r>
          </w:p>
        </w:tc>
        <w:tc>
          <w:tcPr>
            <w:tcW w:w="233" w:type="pct"/>
            <w:shd w:val="clear" w:color="auto" w:fill="auto"/>
          </w:tcPr>
          <w:p w14:paraId="668714BC" w14:textId="77777777" w:rsidR="003E3B5C" w:rsidRPr="00AE1B80" w:rsidRDefault="003E3B5C" w:rsidP="003E3B5C">
            <w:pPr>
              <w:widowControl w:val="0"/>
              <w:tabs>
                <w:tab w:val="clear" w:pos="567"/>
              </w:tabs>
              <w:suppressAutoHyphens w:val="0"/>
              <w:autoSpaceDE w:val="0"/>
              <w:autoSpaceDN w:val="0"/>
              <w:spacing w:line="253" w:lineRule="exact"/>
              <w:ind w:left="107"/>
              <w:rPr>
                <w:rFonts w:eastAsia="Calibri"/>
                <w:b/>
                <w:color w:val="auto"/>
                <w:sz w:val="22"/>
                <w:szCs w:val="22"/>
                <w:lang w:val="en-US" w:eastAsia="en-US"/>
              </w:rPr>
            </w:pPr>
            <w:r w:rsidRPr="00AE1B80">
              <w:rPr>
                <w:rFonts w:eastAsia="Calibri"/>
                <w:b/>
                <w:color w:val="auto"/>
                <w:w w:val="99"/>
                <w:sz w:val="22"/>
                <w:szCs w:val="22"/>
                <w:lang w:val="en-US" w:eastAsia="en-US"/>
              </w:rPr>
              <w:t>N</w:t>
            </w:r>
          </w:p>
        </w:tc>
        <w:tc>
          <w:tcPr>
            <w:tcW w:w="787" w:type="pct"/>
            <w:shd w:val="clear" w:color="auto" w:fill="auto"/>
          </w:tcPr>
          <w:p w14:paraId="67336B67" w14:textId="10F9F322" w:rsidR="003E3B5C" w:rsidRPr="00AE1B80" w:rsidRDefault="00E3008C" w:rsidP="003E3B5C">
            <w:pPr>
              <w:widowControl w:val="0"/>
              <w:tabs>
                <w:tab w:val="clear" w:pos="567"/>
              </w:tabs>
              <w:suppressAutoHyphens w:val="0"/>
              <w:autoSpaceDE w:val="0"/>
              <w:autoSpaceDN w:val="0"/>
              <w:spacing w:line="253" w:lineRule="exact"/>
              <w:ind w:left="106"/>
              <w:rPr>
                <w:rFonts w:eastAsia="Calibri"/>
                <w:b/>
                <w:color w:val="auto"/>
                <w:sz w:val="22"/>
                <w:szCs w:val="22"/>
                <w:lang w:val="en-US" w:eastAsia="en-US"/>
              </w:rPr>
            </w:pPr>
            <w:r w:rsidRPr="00AE1B80">
              <w:rPr>
                <w:rFonts w:eastAsia="Calibri"/>
                <w:b/>
                <w:color w:val="auto"/>
                <w:sz w:val="22"/>
                <w:szCs w:val="22"/>
                <w:lang w:val="en-US" w:eastAsia="en-US"/>
              </w:rPr>
              <w:t>0,</w:t>
            </w:r>
            <w:r w:rsidR="003E3B5C" w:rsidRPr="00AE1B80">
              <w:rPr>
                <w:rFonts w:eastAsia="Calibri"/>
                <w:b/>
                <w:color w:val="auto"/>
                <w:sz w:val="22"/>
                <w:szCs w:val="22"/>
                <w:lang w:val="en-US" w:eastAsia="en-US"/>
              </w:rPr>
              <w:t>5 -&lt; </w:t>
            </w:r>
            <w:r w:rsidRPr="00AE1B80">
              <w:rPr>
                <w:rFonts w:eastAsia="Calibri"/>
                <w:b/>
                <w:color w:val="auto"/>
                <w:sz w:val="22"/>
                <w:szCs w:val="22"/>
                <w:lang w:val="en-US" w:eastAsia="en-US"/>
              </w:rPr>
              <w:t>2 metai</w:t>
            </w:r>
          </w:p>
        </w:tc>
        <w:tc>
          <w:tcPr>
            <w:tcW w:w="230" w:type="pct"/>
            <w:shd w:val="clear" w:color="auto" w:fill="auto"/>
          </w:tcPr>
          <w:p w14:paraId="3AAC38F7" w14:textId="77777777" w:rsidR="003E3B5C" w:rsidRPr="00AE1B80" w:rsidRDefault="003E3B5C" w:rsidP="003E3B5C">
            <w:pPr>
              <w:widowControl w:val="0"/>
              <w:tabs>
                <w:tab w:val="clear" w:pos="567"/>
              </w:tabs>
              <w:suppressAutoHyphens w:val="0"/>
              <w:autoSpaceDE w:val="0"/>
              <w:autoSpaceDN w:val="0"/>
              <w:spacing w:line="253" w:lineRule="exact"/>
              <w:jc w:val="center"/>
              <w:rPr>
                <w:rFonts w:eastAsia="Calibri"/>
                <w:b/>
                <w:color w:val="auto"/>
                <w:sz w:val="22"/>
                <w:szCs w:val="22"/>
                <w:lang w:val="en-US" w:eastAsia="en-US"/>
              </w:rPr>
            </w:pPr>
            <w:r w:rsidRPr="00AE1B80">
              <w:rPr>
                <w:rFonts w:eastAsia="Calibri"/>
                <w:b/>
                <w:color w:val="auto"/>
                <w:w w:val="99"/>
                <w:sz w:val="22"/>
                <w:szCs w:val="22"/>
                <w:lang w:val="en-US" w:eastAsia="en-US"/>
              </w:rPr>
              <w:t>N</w:t>
            </w:r>
          </w:p>
        </w:tc>
        <w:tc>
          <w:tcPr>
            <w:tcW w:w="899" w:type="pct"/>
            <w:shd w:val="clear" w:color="auto" w:fill="auto"/>
          </w:tcPr>
          <w:p w14:paraId="7C1240CE" w14:textId="0882ED2D" w:rsidR="003E3B5C" w:rsidRPr="00AE1B80" w:rsidRDefault="00E3008C" w:rsidP="003E3B5C">
            <w:pPr>
              <w:widowControl w:val="0"/>
              <w:tabs>
                <w:tab w:val="clear" w:pos="567"/>
              </w:tabs>
              <w:suppressAutoHyphens w:val="0"/>
              <w:autoSpaceDE w:val="0"/>
              <w:autoSpaceDN w:val="0"/>
              <w:spacing w:line="253" w:lineRule="exact"/>
              <w:ind w:left="106"/>
              <w:rPr>
                <w:rFonts w:eastAsia="Calibri"/>
                <w:b/>
                <w:color w:val="auto"/>
                <w:sz w:val="22"/>
                <w:szCs w:val="22"/>
                <w:lang w:val="en-US" w:eastAsia="en-US"/>
              </w:rPr>
            </w:pPr>
            <w:r w:rsidRPr="00AE1B80">
              <w:rPr>
                <w:rFonts w:eastAsia="Calibri"/>
                <w:b/>
                <w:color w:val="auto"/>
                <w:sz w:val="22"/>
                <w:szCs w:val="22"/>
                <w:lang w:val="en-US" w:eastAsia="en-US"/>
              </w:rPr>
              <w:t>Nuo gimimo</w:t>
            </w:r>
            <w:r w:rsidR="003E3B5C" w:rsidRPr="00AE1B80">
              <w:rPr>
                <w:rFonts w:eastAsia="Calibri"/>
                <w:b/>
                <w:color w:val="auto"/>
                <w:sz w:val="22"/>
                <w:szCs w:val="22"/>
                <w:lang w:val="en-US" w:eastAsia="en-US"/>
              </w:rPr>
              <w:t xml:space="preserve"> -</w:t>
            </w:r>
          </w:p>
          <w:p w14:paraId="634D204F" w14:textId="0F8141F7" w:rsidR="003E3B5C" w:rsidRPr="00AE1B80" w:rsidRDefault="003E3B5C" w:rsidP="003E3B5C">
            <w:pPr>
              <w:widowControl w:val="0"/>
              <w:tabs>
                <w:tab w:val="clear" w:pos="567"/>
              </w:tabs>
              <w:suppressAutoHyphens w:val="0"/>
              <w:autoSpaceDE w:val="0"/>
              <w:autoSpaceDN w:val="0"/>
              <w:spacing w:line="233" w:lineRule="exact"/>
              <w:ind w:left="106"/>
              <w:rPr>
                <w:rFonts w:eastAsia="Calibri"/>
                <w:b/>
                <w:color w:val="auto"/>
                <w:sz w:val="22"/>
                <w:szCs w:val="22"/>
                <w:lang w:val="en-US" w:eastAsia="en-US"/>
              </w:rPr>
            </w:pPr>
            <w:r w:rsidRPr="00AE1B80">
              <w:rPr>
                <w:rFonts w:eastAsia="Calibri"/>
                <w:b/>
                <w:color w:val="auto"/>
                <w:sz w:val="22"/>
                <w:szCs w:val="22"/>
                <w:lang w:val="en-US" w:eastAsia="en-US"/>
              </w:rPr>
              <w:t>&lt; </w:t>
            </w:r>
            <w:r w:rsidR="00E3008C" w:rsidRPr="00AE1B80">
              <w:rPr>
                <w:rFonts w:eastAsia="Calibri"/>
                <w:b/>
                <w:color w:val="auto"/>
                <w:sz w:val="22"/>
                <w:szCs w:val="22"/>
                <w:lang w:val="en-US" w:eastAsia="en-US"/>
              </w:rPr>
              <w:t>0,5 metų</w:t>
            </w:r>
          </w:p>
        </w:tc>
      </w:tr>
      <w:tr w:rsidR="003E3B5C" w:rsidRPr="00452D62" w14:paraId="06BEE7E6" w14:textId="77777777" w:rsidTr="00752E29">
        <w:trPr>
          <w:trHeight w:val="504"/>
        </w:trPr>
        <w:tc>
          <w:tcPr>
            <w:tcW w:w="704" w:type="pct"/>
            <w:shd w:val="clear" w:color="auto" w:fill="auto"/>
          </w:tcPr>
          <w:p w14:paraId="6A6F55DD" w14:textId="503F71B5" w:rsidR="003E3B5C" w:rsidRPr="00AE1B80" w:rsidRDefault="00E3008C" w:rsidP="003E3B5C">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E1B80">
              <w:rPr>
                <w:rFonts w:eastAsia="Calibri"/>
                <w:color w:val="auto"/>
                <w:sz w:val="22"/>
                <w:szCs w:val="22"/>
                <w:lang w:val="en-US" w:eastAsia="en-US"/>
              </w:rPr>
              <w:t>0,5-3</w:t>
            </w:r>
            <w:r w:rsidR="005337A6">
              <w:rPr>
                <w:rFonts w:eastAsia="Calibri"/>
                <w:color w:val="auto"/>
                <w:sz w:val="22"/>
                <w:szCs w:val="22"/>
                <w:lang w:val="en-US" w:eastAsia="en-US"/>
              </w:rPr>
              <w:t> </w:t>
            </w:r>
            <w:r w:rsidRPr="00AE1B80">
              <w:rPr>
                <w:rFonts w:eastAsia="Calibri"/>
                <w:color w:val="auto"/>
                <w:sz w:val="22"/>
                <w:szCs w:val="22"/>
                <w:lang w:val="en-US" w:eastAsia="en-US"/>
              </w:rPr>
              <w:t>val po vartojimo</w:t>
            </w:r>
          </w:p>
        </w:tc>
        <w:tc>
          <w:tcPr>
            <w:tcW w:w="298" w:type="pct"/>
            <w:shd w:val="clear" w:color="auto" w:fill="auto"/>
          </w:tcPr>
          <w:p w14:paraId="4C3DFA3E" w14:textId="77777777" w:rsidR="003E3B5C" w:rsidRPr="00AE1B80" w:rsidRDefault="003E3B5C" w:rsidP="003E3B5C">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E1B80">
              <w:rPr>
                <w:rFonts w:eastAsia="Calibri"/>
                <w:color w:val="auto"/>
                <w:w w:val="99"/>
                <w:sz w:val="22"/>
                <w:szCs w:val="22"/>
                <w:lang w:val="en-US" w:eastAsia="en-US"/>
              </w:rPr>
              <w:t>5</w:t>
            </w:r>
          </w:p>
        </w:tc>
        <w:tc>
          <w:tcPr>
            <w:tcW w:w="784" w:type="pct"/>
            <w:shd w:val="clear" w:color="auto" w:fill="auto"/>
          </w:tcPr>
          <w:p w14:paraId="00B5F924" w14:textId="20F38CE7" w:rsidR="003E3B5C" w:rsidRPr="00AE1B80" w:rsidRDefault="00E3008C" w:rsidP="003E3B5C">
            <w:pPr>
              <w:widowControl w:val="0"/>
              <w:tabs>
                <w:tab w:val="clear" w:pos="567"/>
              </w:tabs>
              <w:suppressAutoHyphens w:val="0"/>
              <w:autoSpaceDE w:val="0"/>
              <w:autoSpaceDN w:val="0"/>
              <w:spacing w:line="252" w:lineRule="exact"/>
              <w:ind w:left="107"/>
              <w:rPr>
                <w:rFonts w:eastAsia="Calibri"/>
                <w:color w:val="auto"/>
                <w:sz w:val="22"/>
                <w:szCs w:val="22"/>
                <w:lang w:val="en-US" w:eastAsia="en-US"/>
              </w:rPr>
            </w:pPr>
            <w:r w:rsidRPr="00AE1B80">
              <w:rPr>
                <w:rFonts w:eastAsia="Calibri"/>
                <w:color w:val="auto"/>
                <w:sz w:val="22"/>
                <w:szCs w:val="22"/>
                <w:lang w:val="en-US" w:eastAsia="en-US"/>
              </w:rPr>
              <w:t>164,</w:t>
            </w:r>
            <w:r w:rsidR="003E3B5C" w:rsidRPr="00AE1B80">
              <w:rPr>
                <w:rFonts w:eastAsia="Calibri"/>
                <w:color w:val="auto"/>
                <w:sz w:val="22"/>
                <w:szCs w:val="22"/>
                <w:lang w:val="en-US" w:eastAsia="en-US"/>
              </w:rPr>
              <w:t>7</w:t>
            </w:r>
          </w:p>
          <w:p w14:paraId="60237AAC" w14:textId="77777777" w:rsidR="003E3B5C" w:rsidRPr="00AE1B80" w:rsidRDefault="003E3B5C" w:rsidP="003E3B5C">
            <w:pPr>
              <w:widowControl w:val="0"/>
              <w:tabs>
                <w:tab w:val="clear" w:pos="567"/>
              </w:tabs>
              <w:suppressAutoHyphens w:val="0"/>
              <w:autoSpaceDE w:val="0"/>
              <w:autoSpaceDN w:val="0"/>
              <w:spacing w:line="233" w:lineRule="exact"/>
              <w:ind w:left="107"/>
              <w:rPr>
                <w:rFonts w:eastAsia="Calibri"/>
                <w:color w:val="auto"/>
                <w:sz w:val="22"/>
                <w:szCs w:val="22"/>
                <w:lang w:val="en-US" w:eastAsia="en-US"/>
              </w:rPr>
            </w:pPr>
            <w:r w:rsidRPr="00AE1B80">
              <w:rPr>
                <w:rFonts w:eastAsia="Calibri"/>
                <w:color w:val="auto"/>
                <w:sz w:val="22"/>
                <w:szCs w:val="22"/>
                <w:lang w:val="en-US" w:eastAsia="en-US"/>
              </w:rPr>
              <w:t>(108-283)</w:t>
            </w:r>
          </w:p>
        </w:tc>
        <w:tc>
          <w:tcPr>
            <w:tcW w:w="297" w:type="pct"/>
            <w:shd w:val="clear" w:color="auto" w:fill="auto"/>
          </w:tcPr>
          <w:p w14:paraId="4C25F2D9" w14:textId="77777777" w:rsidR="003E3B5C" w:rsidRPr="00AE1B80" w:rsidRDefault="003E3B5C" w:rsidP="003E3B5C">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E1B80">
              <w:rPr>
                <w:rFonts w:eastAsia="Calibri"/>
                <w:color w:val="auto"/>
                <w:sz w:val="22"/>
                <w:szCs w:val="22"/>
                <w:lang w:val="en-US" w:eastAsia="en-US"/>
              </w:rPr>
              <w:t>25</w:t>
            </w:r>
          </w:p>
        </w:tc>
        <w:tc>
          <w:tcPr>
            <w:tcW w:w="768" w:type="pct"/>
            <w:shd w:val="clear" w:color="auto" w:fill="auto"/>
          </w:tcPr>
          <w:p w14:paraId="66E25662" w14:textId="37EC3A88" w:rsidR="003E3B5C" w:rsidRPr="00AE1B80" w:rsidRDefault="009A332C" w:rsidP="003E3B5C">
            <w:pPr>
              <w:widowControl w:val="0"/>
              <w:tabs>
                <w:tab w:val="clear" w:pos="567"/>
              </w:tabs>
              <w:suppressAutoHyphens w:val="0"/>
              <w:autoSpaceDE w:val="0"/>
              <w:autoSpaceDN w:val="0"/>
              <w:spacing w:line="252" w:lineRule="exact"/>
              <w:ind w:left="106"/>
              <w:rPr>
                <w:rFonts w:eastAsia="Calibri"/>
                <w:color w:val="auto"/>
                <w:sz w:val="22"/>
                <w:szCs w:val="22"/>
                <w:lang w:val="en-US" w:eastAsia="en-US"/>
              </w:rPr>
            </w:pPr>
            <w:r w:rsidRPr="00AE1B80">
              <w:rPr>
                <w:rFonts w:eastAsia="Calibri"/>
                <w:color w:val="auto"/>
                <w:sz w:val="22"/>
                <w:szCs w:val="22"/>
                <w:lang w:val="en-US" w:eastAsia="en-US"/>
              </w:rPr>
              <w:t>111,</w:t>
            </w:r>
            <w:r w:rsidR="003E3B5C" w:rsidRPr="00AE1B80">
              <w:rPr>
                <w:rFonts w:eastAsia="Calibri"/>
                <w:color w:val="auto"/>
                <w:sz w:val="22"/>
                <w:szCs w:val="22"/>
                <w:lang w:val="en-US" w:eastAsia="en-US"/>
              </w:rPr>
              <w:t>2</w:t>
            </w:r>
          </w:p>
          <w:p w14:paraId="1418C87E" w14:textId="32937907" w:rsidR="003E3B5C" w:rsidRPr="00AE1B80" w:rsidRDefault="00E3008C" w:rsidP="003E3B5C">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E1B80">
              <w:rPr>
                <w:rFonts w:eastAsia="Calibri"/>
                <w:color w:val="auto"/>
                <w:sz w:val="22"/>
                <w:szCs w:val="22"/>
                <w:lang w:val="en-US" w:eastAsia="en-US"/>
              </w:rPr>
              <w:t>(22,</w:t>
            </w:r>
            <w:r w:rsidR="003E3B5C" w:rsidRPr="00AE1B80">
              <w:rPr>
                <w:rFonts w:eastAsia="Calibri"/>
                <w:color w:val="auto"/>
                <w:sz w:val="22"/>
                <w:szCs w:val="22"/>
                <w:lang w:val="en-US" w:eastAsia="en-US"/>
              </w:rPr>
              <w:t>9-320)</w:t>
            </w:r>
          </w:p>
        </w:tc>
        <w:tc>
          <w:tcPr>
            <w:tcW w:w="233" w:type="pct"/>
            <w:shd w:val="clear" w:color="auto" w:fill="auto"/>
          </w:tcPr>
          <w:p w14:paraId="15D049EA" w14:textId="77777777" w:rsidR="003E3B5C" w:rsidRPr="00AE1B80" w:rsidRDefault="003E3B5C" w:rsidP="003E3B5C">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E1B80">
              <w:rPr>
                <w:rFonts w:eastAsia="Calibri"/>
                <w:color w:val="auto"/>
                <w:sz w:val="22"/>
                <w:szCs w:val="22"/>
                <w:lang w:val="en-US" w:eastAsia="en-US"/>
              </w:rPr>
              <w:t>13</w:t>
            </w:r>
          </w:p>
        </w:tc>
        <w:tc>
          <w:tcPr>
            <w:tcW w:w="787" w:type="pct"/>
            <w:shd w:val="clear" w:color="auto" w:fill="auto"/>
          </w:tcPr>
          <w:p w14:paraId="72B05C10" w14:textId="6264B4A9" w:rsidR="003E3B5C" w:rsidRPr="00AE1B80" w:rsidRDefault="00E3008C" w:rsidP="003E3B5C">
            <w:pPr>
              <w:widowControl w:val="0"/>
              <w:tabs>
                <w:tab w:val="clear" w:pos="567"/>
              </w:tabs>
              <w:suppressAutoHyphens w:val="0"/>
              <w:autoSpaceDE w:val="0"/>
              <w:autoSpaceDN w:val="0"/>
              <w:spacing w:line="252" w:lineRule="exact"/>
              <w:ind w:left="106"/>
              <w:rPr>
                <w:rFonts w:eastAsia="Calibri"/>
                <w:color w:val="auto"/>
                <w:sz w:val="22"/>
                <w:szCs w:val="22"/>
                <w:lang w:val="en-US" w:eastAsia="en-US"/>
              </w:rPr>
            </w:pPr>
            <w:r w:rsidRPr="00AE1B80">
              <w:rPr>
                <w:rFonts w:eastAsia="Calibri"/>
                <w:color w:val="auto"/>
                <w:sz w:val="22"/>
                <w:szCs w:val="22"/>
                <w:lang w:val="en-US" w:eastAsia="en-US"/>
              </w:rPr>
              <w:t>114,</w:t>
            </w:r>
            <w:r w:rsidR="003E3B5C" w:rsidRPr="00AE1B80">
              <w:rPr>
                <w:rFonts w:eastAsia="Calibri"/>
                <w:color w:val="auto"/>
                <w:sz w:val="22"/>
                <w:szCs w:val="22"/>
                <w:lang w:val="en-US" w:eastAsia="en-US"/>
              </w:rPr>
              <w:t>3</w:t>
            </w:r>
          </w:p>
          <w:p w14:paraId="72C8CBA5" w14:textId="2EF522B1" w:rsidR="003E3B5C" w:rsidRPr="00AE1B80" w:rsidRDefault="00E3008C" w:rsidP="003E3B5C">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E1B80">
              <w:rPr>
                <w:rFonts w:eastAsia="Calibri"/>
                <w:color w:val="auto"/>
                <w:sz w:val="22"/>
                <w:szCs w:val="22"/>
                <w:lang w:val="en-US" w:eastAsia="en-US"/>
              </w:rPr>
              <w:t>(22,</w:t>
            </w:r>
            <w:r w:rsidR="003E3B5C" w:rsidRPr="00AE1B80">
              <w:rPr>
                <w:rFonts w:eastAsia="Calibri"/>
                <w:color w:val="auto"/>
                <w:sz w:val="22"/>
                <w:szCs w:val="22"/>
                <w:lang w:val="en-US" w:eastAsia="en-US"/>
              </w:rPr>
              <w:t>9-346)</w:t>
            </w:r>
          </w:p>
        </w:tc>
        <w:tc>
          <w:tcPr>
            <w:tcW w:w="230" w:type="pct"/>
            <w:shd w:val="clear" w:color="auto" w:fill="auto"/>
          </w:tcPr>
          <w:p w14:paraId="1C396045" w14:textId="77777777" w:rsidR="003E3B5C" w:rsidRPr="00AE1B80" w:rsidRDefault="003E3B5C" w:rsidP="003E3B5C">
            <w:pPr>
              <w:widowControl w:val="0"/>
              <w:tabs>
                <w:tab w:val="clear" w:pos="567"/>
              </w:tabs>
              <w:suppressAutoHyphens w:val="0"/>
              <w:autoSpaceDE w:val="0"/>
              <w:autoSpaceDN w:val="0"/>
              <w:spacing w:line="253" w:lineRule="exact"/>
              <w:ind w:left="88"/>
              <w:jc w:val="center"/>
              <w:rPr>
                <w:rFonts w:eastAsia="Calibri"/>
                <w:color w:val="auto"/>
                <w:sz w:val="22"/>
                <w:szCs w:val="22"/>
                <w:lang w:val="en-US" w:eastAsia="en-US"/>
              </w:rPr>
            </w:pPr>
            <w:r w:rsidRPr="00AE1B80">
              <w:rPr>
                <w:rFonts w:eastAsia="Calibri"/>
                <w:color w:val="auto"/>
                <w:sz w:val="22"/>
                <w:szCs w:val="22"/>
                <w:lang w:val="en-US" w:eastAsia="en-US"/>
              </w:rPr>
              <w:t>12</w:t>
            </w:r>
          </w:p>
        </w:tc>
        <w:tc>
          <w:tcPr>
            <w:tcW w:w="899" w:type="pct"/>
            <w:shd w:val="clear" w:color="auto" w:fill="auto"/>
          </w:tcPr>
          <w:p w14:paraId="602EFD1F" w14:textId="78B7C076" w:rsidR="003E3B5C" w:rsidRPr="00AE1B80" w:rsidRDefault="00E3008C" w:rsidP="003E3B5C">
            <w:pPr>
              <w:widowControl w:val="0"/>
              <w:tabs>
                <w:tab w:val="clear" w:pos="567"/>
              </w:tabs>
              <w:suppressAutoHyphens w:val="0"/>
              <w:autoSpaceDE w:val="0"/>
              <w:autoSpaceDN w:val="0"/>
              <w:spacing w:line="252" w:lineRule="exact"/>
              <w:ind w:left="106"/>
              <w:rPr>
                <w:rFonts w:eastAsia="Calibri"/>
                <w:color w:val="auto"/>
                <w:sz w:val="22"/>
                <w:szCs w:val="22"/>
                <w:lang w:val="en-US" w:eastAsia="en-US"/>
              </w:rPr>
            </w:pPr>
            <w:r w:rsidRPr="00AE1B80">
              <w:rPr>
                <w:rFonts w:eastAsia="Calibri"/>
                <w:color w:val="auto"/>
                <w:sz w:val="22"/>
                <w:szCs w:val="22"/>
                <w:lang w:val="en-US" w:eastAsia="en-US"/>
              </w:rPr>
              <w:t>108,</w:t>
            </w:r>
            <w:r w:rsidR="003E3B5C" w:rsidRPr="00AE1B80">
              <w:rPr>
                <w:rFonts w:eastAsia="Calibri"/>
                <w:color w:val="auto"/>
                <w:sz w:val="22"/>
                <w:szCs w:val="22"/>
                <w:lang w:val="en-US" w:eastAsia="en-US"/>
              </w:rPr>
              <w:t>0</w:t>
            </w:r>
          </w:p>
          <w:p w14:paraId="05B18819" w14:textId="1546543A" w:rsidR="003E3B5C" w:rsidRPr="00AE1B80" w:rsidRDefault="00E3008C" w:rsidP="003E3B5C">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E1B80">
              <w:rPr>
                <w:rFonts w:eastAsia="Calibri"/>
                <w:color w:val="auto"/>
                <w:sz w:val="22"/>
                <w:szCs w:val="22"/>
                <w:lang w:val="en-US" w:eastAsia="en-US"/>
              </w:rPr>
              <w:t>(19.</w:t>
            </w:r>
            <w:r w:rsidR="003E3B5C" w:rsidRPr="00AE1B80">
              <w:rPr>
                <w:rFonts w:eastAsia="Calibri"/>
                <w:color w:val="auto"/>
                <w:sz w:val="22"/>
                <w:szCs w:val="22"/>
                <w:lang w:val="en-US" w:eastAsia="en-US"/>
              </w:rPr>
              <w:t>2-320)</w:t>
            </w:r>
          </w:p>
        </w:tc>
      </w:tr>
      <w:tr w:rsidR="003E3B5C" w:rsidRPr="00452D62" w14:paraId="48F1C176" w14:textId="77777777" w:rsidTr="00752E29">
        <w:trPr>
          <w:trHeight w:val="505"/>
        </w:trPr>
        <w:tc>
          <w:tcPr>
            <w:tcW w:w="704" w:type="pct"/>
            <w:shd w:val="clear" w:color="auto" w:fill="auto"/>
          </w:tcPr>
          <w:p w14:paraId="64D31A99" w14:textId="2CFA18CD" w:rsidR="003E3B5C" w:rsidRPr="00AE1B80" w:rsidRDefault="00E3008C" w:rsidP="003E3B5C">
            <w:pPr>
              <w:widowControl w:val="0"/>
              <w:tabs>
                <w:tab w:val="clear" w:pos="567"/>
              </w:tabs>
              <w:suppressAutoHyphens w:val="0"/>
              <w:autoSpaceDE w:val="0"/>
              <w:autoSpaceDN w:val="0"/>
              <w:spacing w:before="1" w:line="240" w:lineRule="auto"/>
              <w:ind w:left="107"/>
              <w:rPr>
                <w:rFonts w:eastAsia="Calibri"/>
                <w:color w:val="auto"/>
                <w:sz w:val="22"/>
                <w:szCs w:val="22"/>
                <w:lang w:val="en-US" w:eastAsia="en-US"/>
              </w:rPr>
            </w:pPr>
            <w:r w:rsidRPr="00AE1B80">
              <w:rPr>
                <w:rFonts w:eastAsia="Calibri"/>
                <w:color w:val="auto"/>
                <w:sz w:val="22"/>
                <w:szCs w:val="22"/>
                <w:lang w:val="en-US" w:eastAsia="en-US"/>
              </w:rPr>
              <w:t>7-8</w:t>
            </w:r>
            <w:r w:rsidR="005337A6">
              <w:rPr>
                <w:rFonts w:eastAsia="Calibri"/>
                <w:color w:val="auto"/>
                <w:sz w:val="22"/>
                <w:szCs w:val="22"/>
                <w:lang w:val="en-US" w:eastAsia="en-US"/>
              </w:rPr>
              <w:t> </w:t>
            </w:r>
            <w:r w:rsidRPr="00AE1B80">
              <w:rPr>
                <w:rFonts w:eastAsia="Calibri"/>
                <w:color w:val="auto"/>
                <w:sz w:val="22"/>
                <w:szCs w:val="22"/>
                <w:lang w:val="en-US" w:eastAsia="en-US"/>
              </w:rPr>
              <w:t>val po vartojimo</w:t>
            </w:r>
          </w:p>
        </w:tc>
        <w:tc>
          <w:tcPr>
            <w:tcW w:w="298" w:type="pct"/>
            <w:shd w:val="clear" w:color="auto" w:fill="auto"/>
          </w:tcPr>
          <w:p w14:paraId="11B05AB1" w14:textId="77777777" w:rsidR="003E3B5C" w:rsidRPr="00AE1B80" w:rsidRDefault="003E3B5C" w:rsidP="003E3B5C">
            <w:pPr>
              <w:widowControl w:val="0"/>
              <w:tabs>
                <w:tab w:val="clear" w:pos="567"/>
              </w:tabs>
              <w:suppressAutoHyphens w:val="0"/>
              <w:autoSpaceDE w:val="0"/>
              <w:autoSpaceDN w:val="0"/>
              <w:spacing w:before="1" w:line="240" w:lineRule="auto"/>
              <w:ind w:left="107"/>
              <w:rPr>
                <w:rFonts w:eastAsia="Calibri"/>
                <w:color w:val="auto"/>
                <w:sz w:val="22"/>
                <w:szCs w:val="22"/>
                <w:lang w:val="en-US" w:eastAsia="en-US"/>
              </w:rPr>
            </w:pPr>
            <w:r w:rsidRPr="00AE1B80">
              <w:rPr>
                <w:rFonts w:eastAsia="Calibri"/>
                <w:color w:val="auto"/>
                <w:w w:val="99"/>
                <w:sz w:val="22"/>
                <w:szCs w:val="22"/>
                <w:lang w:val="en-US" w:eastAsia="en-US"/>
              </w:rPr>
              <w:t>5</w:t>
            </w:r>
          </w:p>
        </w:tc>
        <w:tc>
          <w:tcPr>
            <w:tcW w:w="784" w:type="pct"/>
            <w:shd w:val="clear" w:color="auto" w:fill="auto"/>
          </w:tcPr>
          <w:p w14:paraId="3593FC7D" w14:textId="488A5389" w:rsidR="003E3B5C" w:rsidRPr="00AE1B80" w:rsidRDefault="00E3008C" w:rsidP="003E3B5C">
            <w:pPr>
              <w:widowControl w:val="0"/>
              <w:tabs>
                <w:tab w:val="clear" w:pos="567"/>
              </w:tabs>
              <w:suppressAutoHyphens w:val="0"/>
              <w:autoSpaceDE w:val="0"/>
              <w:autoSpaceDN w:val="0"/>
              <w:spacing w:before="1" w:line="252" w:lineRule="exact"/>
              <w:ind w:left="107"/>
              <w:rPr>
                <w:rFonts w:eastAsia="Calibri"/>
                <w:color w:val="auto"/>
                <w:sz w:val="22"/>
                <w:szCs w:val="22"/>
                <w:lang w:val="en-US" w:eastAsia="en-US"/>
              </w:rPr>
            </w:pPr>
            <w:r w:rsidRPr="00AE1B80">
              <w:rPr>
                <w:rFonts w:eastAsia="Calibri"/>
                <w:color w:val="auto"/>
                <w:sz w:val="22"/>
                <w:szCs w:val="22"/>
                <w:lang w:val="en-US" w:eastAsia="en-US"/>
              </w:rPr>
              <w:t>33,</w:t>
            </w:r>
            <w:r w:rsidR="003E3B5C" w:rsidRPr="00AE1B80">
              <w:rPr>
                <w:rFonts w:eastAsia="Calibri"/>
                <w:color w:val="auto"/>
                <w:sz w:val="22"/>
                <w:szCs w:val="22"/>
                <w:lang w:val="en-US" w:eastAsia="en-US"/>
              </w:rPr>
              <w:t>2</w:t>
            </w:r>
          </w:p>
          <w:p w14:paraId="094A0621" w14:textId="5D4C911F" w:rsidR="003E3B5C" w:rsidRPr="00AE1B80" w:rsidRDefault="00E3008C" w:rsidP="003E3B5C">
            <w:pPr>
              <w:widowControl w:val="0"/>
              <w:tabs>
                <w:tab w:val="clear" w:pos="567"/>
              </w:tabs>
              <w:suppressAutoHyphens w:val="0"/>
              <w:autoSpaceDE w:val="0"/>
              <w:autoSpaceDN w:val="0"/>
              <w:spacing w:line="233" w:lineRule="exact"/>
              <w:ind w:left="107"/>
              <w:rPr>
                <w:rFonts w:eastAsia="Calibri"/>
                <w:color w:val="auto"/>
                <w:sz w:val="22"/>
                <w:szCs w:val="22"/>
                <w:lang w:val="en-US" w:eastAsia="en-US"/>
              </w:rPr>
            </w:pPr>
            <w:r w:rsidRPr="00AE1B80">
              <w:rPr>
                <w:rFonts w:eastAsia="Calibri"/>
                <w:color w:val="auto"/>
                <w:sz w:val="22"/>
                <w:szCs w:val="22"/>
                <w:lang w:val="en-US" w:eastAsia="en-US"/>
              </w:rPr>
              <w:t>(18,7-99,</w:t>
            </w:r>
            <w:r w:rsidR="003E3B5C" w:rsidRPr="00AE1B80">
              <w:rPr>
                <w:rFonts w:eastAsia="Calibri"/>
                <w:color w:val="auto"/>
                <w:sz w:val="22"/>
                <w:szCs w:val="22"/>
                <w:lang w:val="en-US" w:eastAsia="en-US"/>
              </w:rPr>
              <w:t>7)</w:t>
            </w:r>
          </w:p>
        </w:tc>
        <w:tc>
          <w:tcPr>
            <w:tcW w:w="297" w:type="pct"/>
            <w:shd w:val="clear" w:color="auto" w:fill="auto"/>
          </w:tcPr>
          <w:p w14:paraId="77D9D4BC" w14:textId="77777777" w:rsidR="003E3B5C" w:rsidRPr="00AE1B80" w:rsidRDefault="003E3B5C" w:rsidP="003E3B5C">
            <w:pPr>
              <w:widowControl w:val="0"/>
              <w:tabs>
                <w:tab w:val="clear" w:pos="567"/>
              </w:tabs>
              <w:suppressAutoHyphens w:val="0"/>
              <w:autoSpaceDE w:val="0"/>
              <w:autoSpaceDN w:val="0"/>
              <w:spacing w:before="1" w:line="240" w:lineRule="auto"/>
              <w:ind w:left="107"/>
              <w:rPr>
                <w:rFonts w:eastAsia="Calibri"/>
                <w:color w:val="auto"/>
                <w:sz w:val="22"/>
                <w:szCs w:val="22"/>
                <w:lang w:val="en-US" w:eastAsia="en-US"/>
              </w:rPr>
            </w:pPr>
            <w:r w:rsidRPr="00AE1B80">
              <w:rPr>
                <w:rFonts w:eastAsia="Calibri"/>
                <w:color w:val="auto"/>
                <w:sz w:val="22"/>
                <w:szCs w:val="22"/>
                <w:lang w:val="en-US" w:eastAsia="en-US"/>
              </w:rPr>
              <w:t>23</w:t>
            </w:r>
          </w:p>
        </w:tc>
        <w:tc>
          <w:tcPr>
            <w:tcW w:w="768" w:type="pct"/>
            <w:shd w:val="clear" w:color="auto" w:fill="auto"/>
          </w:tcPr>
          <w:p w14:paraId="7AC32BB3" w14:textId="3A43AA4D" w:rsidR="003E3B5C" w:rsidRPr="00AE1B80" w:rsidRDefault="00E3008C" w:rsidP="003E3B5C">
            <w:pPr>
              <w:widowControl w:val="0"/>
              <w:tabs>
                <w:tab w:val="clear" w:pos="567"/>
              </w:tabs>
              <w:suppressAutoHyphens w:val="0"/>
              <w:autoSpaceDE w:val="0"/>
              <w:autoSpaceDN w:val="0"/>
              <w:spacing w:before="1" w:line="252" w:lineRule="exact"/>
              <w:ind w:left="106"/>
              <w:rPr>
                <w:rFonts w:eastAsia="Calibri"/>
                <w:color w:val="auto"/>
                <w:sz w:val="22"/>
                <w:szCs w:val="22"/>
                <w:lang w:val="en-US" w:eastAsia="en-US"/>
              </w:rPr>
            </w:pPr>
            <w:r w:rsidRPr="00AE1B80">
              <w:rPr>
                <w:rFonts w:eastAsia="Calibri"/>
                <w:color w:val="auto"/>
                <w:sz w:val="22"/>
                <w:szCs w:val="22"/>
                <w:lang w:val="en-US" w:eastAsia="en-US"/>
              </w:rPr>
              <w:t>18,</w:t>
            </w:r>
            <w:r w:rsidR="003E3B5C" w:rsidRPr="00AE1B80">
              <w:rPr>
                <w:rFonts w:eastAsia="Calibri"/>
                <w:color w:val="auto"/>
                <w:sz w:val="22"/>
                <w:szCs w:val="22"/>
                <w:lang w:val="en-US" w:eastAsia="en-US"/>
              </w:rPr>
              <w:t>7</w:t>
            </w:r>
          </w:p>
          <w:p w14:paraId="2C707886" w14:textId="0312D45F" w:rsidR="003E3B5C" w:rsidRPr="00AE1B80" w:rsidRDefault="00E3008C" w:rsidP="003E3B5C">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E1B80">
              <w:rPr>
                <w:rFonts w:eastAsia="Calibri"/>
                <w:color w:val="auto"/>
                <w:sz w:val="22"/>
                <w:szCs w:val="22"/>
                <w:lang w:val="en-US" w:eastAsia="en-US"/>
              </w:rPr>
              <w:t>(10,1-36,</w:t>
            </w:r>
            <w:r w:rsidR="003E3B5C" w:rsidRPr="00AE1B80">
              <w:rPr>
                <w:rFonts w:eastAsia="Calibri"/>
                <w:color w:val="auto"/>
                <w:sz w:val="22"/>
                <w:szCs w:val="22"/>
                <w:lang w:val="en-US" w:eastAsia="en-US"/>
              </w:rPr>
              <w:t>5)</w:t>
            </w:r>
          </w:p>
        </w:tc>
        <w:tc>
          <w:tcPr>
            <w:tcW w:w="233" w:type="pct"/>
            <w:shd w:val="clear" w:color="auto" w:fill="auto"/>
          </w:tcPr>
          <w:p w14:paraId="71CC8850" w14:textId="77777777" w:rsidR="003E3B5C" w:rsidRPr="00AE1B80" w:rsidRDefault="003E3B5C" w:rsidP="003E3B5C">
            <w:pPr>
              <w:widowControl w:val="0"/>
              <w:tabs>
                <w:tab w:val="clear" w:pos="567"/>
              </w:tabs>
              <w:suppressAutoHyphens w:val="0"/>
              <w:autoSpaceDE w:val="0"/>
              <w:autoSpaceDN w:val="0"/>
              <w:spacing w:before="1" w:line="240" w:lineRule="auto"/>
              <w:ind w:left="107"/>
              <w:rPr>
                <w:rFonts w:eastAsia="Calibri"/>
                <w:color w:val="auto"/>
                <w:sz w:val="22"/>
                <w:szCs w:val="22"/>
                <w:lang w:val="en-US" w:eastAsia="en-US"/>
              </w:rPr>
            </w:pPr>
            <w:r w:rsidRPr="00AE1B80">
              <w:rPr>
                <w:rFonts w:eastAsia="Calibri"/>
                <w:color w:val="auto"/>
                <w:sz w:val="22"/>
                <w:szCs w:val="22"/>
                <w:lang w:val="en-US" w:eastAsia="en-US"/>
              </w:rPr>
              <w:t>12</w:t>
            </w:r>
          </w:p>
        </w:tc>
        <w:tc>
          <w:tcPr>
            <w:tcW w:w="787" w:type="pct"/>
            <w:shd w:val="clear" w:color="auto" w:fill="auto"/>
          </w:tcPr>
          <w:p w14:paraId="4E966AE2" w14:textId="104BDACE" w:rsidR="003E3B5C" w:rsidRPr="00AE1B80" w:rsidRDefault="00E3008C" w:rsidP="003E3B5C">
            <w:pPr>
              <w:widowControl w:val="0"/>
              <w:tabs>
                <w:tab w:val="clear" w:pos="567"/>
              </w:tabs>
              <w:suppressAutoHyphens w:val="0"/>
              <w:autoSpaceDE w:val="0"/>
              <w:autoSpaceDN w:val="0"/>
              <w:spacing w:before="1" w:line="252" w:lineRule="exact"/>
              <w:ind w:left="106"/>
              <w:rPr>
                <w:rFonts w:eastAsia="Calibri"/>
                <w:color w:val="auto"/>
                <w:sz w:val="22"/>
                <w:szCs w:val="22"/>
                <w:lang w:val="en-US" w:eastAsia="en-US"/>
              </w:rPr>
            </w:pPr>
            <w:r w:rsidRPr="00AE1B80">
              <w:rPr>
                <w:rFonts w:eastAsia="Calibri"/>
                <w:color w:val="auto"/>
                <w:sz w:val="22"/>
                <w:szCs w:val="22"/>
                <w:lang w:val="en-US" w:eastAsia="en-US"/>
              </w:rPr>
              <w:t>21,</w:t>
            </w:r>
            <w:r w:rsidR="003E3B5C" w:rsidRPr="00AE1B80">
              <w:rPr>
                <w:rFonts w:eastAsia="Calibri"/>
                <w:color w:val="auto"/>
                <w:sz w:val="22"/>
                <w:szCs w:val="22"/>
                <w:lang w:val="en-US" w:eastAsia="en-US"/>
              </w:rPr>
              <w:t>4</w:t>
            </w:r>
          </w:p>
          <w:p w14:paraId="7B8F49D2" w14:textId="1E000641" w:rsidR="003E3B5C" w:rsidRPr="00AE1B80" w:rsidRDefault="00E3008C" w:rsidP="003E3B5C">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E1B80">
              <w:rPr>
                <w:rFonts w:eastAsia="Calibri"/>
                <w:color w:val="auto"/>
                <w:sz w:val="22"/>
                <w:szCs w:val="22"/>
                <w:lang w:val="en-US" w:eastAsia="en-US"/>
              </w:rPr>
              <w:t>(10,5-65,</w:t>
            </w:r>
            <w:r w:rsidR="003E3B5C" w:rsidRPr="00AE1B80">
              <w:rPr>
                <w:rFonts w:eastAsia="Calibri"/>
                <w:color w:val="auto"/>
                <w:sz w:val="22"/>
                <w:szCs w:val="22"/>
                <w:lang w:val="en-US" w:eastAsia="en-US"/>
              </w:rPr>
              <w:t>6)</w:t>
            </w:r>
          </w:p>
        </w:tc>
        <w:tc>
          <w:tcPr>
            <w:tcW w:w="230" w:type="pct"/>
            <w:shd w:val="clear" w:color="auto" w:fill="auto"/>
          </w:tcPr>
          <w:p w14:paraId="431008CE" w14:textId="77777777" w:rsidR="003E3B5C" w:rsidRPr="00AE1B80" w:rsidRDefault="003E3B5C" w:rsidP="003E3B5C">
            <w:pPr>
              <w:widowControl w:val="0"/>
              <w:tabs>
                <w:tab w:val="clear" w:pos="567"/>
              </w:tabs>
              <w:suppressAutoHyphens w:val="0"/>
              <w:autoSpaceDE w:val="0"/>
              <w:autoSpaceDN w:val="0"/>
              <w:spacing w:before="1" w:line="240" w:lineRule="auto"/>
              <w:ind w:left="88"/>
              <w:jc w:val="center"/>
              <w:rPr>
                <w:rFonts w:eastAsia="Calibri"/>
                <w:color w:val="auto"/>
                <w:sz w:val="22"/>
                <w:szCs w:val="22"/>
                <w:lang w:val="en-US" w:eastAsia="en-US"/>
              </w:rPr>
            </w:pPr>
            <w:r w:rsidRPr="00AE1B80">
              <w:rPr>
                <w:rFonts w:eastAsia="Calibri"/>
                <w:color w:val="auto"/>
                <w:sz w:val="22"/>
                <w:szCs w:val="22"/>
                <w:lang w:val="en-US" w:eastAsia="en-US"/>
              </w:rPr>
              <w:t>11</w:t>
            </w:r>
          </w:p>
        </w:tc>
        <w:tc>
          <w:tcPr>
            <w:tcW w:w="899" w:type="pct"/>
            <w:shd w:val="clear" w:color="auto" w:fill="auto"/>
          </w:tcPr>
          <w:p w14:paraId="592EA911" w14:textId="6A46C833" w:rsidR="003E3B5C" w:rsidRPr="00AE1B80" w:rsidRDefault="00E3008C" w:rsidP="003E3B5C">
            <w:pPr>
              <w:widowControl w:val="0"/>
              <w:tabs>
                <w:tab w:val="clear" w:pos="567"/>
              </w:tabs>
              <w:suppressAutoHyphens w:val="0"/>
              <w:autoSpaceDE w:val="0"/>
              <w:autoSpaceDN w:val="0"/>
              <w:spacing w:before="1" w:line="252" w:lineRule="exact"/>
              <w:ind w:left="106"/>
              <w:rPr>
                <w:rFonts w:eastAsia="Calibri"/>
                <w:color w:val="auto"/>
                <w:sz w:val="22"/>
                <w:szCs w:val="22"/>
                <w:lang w:val="en-US" w:eastAsia="en-US"/>
              </w:rPr>
            </w:pPr>
            <w:r w:rsidRPr="00AE1B80">
              <w:rPr>
                <w:rFonts w:eastAsia="Calibri"/>
                <w:color w:val="auto"/>
                <w:sz w:val="22"/>
                <w:szCs w:val="22"/>
                <w:lang w:val="en-US" w:eastAsia="en-US"/>
              </w:rPr>
              <w:t>16,</w:t>
            </w:r>
            <w:r w:rsidR="003E3B5C" w:rsidRPr="00AE1B80">
              <w:rPr>
                <w:rFonts w:eastAsia="Calibri"/>
                <w:color w:val="auto"/>
                <w:sz w:val="22"/>
                <w:szCs w:val="22"/>
                <w:lang w:val="en-US" w:eastAsia="en-US"/>
              </w:rPr>
              <w:t>1</w:t>
            </w:r>
          </w:p>
          <w:p w14:paraId="6E18D008" w14:textId="1229CB3A" w:rsidR="003E3B5C" w:rsidRPr="00AE1B80" w:rsidRDefault="00E3008C" w:rsidP="003E3B5C">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E1B80">
              <w:rPr>
                <w:rFonts w:eastAsia="Calibri"/>
                <w:color w:val="auto"/>
                <w:sz w:val="22"/>
                <w:szCs w:val="22"/>
                <w:lang w:val="en-US" w:eastAsia="en-US"/>
              </w:rPr>
              <w:t>(1,03-33,</w:t>
            </w:r>
            <w:r w:rsidR="003E3B5C" w:rsidRPr="00AE1B80">
              <w:rPr>
                <w:rFonts w:eastAsia="Calibri"/>
                <w:color w:val="auto"/>
                <w:sz w:val="22"/>
                <w:szCs w:val="22"/>
                <w:lang w:val="en-US" w:eastAsia="en-US"/>
              </w:rPr>
              <w:t>6)</w:t>
            </w:r>
          </w:p>
        </w:tc>
      </w:tr>
    </w:tbl>
    <w:p w14:paraId="103F6C4A" w14:textId="77777777" w:rsidR="00752E29" w:rsidRPr="00452D62" w:rsidRDefault="00752E29" w:rsidP="00752E29">
      <w:pPr>
        <w:rPr>
          <w:sz w:val="22"/>
          <w:szCs w:val="22"/>
          <w:u w:val="single"/>
        </w:rPr>
      </w:pPr>
      <w:r w:rsidRPr="00452D62">
        <w:rPr>
          <w:sz w:val="22"/>
          <w:szCs w:val="22"/>
          <w:u w:val="single"/>
        </w:rPr>
        <w:t>VKP = vieną kartą per parą, DKP = du kartus per parą, TKP = tris kartus per parą, NA = neapskaičiuotas</w:t>
      </w:r>
    </w:p>
    <w:p w14:paraId="4C898681" w14:textId="11964778" w:rsidR="003E3B5C" w:rsidRPr="00452D62" w:rsidRDefault="00752E29" w:rsidP="00752E29">
      <w:pPr>
        <w:rPr>
          <w:sz w:val="22"/>
          <w:szCs w:val="22"/>
          <w:u w:val="single"/>
        </w:rPr>
      </w:pPr>
      <w:r w:rsidRPr="00452D62">
        <w:rPr>
          <w:sz w:val="22"/>
          <w:szCs w:val="22"/>
          <w:u w:val="single"/>
        </w:rPr>
        <w:t>Reikšmės, mažesnės už mažiausią kiekybinio nustatymo ribą (MKNR), buvo pakeistos 1/2 MKNR, kad būtų galima atlikti statistinius skaičiavimus (MKNR = 0,5</w:t>
      </w:r>
      <w:r w:rsidR="005337A6">
        <w:rPr>
          <w:sz w:val="22"/>
          <w:szCs w:val="22"/>
          <w:u w:val="single"/>
        </w:rPr>
        <w:t> </w:t>
      </w:r>
      <w:r w:rsidRPr="00452D62">
        <w:rPr>
          <w:sz w:val="22"/>
          <w:szCs w:val="22"/>
          <w:u w:val="single"/>
        </w:rPr>
        <w:t>μg/l).</w:t>
      </w:r>
    </w:p>
    <w:p w14:paraId="7E2D63C8" w14:textId="77777777" w:rsidR="00752E29" w:rsidRPr="00452D62" w:rsidRDefault="00752E29" w:rsidP="00752E29">
      <w:pPr>
        <w:rPr>
          <w:sz w:val="22"/>
          <w:szCs w:val="22"/>
          <w:u w:val="single"/>
        </w:rPr>
      </w:pPr>
    </w:p>
    <w:p w14:paraId="75F496F0" w14:textId="77777777" w:rsidR="00823785" w:rsidRPr="00452D62" w:rsidRDefault="00823785" w:rsidP="00823785">
      <w:pPr>
        <w:rPr>
          <w:sz w:val="22"/>
          <w:szCs w:val="22"/>
        </w:rPr>
      </w:pPr>
      <w:r w:rsidRPr="00452D62">
        <w:rPr>
          <w:sz w:val="22"/>
          <w:szCs w:val="22"/>
          <w:u w:val="single"/>
        </w:rPr>
        <w:t>Santykis tarp farmakokinetikos ir farmakodinamikos</w:t>
      </w:r>
    </w:p>
    <w:p w14:paraId="434F6E0C" w14:textId="77777777" w:rsidR="00823785" w:rsidRPr="00452D62" w:rsidRDefault="00823785" w:rsidP="00823785">
      <w:pPr>
        <w:rPr>
          <w:sz w:val="22"/>
          <w:szCs w:val="22"/>
          <w:u w:val="single"/>
        </w:rPr>
      </w:pPr>
      <w:r w:rsidRPr="00452D62">
        <w:rPr>
          <w:sz w:val="22"/>
          <w:szCs w:val="22"/>
        </w:rPr>
        <w:t xml:space="preserve">Santykis tarp farmakokinetikos ir farmakodinamikos (FK/FD) buvo vertinimas tiriant rivaroksabano koncentraciją kraujo plazmoje ir keletą farmakodinamikos rodmenų (Xa faktoriaus slopinimą, PT, DATL, </w:t>
      </w:r>
      <w:r w:rsidRPr="00452D62">
        <w:rPr>
          <w:i/>
          <w:sz w:val="22"/>
          <w:szCs w:val="22"/>
        </w:rPr>
        <w:t>Heptest</w:t>
      </w:r>
      <w:r w:rsidRPr="00452D62">
        <w:rPr>
          <w:sz w:val="22"/>
          <w:szCs w:val="22"/>
        </w:rPr>
        <w:t>), vartojant įvairias dozes (po 5</w:t>
      </w:r>
      <w:r w:rsidRPr="00452D62">
        <w:rPr>
          <w:sz w:val="22"/>
          <w:szCs w:val="22"/>
        </w:rPr>
        <w:noBreakHyphen/>
        <w:t>30 mg du kartus per parą). Rivaroksabano koncentracijos ir Xa faktoriaus aktyvumo santykį geriausiai apibūdina E</w:t>
      </w:r>
      <w:r w:rsidRPr="00452D62">
        <w:rPr>
          <w:sz w:val="22"/>
          <w:szCs w:val="22"/>
          <w:vertAlign w:val="subscript"/>
        </w:rPr>
        <w:t xml:space="preserve">max </w:t>
      </w:r>
      <w:r w:rsidRPr="00452D62">
        <w:rPr>
          <w:sz w:val="22"/>
          <w:szCs w:val="22"/>
        </w:rPr>
        <w:t xml:space="preserve">modelis. Vertinant PT, geriau duomenis apibūdino tiesinių atkarpų modelis. Priklausomai nuo naudotų skirtingų PT reagentų, pasvirimo reikšmės buvo labai skirtingos. PT tyrimui naudojant </w:t>
      </w:r>
      <w:r w:rsidRPr="00452D62">
        <w:rPr>
          <w:i/>
          <w:iCs/>
          <w:sz w:val="22"/>
          <w:szCs w:val="22"/>
        </w:rPr>
        <w:t>Neoplastin</w:t>
      </w:r>
      <w:r w:rsidRPr="00452D62">
        <w:rPr>
          <w:sz w:val="22"/>
          <w:szCs w:val="22"/>
        </w:rPr>
        <w:t>, bazinis PT buvo apie 13 sekundžių, o pasvirimas buvo apie 3</w:t>
      </w:r>
      <w:r w:rsidRPr="00452D62">
        <w:rPr>
          <w:sz w:val="22"/>
          <w:szCs w:val="22"/>
        </w:rPr>
        <w:noBreakHyphen/>
        <w:t>4 sekundžių/(100 μg/l). FK/FD tyrimų rezultatai II ir III fazės tyrimų metu atitiko duomenis, kurie buvo gauti su sveikais asmenimis.</w:t>
      </w:r>
    </w:p>
    <w:p w14:paraId="593D9BBF" w14:textId="77777777" w:rsidR="00823785" w:rsidRPr="00452D62" w:rsidRDefault="00823785" w:rsidP="00823785">
      <w:pPr>
        <w:rPr>
          <w:sz w:val="22"/>
          <w:szCs w:val="22"/>
          <w:u w:val="single"/>
        </w:rPr>
      </w:pPr>
    </w:p>
    <w:p w14:paraId="2B8CE2FA" w14:textId="77777777" w:rsidR="00823785" w:rsidRPr="00452D62" w:rsidRDefault="00823785" w:rsidP="00823785">
      <w:pPr>
        <w:rPr>
          <w:sz w:val="22"/>
          <w:szCs w:val="22"/>
        </w:rPr>
      </w:pPr>
      <w:r w:rsidRPr="00452D62">
        <w:rPr>
          <w:sz w:val="22"/>
          <w:szCs w:val="22"/>
          <w:u w:val="single"/>
        </w:rPr>
        <w:t>Vaikų populiacija</w:t>
      </w:r>
    </w:p>
    <w:p w14:paraId="255F72C8" w14:textId="3CEE3DD7" w:rsidR="00823785" w:rsidRPr="00452D62" w:rsidRDefault="00823785" w:rsidP="00AE1B80">
      <w:pPr>
        <w:rPr>
          <w:sz w:val="22"/>
          <w:szCs w:val="22"/>
        </w:rPr>
      </w:pPr>
      <w:r w:rsidRPr="00452D62">
        <w:rPr>
          <w:sz w:val="22"/>
          <w:szCs w:val="22"/>
        </w:rPr>
        <w:t xml:space="preserve">Saugumas ir veiksmingumas vaikams ir jaunesniems kaip 18 metų paaugliams </w:t>
      </w:r>
      <w:r w:rsidR="00752E29" w:rsidRPr="00452D62">
        <w:rPr>
          <w:sz w:val="22"/>
          <w:szCs w:val="22"/>
        </w:rPr>
        <w:t>insulto ir sisteminės embolijos profilaktikos, kai pacientams yra su vožtuvų liga nesusijęs prieširdžių virpėjimas, indikacijai neištirti.</w:t>
      </w:r>
    </w:p>
    <w:p w14:paraId="47AB4330" w14:textId="77777777" w:rsidR="00752E29" w:rsidRPr="00452D62" w:rsidRDefault="00752E29" w:rsidP="00C815AC">
      <w:pPr>
        <w:ind w:left="567" w:hanging="567"/>
        <w:rPr>
          <w:iCs/>
          <w:sz w:val="22"/>
          <w:szCs w:val="22"/>
        </w:rPr>
      </w:pPr>
    </w:p>
    <w:p w14:paraId="59C3384C" w14:textId="77777777" w:rsidR="00823785" w:rsidRPr="00452D62" w:rsidRDefault="00823785" w:rsidP="00823785">
      <w:pPr>
        <w:widowControl w:val="0"/>
        <w:suppressAutoHyphens w:val="0"/>
        <w:spacing w:line="240" w:lineRule="auto"/>
        <w:ind w:left="567" w:hanging="567"/>
        <w:outlineLvl w:val="2"/>
        <w:rPr>
          <w:sz w:val="22"/>
          <w:szCs w:val="22"/>
        </w:rPr>
      </w:pPr>
      <w:r w:rsidRPr="00452D62">
        <w:rPr>
          <w:b/>
          <w:color w:val="auto"/>
          <w:kern w:val="28"/>
          <w:sz w:val="22"/>
          <w:szCs w:val="22"/>
          <w:lang w:eastAsia="en-US"/>
        </w:rPr>
        <w:t>5.3</w:t>
      </w:r>
      <w:r w:rsidRPr="00452D62">
        <w:rPr>
          <w:b/>
          <w:color w:val="auto"/>
          <w:kern w:val="28"/>
          <w:sz w:val="22"/>
          <w:szCs w:val="22"/>
          <w:lang w:eastAsia="en-US"/>
        </w:rPr>
        <w:tab/>
        <w:t>Ikiklinikinių saugumo tyrimų duomenys</w:t>
      </w:r>
    </w:p>
    <w:p w14:paraId="3153AD0D" w14:textId="77777777" w:rsidR="00823785" w:rsidRPr="00452D62" w:rsidRDefault="00823785" w:rsidP="00823785">
      <w:pPr>
        <w:rPr>
          <w:sz w:val="22"/>
          <w:szCs w:val="22"/>
        </w:rPr>
      </w:pPr>
    </w:p>
    <w:p w14:paraId="7222A5B5" w14:textId="77777777" w:rsidR="00823785" w:rsidRPr="00452D62" w:rsidRDefault="00823785" w:rsidP="00823785">
      <w:pPr>
        <w:rPr>
          <w:sz w:val="22"/>
          <w:szCs w:val="22"/>
        </w:rPr>
      </w:pPr>
      <w:r w:rsidRPr="00452D62">
        <w:rPr>
          <w:sz w:val="22"/>
          <w:szCs w:val="22"/>
        </w:rPr>
        <w:t>Įprastų farmakologinio saugumo, vienkartinės dozės toksiškumo, fototoksiškumo, genotoksiškumo, galimo kancerogeniškumo ir toksinio poveikio jaunikliams ikiklinikinių tyrimų duomenys specifinio pavojaus žmogui nerodo.</w:t>
      </w:r>
    </w:p>
    <w:p w14:paraId="363C16BA" w14:textId="77777777" w:rsidR="00823785" w:rsidRPr="00452D62" w:rsidRDefault="00823785" w:rsidP="00823785">
      <w:pPr>
        <w:rPr>
          <w:sz w:val="22"/>
          <w:szCs w:val="22"/>
        </w:rPr>
      </w:pPr>
      <w:r w:rsidRPr="00452D62">
        <w:rPr>
          <w:sz w:val="22"/>
          <w:szCs w:val="22"/>
        </w:rPr>
        <w:t>Poveikis, nustatytas kartotinių dozių toksiškumo tyrimų metu, daugiausia pasireiškė dėl nenormaliai stipraus farmakodinaminio rivaroksabano poveikio. Atliekant tyrimus su žiurkėmis, buvo nustatyti didesni IgG ir IgA kiekiai kraujo plazmoje, esant kliniškai reikšmingai ekspozicijai.</w:t>
      </w:r>
    </w:p>
    <w:p w14:paraId="21B18122" w14:textId="77A5D743" w:rsidR="00823785" w:rsidRPr="00452D62" w:rsidRDefault="00823785" w:rsidP="00823785">
      <w:pPr>
        <w:rPr>
          <w:sz w:val="22"/>
          <w:szCs w:val="22"/>
        </w:rPr>
      </w:pPr>
      <w:r w:rsidRPr="00452D62">
        <w:rPr>
          <w:sz w:val="22"/>
          <w:szCs w:val="22"/>
        </w:rPr>
        <w:t>Poveikio žiurkių patinų arba patelių vaisingumui nepastebėta. Tyrimai su gyvūnais parodė toksinį poveikį reprodukcijai, jis buvo susijęs su farmakologiniu rivaroksabano veikimo mechanizmu (pvz., hemoraginės komplikacijos). Nustatytas toksinis poveikis embrionui ir vaisiui (vaisiaus žūtis po implantacijos, kaulėjimo proceso sulėtėjimas arba progresavimas, daugybinės šviesios dėmės kepenyse) ir didesnis bendrųjų sklaidos defektų dažnis bei pakitimai placentoje, esant kliniškai reikšmingoms koncentracijoms kraujo plazmoje. Prenatalinių ir postnatalinių tyrimų su žiurkėmis duomenimis, skiriant vaikingoms patelėms toksiškas dozes, nustatytas sumažėjęs atsivestų jauniklių išgyvenamumas.</w:t>
      </w:r>
    </w:p>
    <w:p w14:paraId="30402F22" w14:textId="7CD325D2" w:rsidR="00AF08F4" w:rsidRPr="00452D62" w:rsidRDefault="00AF08F4" w:rsidP="00823785">
      <w:pPr>
        <w:rPr>
          <w:sz w:val="22"/>
          <w:szCs w:val="22"/>
        </w:rPr>
      </w:pPr>
    </w:p>
    <w:p w14:paraId="4B5EEE70" w14:textId="2825F8D2" w:rsidR="00AF08F4" w:rsidRPr="00452D62" w:rsidRDefault="00AF08F4" w:rsidP="00823785">
      <w:pPr>
        <w:rPr>
          <w:sz w:val="22"/>
          <w:szCs w:val="22"/>
        </w:rPr>
      </w:pPr>
      <w:r w:rsidRPr="00452D62">
        <w:rPr>
          <w:sz w:val="22"/>
          <w:szCs w:val="22"/>
        </w:rPr>
        <w:t>Rivaroksabanas buvo tiriamas su žiurkių jaunikliais, pradedant 4 diena po gimimo ir taikant gydymą ne ilgiau kaip 3 mėnesius. Tyrimas parodė, kad padidėja nuo dozės nepriklausomo kraujavimo atvejų periinsuliarinėje galvos smegenų dalyje. Akivaizdžių duomenų, rodančių specifinį toksinį poveikį tiksliniams organams, nenustatyta.</w:t>
      </w:r>
    </w:p>
    <w:p w14:paraId="31B3B39E" w14:textId="77777777" w:rsidR="00823785" w:rsidRPr="00452D62" w:rsidRDefault="00823785" w:rsidP="00823785">
      <w:pPr>
        <w:rPr>
          <w:sz w:val="22"/>
          <w:szCs w:val="22"/>
        </w:rPr>
      </w:pPr>
    </w:p>
    <w:p w14:paraId="55FE8C10" w14:textId="77777777" w:rsidR="00823785" w:rsidRPr="00452D62" w:rsidRDefault="00823785" w:rsidP="00823785">
      <w:pPr>
        <w:widowControl w:val="0"/>
        <w:suppressAutoHyphens w:val="0"/>
        <w:spacing w:line="240" w:lineRule="auto"/>
        <w:ind w:left="567" w:hanging="567"/>
        <w:outlineLvl w:val="1"/>
        <w:rPr>
          <w:b/>
          <w:bCs/>
          <w:color w:val="auto"/>
          <w:sz w:val="22"/>
          <w:szCs w:val="22"/>
          <w:lang w:eastAsia="en-US"/>
        </w:rPr>
      </w:pPr>
      <w:r w:rsidRPr="00452D62">
        <w:rPr>
          <w:b/>
          <w:bCs/>
          <w:color w:val="auto"/>
          <w:sz w:val="22"/>
          <w:szCs w:val="22"/>
          <w:lang w:eastAsia="en-US"/>
        </w:rPr>
        <w:t>6.</w:t>
      </w:r>
      <w:r w:rsidRPr="00452D62">
        <w:rPr>
          <w:b/>
          <w:bCs/>
          <w:color w:val="auto"/>
          <w:sz w:val="22"/>
          <w:szCs w:val="22"/>
          <w:lang w:eastAsia="en-US"/>
        </w:rPr>
        <w:tab/>
        <w:t>FARMACINĖ INFORMACIJA</w:t>
      </w:r>
    </w:p>
    <w:p w14:paraId="21502F96" w14:textId="77777777" w:rsidR="00823785" w:rsidRPr="00452D62" w:rsidRDefault="00823785" w:rsidP="00823785">
      <w:pPr>
        <w:rPr>
          <w:sz w:val="22"/>
          <w:szCs w:val="22"/>
        </w:rPr>
      </w:pPr>
    </w:p>
    <w:p w14:paraId="1C3E44F1"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6.1</w:t>
      </w:r>
      <w:r w:rsidRPr="00452D62">
        <w:rPr>
          <w:b/>
          <w:color w:val="auto"/>
          <w:kern w:val="28"/>
          <w:sz w:val="22"/>
          <w:szCs w:val="22"/>
          <w:lang w:eastAsia="en-US"/>
        </w:rPr>
        <w:tab/>
        <w:t>Pagalbinių medžiagų sąrašas</w:t>
      </w:r>
    </w:p>
    <w:p w14:paraId="1BE794EA" w14:textId="77777777" w:rsidR="00823785" w:rsidRPr="00452D62" w:rsidRDefault="00823785" w:rsidP="00823785">
      <w:pPr>
        <w:rPr>
          <w:i/>
          <w:sz w:val="22"/>
          <w:szCs w:val="22"/>
        </w:rPr>
      </w:pPr>
    </w:p>
    <w:p w14:paraId="1E4893CD" w14:textId="77777777" w:rsidR="00823785" w:rsidRPr="00452D62" w:rsidRDefault="00823785" w:rsidP="00823785">
      <w:pPr>
        <w:rPr>
          <w:sz w:val="22"/>
          <w:szCs w:val="22"/>
          <w:u w:val="single"/>
        </w:rPr>
      </w:pPr>
      <w:r w:rsidRPr="00452D62">
        <w:rPr>
          <w:sz w:val="22"/>
          <w:szCs w:val="22"/>
          <w:u w:val="single"/>
        </w:rPr>
        <w:t>Tabletės branduolys</w:t>
      </w:r>
    </w:p>
    <w:p w14:paraId="615ADB30" w14:textId="77777777" w:rsidR="00823785" w:rsidRPr="00452D62" w:rsidRDefault="00823785" w:rsidP="00823785">
      <w:pPr>
        <w:rPr>
          <w:sz w:val="22"/>
          <w:szCs w:val="22"/>
        </w:rPr>
      </w:pPr>
      <w:r w:rsidRPr="00452D62">
        <w:rPr>
          <w:sz w:val="22"/>
          <w:szCs w:val="22"/>
        </w:rPr>
        <w:t>Manitolis</w:t>
      </w:r>
    </w:p>
    <w:p w14:paraId="7597B7B8" w14:textId="70098D43" w:rsidR="00823785" w:rsidRPr="00452D62" w:rsidRDefault="00823785" w:rsidP="00823785">
      <w:pPr>
        <w:rPr>
          <w:sz w:val="22"/>
          <w:szCs w:val="22"/>
        </w:rPr>
      </w:pPr>
      <w:r w:rsidRPr="00452D62">
        <w:rPr>
          <w:sz w:val="22"/>
          <w:szCs w:val="22"/>
        </w:rPr>
        <w:t>Mikrokristalinė celiuliozė</w:t>
      </w:r>
    </w:p>
    <w:p w14:paraId="587014A3" w14:textId="77777777" w:rsidR="00823785" w:rsidRPr="00452D62" w:rsidRDefault="00823785" w:rsidP="00823785">
      <w:pPr>
        <w:rPr>
          <w:sz w:val="22"/>
          <w:szCs w:val="22"/>
        </w:rPr>
      </w:pPr>
      <w:r w:rsidRPr="00452D62">
        <w:rPr>
          <w:sz w:val="22"/>
          <w:szCs w:val="22"/>
        </w:rPr>
        <w:t>Makrogolis</w:t>
      </w:r>
    </w:p>
    <w:p w14:paraId="5ED4A8B9" w14:textId="77777777" w:rsidR="00823785" w:rsidRPr="00452D62" w:rsidRDefault="00823785" w:rsidP="00823785">
      <w:pPr>
        <w:rPr>
          <w:sz w:val="22"/>
          <w:szCs w:val="22"/>
        </w:rPr>
      </w:pPr>
      <w:r w:rsidRPr="00452D62">
        <w:rPr>
          <w:sz w:val="22"/>
          <w:szCs w:val="22"/>
        </w:rPr>
        <w:t>Poloksameras</w:t>
      </w:r>
    </w:p>
    <w:p w14:paraId="1F59B68C" w14:textId="397D3C76" w:rsidR="00823785" w:rsidRPr="00452D62" w:rsidRDefault="00823785" w:rsidP="00823785">
      <w:pPr>
        <w:rPr>
          <w:sz w:val="22"/>
          <w:szCs w:val="22"/>
        </w:rPr>
      </w:pPr>
      <w:r w:rsidRPr="00452D62">
        <w:rPr>
          <w:sz w:val="22"/>
          <w:szCs w:val="22"/>
        </w:rPr>
        <w:t>Natrio laurilsulfatas</w:t>
      </w:r>
    </w:p>
    <w:p w14:paraId="4FBCDD91" w14:textId="14855981" w:rsidR="00823785" w:rsidRPr="00452D62" w:rsidRDefault="00823785" w:rsidP="00823785">
      <w:pPr>
        <w:rPr>
          <w:sz w:val="22"/>
          <w:szCs w:val="22"/>
        </w:rPr>
      </w:pPr>
      <w:r w:rsidRPr="00452D62">
        <w:rPr>
          <w:sz w:val="22"/>
          <w:szCs w:val="22"/>
        </w:rPr>
        <w:t>Kroskarmeliozės natrio druska</w:t>
      </w:r>
    </w:p>
    <w:p w14:paraId="1B8CF32C" w14:textId="77777777" w:rsidR="00823785" w:rsidRPr="00452D62" w:rsidRDefault="00823785" w:rsidP="00823785">
      <w:pPr>
        <w:rPr>
          <w:sz w:val="22"/>
          <w:szCs w:val="22"/>
        </w:rPr>
      </w:pPr>
      <w:r w:rsidRPr="00452D62">
        <w:rPr>
          <w:sz w:val="22"/>
          <w:szCs w:val="22"/>
        </w:rPr>
        <w:t>Koloidinis bevandenis silicio dioksidas</w:t>
      </w:r>
    </w:p>
    <w:p w14:paraId="09599D41" w14:textId="77777777" w:rsidR="00823785" w:rsidRPr="00452D62" w:rsidRDefault="00823785" w:rsidP="00823785">
      <w:pPr>
        <w:rPr>
          <w:sz w:val="22"/>
          <w:szCs w:val="22"/>
        </w:rPr>
      </w:pPr>
      <w:r w:rsidRPr="00452D62">
        <w:rPr>
          <w:sz w:val="22"/>
          <w:szCs w:val="22"/>
        </w:rPr>
        <w:t>Natrio stearilfumaratas</w:t>
      </w:r>
    </w:p>
    <w:p w14:paraId="4DF277EA" w14:textId="77777777" w:rsidR="00823785" w:rsidRPr="00452D62" w:rsidRDefault="00823785" w:rsidP="00823785">
      <w:pPr>
        <w:rPr>
          <w:sz w:val="22"/>
          <w:szCs w:val="22"/>
          <w:u w:val="single"/>
        </w:rPr>
      </w:pPr>
    </w:p>
    <w:p w14:paraId="69EF39C7" w14:textId="77777777" w:rsidR="00823785" w:rsidRPr="00452D62" w:rsidRDefault="00823785" w:rsidP="00823785">
      <w:pPr>
        <w:rPr>
          <w:sz w:val="22"/>
          <w:szCs w:val="22"/>
        </w:rPr>
      </w:pPr>
      <w:r w:rsidRPr="00452D62">
        <w:rPr>
          <w:sz w:val="22"/>
          <w:szCs w:val="22"/>
          <w:u w:val="single"/>
        </w:rPr>
        <w:t>Tabletės plėvelė</w:t>
      </w:r>
    </w:p>
    <w:p w14:paraId="1988651B" w14:textId="77777777" w:rsidR="00823785" w:rsidRPr="00452D62" w:rsidRDefault="00823785" w:rsidP="00823785">
      <w:pPr>
        <w:rPr>
          <w:sz w:val="22"/>
          <w:szCs w:val="22"/>
        </w:rPr>
      </w:pPr>
      <w:r w:rsidRPr="00452D62">
        <w:rPr>
          <w:sz w:val="22"/>
          <w:szCs w:val="22"/>
        </w:rPr>
        <w:t>Hipromeliozė</w:t>
      </w:r>
    </w:p>
    <w:p w14:paraId="209B802C" w14:textId="77777777" w:rsidR="00823785" w:rsidRPr="00452D62" w:rsidRDefault="00823785" w:rsidP="00823785">
      <w:pPr>
        <w:rPr>
          <w:sz w:val="22"/>
          <w:szCs w:val="22"/>
        </w:rPr>
      </w:pPr>
      <w:r w:rsidRPr="00452D62">
        <w:rPr>
          <w:sz w:val="22"/>
          <w:szCs w:val="22"/>
        </w:rPr>
        <w:t>Makrogolis</w:t>
      </w:r>
    </w:p>
    <w:p w14:paraId="0890D6C7" w14:textId="77777777" w:rsidR="00823785" w:rsidRPr="00452D62" w:rsidRDefault="00823785" w:rsidP="00823785">
      <w:pPr>
        <w:rPr>
          <w:sz w:val="22"/>
          <w:szCs w:val="22"/>
        </w:rPr>
      </w:pPr>
      <w:r w:rsidRPr="00452D62">
        <w:rPr>
          <w:sz w:val="22"/>
          <w:szCs w:val="22"/>
        </w:rPr>
        <w:t>Titano dioksidas (E171)</w:t>
      </w:r>
    </w:p>
    <w:p w14:paraId="378C4C03" w14:textId="77777777" w:rsidR="00823785" w:rsidRPr="00452D62" w:rsidRDefault="00823785" w:rsidP="00823785">
      <w:pPr>
        <w:rPr>
          <w:sz w:val="22"/>
          <w:szCs w:val="22"/>
        </w:rPr>
      </w:pPr>
      <w:r w:rsidRPr="00452D62">
        <w:rPr>
          <w:sz w:val="22"/>
          <w:szCs w:val="22"/>
        </w:rPr>
        <w:t>Geltonasis geležies oksidas (E172)</w:t>
      </w:r>
    </w:p>
    <w:p w14:paraId="1C4CE004" w14:textId="77777777" w:rsidR="00823785" w:rsidRPr="00452D62" w:rsidRDefault="00823785" w:rsidP="00823785">
      <w:pPr>
        <w:rPr>
          <w:sz w:val="22"/>
          <w:szCs w:val="22"/>
        </w:rPr>
      </w:pPr>
      <w:r w:rsidRPr="00452D62">
        <w:rPr>
          <w:sz w:val="22"/>
          <w:szCs w:val="22"/>
        </w:rPr>
        <w:t>Raudonasis geležies oksidas (E172)</w:t>
      </w:r>
    </w:p>
    <w:p w14:paraId="4C3AB386" w14:textId="77777777" w:rsidR="00823785" w:rsidRPr="00452D62" w:rsidRDefault="00823785" w:rsidP="00823785">
      <w:pPr>
        <w:rPr>
          <w:sz w:val="22"/>
          <w:szCs w:val="22"/>
        </w:rPr>
      </w:pPr>
    </w:p>
    <w:p w14:paraId="0305ECC2"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6.2</w:t>
      </w:r>
      <w:r w:rsidRPr="00452D62">
        <w:rPr>
          <w:b/>
          <w:color w:val="auto"/>
          <w:kern w:val="28"/>
          <w:sz w:val="22"/>
          <w:szCs w:val="22"/>
          <w:lang w:eastAsia="en-US"/>
        </w:rPr>
        <w:tab/>
        <w:t>Nesuderinamumas</w:t>
      </w:r>
    </w:p>
    <w:p w14:paraId="1558701F" w14:textId="77777777" w:rsidR="00823785" w:rsidRPr="00452D62" w:rsidRDefault="00823785" w:rsidP="00823785">
      <w:pPr>
        <w:rPr>
          <w:sz w:val="22"/>
          <w:szCs w:val="22"/>
        </w:rPr>
      </w:pPr>
    </w:p>
    <w:p w14:paraId="7CD21E17" w14:textId="77777777" w:rsidR="00823785" w:rsidRPr="00452D62" w:rsidRDefault="00823785" w:rsidP="00823785">
      <w:pPr>
        <w:rPr>
          <w:sz w:val="22"/>
          <w:szCs w:val="22"/>
        </w:rPr>
      </w:pPr>
      <w:r w:rsidRPr="00452D62">
        <w:rPr>
          <w:sz w:val="22"/>
          <w:szCs w:val="22"/>
        </w:rPr>
        <w:t>Duomenys nebūtini.</w:t>
      </w:r>
    </w:p>
    <w:p w14:paraId="23D95E7B" w14:textId="77777777" w:rsidR="00823785" w:rsidRPr="00452D62" w:rsidRDefault="00823785" w:rsidP="00823785">
      <w:pPr>
        <w:rPr>
          <w:sz w:val="22"/>
          <w:szCs w:val="22"/>
        </w:rPr>
      </w:pPr>
    </w:p>
    <w:p w14:paraId="650A4D8D"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6.3</w:t>
      </w:r>
      <w:r w:rsidRPr="00452D62">
        <w:rPr>
          <w:b/>
          <w:color w:val="auto"/>
          <w:kern w:val="28"/>
          <w:sz w:val="22"/>
          <w:szCs w:val="22"/>
          <w:lang w:eastAsia="en-US"/>
        </w:rPr>
        <w:tab/>
        <w:t>Tinkamumo laikas</w:t>
      </w:r>
    </w:p>
    <w:p w14:paraId="574E1541" w14:textId="77777777" w:rsidR="00823785" w:rsidRPr="00452D62" w:rsidRDefault="00823785" w:rsidP="00823785">
      <w:pPr>
        <w:rPr>
          <w:sz w:val="22"/>
          <w:szCs w:val="22"/>
        </w:rPr>
      </w:pPr>
    </w:p>
    <w:p w14:paraId="69924231" w14:textId="72A4D97D" w:rsidR="00823785" w:rsidRPr="00452D62" w:rsidRDefault="001270B2" w:rsidP="00823785">
      <w:pPr>
        <w:rPr>
          <w:sz w:val="22"/>
          <w:szCs w:val="22"/>
        </w:rPr>
      </w:pPr>
      <w:r w:rsidRPr="00452D62">
        <w:rPr>
          <w:sz w:val="22"/>
          <w:szCs w:val="22"/>
        </w:rPr>
        <w:t>3 metai</w:t>
      </w:r>
    </w:p>
    <w:p w14:paraId="2B023B00" w14:textId="77777777" w:rsidR="00823785" w:rsidRPr="00452D62" w:rsidRDefault="00823785" w:rsidP="00823785">
      <w:pPr>
        <w:rPr>
          <w:sz w:val="22"/>
          <w:szCs w:val="22"/>
        </w:rPr>
      </w:pPr>
    </w:p>
    <w:p w14:paraId="0F9E49BE"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6.4</w:t>
      </w:r>
      <w:r w:rsidRPr="00452D62">
        <w:rPr>
          <w:b/>
          <w:color w:val="auto"/>
          <w:kern w:val="28"/>
          <w:sz w:val="22"/>
          <w:szCs w:val="22"/>
          <w:lang w:eastAsia="en-US"/>
        </w:rPr>
        <w:tab/>
        <w:t>Specialios laikymo sąlygos</w:t>
      </w:r>
    </w:p>
    <w:p w14:paraId="467FB03A" w14:textId="77777777" w:rsidR="00823785" w:rsidRPr="00452D62" w:rsidRDefault="00823785" w:rsidP="00823785">
      <w:pPr>
        <w:ind w:left="567" w:hanging="567"/>
        <w:rPr>
          <w:sz w:val="22"/>
          <w:szCs w:val="22"/>
        </w:rPr>
      </w:pPr>
    </w:p>
    <w:p w14:paraId="2B986F5F" w14:textId="77777777" w:rsidR="00823785" w:rsidRPr="00452D62" w:rsidRDefault="00823785" w:rsidP="00823785">
      <w:pPr>
        <w:rPr>
          <w:sz w:val="22"/>
          <w:szCs w:val="22"/>
        </w:rPr>
      </w:pPr>
      <w:r w:rsidRPr="00452D62">
        <w:rPr>
          <w:sz w:val="22"/>
          <w:szCs w:val="22"/>
        </w:rPr>
        <w:t>Šiam vaistiniam preparatui specialių laikymo sąlygų nereikia.</w:t>
      </w:r>
    </w:p>
    <w:p w14:paraId="11F5623C" w14:textId="77777777" w:rsidR="00823785" w:rsidRPr="00452D62" w:rsidRDefault="00823785" w:rsidP="00823785">
      <w:pPr>
        <w:rPr>
          <w:sz w:val="22"/>
          <w:szCs w:val="22"/>
        </w:rPr>
      </w:pPr>
    </w:p>
    <w:p w14:paraId="0DC65FA8" w14:textId="77777777" w:rsidR="00823785" w:rsidRPr="00452D62" w:rsidRDefault="00823785" w:rsidP="00823785">
      <w:pPr>
        <w:widowControl w:val="0"/>
        <w:suppressAutoHyphens w:val="0"/>
        <w:spacing w:line="240" w:lineRule="auto"/>
        <w:ind w:left="567" w:hanging="567"/>
        <w:outlineLvl w:val="2"/>
        <w:rPr>
          <w:b/>
          <w:sz w:val="22"/>
          <w:szCs w:val="22"/>
        </w:rPr>
      </w:pPr>
      <w:r w:rsidRPr="00452D62">
        <w:rPr>
          <w:b/>
          <w:color w:val="auto"/>
          <w:kern w:val="28"/>
          <w:sz w:val="22"/>
          <w:szCs w:val="22"/>
          <w:lang w:eastAsia="en-US"/>
        </w:rPr>
        <w:t>6.5</w:t>
      </w:r>
      <w:r w:rsidRPr="00452D62">
        <w:rPr>
          <w:b/>
          <w:color w:val="auto"/>
          <w:kern w:val="28"/>
          <w:sz w:val="22"/>
          <w:szCs w:val="22"/>
          <w:lang w:eastAsia="en-US"/>
        </w:rPr>
        <w:tab/>
        <w:t>Talpyklės pobūdis ir jos turinys</w:t>
      </w:r>
    </w:p>
    <w:p w14:paraId="0E506AEE" w14:textId="77777777" w:rsidR="00823785" w:rsidRPr="00452D62" w:rsidRDefault="00823785" w:rsidP="00823785">
      <w:pPr>
        <w:rPr>
          <w:b/>
          <w:sz w:val="22"/>
          <w:szCs w:val="22"/>
        </w:rPr>
      </w:pPr>
    </w:p>
    <w:p w14:paraId="3E22D718" w14:textId="77777777" w:rsidR="00823785" w:rsidRPr="00452D62" w:rsidRDefault="00823785" w:rsidP="00823785">
      <w:pPr>
        <w:rPr>
          <w:sz w:val="22"/>
          <w:szCs w:val="22"/>
        </w:rPr>
      </w:pPr>
      <w:r w:rsidRPr="00452D62">
        <w:rPr>
          <w:sz w:val="22"/>
          <w:szCs w:val="22"/>
        </w:rPr>
        <w:t>Lizdinė plokštelė (PVC/PVDC/PVC permatoma forminė folija//aliuminio folija): 10, 15, 30, 60, 90 ar 100 plėvele dengtų tablečių dėžutėje.</w:t>
      </w:r>
    </w:p>
    <w:p w14:paraId="59A29B1E" w14:textId="77777777" w:rsidR="00823785" w:rsidRPr="00452D62" w:rsidRDefault="00823785" w:rsidP="00823785">
      <w:pPr>
        <w:rPr>
          <w:sz w:val="22"/>
          <w:szCs w:val="22"/>
        </w:rPr>
      </w:pPr>
      <w:r w:rsidRPr="00452D62">
        <w:rPr>
          <w:sz w:val="22"/>
          <w:szCs w:val="22"/>
        </w:rPr>
        <w:t>Perforuota dalomoji lizdinė plokštelė (PVC/PVDC/PVC permatoma forminė folija//aliuminio folija): 10 x 1, 30 x 1, 60 x 1, 90 x 1 ar 100 x 1 plėvele dengtų tablečių dėžutėje.</w:t>
      </w:r>
    </w:p>
    <w:p w14:paraId="4E25C136" w14:textId="77777777" w:rsidR="00823785" w:rsidRPr="00452D62" w:rsidRDefault="00823785" w:rsidP="00823785">
      <w:pPr>
        <w:rPr>
          <w:sz w:val="22"/>
          <w:szCs w:val="22"/>
        </w:rPr>
      </w:pPr>
      <w:r w:rsidRPr="00452D62">
        <w:rPr>
          <w:sz w:val="22"/>
          <w:szCs w:val="22"/>
        </w:rPr>
        <w:t>Lizdinė plokštelė (PVC/PVDC/PVC permatoma forminė folija//aliuminio folija), kalendorinė pakuotė: 14, 28, 42, 56 ar 98 plėvele dengtos tabletės dėžutėje.</w:t>
      </w:r>
    </w:p>
    <w:p w14:paraId="1972235D" w14:textId="77777777" w:rsidR="00823785" w:rsidRPr="00452D62" w:rsidRDefault="00823785" w:rsidP="00823785">
      <w:pPr>
        <w:rPr>
          <w:sz w:val="22"/>
          <w:szCs w:val="22"/>
        </w:rPr>
      </w:pPr>
    </w:p>
    <w:p w14:paraId="4AC36C18" w14:textId="77777777" w:rsidR="00823785" w:rsidRPr="00452D62" w:rsidRDefault="00823785" w:rsidP="00823785">
      <w:pPr>
        <w:rPr>
          <w:sz w:val="22"/>
          <w:szCs w:val="22"/>
        </w:rPr>
      </w:pPr>
      <w:r w:rsidRPr="00452D62">
        <w:rPr>
          <w:sz w:val="22"/>
          <w:szCs w:val="22"/>
        </w:rPr>
        <w:t>Kiekvienoje vaistinio preparato pakuotėje yra paciento budrumo kortelė.</w:t>
      </w:r>
    </w:p>
    <w:p w14:paraId="4616AF3B" w14:textId="77777777" w:rsidR="00823785" w:rsidRPr="00452D62" w:rsidRDefault="00823785" w:rsidP="00823785">
      <w:pPr>
        <w:rPr>
          <w:sz w:val="22"/>
          <w:szCs w:val="22"/>
        </w:rPr>
      </w:pPr>
    </w:p>
    <w:p w14:paraId="6F4D5474" w14:textId="77777777" w:rsidR="00823785" w:rsidRPr="00452D62" w:rsidRDefault="00823785" w:rsidP="00823785">
      <w:pPr>
        <w:rPr>
          <w:sz w:val="22"/>
          <w:szCs w:val="22"/>
        </w:rPr>
      </w:pPr>
      <w:r w:rsidRPr="00452D62">
        <w:rPr>
          <w:sz w:val="22"/>
          <w:szCs w:val="22"/>
        </w:rPr>
        <w:t>Gali būti tiekiamos ne visų dydžių pakuotės.</w:t>
      </w:r>
    </w:p>
    <w:p w14:paraId="04ADE72C" w14:textId="77777777" w:rsidR="00823785" w:rsidRPr="00452D62" w:rsidRDefault="00823785" w:rsidP="00823785">
      <w:pPr>
        <w:rPr>
          <w:sz w:val="22"/>
          <w:szCs w:val="22"/>
        </w:rPr>
      </w:pPr>
    </w:p>
    <w:p w14:paraId="1E8A2E5F"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6.6</w:t>
      </w:r>
      <w:r w:rsidRPr="00452D62">
        <w:rPr>
          <w:b/>
          <w:color w:val="auto"/>
          <w:kern w:val="28"/>
          <w:sz w:val="22"/>
          <w:szCs w:val="22"/>
          <w:lang w:eastAsia="en-US"/>
        </w:rPr>
        <w:tab/>
        <w:t>Specialūs reikalavimai atliekoms tvarkyti ir vaistiniam preparatui ruošti</w:t>
      </w:r>
    </w:p>
    <w:p w14:paraId="3621AC82" w14:textId="77777777" w:rsidR="00823785" w:rsidRPr="00452D62" w:rsidRDefault="00823785" w:rsidP="00823785">
      <w:pPr>
        <w:rPr>
          <w:sz w:val="22"/>
          <w:szCs w:val="22"/>
        </w:rPr>
      </w:pPr>
    </w:p>
    <w:p w14:paraId="44E3C155" w14:textId="77777777" w:rsidR="00823785" w:rsidRPr="00452D62" w:rsidRDefault="00823785" w:rsidP="00823785">
      <w:pPr>
        <w:rPr>
          <w:sz w:val="22"/>
          <w:szCs w:val="22"/>
        </w:rPr>
      </w:pPr>
      <w:r w:rsidRPr="00452D62">
        <w:rPr>
          <w:sz w:val="22"/>
          <w:szCs w:val="22"/>
        </w:rPr>
        <w:t>Specialių reikalavimų atliekoms tvarkyti nėra.</w:t>
      </w:r>
    </w:p>
    <w:p w14:paraId="707CA601" w14:textId="77777777" w:rsidR="00823785" w:rsidRPr="00452D62" w:rsidRDefault="00823785" w:rsidP="00823785">
      <w:pPr>
        <w:rPr>
          <w:sz w:val="22"/>
          <w:szCs w:val="22"/>
        </w:rPr>
      </w:pPr>
    </w:p>
    <w:p w14:paraId="78F9632E" w14:textId="77777777" w:rsidR="00823785" w:rsidRPr="00452D62" w:rsidRDefault="00823785" w:rsidP="00823785">
      <w:pPr>
        <w:rPr>
          <w:sz w:val="22"/>
          <w:szCs w:val="22"/>
          <w:u w:val="single"/>
        </w:rPr>
      </w:pPr>
      <w:r w:rsidRPr="00452D62">
        <w:rPr>
          <w:sz w:val="22"/>
          <w:szCs w:val="22"/>
          <w:u w:val="single"/>
        </w:rPr>
        <w:t>Tablečių smulkinimas</w:t>
      </w:r>
    </w:p>
    <w:p w14:paraId="125ECE6E" w14:textId="77777777" w:rsidR="00823785" w:rsidRPr="00452D62" w:rsidRDefault="00823785" w:rsidP="00823785">
      <w:pPr>
        <w:rPr>
          <w:sz w:val="22"/>
          <w:szCs w:val="22"/>
        </w:rPr>
      </w:pPr>
      <w:r w:rsidRPr="00452D62">
        <w:rPr>
          <w:sz w:val="22"/>
          <w:szCs w:val="22"/>
        </w:rPr>
        <w:t>Rivaroksabano tabletes galima susmulkinti ir, sumaišius su 50 ml vandens, vartoti per nazogastrinį vamzdelį arba skrandžio maitinimo vamzdelį, įsitikinus, kad vamzdelis yra tinkamai įstatytas į skrandį. Po to vamzdelį reikia praskalauti vandeniu. Kadangi rivaroksabano absorbcija priklauso nuo veikliosios medžiagos atpalaidavimo vietos, reikia vengti rivaroksabaną skirti distaliau skrandžio, nes dėl to jis gali būti prasčiau absorbuojamas, ir dėl to gali sumažėti veikliosios medžiagos ekspozicija. Pavartojus 15 mg ar 20 mg tablečių, enterinis maitinimas iškart nėra būtinas.</w:t>
      </w:r>
    </w:p>
    <w:p w14:paraId="5A220908" w14:textId="77777777" w:rsidR="00823785" w:rsidRPr="00452D62" w:rsidRDefault="00823785" w:rsidP="00823785">
      <w:pPr>
        <w:rPr>
          <w:sz w:val="22"/>
          <w:szCs w:val="22"/>
        </w:rPr>
      </w:pPr>
    </w:p>
    <w:p w14:paraId="66C16526" w14:textId="77777777" w:rsidR="00823785" w:rsidRPr="00452D62" w:rsidRDefault="00823785" w:rsidP="00823785">
      <w:pPr>
        <w:rPr>
          <w:sz w:val="22"/>
          <w:szCs w:val="22"/>
        </w:rPr>
      </w:pPr>
    </w:p>
    <w:p w14:paraId="24525C91" w14:textId="77777777" w:rsidR="00823785" w:rsidRPr="00452D62" w:rsidRDefault="00823785" w:rsidP="00823785">
      <w:pPr>
        <w:rPr>
          <w:sz w:val="22"/>
          <w:szCs w:val="22"/>
        </w:rPr>
      </w:pPr>
    </w:p>
    <w:p w14:paraId="06B5E086" w14:textId="77777777" w:rsidR="00823785" w:rsidRPr="00452D62" w:rsidRDefault="00823785" w:rsidP="00823785">
      <w:pPr>
        <w:widowControl w:val="0"/>
        <w:suppressAutoHyphens w:val="0"/>
        <w:spacing w:line="240" w:lineRule="auto"/>
        <w:ind w:left="567" w:hanging="567"/>
        <w:outlineLvl w:val="1"/>
        <w:rPr>
          <w:b/>
          <w:bCs/>
          <w:color w:val="auto"/>
          <w:sz w:val="22"/>
          <w:szCs w:val="22"/>
          <w:lang w:eastAsia="en-US"/>
        </w:rPr>
      </w:pPr>
      <w:r w:rsidRPr="00452D62">
        <w:rPr>
          <w:b/>
          <w:bCs/>
          <w:color w:val="auto"/>
          <w:sz w:val="22"/>
          <w:szCs w:val="22"/>
          <w:lang w:eastAsia="en-US"/>
        </w:rPr>
        <w:t>7.</w:t>
      </w:r>
      <w:r w:rsidRPr="00452D62">
        <w:rPr>
          <w:b/>
          <w:bCs/>
          <w:color w:val="auto"/>
          <w:sz w:val="22"/>
          <w:szCs w:val="22"/>
          <w:lang w:eastAsia="en-US"/>
        </w:rPr>
        <w:tab/>
        <w:t>REGISTRUOTOJAS</w:t>
      </w:r>
    </w:p>
    <w:p w14:paraId="0A7330DA" w14:textId="77777777" w:rsidR="00823785" w:rsidRPr="00452D62" w:rsidRDefault="00823785" w:rsidP="00823785">
      <w:pPr>
        <w:rPr>
          <w:sz w:val="22"/>
          <w:szCs w:val="22"/>
        </w:rPr>
      </w:pPr>
    </w:p>
    <w:p w14:paraId="0025C935" w14:textId="1AC74776" w:rsidR="00823785" w:rsidRPr="00452D62" w:rsidRDefault="00823785" w:rsidP="00823785">
      <w:pPr>
        <w:widowControl w:val="0"/>
        <w:tabs>
          <w:tab w:val="clear" w:pos="567"/>
          <w:tab w:val="left" w:pos="540"/>
        </w:tabs>
        <w:suppressAutoHyphens w:val="0"/>
        <w:spacing w:line="240" w:lineRule="auto"/>
        <w:rPr>
          <w:rFonts w:eastAsia="Calibri"/>
          <w:color w:val="auto"/>
          <w:sz w:val="22"/>
          <w:szCs w:val="22"/>
          <w:lang w:eastAsia="en-US"/>
        </w:rPr>
      </w:pPr>
      <w:r w:rsidRPr="00452D62">
        <w:rPr>
          <w:rFonts w:eastAsia="Calibri"/>
          <w:color w:val="auto"/>
          <w:sz w:val="22"/>
          <w:szCs w:val="22"/>
          <w:lang w:eastAsia="en-US"/>
        </w:rPr>
        <w:t>KRKA d.d. Novo mesto</w:t>
      </w:r>
    </w:p>
    <w:p w14:paraId="44A49799" w14:textId="77777777" w:rsidR="00823785" w:rsidRPr="00452D62" w:rsidRDefault="00823785" w:rsidP="00823785">
      <w:pPr>
        <w:widowControl w:val="0"/>
        <w:tabs>
          <w:tab w:val="clear" w:pos="567"/>
          <w:tab w:val="left" w:pos="540"/>
        </w:tabs>
        <w:suppressAutoHyphens w:val="0"/>
        <w:spacing w:line="240" w:lineRule="auto"/>
        <w:rPr>
          <w:rFonts w:eastAsia="Calibri"/>
          <w:color w:val="auto"/>
          <w:sz w:val="22"/>
          <w:szCs w:val="22"/>
          <w:lang w:eastAsia="en-US"/>
        </w:rPr>
      </w:pPr>
      <w:r w:rsidRPr="00452D62">
        <w:rPr>
          <w:rFonts w:eastAsia="Calibri"/>
          <w:color w:val="auto"/>
          <w:sz w:val="22"/>
          <w:szCs w:val="22"/>
          <w:lang w:eastAsia="en-US"/>
        </w:rPr>
        <w:t>Šmarješka cesta 6</w:t>
      </w:r>
    </w:p>
    <w:p w14:paraId="79589BE7" w14:textId="77777777" w:rsidR="00823785" w:rsidRPr="00452D62" w:rsidRDefault="00823785" w:rsidP="00823785">
      <w:pPr>
        <w:widowControl w:val="0"/>
        <w:tabs>
          <w:tab w:val="clear" w:pos="567"/>
          <w:tab w:val="left" w:pos="540"/>
        </w:tabs>
        <w:suppressAutoHyphens w:val="0"/>
        <w:spacing w:line="240" w:lineRule="auto"/>
        <w:rPr>
          <w:rFonts w:eastAsia="Calibri"/>
          <w:color w:val="auto"/>
          <w:sz w:val="22"/>
          <w:szCs w:val="22"/>
          <w:lang w:eastAsia="en-US"/>
        </w:rPr>
      </w:pPr>
      <w:r w:rsidRPr="00452D62">
        <w:rPr>
          <w:rFonts w:eastAsia="Calibri"/>
          <w:color w:val="auto"/>
          <w:sz w:val="22"/>
          <w:szCs w:val="22"/>
          <w:lang w:eastAsia="en-US"/>
        </w:rPr>
        <w:t>8501 Novo mesto</w:t>
      </w:r>
    </w:p>
    <w:p w14:paraId="5761D48B" w14:textId="77777777" w:rsidR="00823785" w:rsidRPr="00452D62" w:rsidRDefault="00823785" w:rsidP="00823785">
      <w:pPr>
        <w:widowControl w:val="0"/>
        <w:tabs>
          <w:tab w:val="clear" w:pos="567"/>
          <w:tab w:val="left" w:pos="540"/>
        </w:tabs>
        <w:suppressAutoHyphens w:val="0"/>
        <w:spacing w:line="240" w:lineRule="auto"/>
        <w:rPr>
          <w:rFonts w:eastAsia="Calibri"/>
          <w:color w:val="auto"/>
          <w:sz w:val="22"/>
          <w:szCs w:val="22"/>
          <w:lang w:eastAsia="en-US"/>
        </w:rPr>
      </w:pPr>
      <w:r w:rsidRPr="00452D62">
        <w:rPr>
          <w:rFonts w:eastAsia="Calibri"/>
          <w:color w:val="auto"/>
          <w:sz w:val="22"/>
          <w:szCs w:val="22"/>
          <w:lang w:eastAsia="en-US"/>
        </w:rPr>
        <w:t>Slovėnija</w:t>
      </w:r>
    </w:p>
    <w:p w14:paraId="5F23BA6D" w14:textId="77777777" w:rsidR="00823785" w:rsidRPr="00452D62" w:rsidRDefault="00823785" w:rsidP="00823785">
      <w:pPr>
        <w:rPr>
          <w:sz w:val="22"/>
          <w:szCs w:val="22"/>
        </w:rPr>
      </w:pPr>
    </w:p>
    <w:p w14:paraId="78B3D0F2" w14:textId="77777777" w:rsidR="00823785" w:rsidRPr="00452D62" w:rsidRDefault="00823785" w:rsidP="00823785">
      <w:pPr>
        <w:rPr>
          <w:sz w:val="22"/>
          <w:szCs w:val="22"/>
        </w:rPr>
      </w:pPr>
    </w:p>
    <w:p w14:paraId="2563BC97" w14:textId="77777777" w:rsidR="00823785" w:rsidRPr="00452D62" w:rsidRDefault="00823785" w:rsidP="00823785">
      <w:pPr>
        <w:widowControl w:val="0"/>
        <w:suppressAutoHyphens w:val="0"/>
        <w:spacing w:line="240" w:lineRule="auto"/>
        <w:ind w:left="567" w:hanging="567"/>
        <w:outlineLvl w:val="1"/>
        <w:rPr>
          <w:b/>
          <w:bCs/>
          <w:color w:val="auto"/>
          <w:sz w:val="22"/>
          <w:szCs w:val="22"/>
          <w:lang w:eastAsia="en-US"/>
        </w:rPr>
      </w:pPr>
      <w:r w:rsidRPr="00452D62">
        <w:rPr>
          <w:b/>
          <w:bCs/>
          <w:color w:val="auto"/>
          <w:sz w:val="22"/>
          <w:szCs w:val="22"/>
          <w:lang w:eastAsia="en-US"/>
        </w:rPr>
        <w:t>8.</w:t>
      </w:r>
      <w:r w:rsidRPr="00452D62">
        <w:rPr>
          <w:b/>
          <w:bCs/>
          <w:color w:val="auto"/>
          <w:sz w:val="22"/>
          <w:szCs w:val="22"/>
          <w:lang w:eastAsia="en-US"/>
        </w:rPr>
        <w:tab/>
        <w:t xml:space="preserve">REGISTRACIJOS PAŽYMĖJIMO NUMERIS (-IAI) </w:t>
      </w:r>
    </w:p>
    <w:p w14:paraId="7E46BD40" w14:textId="77777777" w:rsidR="00823785" w:rsidRPr="00452D62" w:rsidRDefault="00823785" w:rsidP="00823785">
      <w:pPr>
        <w:rPr>
          <w:sz w:val="22"/>
          <w:szCs w:val="22"/>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3020"/>
        <w:gridCol w:w="3020"/>
      </w:tblGrid>
      <w:tr w:rsidR="00823785" w:rsidRPr="00452D62" w14:paraId="2F82B4F4" w14:textId="77777777" w:rsidTr="006453B9">
        <w:tc>
          <w:tcPr>
            <w:tcW w:w="3020" w:type="dxa"/>
          </w:tcPr>
          <w:p w14:paraId="7AD73CA1" w14:textId="77777777" w:rsidR="00823785" w:rsidRPr="00B13AD4" w:rsidRDefault="00823785" w:rsidP="006453B9">
            <w:pPr>
              <w:rPr>
                <w:rFonts w:ascii="Times New Roman" w:hAnsi="Times New Roman"/>
                <w:sz w:val="22"/>
                <w:szCs w:val="22"/>
                <w:u w:val="single"/>
              </w:rPr>
            </w:pPr>
            <w:r w:rsidRPr="00B13AD4">
              <w:rPr>
                <w:rFonts w:ascii="Times New Roman" w:hAnsi="Times New Roman"/>
                <w:sz w:val="22"/>
                <w:szCs w:val="22"/>
                <w:u w:val="single"/>
              </w:rPr>
              <w:t>lizdinė plokštelė</w:t>
            </w:r>
          </w:p>
          <w:p w14:paraId="2E3DDA69" w14:textId="77777777" w:rsidR="00823785" w:rsidRPr="00B13AD4" w:rsidRDefault="00823785" w:rsidP="006453B9">
            <w:pPr>
              <w:rPr>
                <w:rFonts w:ascii="Times New Roman" w:hAnsi="Times New Roman"/>
                <w:sz w:val="22"/>
                <w:szCs w:val="22"/>
              </w:rPr>
            </w:pPr>
            <w:r w:rsidRPr="00B13AD4">
              <w:rPr>
                <w:rFonts w:ascii="Times New Roman" w:hAnsi="Times New Roman"/>
                <w:sz w:val="22"/>
                <w:szCs w:val="22"/>
              </w:rPr>
              <w:t>LT/1/20/4560/001 – N10</w:t>
            </w:r>
          </w:p>
          <w:p w14:paraId="15F0B39B" w14:textId="77777777" w:rsidR="00823785" w:rsidRPr="00B13AD4" w:rsidRDefault="00823785" w:rsidP="006453B9">
            <w:pPr>
              <w:rPr>
                <w:rFonts w:ascii="Times New Roman" w:hAnsi="Times New Roman"/>
                <w:sz w:val="22"/>
                <w:szCs w:val="22"/>
              </w:rPr>
            </w:pPr>
            <w:r w:rsidRPr="00B13AD4">
              <w:rPr>
                <w:rFonts w:ascii="Times New Roman" w:hAnsi="Times New Roman"/>
                <w:sz w:val="22"/>
                <w:szCs w:val="22"/>
              </w:rPr>
              <w:t>LT/1/20/4560/002 – N15</w:t>
            </w:r>
          </w:p>
          <w:p w14:paraId="4E270365" w14:textId="77777777" w:rsidR="00823785" w:rsidRPr="00B13AD4" w:rsidRDefault="00823785" w:rsidP="006453B9">
            <w:pPr>
              <w:rPr>
                <w:rFonts w:ascii="Times New Roman" w:hAnsi="Times New Roman"/>
                <w:sz w:val="22"/>
                <w:szCs w:val="22"/>
              </w:rPr>
            </w:pPr>
            <w:r w:rsidRPr="00B13AD4">
              <w:rPr>
                <w:rFonts w:ascii="Times New Roman" w:hAnsi="Times New Roman"/>
                <w:sz w:val="22"/>
                <w:szCs w:val="22"/>
              </w:rPr>
              <w:t>LT/1/20/4560/003 – N30</w:t>
            </w:r>
          </w:p>
          <w:p w14:paraId="49BA1B79" w14:textId="77777777" w:rsidR="00823785" w:rsidRPr="00B13AD4" w:rsidRDefault="00823785" w:rsidP="006453B9">
            <w:pPr>
              <w:rPr>
                <w:rFonts w:ascii="Times New Roman" w:hAnsi="Times New Roman"/>
                <w:sz w:val="22"/>
                <w:szCs w:val="22"/>
              </w:rPr>
            </w:pPr>
            <w:r w:rsidRPr="00B13AD4">
              <w:rPr>
                <w:rFonts w:ascii="Times New Roman" w:hAnsi="Times New Roman"/>
                <w:sz w:val="22"/>
                <w:szCs w:val="22"/>
              </w:rPr>
              <w:t>LT/1/20/4560/004 – N60</w:t>
            </w:r>
          </w:p>
          <w:p w14:paraId="03BCCC60" w14:textId="77777777" w:rsidR="00823785" w:rsidRPr="00B13AD4" w:rsidRDefault="00823785" w:rsidP="006453B9">
            <w:pPr>
              <w:rPr>
                <w:rFonts w:ascii="Times New Roman" w:hAnsi="Times New Roman"/>
                <w:sz w:val="22"/>
                <w:szCs w:val="22"/>
              </w:rPr>
            </w:pPr>
            <w:r w:rsidRPr="00B13AD4">
              <w:rPr>
                <w:rFonts w:ascii="Times New Roman" w:hAnsi="Times New Roman"/>
                <w:sz w:val="22"/>
                <w:szCs w:val="22"/>
              </w:rPr>
              <w:t>LT/1/20/4560/005 – N90</w:t>
            </w:r>
          </w:p>
          <w:p w14:paraId="7CF92310" w14:textId="77777777" w:rsidR="00823785" w:rsidRPr="00B13AD4" w:rsidRDefault="00823785" w:rsidP="006453B9">
            <w:pPr>
              <w:rPr>
                <w:rFonts w:ascii="Times New Roman" w:hAnsi="Times New Roman"/>
                <w:sz w:val="22"/>
                <w:szCs w:val="22"/>
              </w:rPr>
            </w:pPr>
            <w:r w:rsidRPr="00B13AD4">
              <w:rPr>
                <w:rFonts w:ascii="Times New Roman" w:hAnsi="Times New Roman"/>
                <w:sz w:val="22"/>
                <w:szCs w:val="22"/>
              </w:rPr>
              <w:t>LT/1/20/4560/006 – N100</w:t>
            </w:r>
          </w:p>
        </w:tc>
        <w:tc>
          <w:tcPr>
            <w:tcW w:w="3020" w:type="dxa"/>
          </w:tcPr>
          <w:p w14:paraId="7CC312BF" w14:textId="77777777" w:rsidR="00823785" w:rsidRPr="00B13AD4" w:rsidRDefault="00823785" w:rsidP="006453B9">
            <w:pPr>
              <w:rPr>
                <w:rFonts w:ascii="Times New Roman" w:hAnsi="Times New Roman"/>
                <w:sz w:val="22"/>
                <w:szCs w:val="22"/>
                <w:u w:val="single"/>
              </w:rPr>
            </w:pPr>
            <w:r w:rsidRPr="00B13AD4">
              <w:rPr>
                <w:rFonts w:ascii="Times New Roman" w:hAnsi="Times New Roman"/>
                <w:sz w:val="22"/>
                <w:szCs w:val="22"/>
                <w:u w:val="single"/>
              </w:rPr>
              <w:t>dalomoji lizdinė plokštelė</w:t>
            </w:r>
          </w:p>
          <w:p w14:paraId="62B325FE" w14:textId="77777777" w:rsidR="00823785" w:rsidRPr="00B13AD4" w:rsidRDefault="00823785" w:rsidP="006453B9">
            <w:pPr>
              <w:rPr>
                <w:rFonts w:ascii="Times New Roman" w:hAnsi="Times New Roman"/>
                <w:sz w:val="22"/>
                <w:szCs w:val="22"/>
              </w:rPr>
            </w:pPr>
            <w:r w:rsidRPr="00B13AD4">
              <w:rPr>
                <w:rFonts w:ascii="Times New Roman" w:hAnsi="Times New Roman"/>
                <w:sz w:val="22"/>
                <w:szCs w:val="22"/>
              </w:rPr>
              <w:t>LT/1/20/4560/007 – N10x1</w:t>
            </w:r>
          </w:p>
          <w:p w14:paraId="0DC55DD0" w14:textId="77777777" w:rsidR="00823785" w:rsidRPr="00B13AD4" w:rsidRDefault="00823785" w:rsidP="006453B9">
            <w:pPr>
              <w:rPr>
                <w:rFonts w:ascii="Times New Roman" w:hAnsi="Times New Roman"/>
                <w:sz w:val="22"/>
                <w:szCs w:val="22"/>
              </w:rPr>
            </w:pPr>
            <w:r w:rsidRPr="00B13AD4">
              <w:rPr>
                <w:rFonts w:ascii="Times New Roman" w:hAnsi="Times New Roman"/>
                <w:sz w:val="22"/>
                <w:szCs w:val="22"/>
              </w:rPr>
              <w:t>LT/1/20/4560/008 – N30x1</w:t>
            </w:r>
          </w:p>
          <w:p w14:paraId="67ACB48D" w14:textId="77777777" w:rsidR="00823785" w:rsidRPr="00B13AD4" w:rsidRDefault="00823785" w:rsidP="006453B9">
            <w:pPr>
              <w:rPr>
                <w:rFonts w:ascii="Times New Roman" w:hAnsi="Times New Roman"/>
                <w:sz w:val="22"/>
                <w:szCs w:val="22"/>
              </w:rPr>
            </w:pPr>
            <w:r w:rsidRPr="00B13AD4">
              <w:rPr>
                <w:rFonts w:ascii="Times New Roman" w:hAnsi="Times New Roman"/>
                <w:sz w:val="22"/>
                <w:szCs w:val="22"/>
              </w:rPr>
              <w:t>LT/1/20/4560/009 – N60x1</w:t>
            </w:r>
          </w:p>
          <w:p w14:paraId="679763B5" w14:textId="77777777" w:rsidR="00823785" w:rsidRPr="00B13AD4" w:rsidRDefault="00823785" w:rsidP="006453B9">
            <w:pPr>
              <w:rPr>
                <w:rFonts w:ascii="Times New Roman" w:hAnsi="Times New Roman"/>
                <w:sz w:val="22"/>
                <w:szCs w:val="22"/>
              </w:rPr>
            </w:pPr>
            <w:r w:rsidRPr="00B13AD4">
              <w:rPr>
                <w:rFonts w:ascii="Times New Roman" w:hAnsi="Times New Roman"/>
                <w:sz w:val="22"/>
                <w:szCs w:val="22"/>
              </w:rPr>
              <w:t>LT/1/20/4560/010 – N90x1</w:t>
            </w:r>
          </w:p>
          <w:p w14:paraId="35D8F278" w14:textId="77777777" w:rsidR="00823785" w:rsidRPr="00B13AD4" w:rsidRDefault="00823785" w:rsidP="006453B9">
            <w:pPr>
              <w:rPr>
                <w:rFonts w:ascii="Times New Roman" w:hAnsi="Times New Roman"/>
                <w:sz w:val="22"/>
                <w:szCs w:val="22"/>
              </w:rPr>
            </w:pPr>
            <w:r w:rsidRPr="00B13AD4">
              <w:rPr>
                <w:rFonts w:ascii="Times New Roman" w:hAnsi="Times New Roman"/>
                <w:sz w:val="22"/>
                <w:szCs w:val="22"/>
              </w:rPr>
              <w:t>LT/1/20/4560/011 – N100x1</w:t>
            </w:r>
          </w:p>
        </w:tc>
        <w:tc>
          <w:tcPr>
            <w:tcW w:w="3020" w:type="dxa"/>
          </w:tcPr>
          <w:p w14:paraId="5EDAA5A8" w14:textId="77777777" w:rsidR="00823785" w:rsidRPr="00B13AD4" w:rsidRDefault="00823785" w:rsidP="006453B9">
            <w:pPr>
              <w:rPr>
                <w:rFonts w:ascii="Times New Roman" w:hAnsi="Times New Roman"/>
                <w:sz w:val="22"/>
                <w:szCs w:val="22"/>
                <w:u w:val="single"/>
              </w:rPr>
            </w:pPr>
            <w:r w:rsidRPr="00B13AD4">
              <w:rPr>
                <w:rFonts w:ascii="Times New Roman" w:hAnsi="Times New Roman"/>
                <w:sz w:val="22"/>
                <w:szCs w:val="22"/>
                <w:u w:val="single"/>
              </w:rPr>
              <w:t>lizdinė plokštelė (kalendorinė)</w:t>
            </w:r>
          </w:p>
          <w:p w14:paraId="0512037D" w14:textId="77777777" w:rsidR="00823785" w:rsidRPr="00B13AD4" w:rsidRDefault="00823785" w:rsidP="006453B9">
            <w:pPr>
              <w:rPr>
                <w:rFonts w:ascii="Times New Roman" w:hAnsi="Times New Roman"/>
                <w:sz w:val="22"/>
                <w:szCs w:val="22"/>
              </w:rPr>
            </w:pPr>
            <w:r w:rsidRPr="00B13AD4">
              <w:rPr>
                <w:rFonts w:ascii="Times New Roman" w:hAnsi="Times New Roman"/>
                <w:sz w:val="22"/>
                <w:szCs w:val="22"/>
              </w:rPr>
              <w:t>LT/1/20/4560/012 – N14</w:t>
            </w:r>
          </w:p>
          <w:p w14:paraId="1F1C83A4" w14:textId="77777777" w:rsidR="00823785" w:rsidRPr="00B13AD4" w:rsidRDefault="00823785" w:rsidP="006453B9">
            <w:pPr>
              <w:rPr>
                <w:rFonts w:ascii="Times New Roman" w:hAnsi="Times New Roman"/>
                <w:sz w:val="22"/>
                <w:szCs w:val="22"/>
              </w:rPr>
            </w:pPr>
            <w:r w:rsidRPr="00B13AD4">
              <w:rPr>
                <w:rFonts w:ascii="Times New Roman" w:hAnsi="Times New Roman"/>
                <w:sz w:val="22"/>
                <w:szCs w:val="22"/>
              </w:rPr>
              <w:t xml:space="preserve">LT/1/20/4560/013 – N28 </w:t>
            </w:r>
          </w:p>
          <w:p w14:paraId="23F2EB05" w14:textId="77777777" w:rsidR="00823785" w:rsidRPr="00B13AD4" w:rsidRDefault="00823785" w:rsidP="006453B9">
            <w:pPr>
              <w:rPr>
                <w:rFonts w:ascii="Times New Roman" w:hAnsi="Times New Roman"/>
                <w:sz w:val="22"/>
                <w:szCs w:val="22"/>
              </w:rPr>
            </w:pPr>
            <w:r w:rsidRPr="00B13AD4">
              <w:rPr>
                <w:rFonts w:ascii="Times New Roman" w:hAnsi="Times New Roman"/>
                <w:sz w:val="22"/>
                <w:szCs w:val="22"/>
              </w:rPr>
              <w:t>LT/1/20/4560/014 – N42</w:t>
            </w:r>
          </w:p>
          <w:p w14:paraId="392EDA63" w14:textId="77777777" w:rsidR="00823785" w:rsidRPr="00B13AD4" w:rsidRDefault="00823785" w:rsidP="006453B9">
            <w:pPr>
              <w:rPr>
                <w:rFonts w:ascii="Times New Roman" w:hAnsi="Times New Roman"/>
                <w:sz w:val="22"/>
                <w:szCs w:val="22"/>
              </w:rPr>
            </w:pPr>
            <w:r w:rsidRPr="00B13AD4">
              <w:rPr>
                <w:rFonts w:ascii="Times New Roman" w:hAnsi="Times New Roman"/>
                <w:sz w:val="22"/>
                <w:szCs w:val="22"/>
              </w:rPr>
              <w:t xml:space="preserve">LT/1/20/4560/015 – N56 </w:t>
            </w:r>
          </w:p>
          <w:p w14:paraId="557CCAF3" w14:textId="77777777" w:rsidR="00823785" w:rsidRPr="00B13AD4" w:rsidRDefault="00823785" w:rsidP="006453B9">
            <w:pPr>
              <w:rPr>
                <w:rFonts w:ascii="Times New Roman" w:hAnsi="Times New Roman"/>
                <w:sz w:val="22"/>
                <w:szCs w:val="22"/>
              </w:rPr>
            </w:pPr>
            <w:r w:rsidRPr="00B13AD4">
              <w:rPr>
                <w:rFonts w:ascii="Times New Roman" w:hAnsi="Times New Roman"/>
                <w:sz w:val="22"/>
                <w:szCs w:val="22"/>
              </w:rPr>
              <w:t xml:space="preserve">LT/1/20/4560/016 – N98 </w:t>
            </w:r>
          </w:p>
        </w:tc>
      </w:tr>
    </w:tbl>
    <w:p w14:paraId="4464C4F7" w14:textId="77777777" w:rsidR="00823785" w:rsidRPr="00452D62" w:rsidRDefault="00823785" w:rsidP="00823785">
      <w:pPr>
        <w:rPr>
          <w:b/>
          <w:bCs/>
          <w:color w:val="auto"/>
          <w:sz w:val="22"/>
          <w:szCs w:val="22"/>
          <w:lang w:eastAsia="en-US"/>
        </w:rPr>
      </w:pPr>
    </w:p>
    <w:p w14:paraId="68E506C7" w14:textId="77777777" w:rsidR="00823785" w:rsidRPr="00452D62" w:rsidRDefault="00823785" w:rsidP="00823785">
      <w:pPr>
        <w:rPr>
          <w:b/>
          <w:bCs/>
          <w:color w:val="auto"/>
          <w:sz w:val="22"/>
          <w:szCs w:val="22"/>
          <w:lang w:eastAsia="en-US"/>
        </w:rPr>
      </w:pPr>
    </w:p>
    <w:p w14:paraId="3541F256" w14:textId="77777777" w:rsidR="00823785" w:rsidRPr="00452D62" w:rsidRDefault="00823785" w:rsidP="00823785">
      <w:pPr>
        <w:widowControl w:val="0"/>
        <w:suppressAutoHyphens w:val="0"/>
        <w:spacing w:line="240" w:lineRule="auto"/>
        <w:ind w:left="567" w:hanging="567"/>
        <w:outlineLvl w:val="1"/>
        <w:rPr>
          <w:b/>
          <w:bCs/>
          <w:color w:val="auto"/>
          <w:sz w:val="22"/>
          <w:szCs w:val="22"/>
          <w:lang w:eastAsia="en-US"/>
        </w:rPr>
      </w:pPr>
      <w:r w:rsidRPr="00452D62">
        <w:rPr>
          <w:b/>
          <w:bCs/>
          <w:color w:val="auto"/>
          <w:sz w:val="22"/>
          <w:szCs w:val="22"/>
          <w:lang w:eastAsia="en-US"/>
        </w:rPr>
        <w:t>9.</w:t>
      </w:r>
      <w:r w:rsidRPr="00452D62">
        <w:rPr>
          <w:b/>
          <w:bCs/>
          <w:color w:val="auto"/>
          <w:sz w:val="22"/>
          <w:szCs w:val="22"/>
          <w:lang w:eastAsia="en-US"/>
        </w:rPr>
        <w:tab/>
        <w:t>REGISTRAVIMO/PERREGISTRAVIMO DATA</w:t>
      </w:r>
    </w:p>
    <w:p w14:paraId="3DFA9240" w14:textId="77777777" w:rsidR="00823785" w:rsidRPr="00452D62" w:rsidRDefault="00823785" w:rsidP="00823785">
      <w:pPr>
        <w:rPr>
          <w:i/>
          <w:sz w:val="22"/>
          <w:szCs w:val="22"/>
        </w:rPr>
      </w:pPr>
    </w:p>
    <w:p w14:paraId="50C98641" w14:textId="77777777" w:rsidR="00823785" w:rsidRPr="00452D62" w:rsidRDefault="00823785" w:rsidP="00823785">
      <w:pPr>
        <w:spacing w:line="240" w:lineRule="auto"/>
        <w:rPr>
          <w:color w:val="auto"/>
          <w:sz w:val="22"/>
          <w:szCs w:val="22"/>
          <w:lang w:eastAsia="en-US"/>
        </w:rPr>
      </w:pPr>
      <w:r w:rsidRPr="00452D62">
        <w:rPr>
          <w:snapToGrid w:val="0"/>
          <w:sz w:val="22"/>
          <w:szCs w:val="22"/>
        </w:rPr>
        <w:t>Registravimo data 2020 m. balandžio 29 d.</w:t>
      </w:r>
    </w:p>
    <w:p w14:paraId="5E303FC2" w14:textId="4976B7D3" w:rsidR="00823785" w:rsidRDefault="00701AC2" w:rsidP="00823785">
      <w:pPr>
        <w:spacing w:line="240" w:lineRule="auto"/>
        <w:rPr>
          <w:sz w:val="22"/>
          <w:szCs w:val="22"/>
        </w:rPr>
      </w:pPr>
      <w:r>
        <w:rPr>
          <w:sz w:val="22"/>
          <w:szCs w:val="22"/>
        </w:rPr>
        <w:t>Paskutinio perregistravimo data</w:t>
      </w:r>
      <w:r w:rsidR="00B13AD4">
        <w:rPr>
          <w:sz w:val="22"/>
          <w:szCs w:val="22"/>
        </w:rPr>
        <w:t xml:space="preserve"> 2024 m. spalio 9 d.</w:t>
      </w:r>
    </w:p>
    <w:p w14:paraId="0AD6B79C" w14:textId="77777777" w:rsidR="00701AC2" w:rsidRPr="00AE1B80" w:rsidRDefault="00701AC2" w:rsidP="00823785">
      <w:pPr>
        <w:spacing w:line="240" w:lineRule="auto"/>
        <w:rPr>
          <w:sz w:val="22"/>
          <w:szCs w:val="22"/>
        </w:rPr>
      </w:pPr>
    </w:p>
    <w:p w14:paraId="7C0ACEA3" w14:textId="77777777" w:rsidR="00823785" w:rsidRPr="00452D62" w:rsidRDefault="00823785" w:rsidP="00823785">
      <w:pPr>
        <w:rPr>
          <w:sz w:val="22"/>
          <w:szCs w:val="22"/>
        </w:rPr>
      </w:pPr>
    </w:p>
    <w:p w14:paraId="45A64943" w14:textId="77777777" w:rsidR="00823785" w:rsidRPr="000877E9" w:rsidRDefault="00823785" w:rsidP="00823785">
      <w:pPr>
        <w:widowControl w:val="0"/>
        <w:suppressAutoHyphens w:val="0"/>
        <w:spacing w:line="240" w:lineRule="auto"/>
        <w:ind w:left="567" w:hanging="567"/>
        <w:outlineLvl w:val="1"/>
        <w:rPr>
          <w:b/>
          <w:bCs/>
          <w:color w:val="auto"/>
          <w:sz w:val="22"/>
          <w:szCs w:val="22"/>
          <w:lang w:eastAsia="en-US"/>
        </w:rPr>
      </w:pPr>
      <w:r w:rsidRPr="000877E9">
        <w:rPr>
          <w:b/>
          <w:bCs/>
          <w:color w:val="auto"/>
          <w:sz w:val="22"/>
          <w:szCs w:val="22"/>
          <w:lang w:eastAsia="en-US"/>
        </w:rPr>
        <w:t>10.</w:t>
      </w:r>
      <w:r w:rsidRPr="000877E9">
        <w:rPr>
          <w:b/>
          <w:bCs/>
          <w:color w:val="auto"/>
          <w:sz w:val="22"/>
          <w:szCs w:val="22"/>
          <w:lang w:eastAsia="en-US"/>
        </w:rPr>
        <w:tab/>
        <w:t>TEKSTO PERŽIŪROS DATA</w:t>
      </w:r>
    </w:p>
    <w:p w14:paraId="17556789" w14:textId="77777777" w:rsidR="00823785" w:rsidRPr="000877E9" w:rsidRDefault="00823785" w:rsidP="00823785">
      <w:pPr>
        <w:tabs>
          <w:tab w:val="clear" w:pos="567"/>
        </w:tabs>
        <w:spacing w:line="100" w:lineRule="atLeast"/>
        <w:rPr>
          <w:sz w:val="22"/>
          <w:szCs w:val="22"/>
        </w:rPr>
      </w:pPr>
    </w:p>
    <w:p w14:paraId="42719E3A" w14:textId="73F86EFB" w:rsidR="00823785" w:rsidRPr="000877E9" w:rsidRDefault="00B13AD4" w:rsidP="00823785">
      <w:pPr>
        <w:rPr>
          <w:sz w:val="22"/>
          <w:szCs w:val="22"/>
        </w:rPr>
      </w:pPr>
      <w:r>
        <w:rPr>
          <w:sz w:val="22"/>
          <w:szCs w:val="22"/>
        </w:rPr>
        <w:t>2024 m. spalio 9 d.</w:t>
      </w:r>
    </w:p>
    <w:p w14:paraId="1BCFFE66" w14:textId="77777777" w:rsidR="00823785" w:rsidRPr="00452D62" w:rsidRDefault="00823785" w:rsidP="00823785">
      <w:pPr>
        <w:tabs>
          <w:tab w:val="clear" w:pos="567"/>
        </w:tabs>
        <w:spacing w:line="100" w:lineRule="atLeast"/>
        <w:rPr>
          <w:sz w:val="22"/>
          <w:szCs w:val="22"/>
        </w:rPr>
      </w:pPr>
    </w:p>
    <w:p w14:paraId="155F550A" w14:textId="34E4F2F1" w:rsidR="00823785" w:rsidRPr="00452D62" w:rsidRDefault="00823785" w:rsidP="00823785">
      <w:pPr>
        <w:tabs>
          <w:tab w:val="clear" w:pos="567"/>
          <w:tab w:val="left" w:pos="5954"/>
          <w:tab w:val="left" w:pos="6237"/>
          <w:tab w:val="left" w:pos="6663"/>
          <w:tab w:val="left" w:pos="6946"/>
        </w:tabs>
        <w:spacing w:line="100" w:lineRule="atLeast"/>
        <w:rPr>
          <w:b/>
          <w:sz w:val="22"/>
          <w:szCs w:val="22"/>
        </w:rPr>
      </w:pPr>
      <w:r w:rsidRPr="00452D62">
        <w:rPr>
          <w:rFonts w:eastAsia="SimSun"/>
          <w:sz w:val="22"/>
          <w:szCs w:val="22"/>
        </w:rPr>
        <w:t>Išsami informacija apie šį vaistinį preparatą pateikiama Valstybinės vaistų kontrolės tarnybos prie Lietuvos Respublikos sveikatos apsaugos ministerijos tinklalapyje</w:t>
      </w:r>
      <w:r w:rsidRPr="00452D62">
        <w:rPr>
          <w:rFonts w:eastAsia="SimSun"/>
          <w:i/>
          <w:sz w:val="22"/>
          <w:szCs w:val="22"/>
        </w:rPr>
        <w:t xml:space="preserve"> </w:t>
      </w:r>
      <w:r w:rsidR="000A3575" w:rsidRPr="000A3575">
        <w:rPr>
          <w:color w:val="0000EE"/>
          <w:sz w:val="22"/>
          <w:szCs w:val="22"/>
          <w:u w:val="single"/>
          <w:lang w:eastAsia="lt-LT"/>
        </w:rPr>
        <w:t>https://vvkt.lrv.lt/lt/.</w:t>
      </w:r>
    </w:p>
    <w:p w14:paraId="054E2D23" w14:textId="77777777" w:rsidR="00823785" w:rsidRPr="000877E9" w:rsidRDefault="00823785" w:rsidP="00823785">
      <w:pPr>
        <w:widowControl w:val="0"/>
        <w:suppressAutoHyphens w:val="0"/>
        <w:spacing w:line="240" w:lineRule="auto"/>
        <w:ind w:left="567" w:hanging="567"/>
        <w:outlineLvl w:val="1"/>
        <w:rPr>
          <w:b/>
          <w:iCs/>
          <w:sz w:val="22"/>
          <w:szCs w:val="22"/>
        </w:rPr>
      </w:pPr>
      <w:r w:rsidRPr="00AE1B80">
        <w:rPr>
          <w:sz w:val="22"/>
          <w:szCs w:val="22"/>
        </w:rPr>
        <w:br w:type="page"/>
      </w:r>
      <w:r w:rsidRPr="00452D62">
        <w:rPr>
          <w:b/>
          <w:sz w:val="22"/>
          <w:szCs w:val="22"/>
        </w:rPr>
        <w:t>1.</w:t>
      </w:r>
      <w:r w:rsidRPr="00452D62">
        <w:rPr>
          <w:b/>
          <w:sz w:val="22"/>
          <w:szCs w:val="22"/>
        </w:rPr>
        <w:tab/>
        <w:t xml:space="preserve">VAISTINIO PREPARATO </w:t>
      </w:r>
      <w:r w:rsidRPr="00452D62">
        <w:rPr>
          <w:b/>
          <w:bCs/>
          <w:color w:val="auto"/>
          <w:sz w:val="22"/>
          <w:szCs w:val="22"/>
          <w:lang w:eastAsia="en-US"/>
        </w:rPr>
        <w:t>PAVADINIMAS</w:t>
      </w:r>
    </w:p>
    <w:p w14:paraId="23265CA7" w14:textId="77777777" w:rsidR="00823785" w:rsidRPr="00452D62" w:rsidRDefault="00823785" w:rsidP="00823785">
      <w:pPr>
        <w:rPr>
          <w:iCs/>
          <w:sz w:val="22"/>
          <w:szCs w:val="22"/>
        </w:rPr>
      </w:pPr>
    </w:p>
    <w:p w14:paraId="11BD2A58" w14:textId="77777777" w:rsidR="00823785" w:rsidRPr="00452D62" w:rsidRDefault="00823785" w:rsidP="00823785">
      <w:pPr>
        <w:widowControl w:val="0"/>
        <w:rPr>
          <w:iCs/>
          <w:sz w:val="22"/>
          <w:szCs w:val="22"/>
        </w:rPr>
      </w:pPr>
      <w:r w:rsidRPr="00452D62">
        <w:rPr>
          <w:sz w:val="22"/>
          <w:szCs w:val="22"/>
          <w:lang w:eastAsia="en-US"/>
        </w:rPr>
        <w:t>Xerdoxo</w:t>
      </w:r>
      <w:r w:rsidRPr="00452D62">
        <w:rPr>
          <w:sz w:val="22"/>
          <w:szCs w:val="22"/>
        </w:rPr>
        <w:t xml:space="preserve"> 20 mg plėvele dengtos tabletės</w:t>
      </w:r>
    </w:p>
    <w:p w14:paraId="210E23E0" w14:textId="77777777" w:rsidR="00823785" w:rsidRPr="00452D62" w:rsidRDefault="00823785" w:rsidP="00823785">
      <w:pPr>
        <w:rPr>
          <w:iCs/>
          <w:sz w:val="22"/>
          <w:szCs w:val="22"/>
        </w:rPr>
      </w:pPr>
    </w:p>
    <w:p w14:paraId="3682FACD" w14:textId="77777777" w:rsidR="00823785" w:rsidRPr="00452D62" w:rsidRDefault="00823785" w:rsidP="00823785">
      <w:pPr>
        <w:rPr>
          <w:iCs/>
          <w:sz w:val="22"/>
          <w:szCs w:val="22"/>
        </w:rPr>
      </w:pPr>
    </w:p>
    <w:p w14:paraId="59DC6DAD" w14:textId="77777777" w:rsidR="00823785" w:rsidRPr="00452D62" w:rsidRDefault="00823785" w:rsidP="00823785">
      <w:pPr>
        <w:widowControl w:val="0"/>
        <w:suppressAutoHyphens w:val="0"/>
        <w:spacing w:line="240" w:lineRule="auto"/>
        <w:ind w:left="567" w:hanging="567"/>
        <w:outlineLvl w:val="1"/>
        <w:rPr>
          <w:b/>
          <w:bCs/>
          <w:color w:val="auto"/>
          <w:sz w:val="22"/>
          <w:szCs w:val="22"/>
          <w:lang w:eastAsia="en-US"/>
        </w:rPr>
      </w:pPr>
      <w:r w:rsidRPr="00452D62">
        <w:rPr>
          <w:b/>
          <w:bCs/>
          <w:color w:val="auto"/>
          <w:sz w:val="22"/>
          <w:szCs w:val="22"/>
          <w:lang w:eastAsia="en-US"/>
        </w:rPr>
        <w:t>2.</w:t>
      </w:r>
      <w:r w:rsidRPr="00452D62">
        <w:rPr>
          <w:b/>
          <w:bCs/>
          <w:color w:val="auto"/>
          <w:sz w:val="22"/>
          <w:szCs w:val="22"/>
          <w:lang w:eastAsia="en-US"/>
        </w:rPr>
        <w:tab/>
        <w:t>KOKYBINĖ IR KIEKYBINĖ SUDĖTIS</w:t>
      </w:r>
    </w:p>
    <w:p w14:paraId="78687291" w14:textId="77777777" w:rsidR="00823785" w:rsidRPr="00452D62" w:rsidRDefault="00823785" w:rsidP="00823785">
      <w:pPr>
        <w:rPr>
          <w:iCs/>
          <w:sz w:val="22"/>
          <w:szCs w:val="22"/>
        </w:rPr>
      </w:pPr>
    </w:p>
    <w:p w14:paraId="5A001405" w14:textId="77777777" w:rsidR="00823785" w:rsidRPr="00452D62" w:rsidRDefault="00823785" w:rsidP="00823785">
      <w:pPr>
        <w:rPr>
          <w:sz w:val="22"/>
          <w:szCs w:val="22"/>
        </w:rPr>
      </w:pPr>
      <w:r w:rsidRPr="00452D62">
        <w:rPr>
          <w:sz w:val="22"/>
          <w:szCs w:val="22"/>
        </w:rPr>
        <w:t>Kiekvienoje plėvele dengtoje tabletėje yra 20 mg rivaroksabano.</w:t>
      </w:r>
    </w:p>
    <w:p w14:paraId="500CDAA8" w14:textId="77777777" w:rsidR="00823785" w:rsidRPr="00452D62" w:rsidRDefault="00823785" w:rsidP="00823785">
      <w:pPr>
        <w:rPr>
          <w:sz w:val="22"/>
          <w:szCs w:val="22"/>
        </w:rPr>
      </w:pPr>
    </w:p>
    <w:p w14:paraId="182D4CE1" w14:textId="77777777" w:rsidR="00823785" w:rsidRPr="00452D62" w:rsidRDefault="00823785" w:rsidP="00823785">
      <w:pPr>
        <w:rPr>
          <w:b/>
          <w:bCs/>
          <w:sz w:val="22"/>
          <w:szCs w:val="22"/>
        </w:rPr>
      </w:pPr>
      <w:r w:rsidRPr="00452D62">
        <w:rPr>
          <w:sz w:val="22"/>
          <w:szCs w:val="22"/>
        </w:rPr>
        <w:t>Visos pagalbinės medžiagos išvardytos 6.1 skyriuje.</w:t>
      </w:r>
    </w:p>
    <w:p w14:paraId="1CEB1228" w14:textId="77777777" w:rsidR="00823785" w:rsidRPr="00452D62" w:rsidRDefault="00823785" w:rsidP="00823785">
      <w:pPr>
        <w:rPr>
          <w:sz w:val="22"/>
          <w:szCs w:val="22"/>
        </w:rPr>
      </w:pPr>
    </w:p>
    <w:p w14:paraId="012447C6" w14:textId="77777777" w:rsidR="00823785" w:rsidRPr="00452D62" w:rsidRDefault="00823785" w:rsidP="00823785">
      <w:pPr>
        <w:ind w:left="567" w:hanging="568"/>
        <w:rPr>
          <w:sz w:val="22"/>
          <w:szCs w:val="22"/>
        </w:rPr>
      </w:pPr>
    </w:p>
    <w:p w14:paraId="67E23618" w14:textId="77777777" w:rsidR="00823785" w:rsidRPr="00452D62" w:rsidRDefault="00823785" w:rsidP="00823785">
      <w:pPr>
        <w:widowControl w:val="0"/>
        <w:suppressAutoHyphens w:val="0"/>
        <w:spacing w:line="240" w:lineRule="auto"/>
        <w:ind w:left="567" w:hanging="567"/>
        <w:outlineLvl w:val="1"/>
        <w:rPr>
          <w:b/>
          <w:bCs/>
          <w:color w:val="auto"/>
          <w:sz w:val="22"/>
          <w:szCs w:val="22"/>
          <w:lang w:eastAsia="en-US"/>
        </w:rPr>
      </w:pPr>
      <w:r w:rsidRPr="00452D62">
        <w:rPr>
          <w:b/>
          <w:bCs/>
          <w:color w:val="auto"/>
          <w:sz w:val="22"/>
          <w:szCs w:val="22"/>
          <w:lang w:eastAsia="en-US"/>
        </w:rPr>
        <w:t>3.</w:t>
      </w:r>
      <w:r w:rsidRPr="00452D62">
        <w:rPr>
          <w:b/>
          <w:bCs/>
          <w:color w:val="auto"/>
          <w:sz w:val="22"/>
          <w:szCs w:val="22"/>
          <w:lang w:eastAsia="en-US"/>
        </w:rPr>
        <w:tab/>
        <w:t>FARMACINĖ FORMA</w:t>
      </w:r>
    </w:p>
    <w:p w14:paraId="6C421547" w14:textId="77777777" w:rsidR="00823785" w:rsidRPr="00452D62" w:rsidRDefault="00823785" w:rsidP="00823785">
      <w:pPr>
        <w:rPr>
          <w:sz w:val="22"/>
          <w:szCs w:val="22"/>
        </w:rPr>
      </w:pPr>
    </w:p>
    <w:p w14:paraId="3E3732F0" w14:textId="77777777" w:rsidR="00823785" w:rsidRPr="00452D62" w:rsidRDefault="00823785" w:rsidP="00823785">
      <w:pPr>
        <w:rPr>
          <w:sz w:val="22"/>
          <w:szCs w:val="22"/>
        </w:rPr>
      </w:pPr>
      <w:r w:rsidRPr="00452D62">
        <w:rPr>
          <w:sz w:val="22"/>
          <w:szCs w:val="22"/>
        </w:rPr>
        <w:t>Plėvele dengta tabletė (tabletė)</w:t>
      </w:r>
    </w:p>
    <w:p w14:paraId="66A9FBA0" w14:textId="77777777" w:rsidR="00823785" w:rsidRPr="00452D62" w:rsidRDefault="00823785" w:rsidP="00823785">
      <w:pPr>
        <w:rPr>
          <w:sz w:val="22"/>
          <w:szCs w:val="22"/>
        </w:rPr>
      </w:pPr>
    </w:p>
    <w:p w14:paraId="22270C2F" w14:textId="77777777" w:rsidR="00823785" w:rsidRPr="00452D62" w:rsidRDefault="00823785" w:rsidP="00823785">
      <w:pPr>
        <w:rPr>
          <w:sz w:val="22"/>
          <w:szCs w:val="22"/>
        </w:rPr>
      </w:pPr>
      <w:r w:rsidRPr="00452D62">
        <w:rPr>
          <w:sz w:val="22"/>
          <w:szCs w:val="22"/>
        </w:rPr>
        <w:t>Rausva ar tamsiai rausva, apvali, šiek tiek abipus išgaubta, plėvele dengta tabletė, kurios vienoje pusėje įspausta „20“.</w:t>
      </w:r>
    </w:p>
    <w:p w14:paraId="4F0B1F7F" w14:textId="77777777" w:rsidR="00823785" w:rsidRPr="00452D62" w:rsidRDefault="00823785" w:rsidP="00823785">
      <w:pPr>
        <w:rPr>
          <w:sz w:val="22"/>
          <w:szCs w:val="22"/>
        </w:rPr>
      </w:pPr>
      <w:r w:rsidRPr="00452D62">
        <w:rPr>
          <w:sz w:val="22"/>
          <w:szCs w:val="22"/>
        </w:rPr>
        <w:t>Išmatavimai: skersmuo − apytiklsiai 7 mm.</w:t>
      </w:r>
    </w:p>
    <w:p w14:paraId="78C41C5B" w14:textId="77777777" w:rsidR="00823785" w:rsidRPr="00452D62" w:rsidRDefault="00823785" w:rsidP="00823785">
      <w:pPr>
        <w:rPr>
          <w:sz w:val="22"/>
          <w:szCs w:val="22"/>
        </w:rPr>
      </w:pPr>
    </w:p>
    <w:p w14:paraId="1680CB5E" w14:textId="77777777" w:rsidR="00823785" w:rsidRPr="00452D62" w:rsidRDefault="00823785" w:rsidP="00823785">
      <w:pPr>
        <w:rPr>
          <w:sz w:val="22"/>
          <w:szCs w:val="22"/>
        </w:rPr>
      </w:pPr>
    </w:p>
    <w:p w14:paraId="660695CF" w14:textId="77777777" w:rsidR="00823785" w:rsidRPr="00452D62" w:rsidRDefault="00823785" w:rsidP="00823785">
      <w:pPr>
        <w:widowControl w:val="0"/>
        <w:suppressAutoHyphens w:val="0"/>
        <w:spacing w:line="240" w:lineRule="auto"/>
        <w:ind w:left="567" w:hanging="567"/>
        <w:outlineLvl w:val="1"/>
        <w:rPr>
          <w:b/>
          <w:bCs/>
          <w:color w:val="auto"/>
          <w:sz w:val="22"/>
          <w:szCs w:val="22"/>
          <w:lang w:eastAsia="en-US"/>
        </w:rPr>
      </w:pPr>
      <w:r w:rsidRPr="00452D62">
        <w:rPr>
          <w:b/>
          <w:bCs/>
          <w:color w:val="auto"/>
          <w:sz w:val="22"/>
          <w:szCs w:val="22"/>
          <w:lang w:eastAsia="en-US"/>
        </w:rPr>
        <w:t>4.</w:t>
      </w:r>
      <w:r w:rsidRPr="00452D62">
        <w:rPr>
          <w:b/>
          <w:bCs/>
          <w:color w:val="auto"/>
          <w:sz w:val="22"/>
          <w:szCs w:val="22"/>
          <w:lang w:eastAsia="en-US"/>
        </w:rPr>
        <w:tab/>
        <w:t>KLINIKINĖ INFORMACIJA</w:t>
      </w:r>
    </w:p>
    <w:p w14:paraId="25AE1D0A" w14:textId="77777777" w:rsidR="00823785" w:rsidRPr="00452D62" w:rsidRDefault="00823785" w:rsidP="00823785">
      <w:pPr>
        <w:rPr>
          <w:sz w:val="22"/>
          <w:szCs w:val="22"/>
        </w:rPr>
      </w:pPr>
    </w:p>
    <w:p w14:paraId="239CBF42"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4.1</w:t>
      </w:r>
      <w:r w:rsidRPr="00452D62">
        <w:rPr>
          <w:b/>
          <w:color w:val="auto"/>
          <w:kern w:val="28"/>
          <w:sz w:val="22"/>
          <w:szCs w:val="22"/>
          <w:lang w:eastAsia="en-US"/>
        </w:rPr>
        <w:tab/>
        <w:t>Terapinės indikacijos</w:t>
      </w:r>
    </w:p>
    <w:p w14:paraId="4F620A69" w14:textId="77777777" w:rsidR="00823785" w:rsidRPr="00452D62" w:rsidRDefault="00823785" w:rsidP="00823785">
      <w:pPr>
        <w:rPr>
          <w:sz w:val="22"/>
          <w:szCs w:val="22"/>
        </w:rPr>
      </w:pPr>
    </w:p>
    <w:p w14:paraId="75A6340F" w14:textId="6EA264A0" w:rsidR="00890D8E" w:rsidRPr="00AE1B80" w:rsidRDefault="00890D8E" w:rsidP="00823785">
      <w:pPr>
        <w:rPr>
          <w:i/>
          <w:sz w:val="22"/>
          <w:szCs w:val="22"/>
          <w:u w:val="single"/>
          <w:lang w:eastAsia="en-US"/>
        </w:rPr>
      </w:pPr>
      <w:r w:rsidRPr="00AE1B80">
        <w:rPr>
          <w:i/>
          <w:sz w:val="22"/>
          <w:szCs w:val="22"/>
          <w:u w:val="single"/>
          <w:lang w:eastAsia="en-US"/>
        </w:rPr>
        <w:t>Suaugusiesiems</w:t>
      </w:r>
    </w:p>
    <w:p w14:paraId="60CBF0A9" w14:textId="711960DF" w:rsidR="00823785" w:rsidRPr="00452D62" w:rsidRDefault="00823785" w:rsidP="00823785">
      <w:pPr>
        <w:rPr>
          <w:sz w:val="22"/>
          <w:szCs w:val="22"/>
          <w:lang w:eastAsia="en-US"/>
        </w:rPr>
      </w:pPr>
      <w:r w:rsidRPr="00452D62">
        <w:rPr>
          <w:sz w:val="22"/>
          <w:szCs w:val="22"/>
          <w:lang w:eastAsia="en-US"/>
        </w:rPr>
        <w:t>Insulto ir sisteminės embolijos profilaktika suaugusiems pacientams, kuriems yra su vožtuvų liga nesusijęs prieširdžių virpėjimas, esant vienam ar daugiau rizikos veiksnių, pvz., staziniam širdies nepakankamumui, hipertenzijai, ≥ 75 metų amžiui, cukriniam diabetui, anksčiau patirtam insultui arba praeinančiam smegenų išemijos priepuoliui.</w:t>
      </w:r>
    </w:p>
    <w:p w14:paraId="0ADC7B35" w14:textId="77777777" w:rsidR="00823785" w:rsidRPr="00452D62" w:rsidRDefault="00823785" w:rsidP="00823785">
      <w:pPr>
        <w:rPr>
          <w:sz w:val="22"/>
          <w:szCs w:val="22"/>
          <w:lang w:eastAsia="en-US"/>
        </w:rPr>
      </w:pPr>
    </w:p>
    <w:p w14:paraId="68901447" w14:textId="0738581E" w:rsidR="00823785" w:rsidRPr="00452D62" w:rsidRDefault="00823785" w:rsidP="00823785">
      <w:pPr>
        <w:rPr>
          <w:sz w:val="22"/>
          <w:szCs w:val="22"/>
        </w:rPr>
      </w:pPr>
      <w:r w:rsidRPr="00452D62">
        <w:rPr>
          <w:sz w:val="22"/>
          <w:szCs w:val="22"/>
          <w:lang w:eastAsia="en-US"/>
        </w:rPr>
        <w:t>Giliųjų venų trombozės (GVT) bei plaučių embolijos (PE) gydymas ir pasikartojančios GVT bei PE profilaktika suaugusiesiems (apie PE sergančius pacientus, kurių hemodinamika yra nestabili, žr. 4.4 skyriuje)</w:t>
      </w:r>
      <w:r w:rsidRPr="00452D62">
        <w:rPr>
          <w:sz w:val="22"/>
          <w:szCs w:val="22"/>
        </w:rPr>
        <w:t>.</w:t>
      </w:r>
    </w:p>
    <w:p w14:paraId="3522C6A9" w14:textId="77777777" w:rsidR="00890D8E" w:rsidRPr="00452D62" w:rsidRDefault="00890D8E" w:rsidP="00890D8E">
      <w:pPr>
        <w:pStyle w:val="Default"/>
        <w:rPr>
          <w:i/>
          <w:iCs/>
          <w:sz w:val="22"/>
          <w:szCs w:val="22"/>
        </w:rPr>
      </w:pPr>
    </w:p>
    <w:p w14:paraId="2DC45D53" w14:textId="33499CAB" w:rsidR="00890D8E" w:rsidRPr="00452D62" w:rsidRDefault="00890D8E" w:rsidP="00890D8E">
      <w:pPr>
        <w:pStyle w:val="Default"/>
        <w:rPr>
          <w:sz w:val="22"/>
          <w:szCs w:val="22"/>
        </w:rPr>
      </w:pPr>
      <w:r w:rsidRPr="00452D62">
        <w:rPr>
          <w:i/>
          <w:iCs/>
          <w:sz w:val="22"/>
          <w:szCs w:val="22"/>
        </w:rPr>
        <w:t>Vaikų populiacija</w:t>
      </w:r>
    </w:p>
    <w:p w14:paraId="7A66E020" w14:textId="7FDF4AE3" w:rsidR="00823785" w:rsidRPr="00452D62" w:rsidRDefault="00890D8E" w:rsidP="00890D8E">
      <w:pPr>
        <w:rPr>
          <w:sz w:val="22"/>
          <w:szCs w:val="22"/>
        </w:rPr>
      </w:pPr>
      <w:r w:rsidRPr="00452D62">
        <w:rPr>
          <w:sz w:val="22"/>
          <w:szCs w:val="22"/>
        </w:rPr>
        <w:t>Venų tromboembolijos (VTE) gydymas ir pasikartojančios VTE profilaktika vaikams ir paaugliams, jaunesniems kaip 18 metų amžiaus ir sveriantiems daugiau kaip 50</w:t>
      </w:r>
      <w:r w:rsidR="00EC5678">
        <w:rPr>
          <w:sz w:val="22"/>
          <w:szCs w:val="22"/>
        </w:rPr>
        <w:t> </w:t>
      </w:r>
      <w:r w:rsidRPr="00452D62">
        <w:rPr>
          <w:sz w:val="22"/>
          <w:szCs w:val="22"/>
        </w:rPr>
        <w:t>kg, po ne trumpiau kaip 5 dienas taikyto krešėjimą slopinančio pradinio parenterinio gydymo.</w:t>
      </w:r>
    </w:p>
    <w:p w14:paraId="1910D42F" w14:textId="77777777" w:rsidR="00890D8E" w:rsidRPr="00452D62" w:rsidRDefault="00890D8E" w:rsidP="00890D8E">
      <w:pPr>
        <w:rPr>
          <w:sz w:val="22"/>
          <w:szCs w:val="22"/>
        </w:rPr>
      </w:pPr>
    </w:p>
    <w:p w14:paraId="57B120E3" w14:textId="77777777" w:rsidR="00823785" w:rsidRPr="00452D62" w:rsidRDefault="00823785" w:rsidP="00823785">
      <w:pPr>
        <w:widowControl w:val="0"/>
        <w:suppressAutoHyphens w:val="0"/>
        <w:spacing w:line="240" w:lineRule="auto"/>
        <w:ind w:left="567" w:hanging="567"/>
        <w:outlineLvl w:val="2"/>
        <w:rPr>
          <w:sz w:val="22"/>
          <w:szCs w:val="22"/>
        </w:rPr>
      </w:pPr>
      <w:r w:rsidRPr="00452D62">
        <w:rPr>
          <w:b/>
          <w:color w:val="auto"/>
          <w:kern w:val="28"/>
          <w:sz w:val="22"/>
          <w:szCs w:val="22"/>
          <w:lang w:eastAsia="en-US"/>
        </w:rPr>
        <w:t>4.2</w:t>
      </w:r>
      <w:r w:rsidRPr="00452D62">
        <w:rPr>
          <w:b/>
          <w:color w:val="auto"/>
          <w:kern w:val="28"/>
          <w:sz w:val="22"/>
          <w:szCs w:val="22"/>
          <w:lang w:eastAsia="en-US"/>
        </w:rPr>
        <w:tab/>
        <w:t>Dozavimas ir vartojimo metodas</w:t>
      </w:r>
    </w:p>
    <w:p w14:paraId="414788A5" w14:textId="77777777" w:rsidR="00823785" w:rsidRPr="00452D62" w:rsidRDefault="00823785" w:rsidP="00823785">
      <w:pPr>
        <w:rPr>
          <w:sz w:val="22"/>
          <w:szCs w:val="22"/>
        </w:rPr>
      </w:pPr>
    </w:p>
    <w:p w14:paraId="7051F628" w14:textId="77777777" w:rsidR="00823785" w:rsidRPr="00452D62" w:rsidRDefault="00823785" w:rsidP="00823785">
      <w:pPr>
        <w:rPr>
          <w:sz w:val="22"/>
          <w:szCs w:val="22"/>
          <w:u w:val="single"/>
        </w:rPr>
      </w:pPr>
      <w:r w:rsidRPr="00452D62">
        <w:rPr>
          <w:sz w:val="22"/>
          <w:szCs w:val="22"/>
          <w:u w:val="single"/>
        </w:rPr>
        <w:t>Dozavimas</w:t>
      </w:r>
    </w:p>
    <w:p w14:paraId="135D6308" w14:textId="77777777" w:rsidR="00823785" w:rsidRPr="00452D62" w:rsidRDefault="00823785" w:rsidP="00823785">
      <w:pPr>
        <w:rPr>
          <w:iCs/>
          <w:sz w:val="22"/>
          <w:szCs w:val="22"/>
        </w:rPr>
      </w:pPr>
    </w:p>
    <w:p w14:paraId="00ACDF2F" w14:textId="77777777" w:rsidR="00823785" w:rsidRPr="00452D62" w:rsidRDefault="00823785" w:rsidP="00823785">
      <w:pPr>
        <w:rPr>
          <w:i/>
          <w:sz w:val="22"/>
          <w:szCs w:val="22"/>
        </w:rPr>
      </w:pPr>
      <w:r w:rsidRPr="00452D62">
        <w:rPr>
          <w:i/>
          <w:sz w:val="22"/>
          <w:szCs w:val="22"/>
        </w:rPr>
        <w:t>Insulto ir sisteminės embolijos profilaktika suaugusiesiems</w:t>
      </w:r>
    </w:p>
    <w:p w14:paraId="02FAC72C" w14:textId="77777777" w:rsidR="00823785" w:rsidRPr="00452D62" w:rsidRDefault="00823785" w:rsidP="00823785">
      <w:pPr>
        <w:rPr>
          <w:iCs/>
          <w:sz w:val="22"/>
          <w:szCs w:val="22"/>
        </w:rPr>
      </w:pPr>
      <w:r w:rsidRPr="00452D62">
        <w:rPr>
          <w:iCs/>
          <w:sz w:val="22"/>
          <w:szCs w:val="22"/>
        </w:rPr>
        <w:t>Rekomenduojama dozė yra 20 mg vieną kartą per parą, tai taip pat yra didžiausia rekomenduojama dozė.</w:t>
      </w:r>
    </w:p>
    <w:p w14:paraId="69B7A632" w14:textId="77777777" w:rsidR="00823785" w:rsidRPr="00452D62" w:rsidRDefault="00823785" w:rsidP="00823785">
      <w:pPr>
        <w:rPr>
          <w:iCs/>
          <w:sz w:val="22"/>
          <w:szCs w:val="22"/>
        </w:rPr>
      </w:pPr>
    </w:p>
    <w:p w14:paraId="456FAEE1" w14:textId="17992116" w:rsidR="00823785" w:rsidRPr="00452D62" w:rsidRDefault="00823785" w:rsidP="00823785">
      <w:pPr>
        <w:rPr>
          <w:iCs/>
          <w:sz w:val="22"/>
          <w:szCs w:val="22"/>
        </w:rPr>
      </w:pPr>
      <w:r w:rsidRPr="00452D62">
        <w:rPr>
          <w:iCs/>
          <w:sz w:val="22"/>
          <w:szCs w:val="22"/>
        </w:rPr>
        <w:t>Gydymą Xerdoxo reikia tęsti ilgą laiką, jei insulto ir sisteminės embolijos profilaktikos nauda yra didesnė negu kraujavimo rizika (žr. 4.4 skyrių).</w:t>
      </w:r>
    </w:p>
    <w:p w14:paraId="6894CFBE" w14:textId="77777777" w:rsidR="00823785" w:rsidRPr="00452D62" w:rsidRDefault="00823785" w:rsidP="00823785">
      <w:pPr>
        <w:rPr>
          <w:iCs/>
          <w:sz w:val="22"/>
          <w:szCs w:val="22"/>
        </w:rPr>
      </w:pPr>
    </w:p>
    <w:p w14:paraId="2FF29C58" w14:textId="77777777" w:rsidR="00823785" w:rsidRPr="00452D62" w:rsidRDefault="00823785" w:rsidP="00823785">
      <w:pPr>
        <w:rPr>
          <w:iCs/>
          <w:sz w:val="22"/>
          <w:szCs w:val="22"/>
        </w:rPr>
      </w:pPr>
      <w:r w:rsidRPr="00452D62">
        <w:rPr>
          <w:iCs/>
          <w:sz w:val="22"/>
          <w:szCs w:val="22"/>
        </w:rPr>
        <w:t>Jei praleidžiama dozė, pacientas Xerdoxo turi išgerti nedelsiant ir nuo kitos dienos tęsti vartojimą vieną kartą per parą kaip rekomenduota.</w:t>
      </w:r>
      <w:r w:rsidRPr="00AE1B80">
        <w:rPr>
          <w:sz w:val="22"/>
          <w:szCs w:val="22"/>
        </w:rPr>
        <w:t xml:space="preserve"> </w:t>
      </w:r>
      <w:r w:rsidRPr="00452D62">
        <w:rPr>
          <w:iCs/>
          <w:sz w:val="22"/>
          <w:szCs w:val="22"/>
        </w:rPr>
        <w:t>Negalima vartoti dvigubos dozės tą pačią parą norint kompensuoti praleistą dozę.</w:t>
      </w:r>
    </w:p>
    <w:p w14:paraId="09649A2A" w14:textId="77777777" w:rsidR="00823785" w:rsidRPr="00452D62" w:rsidRDefault="00823785" w:rsidP="00823785">
      <w:pPr>
        <w:rPr>
          <w:iCs/>
          <w:sz w:val="22"/>
          <w:szCs w:val="22"/>
        </w:rPr>
      </w:pPr>
    </w:p>
    <w:p w14:paraId="737AE797" w14:textId="77777777" w:rsidR="00823785" w:rsidRPr="00452D62" w:rsidRDefault="00823785" w:rsidP="00823785">
      <w:pPr>
        <w:rPr>
          <w:i/>
          <w:sz w:val="22"/>
          <w:szCs w:val="22"/>
        </w:rPr>
      </w:pPr>
      <w:r w:rsidRPr="00452D62">
        <w:rPr>
          <w:i/>
          <w:sz w:val="22"/>
          <w:szCs w:val="22"/>
        </w:rPr>
        <w:t>GVT gydymas, PE gydymas ir pasikartojančios GVT bei PE profilaktika suaugusiesiems</w:t>
      </w:r>
    </w:p>
    <w:p w14:paraId="4D137DBF" w14:textId="77777777" w:rsidR="00823785" w:rsidRPr="00452D62" w:rsidRDefault="00823785" w:rsidP="00823785">
      <w:pPr>
        <w:rPr>
          <w:iCs/>
          <w:sz w:val="22"/>
          <w:szCs w:val="22"/>
        </w:rPr>
      </w:pPr>
      <w:r w:rsidRPr="00452D62">
        <w:rPr>
          <w:iCs/>
          <w:sz w:val="22"/>
          <w:szCs w:val="22"/>
        </w:rPr>
        <w:t>Pradedant gydyti ūminę GVT arba PE, pirmąsias tris savaites rekomenduojama dozė yra po 15 mg du kartus per parą; po to, tęsiant gydymą ir taikant pasikartojančios GVT bei PE profilaktiką, reikia vartoti 20 mg dozę vieną kartą per parą.</w:t>
      </w:r>
    </w:p>
    <w:p w14:paraId="7FCBE5D2" w14:textId="77777777" w:rsidR="00823785" w:rsidRPr="00452D62" w:rsidRDefault="00823785" w:rsidP="00823785">
      <w:pPr>
        <w:rPr>
          <w:iCs/>
          <w:sz w:val="22"/>
          <w:szCs w:val="22"/>
        </w:rPr>
      </w:pPr>
    </w:p>
    <w:p w14:paraId="4C3C9689" w14:textId="77777777" w:rsidR="00823785" w:rsidRPr="00452D62" w:rsidRDefault="00823785" w:rsidP="00823785">
      <w:pPr>
        <w:rPr>
          <w:iCs/>
          <w:sz w:val="22"/>
          <w:szCs w:val="22"/>
        </w:rPr>
      </w:pPr>
      <w:r w:rsidRPr="00452D62">
        <w:rPr>
          <w:iCs/>
          <w:sz w:val="22"/>
          <w:szCs w:val="22"/>
        </w:rPr>
        <w:t>Pacientams, sergantiems GVT arba PE, kurią išprovokavo didieji laikini rizikos veiksniai (t. y. neseniai atlikta didžioji chirurginė operacija arba trauma), reikia apsvarstyti trumpalaikį gydymą (bent 3 mėnesius). Pacientams, sergantiems išprovokuota GVT arba PE, nesusijusia su didžiaisiais laikinais rizikos veiksniais, neišprovokuota GVT arba PE, arba anksčiau patyrusiems pasikartojančią GVT arba PE, reikia apsvarstyti ilgesnę gydymo trukmę.</w:t>
      </w:r>
    </w:p>
    <w:p w14:paraId="4B67D950" w14:textId="77777777" w:rsidR="00823785" w:rsidRPr="00452D62" w:rsidRDefault="00823785" w:rsidP="00823785">
      <w:pPr>
        <w:rPr>
          <w:iCs/>
          <w:sz w:val="22"/>
          <w:szCs w:val="22"/>
        </w:rPr>
      </w:pPr>
    </w:p>
    <w:p w14:paraId="6A08C034" w14:textId="77777777" w:rsidR="00823785" w:rsidRPr="00452D62" w:rsidRDefault="00823785" w:rsidP="00823785">
      <w:pPr>
        <w:rPr>
          <w:iCs/>
          <w:sz w:val="22"/>
          <w:szCs w:val="22"/>
        </w:rPr>
      </w:pPr>
      <w:r w:rsidRPr="00452D62">
        <w:rPr>
          <w:iCs/>
          <w:sz w:val="22"/>
          <w:szCs w:val="22"/>
        </w:rPr>
        <w:t>Kai taikytina tęstinė pasikartojančios GVT ir PE profilaktika (užbaigus bent 6 mėnesių trukmės GVT arba PE gydymą), rekomenduojama dozė yra 10 mg vieną kartą per parą. Pacientams, kuriems yra didelė pasikartojančios GVT arba PE rizika, pvz., sergantiems komplikuotomis gretutinėmis ligomis arba tęstinės profilaktikos laikotarpiu, vartojant 10 mg Xerdoxo dozę vieną kartą per parą, patyrusiems pasikartojančią GVT arba PE, reikia apsvarstyti 20 mg Xerdoxo dozės vartojimą kartą per parą.</w:t>
      </w:r>
    </w:p>
    <w:p w14:paraId="6CC28B8A" w14:textId="77777777" w:rsidR="00823785" w:rsidRPr="00452D62" w:rsidRDefault="00823785" w:rsidP="00823785">
      <w:pPr>
        <w:rPr>
          <w:iCs/>
          <w:sz w:val="22"/>
          <w:szCs w:val="22"/>
        </w:rPr>
      </w:pPr>
    </w:p>
    <w:p w14:paraId="7E70289C" w14:textId="68970695" w:rsidR="00823785" w:rsidRPr="00452D62" w:rsidRDefault="00823785" w:rsidP="00823785">
      <w:pPr>
        <w:rPr>
          <w:iCs/>
          <w:sz w:val="22"/>
          <w:szCs w:val="22"/>
        </w:rPr>
      </w:pPr>
      <w:r w:rsidRPr="00452D62">
        <w:rPr>
          <w:iCs/>
          <w:sz w:val="22"/>
          <w:szCs w:val="22"/>
        </w:rPr>
        <w:t>Gydymo trukmę ir dozavimą reikia parinkti individualiai po to, kai kruopščiai įvertinama gydymo nauda ir kraujavimo rizika (žr. 4.4 skyrių).</w:t>
      </w:r>
    </w:p>
    <w:p w14:paraId="2FD2F610" w14:textId="77777777" w:rsidR="00823785" w:rsidRPr="00452D62" w:rsidRDefault="00823785" w:rsidP="00823785">
      <w:pPr>
        <w:widowControl w:val="0"/>
        <w:tabs>
          <w:tab w:val="clear" w:pos="567"/>
        </w:tabs>
        <w:suppressAutoHyphens w:val="0"/>
        <w:spacing w:line="240" w:lineRule="auto"/>
        <w:rPr>
          <w:color w:val="auto"/>
          <w:sz w:val="22"/>
          <w:szCs w:val="22"/>
          <w:lang w:eastAsia="sl-SI"/>
        </w:rPr>
      </w:pPr>
    </w:p>
    <w:tbl>
      <w:tblPr>
        <w:tblW w:w="9223" w:type="dxa"/>
        <w:tblInd w:w="99" w:type="dxa"/>
        <w:tblLayout w:type="fixed"/>
        <w:tblCellMar>
          <w:left w:w="0" w:type="dxa"/>
          <w:right w:w="0" w:type="dxa"/>
        </w:tblCellMar>
        <w:tblLook w:val="01E0" w:firstRow="1" w:lastRow="1" w:firstColumn="1" w:lastColumn="1" w:noHBand="0" w:noVBand="0"/>
      </w:tblPr>
      <w:tblGrid>
        <w:gridCol w:w="2340"/>
        <w:gridCol w:w="2371"/>
        <w:gridCol w:w="2369"/>
        <w:gridCol w:w="2143"/>
      </w:tblGrid>
      <w:tr w:rsidR="00823785" w:rsidRPr="00452D62" w14:paraId="7BD0E347" w14:textId="77777777" w:rsidTr="006453B9">
        <w:trPr>
          <w:trHeight w:hRule="exact" w:val="324"/>
        </w:trPr>
        <w:tc>
          <w:tcPr>
            <w:tcW w:w="2340" w:type="dxa"/>
            <w:tcBorders>
              <w:top w:val="single" w:sz="4" w:space="0" w:color="000000"/>
              <w:left w:val="single" w:sz="4" w:space="0" w:color="000000"/>
              <w:bottom w:val="single" w:sz="4" w:space="0" w:color="000000"/>
              <w:right w:val="single" w:sz="4" w:space="0" w:color="000000"/>
            </w:tcBorders>
          </w:tcPr>
          <w:p w14:paraId="4B36945C" w14:textId="77777777" w:rsidR="00823785" w:rsidRPr="00452D62" w:rsidRDefault="00823785" w:rsidP="006453B9">
            <w:pPr>
              <w:widowControl w:val="0"/>
              <w:tabs>
                <w:tab w:val="clear" w:pos="567"/>
              </w:tabs>
              <w:suppressAutoHyphens w:val="0"/>
              <w:spacing w:line="240" w:lineRule="auto"/>
              <w:rPr>
                <w:color w:val="auto"/>
                <w:sz w:val="22"/>
                <w:szCs w:val="22"/>
                <w:lang w:eastAsia="sl-SI"/>
              </w:rPr>
            </w:pPr>
          </w:p>
        </w:tc>
        <w:tc>
          <w:tcPr>
            <w:tcW w:w="2371" w:type="dxa"/>
            <w:tcBorders>
              <w:top w:val="single" w:sz="4" w:space="0" w:color="000000"/>
              <w:left w:val="single" w:sz="4" w:space="0" w:color="000000"/>
              <w:bottom w:val="single" w:sz="4" w:space="0" w:color="000000"/>
              <w:right w:val="single" w:sz="4" w:space="0" w:color="000000"/>
            </w:tcBorders>
          </w:tcPr>
          <w:p w14:paraId="07E67161" w14:textId="77777777" w:rsidR="00823785" w:rsidRPr="00452D62" w:rsidRDefault="00823785" w:rsidP="006453B9">
            <w:pPr>
              <w:widowControl w:val="0"/>
              <w:tabs>
                <w:tab w:val="clear" w:pos="567"/>
              </w:tabs>
              <w:suppressAutoHyphens w:val="0"/>
              <w:spacing w:line="240" w:lineRule="auto"/>
              <w:ind w:right="-20"/>
              <w:rPr>
                <w:color w:val="auto"/>
                <w:sz w:val="22"/>
                <w:szCs w:val="22"/>
                <w:lang w:eastAsia="sl-SI"/>
              </w:rPr>
            </w:pPr>
            <w:r w:rsidRPr="00452D62">
              <w:rPr>
                <w:b/>
                <w:bCs/>
                <w:color w:val="auto"/>
                <w:sz w:val="22"/>
                <w:szCs w:val="22"/>
                <w:lang w:eastAsia="sl-SI"/>
              </w:rPr>
              <w:t>Laikotarpis</w:t>
            </w:r>
          </w:p>
        </w:tc>
        <w:tc>
          <w:tcPr>
            <w:tcW w:w="2369" w:type="dxa"/>
            <w:tcBorders>
              <w:top w:val="single" w:sz="4" w:space="0" w:color="000000"/>
              <w:left w:val="single" w:sz="4" w:space="0" w:color="000000"/>
              <w:bottom w:val="single" w:sz="4" w:space="0" w:color="000000"/>
              <w:right w:val="single" w:sz="4" w:space="0" w:color="000000"/>
            </w:tcBorders>
          </w:tcPr>
          <w:p w14:paraId="2E98558E" w14:textId="77777777" w:rsidR="00823785" w:rsidRPr="00452D62" w:rsidRDefault="00823785" w:rsidP="006453B9">
            <w:pPr>
              <w:widowControl w:val="0"/>
              <w:tabs>
                <w:tab w:val="clear" w:pos="567"/>
              </w:tabs>
              <w:suppressAutoHyphens w:val="0"/>
              <w:spacing w:line="240" w:lineRule="auto"/>
              <w:ind w:right="-20"/>
              <w:rPr>
                <w:color w:val="auto"/>
                <w:sz w:val="22"/>
                <w:szCs w:val="22"/>
                <w:lang w:eastAsia="sl-SI"/>
              </w:rPr>
            </w:pPr>
            <w:r w:rsidRPr="00452D62">
              <w:rPr>
                <w:b/>
                <w:bCs/>
                <w:color w:val="auto"/>
                <w:sz w:val="22"/>
                <w:szCs w:val="22"/>
                <w:lang w:eastAsia="sl-SI"/>
              </w:rPr>
              <w:t>Dozavimo schema</w:t>
            </w:r>
          </w:p>
        </w:tc>
        <w:tc>
          <w:tcPr>
            <w:tcW w:w="2143" w:type="dxa"/>
            <w:tcBorders>
              <w:top w:val="single" w:sz="4" w:space="0" w:color="000000"/>
              <w:left w:val="single" w:sz="4" w:space="0" w:color="000000"/>
              <w:bottom w:val="single" w:sz="4" w:space="0" w:color="000000"/>
              <w:right w:val="single" w:sz="4" w:space="0" w:color="000000"/>
            </w:tcBorders>
          </w:tcPr>
          <w:p w14:paraId="2516EEB9" w14:textId="77777777" w:rsidR="00823785" w:rsidRPr="00452D62" w:rsidRDefault="00823785" w:rsidP="006453B9">
            <w:pPr>
              <w:widowControl w:val="0"/>
              <w:tabs>
                <w:tab w:val="clear" w:pos="567"/>
              </w:tabs>
              <w:suppressAutoHyphens w:val="0"/>
              <w:spacing w:line="240" w:lineRule="auto"/>
              <w:ind w:right="-20"/>
              <w:rPr>
                <w:color w:val="auto"/>
                <w:sz w:val="22"/>
                <w:szCs w:val="22"/>
                <w:lang w:eastAsia="sl-SI"/>
              </w:rPr>
            </w:pPr>
            <w:r w:rsidRPr="00452D62">
              <w:rPr>
                <w:b/>
                <w:bCs/>
                <w:color w:val="auto"/>
                <w:sz w:val="22"/>
                <w:szCs w:val="22"/>
                <w:lang w:eastAsia="sl-SI"/>
              </w:rPr>
              <w:t>Bendroji paros dozė</w:t>
            </w:r>
          </w:p>
        </w:tc>
      </w:tr>
      <w:tr w:rsidR="00823785" w:rsidRPr="00452D62" w14:paraId="2FF30CAD" w14:textId="77777777" w:rsidTr="006453B9">
        <w:trPr>
          <w:trHeight w:hRule="exact" w:val="509"/>
        </w:trPr>
        <w:tc>
          <w:tcPr>
            <w:tcW w:w="2340" w:type="dxa"/>
            <w:vMerge w:val="restart"/>
            <w:tcBorders>
              <w:top w:val="single" w:sz="4" w:space="0" w:color="000000"/>
              <w:left w:val="single" w:sz="4" w:space="0" w:color="000000"/>
              <w:right w:val="single" w:sz="4" w:space="0" w:color="000000"/>
            </w:tcBorders>
          </w:tcPr>
          <w:p w14:paraId="17AC2437" w14:textId="77777777" w:rsidR="00823785" w:rsidRPr="00452D62" w:rsidRDefault="00823785" w:rsidP="006453B9">
            <w:pPr>
              <w:widowControl w:val="0"/>
              <w:tabs>
                <w:tab w:val="clear" w:pos="567"/>
              </w:tabs>
              <w:suppressAutoHyphens w:val="0"/>
              <w:spacing w:line="240" w:lineRule="auto"/>
              <w:ind w:right="-20"/>
              <w:rPr>
                <w:color w:val="auto"/>
                <w:sz w:val="22"/>
                <w:szCs w:val="22"/>
                <w:lang w:eastAsia="sl-SI"/>
              </w:rPr>
            </w:pPr>
            <w:r w:rsidRPr="00452D62">
              <w:rPr>
                <w:color w:val="auto"/>
                <w:sz w:val="22"/>
                <w:szCs w:val="22"/>
                <w:lang w:eastAsia="sl-SI"/>
              </w:rPr>
              <w:t>Pasikartojančios GVT bei PE gydymas ir profilaktika</w:t>
            </w:r>
          </w:p>
        </w:tc>
        <w:tc>
          <w:tcPr>
            <w:tcW w:w="2371" w:type="dxa"/>
            <w:tcBorders>
              <w:top w:val="single" w:sz="4" w:space="0" w:color="000000"/>
              <w:left w:val="single" w:sz="4" w:space="0" w:color="000000"/>
              <w:bottom w:val="single" w:sz="4" w:space="0" w:color="000000"/>
              <w:right w:val="single" w:sz="4" w:space="0" w:color="000000"/>
            </w:tcBorders>
          </w:tcPr>
          <w:p w14:paraId="41F60A8D" w14:textId="77777777" w:rsidR="00823785" w:rsidRPr="00452D62" w:rsidRDefault="00823785" w:rsidP="006453B9">
            <w:pPr>
              <w:widowControl w:val="0"/>
              <w:tabs>
                <w:tab w:val="clear" w:pos="567"/>
              </w:tabs>
              <w:suppressAutoHyphens w:val="0"/>
              <w:spacing w:line="240" w:lineRule="auto"/>
              <w:ind w:right="-20"/>
              <w:rPr>
                <w:color w:val="auto"/>
                <w:sz w:val="22"/>
                <w:szCs w:val="22"/>
                <w:lang w:eastAsia="sl-SI"/>
              </w:rPr>
            </w:pPr>
            <w:r w:rsidRPr="00452D62">
              <w:rPr>
                <w:color w:val="auto"/>
                <w:sz w:val="22"/>
                <w:szCs w:val="22"/>
                <w:lang w:eastAsia="sl-SI"/>
              </w:rPr>
              <w:t>1</w:t>
            </w:r>
            <w:r w:rsidRPr="00452D62">
              <w:rPr>
                <w:color w:val="auto"/>
                <w:sz w:val="22"/>
                <w:szCs w:val="22"/>
                <w:lang w:eastAsia="sl-SI"/>
              </w:rPr>
              <w:noBreakHyphen/>
              <w:t>21 diena</w:t>
            </w:r>
          </w:p>
        </w:tc>
        <w:tc>
          <w:tcPr>
            <w:tcW w:w="2369" w:type="dxa"/>
            <w:tcBorders>
              <w:top w:val="single" w:sz="4" w:space="0" w:color="000000"/>
              <w:left w:val="single" w:sz="4" w:space="0" w:color="000000"/>
              <w:bottom w:val="single" w:sz="4" w:space="0" w:color="000000"/>
              <w:right w:val="single" w:sz="4" w:space="0" w:color="000000"/>
            </w:tcBorders>
          </w:tcPr>
          <w:p w14:paraId="16FFA262" w14:textId="77777777" w:rsidR="00823785" w:rsidRPr="00452D62" w:rsidRDefault="00823785" w:rsidP="006453B9">
            <w:pPr>
              <w:widowControl w:val="0"/>
              <w:tabs>
                <w:tab w:val="clear" w:pos="567"/>
              </w:tabs>
              <w:suppressAutoHyphens w:val="0"/>
              <w:spacing w:line="240" w:lineRule="auto"/>
              <w:ind w:right="-20"/>
              <w:rPr>
                <w:color w:val="auto"/>
                <w:sz w:val="22"/>
                <w:szCs w:val="22"/>
                <w:lang w:eastAsia="sl-SI"/>
              </w:rPr>
            </w:pPr>
            <w:r w:rsidRPr="00452D62">
              <w:rPr>
                <w:color w:val="auto"/>
                <w:sz w:val="22"/>
                <w:szCs w:val="22"/>
                <w:lang w:eastAsia="sl-SI"/>
              </w:rPr>
              <w:t>Po 15 mg du kartus per parą</w:t>
            </w:r>
          </w:p>
        </w:tc>
        <w:tc>
          <w:tcPr>
            <w:tcW w:w="2143" w:type="dxa"/>
            <w:tcBorders>
              <w:top w:val="single" w:sz="4" w:space="0" w:color="000000"/>
              <w:left w:val="single" w:sz="4" w:space="0" w:color="000000"/>
              <w:bottom w:val="single" w:sz="4" w:space="0" w:color="000000"/>
              <w:right w:val="single" w:sz="4" w:space="0" w:color="000000"/>
            </w:tcBorders>
          </w:tcPr>
          <w:p w14:paraId="6805574D" w14:textId="77777777" w:rsidR="00823785" w:rsidRPr="00452D62" w:rsidRDefault="00823785" w:rsidP="006453B9">
            <w:pPr>
              <w:widowControl w:val="0"/>
              <w:tabs>
                <w:tab w:val="clear" w:pos="567"/>
              </w:tabs>
              <w:suppressAutoHyphens w:val="0"/>
              <w:spacing w:line="240" w:lineRule="auto"/>
              <w:ind w:right="-20"/>
              <w:rPr>
                <w:color w:val="auto"/>
                <w:sz w:val="22"/>
                <w:szCs w:val="22"/>
                <w:lang w:eastAsia="sl-SI"/>
              </w:rPr>
            </w:pPr>
            <w:r w:rsidRPr="00452D62">
              <w:rPr>
                <w:color w:val="auto"/>
                <w:sz w:val="22"/>
                <w:szCs w:val="22"/>
                <w:lang w:eastAsia="sl-SI"/>
              </w:rPr>
              <w:t>30 mg</w:t>
            </w:r>
          </w:p>
        </w:tc>
      </w:tr>
      <w:tr w:rsidR="00823785" w:rsidRPr="00452D62" w14:paraId="07B8F543" w14:textId="77777777" w:rsidTr="006453B9">
        <w:trPr>
          <w:trHeight w:hRule="exact" w:val="529"/>
        </w:trPr>
        <w:tc>
          <w:tcPr>
            <w:tcW w:w="2340" w:type="dxa"/>
            <w:vMerge/>
            <w:tcBorders>
              <w:left w:val="single" w:sz="4" w:space="0" w:color="000000"/>
              <w:bottom w:val="single" w:sz="4" w:space="0" w:color="000000"/>
              <w:right w:val="single" w:sz="4" w:space="0" w:color="000000"/>
            </w:tcBorders>
          </w:tcPr>
          <w:p w14:paraId="1A3A0B50" w14:textId="77777777" w:rsidR="00823785" w:rsidRPr="00452D62" w:rsidRDefault="00823785" w:rsidP="006453B9">
            <w:pPr>
              <w:widowControl w:val="0"/>
              <w:tabs>
                <w:tab w:val="clear" w:pos="567"/>
              </w:tabs>
              <w:suppressAutoHyphens w:val="0"/>
              <w:spacing w:line="240" w:lineRule="auto"/>
              <w:rPr>
                <w:color w:val="auto"/>
                <w:sz w:val="22"/>
                <w:szCs w:val="22"/>
                <w:lang w:eastAsia="sl-SI"/>
              </w:rPr>
            </w:pPr>
          </w:p>
        </w:tc>
        <w:tc>
          <w:tcPr>
            <w:tcW w:w="2371" w:type="dxa"/>
            <w:tcBorders>
              <w:top w:val="single" w:sz="4" w:space="0" w:color="000000"/>
              <w:left w:val="single" w:sz="4" w:space="0" w:color="000000"/>
              <w:bottom w:val="single" w:sz="4" w:space="0" w:color="000000"/>
              <w:right w:val="single" w:sz="4" w:space="0" w:color="000000"/>
            </w:tcBorders>
          </w:tcPr>
          <w:p w14:paraId="3FD0B3F6" w14:textId="77777777" w:rsidR="00823785" w:rsidRPr="00452D62" w:rsidRDefault="00823785" w:rsidP="006453B9">
            <w:pPr>
              <w:widowControl w:val="0"/>
              <w:tabs>
                <w:tab w:val="clear" w:pos="567"/>
              </w:tabs>
              <w:suppressAutoHyphens w:val="0"/>
              <w:spacing w:line="240" w:lineRule="auto"/>
              <w:ind w:right="-20"/>
              <w:rPr>
                <w:color w:val="auto"/>
                <w:sz w:val="22"/>
                <w:szCs w:val="22"/>
                <w:lang w:eastAsia="sl-SI"/>
              </w:rPr>
            </w:pPr>
            <w:r w:rsidRPr="00452D62">
              <w:rPr>
                <w:color w:val="auto"/>
                <w:sz w:val="22"/>
                <w:szCs w:val="22"/>
                <w:lang w:eastAsia="sl-SI"/>
              </w:rPr>
              <w:t>Nuo 22 dienos</w:t>
            </w:r>
          </w:p>
        </w:tc>
        <w:tc>
          <w:tcPr>
            <w:tcW w:w="2369" w:type="dxa"/>
            <w:tcBorders>
              <w:top w:val="single" w:sz="4" w:space="0" w:color="000000"/>
              <w:left w:val="single" w:sz="4" w:space="0" w:color="000000"/>
              <w:bottom w:val="single" w:sz="4" w:space="0" w:color="000000"/>
              <w:right w:val="single" w:sz="4" w:space="0" w:color="000000"/>
            </w:tcBorders>
          </w:tcPr>
          <w:p w14:paraId="4494AB2D" w14:textId="77777777" w:rsidR="00823785" w:rsidRPr="00452D62" w:rsidRDefault="00823785" w:rsidP="006453B9">
            <w:pPr>
              <w:widowControl w:val="0"/>
              <w:tabs>
                <w:tab w:val="clear" w:pos="567"/>
              </w:tabs>
              <w:suppressAutoHyphens w:val="0"/>
              <w:spacing w:line="240" w:lineRule="auto"/>
              <w:ind w:right="-20"/>
              <w:rPr>
                <w:color w:val="auto"/>
                <w:sz w:val="22"/>
                <w:szCs w:val="22"/>
                <w:lang w:eastAsia="sl-SI"/>
              </w:rPr>
            </w:pPr>
            <w:r w:rsidRPr="00452D62">
              <w:rPr>
                <w:color w:val="auto"/>
                <w:sz w:val="22"/>
                <w:szCs w:val="22"/>
                <w:lang w:eastAsia="sl-SI"/>
              </w:rPr>
              <w:t>Po 20 mg vieną kartą per parą</w:t>
            </w:r>
          </w:p>
        </w:tc>
        <w:tc>
          <w:tcPr>
            <w:tcW w:w="2143" w:type="dxa"/>
            <w:tcBorders>
              <w:top w:val="single" w:sz="4" w:space="0" w:color="000000"/>
              <w:left w:val="single" w:sz="4" w:space="0" w:color="000000"/>
              <w:bottom w:val="single" w:sz="4" w:space="0" w:color="000000"/>
              <w:right w:val="single" w:sz="4" w:space="0" w:color="000000"/>
            </w:tcBorders>
          </w:tcPr>
          <w:p w14:paraId="1677A9C7" w14:textId="77777777" w:rsidR="00823785" w:rsidRPr="00452D62" w:rsidRDefault="00823785" w:rsidP="006453B9">
            <w:pPr>
              <w:widowControl w:val="0"/>
              <w:tabs>
                <w:tab w:val="clear" w:pos="567"/>
              </w:tabs>
              <w:suppressAutoHyphens w:val="0"/>
              <w:spacing w:line="240" w:lineRule="auto"/>
              <w:ind w:right="-20"/>
              <w:rPr>
                <w:color w:val="auto"/>
                <w:sz w:val="22"/>
                <w:szCs w:val="22"/>
                <w:lang w:eastAsia="sl-SI"/>
              </w:rPr>
            </w:pPr>
            <w:r w:rsidRPr="00452D62">
              <w:rPr>
                <w:color w:val="auto"/>
                <w:sz w:val="22"/>
                <w:szCs w:val="22"/>
                <w:lang w:eastAsia="sl-SI"/>
              </w:rPr>
              <w:t>20 mg</w:t>
            </w:r>
          </w:p>
        </w:tc>
      </w:tr>
      <w:tr w:rsidR="00823785" w:rsidRPr="00452D62" w14:paraId="6F56FAFA" w14:textId="77777777" w:rsidTr="006453B9">
        <w:trPr>
          <w:trHeight w:hRule="exact" w:val="826"/>
        </w:trPr>
        <w:tc>
          <w:tcPr>
            <w:tcW w:w="2340" w:type="dxa"/>
            <w:tcBorders>
              <w:top w:val="single" w:sz="4" w:space="0" w:color="000000"/>
              <w:left w:val="single" w:sz="4" w:space="0" w:color="000000"/>
              <w:bottom w:val="single" w:sz="4" w:space="0" w:color="000000"/>
              <w:right w:val="single" w:sz="4" w:space="0" w:color="000000"/>
            </w:tcBorders>
          </w:tcPr>
          <w:p w14:paraId="5DA5C722" w14:textId="77777777" w:rsidR="00823785" w:rsidRPr="00452D62" w:rsidRDefault="00823785" w:rsidP="006453B9">
            <w:pPr>
              <w:widowControl w:val="0"/>
              <w:tabs>
                <w:tab w:val="clear" w:pos="567"/>
              </w:tabs>
              <w:suppressAutoHyphens w:val="0"/>
              <w:spacing w:line="240" w:lineRule="auto"/>
              <w:ind w:right="-20"/>
              <w:rPr>
                <w:color w:val="auto"/>
                <w:sz w:val="22"/>
                <w:szCs w:val="22"/>
                <w:lang w:eastAsia="sl-SI"/>
              </w:rPr>
            </w:pPr>
            <w:r w:rsidRPr="00452D62">
              <w:rPr>
                <w:color w:val="auto"/>
                <w:sz w:val="22"/>
                <w:szCs w:val="22"/>
                <w:lang w:eastAsia="sl-SI"/>
              </w:rPr>
              <w:t>Pasikartojančios GVT bei PE profilaktika</w:t>
            </w:r>
          </w:p>
        </w:tc>
        <w:tc>
          <w:tcPr>
            <w:tcW w:w="2371" w:type="dxa"/>
            <w:tcBorders>
              <w:top w:val="single" w:sz="4" w:space="0" w:color="000000"/>
              <w:left w:val="single" w:sz="4" w:space="0" w:color="000000"/>
              <w:bottom w:val="single" w:sz="4" w:space="0" w:color="000000"/>
              <w:right w:val="single" w:sz="4" w:space="0" w:color="000000"/>
            </w:tcBorders>
          </w:tcPr>
          <w:p w14:paraId="3BD53B3E" w14:textId="77777777" w:rsidR="00823785" w:rsidRPr="00452D62" w:rsidRDefault="00823785" w:rsidP="006453B9">
            <w:pPr>
              <w:widowControl w:val="0"/>
              <w:tabs>
                <w:tab w:val="clear" w:pos="567"/>
              </w:tabs>
              <w:suppressAutoHyphens w:val="0"/>
              <w:spacing w:line="240" w:lineRule="auto"/>
              <w:ind w:right="171"/>
              <w:rPr>
                <w:color w:val="auto"/>
                <w:sz w:val="22"/>
                <w:szCs w:val="22"/>
                <w:lang w:eastAsia="sl-SI"/>
              </w:rPr>
            </w:pPr>
            <w:r w:rsidRPr="00452D62">
              <w:rPr>
                <w:color w:val="auto"/>
                <w:sz w:val="22"/>
                <w:szCs w:val="22"/>
                <w:lang w:eastAsia="sl-SI"/>
              </w:rPr>
              <w:t>Užbaigus bent 6 mėnesių trukmės GVT arba PE gydymą</w:t>
            </w:r>
          </w:p>
        </w:tc>
        <w:tc>
          <w:tcPr>
            <w:tcW w:w="2369" w:type="dxa"/>
            <w:tcBorders>
              <w:top w:val="single" w:sz="4" w:space="0" w:color="000000"/>
              <w:left w:val="single" w:sz="4" w:space="0" w:color="000000"/>
              <w:bottom w:val="single" w:sz="4" w:space="0" w:color="000000"/>
              <w:right w:val="single" w:sz="4" w:space="0" w:color="000000"/>
            </w:tcBorders>
          </w:tcPr>
          <w:p w14:paraId="7E4E95D5" w14:textId="77777777" w:rsidR="00823785" w:rsidRPr="00452D62" w:rsidRDefault="00823785" w:rsidP="006453B9">
            <w:pPr>
              <w:widowControl w:val="0"/>
              <w:tabs>
                <w:tab w:val="clear" w:pos="567"/>
              </w:tabs>
              <w:suppressAutoHyphens w:val="0"/>
              <w:spacing w:line="240" w:lineRule="auto"/>
              <w:ind w:right="-20"/>
              <w:rPr>
                <w:color w:val="auto"/>
                <w:sz w:val="22"/>
                <w:szCs w:val="22"/>
                <w:lang w:eastAsia="sl-SI"/>
              </w:rPr>
            </w:pPr>
            <w:r w:rsidRPr="00452D62">
              <w:rPr>
                <w:color w:val="auto"/>
                <w:sz w:val="22"/>
                <w:szCs w:val="22"/>
                <w:lang w:eastAsia="sl-SI"/>
              </w:rPr>
              <w:t>Po 10 mg vieną kartą per parą arba po 20 mg du kartus per parą</w:t>
            </w:r>
          </w:p>
        </w:tc>
        <w:tc>
          <w:tcPr>
            <w:tcW w:w="2143" w:type="dxa"/>
            <w:tcBorders>
              <w:top w:val="single" w:sz="4" w:space="0" w:color="000000"/>
              <w:left w:val="single" w:sz="4" w:space="0" w:color="000000"/>
              <w:bottom w:val="single" w:sz="4" w:space="0" w:color="000000"/>
              <w:right w:val="single" w:sz="4" w:space="0" w:color="000000"/>
            </w:tcBorders>
          </w:tcPr>
          <w:p w14:paraId="27D70431" w14:textId="77777777" w:rsidR="00823785" w:rsidRPr="00452D62" w:rsidRDefault="00823785" w:rsidP="006453B9">
            <w:pPr>
              <w:widowControl w:val="0"/>
              <w:tabs>
                <w:tab w:val="clear" w:pos="567"/>
              </w:tabs>
              <w:suppressAutoHyphens w:val="0"/>
              <w:spacing w:line="240" w:lineRule="auto"/>
              <w:ind w:right="-20"/>
              <w:rPr>
                <w:color w:val="auto"/>
                <w:sz w:val="22"/>
                <w:szCs w:val="22"/>
                <w:lang w:eastAsia="sl-SI"/>
              </w:rPr>
            </w:pPr>
            <w:r w:rsidRPr="00452D62">
              <w:rPr>
                <w:color w:val="auto"/>
                <w:sz w:val="22"/>
                <w:szCs w:val="22"/>
                <w:lang w:eastAsia="sl-SI"/>
              </w:rPr>
              <w:t>10 mg</w:t>
            </w:r>
          </w:p>
          <w:p w14:paraId="7EC8905B" w14:textId="77777777" w:rsidR="00823785" w:rsidRPr="00452D62" w:rsidRDefault="00823785" w:rsidP="006453B9">
            <w:pPr>
              <w:widowControl w:val="0"/>
              <w:tabs>
                <w:tab w:val="clear" w:pos="567"/>
              </w:tabs>
              <w:suppressAutoHyphens w:val="0"/>
              <w:spacing w:line="240" w:lineRule="auto"/>
              <w:ind w:right="-20"/>
              <w:rPr>
                <w:color w:val="auto"/>
                <w:sz w:val="22"/>
                <w:szCs w:val="22"/>
                <w:lang w:eastAsia="sl-SI"/>
              </w:rPr>
            </w:pPr>
            <w:r w:rsidRPr="00452D62">
              <w:rPr>
                <w:color w:val="auto"/>
                <w:sz w:val="22"/>
                <w:szCs w:val="22"/>
                <w:lang w:eastAsia="sl-SI"/>
              </w:rPr>
              <w:t>arba 20 mg</w:t>
            </w:r>
          </w:p>
        </w:tc>
      </w:tr>
    </w:tbl>
    <w:p w14:paraId="76E735D7" w14:textId="77777777" w:rsidR="00823785" w:rsidRPr="00452D62" w:rsidRDefault="00823785" w:rsidP="00823785">
      <w:pPr>
        <w:rPr>
          <w:iCs/>
          <w:sz w:val="22"/>
          <w:szCs w:val="22"/>
        </w:rPr>
      </w:pPr>
    </w:p>
    <w:p w14:paraId="1F095E09" w14:textId="77777777" w:rsidR="00823785" w:rsidRPr="00452D62" w:rsidRDefault="00823785" w:rsidP="00823785">
      <w:pPr>
        <w:rPr>
          <w:iCs/>
          <w:sz w:val="22"/>
          <w:szCs w:val="22"/>
        </w:rPr>
      </w:pPr>
      <w:r w:rsidRPr="00452D62">
        <w:rPr>
          <w:iCs/>
          <w:sz w:val="22"/>
          <w:szCs w:val="22"/>
        </w:rPr>
        <w:t>Jei pacientas pamiršo pavartoti dozę gydymo laikotarpiu, kai vartojama po 15 mg du kartus per parą (1</w:t>
      </w:r>
      <w:r w:rsidRPr="00452D62">
        <w:rPr>
          <w:iCs/>
          <w:sz w:val="22"/>
          <w:szCs w:val="22"/>
        </w:rPr>
        <w:noBreakHyphen/>
        <w:t>21 dieną), jis Xerdoxo turi išgerti nedelsdamas, taip užtikrindamas, kad per parą suvartos 30 mg Xerdoxo dozę. Tokiu atveju gali prireikti suvartoti dvi 15 mg tabletes iš karto. Kitą parą pacientas turi toliau vartoti po 15 mg du kartus per parą, kaip rekomenduojama.</w:t>
      </w:r>
    </w:p>
    <w:p w14:paraId="45694C85" w14:textId="77777777" w:rsidR="00823785" w:rsidRPr="00452D62" w:rsidRDefault="00823785" w:rsidP="00823785">
      <w:pPr>
        <w:rPr>
          <w:iCs/>
          <w:sz w:val="22"/>
          <w:szCs w:val="22"/>
        </w:rPr>
      </w:pPr>
    </w:p>
    <w:p w14:paraId="73A96E91" w14:textId="77777777" w:rsidR="00823785" w:rsidRPr="00452D62" w:rsidRDefault="00823785" w:rsidP="00823785">
      <w:pPr>
        <w:rPr>
          <w:iCs/>
          <w:sz w:val="22"/>
          <w:szCs w:val="22"/>
        </w:rPr>
      </w:pPr>
      <w:r w:rsidRPr="00452D62">
        <w:rPr>
          <w:iCs/>
          <w:sz w:val="22"/>
          <w:szCs w:val="22"/>
        </w:rPr>
        <w:t>Jei pacientas pamiršo pavartoti dozę gydymo laikotarpiu, kai vaistinio preparato vartojama vieną kartą per parą, jis Xerdoxo turi išgerti nedelsdamas, o kitą dieną toliau vartoti vaistinį preparatą vieną kartą per parą, kaip rekomenduojama. Negalima vartoti dvigubos dozės tą pačią parą norint kompensuoti praleistą dozę.</w:t>
      </w:r>
    </w:p>
    <w:p w14:paraId="5DA5FCFF" w14:textId="77777777" w:rsidR="00A24C54" w:rsidRPr="00452D62" w:rsidRDefault="00A24C54" w:rsidP="00A24C54">
      <w:pPr>
        <w:pStyle w:val="Default"/>
        <w:rPr>
          <w:i/>
          <w:iCs/>
          <w:sz w:val="22"/>
          <w:szCs w:val="22"/>
        </w:rPr>
      </w:pPr>
    </w:p>
    <w:p w14:paraId="10E32F71" w14:textId="5A2BCEB6" w:rsidR="00A24C54" w:rsidRPr="00452D62" w:rsidRDefault="00A24C54" w:rsidP="00A24C54">
      <w:pPr>
        <w:pStyle w:val="Default"/>
        <w:rPr>
          <w:sz w:val="22"/>
          <w:szCs w:val="22"/>
        </w:rPr>
      </w:pPr>
      <w:r w:rsidRPr="00452D62">
        <w:rPr>
          <w:i/>
          <w:iCs/>
          <w:sz w:val="22"/>
          <w:szCs w:val="22"/>
        </w:rPr>
        <w:t xml:space="preserve">VTE gydymas ir pasikartojančios VTE profilaktika vaikams ir paaugliams </w:t>
      </w:r>
    </w:p>
    <w:p w14:paraId="769FC40F" w14:textId="77777777" w:rsidR="00A24C54" w:rsidRPr="00452D62" w:rsidRDefault="00A24C54" w:rsidP="00A24C54">
      <w:pPr>
        <w:pStyle w:val="Default"/>
        <w:rPr>
          <w:sz w:val="22"/>
          <w:szCs w:val="22"/>
        </w:rPr>
      </w:pPr>
      <w:r w:rsidRPr="00452D62">
        <w:rPr>
          <w:sz w:val="22"/>
          <w:szCs w:val="22"/>
        </w:rPr>
        <w:t>Gydymą Xerdoxo vaikams ir paaugliams, jaunesniems kaip 18 metų amžiaus, reikia pradėti po ne trumpiau kaip 5 dienas taikyto krešėjimą slopinančio pradinio parenterinio gydymo (žr. 5.1 skyrių).</w:t>
      </w:r>
    </w:p>
    <w:p w14:paraId="6A3174A0" w14:textId="77777777" w:rsidR="00A24C54" w:rsidRPr="00452D62" w:rsidRDefault="00A24C54" w:rsidP="00A24C54">
      <w:pPr>
        <w:pStyle w:val="Default"/>
        <w:rPr>
          <w:sz w:val="22"/>
          <w:szCs w:val="22"/>
        </w:rPr>
      </w:pPr>
    </w:p>
    <w:p w14:paraId="0653FDAA" w14:textId="77777777" w:rsidR="00A24C54" w:rsidRPr="00452D62" w:rsidRDefault="00A24C54" w:rsidP="00A24C54">
      <w:pPr>
        <w:pStyle w:val="Default"/>
        <w:rPr>
          <w:sz w:val="22"/>
          <w:szCs w:val="22"/>
        </w:rPr>
      </w:pPr>
      <w:r w:rsidRPr="00452D62">
        <w:rPr>
          <w:sz w:val="22"/>
          <w:szCs w:val="22"/>
        </w:rPr>
        <w:t>Vaikams ir paaugliams dozė apskaičiuojama pagal kūno svorį.</w:t>
      </w:r>
    </w:p>
    <w:p w14:paraId="5F370692" w14:textId="77777777" w:rsidR="00A24C54" w:rsidRPr="00452D62" w:rsidRDefault="00A24C54" w:rsidP="00A24C54">
      <w:pPr>
        <w:pStyle w:val="Default"/>
        <w:rPr>
          <w:sz w:val="22"/>
          <w:szCs w:val="22"/>
        </w:rPr>
      </w:pPr>
      <w:r w:rsidRPr="00452D62">
        <w:rPr>
          <w:sz w:val="22"/>
          <w:szCs w:val="22"/>
        </w:rPr>
        <w:t>-</w:t>
      </w:r>
      <w:r w:rsidRPr="00452D62">
        <w:rPr>
          <w:sz w:val="22"/>
          <w:szCs w:val="22"/>
        </w:rPr>
        <w:tab/>
        <w:t>30-50 kg kūno svoris:</w:t>
      </w:r>
    </w:p>
    <w:p w14:paraId="5D04087F" w14:textId="3448E46C" w:rsidR="00A24C54" w:rsidRPr="00452D62" w:rsidRDefault="00A24C54" w:rsidP="00A24C54">
      <w:pPr>
        <w:pStyle w:val="Default"/>
        <w:ind w:left="567"/>
        <w:rPr>
          <w:sz w:val="22"/>
          <w:szCs w:val="22"/>
        </w:rPr>
      </w:pPr>
      <w:r w:rsidRPr="00452D62">
        <w:rPr>
          <w:sz w:val="22"/>
          <w:szCs w:val="22"/>
        </w:rPr>
        <w:t>rekomenduojama vartoti 15</w:t>
      </w:r>
      <w:r w:rsidR="00EC5678">
        <w:rPr>
          <w:sz w:val="22"/>
          <w:szCs w:val="22"/>
        </w:rPr>
        <w:t> </w:t>
      </w:r>
      <w:r w:rsidRPr="00452D62">
        <w:rPr>
          <w:sz w:val="22"/>
          <w:szCs w:val="22"/>
        </w:rPr>
        <w:t>mg rivaroksabano dozę vieną kartą per parą. Tai didžiausia paros dozė.</w:t>
      </w:r>
    </w:p>
    <w:p w14:paraId="7EC6DAD5" w14:textId="3E1E149A" w:rsidR="00A24C54" w:rsidRPr="00452D62" w:rsidRDefault="000A5658" w:rsidP="00AE1B80">
      <w:pPr>
        <w:pStyle w:val="Default"/>
        <w:rPr>
          <w:sz w:val="22"/>
          <w:szCs w:val="22"/>
        </w:rPr>
      </w:pPr>
      <w:r w:rsidRPr="00452D62">
        <w:rPr>
          <w:sz w:val="22"/>
          <w:szCs w:val="22"/>
        </w:rPr>
        <w:t>-</w:t>
      </w:r>
      <w:r w:rsidRPr="00452D62">
        <w:rPr>
          <w:sz w:val="22"/>
          <w:szCs w:val="22"/>
        </w:rPr>
        <w:tab/>
      </w:r>
      <w:r w:rsidR="009A332C" w:rsidRPr="00452D62">
        <w:rPr>
          <w:sz w:val="22"/>
          <w:szCs w:val="22"/>
        </w:rPr>
        <w:t>50 </w:t>
      </w:r>
      <w:r w:rsidR="00A24C54" w:rsidRPr="00452D62">
        <w:rPr>
          <w:sz w:val="22"/>
          <w:szCs w:val="22"/>
        </w:rPr>
        <w:t xml:space="preserve">kg arba didesnis kūno svoris: </w:t>
      </w:r>
    </w:p>
    <w:p w14:paraId="2DC61065" w14:textId="6B6FC3BF" w:rsidR="00A24C54" w:rsidRPr="00452D62" w:rsidRDefault="00A24C54" w:rsidP="00AE1B80">
      <w:pPr>
        <w:pStyle w:val="Default"/>
        <w:ind w:left="567"/>
        <w:rPr>
          <w:sz w:val="22"/>
          <w:szCs w:val="22"/>
        </w:rPr>
      </w:pPr>
      <w:r w:rsidRPr="00452D62">
        <w:rPr>
          <w:sz w:val="22"/>
          <w:szCs w:val="22"/>
        </w:rPr>
        <w:t>rekomenduojama vartoti 20</w:t>
      </w:r>
      <w:r w:rsidR="00EC5678">
        <w:rPr>
          <w:sz w:val="22"/>
          <w:szCs w:val="22"/>
        </w:rPr>
        <w:t> </w:t>
      </w:r>
      <w:r w:rsidRPr="00452D62">
        <w:rPr>
          <w:sz w:val="22"/>
          <w:szCs w:val="22"/>
        </w:rPr>
        <w:t>mg rivaroksabano dozę vieną kartą per parą. Tai didžiausia paros dozė.</w:t>
      </w:r>
    </w:p>
    <w:p w14:paraId="226FC5A4" w14:textId="660805E9" w:rsidR="00A24C54" w:rsidRPr="00AE1B80" w:rsidRDefault="00A24C54" w:rsidP="00A24C54">
      <w:pPr>
        <w:widowControl w:val="0"/>
        <w:tabs>
          <w:tab w:val="clear" w:pos="567"/>
          <w:tab w:val="left" w:pos="804"/>
          <w:tab w:val="left" w:pos="805"/>
        </w:tabs>
        <w:suppressAutoHyphens w:val="0"/>
        <w:autoSpaceDE w:val="0"/>
        <w:autoSpaceDN w:val="0"/>
        <w:spacing w:line="240" w:lineRule="auto"/>
        <w:ind w:left="567" w:hanging="567"/>
        <w:rPr>
          <w:color w:val="auto"/>
          <w:sz w:val="22"/>
        </w:rPr>
      </w:pPr>
      <w:r w:rsidRPr="00AE1B80">
        <w:rPr>
          <w:color w:val="auto"/>
          <w:sz w:val="22"/>
        </w:rPr>
        <w:t>-</w:t>
      </w:r>
      <w:r w:rsidRPr="00AE1B80">
        <w:rPr>
          <w:color w:val="auto"/>
          <w:sz w:val="22"/>
        </w:rPr>
        <w:tab/>
      </w:r>
      <w:r w:rsidRPr="00452D62">
        <w:rPr>
          <w:sz w:val="22"/>
          <w:szCs w:val="22"/>
          <w:lang w:eastAsia="sl-SI"/>
        </w:rPr>
        <w:t>Rekomendacijas dėl pacientų, kurių kūno svoris mažesni</w:t>
      </w:r>
      <w:r w:rsidR="009A332C" w:rsidRPr="00452D62">
        <w:rPr>
          <w:sz w:val="22"/>
          <w:szCs w:val="22"/>
          <w:lang w:eastAsia="sl-SI"/>
        </w:rPr>
        <w:t>s kaip 30 kg, skaitykite rivaroksabano</w:t>
      </w:r>
      <w:r w:rsidRPr="00452D62">
        <w:rPr>
          <w:sz w:val="22"/>
          <w:szCs w:val="22"/>
          <w:lang w:eastAsia="sl-SI"/>
        </w:rPr>
        <w:t xml:space="preserve"> granulių geriamajai suspensijai prepara</w:t>
      </w:r>
      <w:r w:rsidR="009A332C" w:rsidRPr="00452D62">
        <w:rPr>
          <w:sz w:val="22"/>
          <w:szCs w:val="22"/>
          <w:lang w:eastAsia="sl-SI"/>
        </w:rPr>
        <w:t>to charakteristikų santraukoje.</w:t>
      </w:r>
    </w:p>
    <w:p w14:paraId="34FDDAFA" w14:textId="77777777" w:rsidR="00A24C54" w:rsidRPr="00452D62" w:rsidRDefault="00A24C54" w:rsidP="00A24C54">
      <w:pPr>
        <w:pStyle w:val="Default"/>
        <w:rPr>
          <w:sz w:val="22"/>
          <w:szCs w:val="22"/>
        </w:rPr>
      </w:pPr>
    </w:p>
    <w:p w14:paraId="09C67DB8" w14:textId="77777777" w:rsidR="00A24C54" w:rsidRPr="00452D62" w:rsidRDefault="00A24C54" w:rsidP="00A24C54">
      <w:pPr>
        <w:pStyle w:val="Default"/>
        <w:rPr>
          <w:sz w:val="22"/>
          <w:szCs w:val="22"/>
        </w:rPr>
      </w:pPr>
      <w:r w:rsidRPr="00452D62">
        <w:rPr>
          <w:sz w:val="22"/>
          <w:szCs w:val="22"/>
        </w:rPr>
        <w:t>Reikia reguliariai tikrinti vaiko svorį ir peržiūrėti dozę. Tai būtina, užtikrinant, kad bus palaikoma gydomoji dozė. Dozė turi būti koreguojama, atsižvelgiant tik į kūno svorio pokyčius.</w:t>
      </w:r>
    </w:p>
    <w:p w14:paraId="1ED1A79B" w14:textId="77777777" w:rsidR="00A24C54" w:rsidRPr="00452D62" w:rsidRDefault="00A24C54" w:rsidP="00A24C54">
      <w:pPr>
        <w:pStyle w:val="Default"/>
        <w:rPr>
          <w:sz w:val="22"/>
          <w:szCs w:val="22"/>
        </w:rPr>
      </w:pPr>
    </w:p>
    <w:p w14:paraId="6C179BC7" w14:textId="77777777" w:rsidR="00A24C54" w:rsidRPr="00452D62" w:rsidRDefault="00A24C54" w:rsidP="00A24C54">
      <w:pPr>
        <w:pStyle w:val="Default"/>
        <w:rPr>
          <w:sz w:val="22"/>
          <w:szCs w:val="22"/>
        </w:rPr>
      </w:pPr>
      <w:r w:rsidRPr="00452D62">
        <w:rPr>
          <w:sz w:val="22"/>
          <w:szCs w:val="22"/>
        </w:rPr>
        <w:t>Vaikams ir paaugliams reikia taikyti gydymą ne trumpiau kaip 3 mėnesius. Esant klinikiniam poreikiui, gydymą galima pratęsti iki 12 mėnesių. Nėra duomenų, kurie patvirtintų, kad vaikams po 6 gydymo mėnesių būtų galima mažinti dozę. Praėjus 3 mėnesiams, tęstinio gydymo naudos ir rizikos santykį reikia įvertinti individualiai, atsižvelgiant į pasikartojančios trombozės riziką lyginant su galimo kraujavimo rizika.</w:t>
      </w:r>
    </w:p>
    <w:p w14:paraId="60C02384" w14:textId="77777777" w:rsidR="00A24C54" w:rsidRPr="00452D62" w:rsidRDefault="00A24C54" w:rsidP="00A24C54">
      <w:pPr>
        <w:pStyle w:val="Default"/>
        <w:rPr>
          <w:sz w:val="22"/>
          <w:szCs w:val="22"/>
        </w:rPr>
      </w:pPr>
    </w:p>
    <w:p w14:paraId="461F7377" w14:textId="77777777" w:rsidR="00A24C54" w:rsidRPr="00452D62" w:rsidRDefault="00A24C54" w:rsidP="00A24C54">
      <w:pPr>
        <w:widowControl w:val="0"/>
        <w:tabs>
          <w:tab w:val="clear" w:pos="567"/>
          <w:tab w:val="left" w:pos="804"/>
          <w:tab w:val="left" w:pos="805"/>
        </w:tabs>
        <w:suppressAutoHyphens w:val="0"/>
        <w:autoSpaceDE w:val="0"/>
        <w:autoSpaceDN w:val="0"/>
        <w:spacing w:line="240" w:lineRule="auto"/>
        <w:rPr>
          <w:sz w:val="22"/>
          <w:szCs w:val="22"/>
        </w:rPr>
      </w:pPr>
      <w:r w:rsidRPr="00452D62">
        <w:rPr>
          <w:sz w:val="22"/>
          <w:szCs w:val="22"/>
        </w:rPr>
        <w:t>Pamiršus pavartoti dozę, šią dozę reikia suvartoti kuo anksčiau tai pastebėjus, bet tik tą pačią dieną. Jei tai neįmanoma, pacientas turi praleisti šią dozę ir kitą dozę vartoti kaip paskirta. Pacientas neturi vartoti dvigubos dozės norėdamas kompensuoti praleistą dozę.</w:t>
      </w:r>
    </w:p>
    <w:p w14:paraId="1C67699B" w14:textId="77777777" w:rsidR="00823785" w:rsidRPr="00AE1B80" w:rsidRDefault="00823785" w:rsidP="00C815AC">
      <w:pPr>
        <w:widowControl w:val="0"/>
        <w:tabs>
          <w:tab w:val="clear" w:pos="567"/>
          <w:tab w:val="left" w:pos="805"/>
          <w:tab w:val="left" w:pos="806"/>
        </w:tabs>
        <w:suppressAutoHyphens w:val="0"/>
        <w:autoSpaceDE w:val="0"/>
        <w:autoSpaceDN w:val="0"/>
        <w:spacing w:line="240" w:lineRule="auto"/>
        <w:rPr>
          <w:color w:val="auto"/>
          <w:sz w:val="22"/>
          <w:highlight w:val="yellow"/>
          <w:lang w:val="pt-PT"/>
        </w:rPr>
      </w:pPr>
    </w:p>
    <w:p w14:paraId="464B219F" w14:textId="77777777" w:rsidR="00823785" w:rsidRPr="00452D62" w:rsidRDefault="00823785" w:rsidP="00823785">
      <w:pPr>
        <w:rPr>
          <w:iCs/>
          <w:sz w:val="22"/>
          <w:szCs w:val="22"/>
        </w:rPr>
      </w:pPr>
      <w:r w:rsidRPr="00452D62">
        <w:rPr>
          <w:i/>
          <w:iCs/>
          <w:sz w:val="22"/>
          <w:szCs w:val="22"/>
        </w:rPr>
        <w:t>Vitamino K antagonistų (VKA) keitimas Xerdoxo</w:t>
      </w:r>
    </w:p>
    <w:p w14:paraId="4B55A116" w14:textId="04E467CF" w:rsidR="00823785" w:rsidRPr="00452D62" w:rsidRDefault="00823785" w:rsidP="00C815AC">
      <w:pPr>
        <w:pStyle w:val="Sraopastraipa"/>
        <w:numPr>
          <w:ilvl w:val="0"/>
          <w:numId w:val="34"/>
        </w:numPr>
        <w:rPr>
          <w:iCs/>
          <w:sz w:val="22"/>
          <w:szCs w:val="22"/>
        </w:rPr>
      </w:pPr>
      <w:r w:rsidRPr="00452D62">
        <w:rPr>
          <w:iCs/>
          <w:sz w:val="22"/>
          <w:szCs w:val="22"/>
        </w:rPr>
        <w:t xml:space="preserve">Iinsulto ir sisteminės embolijos profilaktika, gydymą VKA reikia nutraukti ir gydymą Xerdoxo pradėti, kai tarptautinis normalizuotas santykis (angl. </w:t>
      </w:r>
      <w:r w:rsidRPr="00452D62">
        <w:rPr>
          <w:i/>
          <w:sz w:val="22"/>
          <w:szCs w:val="22"/>
        </w:rPr>
        <w:t>International Normalized Ratio</w:t>
      </w:r>
      <w:r w:rsidRPr="00452D62">
        <w:rPr>
          <w:iCs/>
          <w:sz w:val="22"/>
          <w:szCs w:val="22"/>
        </w:rPr>
        <w:t>, INR) yra ≤ 3,0.</w:t>
      </w:r>
    </w:p>
    <w:p w14:paraId="2F11980B" w14:textId="2A0515BC" w:rsidR="00823785" w:rsidRPr="00452D62" w:rsidRDefault="00823785" w:rsidP="003558EC">
      <w:pPr>
        <w:pStyle w:val="Sraopastraipa"/>
        <w:numPr>
          <w:ilvl w:val="0"/>
          <w:numId w:val="34"/>
        </w:numPr>
        <w:rPr>
          <w:iCs/>
          <w:sz w:val="22"/>
          <w:szCs w:val="22"/>
        </w:rPr>
      </w:pPr>
      <w:r w:rsidRPr="00452D62">
        <w:rPr>
          <w:iCs/>
          <w:sz w:val="22"/>
          <w:szCs w:val="22"/>
        </w:rPr>
        <w:t>GVT, PE gydymas ir šių sutrikimų pasikartojimo profilaktika suaugusiems</w:t>
      </w:r>
      <w:r w:rsidR="003558EC" w:rsidRPr="00452D62">
        <w:rPr>
          <w:iCs/>
          <w:sz w:val="22"/>
          <w:szCs w:val="22"/>
        </w:rPr>
        <w:t xml:space="preserve"> ir VTE gydymas bei šio sutrikimo pasikartojimo profilaktika vaikams</w:t>
      </w:r>
      <w:r w:rsidRPr="00452D62">
        <w:rPr>
          <w:iCs/>
          <w:sz w:val="22"/>
          <w:szCs w:val="22"/>
        </w:rPr>
        <w:t>:</w:t>
      </w:r>
    </w:p>
    <w:p w14:paraId="5102A9AC" w14:textId="39CFAF73" w:rsidR="00823785" w:rsidRPr="00452D62" w:rsidRDefault="00823785" w:rsidP="00C815AC">
      <w:pPr>
        <w:ind w:left="360"/>
        <w:rPr>
          <w:iCs/>
          <w:sz w:val="22"/>
          <w:szCs w:val="22"/>
        </w:rPr>
      </w:pPr>
      <w:r w:rsidRPr="00452D62">
        <w:rPr>
          <w:iCs/>
          <w:sz w:val="22"/>
          <w:szCs w:val="22"/>
        </w:rPr>
        <w:t>Gydymą VKA reikia nutraukti ir gydymą Xerdoxo pradėti, kai INR yra ≤ 2,5.</w:t>
      </w:r>
    </w:p>
    <w:p w14:paraId="6E3416DB" w14:textId="6F8AAFE2" w:rsidR="00823785" w:rsidRPr="00452D62" w:rsidRDefault="00823785" w:rsidP="00823785">
      <w:pPr>
        <w:rPr>
          <w:iCs/>
          <w:sz w:val="22"/>
          <w:szCs w:val="22"/>
        </w:rPr>
      </w:pPr>
      <w:r w:rsidRPr="00452D62">
        <w:rPr>
          <w:iCs/>
          <w:sz w:val="22"/>
          <w:szCs w:val="22"/>
        </w:rPr>
        <w:t>VKA keičiant Xerdoxo, pradėjus vartoti Xerdoxo INR rodmenys gali būti klaidingai padidėję. INR nėra patvirtintas Xerdoxo antikoaguliaciniam aktyvumui vertinti ir todėl neturi būti naudojamas (žr. 4.5 skyrių).</w:t>
      </w:r>
    </w:p>
    <w:p w14:paraId="5F5DB48F" w14:textId="77777777" w:rsidR="00823785" w:rsidRPr="00452D62" w:rsidRDefault="00823785" w:rsidP="00823785">
      <w:pPr>
        <w:rPr>
          <w:iCs/>
          <w:sz w:val="22"/>
          <w:szCs w:val="22"/>
        </w:rPr>
      </w:pPr>
    </w:p>
    <w:p w14:paraId="28E4CC75" w14:textId="77777777" w:rsidR="00823785" w:rsidRPr="00452D62" w:rsidRDefault="00823785" w:rsidP="00823785">
      <w:pPr>
        <w:rPr>
          <w:sz w:val="22"/>
          <w:szCs w:val="22"/>
        </w:rPr>
      </w:pPr>
      <w:r w:rsidRPr="00452D62">
        <w:rPr>
          <w:i/>
          <w:iCs/>
          <w:sz w:val="22"/>
          <w:szCs w:val="22"/>
        </w:rPr>
        <w:t>Xerdoxo keitimas vitamino K antagonistais (VKA)</w:t>
      </w:r>
    </w:p>
    <w:p w14:paraId="6C847DAB" w14:textId="77777777" w:rsidR="00823785" w:rsidRPr="00452D62" w:rsidRDefault="00823785" w:rsidP="00823785">
      <w:pPr>
        <w:rPr>
          <w:sz w:val="22"/>
          <w:szCs w:val="22"/>
        </w:rPr>
      </w:pPr>
      <w:r w:rsidRPr="00452D62">
        <w:rPr>
          <w:sz w:val="22"/>
          <w:szCs w:val="22"/>
        </w:rPr>
        <w:t>Xerdoxo keitimo VKA metu antikoaguliacija gali būti nepakankama. Bet kokiais antikoagulianto keitimo atvejais turi būti užtikrinta tęstinė pakankama antikoaguliacija. Reikia atkreipti dėmesį, kad Xerdoxo gali lemti INR padidėjimą.</w:t>
      </w:r>
    </w:p>
    <w:p w14:paraId="31D5E8CE" w14:textId="368A5A87" w:rsidR="00823785" w:rsidRPr="00452D62" w:rsidRDefault="00823785" w:rsidP="00823785">
      <w:pPr>
        <w:rPr>
          <w:sz w:val="22"/>
          <w:szCs w:val="22"/>
        </w:rPr>
      </w:pPr>
      <w:r w:rsidRPr="00452D62">
        <w:rPr>
          <w:sz w:val="22"/>
          <w:szCs w:val="22"/>
        </w:rPr>
        <w:t xml:space="preserve">Gydymą Xerdoxo keičiant į VKA, kartu skiriamas turi būti VKA tol, kol INR tampa ≥ 2,0. Pirmąsias dvi keitimo paras reikia skirti įprastinę pradinę VKA dozę, po to VKA dozę reikia parinkti atsižvelgiant į INR rodmenis. Kol pacientas vartoja ir Xerdoxo, ir VKA, </w:t>
      </w:r>
      <w:r w:rsidRPr="00452D62">
        <w:rPr>
          <w:iCs/>
          <w:sz w:val="22"/>
          <w:szCs w:val="22"/>
        </w:rPr>
        <w:t>INR</w:t>
      </w:r>
      <w:r w:rsidRPr="00452D62">
        <w:rPr>
          <w:sz w:val="22"/>
          <w:szCs w:val="22"/>
        </w:rPr>
        <w:t xml:space="preserve"> reikia tirti ne anksčiau nei 24 valandos po ankstesnės Xerdoxo dozės pavartojimo, tačiau prieš vartojant kitą Xerdoxo dozę. Nutraukus Xerdoxo vartojimą, </w:t>
      </w:r>
      <w:r w:rsidRPr="00452D62">
        <w:rPr>
          <w:iCs/>
          <w:sz w:val="22"/>
          <w:szCs w:val="22"/>
        </w:rPr>
        <w:t>INR</w:t>
      </w:r>
      <w:r w:rsidRPr="00452D62">
        <w:rPr>
          <w:sz w:val="22"/>
          <w:szCs w:val="22"/>
        </w:rPr>
        <w:t xml:space="preserve"> galima patikimai nustatyti praėjus ne mažiau kaip 24 valandoms po paskutiniosios dozės pavartojimo (žr. 4.5 ir 5.2 skyrius).</w:t>
      </w:r>
    </w:p>
    <w:p w14:paraId="642F08FC" w14:textId="77777777" w:rsidR="009B49C1" w:rsidRPr="00452D62" w:rsidRDefault="009B49C1" w:rsidP="009B49C1">
      <w:pPr>
        <w:rPr>
          <w:sz w:val="22"/>
          <w:szCs w:val="22"/>
        </w:rPr>
      </w:pPr>
    </w:p>
    <w:p w14:paraId="2C60BD86" w14:textId="0F0594ED" w:rsidR="009B49C1" w:rsidRPr="00452D62" w:rsidRDefault="009B49C1" w:rsidP="009B49C1">
      <w:pPr>
        <w:rPr>
          <w:sz w:val="22"/>
          <w:szCs w:val="22"/>
        </w:rPr>
      </w:pPr>
      <w:r w:rsidRPr="00452D62">
        <w:rPr>
          <w:sz w:val="22"/>
          <w:szCs w:val="22"/>
        </w:rPr>
        <w:t>Vaikų populiacija</w:t>
      </w:r>
    </w:p>
    <w:p w14:paraId="50518284" w14:textId="7E1558BF" w:rsidR="00823785" w:rsidRPr="00452D62" w:rsidRDefault="009B49C1" w:rsidP="009B49C1">
      <w:pPr>
        <w:rPr>
          <w:sz w:val="22"/>
          <w:szCs w:val="22"/>
        </w:rPr>
      </w:pPr>
      <w:r w:rsidRPr="00452D62">
        <w:rPr>
          <w:sz w:val="22"/>
          <w:szCs w:val="22"/>
        </w:rPr>
        <w:t>Vaikams, kuriems gydymas Xerdoxo keičiamas gydymu VKA, po pirmosios VKA dozės dar 48</w:t>
      </w:r>
      <w:r w:rsidR="00EC5678">
        <w:rPr>
          <w:sz w:val="22"/>
          <w:szCs w:val="22"/>
        </w:rPr>
        <w:t> </w:t>
      </w:r>
      <w:r w:rsidRPr="00452D62">
        <w:rPr>
          <w:sz w:val="22"/>
          <w:szCs w:val="22"/>
        </w:rPr>
        <w:t xml:space="preserve">valandas reikia kartu vartoti Xerdoxo. 2 dienas pavartojus abu vaistinius preparatus, prieš vartojant kitą numatytą Xerdoxo dozę, reikia ištirti TNS. Patariama toliau kartu vartoti Xerdoxo ir VKA, kol TNS bus ≥ 2,0. Nutraukus Xerdoxo vartojimą, TNS patikimai galima ištirti praėjus 24 valandoms po paskutinės dozės (žr. </w:t>
      </w:r>
      <w:r w:rsidR="00760200">
        <w:rPr>
          <w:sz w:val="22"/>
          <w:szCs w:val="22"/>
        </w:rPr>
        <w:t>pirmiau</w:t>
      </w:r>
      <w:r w:rsidRPr="00452D62">
        <w:rPr>
          <w:sz w:val="22"/>
          <w:szCs w:val="22"/>
        </w:rPr>
        <w:t xml:space="preserve"> pateiktą informaciją ir 4.5 skyrių).</w:t>
      </w:r>
    </w:p>
    <w:p w14:paraId="270E581C" w14:textId="77777777" w:rsidR="009B49C1" w:rsidRPr="00452D62" w:rsidRDefault="009B49C1" w:rsidP="009B49C1">
      <w:pPr>
        <w:rPr>
          <w:sz w:val="22"/>
          <w:szCs w:val="22"/>
        </w:rPr>
      </w:pPr>
    </w:p>
    <w:p w14:paraId="6208F4F7" w14:textId="77777777" w:rsidR="00823785" w:rsidRPr="00452D62" w:rsidRDefault="00823785" w:rsidP="00823785">
      <w:pPr>
        <w:rPr>
          <w:sz w:val="22"/>
          <w:szCs w:val="22"/>
        </w:rPr>
      </w:pPr>
      <w:r w:rsidRPr="00452D62">
        <w:rPr>
          <w:i/>
          <w:iCs/>
          <w:sz w:val="22"/>
          <w:szCs w:val="22"/>
        </w:rPr>
        <w:t xml:space="preserve">Parenteriniu būdu vartojamų antikoaguliantų keitimas </w:t>
      </w:r>
      <w:r w:rsidRPr="00452D62">
        <w:rPr>
          <w:i/>
          <w:sz w:val="22"/>
          <w:szCs w:val="22"/>
        </w:rPr>
        <w:t>Xerdoxo</w:t>
      </w:r>
    </w:p>
    <w:p w14:paraId="0CAAA0F8" w14:textId="4707D7E2" w:rsidR="00823785" w:rsidRPr="00452D62" w:rsidRDefault="00823785" w:rsidP="00823785">
      <w:pPr>
        <w:rPr>
          <w:i/>
          <w:iCs/>
          <w:sz w:val="22"/>
          <w:szCs w:val="22"/>
        </w:rPr>
      </w:pPr>
      <w:r w:rsidRPr="00452D62">
        <w:rPr>
          <w:sz w:val="22"/>
          <w:szCs w:val="22"/>
        </w:rPr>
        <w:t>Parenteriniu būdu antikoaguliantų vartojantiems suaugusiems pacientams</w:t>
      </w:r>
      <w:r w:rsidR="007C5A41" w:rsidRPr="00452D62">
        <w:rPr>
          <w:sz w:val="22"/>
          <w:szCs w:val="22"/>
        </w:rPr>
        <w:t xml:space="preserve"> ir vaikams</w:t>
      </w:r>
      <w:r w:rsidRPr="00452D62">
        <w:rPr>
          <w:sz w:val="22"/>
          <w:szCs w:val="22"/>
        </w:rPr>
        <w:t xml:space="preserve"> reikia nutraukti parenterinio antikoagulianto vartojimą ir pradėti vartoti Xerdoxo likus 0</w:t>
      </w:r>
      <w:r w:rsidRPr="00452D62">
        <w:rPr>
          <w:sz w:val="22"/>
          <w:szCs w:val="22"/>
        </w:rPr>
        <w:noBreakHyphen/>
        <w:t>2 val. iki to laiko, kai pagal numatytą dozavimo schemą turėtų būti vartojamas parenterinis vaistinis preparatas (pvz., mažos molekulinės masės heparinas), arba nepertraukiamai vartojamo parenterinio vaistinio preparato (pvz., intraveninio nefrakcionuoto heparino) nutraukimo metu.</w:t>
      </w:r>
    </w:p>
    <w:p w14:paraId="08EDF987" w14:textId="77777777" w:rsidR="00823785" w:rsidRPr="00452D62" w:rsidRDefault="00823785" w:rsidP="00823785">
      <w:pPr>
        <w:rPr>
          <w:i/>
          <w:iCs/>
          <w:sz w:val="22"/>
          <w:szCs w:val="22"/>
        </w:rPr>
      </w:pPr>
    </w:p>
    <w:p w14:paraId="2C8A62B2" w14:textId="77777777" w:rsidR="00823785" w:rsidRPr="00452D62" w:rsidRDefault="00823785" w:rsidP="00823785">
      <w:pPr>
        <w:rPr>
          <w:sz w:val="22"/>
          <w:szCs w:val="22"/>
        </w:rPr>
      </w:pPr>
      <w:r w:rsidRPr="00452D62">
        <w:rPr>
          <w:i/>
          <w:sz w:val="22"/>
          <w:szCs w:val="22"/>
        </w:rPr>
        <w:t>Xerdoxo</w:t>
      </w:r>
      <w:r w:rsidRPr="00452D62">
        <w:rPr>
          <w:i/>
          <w:iCs/>
          <w:sz w:val="22"/>
          <w:szCs w:val="22"/>
        </w:rPr>
        <w:t xml:space="preserve"> keitimas parenteriniu būdu vartojamais antikoaguliantais</w:t>
      </w:r>
    </w:p>
    <w:p w14:paraId="53F91869" w14:textId="79C53A39" w:rsidR="00823785" w:rsidRPr="00452D62" w:rsidRDefault="00823785" w:rsidP="00823785">
      <w:pPr>
        <w:rPr>
          <w:sz w:val="22"/>
          <w:szCs w:val="22"/>
          <w:u w:val="single"/>
        </w:rPr>
      </w:pPr>
      <w:r w:rsidRPr="00452D62">
        <w:rPr>
          <w:sz w:val="22"/>
          <w:szCs w:val="22"/>
        </w:rPr>
        <w:t>Reikia nutraukti Xerdoxo varotijimą ir pirmąją parenteriniu būdu vartojamo antikoagulianto dozęskirti tuo metu, kai turėjo būti vartojama kita Xerdoxo dozė.</w:t>
      </w:r>
    </w:p>
    <w:p w14:paraId="162A5481" w14:textId="77777777" w:rsidR="00823785" w:rsidRPr="00452D62" w:rsidRDefault="00823785" w:rsidP="00823785">
      <w:pPr>
        <w:rPr>
          <w:sz w:val="22"/>
          <w:szCs w:val="22"/>
          <w:u w:val="single"/>
        </w:rPr>
      </w:pPr>
    </w:p>
    <w:p w14:paraId="70F8A2F7" w14:textId="77777777" w:rsidR="00823785" w:rsidRPr="00452D62" w:rsidRDefault="00823785" w:rsidP="00823785">
      <w:pPr>
        <w:rPr>
          <w:i/>
          <w:iCs/>
          <w:sz w:val="22"/>
          <w:szCs w:val="22"/>
        </w:rPr>
      </w:pPr>
      <w:r w:rsidRPr="00452D62">
        <w:rPr>
          <w:i/>
          <w:iCs/>
          <w:sz w:val="22"/>
          <w:szCs w:val="22"/>
          <w:u w:val="single"/>
        </w:rPr>
        <w:t>Ypatingos populiacijos</w:t>
      </w:r>
    </w:p>
    <w:p w14:paraId="0790E32B" w14:textId="610B7FF3" w:rsidR="00823785" w:rsidRPr="00452D62" w:rsidRDefault="00823785" w:rsidP="00823785">
      <w:pPr>
        <w:rPr>
          <w:i/>
          <w:sz w:val="22"/>
          <w:szCs w:val="22"/>
        </w:rPr>
      </w:pPr>
      <w:r w:rsidRPr="00452D62">
        <w:rPr>
          <w:i/>
          <w:sz w:val="22"/>
          <w:szCs w:val="22"/>
        </w:rPr>
        <w:t>Pacientams, kurių inkstų funkcija sutrikusi</w:t>
      </w:r>
    </w:p>
    <w:p w14:paraId="113865D9" w14:textId="2D33AA3C" w:rsidR="00FD7F43" w:rsidRPr="00452D62" w:rsidRDefault="00FD7F43" w:rsidP="00823785">
      <w:pPr>
        <w:rPr>
          <w:sz w:val="22"/>
          <w:szCs w:val="22"/>
          <w:u w:val="single"/>
        </w:rPr>
      </w:pPr>
      <w:r w:rsidRPr="00AE1B80">
        <w:rPr>
          <w:sz w:val="22"/>
          <w:szCs w:val="22"/>
        </w:rPr>
        <w:t>Suaugusiesiems</w:t>
      </w:r>
    </w:p>
    <w:p w14:paraId="5C678E89" w14:textId="77777777" w:rsidR="00823785" w:rsidRPr="00452D62" w:rsidRDefault="00823785" w:rsidP="00823785">
      <w:pPr>
        <w:rPr>
          <w:sz w:val="22"/>
          <w:szCs w:val="22"/>
        </w:rPr>
      </w:pPr>
      <w:r w:rsidRPr="00452D62">
        <w:rPr>
          <w:sz w:val="22"/>
          <w:szCs w:val="22"/>
        </w:rPr>
        <w:t>Riboti klinikiniai duomenys rodo, kad pacientams, kuriems yra sunkus inkstų funkcijos sutrikimas (kreatinino klirensas 15</w:t>
      </w:r>
      <w:r w:rsidRPr="00452D62">
        <w:rPr>
          <w:sz w:val="22"/>
          <w:szCs w:val="22"/>
        </w:rPr>
        <w:noBreakHyphen/>
        <w:t>29 ml/min.), rivaroksabano koncentracija kraujo plazmoje būna reikšmingai padidėjusi. Taigi, šiems pacientams Xerdoxo reikia vartoti atsargiai. Nerekomenduojama vartoti pacientams, kurių kreatinino klirensas yra &lt; 15 ml/min. (žr. 4.4 ir 5.2 skyrius).</w:t>
      </w:r>
    </w:p>
    <w:p w14:paraId="0BD3F42A" w14:textId="77777777" w:rsidR="00823785" w:rsidRPr="00452D62" w:rsidRDefault="00823785" w:rsidP="00823785">
      <w:pPr>
        <w:pStyle w:val="Default"/>
        <w:rPr>
          <w:sz w:val="22"/>
          <w:szCs w:val="22"/>
        </w:rPr>
      </w:pPr>
    </w:p>
    <w:p w14:paraId="5D4AB34B" w14:textId="158E971D" w:rsidR="00823785" w:rsidRPr="00452D62" w:rsidRDefault="00823785" w:rsidP="00823785">
      <w:pPr>
        <w:pStyle w:val="Default"/>
        <w:rPr>
          <w:sz w:val="22"/>
          <w:szCs w:val="22"/>
        </w:rPr>
      </w:pPr>
      <w:r w:rsidRPr="00452D62">
        <w:rPr>
          <w:sz w:val="22"/>
          <w:szCs w:val="22"/>
        </w:rPr>
        <w:t xml:space="preserve">Pacientams, kuriems yra lengvas inkstų funkcijos sutrikimas (kreatinino klirensas </w:t>
      </w:r>
      <w:r w:rsidR="00F84BD7" w:rsidRPr="00452D62">
        <w:rPr>
          <w:sz w:val="22"/>
          <w:szCs w:val="22"/>
        </w:rPr>
        <w:t>3</w:t>
      </w:r>
      <w:r w:rsidRPr="00452D62">
        <w:rPr>
          <w:sz w:val="22"/>
          <w:szCs w:val="22"/>
        </w:rPr>
        <w:t>0-</w:t>
      </w:r>
      <w:r w:rsidR="00F84BD7" w:rsidRPr="00452D62">
        <w:rPr>
          <w:sz w:val="22"/>
          <w:szCs w:val="22"/>
        </w:rPr>
        <w:t>49</w:t>
      </w:r>
      <w:r w:rsidRPr="00452D62">
        <w:rPr>
          <w:sz w:val="22"/>
          <w:szCs w:val="22"/>
        </w:rPr>
        <w:t xml:space="preserve"> ml/min.) arba vidutinio sunkumo inkstų funkcijos sutrikimas (kreatinino klirensas </w:t>
      </w:r>
      <w:r w:rsidR="00F84BD7" w:rsidRPr="00452D62">
        <w:rPr>
          <w:sz w:val="22"/>
          <w:szCs w:val="22"/>
        </w:rPr>
        <w:t>15</w:t>
      </w:r>
      <w:r w:rsidRPr="00452D62">
        <w:rPr>
          <w:sz w:val="22"/>
          <w:szCs w:val="22"/>
        </w:rPr>
        <w:t>-</w:t>
      </w:r>
      <w:r w:rsidR="00F84BD7" w:rsidRPr="00452D62">
        <w:rPr>
          <w:sz w:val="22"/>
          <w:szCs w:val="22"/>
        </w:rPr>
        <w:t>2</w:t>
      </w:r>
      <w:r w:rsidRPr="00452D62">
        <w:rPr>
          <w:sz w:val="22"/>
          <w:szCs w:val="22"/>
        </w:rPr>
        <w:t>9 ml/min.), taikomos šios rekomendacijos dėl dozės:</w:t>
      </w:r>
    </w:p>
    <w:p w14:paraId="15CD1B64" w14:textId="77777777" w:rsidR="00823785" w:rsidRPr="00452D62" w:rsidRDefault="00823785" w:rsidP="00823785">
      <w:pPr>
        <w:pStyle w:val="Default"/>
        <w:rPr>
          <w:sz w:val="22"/>
          <w:szCs w:val="22"/>
        </w:rPr>
      </w:pPr>
    </w:p>
    <w:p w14:paraId="78A08851" w14:textId="77777777" w:rsidR="00823785" w:rsidRPr="00452D62" w:rsidRDefault="00823785" w:rsidP="00823785">
      <w:pPr>
        <w:numPr>
          <w:ilvl w:val="0"/>
          <w:numId w:val="18"/>
        </w:numPr>
        <w:ind w:left="567" w:hanging="567"/>
        <w:rPr>
          <w:sz w:val="22"/>
          <w:szCs w:val="22"/>
        </w:rPr>
      </w:pPr>
      <w:r w:rsidRPr="00452D62">
        <w:rPr>
          <w:sz w:val="22"/>
          <w:szCs w:val="22"/>
        </w:rPr>
        <w:t>Insulto ir sisteminės embolijos profilaktikai pacientams, kuriems yra su vožtuvų liga nesusijęs prieširdžių virpėjimas, rekomenduojama dozė yra 15 mg vieną kartą per parą (žr. 5.2 skyrių).</w:t>
      </w:r>
    </w:p>
    <w:p w14:paraId="419A8615" w14:textId="77777777" w:rsidR="00823785" w:rsidRPr="00452D62" w:rsidRDefault="00823785" w:rsidP="00823785">
      <w:pPr>
        <w:ind w:left="567"/>
        <w:rPr>
          <w:sz w:val="22"/>
          <w:szCs w:val="22"/>
        </w:rPr>
      </w:pPr>
    </w:p>
    <w:p w14:paraId="6016BACE" w14:textId="1A47F147" w:rsidR="00823785" w:rsidRPr="00452D62" w:rsidRDefault="00823785" w:rsidP="00823785">
      <w:pPr>
        <w:numPr>
          <w:ilvl w:val="0"/>
          <w:numId w:val="18"/>
        </w:numPr>
        <w:ind w:left="567" w:hanging="567"/>
        <w:rPr>
          <w:sz w:val="22"/>
          <w:szCs w:val="22"/>
        </w:rPr>
      </w:pPr>
      <w:r w:rsidRPr="00452D62">
        <w:rPr>
          <w:sz w:val="22"/>
          <w:szCs w:val="22"/>
        </w:rPr>
        <w:t>GVT gydymui, PE gydymui ir pasikartojančios GVT bei PE profilaktikai pirmąsias tris savaites reikia skirti po 15 mg du kartus per parą. Po to, kai rekomenduojama dozė yra 20 mg vieną kartą per parą, jei paciento kraujavimo rizika yra didesnė už pasikartojančios PE ir GVT riziką, reikia apsvarstyti vieną kartą per parą vartojamos dozės sumažinimą nuo 20 mg iki 15 mg. Rekomendacijos vartoti 15 mg dozę yra paremtos farmakokinetiniu modeliavimu, bet kliniškai toks dozavimas nėra ištirtas (žr. 4.4, 5.1 ir 5.2 skyrius).</w:t>
      </w:r>
    </w:p>
    <w:p w14:paraId="63094F3E" w14:textId="77777777" w:rsidR="00823785" w:rsidRPr="00452D62" w:rsidRDefault="00823785" w:rsidP="00823785">
      <w:pPr>
        <w:ind w:left="567"/>
        <w:rPr>
          <w:sz w:val="22"/>
          <w:szCs w:val="22"/>
        </w:rPr>
      </w:pPr>
      <w:r w:rsidRPr="00452D62">
        <w:rPr>
          <w:sz w:val="22"/>
          <w:szCs w:val="22"/>
        </w:rPr>
        <w:t>Kai rekomenduojama dozė yra 10 mg vieną kartą per parą, rekomenduojamos dozės koreguoti nereikia.</w:t>
      </w:r>
    </w:p>
    <w:p w14:paraId="7731F8A1" w14:textId="77777777" w:rsidR="00823785" w:rsidRPr="00452D62" w:rsidRDefault="00823785" w:rsidP="00823785">
      <w:pPr>
        <w:rPr>
          <w:sz w:val="22"/>
          <w:szCs w:val="22"/>
        </w:rPr>
      </w:pPr>
    </w:p>
    <w:p w14:paraId="531C2309" w14:textId="54FFFE0B" w:rsidR="00823785" w:rsidRPr="00452D62" w:rsidRDefault="00823785" w:rsidP="00823785">
      <w:pPr>
        <w:rPr>
          <w:sz w:val="22"/>
          <w:szCs w:val="22"/>
        </w:rPr>
      </w:pPr>
      <w:r w:rsidRPr="00452D62">
        <w:rPr>
          <w:sz w:val="22"/>
          <w:szCs w:val="22"/>
        </w:rPr>
        <w:t>Pacientams, kuriems yra lengvas inkstų funkcijos sutrikimas (kreatinino klirensas 50</w:t>
      </w:r>
      <w:r w:rsidRPr="00452D62">
        <w:rPr>
          <w:sz w:val="22"/>
          <w:szCs w:val="22"/>
        </w:rPr>
        <w:noBreakHyphen/>
        <w:t>80 ml/min), dozės koreguoti nereikia (žr. 5.2 skyrių).</w:t>
      </w:r>
    </w:p>
    <w:p w14:paraId="400E3954" w14:textId="77777777" w:rsidR="005848CE" w:rsidRPr="00452D62" w:rsidRDefault="005848CE" w:rsidP="005848CE">
      <w:pPr>
        <w:pStyle w:val="Default"/>
        <w:rPr>
          <w:sz w:val="22"/>
          <w:szCs w:val="22"/>
        </w:rPr>
      </w:pPr>
    </w:p>
    <w:p w14:paraId="0229E16C" w14:textId="3A5A94E0" w:rsidR="005848CE" w:rsidRPr="00452D62" w:rsidRDefault="005848CE" w:rsidP="005848CE">
      <w:pPr>
        <w:pStyle w:val="Default"/>
        <w:rPr>
          <w:sz w:val="22"/>
          <w:szCs w:val="22"/>
        </w:rPr>
      </w:pPr>
      <w:r w:rsidRPr="00452D62">
        <w:rPr>
          <w:sz w:val="22"/>
          <w:szCs w:val="22"/>
        </w:rPr>
        <w:t>Vaikų populiacija</w:t>
      </w:r>
    </w:p>
    <w:p w14:paraId="1BB98E41" w14:textId="13FA8070" w:rsidR="005848CE" w:rsidRPr="00452D62" w:rsidRDefault="005848CE" w:rsidP="005848CE">
      <w:pPr>
        <w:pStyle w:val="Default"/>
        <w:ind w:left="567" w:hanging="567"/>
        <w:rPr>
          <w:sz w:val="22"/>
          <w:szCs w:val="22"/>
        </w:rPr>
      </w:pPr>
      <w:r w:rsidRPr="00452D62">
        <w:rPr>
          <w:sz w:val="22"/>
          <w:szCs w:val="22"/>
        </w:rPr>
        <w:t>-</w:t>
      </w:r>
      <w:r w:rsidRPr="00452D62">
        <w:rPr>
          <w:sz w:val="22"/>
          <w:szCs w:val="22"/>
        </w:rPr>
        <w:tab/>
        <w:t>Vaikai ir paaugliai, kuriems yra lengvas inkstų funkcijos sutrikimas (glomerulų filtracijos greitis 50-80</w:t>
      </w:r>
      <w:r w:rsidR="00450385">
        <w:rPr>
          <w:sz w:val="22"/>
          <w:szCs w:val="22"/>
        </w:rPr>
        <w:t> </w:t>
      </w:r>
      <w:r w:rsidRPr="00452D62">
        <w:rPr>
          <w:sz w:val="22"/>
          <w:szCs w:val="22"/>
        </w:rPr>
        <w:t>ml/min./1,73 m</w:t>
      </w:r>
      <w:r w:rsidRPr="00452D62">
        <w:rPr>
          <w:sz w:val="22"/>
          <w:szCs w:val="22"/>
          <w:vertAlign w:val="superscript"/>
        </w:rPr>
        <w:t>2</w:t>
      </w:r>
      <w:r w:rsidRPr="00452D62">
        <w:rPr>
          <w:sz w:val="22"/>
          <w:szCs w:val="22"/>
        </w:rPr>
        <w:t>): remiantis suaugusių pacientų duomenimis ir ribotais vaikų pacientų duomenimis, dozės koreguoti nereikia (žr. 5.2 skyrių).</w:t>
      </w:r>
    </w:p>
    <w:p w14:paraId="389318ED" w14:textId="0C1E15A4" w:rsidR="005848CE" w:rsidRPr="00452D62" w:rsidRDefault="005848CE" w:rsidP="005848CE">
      <w:pPr>
        <w:pStyle w:val="Default"/>
        <w:ind w:left="567" w:hanging="567"/>
        <w:rPr>
          <w:sz w:val="22"/>
          <w:szCs w:val="22"/>
        </w:rPr>
      </w:pPr>
      <w:r w:rsidRPr="00452D62">
        <w:rPr>
          <w:sz w:val="22"/>
          <w:szCs w:val="22"/>
        </w:rPr>
        <w:t>-</w:t>
      </w:r>
      <w:r w:rsidRPr="00452D62">
        <w:rPr>
          <w:sz w:val="22"/>
          <w:szCs w:val="22"/>
        </w:rPr>
        <w:tab/>
        <w:t>Vaikai ir paaugliai, kuriems yra vidutinio sunkumo arba sunkus inkstų funkcijos sutrikimas (glomerulų filtracijos greitis &lt; 50</w:t>
      </w:r>
      <w:r w:rsidR="00450385">
        <w:rPr>
          <w:sz w:val="22"/>
          <w:szCs w:val="22"/>
        </w:rPr>
        <w:t> </w:t>
      </w:r>
      <w:r w:rsidRPr="00452D62">
        <w:rPr>
          <w:sz w:val="22"/>
          <w:szCs w:val="22"/>
        </w:rPr>
        <w:t>ml/min./1,73 m</w:t>
      </w:r>
      <w:r w:rsidRPr="00452D62">
        <w:rPr>
          <w:sz w:val="22"/>
          <w:szCs w:val="22"/>
          <w:vertAlign w:val="superscript"/>
        </w:rPr>
        <w:t>2</w:t>
      </w:r>
      <w:r w:rsidRPr="00452D62">
        <w:rPr>
          <w:sz w:val="22"/>
          <w:szCs w:val="22"/>
        </w:rPr>
        <w:t>): Xerdoxo vartoti nerekomenduojama, nes nėra klinikinių duomenų (žr. 4.4 skyrių).</w:t>
      </w:r>
    </w:p>
    <w:p w14:paraId="2FC9676D" w14:textId="77777777" w:rsidR="00823785" w:rsidRPr="00452D62" w:rsidRDefault="00823785" w:rsidP="00823785">
      <w:pPr>
        <w:rPr>
          <w:sz w:val="22"/>
          <w:szCs w:val="22"/>
        </w:rPr>
      </w:pPr>
    </w:p>
    <w:p w14:paraId="5C919B1C" w14:textId="77777777" w:rsidR="00823785" w:rsidRPr="00452D62" w:rsidRDefault="00823785" w:rsidP="00823785">
      <w:pPr>
        <w:rPr>
          <w:sz w:val="22"/>
          <w:szCs w:val="22"/>
        </w:rPr>
      </w:pPr>
      <w:r w:rsidRPr="00452D62">
        <w:rPr>
          <w:i/>
          <w:sz w:val="22"/>
          <w:szCs w:val="22"/>
        </w:rPr>
        <w:t>Pacientams, kurių kepenų funkcija sutrikusi</w:t>
      </w:r>
    </w:p>
    <w:p w14:paraId="58F86B32" w14:textId="77777777" w:rsidR="00823785" w:rsidRPr="00452D62" w:rsidRDefault="00823785" w:rsidP="00823785">
      <w:pPr>
        <w:rPr>
          <w:sz w:val="22"/>
          <w:szCs w:val="22"/>
        </w:rPr>
      </w:pPr>
      <w:r w:rsidRPr="00452D62">
        <w:rPr>
          <w:sz w:val="22"/>
          <w:szCs w:val="22"/>
        </w:rPr>
        <w:t xml:space="preserve">Xerdoxo draudžiama vartoti pacientams, sergantiems kepenų liga, susijusia su koaguliopatija ir kliniškai reikšmingo kraujavimo rizika, įskaitant pacientus, kuriems yra cirozė (B ir C pagal </w:t>
      </w:r>
      <w:r w:rsidRPr="00452D62">
        <w:rPr>
          <w:i/>
          <w:sz w:val="22"/>
          <w:szCs w:val="22"/>
        </w:rPr>
        <w:t>Child Pugh</w:t>
      </w:r>
      <w:r w:rsidRPr="00452D62">
        <w:rPr>
          <w:sz w:val="22"/>
          <w:szCs w:val="22"/>
        </w:rPr>
        <w:t>) (žr. 4.3 ir 5.2 skyrius).</w:t>
      </w:r>
    </w:p>
    <w:p w14:paraId="0DAB919E" w14:textId="44B7421B" w:rsidR="00823785" w:rsidRPr="00452D62" w:rsidRDefault="005848CE" w:rsidP="00823785">
      <w:pPr>
        <w:rPr>
          <w:sz w:val="22"/>
          <w:szCs w:val="22"/>
        </w:rPr>
      </w:pPr>
      <w:r w:rsidRPr="00452D62">
        <w:rPr>
          <w:sz w:val="22"/>
          <w:szCs w:val="22"/>
        </w:rPr>
        <w:t>Vaikams, kurių kepenų funkcija sutrikusi, klinikinių duomenų nėra.</w:t>
      </w:r>
    </w:p>
    <w:p w14:paraId="456FE08C" w14:textId="77777777" w:rsidR="005848CE" w:rsidRPr="00452D62" w:rsidRDefault="005848CE" w:rsidP="00823785">
      <w:pPr>
        <w:rPr>
          <w:sz w:val="22"/>
          <w:szCs w:val="22"/>
        </w:rPr>
      </w:pPr>
    </w:p>
    <w:p w14:paraId="09FE0676" w14:textId="77777777" w:rsidR="00823785" w:rsidRPr="00452D62" w:rsidRDefault="00823785" w:rsidP="00823785">
      <w:pPr>
        <w:rPr>
          <w:sz w:val="22"/>
          <w:szCs w:val="22"/>
        </w:rPr>
      </w:pPr>
      <w:r w:rsidRPr="00452D62">
        <w:rPr>
          <w:i/>
          <w:sz w:val="22"/>
          <w:szCs w:val="22"/>
        </w:rPr>
        <w:t>Senyviems pacientams</w:t>
      </w:r>
    </w:p>
    <w:p w14:paraId="714A88D9" w14:textId="7BC1D03F" w:rsidR="00823785" w:rsidRPr="00452D62" w:rsidRDefault="00823785" w:rsidP="00823785">
      <w:pPr>
        <w:rPr>
          <w:sz w:val="22"/>
          <w:szCs w:val="22"/>
        </w:rPr>
      </w:pPr>
      <w:r w:rsidRPr="00452D62">
        <w:rPr>
          <w:sz w:val="22"/>
          <w:szCs w:val="22"/>
        </w:rPr>
        <w:t>Dozės koreguoti nereikia (žr. 5.2 skyrių).</w:t>
      </w:r>
    </w:p>
    <w:p w14:paraId="5370DE93" w14:textId="77777777" w:rsidR="00823785" w:rsidRPr="00452D62" w:rsidRDefault="00823785" w:rsidP="00823785">
      <w:pPr>
        <w:rPr>
          <w:sz w:val="22"/>
          <w:szCs w:val="22"/>
        </w:rPr>
      </w:pPr>
    </w:p>
    <w:p w14:paraId="2C177D0D" w14:textId="77777777" w:rsidR="00823785" w:rsidRPr="00452D62" w:rsidRDefault="00823785" w:rsidP="00823785">
      <w:pPr>
        <w:rPr>
          <w:sz w:val="22"/>
          <w:szCs w:val="22"/>
        </w:rPr>
      </w:pPr>
      <w:r w:rsidRPr="00452D62">
        <w:rPr>
          <w:i/>
          <w:sz w:val="22"/>
          <w:szCs w:val="22"/>
        </w:rPr>
        <w:t>Kūno svoris</w:t>
      </w:r>
    </w:p>
    <w:p w14:paraId="1C2538C9" w14:textId="7930FCF5" w:rsidR="00823785" w:rsidRPr="00452D62" w:rsidRDefault="00163432" w:rsidP="00823785">
      <w:pPr>
        <w:rPr>
          <w:i/>
          <w:sz w:val="22"/>
          <w:szCs w:val="22"/>
        </w:rPr>
      </w:pPr>
      <w:r w:rsidRPr="00452D62">
        <w:rPr>
          <w:sz w:val="22"/>
          <w:szCs w:val="22"/>
        </w:rPr>
        <w:t>Suaugusiesiems d</w:t>
      </w:r>
      <w:r w:rsidR="00823785" w:rsidRPr="00452D62">
        <w:rPr>
          <w:sz w:val="22"/>
          <w:szCs w:val="22"/>
        </w:rPr>
        <w:t>ozės koreguoti nereikia (žr. 5.2 skyrių).</w:t>
      </w:r>
    </w:p>
    <w:p w14:paraId="33DAB43C" w14:textId="1FAE0B69" w:rsidR="00823785" w:rsidRPr="00452D62" w:rsidRDefault="005848CE" w:rsidP="00823785">
      <w:pPr>
        <w:rPr>
          <w:sz w:val="22"/>
          <w:szCs w:val="22"/>
        </w:rPr>
      </w:pPr>
      <w:r w:rsidRPr="00452D62">
        <w:rPr>
          <w:sz w:val="22"/>
          <w:szCs w:val="22"/>
        </w:rPr>
        <w:t>Vaikams dozė nustatoma pagal kūno svorį.</w:t>
      </w:r>
    </w:p>
    <w:p w14:paraId="72F8779C" w14:textId="77777777" w:rsidR="005848CE" w:rsidRPr="00452D62" w:rsidRDefault="005848CE" w:rsidP="00823785">
      <w:pPr>
        <w:rPr>
          <w:i/>
          <w:sz w:val="22"/>
          <w:szCs w:val="22"/>
        </w:rPr>
      </w:pPr>
    </w:p>
    <w:p w14:paraId="68414021" w14:textId="77777777" w:rsidR="00823785" w:rsidRPr="00452D62" w:rsidRDefault="00823785" w:rsidP="00823785">
      <w:pPr>
        <w:rPr>
          <w:sz w:val="22"/>
          <w:szCs w:val="22"/>
        </w:rPr>
      </w:pPr>
      <w:r w:rsidRPr="00452D62">
        <w:rPr>
          <w:i/>
          <w:sz w:val="22"/>
          <w:szCs w:val="22"/>
        </w:rPr>
        <w:t>Lytis</w:t>
      </w:r>
    </w:p>
    <w:p w14:paraId="2A462621" w14:textId="77777777" w:rsidR="00823785" w:rsidRPr="00452D62" w:rsidRDefault="00823785" w:rsidP="00823785">
      <w:pPr>
        <w:rPr>
          <w:sz w:val="22"/>
          <w:szCs w:val="22"/>
        </w:rPr>
      </w:pPr>
      <w:r w:rsidRPr="00452D62">
        <w:rPr>
          <w:sz w:val="22"/>
          <w:szCs w:val="22"/>
        </w:rPr>
        <w:t>Dozės koreguoti nereikia (žr. 5.2 skyrių).</w:t>
      </w:r>
    </w:p>
    <w:p w14:paraId="2D4D8D4B" w14:textId="77777777" w:rsidR="00823785" w:rsidRPr="00452D62" w:rsidRDefault="00823785" w:rsidP="00823785">
      <w:pPr>
        <w:rPr>
          <w:sz w:val="22"/>
          <w:szCs w:val="22"/>
          <w:u w:val="single"/>
        </w:rPr>
      </w:pPr>
    </w:p>
    <w:p w14:paraId="1332546F" w14:textId="77777777" w:rsidR="00823785" w:rsidRPr="00452D62" w:rsidRDefault="00823785" w:rsidP="00823785">
      <w:pPr>
        <w:rPr>
          <w:i/>
          <w:iCs/>
          <w:sz w:val="22"/>
          <w:szCs w:val="22"/>
        </w:rPr>
      </w:pPr>
      <w:r w:rsidRPr="00452D62">
        <w:rPr>
          <w:i/>
          <w:iCs/>
          <w:sz w:val="22"/>
          <w:szCs w:val="22"/>
        </w:rPr>
        <w:t>Pacientai, kuriems atliekama kardioversija</w:t>
      </w:r>
    </w:p>
    <w:p w14:paraId="0CDDE62B" w14:textId="38ED5EC6" w:rsidR="00823785" w:rsidRPr="00452D62" w:rsidRDefault="00823785" w:rsidP="00823785">
      <w:pPr>
        <w:rPr>
          <w:sz w:val="22"/>
          <w:szCs w:val="22"/>
        </w:rPr>
      </w:pPr>
      <w:r w:rsidRPr="00452D62">
        <w:rPr>
          <w:sz w:val="22"/>
          <w:szCs w:val="22"/>
        </w:rPr>
        <w:t>Xerdoxo vartojimas gali būti pradedamas arba tęsiamas pacientams, kuriems gali prireikti atlikti kardioversiją. Kardioversijai, atliekamai stebint procedūrą transezofagine echokardiograma (TEE), pacientams, kurie anksčiau nebuvo gydomi antikoaguliantais, gydymas Xerdoxo turi būti pradedamas likus mažiausiai 4 valandoms iki kardioversijos, siekiant užtikrinti tinkamą antikoaguliacinį poveikį (žr. 5.1 ir 5.2 skyrius). Prieš kardioversiją iš kiekvieno paciento turi būti gautas patvirtinimas, kad pacientas vartojo Xerdoxo, kaip skirta. Pacientams, kuriems yra atliekama kardioversija, sprendimas, ar galima pradėti gydymą vaistiniu preparatu ir kokia turi būti gydymo trukmė, priimamas, atsižvelgus į antikoaguliantų vartojimo rekomendacijų gaires.</w:t>
      </w:r>
    </w:p>
    <w:p w14:paraId="37D3A9CE" w14:textId="77777777" w:rsidR="00823785" w:rsidRPr="00452D62" w:rsidRDefault="00823785" w:rsidP="00823785">
      <w:pPr>
        <w:rPr>
          <w:sz w:val="22"/>
          <w:szCs w:val="22"/>
        </w:rPr>
      </w:pPr>
    </w:p>
    <w:p w14:paraId="4E2627CA" w14:textId="77777777" w:rsidR="00823785" w:rsidRPr="00452D62" w:rsidRDefault="00823785" w:rsidP="00823785">
      <w:pPr>
        <w:rPr>
          <w:i/>
          <w:iCs/>
          <w:sz w:val="22"/>
          <w:szCs w:val="22"/>
        </w:rPr>
      </w:pPr>
      <w:r w:rsidRPr="00452D62">
        <w:rPr>
          <w:i/>
          <w:iCs/>
          <w:sz w:val="22"/>
          <w:szCs w:val="22"/>
        </w:rPr>
        <w:t>Pacientai, sergantys su vožtuvų liga nesusijusiu prieširdžių virpėjimu, jei atliekama perkutaninė vainikinė intervencija (PVI) su stento įvedimu</w:t>
      </w:r>
    </w:p>
    <w:p w14:paraId="28D15610" w14:textId="0559B4D7" w:rsidR="00823785" w:rsidRPr="00452D62" w:rsidRDefault="00823785" w:rsidP="00823785">
      <w:pPr>
        <w:rPr>
          <w:sz w:val="22"/>
          <w:szCs w:val="22"/>
        </w:rPr>
      </w:pPr>
      <w:r w:rsidRPr="00452D62">
        <w:rPr>
          <w:sz w:val="22"/>
          <w:szCs w:val="22"/>
        </w:rPr>
        <w:t>Patirtis, papildant gydymą P2Y12 inhibitoriumi sumažinta Xerdoxo 15 mg doze vieną kartą per parą (arba Xerdoxo 10 mg doze vieną kartą per parą, kuriems yra vidutinio sunkumo inkstų funkcijos sutrikimas [kreatinino klirensas 30</w:t>
      </w:r>
      <w:r w:rsidRPr="00452D62">
        <w:rPr>
          <w:sz w:val="22"/>
          <w:szCs w:val="22"/>
        </w:rPr>
        <w:noBreakHyphen/>
        <w:t>49 ml/min.]) pacientams, sergantiems su vožtuvų liga nesusijusiu prieširdžių virpėjimu, jei reikalingas gydymas geriamaisiais antikoaguliantais ir atliekama PVI su stento įvedimu, tokį gydymą skiriant ne ilgiau kaip 12 mėnesių, yra ribota (žr. 4.4 ir 5.1 skyrius).</w:t>
      </w:r>
    </w:p>
    <w:p w14:paraId="797B4F02" w14:textId="77777777" w:rsidR="00190827" w:rsidRPr="00452D62" w:rsidRDefault="00190827" w:rsidP="00190827">
      <w:pPr>
        <w:pStyle w:val="Default"/>
        <w:rPr>
          <w:i/>
          <w:iCs/>
          <w:sz w:val="22"/>
          <w:szCs w:val="22"/>
        </w:rPr>
      </w:pPr>
    </w:p>
    <w:p w14:paraId="236E65CA" w14:textId="5336D44C" w:rsidR="00190827" w:rsidRPr="00452D62" w:rsidRDefault="00190827" w:rsidP="00190827">
      <w:pPr>
        <w:pStyle w:val="Default"/>
        <w:rPr>
          <w:sz w:val="22"/>
          <w:szCs w:val="22"/>
        </w:rPr>
      </w:pPr>
      <w:r w:rsidRPr="00452D62">
        <w:rPr>
          <w:i/>
          <w:iCs/>
          <w:sz w:val="22"/>
          <w:szCs w:val="22"/>
        </w:rPr>
        <w:t xml:space="preserve">Vaikų populiacija </w:t>
      </w:r>
    </w:p>
    <w:p w14:paraId="7AF3D99C" w14:textId="5EED4A15" w:rsidR="00823785" w:rsidRPr="00452D62" w:rsidRDefault="005843FD" w:rsidP="00190827">
      <w:pPr>
        <w:rPr>
          <w:sz w:val="22"/>
          <w:szCs w:val="22"/>
        </w:rPr>
      </w:pPr>
      <w:r w:rsidRPr="00452D62">
        <w:rPr>
          <w:sz w:val="22"/>
          <w:szCs w:val="22"/>
        </w:rPr>
        <w:t>Xerdoxo</w:t>
      </w:r>
      <w:r w:rsidR="00190827" w:rsidRPr="00452D62">
        <w:rPr>
          <w:sz w:val="22"/>
          <w:szCs w:val="22"/>
        </w:rPr>
        <w:t xml:space="preserve"> saugumas ir veiksmingumas neištirti vaikams</w:t>
      </w:r>
      <w:r w:rsidR="00450385">
        <w:rPr>
          <w:sz w:val="22"/>
          <w:szCs w:val="22"/>
        </w:rPr>
        <w:t xml:space="preserve"> ir paaugliams</w:t>
      </w:r>
      <w:r w:rsidR="00190827" w:rsidRPr="00452D62">
        <w:rPr>
          <w:sz w:val="22"/>
          <w:szCs w:val="22"/>
        </w:rPr>
        <w:t xml:space="preserve"> nuo 0 iki &lt; 18 metų amžiaus insulto ir sisteminės embolijos profilaktikos, kai pacientams yra su vožtuvų liga nesusijęs prieširdžių virpėjimas, indikaci</w:t>
      </w:r>
      <w:r w:rsidRPr="00452D62">
        <w:rPr>
          <w:sz w:val="22"/>
          <w:szCs w:val="22"/>
        </w:rPr>
        <w:t>jai. Duomenų nėra, todėl Xerdoxo</w:t>
      </w:r>
      <w:r w:rsidR="00190827" w:rsidRPr="00452D62">
        <w:rPr>
          <w:sz w:val="22"/>
          <w:szCs w:val="22"/>
        </w:rPr>
        <w:t xml:space="preserve"> nerekomenduojama vartoti jaunesniems kaip 18 metų amžiaus vaikams</w:t>
      </w:r>
      <w:r w:rsidR="00450385">
        <w:rPr>
          <w:sz w:val="22"/>
          <w:szCs w:val="22"/>
        </w:rPr>
        <w:t xml:space="preserve"> ir paaugliams</w:t>
      </w:r>
      <w:r w:rsidR="00190827" w:rsidRPr="00452D62">
        <w:rPr>
          <w:sz w:val="22"/>
          <w:szCs w:val="22"/>
        </w:rPr>
        <w:t>, kitoms indikacijoms nei VTE gydymas ir pasikartojančios VTE profilaktika.</w:t>
      </w:r>
    </w:p>
    <w:p w14:paraId="7A27836C" w14:textId="77777777" w:rsidR="00190827" w:rsidRPr="00452D62" w:rsidRDefault="00190827" w:rsidP="00190827">
      <w:pPr>
        <w:rPr>
          <w:sz w:val="22"/>
          <w:szCs w:val="22"/>
          <w:u w:val="single"/>
        </w:rPr>
      </w:pPr>
    </w:p>
    <w:p w14:paraId="77F02B28" w14:textId="77777777" w:rsidR="00823785" w:rsidRPr="00452D62" w:rsidRDefault="00823785" w:rsidP="00823785">
      <w:pPr>
        <w:rPr>
          <w:sz w:val="22"/>
          <w:szCs w:val="22"/>
        </w:rPr>
      </w:pPr>
      <w:r w:rsidRPr="00452D62">
        <w:rPr>
          <w:sz w:val="22"/>
          <w:szCs w:val="22"/>
          <w:u w:val="single"/>
        </w:rPr>
        <w:t>Vartojimo metodas</w:t>
      </w:r>
    </w:p>
    <w:p w14:paraId="01EFEC17" w14:textId="4F2354B1" w:rsidR="00B976A9" w:rsidRPr="00AE1B80" w:rsidRDefault="00B976A9" w:rsidP="00823785">
      <w:pPr>
        <w:rPr>
          <w:i/>
          <w:sz w:val="22"/>
          <w:szCs w:val="22"/>
        </w:rPr>
      </w:pPr>
      <w:r w:rsidRPr="00AE1B80">
        <w:rPr>
          <w:i/>
          <w:sz w:val="22"/>
          <w:szCs w:val="22"/>
        </w:rPr>
        <w:t>Suagusiesiems</w:t>
      </w:r>
    </w:p>
    <w:p w14:paraId="52001375" w14:textId="256DD778" w:rsidR="00823785" w:rsidRPr="00452D62" w:rsidRDefault="00823785" w:rsidP="00823785">
      <w:pPr>
        <w:rPr>
          <w:sz w:val="22"/>
          <w:szCs w:val="22"/>
        </w:rPr>
      </w:pPr>
      <w:r w:rsidRPr="00452D62">
        <w:rPr>
          <w:sz w:val="22"/>
          <w:szCs w:val="22"/>
        </w:rPr>
        <w:t xml:space="preserve">Xerdoxo skirtas vartoti per burną. </w:t>
      </w:r>
    </w:p>
    <w:p w14:paraId="67F75BD9" w14:textId="77777777" w:rsidR="00823785" w:rsidRPr="00452D62" w:rsidRDefault="00823785" w:rsidP="00823785">
      <w:pPr>
        <w:rPr>
          <w:sz w:val="22"/>
          <w:szCs w:val="22"/>
        </w:rPr>
      </w:pPr>
      <w:r w:rsidRPr="00452D62">
        <w:rPr>
          <w:sz w:val="22"/>
          <w:szCs w:val="22"/>
        </w:rPr>
        <w:t>Tabletes reikia gerti valgio metu (žr. 5.2 skyrių).</w:t>
      </w:r>
    </w:p>
    <w:p w14:paraId="178B86B3" w14:textId="77777777" w:rsidR="00823785" w:rsidRPr="00452D62" w:rsidRDefault="00823785" w:rsidP="00823785">
      <w:pPr>
        <w:rPr>
          <w:sz w:val="22"/>
          <w:szCs w:val="22"/>
        </w:rPr>
      </w:pPr>
    </w:p>
    <w:p w14:paraId="5EBB45F6" w14:textId="77777777" w:rsidR="00823785" w:rsidRPr="00452D62" w:rsidRDefault="00823785" w:rsidP="00823785">
      <w:pPr>
        <w:rPr>
          <w:sz w:val="22"/>
          <w:szCs w:val="22"/>
        </w:rPr>
      </w:pPr>
      <w:r w:rsidRPr="00452D62">
        <w:rPr>
          <w:i/>
          <w:sz w:val="22"/>
          <w:szCs w:val="22"/>
          <w:u w:val="single"/>
        </w:rPr>
        <w:t>Tablečių smulkinimas</w:t>
      </w:r>
    </w:p>
    <w:p w14:paraId="5177CC67" w14:textId="77777777" w:rsidR="00823785" w:rsidRPr="00452D62" w:rsidRDefault="00823785" w:rsidP="00823785">
      <w:pPr>
        <w:rPr>
          <w:sz w:val="22"/>
          <w:szCs w:val="22"/>
        </w:rPr>
      </w:pPr>
      <w:r w:rsidRPr="00452D62">
        <w:rPr>
          <w:sz w:val="22"/>
          <w:szCs w:val="22"/>
        </w:rPr>
        <w:t>Pacientams, kurie negali nuryti visos tabletės, prieš pat vartojimą Xerdoxo tabletę galima susmulkinti ir, sumaišius su vandeniu arba obuolių tyre, suvartoti per burną.</w:t>
      </w:r>
      <w:r w:rsidRPr="00AE1B80">
        <w:rPr>
          <w:sz w:val="22"/>
          <w:szCs w:val="22"/>
        </w:rPr>
        <w:t xml:space="preserve"> </w:t>
      </w:r>
      <w:r w:rsidRPr="00452D62">
        <w:rPr>
          <w:sz w:val="22"/>
          <w:szCs w:val="22"/>
        </w:rPr>
        <w:t>Pavartojus sutraiškytų Xerdoxo 15 mg arba 20 mg plėvele dengtų tablečių, pacientas turi nedelsiant pavalgyti.</w:t>
      </w:r>
    </w:p>
    <w:p w14:paraId="7B67AFF4" w14:textId="07CB992F" w:rsidR="00E30F7D" w:rsidRPr="00452D62" w:rsidRDefault="00823785" w:rsidP="00823785">
      <w:pPr>
        <w:rPr>
          <w:b/>
          <w:bCs/>
          <w:sz w:val="22"/>
          <w:szCs w:val="22"/>
        </w:rPr>
      </w:pPr>
      <w:r w:rsidRPr="00452D62">
        <w:rPr>
          <w:sz w:val="22"/>
          <w:szCs w:val="22"/>
        </w:rPr>
        <w:t>Susmulkintą Xerdoxo tabletę galima vartoti ir per skrandžio vamzdelį (žr. 5.2 ir 6.6 skyrius).</w:t>
      </w:r>
    </w:p>
    <w:p w14:paraId="6E3AE09F" w14:textId="77777777" w:rsidR="005B28A2" w:rsidRPr="00452D62" w:rsidRDefault="005B28A2" w:rsidP="005B28A2">
      <w:pPr>
        <w:pStyle w:val="Default"/>
        <w:rPr>
          <w:i/>
          <w:iCs/>
          <w:sz w:val="22"/>
          <w:szCs w:val="22"/>
        </w:rPr>
      </w:pPr>
    </w:p>
    <w:p w14:paraId="3D411598" w14:textId="3458E271" w:rsidR="005B28A2" w:rsidRPr="00452D62" w:rsidRDefault="005B28A2" w:rsidP="005B28A2">
      <w:pPr>
        <w:pStyle w:val="Default"/>
        <w:rPr>
          <w:sz w:val="22"/>
          <w:szCs w:val="22"/>
        </w:rPr>
      </w:pPr>
      <w:r w:rsidRPr="00452D62">
        <w:rPr>
          <w:i/>
          <w:iCs/>
          <w:sz w:val="22"/>
          <w:szCs w:val="22"/>
        </w:rPr>
        <w:t>Vaikai ir paaugl</w:t>
      </w:r>
      <w:r w:rsidR="009A332C" w:rsidRPr="00452D62">
        <w:rPr>
          <w:i/>
          <w:iCs/>
          <w:sz w:val="22"/>
          <w:szCs w:val="22"/>
        </w:rPr>
        <w:t>iai, sveriantys daugiau kaip 50 </w:t>
      </w:r>
      <w:r w:rsidRPr="00452D62">
        <w:rPr>
          <w:i/>
          <w:iCs/>
          <w:sz w:val="22"/>
          <w:szCs w:val="22"/>
        </w:rPr>
        <w:t>kg</w:t>
      </w:r>
    </w:p>
    <w:p w14:paraId="04E63B9E" w14:textId="028BFF9F" w:rsidR="005B28A2" w:rsidRPr="00452D62" w:rsidRDefault="009A332C" w:rsidP="005B28A2">
      <w:pPr>
        <w:pStyle w:val="Default"/>
        <w:rPr>
          <w:sz w:val="22"/>
          <w:szCs w:val="22"/>
        </w:rPr>
      </w:pPr>
      <w:r w:rsidRPr="00452D62">
        <w:rPr>
          <w:sz w:val="22"/>
          <w:szCs w:val="22"/>
        </w:rPr>
        <w:t>Xerdoxo</w:t>
      </w:r>
      <w:r w:rsidR="005B28A2" w:rsidRPr="00452D62">
        <w:rPr>
          <w:sz w:val="22"/>
          <w:szCs w:val="22"/>
        </w:rPr>
        <w:t xml:space="preserve"> skirtas vartoti per burną.</w:t>
      </w:r>
    </w:p>
    <w:p w14:paraId="0F89D63F" w14:textId="532238B7" w:rsidR="005B28A2" w:rsidRPr="00452D62" w:rsidRDefault="005B28A2" w:rsidP="005B28A2">
      <w:pPr>
        <w:pStyle w:val="Default"/>
        <w:rPr>
          <w:sz w:val="22"/>
          <w:szCs w:val="22"/>
        </w:rPr>
      </w:pPr>
      <w:r w:rsidRPr="00452D62">
        <w:rPr>
          <w:sz w:val="22"/>
          <w:szCs w:val="22"/>
        </w:rPr>
        <w:t>Pacientui reikia patarti nuryti tabletę, užsigeriant skysčiu. Be to, tabletę reikia vartoti valgio metu (žr. 5.2 skyrių). Tabletes reikia vartoti maždaug kas 24 valandas.</w:t>
      </w:r>
    </w:p>
    <w:p w14:paraId="426F3544" w14:textId="77777777" w:rsidR="005B28A2" w:rsidRPr="00452D62" w:rsidRDefault="005B28A2" w:rsidP="005B28A2">
      <w:pPr>
        <w:pStyle w:val="Default"/>
        <w:rPr>
          <w:sz w:val="22"/>
          <w:szCs w:val="22"/>
        </w:rPr>
      </w:pPr>
    </w:p>
    <w:p w14:paraId="35ECEB0E" w14:textId="0E78D513" w:rsidR="005B28A2" w:rsidRPr="00452D62" w:rsidRDefault="005B28A2" w:rsidP="005B28A2">
      <w:pPr>
        <w:pStyle w:val="Default"/>
        <w:rPr>
          <w:sz w:val="22"/>
          <w:szCs w:val="22"/>
        </w:rPr>
      </w:pPr>
      <w:r w:rsidRPr="00452D62">
        <w:rPr>
          <w:sz w:val="22"/>
          <w:szCs w:val="22"/>
        </w:rPr>
        <w:t>Jei pacientas, pavartojęs dozę, iš karto ją išspjovė arba per 30 minučių išvėmė, reikia duoti naują dozę. Vis dėlto, jei pacientas vėmė praėjus daugiau kaip 30 minučių po dozės vartojimo, jos pakartotinai skirti nereikia, ir kitą dozę reikia vartoti kaip numatyta.</w:t>
      </w:r>
    </w:p>
    <w:p w14:paraId="4C930428" w14:textId="77777777" w:rsidR="005B28A2" w:rsidRPr="00452D62" w:rsidRDefault="005B28A2" w:rsidP="005B28A2">
      <w:pPr>
        <w:pStyle w:val="Default"/>
        <w:rPr>
          <w:sz w:val="22"/>
          <w:szCs w:val="22"/>
        </w:rPr>
      </w:pPr>
    </w:p>
    <w:p w14:paraId="5D024C74" w14:textId="742222AF" w:rsidR="005B28A2" w:rsidRPr="00452D62" w:rsidRDefault="005B28A2" w:rsidP="005B28A2">
      <w:pPr>
        <w:pStyle w:val="Default"/>
        <w:rPr>
          <w:sz w:val="22"/>
          <w:szCs w:val="22"/>
        </w:rPr>
      </w:pPr>
      <w:r w:rsidRPr="00452D62">
        <w:rPr>
          <w:sz w:val="22"/>
          <w:szCs w:val="22"/>
        </w:rPr>
        <w:t>Tabletės negalima padalyti, norint suvartoti dalį tabletėje esančios dozės.</w:t>
      </w:r>
    </w:p>
    <w:p w14:paraId="5C997A4D" w14:textId="77777777" w:rsidR="005B28A2" w:rsidRPr="00452D62" w:rsidRDefault="005B28A2" w:rsidP="005B28A2">
      <w:pPr>
        <w:pStyle w:val="Default"/>
        <w:rPr>
          <w:sz w:val="22"/>
          <w:szCs w:val="22"/>
        </w:rPr>
      </w:pPr>
    </w:p>
    <w:p w14:paraId="3C3BEC36" w14:textId="584B8F0F" w:rsidR="005B28A2" w:rsidRPr="00452D62" w:rsidRDefault="005B28A2" w:rsidP="005B28A2">
      <w:pPr>
        <w:pStyle w:val="Default"/>
        <w:rPr>
          <w:sz w:val="22"/>
          <w:szCs w:val="22"/>
        </w:rPr>
      </w:pPr>
      <w:r w:rsidRPr="00452D62">
        <w:rPr>
          <w:i/>
          <w:iCs/>
          <w:sz w:val="22"/>
          <w:szCs w:val="22"/>
        </w:rPr>
        <w:t>Tablečių sutraiškymas</w:t>
      </w:r>
    </w:p>
    <w:p w14:paraId="61E1A6F0" w14:textId="544756AF" w:rsidR="005B28A2" w:rsidRPr="00452D62" w:rsidRDefault="005B28A2" w:rsidP="005B28A2">
      <w:pPr>
        <w:pStyle w:val="Default"/>
        <w:rPr>
          <w:sz w:val="22"/>
          <w:szCs w:val="22"/>
        </w:rPr>
      </w:pPr>
      <w:r w:rsidRPr="00452D62">
        <w:rPr>
          <w:sz w:val="22"/>
          <w:szCs w:val="22"/>
        </w:rPr>
        <w:t>Pacientams, kurie negali nuryti visos tabletės, reikia skirti rivaroksabano granules geriamajai suspensijai.</w:t>
      </w:r>
    </w:p>
    <w:p w14:paraId="28CE1E6E" w14:textId="1FAC33F3" w:rsidR="005B28A2" w:rsidRPr="00452D62" w:rsidRDefault="005B28A2" w:rsidP="005B28A2">
      <w:pPr>
        <w:pStyle w:val="Default"/>
        <w:rPr>
          <w:sz w:val="22"/>
          <w:szCs w:val="22"/>
        </w:rPr>
      </w:pPr>
      <w:r w:rsidRPr="00452D62">
        <w:rPr>
          <w:sz w:val="22"/>
          <w:szCs w:val="22"/>
        </w:rPr>
        <w:t>Jeigu išrašius 15</w:t>
      </w:r>
      <w:r w:rsidR="00450385">
        <w:rPr>
          <w:sz w:val="22"/>
          <w:szCs w:val="22"/>
        </w:rPr>
        <w:t> </w:t>
      </w:r>
      <w:r w:rsidRPr="00452D62">
        <w:rPr>
          <w:sz w:val="22"/>
          <w:szCs w:val="22"/>
        </w:rPr>
        <w:t>mg arba 20</w:t>
      </w:r>
      <w:r w:rsidR="00450385">
        <w:rPr>
          <w:sz w:val="22"/>
          <w:szCs w:val="22"/>
        </w:rPr>
        <w:t> </w:t>
      </w:r>
      <w:r w:rsidRPr="00452D62">
        <w:rPr>
          <w:sz w:val="22"/>
          <w:szCs w:val="22"/>
        </w:rPr>
        <w:t>mg rivaroksabano dozes, nėra galimybės nedelsiant įsigyti geriamosios suspensijos, tada ją galima gauti, prieš pat vartojimą sutraiškius 15</w:t>
      </w:r>
      <w:r w:rsidR="00450385">
        <w:rPr>
          <w:sz w:val="22"/>
          <w:szCs w:val="22"/>
        </w:rPr>
        <w:t> </w:t>
      </w:r>
      <w:r w:rsidRPr="00452D62">
        <w:rPr>
          <w:sz w:val="22"/>
          <w:szCs w:val="22"/>
        </w:rPr>
        <w:t>mg arba 20</w:t>
      </w:r>
      <w:r w:rsidR="00450385">
        <w:rPr>
          <w:sz w:val="22"/>
          <w:szCs w:val="22"/>
        </w:rPr>
        <w:t> </w:t>
      </w:r>
      <w:r w:rsidRPr="00452D62">
        <w:rPr>
          <w:sz w:val="22"/>
          <w:szCs w:val="22"/>
        </w:rPr>
        <w:t>mg tabletę, sumaišius ją su vandeniu arba obuoli</w:t>
      </w:r>
      <w:r w:rsidR="005843FD" w:rsidRPr="00452D62">
        <w:rPr>
          <w:sz w:val="22"/>
          <w:szCs w:val="22"/>
        </w:rPr>
        <w:t>ų tyre ir suvartojus per burną.</w:t>
      </w:r>
    </w:p>
    <w:p w14:paraId="0B5A9D54" w14:textId="2BBAE768" w:rsidR="00E30F7D" w:rsidRPr="00452D62" w:rsidRDefault="005B28A2" w:rsidP="005B28A2">
      <w:pPr>
        <w:rPr>
          <w:sz w:val="22"/>
          <w:szCs w:val="22"/>
        </w:rPr>
      </w:pPr>
      <w:r w:rsidRPr="00452D62">
        <w:rPr>
          <w:sz w:val="22"/>
          <w:szCs w:val="22"/>
        </w:rPr>
        <w:t>Sutraiškytą tabletę galima vartoti per nazogastrinį arba skrandžio maitinimo vamzdelį (žr. 5.2 ir 6.6 skyrius).</w:t>
      </w:r>
    </w:p>
    <w:p w14:paraId="3C4C518F" w14:textId="77777777" w:rsidR="005B28A2" w:rsidRPr="00452D62" w:rsidRDefault="005B28A2" w:rsidP="005B28A2">
      <w:pPr>
        <w:rPr>
          <w:b/>
          <w:bCs/>
          <w:sz w:val="22"/>
          <w:szCs w:val="22"/>
        </w:rPr>
      </w:pPr>
    </w:p>
    <w:p w14:paraId="6E0F18AE" w14:textId="77777777" w:rsidR="00823785" w:rsidRPr="00452D62" w:rsidRDefault="00823785" w:rsidP="00C815AC">
      <w:pPr>
        <w:widowControl w:val="0"/>
        <w:suppressAutoHyphens w:val="0"/>
        <w:spacing w:line="240" w:lineRule="auto"/>
        <w:outlineLvl w:val="2"/>
        <w:rPr>
          <w:b/>
          <w:color w:val="auto"/>
          <w:kern w:val="28"/>
          <w:sz w:val="22"/>
          <w:szCs w:val="22"/>
          <w:lang w:eastAsia="en-US"/>
        </w:rPr>
      </w:pPr>
      <w:r w:rsidRPr="00452D62">
        <w:rPr>
          <w:b/>
          <w:color w:val="auto"/>
          <w:kern w:val="28"/>
          <w:sz w:val="22"/>
          <w:szCs w:val="22"/>
          <w:lang w:eastAsia="en-US"/>
        </w:rPr>
        <w:t>4.3</w:t>
      </w:r>
      <w:r w:rsidRPr="00452D62">
        <w:rPr>
          <w:b/>
          <w:color w:val="auto"/>
          <w:kern w:val="28"/>
          <w:sz w:val="22"/>
          <w:szCs w:val="22"/>
          <w:lang w:eastAsia="en-US"/>
        </w:rPr>
        <w:tab/>
        <w:t>Kontraindikacijos</w:t>
      </w:r>
    </w:p>
    <w:p w14:paraId="5432C56B" w14:textId="77777777" w:rsidR="00823785" w:rsidRPr="00452D62" w:rsidRDefault="00823785" w:rsidP="00823785">
      <w:pPr>
        <w:rPr>
          <w:sz w:val="22"/>
          <w:szCs w:val="22"/>
        </w:rPr>
      </w:pPr>
    </w:p>
    <w:p w14:paraId="3ACC7D9A" w14:textId="77777777" w:rsidR="00823785" w:rsidRPr="00452D62" w:rsidRDefault="00823785" w:rsidP="00823785">
      <w:pPr>
        <w:rPr>
          <w:sz w:val="22"/>
          <w:szCs w:val="22"/>
        </w:rPr>
      </w:pPr>
      <w:r w:rsidRPr="00452D62">
        <w:rPr>
          <w:sz w:val="22"/>
          <w:szCs w:val="22"/>
        </w:rPr>
        <w:t>Padidėjęs jautrumas veikliajai arba bet kuriai 6.1 skyriuje nurodytai pagalbinei medžiagai.</w:t>
      </w:r>
    </w:p>
    <w:p w14:paraId="51FB4DB8" w14:textId="77777777" w:rsidR="00823785" w:rsidRPr="00452D62" w:rsidRDefault="00823785" w:rsidP="00823785">
      <w:pPr>
        <w:rPr>
          <w:sz w:val="22"/>
          <w:szCs w:val="22"/>
        </w:rPr>
      </w:pPr>
    </w:p>
    <w:p w14:paraId="30E15E57" w14:textId="77777777" w:rsidR="00823785" w:rsidRPr="00452D62" w:rsidRDefault="00823785" w:rsidP="00823785">
      <w:pPr>
        <w:rPr>
          <w:sz w:val="22"/>
          <w:szCs w:val="22"/>
        </w:rPr>
      </w:pPr>
      <w:r w:rsidRPr="00452D62">
        <w:rPr>
          <w:sz w:val="22"/>
          <w:szCs w:val="22"/>
        </w:rPr>
        <w:t>Aktyvus kliniškai reikšmingas kraujavimas.</w:t>
      </w:r>
    </w:p>
    <w:p w14:paraId="50ED08EB" w14:textId="77777777" w:rsidR="00823785" w:rsidRPr="00452D62" w:rsidRDefault="00823785" w:rsidP="00823785">
      <w:pPr>
        <w:rPr>
          <w:sz w:val="22"/>
          <w:szCs w:val="22"/>
        </w:rPr>
      </w:pPr>
    </w:p>
    <w:p w14:paraId="307C0CFE" w14:textId="77777777" w:rsidR="00823785" w:rsidRPr="00452D62" w:rsidRDefault="00823785" w:rsidP="00823785">
      <w:pPr>
        <w:rPr>
          <w:sz w:val="22"/>
          <w:szCs w:val="22"/>
        </w:rPr>
      </w:pPr>
      <w:r w:rsidRPr="00452D62">
        <w:rPr>
          <w:sz w:val="22"/>
          <w:szCs w:val="22"/>
        </w:rPr>
        <w:t>Sužalojimas arba būklė, jeigu laikoma, jog yra didelė didžiojo kraujavimo rizika. Tai gali būti esamos arba neseniai buvusios virškinimo trakto opos, esami piktybiniai navikai, sukeliantys didelę kraujavimo riziką, neseniai buvusi galvos smegenų arba stuburo pažaida, neseniai buvusi galvos smegenų, stuburo arba akies chirurginė operacija, neseniai buvęs intrakranijinis kraujavimas, žinoma arba įtariama stemplės venų varikozė, arterioveninės formavimosi ydos, kraujagyslių aneurizmos arba didžiosios stuburo ar galvos smegenų kraujagyslių anomalijos.</w:t>
      </w:r>
    </w:p>
    <w:p w14:paraId="220B3C26" w14:textId="77777777" w:rsidR="00823785" w:rsidRPr="00452D62" w:rsidRDefault="00823785" w:rsidP="00823785">
      <w:pPr>
        <w:rPr>
          <w:sz w:val="22"/>
          <w:szCs w:val="22"/>
        </w:rPr>
      </w:pPr>
    </w:p>
    <w:p w14:paraId="240F4969" w14:textId="77777777" w:rsidR="00823785" w:rsidRPr="00452D62" w:rsidRDefault="00823785" w:rsidP="00823785">
      <w:pPr>
        <w:rPr>
          <w:sz w:val="22"/>
          <w:szCs w:val="22"/>
        </w:rPr>
      </w:pPr>
      <w:r w:rsidRPr="00452D62">
        <w:rPr>
          <w:sz w:val="22"/>
          <w:szCs w:val="22"/>
        </w:rPr>
        <w:t>Tuo pačiu metu taikomas gydymas bet kuriais kitais antikoaguliantais, pvz., nefrakcionuotu heparinu (NFH), mažos molekulinės masės heparinais (enoksaparinu, dalteparinu ir kt.), heparino dariniais (fondaparinuksu ir kt.), geriamaisiais antikoaguliantais (varfarinu, dabigatrano eteksilatu, apiksabanu ir kt.), išskyrus specifinius gydymo antikoaguliantais keitimo atvejus (žr. 4.2 skyrių) arba kai NFH vartojamas tokiomis dozėmis, kurios būtinos, kad išliktų pralaidus centrinės venos arba arterijos kateteris (žr. 4.5 skyrių).</w:t>
      </w:r>
    </w:p>
    <w:p w14:paraId="797FFF2F" w14:textId="77777777" w:rsidR="00823785" w:rsidRPr="00452D62" w:rsidRDefault="00823785" w:rsidP="00823785">
      <w:pPr>
        <w:rPr>
          <w:sz w:val="22"/>
          <w:szCs w:val="22"/>
        </w:rPr>
      </w:pPr>
    </w:p>
    <w:p w14:paraId="3E6D9733" w14:textId="77777777" w:rsidR="00823785" w:rsidRPr="00452D62" w:rsidRDefault="00823785" w:rsidP="00823785">
      <w:pPr>
        <w:rPr>
          <w:sz w:val="22"/>
          <w:szCs w:val="22"/>
        </w:rPr>
      </w:pPr>
      <w:r w:rsidRPr="00452D62">
        <w:rPr>
          <w:sz w:val="22"/>
          <w:szCs w:val="22"/>
        </w:rPr>
        <w:t xml:space="preserve">Kepenų liga, susijusi su koaguliopatija ir kliniškai reikšmingo kraujavimo rizika, įskaitant pacientus, kuriems yra cirozė (B ir C pagal </w:t>
      </w:r>
      <w:r w:rsidRPr="00452D62">
        <w:rPr>
          <w:i/>
          <w:sz w:val="22"/>
          <w:szCs w:val="22"/>
        </w:rPr>
        <w:t>Child Pugh</w:t>
      </w:r>
      <w:r w:rsidRPr="00452D62">
        <w:rPr>
          <w:sz w:val="22"/>
          <w:szCs w:val="22"/>
        </w:rPr>
        <w:t>) (žr. 5.2 skyrių).</w:t>
      </w:r>
    </w:p>
    <w:p w14:paraId="0D4E5360" w14:textId="77777777" w:rsidR="00823785" w:rsidRPr="00452D62" w:rsidRDefault="00823785" w:rsidP="00823785">
      <w:pPr>
        <w:rPr>
          <w:sz w:val="22"/>
          <w:szCs w:val="22"/>
        </w:rPr>
      </w:pPr>
    </w:p>
    <w:p w14:paraId="10E1472B" w14:textId="77777777" w:rsidR="00823785" w:rsidRPr="00452D62" w:rsidRDefault="00823785" w:rsidP="00823785">
      <w:pPr>
        <w:rPr>
          <w:sz w:val="22"/>
          <w:szCs w:val="22"/>
        </w:rPr>
      </w:pPr>
      <w:r w:rsidRPr="00452D62">
        <w:rPr>
          <w:sz w:val="22"/>
          <w:szCs w:val="22"/>
        </w:rPr>
        <w:t>Nėštumo ir žindymo laikotarpis (žr. 4.6 skyrių).</w:t>
      </w:r>
    </w:p>
    <w:p w14:paraId="2D74066D" w14:textId="77777777" w:rsidR="00823785" w:rsidRPr="00452D62" w:rsidRDefault="00823785" w:rsidP="00823785">
      <w:pPr>
        <w:rPr>
          <w:sz w:val="22"/>
          <w:szCs w:val="22"/>
        </w:rPr>
      </w:pPr>
    </w:p>
    <w:p w14:paraId="57275A37"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4.4</w:t>
      </w:r>
      <w:r w:rsidRPr="00452D62">
        <w:rPr>
          <w:b/>
          <w:color w:val="auto"/>
          <w:kern w:val="28"/>
          <w:sz w:val="22"/>
          <w:szCs w:val="22"/>
          <w:lang w:eastAsia="en-US"/>
        </w:rPr>
        <w:tab/>
        <w:t>Specialūs įspėjimai ir atsargumo priemonės</w:t>
      </w:r>
    </w:p>
    <w:p w14:paraId="1BBCC8EC" w14:textId="77777777" w:rsidR="00823785" w:rsidRPr="00452D62" w:rsidRDefault="00823785" w:rsidP="00823785">
      <w:pPr>
        <w:tabs>
          <w:tab w:val="clear" w:pos="567"/>
          <w:tab w:val="left" w:pos="0"/>
        </w:tabs>
        <w:rPr>
          <w:sz w:val="22"/>
          <w:szCs w:val="22"/>
        </w:rPr>
      </w:pPr>
    </w:p>
    <w:p w14:paraId="3474D084" w14:textId="77777777" w:rsidR="00823785" w:rsidRPr="00452D62" w:rsidRDefault="00823785" w:rsidP="00823785">
      <w:pPr>
        <w:tabs>
          <w:tab w:val="clear" w:pos="567"/>
          <w:tab w:val="left" w:pos="0"/>
        </w:tabs>
        <w:rPr>
          <w:sz w:val="22"/>
          <w:szCs w:val="22"/>
        </w:rPr>
      </w:pPr>
      <w:r w:rsidRPr="00452D62">
        <w:rPr>
          <w:sz w:val="22"/>
          <w:szCs w:val="22"/>
        </w:rPr>
        <w:t>Gydymo laikotarpiu rekomenduojamas klinikinis stebėjimas, paremtas gydymo antikoaguliantais praktika.</w:t>
      </w:r>
    </w:p>
    <w:p w14:paraId="00701613" w14:textId="77777777" w:rsidR="00823785" w:rsidRPr="00452D62" w:rsidRDefault="00823785" w:rsidP="00823785">
      <w:pPr>
        <w:rPr>
          <w:sz w:val="22"/>
          <w:szCs w:val="22"/>
          <w:u w:val="single"/>
        </w:rPr>
      </w:pPr>
    </w:p>
    <w:p w14:paraId="670B7A44" w14:textId="77777777" w:rsidR="00823785" w:rsidRPr="00452D62" w:rsidRDefault="00823785" w:rsidP="00823785">
      <w:pPr>
        <w:rPr>
          <w:sz w:val="22"/>
          <w:szCs w:val="22"/>
        </w:rPr>
      </w:pPr>
      <w:r w:rsidRPr="00452D62">
        <w:rPr>
          <w:sz w:val="22"/>
          <w:szCs w:val="22"/>
          <w:u w:val="single"/>
        </w:rPr>
        <w:t>Kraujavimo rizika</w:t>
      </w:r>
    </w:p>
    <w:p w14:paraId="3E5E78B7" w14:textId="77777777" w:rsidR="00823785" w:rsidRPr="00452D62" w:rsidRDefault="00823785" w:rsidP="00823785">
      <w:pPr>
        <w:rPr>
          <w:sz w:val="22"/>
          <w:szCs w:val="22"/>
        </w:rPr>
      </w:pPr>
      <w:r w:rsidRPr="00452D62">
        <w:rPr>
          <w:sz w:val="22"/>
          <w:szCs w:val="22"/>
        </w:rPr>
        <w:t>Kaip ir gydant kitais antikoaguliantais, Xerdoxo vartojančius pacientus reikia atidžiai stebėti dėl kraujavimo požymių. Esant padidėjusios kraujavimo rizikos būklėms, šį vaistinį preparatą rekomenduojama vartoti atsargiai. Jei pasireiškia sunkus kraujavimas, Xerdoxo vartojimą reikia nutraukti (žr. 4.9 skyrių).</w:t>
      </w:r>
    </w:p>
    <w:p w14:paraId="4949ED01" w14:textId="77777777" w:rsidR="00823785" w:rsidRPr="00452D62" w:rsidRDefault="00823785" w:rsidP="00823785">
      <w:pPr>
        <w:rPr>
          <w:sz w:val="22"/>
          <w:szCs w:val="22"/>
        </w:rPr>
      </w:pPr>
    </w:p>
    <w:p w14:paraId="3416281D" w14:textId="77777777" w:rsidR="00823785" w:rsidRPr="00452D62" w:rsidRDefault="00823785" w:rsidP="00823785">
      <w:pPr>
        <w:rPr>
          <w:sz w:val="22"/>
          <w:szCs w:val="22"/>
        </w:rPr>
      </w:pPr>
      <w:r w:rsidRPr="00452D62">
        <w:rPr>
          <w:sz w:val="22"/>
          <w:szCs w:val="22"/>
        </w:rPr>
        <w:t>Klinikinių tyrimų metu gleivinės kraujavimas (t. y. iš nosies, dantenų, virškinimo trakto, lytinių organų ir šlapimo takų, įskaitant nenormalų kraujavimą iš makšties arba sustiprėjusį menstruacinį kraujavimą) ir anemija dažniau buvo stebėti taikant ilgalaikį gydymą rivaroksabanu, palyginti su gydymu vien VKA. Taigi, papildant reikiamą klinikinį stebėjimą, slaptam kraujavimui nustatyti ir klinikinei akivaizdaus kraujavimo reikšmei įvertinti gali būti naudingi hemoglobino ir (arba) hematokrito laboratoriniai tyrimai, jei manoma, kad jie yra tinkami.</w:t>
      </w:r>
    </w:p>
    <w:p w14:paraId="510DB7D3" w14:textId="77777777" w:rsidR="00823785" w:rsidRPr="00452D62" w:rsidRDefault="00823785" w:rsidP="00823785">
      <w:pPr>
        <w:rPr>
          <w:sz w:val="22"/>
          <w:szCs w:val="22"/>
        </w:rPr>
      </w:pPr>
    </w:p>
    <w:p w14:paraId="16520AF2" w14:textId="28C04611" w:rsidR="00823785" w:rsidRPr="00AE1B80" w:rsidRDefault="00823785" w:rsidP="00823785">
      <w:pPr>
        <w:rPr>
          <w:sz w:val="22"/>
          <w:szCs w:val="22"/>
        </w:rPr>
      </w:pPr>
      <w:r w:rsidRPr="00452D62">
        <w:rPr>
          <w:sz w:val="22"/>
          <w:szCs w:val="22"/>
        </w:rPr>
        <w:t>Keliems pacientų pogrupiams, kaip nurodyta toliau, yra padidėjusi kraujavimo rizika. Pradėjus gydymą, tokius pacientus reikia atidžiai stebėti dėl kraujavimo komplikacijų požymių bei simptomų ir anemijos (žr. 4.8 skyrių).</w:t>
      </w:r>
    </w:p>
    <w:p w14:paraId="647AB1F7" w14:textId="77777777" w:rsidR="00823785" w:rsidRPr="00452D62" w:rsidRDefault="00823785" w:rsidP="00823785">
      <w:pPr>
        <w:rPr>
          <w:sz w:val="22"/>
          <w:szCs w:val="22"/>
        </w:rPr>
      </w:pPr>
      <w:r w:rsidRPr="00452D62">
        <w:rPr>
          <w:sz w:val="22"/>
          <w:szCs w:val="22"/>
        </w:rPr>
        <w:t>Bet koks nepaaiškinamas hemoglobino rodmens ar kraujospūdžio sumažėjimas turi paskatinti ieškoti kraujavimo vietos.</w:t>
      </w:r>
    </w:p>
    <w:p w14:paraId="520A3895" w14:textId="77777777" w:rsidR="00823785" w:rsidRPr="00452D62" w:rsidRDefault="00823785" w:rsidP="00823785">
      <w:pPr>
        <w:rPr>
          <w:sz w:val="22"/>
          <w:szCs w:val="22"/>
        </w:rPr>
      </w:pPr>
    </w:p>
    <w:p w14:paraId="6D297C86" w14:textId="77777777" w:rsidR="00823785" w:rsidRPr="00452D62" w:rsidRDefault="00823785" w:rsidP="00823785">
      <w:pPr>
        <w:rPr>
          <w:sz w:val="22"/>
          <w:szCs w:val="22"/>
          <w:u w:val="single"/>
        </w:rPr>
      </w:pPr>
      <w:r w:rsidRPr="00452D62">
        <w:rPr>
          <w:sz w:val="22"/>
          <w:szCs w:val="22"/>
        </w:rPr>
        <w:t>Nors gydant rivaroksabanu rutininis ekspozicijos stebėjimas nėra būtinas, išimtiniais atvejais, kai, žinant rivaroksabano ekspoziciją gali būti lengviau priimti klinikinį sprendimą, pvz., perdozavus arba skubios chirurginės operacijos atveju, gali būti naudinga rivaroksabano kiekį įvertinti naudojant kalibruotą kiekybinę anti-Xa faktoriaus analizę (žr. 5.1 ir 5.2 skyrius).</w:t>
      </w:r>
    </w:p>
    <w:p w14:paraId="5AA0ABB2" w14:textId="77777777" w:rsidR="00E91122" w:rsidRPr="00452D62" w:rsidRDefault="00E91122" w:rsidP="00E91122">
      <w:pPr>
        <w:pStyle w:val="Default"/>
        <w:rPr>
          <w:i/>
          <w:iCs/>
          <w:sz w:val="22"/>
          <w:szCs w:val="22"/>
        </w:rPr>
      </w:pPr>
    </w:p>
    <w:p w14:paraId="412582DD" w14:textId="14028FED" w:rsidR="00E91122" w:rsidRPr="00452D62" w:rsidRDefault="00E91122" w:rsidP="00E91122">
      <w:pPr>
        <w:pStyle w:val="Default"/>
        <w:rPr>
          <w:sz w:val="22"/>
          <w:szCs w:val="22"/>
        </w:rPr>
      </w:pPr>
      <w:r w:rsidRPr="00452D62">
        <w:rPr>
          <w:i/>
          <w:iCs/>
          <w:sz w:val="22"/>
          <w:szCs w:val="22"/>
        </w:rPr>
        <w:t>Vaikų populiacija</w:t>
      </w:r>
    </w:p>
    <w:p w14:paraId="2BFA558C" w14:textId="26A8673A" w:rsidR="00823785" w:rsidRPr="00452D62" w:rsidRDefault="00E91122" w:rsidP="00E91122">
      <w:pPr>
        <w:rPr>
          <w:sz w:val="22"/>
          <w:szCs w:val="22"/>
        </w:rPr>
      </w:pPr>
      <w:r w:rsidRPr="00452D62">
        <w:rPr>
          <w:sz w:val="22"/>
          <w:szCs w:val="22"/>
        </w:rPr>
        <w:t>Vaikų, kurie serga galvos smegenų venos ir sinuso tromboze ir kuriems yra CNS infekcija, duomenys yra riboti (žr. 5.1 skyrių). Kraujavimo pavojus turi būti atidžiai įvertintas prieš gydymą rivaroksabanu ir gydymo metu.</w:t>
      </w:r>
    </w:p>
    <w:p w14:paraId="258CD23F" w14:textId="77777777" w:rsidR="00E91122" w:rsidRPr="00452D62" w:rsidRDefault="00E91122" w:rsidP="00E91122">
      <w:pPr>
        <w:rPr>
          <w:sz w:val="22"/>
          <w:szCs w:val="22"/>
          <w:u w:val="single"/>
        </w:rPr>
      </w:pPr>
    </w:p>
    <w:p w14:paraId="3DB09747" w14:textId="77777777" w:rsidR="00823785" w:rsidRPr="00452D62" w:rsidRDefault="00823785" w:rsidP="00823785">
      <w:pPr>
        <w:rPr>
          <w:sz w:val="22"/>
          <w:szCs w:val="22"/>
        </w:rPr>
      </w:pPr>
      <w:r w:rsidRPr="00452D62">
        <w:rPr>
          <w:sz w:val="22"/>
          <w:szCs w:val="22"/>
          <w:u w:val="single"/>
        </w:rPr>
        <w:t>Sutrikusi inkstų funkcija</w:t>
      </w:r>
    </w:p>
    <w:p w14:paraId="3AA85A35" w14:textId="734CB12C" w:rsidR="00823785" w:rsidRPr="00452D62" w:rsidRDefault="00823785" w:rsidP="00823785">
      <w:pPr>
        <w:rPr>
          <w:sz w:val="22"/>
          <w:szCs w:val="22"/>
        </w:rPr>
      </w:pPr>
      <w:r w:rsidRPr="00452D62">
        <w:rPr>
          <w:sz w:val="22"/>
          <w:szCs w:val="22"/>
        </w:rPr>
        <w:t>Suaugusiems pacientams, kuriems yra sunkus inkstų funkcijos sutrikimas (kreatinino klirensas &lt; 30 ml/min.), rivaroksabano kiekis kraujo plazmoje gali būti reikšmingai padidėjęs (vidutiniškai 1,6 karto) ir tai gali padidinti kraujavimo riziką. Pacientams, kurių kreatinino klirensas yra 15</w:t>
      </w:r>
      <w:r w:rsidRPr="00452D62">
        <w:rPr>
          <w:sz w:val="22"/>
          <w:szCs w:val="22"/>
        </w:rPr>
        <w:noBreakHyphen/>
        <w:t>29 ml/min., Xerdoxo reikia vartoti atsargiai. Xerdoxo nerekomenduojama vartoti pacientams, kurių kreatinino klirensas yra &lt; 15 ml/min. (žr. 4.2 ir 5.2 skyrius).</w:t>
      </w:r>
    </w:p>
    <w:p w14:paraId="67996DCE" w14:textId="77777777" w:rsidR="00823785" w:rsidRPr="00452D62" w:rsidRDefault="00823785" w:rsidP="00823785">
      <w:pPr>
        <w:rPr>
          <w:sz w:val="22"/>
          <w:szCs w:val="22"/>
          <w:u w:val="single"/>
        </w:rPr>
      </w:pPr>
      <w:r w:rsidRPr="00452D62">
        <w:rPr>
          <w:sz w:val="22"/>
          <w:szCs w:val="22"/>
        </w:rPr>
        <w:t>Pacientams, kuriems yra inkstų funkcijos sutrikimas, kartu skiriant kitų vaistinių preparatų, kurie padidina rivaroksabano koncentraciją kraujo plazmoje, Xerdoxo būtina vartoti atsargiai (žr. 4.5 skyrių).</w:t>
      </w:r>
    </w:p>
    <w:p w14:paraId="6B7E1B05" w14:textId="2C51AAE6" w:rsidR="00823785" w:rsidRPr="00452D62" w:rsidRDefault="009D4751" w:rsidP="00823785">
      <w:pPr>
        <w:rPr>
          <w:sz w:val="22"/>
          <w:szCs w:val="22"/>
        </w:rPr>
      </w:pPr>
      <w:r w:rsidRPr="00452D62">
        <w:rPr>
          <w:sz w:val="22"/>
          <w:szCs w:val="22"/>
        </w:rPr>
        <w:t>Xerdoxo nerekomenduojama vartoti vaikams ir paaugliams, kuriems yra vidutinio sunkumo arba sunkus inkstų funkcijos sutrikimas (glomerulų filtracijos greitis &lt; 50</w:t>
      </w:r>
      <w:r w:rsidR="00450385">
        <w:rPr>
          <w:sz w:val="22"/>
          <w:szCs w:val="22"/>
        </w:rPr>
        <w:t> </w:t>
      </w:r>
      <w:r w:rsidRPr="00452D62">
        <w:rPr>
          <w:sz w:val="22"/>
          <w:szCs w:val="22"/>
        </w:rPr>
        <w:t>ml/ min./1,73 m</w:t>
      </w:r>
      <w:r w:rsidRPr="00AE1B80">
        <w:rPr>
          <w:sz w:val="22"/>
          <w:szCs w:val="22"/>
          <w:vertAlign w:val="superscript"/>
        </w:rPr>
        <w:t>2</w:t>
      </w:r>
      <w:r w:rsidRPr="00452D62">
        <w:rPr>
          <w:sz w:val="22"/>
          <w:szCs w:val="22"/>
        </w:rPr>
        <w:t>), nes nėra klinikinių duomenų.</w:t>
      </w:r>
    </w:p>
    <w:p w14:paraId="6E558194" w14:textId="77777777" w:rsidR="009D4751" w:rsidRPr="00452D62" w:rsidRDefault="009D4751" w:rsidP="00823785">
      <w:pPr>
        <w:rPr>
          <w:sz w:val="22"/>
          <w:szCs w:val="22"/>
          <w:u w:val="single"/>
        </w:rPr>
      </w:pPr>
    </w:p>
    <w:p w14:paraId="5FDF83B4" w14:textId="77777777" w:rsidR="00823785" w:rsidRPr="00452D62" w:rsidRDefault="00823785" w:rsidP="00823785">
      <w:pPr>
        <w:rPr>
          <w:sz w:val="22"/>
          <w:szCs w:val="22"/>
        </w:rPr>
      </w:pPr>
      <w:r w:rsidRPr="00452D62">
        <w:rPr>
          <w:sz w:val="22"/>
          <w:szCs w:val="22"/>
          <w:u w:val="single"/>
        </w:rPr>
        <w:t>Sąveika su kitais vaistiniais preparatais</w:t>
      </w:r>
    </w:p>
    <w:p w14:paraId="1CCC7805" w14:textId="6C1E5071" w:rsidR="00823785" w:rsidRPr="00452D62" w:rsidRDefault="00823785" w:rsidP="00823785">
      <w:pPr>
        <w:tabs>
          <w:tab w:val="clear" w:pos="567"/>
          <w:tab w:val="left" w:pos="0"/>
        </w:tabs>
        <w:rPr>
          <w:sz w:val="22"/>
          <w:szCs w:val="22"/>
        </w:rPr>
      </w:pPr>
      <w:r w:rsidRPr="00452D62">
        <w:rPr>
          <w:sz w:val="22"/>
          <w:szCs w:val="22"/>
        </w:rPr>
        <w:t>Xerdoxo nerekomenduojama skirti pacientams, kuriems taikomas sisteminis gydymas azolo grupės priešgrybeliniais vaistiniais preparatais (pvz., ketokonazolu, itrakonazolu, vorikonazolu ir pozakonazolu) arba ŽIV proteazės inhibitoriais (pvz., ritonaviru). Šios veikliosios medžiagos yra stiprūs ir CYP3A4, ir P-gp inhibitoriai ir dėl to rivaroksabano koncentracija kraujo plazmoje gali padidėti kliniškai reikšmingai (vidutiniškai 2,6 karto), o tai gali padidinti kraujavimo riziką.</w:t>
      </w:r>
      <w:r w:rsidR="00DC0B29" w:rsidRPr="00452D62">
        <w:rPr>
          <w:sz w:val="22"/>
          <w:szCs w:val="22"/>
        </w:rPr>
        <w:t xml:space="preserve"> Vaikams, kuriems tuo pačiu metu taikomas gydymas sisteminio poveikio stipriais CYP3A4 ir P-gp inhibitoriais, klinikinių duomenų nėra (žr. 4.5 skyrių).</w:t>
      </w:r>
    </w:p>
    <w:p w14:paraId="6B25134F" w14:textId="77777777" w:rsidR="00823785" w:rsidRPr="00452D62" w:rsidRDefault="00823785" w:rsidP="00823785">
      <w:pPr>
        <w:rPr>
          <w:sz w:val="22"/>
          <w:szCs w:val="22"/>
        </w:rPr>
      </w:pPr>
    </w:p>
    <w:p w14:paraId="0862A015" w14:textId="6200EBFF" w:rsidR="00823785" w:rsidRPr="00452D62" w:rsidRDefault="00823785" w:rsidP="00823785">
      <w:pPr>
        <w:rPr>
          <w:sz w:val="22"/>
          <w:szCs w:val="22"/>
          <w:u w:val="single"/>
        </w:rPr>
      </w:pPr>
      <w:r w:rsidRPr="00452D62">
        <w:rPr>
          <w:sz w:val="22"/>
          <w:szCs w:val="22"/>
        </w:rPr>
        <w:t>Turi būti imamasi atsargumo priemonių, jeigu pacientai kartu gydomi hemostazę veikiančiais vaistiniais preparatais, pvz., nesteroidiniais vaistiniais preparatais nuo uždegimo (NVNU), acetilsalicilo rūgštimi (ASR) ir trombocitų agregacijos inhibitoriais</w:t>
      </w:r>
      <w:r w:rsidRPr="00AE1B80">
        <w:rPr>
          <w:sz w:val="22"/>
          <w:szCs w:val="22"/>
        </w:rPr>
        <w:t xml:space="preserve"> </w:t>
      </w:r>
      <w:r w:rsidRPr="00452D62">
        <w:rPr>
          <w:sz w:val="22"/>
          <w:szCs w:val="22"/>
        </w:rPr>
        <w:t>arba selektyviais serotonino reabsorbcijos inhibitoriais (SSRI) ir serotonino-norepinefrino reabsorbcijos inhibitoriais (SNRI). Pacientams, kuriems yra opinės virškinimo trakto ligos rizika, gali būti naudinga skirti atitinkamą profilaktinį gydymą (žr. 4.5 ir 5.1 skyrius).</w:t>
      </w:r>
    </w:p>
    <w:p w14:paraId="4AA40C23" w14:textId="77777777" w:rsidR="00823785" w:rsidRPr="00452D62" w:rsidRDefault="00823785" w:rsidP="00823785">
      <w:pPr>
        <w:rPr>
          <w:sz w:val="22"/>
          <w:szCs w:val="22"/>
        </w:rPr>
      </w:pPr>
    </w:p>
    <w:p w14:paraId="127271A3" w14:textId="77777777" w:rsidR="00823785" w:rsidRPr="00452D62" w:rsidRDefault="00823785" w:rsidP="00823785">
      <w:pPr>
        <w:rPr>
          <w:sz w:val="22"/>
          <w:szCs w:val="22"/>
          <w:u w:val="single"/>
        </w:rPr>
      </w:pPr>
      <w:r w:rsidRPr="00452D62">
        <w:rPr>
          <w:sz w:val="22"/>
          <w:szCs w:val="22"/>
          <w:u w:val="single"/>
        </w:rPr>
        <w:t>Kiti kraujavimo rizikos veiksniai</w:t>
      </w:r>
    </w:p>
    <w:p w14:paraId="4B7E224D" w14:textId="77777777" w:rsidR="00823785" w:rsidRPr="00452D62" w:rsidRDefault="00823785" w:rsidP="00823785">
      <w:pPr>
        <w:rPr>
          <w:sz w:val="22"/>
          <w:szCs w:val="22"/>
        </w:rPr>
      </w:pPr>
      <w:r w:rsidRPr="00452D62">
        <w:rPr>
          <w:sz w:val="22"/>
          <w:szCs w:val="22"/>
        </w:rPr>
        <w:t>Rivaroksabanas, kaip ir kiti antitromboziniai vaistiniai preparatai, turi būti atsargiai vartojamas pacientams, kuriems padidėjusi kraujavimo rizika, pvz., jei yra:</w:t>
      </w:r>
    </w:p>
    <w:p w14:paraId="40F6C4A1" w14:textId="77777777" w:rsidR="00823785" w:rsidRPr="00452D62" w:rsidRDefault="00823785" w:rsidP="00823785">
      <w:pPr>
        <w:numPr>
          <w:ilvl w:val="0"/>
          <w:numId w:val="19"/>
        </w:numPr>
        <w:ind w:left="567" w:hanging="567"/>
        <w:rPr>
          <w:sz w:val="22"/>
          <w:szCs w:val="22"/>
        </w:rPr>
      </w:pPr>
      <w:r w:rsidRPr="00452D62">
        <w:rPr>
          <w:sz w:val="22"/>
          <w:szCs w:val="22"/>
        </w:rPr>
        <w:t>įgimtų ar įgytų kraujavimo sutrikimų;</w:t>
      </w:r>
    </w:p>
    <w:p w14:paraId="55E23A77" w14:textId="77777777" w:rsidR="00823785" w:rsidRPr="00452D62" w:rsidRDefault="00823785" w:rsidP="00823785">
      <w:pPr>
        <w:numPr>
          <w:ilvl w:val="0"/>
          <w:numId w:val="19"/>
        </w:numPr>
        <w:ind w:left="567" w:hanging="567"/>
        <w:rPr>
          <w:sz w:val="22"/>
          <w:szCs w:val="22"/>
        </w:rPr>
      </w:pPr>
      <w:r w:rsidRPr="00452D62">
        <w:rPr>
          <w:sz w:val="22"/>
          <w:szCs w:val="22"/>
        </w:rPr>
        <w:t>nekontroliuojama sunki arterinė hipertenzija;</w:t>
      </w:r>
    </w:p>
    <w:p w14:paraId="62E9C93C" w14:textId="77777777" w:rsidR="00823785" w:rsidRPr="00452D62" w:rsidRDefault="00823785" w:rsidP="00823785">
      <w:pPr>
        <w:numPr>
          <w:ilvl w:val="0"/>
          <w:numId w:val="19"/>
        </w:numPr>
        <w:ind w:left="567" w:hanging="567"/>
        <w:rPr>
          <w:sz w:val="22"/>
          <w:szCs w:val="22"/>
        </w:rPr>
      </w:pPr>
      <w:r w:rsidRPr="00452D62">
        <w:rPr>
          <w:sz w:val="22"/>
          <w:szCs w:val="22"/>
        </w:rPr>
        <w:t>kitų virškinimo trakto ligų be aktyvaus išopėjimo, galinčių sukelti kraujavimo komplikacijų (pvz., uždegiminė žarnyno liga, ezofagitas, gastritas ir gastroezofaginio refliukso liga);</w:t>
      </w:r>
    </w:p>
    <w:p w14:paraId="3DD9F31D" w14:textId="77777777" w:rsidR="00823785" w:rsidRPr="00452D62" w:rsidRDefault="00823785" w:rsidP="00823785">
      <w:pPr>
        <w:numPr>
          <w:ilvl w:val="0"/>
          <w:numId w:val="19"/>
        </w:numPr>
        <w:ind w:left="567" w:hanging="567"/>
        <w:rPr>
          <w:sz w:val="22"/>
          <w:szCs w:val="22"/>
        </w:rPr>
      </w:pPr>
      <w:r w:rsidRPr="00452D62">
        <w:rPr>
          <w:sz w:val="22"/>
          <w:szCs w:val="22"/>
        </w:rPr>
        <w:t>kraujagyslinė retinopatija;</w:t>
      </w:r>
    </w:p>
    <w:p w14:paraId="6D508416" w14:textId="77777777" w:rsidR="00823785" w:rsidRPr="00452D62" w:rsidRDefault="00823785" w:rsidP="00823785">
      <w:pPr>
        <w:numPr>
          <w:ilvl w:val="0"/>
          <w:numId w:val="19"/>
        </w:numPr>
        <w:ind w:left="567" w:hanging="567"/>
        <w:rPr>
          <w:sz w:val="22"/>
          <w:szCs w:val="22"/>
        </w:rPr>
      </w:pPr>
      <w:r w:rsidRPr="00452D62">
        <w:rPr>
          <w:sz w:val="22"/>
          <w:szCs w:val="22"/>
        </w:rPr>
        <w:t>bronchektazės arba buvęs kraujavimas iš plaučių.</w:t>
      </w:r>
    </w:p>
    <w:p w14:paraId="44E8370E" w14:textId="77777777" w:rsidR="00823785" w:rsidRPr="00452D62" w:rsidRDefault="00823785" w:rsidP="00823785">
      <w:pPr>
        <w:rPr>
          <w:sz w:val="22"/>
          <w:szCs w:val="22"/>
          <w:u w:val="single"/>
        </w:rPr>
      </w:pPr>
    </w:p>
    <w:p w14:paraId="1B94DFB1" w14:textId="77777777" w:rsidR="00823785" w:rsidRPr="00452D62" w:rsidRDefault="00823785" w:rsidP="00823785">
      <w:pPr>
        <w:rPr>
          <w:sz w:val="22"/>
          <w:szCs w:val="22"/>
          <w:u w:val="single"/>
        </w:rPr>
      </w:pPr>
      <w:r w:rsidRPr="00452D62">
        <w:rPr>
          <w:sz w:val="22"/>
          <w:szCs w:val="22"/>
          <w:u w:val="single"/>
        </w:rPr>
        <w:t>Vėžiu sergantys pacientai</w:t>
      </w:r>
    </w:p>
    <w:p w14:paraId="39564758" w14:textId="77777777" w:rsidR="00823785" w:rsidRPr="00452D62" w:rsidRDefault="00823785" w:rsidP="00823785">
      <w:pPr>
        <w:rPr>
          <w:sz w:val="22"/>
          <w:szCs w:val="22"/>
        </w:rPr>
      </w:pPr>
      <w:r w:rsidRPr="00452D62">
        <w:rPr>
          <w:sz w:val="22"/>
          <w:szCs w:val="22"/>
        </w:rPr>
        <w:t>Pacientams, sergantiems piktybine liga, tuo pačiu metu gali būti didesnė kraujavimo ir trombozės rizika. Turėtų būti įvertinta individuali antitrombozinio gydymo nauda lyginant su kraujavimo rizika pacientams, sergantiems aktyviu vėžiu, priklausomai nuo naviko lokalizacijos, priešvėžinio gydymo ir ligos stadijos. Virškinimo arba urogenitaliniame trakte esantys navikai buvo susiję su padidėjusia kraujavimo rizika gydant rivaroksabanu. Pacientams, sergantiems piktybiniais navikais, kurių kraujavimo rizika yra didelė, rivaroksabano vartoti negalima (žr. 4.3 skyrių).</w:t>
      </w:r>
    </w:p>
    <w:p w14:paraId="3DFBBDBB" w14:textId="77777777" w:rsidR="00823785" w:rsidRPr="00452D62" w:rsidRDefault="00823785" w:rsidP="00823785">
      <w:pPr>
        <w:rPr>
          <w:sz w:val="22"/>
          <w:szCs w:val="22"/>
          <w:u w:val="single"/>
        </w:rPr>
      </w:pPr>
    </w:p>
    <w:p w14:paraId="7DAA82B3" w14:textId="77777777" w:rsidR="00823785" w:rsidRPr="00452D62" w:rsidRDefault="00823785" w:rsidP="00823785">
      <w:pPr>
        <w:rPr>
          <w:sz w:val="22"/>
          <w:szCs w:val="22"/>
          <w:u w:val="single"/>
        </w:rPr>
      </w:pPr>
      <w:r w:rsidRPr="00452D62">
        <w:rPr>
          <w:sz w:val="22"/>
          <w:szCs w:val="22"/>
          <w:u w:val="single"/>
        </w:rPr>
        <w:t>Pacientai, kuriems yra protezuoti širdies vožtuvai</w:t>
      </w:r>
    </w:p>
    <w:p w14:paraId="11651015" w14:textId="77777777" w:rsidR="00823785" w:rsidRPr="00452D62" w:rsidRDefault="00823785" w:rsidP="00823785">
      <w:pPr>
        <w:rPr>
          <w:sz w:val="22"/>
          <w:szCs w:val="22"/>
        </w:rPr>
      </w:pPr>
      <w:r w:rsidRPr="00452D62">
        <w:rPr>
          <w:sz w:val="22"/>
          <w:szCs w:val="22"/>
        </w:rPr>
        <w:t>Pacientams, kuriems neseniai atliktas transkateterinis aortos vožtuvo pakeitimas (TAVP), rivaroksabano trombų susidarymo profilaktikai vartoti nerekomenduojama. Rivaroksabano saugumas ir veiksmingumas pacientams, kuriems yra protezuoti širdies vožtuvai, neištirti, todėl nėra duomenų, patvirtinančių, kad rivaroksabanas šiems pacientams užtikrina pakankamą antikoaguliacinį poveikį. Tokių pacientų Xerdoxo gydyti nerekomenduojama.</w:t>
      </w:r>
    </w:p>
    <w:p w14:paraId="6D269D43" w14:textId="77777777" w:rsidR="00823785" w:rsidRPr="00452D62" w:rsidRDefault="00823785" w:rsidP="00823785">
      <w:pPr>
        <w:rPr>
          <w:sz w:val="22"/>
          <w:szCs w:val="22"/>
        </w:rPr>
      </w:pPr>
    </w:p>
    <w:p w14:paraId="7D6C16E9" w14:textId="77777777" w:rsidR="00823785" w:rsidRPr="00452D62" w:rsidRDefault="00823785" w:rsidP="00823785">
      <w:pPr>
        <w:pStyle w:val="Default"/>
        <w:rPr>
          <w:sz w:val="22"/>
          <w:szCs w:val="22"/>
          <w:u w:val="single"/>
        </w:rPr>
      </w:pPr>
      <w:r w:rsidRPr="00452D62">
        <w:rPr>
          <w:sz w:val="22"/>
          <w:szCs w:val="22"/>
          <w:u w:val="single"/>
        </w:rPr>
        <w:t>Antifosfolipidiniu sindromu sergantys pacientai</w:t>
      </w:r>
    </w:p>
    <w:p w14:paraId="36B7E759" w14:textId="77777777" w:rsidR="00823785" w:rsidRPr="00452D62" w:rsidRDefault="00823785" w:rsidP="00823785">
      <w:pPr>
        <w:pStyle w:val="Default"/>
        <w:rPr>
          <w:sz w:val="22"/>
          <w:szCs w:val="22"/>
        </w:rPr>
      </w:pPr>
      <w:r w:rsidRPr="00452D62">
        <w:rPr>
          <w:sz w:val="22"/>
          <w:szCs w:val="22"/>
        </w:rPr>
        <w:t>Tiesioginio poveikio geriamųjų antikoaguliantų (TPGA), įskaitant rivaroksabaną, nerekomenduoja vartoti antifosfolipidiniu sindromu sergantiems pacientams, kuriems praeityje buvo nustatyta trombozė. Taikant gydymą TPGA, ypač tiems pacientams, kuriems nustatyti visų trijų pogrupių antifosfolipidiniai antikūnai (vilkligės antikoaguliantai, antikardiolipino antikūnai ir anti-beta 2-glikoproteino I antikūnai), kartotinių trombozės reiškinių dažnis gali būti didesnis, nei taikant gydymą vitamino K antagonistais.</w:t>
      </w:r>
    </w:p>
    <w:p w14:paraId="4833212A" w14:textId="77777777" w:rsidR="00823785" w:rsidRPr="00452D62" w:rsidRDefault="00823785" w:rsidP="00823785">
      <w:pPr>
        <w:rPr>
          <w:sz w:val="22"/>
          <w:szCs w:val="22"/>
        </w:rPr>
      </w:pPr>
    </w:p>
    <w:p w14:paraId="6C8C2E4F" w14:textId="77777777" w:rsidR="00823785" w:rsidRPr="00452D62" w:rsidRDefault="00823785" w:rsidP="00823785">
      <w:pPr>
        <w:rPr>
          <w:sz w:val="22"/>
          <w:szCs w:val="22"/>
          <w:u w:val="single"/>
        </w:rPr>
      </w:pPr>
      <w:r w:rsidRPr="00452D62">
        <w:rPr>
          <w:sz w:val="22"/>
          <w:szCs w:val="22"/>
          <w:u w:val="single"/>
        </w:rPr>
        <w:t>Pacientai, sergantys su vožtuvų liga nesusijusiu prieširdžių virpėjimu, kuriems atliekama PVI su stento įvedimu</w:t>
      </w:r>
    </w:p>
    <w:p w14:paraId="58D975AC" w14:textId="6035CB43" w:rsidR="00823785" w:rsidRPr="00452D62" w:rsidRDefault="00823785" w:rsidP="00823785">
      <w:pPr>
        <w:pStyle w:val="Default"/>
        <w:rPr>
          <w:sz w:val="22"/>
          <w:szCs w:val="22"/>
        </w:rPr>
      </w:pPr>
      <w:r w:rsidRPr="00452D62">
        <w:rPr>
          <w:sz w:val="22"/>
          <w:szCs w:val="22"/>
        </w:rPr>
        <w:t xml:space="preserve">Klinikiniai duomenys gauti atlikus intervencinį tyrimą, kurio pagrindinis tikslas buvo įvertinti saugumą pacientams, kurie serga su vožtuvų liga nesusijusiu prieširdžių virpėjimu ir kuriems atliekama PVI su stento įvedimu. Duomenų apie veiksmingumą šiai populiacijai yra nedaug (žr. 4.2 ir 5.1 skyrius). Duomenų apie pacientus, praeityje patyrusius insultą ir (arba) </w:t>
      </w:r>
      <w:r w:rsidRPr="00AE1B80">
        <w:rPr>
          <w:sz w:val="22"/>
          <w:szCs w:val="22"/>
        </w:rPr>
        <w:t>praeinantį smegenų išemijos priepuolį (</w:t>
      </w:r>
      <w:r w:rsidRPr="00452D62">
        <w:rPr>
          <w:sz w:val="22"/>
          <w:szCs w:val="22"/>
        </w:rPr>
        <w:t>PSIP), nėra.</w:t>
      </w:r>
    </w:p>
    <w:p w14:paraId="298433C2" w14:textId="77777777" w:rsidR="00823785" w:rsidRPr="00452D62" w:rsidRDefault="00823785" w:rsidP="00823785">
      <w:pPr>
        <w:pStyle w:val="Default"/>
        <w:rPr>
          <w:sz w:val="22"/>
          <w:szCs w:val="22"/>
        </w:rPr>
      </w:pPr>
    </w:p>
    <w:p w14:paraId="4FC25F02" w14:textId="77777777" w:rsidR="00823785" w:rsidRPr="00452D62" w:rsidRDefault="00823785" w:rsidP="00823785">
      <w:pPr>
        <w:rPr>
          <w:sz w:val="22"/>
          <w:szCs w:val="22"/>
          <w:u w:val="single"/>
        </w:rPr>
      </w:pPr>
      <w:r w:rsidRPr="00452D62">
        <w:rPr>
          <w:sz w:val="22"/>
          <w:szCs w:val="22"/>
          <w:u w:val="single"/>
        </w:rPr>
        <w:t>PE sergantys pacientai, kurių hemodinamika yra nestabili, ir pacientai, kuriems būtina trombolizė arba plaučių embolektomija</w:t>
      </w:r>
    </w:p>
    <w:p w14:paraId="6EC3BF24" w14:textId="77777777" w:rsidR="00823785" w:rsidRPr="00452D62" w:rsidRDefault="00823785" w:rsidP="00823785">
      <w:pPr>
        <w:rPr>
          <w:sz w:val="22"/>
          <w:szCs w:val="22"/>
        </w:rPr>
      </w:pPr>
      <w:r w:rsidRPr="00452D62">
        <w:rPr>
          <w:sz w:val="22"/>
          <w:szCs w:val="22"/>
        </w:rPr>
        <w:t>Gydant plaučių embolija sergančius pacientus, kurių hemodinamika yra nestabili arba kuriems gali būti taikoma trombolizė ar plaučių embolektomija, Xerdoxo nerekomenduojama vartoti kaip nefrakcionuotam heparinui alternatyvaus vaistinio preparato, nes rivaroksabano veiksmingumas ir saugumas šiomis klinikinėmis aplinkybėmis nėra ištirti.</w:t>
      </w:r>
    </w:p>
    <w:p w14:paraId="6688CC1A" w14:textId="77777777" w:rsidR="00823785" w:rsidRPr="00452D62" w:rsidRDefault="00823785" w:rsidP="00823785">
      <w:pPr>
        <w:rPr>
          <w:sz w:val="22"/>
          <w:szCs w:val="22"/>
        </w:rPr>
      </w:pPr>
    </w:p>
    <w:p w14:paraId="290ADD62" w14:textId="77777777" w:rsidR="00823785" w:rsidRPr="00452D62" w:rsidRDefault="00823785" w:rsidP="00823785">
      <w:pPr>
        <w:rPr>
          <w:sz w:val="22"/>
          <w:szCs w:val="22"/>
        </w:rPr>
      </w:pPr>
      <w:r w:rsidRPr="00452D62">
        <w:rPr>
          <w:sz w:val="22"/>
          <w:szCs w:val="22"/>
          <w:u w:val="single"/>
        </w:rPr>
        <w:t>Spinalinė / epidurinė anestezija arba punkcija</w:t>
      </w:r>
    </w:p>
    <w:p w14:paraId="20DBCD93" w14:textId="77777777" w:rsidR="00823785" w:rsidRPr="00452D62" w:rsidRDefault="00823785" w:rsidP="00823785">
      <w:pPr>
        <w:rPr>
          <w:sz w:val="22"/>
          <w:szCs w:val="22"/>
        </w:rPr>
      </w:pPr>
      <w:r w:rsidRPr="00452D62">
        <w:rPr>
          <w:sz w:val="22"/>
          <w:szCs w:val="22"/>
        </w:rPr>
        <w:t>Taikant neuroaksialinę anesteziją (spinalinę/epidurinę anesteziją) arba atliekant spinalinę/epidurinę punkciją pacientams, gydomiems antitromboziniais vaistiniais preparatais, tromboembolinių komplikacijų profilaktikai, yra rizika, kad formuosis epidurinė ar spinalinė hematoma, kuri gali sukelti ilgalaikį arba nuolatinį paralyžių. Šių reiškinių rizika gali padidėti po operacijos naudojant įstatytus epidurinius kateterius arba kartu vartojant vaistinių preparatų, veikiančių hemostazę. Rizika taip pat gali didėti trauminės ar pakartotinos epidurinės ar spinalinės punkcijos metu. Pacientai turi būti dažnai stebimi dėl neurologinių sutrikimų požymių ir simptomų (pvz., kojų tirpimo ar silpnumo, žarnyno ar šlapimo pūslės disfunkcijos). Jei pastebima neurologinių sutrikimų, būtina atlikti skubią diagnostiką ir skirti gydymą. Prieš neuroaksialinę intervenciją gydytojai turi įvertinti galimos naudos ir rizikos santykį pacientams, kuriems skirta antikoaguliantų, arba pacientams, kuriems turi būti skiriama antikoaguliantų trombozės profilaktikai.</w:t>
      </w:r>
      <w:r w:rsidRPr="00AE1B80">
        <w:rPr>
          <w:sz w:val="22"/>
          <w:szCs w:val="22"/>
        </w:rPr>
        <w:t xml:space="preserve"> </w:t>
      </w:r>
      <w:r w:rsidRPr="00452D62">
        <w:rPr>
          <w:sz w:val="22"/>
          <w:szCs w:val="22"/>
        </w:rPr>
        <w:t>Klinikinės patirties, vartojant 15 mg rivaroksabano dozę, šiose situacijose nėra.</w:t>
      </w:r>
    </w:p>
    <w:p w14:paraId="2B6A3321" w14:textId="586A73AC" w:rsidR="00823785" w:rsidRPr="00452D62" w:rsidRDefault="00823785" w:rsidP="00823785">
      <w:pPr>
        <w:rPr>
          <w:sz w:val="22"/>
          <w:szCs w:val="22"/>
        </w:rPr>
      </w:pPr>
      <w:r w:rsidRPr="00452D62">
        <w:rPr>
          <w:sz w:val="22"/>
          <w:szCs w:val="22"/>
        </w:rPr>
        <w:t>Siekiant sumažinti galimą kraujavimo riziką, susijusią su rivaroksabano vartojimu taikant neuroaksialinę (spinalinę/epidurinę) anesteziją arba atliekant spinalinę punkciją, reikia atsižvelgti į rivaroksabano farmakokinetines savybes. Epidurinio kateterio įvedimą arba pašalinimą ar juosmeninę punkciją geriausia atlikti, kai rivaroksabano antikoaguliacinis poveikis yra įvertintas kaip mažas. Vis dėlto tikslus laikotarpis, per kurį pasiekiamas pakankamai mažas antikoaguliacinis poveikis kiekvienam pacientui, nėra žinomas, ir jį reikia įvertinti atsižvelgiant į tai, kiek skubi yra diagnostinė procedūra.</w:t>
      </w:r>
    </w:p>
    <w:p w14:paraId="243851B5" w14:textId="77777777" w:rsidR="00823785" w:rsidRPr="00452D62" w:rsidRDefault="00823785" w:rsidP="00823785">
      <w:pPr>
        <w:rPr>
          <w:sz w:val="22"/>
          <w:szCs w:val="22"/>
        </w:rPr>
      </w:pPr>
      <w:r w:rsidRPr="00452D62">
        <w:rPr>
          <w:sz w:val="22"/>
          <w:szCs w:val="22"/>
        </w:rPr>
        <w:t>Remiantis bendromis farmakokinetinėmis savybėmis, ketinant ištraukti epidurinį kateterį, po paskutinio rivaroksabano pavartojimo turi praeiti laikotarpis, atitinkantis mažiausiai 2 pusinės eliminacijos laikus, t. y. ne mažiau kaip 18 valandų jauniems suaugusiems pacientams ir 26 valandos senyviems pacientams (žr. 5.2 skyrių).</w:t>
      </w:r>
    </w:p>
    <w:p w14:paraId="1FA342A1" w14:textId="77777777" w:rsidR="00823785" w:rsidRPr="00452D62" w:rsidRDefault="00823785" w:rsidP="00823785">
      <w:pPr>
        <w:rPr>
          <w:sz w:val="22"/>
          <w:szCs w:val="22"/>
        </w:rPr>
      </w:pPr>
      <w:r w:rsidRPr="00452D62">
        <w:rPr>
          <w:sz w:val="22"/>
          <w:szCs w:val="22"/>
        </w:rPr>
        <w:t>Nuo paskutinės rivaroksabano dozės pavartojimo iki epidurinio kateterio išėmimo turi praeiti bent 18 valandų. Išėmus kateterį, kitą rivaroksabano dozę galima vartoti po ne mažiau kaip 6 valandų.</w:t>
      </w:r>
    </w:p>
    <w:p w14:paraId="0F3FC6B4" w14:textId="62D5B275" w:rsidR="00823785" w:rsidRPr="00452D62" w:rsidRDefault="00823785" w:rsidP="00823785">
      <w:pPr>
        <w:rPr>
          <w:sz w:val="22"/>
          <w:szCs w:val="22"/>
          <w:u w:val="single"/>
        </w:rPr>
      </w:pPr>
      <w:r w:rsidRPr="00452D62">
        <w:rPr>
          <w:sz w:val="22"/>
          <w:szCs w:val="22"/>
        </w:rPr>
        <w:t>Jei įvyksta trauminis pradūrimas, rivaroksabano vartojimas yra pavėlinamas 24 valandoms.</w:t>
      </w:r>
    </w:p>
    <w:p w14:paraId="1CB69B3E" w14:textId="7060A40E" w:rsidR="00823785" w:rsidRPr="00452D62" w:rsidRDefault="000147AC" w:rsidP="000147AC">
      <w:pPr>
        <w:rPr>
          <w:sz w:val="22"/>
          <w:szCs w:val="22"/>
        </w:rPr>
      </w:pPr>
      <w:r w:rsidRPr="00452D62">
        <w:rPr>
          <w:sz w:val="22"/>
          <w:szCs w:val="22"/>
        </w:rPr>
        <w:t>Rivaroksabano vartojantiems vaikams duomenų apie neuroaksialinio kateterio įvedimo arba pašalinimo laiką nėra. Tokiais atvejais reikia nutraukti rivaroksabano vartojimą ir apsvarstyti, ar neverta skirti trumpo veikimo parenterinio antikoagulianto.</w:t>
      </w:r>
    </w:p>
    <w:p w14:paraId="4E54D6F8" w14:textId="77777777" w:rsidR="000147AC" w:rsidRPr="00452D62" w:rsidRDefault="000147AC" w:rsidP="000147AC">
      <w:pPr>
        <w:rPr>
          <w:sz w:val="22"/>
          <w:szCs w:val="22"/>
          <w:u w:val="single"/>
        </w:rPr>
      </w:pPr>
    </w:p>
    <w:p w14:paraId="246E67AD" w14:textId="77777777" w:rsidR="00823785" w:rsidRPr="00452D62" w:rsidRDefault="00823785" w:rsidP="00823785">
      <w:pPr>
        <w:rPr>
          <w:sz w:val="22"/>
          <w:szCs w:val="22"/>
        </w:rPr>
      </w:pPr>
      <w:r w:rsidRPr="00452D62">
        <w:rPr>
          <w:sz w:val="22"/>
          <w:szCs w:val="22"/>
          <w:u w:val="single"/>
        </w:rPr>
        <w:t>Dozavimo rekomendacijos prieš invazines procedūras bei chirurgines intervencijas</w:t>
      </w:r>
      <w:r w:rsidRPr="00AE1B80">
        <w:rPr>
          <w:sz w:val="22"/>
          <w:szCs w:val="22"/>
          <w:u w:val="single"/>
        </w:rPr>
        <w:t xml:space="preserve"> </w:t>
      </w:r>
      <w:r w:rsidRPr="00452D62">
        <w:rPr>
          <w:sz w:val="22"/>
          <w:szCs w:val="22"/>
          <w:u w:val="single"/>
        </w:rPr>
        <w:t>ir po jų</w:t>
      </w:r>
    </w:p>
    <w:p w14:paraId="3A8C1CA2" w14:textId="77777777" w:rsidR="00823785" w:rsidRPr="00452D62" w:rsidRDefault="00823785" w:rsidP="00823785">
      <w:pPr>
        <w:rPr>
          <w:sz w:val="22"/>
          <w:szCs w:val="22"/>
        </w:rPr>
      </w:pPr>
      <w:r w:rsidRPr="00452D62">
        <w:rPr>
          <w:sz w:val="22"/>
          <w:szCs w:val="22"/>
        </w:rPr>
        <w:t>Jeigu reikia atlikti invazinę procedūrą arba chirurginę intervenciją, Xerdoxo 20 mg vartojimą reikia nutraukti likus mažiausiai 24 valandoms iki intervencijos, jeigu galima ir remiantis klinikiniu gydytojo sprendimu.</w:t>
      </w:r>
    </w:p>
    <w:p w14:paraId="2C3342F4" w14:textId="77777777" w:rsidR="00823785" w:rsidRPr="00452D62" w:rsidRDefault="00823785" w:rsidP="00823785">
      <w:pPr>
        <w:rPr>
          <w:sz w:val="22"/>
          <w:szCs w:val="22"/>
        </w:rPr>
      </w:pPr>
      <w:r w:rsidRPr="00452D62">
        <w:rPr>
          <w:sz w:val="22"/>
          <w:szCs w:val="22"/>
        </w:rPr>
        <w:t>Jeigu procedūros negalima atidėti, reikia įvertinti padidėjusios kraujavimo rizikos ir intervencijos skubumo santykį.</w:t>
      </w:r>
    </w:p>
    <w:p w14:paraId="459C44C9" w14:textId="77777777" w:rsidR="00823785" w:rsidRPr="00452D62" w:rsidRDefault="00823785" w:rsidP="00823785">
      <w:pPr>
        <w:rPr>
          <w:sz w:val="22"/>
          <w:szCs w:val="22"/>
          <w:u w:val="single"/>
        </w:rPr>
      </w:pPr>
      <w:r w:rsidRPr="00452D62">
        <w:rPr>
          <w:sz w:val="22"/>
          <w:szCs w:val="22"/>
        </w:rPr>
        <w:t>Po invazinės procedūros ar chirurginės intervencijos kaip įmanoma greičiau reikia atnaujinti Xerdoxo vartojimą, jei gydantis gydytojas mano, kad klinikinė situacija leidžia tai padaryti ir yra nusistovėjusi pakankama hemostazė (žr. 5.2 skyrių).</w:t>
      </w:r>
    </w:p>
    <w:p w14:paraId="1707AB10" w14:textId="77777777" w:rsidR="00823785" w:rsidRPr="00452D62" w:rsidRDefault="00823785" w:rsidP="00823785">
      <w:pPr>
        <w:rPr>
          <w:sz w:val="22"/>
          <w:szCs w:val="22"/>
          <w:u w:val="single"/>
        </w:rPr>
      </w:pPr>
    </w:p>
    <w:p w14:paraId="1C3A48B3" w14:textId="77777777" w:rsidR="00823785" w:rsidRPr="00452D62" w:rsidRDefault="00823785" w:rsidP="00823785">
      <w:pPr>
        <w:rPr>
          <w:sz w:val="22"/>
          <w:szCs w:val="22"/>
        </w:rPr>
      </w:pPr>
      <w:r w:rsidRPr="00452D62">
        <w:rPr>
          <w:sz w:val="22"/>
          <w:szCs w:val="22"/>
          <w:u w:val="single"/>
        </w:rPr>
        <w:t>Senyvi pacientai</w:t>
      </w:r>
    </w:p>
    <w:p w14:paraId="0303C43D" w14:textId="77777777" w:rsidR="00823785" w:rsidRPr="00452D62" w:rsidRDefault="00823785" w:rsidP="00823785">
      <w:pPr>
        <w:ind w:left="567" w:hanging="567"/>
        <w:rPr>
          <w:sz w:val="22"/>
          <w:szCs w:val="22"/>
        </w:rPr>
      </w:pPr>
      <w:r w:rsidRPr="00452D62">
        <w:rPr>
          <w:sz w:val="22"/>
          <w:szCs w:val="22"/>
        </w:rPr>
        <w:t>Didėjantis amžius gali didinti kraujavimo riziką (žr. 5.2 skyrių).</w:t>
      </w:r>
    </w:p>
    <w:p w14:paraId="428BF708" w14:textId="77777777" w:rsidR="00823785" w:rsidRPr="00452D62" w:rsidRDefault="00823785" w:rsidP="00823785">
      <w:pPr>
        <w:ind w:left="567" w:hanging="567"/>
        <w:rPr>
          <w:sz w:val="22"/>
          <w:szCs w:val="22"/>
        </w:rPr>
      </w:pPr>
    </w:p>
    <w:p w14:paraId="0E90C175" w14:textId="77777777" w:rsidR="00823785" w:rsidRPr="00452D62" w:rsidRDefault="00823785" w:rsidP="00823785">
      <w:pPr>
        <w:rPr>
          <w:sz w:val="22"/>
          <w:szCs w:val="22"/>
        </w:rPr>
      </w:pPr>
      <w:r w:rsidRPr="00452D62">
        <w:rPr>
          <w:sz w:val="22"/>
          <w:szCs w:val="22"/>
          <w:u w:val="single"/>
        </w:rPr>
        <w:t>Dermatologinės reakcijos</w:t>
      </w:r>
    </w:p>
    <w:p w14:paraId="625A5DEC" w14:textId="77777777" w:rsidR="00823785" w:rsidRPr="00452D62" w:rsidRDefault="00823785" w:rsidP="00823785">
      <w:pPr>
        <w:rPr>
          <w:sz w:val="22"/>
          <w:szCs w:val="22"/>
          <w:u w:val="single"/>
        </w:rPr>
      </w:pPr>
      <w:r w:rsidRPr="00452D62">
        <w:rPr>
          <w:sz w:val="22"/>
          <w:szCs w:val="22"/>
        </w:rPr>
        <w:t>Poregistracinio stebėjimo metu buvo pranešta apie sunkias odos reakcijas, susijusias su rivaroksabano vartojimu, įskaitant Stivenso-Džonsono (</w:t>
      </w:r>
      <w:r w:rsidRPr="00452D62">
        <w:rPr>
          <w:i/>
          <w:sz w:val="22"/>
          <w:szCs w:val="22"/>
        </w:rPr>
        <w:t>Stevens-Johnson</w:t>
      </w:r>
      <w:r w:rsidRPr="00452D62">
        <w:rPr>
          <w:iCs/>
          <w:sz w:val="22"/>
          <w:szCs w:val="22"/>
        </w:rPr>
        <w:t>)</w:t>
      </w:r>
      <w:r w:rsidRPr="00452D62">
        <w:rPr>
          <w:i/>
          <w:iCs/>
          <w:sz w:val="22"/>
          <w:szCs w:val="22"/>
        </w:rPr>
        <w:t xml:space="preserve"> </w:t>
      </w:r>
      <w:r w:rsidRPr="00452D62">
        <w:rPr>
          <w:sz w:val="22"/>
          <w:szCs w:val="22"/>
        </w:rPr>
        <w:t>sindromą, toksinę epidermio nekrolizę bei vaistinio preparato sukelto išbėrimo su eozinofilija ir sisteminiais simptomais</w:t>
      </w:r>
      <w:r w:rsidRPr="00AE1B80">
        <w:rPr>
          <w:sz w:val="22"/>
          <w:szCs w:val="22"/>
        </w:rPr>
        <w:t xml:space="preserve"> </w:t>
      </w:r>
      <w:r w:rsidRPr="00452D62">
        <w:rPr>
          <w:sz w:val="22"/>
          <w:szCs w:val="22"/>
        </w:rPr>
        <w:t xml:space="preserve">(angl. </w:t>
      </w:r>
      <w:r w:rsidRPr="00452D62">
        <w:rPr>
          <w:i/>
          <w:iCs/>
          <w:sz w:val="22"/>
          <w:szCs w:val="22"/>
        </w:rPr>
        <w:t>drug rash with eosinophilia and systemic symptoms</w:t>
      </w:r>
      <w:r w:rsidRPr="00452D62">
        <w:rPr>
          <w:sz w:val="22"/>
          <w:szCs w:val="22"/>
        </w:rPr>
        <w:t>, DRESS) sindromą (žr. 4.8 skyrių). Pacientams šių reakcijų didžiausia rizika būna gydymo pradžioje: daugeliu atvejų nepageidaujamos reakcijos pasireiškė pirmosiomis gydymo savaitėmis. Pirmą kartą atsiradus sunkiam odos išbėrimui (pvz., plintančiam, intensyviam ir (arba) pūslėms) arba bet kokiam kitam padidėjusio jautrumo požymiui, susijusiam su gleivinės pažeidimu, rivaroksabano vartojimas turi būti nutrauktas.</w:t>
      </w:r>
    </w:p>
    <w:p w14:paraId="3FD21E52" w14:textId="77777777" w:rsidR="00823785" w:rsidRPr="00452D62" w:rsidRDefault="00823785" w:rsidP="00823785">
      <w:pPr>
        <w:rPr>
          <w:sz w:val="22"/>
          <w:szCs w:val="22"/>
          <w:u w:val="single"/>
        </w:rPr>
      </w:pPr>
    </w:p>
    <w:p w14:paraId="7AE205BB" w14:textId="77777777" w:rsidR="00823785" w:rsidRPr="00452D62" w:rsidRDefault="00823785" w:rsidP="00823785">
      <w:pPr>
        <w:rPr>
          <w:sz w:val="22"/>
          <w:szCs w:val="22"/>
        </w:rPr>
      </w:pPr>
      <w:r w:rsidRPr="00452D62">
        <w:rPr>
          <w:sz w:val="22"/>
          <w:szCs w:val="22"/>
          <w:u w:val="single"/>
        </w:rPr>
        <w:t>Informacija apie pagalbines medžiagas</w:t>
      </w:r>
    </w:p>
    <w:p w14:paraId="4C02BDE2" w14:textId="77777777" w:rsidR="00823785" w:rsidRPr="00452D62" w:rsidRDefault="00823785" w:rsidP="00823785">
      <w:pPr>
        <w:tabs>
          <w:tab w:val="clear" w:pos="567"/>
          <w:tab w:val="left" w:pos="0"/>
        </w:tabs>
        <w:rPr>
          <w:sz w:val="22"/>
          <w:szCs w:val="22"/>
        </w:rPr>
      </w:pPr>
      <w:r w:rsidRPr="00452D62">
        <w:rPr>
          <w:sz w:val="22"/>
          <w:szCs w:val="22"/>
        </w:rPr>
        <w:t>Šio vaistinio preparato vienoje plėvele dengtoje tabletėje yra mažiau kaip 1 mmol (23 mg) natrio, t. y. jis beveik neturi reikšmės.</w:t>
      </w:r>
    </w:p>
    <w:p w14:paraId="203B771F" w14:textId="77777777" w:rsidR="00823785" w:rsidRPr="00452D62" w:rsidRDefault="00823785" w:rsidP="00823785">
      <w:pPr>
        <w:ind w:left="567" w:hanging="567"/>
        <w:rPr>
          <w:sz w:val="22"/>
          <w:szCs w:val="22"/>
        </w:rPr>
      </w:pPr>
    </w:p>
    <w:p w14:paraId="2455A8F2"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4.5</w:t>
      </w:r>
      <w:r w:rsidRPr="00452D62">
        <w:rPr>
          <w:b/>
          <w:color w:val="auto"/>
          <w:kern w:val="28"/>
          <w:sz w:val="22"/>
          <w:szCs w:val="22"/>
          <w:lang w:eastAsia="en-US"/>
        </w:rPr>
        <w:tab/>
        <w:t>Sąveika su kitais vaistiniais preparatais ir kitokia sąveika</w:t>
      </w:r>
    </w:p>
    <w:p w14:paraId="6D90FE0F" w14:textId="77777777" w:rsidR="001E3232" w:rsidRPr="00452D62" w:rsidRDefault="001E3232" w:rsidP="00823785">
      <w:pPr>
        <w:rPr>
          <w:sz w:val="22"/>
          <w:szCs w:val="22"/>
        </w:rPr>
      </w:pPr>
    </w:p>
    <w:p w14:paraId="053F06BD" w14:textId="6B9A5A32" w:rsidR="00823785" w:rsidRPr="00452D62" w:rsidRDefault="001E3232" w:rsidP="00823785">
      <w:pPr>
        <w:rPr>
          <w:sz w:val="22"/>
          <w:szCs w:val="22"/>
        </w:rPr>
      </w:pPr>
      <w:r w:rsidRPr="00452D62">
        <w:rPr>
          <w:sz w:val="22"/>
          <w:szCs w:val="22"/>
        </w:rPr>
        <w:t>Sąveikos apimtis vaikų populiacijoje nežinoma. Toliau pateikti sąveikos duomenys buvo gauti tiriant suaugusius, ir vaistinį preparatą skiriant vaikų populiacijai reikia atsižvelgti į 4.4 skyriuje nurodytus įspėjimus.</w:t>
      </w:r>
    </w:p>
    <w:p w14:paraId="1B8333D1" w14:textId="77777777" w:rsidR="001E3232" w:rsidRPr="00452D62" w:rsidRDefault="001E3232" w:rsidP="00823785">
      <w:pPr>
        <w:rPr>
          <w:sz w:val="22"/>
          <w:szCs w:val="22"/>
        </w:rPr>
      </w:pPr>
    </w:p>
    <w:p w14:paraId="1A910C6D" w14:textId="77777777" w:rsidR="00823785" w:rsidRPr="00452D62" w:rsidRDefault="00823785" w:rsidP="00823785">
      <w:pPr>
        <w:rPr>
          <w:sz w:val="22"/>
          <w:szCs w:val="22"/>
        </w:rPr>
      </w:pPr>
      <w:r w:rsidRPr="00452D62">
        <w:rPr>
          <w:sz w:val="22"/>
          <w:szCs w:val="22"/>
          <w:u w:val="single"/>
        </w:rPr>
        <w:t>CYP3A4 ir P-gp inhibitoriai</w:t>
      </w:r>
    </w:p>
    <w:p w14:paraId="49967D80" w14:textId="77777777" w:rsidR="00823785" w:rsidRPr="00452D62" w:rsidRDefault="00823785" w:rsidP="00823785">
      <w:pPr>
        <w:rPr>
          <w:sz w:val="22"/>
          <w:szCs w:val="22"/>
        </w:rPr>
      </w:pPr>
      <w:r w:rsidRPr="00452D62">
        <w:rPr>
          <w:sz w:val="22"/>
          <w:szCs w:val="22"/>
        </w:rPr>
        <w:t>Kartu vartojant rivaroksabano ir ketokonazolo (400 mg kartą per parą) arba ritonaviro (600 mg du kartus per parą), 2,6 karto/2,5 karto padidėjo vidutinis rivaroksabano plotas po koncentracijos kreive laiko atžvilgiu (AUC) ir 1,7 karto/1,6 karto padidėjo vidutinė rivaroksabano C</w:t>
      </w:r>
      <w:r w:rsidRPr="00452D62">
        <w:rPr>
          <w:sz w:val="22"/>
          <w:szCs w:val="22"/>
          <w:vertAlign w:val="subscript"/>
        </w:rPr>
        <w:t>max</w:t>
      </w:r>
      <w:r w:rsidRPr="00452D62">
        <w:rPr>
          <w:sz w:val="22"/>
          <w:szCs w:val="22"/>
        </w:rPr>
        <w:t>, kartu reikšmingai sustiprėjo farmakodinaminis poveikis, o dėl to gali padidėti kraujavimo rizika. Taigi, Xerdoxo nerekomenduojama skirti pacientams, kuriems taikomas sisteminis gydymas azolo grupės priešgrybeliniais vaistiniais preparatais, pvz., ketokonazolu, itrakonazolu, vorikonazolu ir pozakonazolu, arba ŽIV proteazės inhibitoriais. Šios veikliosios medžiagos yra stiprūs tiek CYP3A4, tiek P-gp inhibitoriai (žr. 4.4 skyrių).</w:t>
      </w:r>
    </w:p>
    <w:p w14:paraId="2D59716A" w14:textId="77777777" w:rsidR="00823785" w:rsidRPr="00452D62" w:rsidRDefault="00823785" w:rsidP="00823785">
      <w:pPr>
        <w:rPr>
          <w:sz w:val="22"/>
          <w:szCs w:val="22"/>
        </w:rPr>
      </w:pPr>
    </w:p>
    <w:p w14:paraId="5B60C826" w14:textId="77777777" w:rsidR="00823785" w:rsidRPr="00452D62" w:rsidRDefault="00823785" w:rsidP="00823785">
      <w:pPr>
        <w:rPr>
          <w:sz w:val="22"/>
          <w:szCs w:val="22"/>
        </w:rPr>
      </w:pPr>
      <w:r w:rsidRPr="00452D62">
        <w:rPr>
          <w:sz w:val="22"/>
          <w:szCs w:val="22"/>
        </w:rPr>
        <w:t>Manoma, kad veikliosios medžiagos, stipriai slopinančios vieną iš rivaroksabano šalinimo mechanizmų (susijusių su CYP3A4 arba P-gp), rivaroksabano koncentraciją kraujo plazmoje didina mažiau. Pavyzdžiui, klaritromicinas (500 mg du kartus per parą), kuris yra laikomas stipriu CYP3A4 inhibitoriumi ir vidutinio stiprumo P-gp inhibitoriumi, vidutinį rivaroksabano AUC padidino 1,5 karto, o C</w:t>
      </w:r>
      <w:r w:rsidRPr="00452D62">
        <w:rPr>
          <w:sz w:val="22"/>
          <w:szCs w:val="22"/>
          <w:vertAlign w:val="subscript"/>
        </w:rPr>
        <w:t xml:space="preserve">max  </w:t>
      </w:r>
      <w:r w:rsidRPr="00452D62">
        <w:rPr>
          <w:sz w:val="22"/>
          <w:szCs w:val="22"/>
        </w:rPr>
        <w:t>padidino 1,4 karto.</w:t>
      </w:r>
      <w:r w:rsidRPr="00AE1B80">
        <w:rPr>
          <w:sz w:val="22"/>
          <w:szCs w:val="22"/>
        </w:rPr>
        <w:t xml:space="preserve"> </w:t>
      </w:r>
      <w:r w:rsidRPr="00452D62">
        <w:rPr>
          <w:sz w:val="22"/>
          <w:szCs w:val="22"/>
        </w:rPr>
        <w:t>Tikėtina, kad daugumai pacientų sąveika su klaritromicinu nėra kliniškai reikšminga, tačiau ji gali būti reikšminga didelės rizikos pacientams. (Informacija apie pacientus, kurių inkstų funkcija yra sutrikusi, pateikiama 4.4 skyriuje).</w:t>
      </w:r>
    </w:p>
    <w:p w14:paraId="2AEB2F13" w14:textId="77777777" w:rsidR="00823785" w:rsidRPr="00452D62" w:rsidRDefault="00823785" w:rsidP="00823785">
      <w:pPr>
        <w:rPr>
          <w:sz w:val="22"/>
          <w:szCs w:val="22"/>
        </w:rPr>
      </w:pPr>
    </w:p>
    <w:p w14:paraId="1B79BA81" w14:textId="77777777" w:rsidR="00823785" w:rsidRPr="00452D62" w:rsidRDefault="00823785" w:rsidP="00823785">
      <w:pPr>
        <w:rPr>
          <w:sz w:val="22"/>
          <w:szCs w:val="22"/>
        </w:rPr>
      </w:pPr>
      <w:r w:rsidRPr="00452D62">
        <w:rPr>
          <w:sz w:val="22"/>
          <w:szCs w:val="22"/>
        </w:rPr>
        <w:t>Eritromicinas (500 mg tris kartus per parą), kuris vidutiniškai slopina CYP3A4 ir P-gp, vidutinius rivaroksabano AUC ir C</w:t>
      </w:r>
      <w:r w:rsidRPr="00452D62">
        <w:rPr>
          <w:sz w:val="22"/>
          <w:szCs w:val="22"/>
          <w:vertAlign w:val="subscript"/>
        </w:rPr>
        <w:t xml:space="preserve">max </w:t>
      </w:r>
      <w:r w:rsidRPr="00452D62">
        <w:rPr>
          <w:sz w:val="22"/>
          <w:szCs w:val="22"/>
        </w:rPr>
        <w:t>rodmenis padidino 1,3 karto. Tikėtina, kad daugumai pacientų sąveika su eritromicinu nėra kliniškai reikšminga, tačiau ji gali būti reikšminga didelės rizikos pacientams. Tiriamiesiems, kuriems buvo lengvas inkstų funkcijos sutrikimas, eritromicinas (po 500 mg tris kartus per parą) vidutinį rivaroksabano AUC padidino 1,8 karto, o C</w:t>
      </w:r>
      <w:r w:rsidRPr="00452D62">
        <w:rPr>
          <w:sz w:val="22"/>
          <w:szCs w:val="22"/>
          <w:vertAlign w:val="subscript"/>
        </w:rPr>
        <w:t>max</w:t>
      </w:r>
      <w:r w:rsidRPr="00452D62">
        <w:rPr>
          <w:sz w:val="22"/>
          <w:szCs w:val="22"/>
        </w:rPr>
        <w:t xml:space="preserve"> padidino 1,6 karto, palyginti su tiriamaisiais, kurių inkstų funkcija normali. Tiriamiesiems, kuriems buvo vidutinio sunkumo inkstų funkcijos sutrikimas, eritromicinas vidutinį rivaroksabano AUC padidino 2,0 karto, o C</w:t>
      </w:r>
      <w:r w:rsidRPr="00452D62">
        <w:rPr>
          <w:sz w:val="22"/>
          <w:szCs w:val="22"/>
          <w:vertAlign w:val="subscript"/>
        </w:rPr>
        <w:t>max</w:t>
      </w:r>
      <w:r w:rsidRPr="00452D62">
        <w:rPr>
          <w:sz w:val="22"/>
          <w:szCs w:val="22"/>
        </w:rPr>
        <w:t xml:space="preserve"> padidino 1,6 karto, palyginti su tiriamaisiais, kurių inkstų funkcija normali. Eritromicino ir inkstų funkcijos sutrikimo poveikis yra suminis (žr. 4.4 skyrių).</w:t>
      </w:r>
    </w:p>
    <w:p w14:paraId="27F4AF19" w14:textId="77777777" w:rsidR="00823785" w:rsidRPr="00452D62" w:rsidRDefault="00823785" w:rsidP="00823785">
      <w:pPr>
        <w:rPr>
          <w:sz w:val="22"/>
          <w:szCs w:val="22"/>
        </w:rPr>
      </w:pPr>
    </w:p>
    <w:p w14:paraId="70EE0974" w14:textId="77777777" w:rsidR="00823785" w:rsidRPr="00452D62" w:rsidRDefault="00823785" w:rsidP="00823785">
      <w:pPr>
        <w:rPr>
          <w:sz w:val="22"/>
          <w:szCs w:val="22"/>
        </w:rPr>
      </w:pPr>
      <w:r w:rsidRPr="00452D62">
        <w:rPr>
          <w:sz w:val="22"/>
          <w:szCs w:val="22"/>
        </w:rPr>
        <w:t>Flukonazolas (400 mg kartą per parą), laikomas vidutinio stiprumo CYP3A4 inhibitoriumi, vidutinį rivaroksabano AUC padidino 1,4 karto, o C</w:t>
      </w:r>
      <w:r w:rsidRPr="00452D62">
        <w:rPr>
          <w:sz w:val="22"/>
          <w:szCs w:val="22"/>
          <w:vertAlign w:val="subscript"/>
        </w:rPr>
        <w:t>max</w:t>
      </w:r>
      <w:r w:rsidRPr="00452D62">
        <w:rPr>
          <w:sz w:val="22"/>
          <w:szCs w:val="22"/>
        </w:rPr>
        <w:t xml:space="preserve"> padidino 1,3 karto. Tikėtina, kad daugumai pacientų sąveika su flukonazolu nėra kliniškai reikšminga, tačiau ji gali būti reikšminga didelės rizikos pacientams (informacija apie pacientus, kurių inkstų funkcija yra sutrikusi, pateikiama 4.4 skyriuje).</w:t>
      </w:r>
    </w:p>
    <w:p w14:paraId="76ED89E5" w14:textId="77777777" w:rsidR="00823785" w:rsidRPr="00452D62" w:rsidRDefault="00823785" w:rsidP="00823785">
      <w:pPr>
        <w:rPr>
          <w:sz w:val="22"/>
          <w:szCs w:val="22"/>
        </w:rPr>
      </w:pPr>
    </w:p>
    <w:p w14:paraId="11CFFF9E" w14:textId="77777777" w:rsidR="00823785" w:rsidRPr="00452D62" w:rsidRDefault="00823785" w:rsidP="00823785">
      <w:pPr>
        <w:rPr>
          <w:sz w:val="22"/>
          <w:szCs w:val="22"/>
          <w:u w:val="single"/>
        </w:rPr>
      </w:pPr>
      <w:r w:rsidRPr="00452D62">
        <w:rPr>
          <w:sz w:val="22"/>
          <w:szCs w:val="22"/>
        </w:rPr>
        <w:t>Klinikinių duomenų apie dronedaroną yra nedaug, todėl jo reikia vengti vartoti kartu su rivaroksabanu.</w:t>
      </w:r>
    </w:p>
    <w:p w14:paraId="738E19C0" w14:textId="77777777" w:rsidR="00823785" w:rsidRPr="00452D62" w:rsidRDefault="00823785" w:rsidP="00823785">
      <w:pPr>
        <w:rPr>
          <w:sz w:val="22"/>
          <w:szCs w:val="22"/>
          <w:u w:val="single"/>
        </w:rPr>
      </w:pPr>
    </w:p>
    <w:p w14:paraId="2D7ED449" w14:textId="77777777" w:rsidR="00823785" w:rsidRPr="00452D62" w:rsidRDefault="00823785" w:rsidP="00823785">
      <w:pPr>
        <w:rPr>
          <w:sz w:val="22"/>
          <w:szCs w:val="22"/>
        </w:rPr>
      </w:pPr>
      <w:r w:rsidRPr="00452D62">
        <w:rPr>
          <w:sz w:val="22"/>
          <w:szCs w:val="22"/>
          <w:u w:val="single"/>
        </w:rPr>
        <w:t>Antikoaguliantai</w:t>
      </w:r>
    </w:p>
    <w:p w14:paraId="75A2BFF8" w14:textId="77777777" w:rsidR="00823785" w:rsidRPr="00452D62" w:rsidRDefault="00823785" w:rsidP="00823785">
      <w:pPr>
        <w:rPr>
          <w:sz w:val="22"/>
          <w:szCs w:val="22"/>
        </w:rPr>
      </w:pPr>
      <w:r w:rsidRPr="00452D62">
        <w:rPr>
          <w:sz w:val="22"/>
          <w:szCs w:val="22"/>
        </w:rPr>
        <w:t xml:space="preserve">Enoksaparino (40 mg vienkartinė dozė) vartojant kartu su rivaroksabanu (10 mg vienkartinė dozė), pastebėtas suminis poveikis anti-Xa faktoriaus aktyvumui be jokio papildomo poveikio krešėjimo tyrimams (protrombino laikui angl. (angl. </w:t>
      </w:r>
      <w:r w:rsidRPr="00452D62">
        <w:rPr>
          <w:i/>
          <w:iCs/>
          <w:sz w:val="22"/>
          <w:szCs w:val="22"/>
        </w:rPr>
        <w:t>prothrombin time</w:t>
      </w:r>
      <w:r w:rsidRPr="00452D62">
        <w:rPr>
          <w:sz w:val="22"/>
          <w:szCs w:val="22"/>
        </w:rPr>
        <w:t xml:space="preserve">, </w:t>
      </w:r>
      <w:r w:rsidRPr="00452D62">
        <w:rPr>
          <w:i/>
          <w:iCs/>
          <w:sz w:val="22"/>
          <w:szCs w:val="22"/>
        </w:rPr>
        <w:t>PT</w:t>
      </w:r>
      <w:r w:rsidRPr="00452D62">
        <w:rPr>
          <w:sz w:val="22"/>
          <w:szCs w:val="22"/>
        </w:rPr>
        <w:t xml:space="preserve"> ), daliniam aktyvintam tromboplastino laikui (DATL)). Enoksaparinas neveikė rivaroksabano farmakokinetikos. Jeigu pacientas kartu gydomas bet kokiais kitais antikoaguliantais, dėl padidėjusios kraujavimo rizikos reikia imtis atsargumo priemonių (žr. 4.3 ir 4.4 skyrius).</w:t>
      </w:r>
    </w:p>
    <w:p w14:paraId="7FAB89EC" w14:textId="77777777" w:rsidR="00823785" w:rsidRPr="00452D62" w:rsidRDefault="00823785" w:rsidP="00823785">
      <w:pPr>
        <w:rPr>
          <w:sz w:val="22"/>
          <w:szCs w:val="22"/>
        </w:rPr>
      </w:pPr>
    </w:p>
    <w:p w14:paraId="72D7143F" w14:textId="77777777" w:rsidR="00823785" w:rsidRPr="00452D62" w:rsidRDefault="00823785" w:rsidP="00823785">
      <w:pPr>
        <w:rPr>
          <w:sz w:val="22"/>
          <w:szCs w:val="22"/>
        </w:rPr>
      </w:pPr>
      <w:r w:rsidRPr="00452D62">
        <w:rPr>
          <w:sz w:val="22"/>
          <w:szCs w:val="22"/>
          <w:u w:val="single"/>
        </w:rPr>
        <w:t>NVNU/trombocitų agregacijos inhibitoriai</w:t>
      </w:r>
    </w:p>
    <w:p w14:paraId="4030BC48" w14:textId="77777777" w:rsidR="00823785" w:rsidRPr="00452D62" w:rsidRDefault="00823785" w:rsidP="00823785">
      <w:pPr>
        <w:rPr>
          <w:sz w:val="22"/>
          <w:szCs w:val="22"/>
        </w:rPr>
      </w:pPr>
      <w:r w:rsidRPr="00452D62">
        <w:rPr>
          <w:sz w:val="22"/>
          <w:szCs w:val="22"/>
        </w:rPr>
        <w:t>Vartojant rivaroksabano (15 mg) kartu su 500 mg naprokseno doze, jokio kliniškai reikšmingo kraujavimo laiko pailgėjimo nenustatyta. Nepaisant to, gali būti asmenų, kuriems farmakodinaminis atsakas gali būti stipresnis.</w:t>
      </w:r>
    </w:p>
    <w:p w14:paraId="28B3F8B0" w14:textId="77777777" w:rsidR="00823785" w:rsidRPr="00452D62" w:rsidRDefault="00823785" w:rsidP="00823785">
      <w:pPr>
        <w:rPr>
          <w:sz w:val="22"/>
          <w:szCs w:val="22"/>
        </w:rPr>
      </w:pPr>
      <w:r w:rsidRPr="00452D62">
        <w:rPr>
          <w:sz w:val="22"/>
          <w:szCs w:val="22"/>
        </w:rPr>
        <w:t>Rivaroksabano vartojant kartu su 500 mg acetilsalicilo rūgšties doze, jokios kliniškai reikšmingos farmakokinetinės ar farmakodinaminės sąveikos nenustatyta.</w:t>
      </w:r>
    </w:p>
    <w:p w14:paraId="1B584C4F" w14:textId="77777777" w:rsidR="00823785" w:rsidRPr="00452D62" w:rsidRDefault="00823785" w:rsidP="00823785">
      <w:pPr>
        <w:rPr>
          <w:sz w:val="22"/>
          <w:szCs w:val="22"/>
        </w:rPr>
      </w:pPr>
      <w:r w:rsidRPr="00452D62">
        <w:rPr>
          <w:sz w:val="22"/>
          <w:szCs w:val="22"/>
        </w:rPr>
        <w:t>Kartu vartojant klopidogrelio (vartota 300 mg įsotinamoji dozė ir po to 75 mg palaikomoji dozė), nenustatyta jokios farmakokinetinės sąveikos su rivaroksabanu (vartota 15 mg dozė), tačiau pacientų pogrupiui buvo nustatytas reikšmingas kraujavimo laiko pailgėjimas ir tai nekoreliavo su trombocitų agregacija ir P-selektino arba GPIIb/IIIa receptorių lygiais.</w:t>
      </w:r>
    </w:p>
    <w:p w14:paraId="25743A68" w14:textId="77777777" w:rsidR="00823785" w:rsidRPr="00452D62" w:rsidRDefault="00823785" w:rsidP="00823785">
      <w:pPr>
        <w:rPr>
          <w:sz w:val="22"/>
          <w:szCs w:val="22"/>
          <w:u w:val="single"/>
        </w:rPr>
      </w:pPr>
      <w:r w:rsidRPr="00452D62">
        <w:rPr>
          <w:sz w:val="22"/>
          <w:szCs w:val="22"/>
        </w:rPr>
        <w:t>Turi būti imamasi atsargumo priemonių, jeigu pacientams taikomas gydymas nesteroidiniais vaistiniais preparatais nuo uždegimo (NVNU) (įskaitant acetilsalicilo rūgštį) ir trombocitų agregacijos inhibitoriais, nes šie vaistiniai preparatai paprastai didina kraujavimo riziką (žr. 4.4 skyrių).</w:t>
      </w:r>
    </w:p>
    <w:p w14:paraId="76F17B19" w14:textId="77777777" w:rsidR="00823785" w:rsidRPr="00452D62" w:rsidRDefault="00823785" w:rsidP="00823785">
      <w:pPr>
        <w:rPr>
          <w:sz w:val="22"/>
          <w:szCs w:val="22"/>
          <w:u w:val="single"/>
        </w:rPr>
      </w:pPr>
    </w:p>
    <w:p w14:paraId="290C6DB0" w14:textId="77777777" w:rsidR="00823785" w:rsidRPr="00452D62" w:rsidRDefault="00823785" w:rsidP="00823785">
      <w:pPr>
        <w:rPr>
          <w:sz w:val="22"/>
          <w:szCs w:val="22"/>
          <w:u w:val="single"/>
        </w:rPr>
      </w:pPr>
      <w:r w:rsidRPr="00452D62">
        <w:rPr>
          <w:sz w:val="22"/>
          <w:szCs w:val="22"/>
          <w:u w:val="single"/>
        </w:rPr>
        <w:t>SSRI/SNRI</w:t>
      </w:r>
    </w:p>
    <w:p w14:paraId="5CD8B94D" w14:textId="77777777" w:rsidR="00823785" w:rsidRPr="00452D62" w:rsidRDefault="00823785" w:rsidP="00823785">
      <w:pPr>
        <w:rPr>
          <w:sz w:val="22"/>
          <w:szCs w:val="22"/>
        </w:rPr>
      </w:pPr>
      <w:r w:rsidRPr="00452D62">
        <w:rPr>
          <w:sz w:val="22"/>
          <w:szCs w:val="22"/>
        </w:rPr>
        <w:t>Kaip ir vartojant kitų antikoaguliantų, yra tikimybė, kad pacientams, kartu vartojantiems SSRI arba SNRI, dėl jų poveikio trombocitams, apie kurį buvo pranešta, gali padidėti kraujavimo rizika. Kai vykdant rivaroksabano klinikinę programą kartu buvo vartojama minėtų vaistinių preparatų, visose gydymo grupėse nustatyti skaitine reikšme didesni didžiojo ir ne didžiojo kliniškai reikšmingo kraujavimo dažnio rodmenys.</w:t>
      </w:r>
    </w:p>
    <w:p w14:paraId="014999F1" w14:textId="77777777" w:rsidR="00823785" w:rsidRPr="00452D62" w:rsidRDefault="00823785" w:rsidP="00823785">
      <w:pPr>
        <w:rPr>
          <w:sz w:val="22"/>
          <w:szCs w:val="22"/>
          <w:u w:val="single"/>
        </w:rPr>
      </w:pPr>
    </w:p>
    <w:p w14:paraId="7FA3534A" w14:textId="77777777" w:rsidR="00823785" w:rsidRPr="00452D62" w:rsidRDefault="00823785" w:rsidP="00823785">
      <w:pPr>
        <w:rPr>
          <w:sz w:val="22"/>
          <w:szCs w:val="22"/>
        </w:rPr>
      </w:pPr>
      <w:r w:rsidRPr="00452D62">
        <w:rPr>
          <w:sz w:val="22"/>
          <w:szCs w:val="22"/>
          <w:u w:val="single"/>
        </w:rPr>
        <w:t>Varfarinas</w:t>
      </w:r>
    </w:p>
    <w:p w14:paraId="37BF4C8C" w14:textId="77777777" w:rsidR="00823785" w:rsidRPr="00452D62" w:rsidRDefault="00823785" w:rsidP="00823785">
      <w:pPr>
        <w:rPr>
          <w:sz w:val="22"/>
          <w:szCs w:val="22"/>
        </w:rPr>
      </w:pPr>
      <w:r w:rsidRPr="00452D62">
        <w:rPr>
          <w:sz w:val="22"/>
          <w:szCs w:val="22"/>
        </w:rPr>
        <w:t>Keičiant gydymą vitamino K antagonistu varfarinu (</w:t>
      </w:r>
      <w:r w:rsidRPr="00452D62">
        <w:rPr>
          <w:iCs/>
          <w:sz w:val="22"/>
          <w:szCs w:val="22"/>
        </w:rPr>
        <w:t>INR</w:t>
      </w:r>
      <w:r w:rsidRPr="00452D62">
        <w:rPr>
          <w:sz w:val="22"/>
          <w:szCs w:val="22"/>
        </w:rPr>
        <w:t xml:space="preserve"> nuo 2,0 iki 3,0) į gydymą rivaroksabanu (20 mg) arba gydymą rivaroksabanu (20 mg) keičiant į gydymą varfarinu (</w:t>
      </w:r>
      <w:r w:rsidRPr="00452D62">
        <w:rPr>
          <w:iCs/>
          <w:sz w:val="22"/>
          <w:szCs w:val="22"/>
        </w:rPr>
        <w:t>INR</w:t>
      </w:r>
      <w:r w:rsidRPr="00452D62">
        <w:rPr>
          <w:sz w:val="22"/>
          <w:szCs w:val="22"/>
        </w:rPr>
        <w:t xml:space="preserve"> nuo 2,0 iki 3,0), protrombino laikas/</w:t>
      </w:r>
      <w:r w:rsidRPr="00452D62">
        <w:rPr>
          <w:iCs/>
          <w:sz w:val="22"/>
          <w:szCs w:val="22"/>
        </w:rPr>
        <w:t>INR</w:t>
      </w:r>
      <w:r w:rsidRPr="00452D62">
        <w:rPr>
          <w:sz w:val="22"/>
          <w:szCs w:val="22"/>
        </w:rPr>
        <w:t xml:space="preserve"> (Neoplastin) padidėjo daugiau nei iki suminės reikšmės (atskirais atvejais </w:t>
      </w:r>
      <w:r w:rsidRPr="00452D62">
        <w:rPr>
          <w:iCs/>
          <w:sz w:val="22"/>
          <w:szCs w:val="22"/>
        </w:rPr>
        <w:t>INR</w:t>
      </w:r>
      <w:r w:rsidRPr="00452D62">
        <w:rPr>
          <w:sz w:val="22"/>
          <w:szCs w:val="22"/>
        </w:rPr>
        <w:t xml:space="preserve"> rodmuo buvo iki 12), tuo tarpu kai poveikis DATL, Xa faktoriaus aktyvumo slopinimui ir endogeninio trombino potencialui (ETP) buvo suminis.</w:t>
      </w:r>
    </w:p>
    <w:p w14:paraId="40E8763E" w14:textId="77777777" w:rsidR="00823785" w:rsidRPr="00452D62" w:rsidRDefault="00823785" w:rsidP="00823785">
      <w:pPr>
        <w:rPr>
          <w:sz w:val="22"/>
          <w:szCs w:val="22"/>
        </w:rPr>
      </w:pPr>
      <w:r w:rsidRPr="00452D62">
        <w:rPr>
          <w:sz w:val="22"/>
          <w:szCs w:val="22"/>
        </w:rPr>
        <w:t xml:space="preserve">Norint ištirti rivaroksabano farmakodinaminį poveikį gydymo keitimo metu, galima atlikti antifaktoriaus Xa aktyvumo, PiCT ir </w:t>
      </w:r>
      <w:r w:rsidRPr="00452D62">
        <w:rPr>
          <w:i/>
          <w:sz w:val="22"/>
          <w:szCs w:val="22"/>
        </w:rPr>
        <w:t>Heptest</w:t>
      </w:r>
      <w:r w:rsidRPr="00452D62">
        <w:rPr>
          <w:sz w:val="22"/>
          <w:szCs w:val="22"/>
        </w:rPr>
        <w:t xml:space="preserve"> tyrimus, kadangi varfarinas įtakos šiems tyrimams nedaro. Ketvirtą parą po paskutinės varfarino dozės pavartojimo visi tyrimai (įskaitant protrombino laiką, DATL, Xa faktoriaus aktyvumo slopinimą ir ETP) rodė tik rivaroksabano poveikį. </w:t>
      </w:r>
    </w:p>
    <w:p w14:paraId="310D0B21" w14:textId="77777777" w:rsidR="00823785" w:rsidRPr="00452D62" w:rsidRDefault="00823785" w:rsidP="00823785">
      <w:pPr>
        <w:rPr>
          <w:sz w:val="22"/>
          <w:szCs w:val="22"/>
        </w:rPr>
      </w:pPr>
      <w:r w:rsidRPr="00452D62">
        <w:rPr>
          <w:sz w:val="22"/>
          <w:szCs w:val="22"/>
        </w:rPr>
        <w:t xml:space="preserve">Norint ištirti varfarino farmakodinaminį poveikį gydymo keitimo metu, galima atlikti </w:t>
      </w:r>
      <w:r w:rsidRPr="00452D62">
        <w:rPr>
          <w:iCs/>
          <w:sz w:val="22"/>
          <w:szCs w:val="22"/>
        </w:rPr>
        <w:t>INR</w:t>
      </w:r>
      <w:r w:rsidRPr="00452D62">
        <w:rPr>
          <w:sz w:val="22"/>
          <w:szCs w:val="22"/>
        </w:rPr>
        <w:t xml:space="preserve"> tyrimą, kai rivaroksabano koncentracija yra mažiausia (C</w:t>
      </w:r>
      <w:r w:rsidRPr="00452D62">
        <w:rPr>
          <w:sz w:val="22"/>
          <w:szCs w:val="22"/>
          <w:vertAlign w:val="subscript"/>
        </w:rPr>
        <w:t>trough</w:t>
      </w:r>
      <w:r w:rsidRPr="00452D62">
        <w:rPr>
          <w:sz w:val="22"/>
          <w:szCs w:val="22"/>
        </w:rPr>
        <w:t>) (praėjus 24 valandoms po paskutinio rivaroksabano pavartojimo), nes tuo metu tyrimas bus mažiausiai paveiktas rivaroksabano.</w:t>
      </w:r>
    </w:p>
    <w:p w14:paraId="5C70CC53" w14:textId="77777777" w:rsidR="00823785" w:rsidRPr="00452D62" w:rsidRDefault="00823785" w:rsidP="00823785">
      <w:pPr>
        <w:rPr>
          <w:sz w:val="22"/>
          <w:szCs w:val="22"/>
          <w:u w:val="single"/>
        </w:rPr>
      </w:pPr>
      <w:r w:rsidRPr="00452D62">
        <w:rPr>
          <w:sz w:val="22"/>
          <w:szCs w:val="22"/>
        </w:rPr>
        <w:t>Farmakokinetinės varfarino ir rivaroksabano sąveikos nenustatyta.</w:t>
      </w:r>
    </w:p>
    <w:p w14:paraId="6E5B7619" w14:textId="77777777" w:rsidR="00823785" w:rsidRPr="00452D62" w:rsidRDefault="00823785" w:rsidP="00823785">
      <w:pPr>
        <w:rPr>
          <w:sz w:val="22"/>
          <w:szCs w:val="22"/>
          <w:u w:val="single"/>
        </w:rPr>
      </w:pPr>
    </w:p>
    <w:p w14:paraId="45CE9724" w14:textId="77777777" w:rsidR="00823785" w:rsidRPr="00452D62" w:rsidRDefault="00823785" w:rsidP="00823785">
      <w:pPr>
        <w:rPr>
          <w:sz w:val="22"/>
          <w:szCs w:val="22"/>
        </w:rPr>
      </w:pPr>
      <w:r w:rsidRPr="00452D62">
        <w:rPr>
          <w:sz w:val="22"/>
          <w:szCs w:val="22"/>
          <w:u w:val="single"/>
        </w:rPr>
        <w:t>CYP3A4 induktoriai</w:t>
      </w:r>
    </w:p>
    <w:p w14:paraId="218915E0" w14:textId="49126B65" w:rsidR="00823785" w:rsidRPr="00452D62" w:rsidRDefault="00823785" w:rsidP="00823785">
      <w:pPr>
        <w:rPr>
          <w:sz w:val="22"/>
          <w:szCs w:val="22"/>
          <w:u w:val="single"/>
        </w:rPr>
      </w:pPr>
      <w:r w:rsidRPr="00452D62">
        <w:rPr>
          <w:sz w:val="22"/>
          <w:szCs w:val="22"/>
        </w:rPr>
        <w:t xml:space="preserve">Rivaroksabano vartojant kartu su stipriu CYP3A4 induktoriumi rifampicinu, vidutinis rivaroksabano AUC sumažėjo maždaug 50 % ir kartu susilpnėjo farmakodinaminis poveikis. Rivaroksabano vartojant kartu su kitais stipriais CYP3A4 induktoriais (pvz., fenitoinu, karbamazepinu, fenobarbitaliu arba jonažolių </w:t>
      </w:r>
      <w:r w:rsidRPr="00452D62">
        <w:rPr>
          <w:i/>
          <w:iCs/>
          <w:sz w:val="22"/>
          <w:szCs w:val="22"/>
        </w:rPr>
        <w:t xml:space="preserve">(Hypericum perforatum) </w:t>
      </w:r>
      <w:r w:rsidRPr="00452D62">
        <w:rPr>
          <w:sz w:val="22"/>
          <w:szCs w:val="22"/>
        </w:rPr>
        <w:t>preparatais), gali sumažėti rivaroksabano koncentracija kraujo plazmoje. Taigi reikia vengti kartu skirti stipriai veikiančių CYP3A4 induktorių, nebent pacientas yra atidžiai stebimas dėl trombozės požymių ir simptomų.</w:t>
      </w:r>
    </w:p>
    <w:p w14:paraId="2318E507" w14:textId="77777777" w:rsidR="00823785" w:rsidRPr="00452D62" w:rsidRDefault="00823785" w:rsidP="00823785">
      <w:pPr>
        <w:rPr>
          <w:sz w:val="22"/>
          <w:szCs w:val="22"/>
          <w:u w:val="single"/>
        </w:rPr>
      </w:pPr>
    </w:p>
    <w:p w14:paraId="0D170F4B" w14:textId="77777777" w:rsidR="00823785" w:rsidRPr="00452D62" w:rsidRDefault="00823785" w:rsidP="00823785">
      <w:pPr>
        <w:rPr>
          <w:sz w:val="22"/>
          <w:szCs w:val="22"/>
        </w:rPr>
      </w:pPr>
      <w:r w:rsidRPr="00452D62">
        <w:rPr>
          <w:sz w:val="22"/>
          <w:szCs w:val="22"/>
          <w:u w:val="single"/>
        </w:rPr>
        <w:t>Kitas kartu skiriamas gydymas</w:t>
      </w:r>
    </w:p>
    <w:p w14:paraId="48B26A3E" w14:textId="77777777" w:rsidR="00823785" w:rsidRPr="00452D62" w:rsidRDefault="00823785" w:rsidP="00823785">
      <w:pPr>
        <w:rPr>
          <w:sz w:val="22"/>
          <w:szCs w:val="22"/>
        </w:rPr>
      </w:pPr>
      <w:r w:rsidRPr="00452D62">
        <w:rPr>
          <w:sz w:val="22"/>
          <w:szCs w:val="22"/>
        </w:rPr>
        <w:t>Vartojant rivaroksabano kartu su midazolamu (CYP3A4 substratu), digoksinu (P-gp substratu), atorvastatinu (CYP3A4 ir P-gp substratu) arba omeprazolu (protonų siurblio inhibitoriumi), kliniškai reikšmingos farmakokinetinės arba farmakodinaminės sąveikos nenustatyta. Rivaroksabanas neslopina ir neindukuoja jokių svarbesnių CYP izoformų, tokių kaip CYP3A4.</w:t>
      </w:r>
    </w:p>
    <w:p w14:paraId="7FA296A0" w14:textId="77777777" w:rsidR="00823785" w:rsidRPr="00452D62" w:rsidRDefault="00823785" w:rsidP="00823785">
      <w:pPr>
        <w:rPr>
          <w:sz w:val="22"/>
          <w:szCs w:val="22"/>
        </w:rPr>
      </w:pPr>
    </w:p>
    <w:p w14:paraId="1B796A9E" w14:textId="77777777" w:rsidR="00823785" w:rsidRPr="00452D62" w:rsidRDefault="00823785" w:rsidP="00823785">
      <w:pPr>
        <w:rPr>
          <w:sz w:val="22"/>
          <w:szCs w:val="22"/>
        </w:rPr>
      </w:pPr>
      <w:r w:rsidRPr="00452D62">
        <w:rPr>
          <w:sz w:val="22"/>
          <w:szCs w:val="22"/>
          <w:u w:val="single"/>
        </w:rPr>
        <w:t>Laboratoriniai rodmenys</w:t>
      </w:r>
    </w:p>
    <w:p w14:paraId="1BFBF7DB" w14:textId="77777777" w:rsidR="00823785" w:rsidRPr="00452D62" w:rsidRDefault="00823785" w:rsidP="00823785">
      <w:pPr>
        <w:rPr>
          <w:b/>
          <w:bCs/>
          <w:sz w:val="22"/>
          <w:szCs w:val="22"/>
        </w:rPr>
      </w:pPr>
      <w:r w:rsidRPr="00452D62">
        <w:rPr>
          <w:sz w:val="22"/>
          <w:szCs w:val="22"/>
        </w:rPr>
        <w:t xml:space="preserve">Būna paveikti krešėjimo parametrai (pvz., PT, DATL, </w:t>
      </w:r>
      <w:r w:rsidRPr="00452D62">
        <w:rPr>
          <w:i/>
          <w:iCs/>
          <w:sz w:val="22"/>
          <w:szCs w:val="22"/>
        </w:rPr>
        <w:t>HepTest</w:t>
      </w:r>
      <w:r w:rsidRPr="00452D62">
        <w:rPr>
          <w:sz w:val="22"/>
          <w:szCs w:val="22"/>
        </w:rPr>
        <w:t>), kaip ir galima tikėtis atsižvelgiant į rivaroksabano veikimo mechanizmą (žr. 5.1 skyrių).</w:t>
      </w:r>
    </w:p>
    <w:p w14:paraId="2C6058D6" w14:textId="77777777" w:rsidR="00823785" w:rsidRPr="00452D62" w:rsidRDefault="00823785" w:rsidP="00823785">
      <w:pPr>
        <w:ind w:left="567" w:hanging="568"/>
        <w:rPr>
          <w:b/>
          <w:bCs/>
          <w:sz w:val="22"/>
          <w:szCs w:val="22"/>
        </w:rPr>
      </w:pPr>
    </w:p>
    <w:p w14:paraId="073CE023"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4.6</w:t>
      </w:r>
      <w:r w:rsidRPr="00452D62">
        <w:rPr>
          <w:b/>
          <w:color w:val="auto"/>
          <w:kern w:val="28"/>
          <w:sz w:val="22"/>
          <w:szCs w:val="22"/>
          <w:lang w:eastAsia="en-US"/>
        </w:rPr>
        <w:tab/>
        <w:t>Vaisingumas, nėštumo ir žindymo laikotarpis</w:t>
      </w:r>
    </w:p>
    <w:p w14:paraId="456F62C0" w14:textId="77777777" w:rsidR="00823785" w:rsidRPr="00452D62" w:rsidRDefault="00823785" w:rsidP="00823785">
      <w:pPr>
        <w:rPr>
          <w:sz w:val="22"/>
          <w:szCs w:val="22"/>
          <w:u w:val="single"/>
        </w:rPr>
      </w:pPr>
    </w:p>
    <w:p w14:paraId="5D2C36E4" w14:textId="77777777" w:rsidR="00823785" w:rsidRPr="00452D62" w:rsidRDefault="00823785" w:rsidP="00823785">
      <w:pPr>
        <w:rPr>
          <w:sz w:val="22"/>
          <w:szCs w:val="22"/>
        </w:rPr>
      </w:pPr>
      <w:r w:rsidRPr="00452D62">
        <w:rPr>
          <w:sz w:val="22"/>
          <w:szCs w:val="22"/>
          <w:u w:val="single"/>
        </w:rPr>
        <w:t>Nėštumas</w:t>
      </w:r>
    </w:p>
    <w:p w14:paraId="0442AC30" w14:textId="77777777" w:rsidR="00823785" w:rsidRPr="00452D62" w:rsidRDefault="00823785" w:rsidP="00823785">
      <w:pPr>
        <w:rPr>
          <w:sz w:val="22"/>
          <w:szCs w:val="22"/>
        </w:rPr>
      </w:pPr>
      <w:r w:rsidRPr="00452D62">
        <w:rPr>
          <w:sz w:val="22"/>
          <w:szCs w:val="22"/>
        </w:rPr>
        <w:t>Rivaroksabano saugumas ir veiksmingumas nėščioms moterims nėra nustatytas. Su gyvūnais atlikti tyrimai parodė toksinį poveikį reprodukcijai (žr. 5.3 skyrių). Dėl galimo toksinio poveikio reprodukcijai, būdingos kraujavimo rizikos ir patvirtinto rivaroksabano prasiskverbimo per placentą, Xerdoxo draudžiama vartoti nėštumo metu (žr. 4.3 skyrių).</w:t>
      </w:r>
    </w:p>
    <w:p w14:paraId="0CD45B5F" w14:textId="77777777" w:rsidR="00823785" w:rsidRPr="00452D62" w:rsidRDefault="00823785" w:rsidP="00823785">
      <w:pPr>
        <w:rPr>
          <w:sz w:val="22"/>
          <w:szCs w:val="22"/>
        </w:rPr>
      </w:pPr>
      <w:r w:rsidRPr="00452D62">
        <w:rPr>
          <w:sz w:val="22"/>
          <w:szCs w:val="22"/>
        </w:rPr>
        <w:t>Vaisingo amžiaus moterys turi vengti pastoti gydymo rivaroksabanu metu.</w:t>
      </w:r>
    </w:p>
    <w:p w14:paraId="49C20C40" w14:textId="77777777" w:rsidR="00823785" w:rsidRPr="00452D62" w:rsidRDefault="00823785" w:rsidP="00823785">
      <w:pPr>
        <w:rPr>
          <w:sz w:val="22"/>
          <w:szCs w:val="22"/>
        </w:rPr>
      </w:pPr>
    </w:p>
    <w:p w14:paraId="345CCAB1" w14:textId="77777777" w:rsidR="00823785" w:rsidRPr="00452D62" w:rsidRDefault="00823785" w:rsidP="00823785">
      <w:pPr>
        <w:rPr>
          <w:sz w:val="22"/>
          <w:szCs w:val="22"/>
        </w:rPr>
      </w:pPr>
      <w:r w:rsidRPr="00452D62">
        <w:rPr>
          <w:sz w:val="22"/>
          <w:szCs w:val="22"/>
          <w:u w:val="single"/>
        </w:rPr>
        <w:t>Žindymas</w:t>
      </w:r>
    </w:p>
    <w:p w14:paraId="66D8C12A" w14:textId="77777777" w:rsidR="00823785" w:rsidRPr="00452D62" w:rsidRDefault="00823785" w:rsidP="00823785">
      <w:pPr>
        <w:rPr>
          <w:sz w:val="22"/>
          <w:szCs w:val="22"/>
          <w:u w:val="single"/>
        </w:rPr>
      </w:pPr>
      <w:r w:rsidRPr="00452D62">
        <w:rPr>
          <w:sz w:val="22"/>
          <w:szCs w:val="22"/>
        </w:rPr>
        <w:t>Rivaroksabano saugumas ir veiksmingumas žindyvėms nenustatytas. Tyrimų su gyvūnais duomenys rodo, kad rivaroksabanas yra išskiriamas į pieną. Todėl Xerdoxo draudžiama vartoti žindymo metu (žr. 4.3 skyrių). Reikia nuspręsti, ar nutraukti žindymą, ar nutraukti/susilaikyti nuo gydymo vaistiniu preparatu.</w:t>
      </w:r>
    </w:p>
    <w:p w14:paraId="2477526F" w14:textId="77777777" w:rsidR="00823785" w:rsidRPr="00452D62" w:rsidRDefault="00823785" w:rsidP="00823785">
      <w:pPr>
        <w:rPr>
          <w:sz w:val="22"/>
          <w:szCs w:val="22"/>
          <w:u w:val="single"/>
        </w:rPr>
      </w:pPr>
    </w:p>
    <w:p w14:paraId="10A22E90" w14:textId="77777777" w:rsidR="00823785" w:rsidRPr="00452D62" w:rsidRDefault="00823785" w:rsidP="00823785">
      <w:pPr>
        <w:rPr>
          <w:sz w:val="22"/>
          <w:szCs w:val="22"/>
        </w:rPr>
      </w:pPr>
      <w:r w:rsidRPr="00452D62">
        <w:rPr>
          <w:sz w:val="22"/>
          <w:szCs w:val="22"/>
          <w:u w:val="single"/>
        </w:rPr>
        <w:t>Vaisingumas</w:t>
      </w:r>
    </w:p>
    <w:p w14:paraId="38E113AB" w14:textId="77777777" w:rsidR="00823785" w:rsidRPr="00452D62" w:rsidRDefault="00823785" w:rsidP="00823785">
      <w:pPr>
        <w:rPr>
          <w:b/>
          <w:bCs/>
          <w:sz w:val="22"/>
          <w:szCs w:val="22"/>
        </w:rPr>
      </w:pPr>
      <w:r w:rsidRPr="00452D62">
        <w:rPr>
          <w:sz w:val="22"/>
          <w:szCs w:val="22"/>
        </w:rPr>
        <w:t>Rivaroksabano poveikį vaisingumui įvertinančių specifinių tyrimų žmonėms neatlikta. Žiurkių patelių ir patinų vaisingumo tyrimo metu poveikio nenustatyta (žr. 5.3 skyrių).</w:t>
      </w:r>
    </w:p>
    <w:p w14:paraId="2DBC5A4B" w14:textId="77777777" w:rsidR="00823785" w:rsidRPr="00452D62" w:rsidRDefault="00823785" w:rsidP="00823785">
      <w:pPr>
        <w:ind w:left="567" w:hanging="568"/>
        <w:rPr>
          <w:b/>
          <w:bCs/>
          <w:sz w:val="22"/>
          <w:szCs w:val="22"/>
        </w:rPr>
      </w:pPr>
    </w:p>
    <w:p w14:paraId="2DE0BA8D"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4.7</w:t>
      </w:r>
      <w:r w:rsidRPr="00452D62">
        <w:rPr>
          <w:b/>
          <w:color w:val="auto"/>
          <w:kern w:val="28"/>
          <w:sz w:val="22"/>
          <w:szCs w:val="22"/>
          <w:lang w:eastAsia="en-US"/>
        </w:rPr>
        <w:tab/>
        <w:t>Poveikis gebėjimui vairuoti ir valdyti mechanizmus</w:t>
      </w:r>
    </w:p>
    <w:p w14:paraId="21617BC1" w14:textId="77777777" w:rsidR="00823785" w:rsidRPr="00452D62" w:rsidRDefault="00823785" w:rsidP="00823785">
      <w:pPr>
        <w:rPr>
          <w:sz w:val="22"/>
          <w:szCs w:val="22"/>
        </w:rPr>
      </w:pPr>
    </w:p>
    <w:p w14:paraId="33D56E5C" w14:textId="77777777" w:rsidR="00823785" w:rsidRPr="00452D62" w:rsidRDefault="00823785" w:rsidP="00823785">
      <w:pPr>
        <w:rPr>
          <w:b/>
          <w:bCs/>
          <w:sz w:val="22"/>
          <w:szCs w:val="22"/>
        </w:rPr>
      </w:pPr>
      <w:r w:rsidRPr="00452D62">
        <w:rPr>
          <w:sz w:val="22"/>
          <w:szCs w:val="22"/>
        </w:rPr>
        <w:t>Rivaroksabanas gebėjimą vairuoti ir valdyti mechanizmus veikia silpnai. Buvo gauta pranešimų apie šias nepageidaujamas reakcijas: apalpimą (dažnis: nedažnas) ir svaigulį (dažnis: dažnas) (žr. 4.8 skyrių). Pacientams, kuriems pasireiškia šių nepageidaujamų reakcijų, vairuoti ar valdyti mechanizmų negalima.</w:t>
      </w:r>
    </w:p>
    <w:p w14:paraId="1DF791B2" w14:textId="77777777" w:rsidR="00823785" w:rsidRPr="00452D62" w:rsidRDefault="00823785" w:rsidP="00823785">
      <w:pPr>
        <w:ind w:left="567" w:hanging="568"/>
        <w:rPr>
          <w:b/>
          <w:bCs/>
          <w:sz w:val="22"/>
          <w:szCs w:val="22"/>
        </w:rPr>
      </w:pPr>
    </w:p>
    <w:p w14:paraId="3D9D1E13"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4.8</w:t>
      </w:r>
      <w:r w:rsidRPr="00452D62">
        <w:rPr>
          <w:b/>
          <w:color w:val="auto"/>
          <w:kern w:val="28"/>
          <w:sz w:val="22"/>
          <w:szCs w:val="22"/>
          <w:lang w:eastAsia="en-US"/>
        </w:rPr>
        <w:tab/>
        <w:t>Nepageidaujamas poveikis</w:t>
      </w:r>
    </w:p>
    <w:p w14:paraId="4F979286" w14:textId="77777777" w:rsidR="00823785" w:rsidRPr="00452D62" w:rsidRDefault="00823785" w:rsidP="00823785">
      <w:pPr>
        <w:rPr>
          <w:sz w:val="22"/>
          <w:szCs w:val="22"/>
          <w:u w:val="single"/>
        </w:rPr>
      </w:pPr>
    </w:p>
    <w:p w14:paraId="04DCED6F" w14:textId="77777777" w:rsidR="00823785" w:rsidRPr="00452D62" w:rsidRDefault="00823785" w:rsidP="00823785">
      <w:pPr>
        <w:rPr>
          <w:sz w:val="22"/>
          <w:szCs w:val="22"/>
        </w:rPr>
      </w:pPr>
      <w:r w:rsidRPr="00452D62">
        <w:rPr>
          <w:sz w:val="22"/>
          <w:szCs w:val="22"/>
          <w:u w:val="single"/>
        </w:rPr>
        <w:t>Saugumo duomenų santrauka</w:t>
      </w:r>
    </w:p>
    <w:p w14:paraId="2A8D6B21" w14:textId="0AC3A0EF" w:rsidR="00823785" w:rsidRPr="00452D62" w:rsidRDefault="00823785" w:rsidP="00823785">
      <w:pPr>
        <w:rPr>
          <w:sz w:val="22"/>
          <w:szCs w:val="22"/>
        </w:rPr>
      </w:pPr>
      <w:r w:rsidRPr="00452D62">
        <w:rPr>
          <w:sz w:val="22"/>
          <w:szCs w:val="22"/>
        </w:rPr>
        <w:t>Rivaroksabano saugumas buvo vertinamas trylikos pagrindinių III fazės tyrimų metu (žr. 1 lentelę).</w:t>
      </w:r>
    </w:p>
    <w:p w14:paraId="0E53A67C" w14:textId="77777777" w:rsidR="00823785" w:rsidRPr="00452D62" w:rsidRDefault="00823785" w:rsidP="00823785">
      <w:pPr>
        <w:rPr>
          <w:sz w:val="22"/>
          <w:szCs w:val="22"/>
        </w:rPr>
      </w:pPr>
    </w:p>
    <w:p w14:paraId="3A26A030" w14:textId="69855072" w:rsidR="00823785" w:rsidRPr="00452D62" w:rsidRDefault="00823785" w:rsidP="00823785">
      <w:pPr>
        <w:rPr>
          <w:sz w:val="22"/>
          <w:szCs w:val="22"/>
        </w:rPr>
      </w:pPr>
      <w:r w:rsidRPr="00452D62">
        <w:rPr>
          <w:sz w:val="22"/>
          <w:szCs w:val="22"/>
        </w:rPr>
        <w:t>Iš viso devyniolikoje III fazės tyrimų dalyvavo 69</w:t>
      </w:r>
      <w:r w:rsidR="00030D25" w:rsidRPr="00452D62">
        <w:rPr>
          <w:sz w:val="22"/>
          <w:szCs w:val="22"/>
        </w:rPr>
        <w:t xml:space="preserve"> </w:t>
      </w:r>
      <w:r w:rsidRPr="00452D62">
        <w:rPr>
          <w:sz w:val="22"/>
          <w:szCs w:val="22"/>
        </w:rPr>
        <w:t xml:space="preserve">608 suaugę pacientai, </w:t>
      </w:r>
      <w:r w:rsidR="00C32BA3" w:rsidRPr="00452D62">
        <w:rPr>
          <w:sz w:val="22"/>
          <w:szCs w:val="22"/>
        </w:rPr>
        <w:t xml:space="preserve">ir dviejuose II fazės tyrimuose bei dviejuose III fazės tyrimuose dalyvavo 488 vaikai, </w:t>
      </w:r>
      <w:r w:rsidRPr="00452D62">
        <w:rPr>
          <w:sz w:val="22"/>
          <w:szCs w:val="22"/>
        </w:rPr>
        <w:t>vartoj</w:t>
      </w:r>
      <w:r w:rsidR="00E30F7D" w:rsidRPr="00452D62">
        <w:rPr>
          <w:sz w:val="22"/>
          <w:szCs w:val="22"/>
        </w:rPr>
        <w:t>ę</w:t>
      </w:r>
      <w:r w:rsidRPr="00452D62">
        <w:rPr>
          <w:sz w:val="22"/>
          <w:szCs w:val="22"/>
        </w:rPr>
        <w:t xml:space="preserve"> rivaroksabano.</w:t>
      </w:r>
    </w:p>
    <w:p w14:paraId="76DC33AA" w14:textId="77777777" w:rsidR="00823785" w:rsidRPr="00452D62" w:rsidRDefault="00823785" w:rsidP="00823785">
      <w:pPr>
        <w:rPr>
          <w:sz w:val="22"/>
          <w:szCs w:val="22"/>
        </w:rPr>
      </w:pPr>
    </w:p>
    <w:p w14:paraId="78B705FA" w14:textId="017FBEB4" w:rsidR="00823785" w:rsidRPr="00452D62" w:rsidRDefault="00823785" w:rsidP="00823785">
      <w:pPr>
        <w:rPr>
          <w:b/>
          <w:sz w:val="22"/>
          <w:szCs w:val="22"/>
        </w:rPr>
      </w:pPr>
      <w:r w:rsidRPr="00452D62">
        <w:rPr>
          <w:b/>
          <w:sz w:val="22"/>
          <w:szCs w:val="22"/>
        </w:rPr>
        <w:t>1 lentelė. Tirtų pacientų skaičius, bendroji paros dozė ir maksimali gydymo trukmė III fazės tyrimuose su suaugusiais</w:t>
      </w:r>
      <w:r w:rsidR="00C32BA3" w:rsidRPr="00452D62">
        <w:rPr>
          <w:b/>
          <w:sz w:val="22"/>
          <w:szCs w:val="22"/>
        </w:rPr>
        <w:t xml:space="preserve"> ir vaikais</w:t>
      </w:r>
    </w:p>
    <w:tbl>
      <w:tblPr>
        <w:tblW w:w="0" w:type="auto"/>
        <w:tblInd w:w="108" w:type="dxa"/>
        <w:tblLayout w:type="fixed"/>
        <w:tblLook w:val="0000" w:firstRow="0" w:lastRow="0" w:firstColumn="0" w:lastColumn="0" w:noHBand="0" w:noVBand="0"/>
      </w:tblPr>
      <w:tblGrid>
        <w:gridCol w:w="3402"/>
        <w:gridCol w:w="1134"/>
        <w:gridCol w:w="2835"/>
        <w:gridCol w:w="1581"/>
      </w:tblGrid>
      <w:tr w:rsidR="00823785" w:rsidRPr="00452D62" w14:paraId="2402026C" w14:textId="77777777" w:rsidTr="006453B9">
        <w:tc>
          <w:tcPr>
            <w:tcW w:w="3402" w:type="dxa"/>
            <w:tcBorders>
              <w:top w:val="single" w:sz="4" w:space="0" w:color="000000"/>
              <w:left w:val="single" w:sz="4" w:space="0" w:color="000000"/>
              <w:bottom w:val="single" w:sz="4" w:space="0" w:color="000000"/>
              <w:right w:val="single" w:sz="4" w:space="0" w:color="000000"/>
            </w:tcBorders>
            <w:shd w:val="clear" w:color="auto" w:fill="FFFFFF"/>
          </w:tcPr>
          <w:p w14:paraId="206D4687" w14:textId="77777777" w:rsidR="00823785" w:rsidRPr="00452D62" w:rsidRDefault="00823785" w:rsidP="006453B9">
            <w:pPr>
              <w:rPr>
                <w:b/>
                <w:bCs/>
                <w:sz w:val="22"/>
                <w:szCs w:val="22"/>
              </w:rPr>
            </w:pPr>
            <w:r w:rsidRPr="00452D62">
              <w:rPr>
                <w:b/>
                <w:sz w:val="22"/>
                <w:szCs w:val="22"/>
              </w:rPr>
              <w:t>Indikacija</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1B376284" w14:textId="77777777" w:rsidR="00823785" w:rsidRPr="00452D62" w:rsidRDefault="00823785" w:rsidP="006453B9">
            <w:pPr>
              <w:rPr>
                <w:b/>
                <w:sz w:val="22"/>
                <w:szCs w:val="22"/>
              </w:rPr>
            </w:pPr>
            <w:r w:rsidRPr="00452D62">
              <w:rPr>
                <w:b/>
                <w:bCs/>
                <w:sz w:val="22"/>
                <w:szCs w:val="22"/>
              </w:rPr>
              <w:t xml:space="preserve">Pacientų skaičius* </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36CB21A5" w14:textId="77777777" w:rsidR="00823785" w:rsidRPr="00452D62" w:rsidRDefault="00823785" w:rsidP="006453B9">
            <w:pPr>
              <w:rPr>
                <w:b/>
                <w:sz w:val="22"/>
                <w:szCs w:val="22"/>
              </w:rPr>
            </w:pPr>
            <w:r w:rsidRPr="00452D62">
              <w:rPr>
                <w:b/>
                <w:sz w:val="22"/>
                <w:szCs w:val="22"/>
              </w:rPr>
              <w:t>Bendroji paros dozė</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29D6798E" w14:textId="77777777" w:rsidR="00823785" w:rsidRPr="00452D62" w:rsidRDefault="00823785" w:rsidP="006453B9">
            <w:pPr>
              <w:rPr>
                <w:sz w:val="22"/>
                <w:szCs w:val="22"/>
              </w:rPr>
            </w:pPr>
            <w:r w:rsidRPr="00452D62">
              <w:rPr>
                <w:b/>
                <w:sz w:val="22"/>
                <w:szCs w:val="22"/>
              </w:rPr>
              <w:t>Maksimali gydymo trukmė</w:t>
            </w:r>
          </w:p>
        </w:tc>
      </w:tr>
      <w:tr w:rsidR="00823785" w:rsidRPr="00452D62" w14:paraId="00C0AF8D" w14:textId="77777777" w:rsidTr="006453B9">
        <w:tc>
          <w:tcPr>
            <w:tcW w:w="3402" w:type="dxa"/>
            <w:tcBorders>
              <w:top w:val="single" w:sz="4" w:space="0" w:color="000000"/>
              <w:left w:val="single" w:sz="4" w:space="0" w:color="000000"/>
              <w:bottom w:val="single" w:sz="4" w:space="0" w:color="000000"/>
              <w:right w:val="single" w:sz="4" w:space="0" w:color="000000"/>
            </w:tcBorders>
            <w:shd w:val="clear" w:color="auto" w:fill="FFFFFF"/>
          </w:tcPr>
          <w:p w14:paraId="7C23A7CC" w14:textId="77777777" w:rsidR="00823785" w:rsidRPr="00452D62" w:rsidRDefault="00823785" w:rsidP="006453B9">
            <w:pPr>
              <w:rPr>
                <w:sz w:val="22"/>
                <w:szCs w:val="22"/>
              </w:rPr>
            </w:pPr>
            <w:r w:rsidRPr="00452D62">
              <w:rPr>
                <w:sz w:val="22"/>
                <w:szCs w:val="22"/>
              </w:rPr>
              <w:t>Venų tromboembolijos (VTE) profilaktika suaugusiems pacientams, kuriems atliekama planinė klubo arba kelio sąnario pakeitimo operacija</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7EE930A5" w14:textId="77777777" w:rsidR="00823785" w:rsidRPr="00452D62" w:rsidRDefault="00823785" w:rsidP="006453B9">
            <w:pPr>
              <w:rPr>
                <w:sz w:val="22"/>
                <w:szCs w:val="22"/>
              </w:rPr>
            </w:pPr>
            <w:r w:rsidRPr="00452D62">
              <w:rPr>
                <w:sz w:val="22"/>
                <w:szCs w:val="22"/>
              </w:rPr>
              <w:t>6 097</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52FC2DBD" w14:textId="77777777" w:rsidR="00823785" w:rsidRPr="00452D62" w:rsidRDefault="00823785" w:rsidP="006453B9">
            <w:pPr>
              <w:rPr>
                <w:sz w:val="22"/>
                <w:szCs w:val="22"/>
              </w:rPr>
            </w:pPr>
            <w:r w:rsidRPr="00452D62">
              <w:rPr>
                <w:sz w:val="22"/>
                <w:szCs w:val="22"/>
              </w:rPr>
              <w:t>10 mg</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2F7398FB" w14:textId="77777777" w:rsidR="00823785" w:rsidRPr="00452D62" w:rsidRDefault="00823785" w:rsidP="006453B9">
            <w:pPr>
              <w:rPr>
                <w:sz w:val="22"/>
                <w:szCs w:val="22"/>
              </w:rPr>
            </w:pPr>
            <w:r w:rsidRPr="00452D62">
              <w:rPr>
                <w:sz w:val="22"/>
                <w:szCs w:val="22"/>
              </w:rPr>
              <w:t>39 dienos</w:t>
            </w:r>
          </w:p>
        </w:tc>
      </w:tr>
      <w:tr w:rsidR="00823785" w:rsidRPr="00452D62" w14:paraId="5D81ED11" w14:textId="77777777" w:rsidTr="006453B9">
        <w:tc>
          <w:tcPr>
            <w:tcW w:w="3402" w:type="dxa"/>
            <w:tcBorders>
              <w:top w:val="single" w:sz="4" w:space="0" w:color="000000"/>
              <w:left w:val="single" w:sz="4" w:space="0" w:color="000000"/>
              <w:bottom w:val="single" w:sz="4" w:space="0" w:color="000000"/>
              <w:right w:val="single" w:sz="4" w:space="0" w:color="000000"/>
            </w:tcBorders>
            <w:shd w:val="clear" w:color="auto" w:fill="FFFFFF"/>
          </w:tcPr>
          <w:p w14:paraId="7B1B69F1" w14:textId="77777777" w:rsidR="00823785" w:rsidRPr="00452D62" w:rsidRDefault="00823785" w:rsidP="006453B9">
            <w:pPr>
              <w:rPr>
                <w:sz w:val="22"/>
                <w:szCs w:val="22"/>
              </w:rPr>
            </w:pPr>
            <w:r w:rsidRPr="00452D62">
              <w:rPr>
                <w:sz w:val="22"/>
                <w:szCs w:val="22"/>
              </w:rPr>
              <w:t>VTE terapinėmis ligomis sergantiems pacientams</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65BC4BD2" w14:textId="77777777" w:rsidR="00823785" w:rsidRPr="00452D62" w:rsidRDefault="00823785" w:rsidP="006453B9">
            <w:pPr>
              <w:rPr>
                <w:sz w:val="22"/>
                <w:szCs w:val="22"/>
              </w:rPr>
            </w:pPr>
            <w:r w:rsidRPr="00452D62">
              <w:rPr>
                <w:sz w:val="22"/>
                <w:szCs w:val="22"/>
              </w:rPr>
              <w:t>3 997</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03B593AE" w14:textId="77777777" w:rsidR="00823785" w:rsidRPr="00452D62" w:rsidRDefault="00823785" w:rsidP="006453B9">
            <w:pPr>
              <w:rPr>
                <w:sz w:val="22"/>
                <w:szCs w:val="22"/>
              </w:rPr>
            </w:pPr>
            <w:r w:rsidRPr="00452D62">
              <w:rPr>
                <w:sz w:val="22"/>
                <w:szCs w:val="22"/>
              </w:rPr>
              <w:t>10 mg</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67EF2C43" w14:textId="77777777" w:rsidR="00823785" w:rsidRPr="00452D62" w:rsidRDefault="00823785" w:rsidP="006453B9">
            <w:pPr>
              <w:rPr>
                <w:sz w:val="22"/>
                <w:szCs w:val="22"/>
              </w:rPr>
            </w:pPr>
            <w:r w:rsidRPr="00452D62">
              <w:rPr>
                <w:sz w:val="22"/>
                <w:szCs w:val="22"/>
              </w:rPr>
              <w:t>39 dienos</w:t>
            </w:r>
          </w:p>
        </w:tc>
      </w:tr>
      <w:tr w:rsidR="00C32BA3" w:rsidRPr="00452D62" w14:paraId="1E09031F" w14:textId="77777777" w:rsidTr="006453B9">
        <w:tc>
          <w:tcPr>
            <w:tcW w:w="3402" w:type="dxa"/>
            <w:tcBorders>
              <w:top w:val="single" w:sz="4" w:space="0" w:color="000000"/>
              <w:left w:val="single" w:sz="4" w:space="0" w:color="000000"/>
              <w:bottom w:val="single" w:sz="4" w:space="0" w:color="000000"/>
              <w:right w:val="single" w:sz="4" w:space="0" w:color="000000"/>
            </w:tcBorders>
            <w:shd w:val="clear" w:color="auto" w:fill="FFFFFF"/>
          </w:tcPr>
          <w:p w14:paraId="0A3B62E7" w14:textId="7F34497A" w:rsidR="00C32BA3" w:rsidRPr="00452D62" w:rsidRDefault="00C32BA3" w:rsidP="00C32BA3">
            <w:pPr>
              <w:rPr>
                <w:sz w:val="22"/>
                <w:szCs w:val="22"/>
              </w:rPr>
            </w:pPr>
            <w:r w:rsidRPr="00452D62">
              <w:rPr>
                <w:sz w:val="22"/>
                <w:szCs w:val="22"/>
              </w:rPr>
              <w:t>VTE gydymas ir pasikartojančios VTE profilaktika išnešiotiems naujagimiams ir jaunesniems kaip 18 metų amžiaus vaikams</w:t>
            </w:r>
            <w:r w:rsidR="00450385">
              <w:rPr>
                <w:sz w:val="22"/>
                <w:szCs w:val="22"/>
              </w:rPr>
              <w:t xml:space="preserve"> ir paaugliams</w:t>
            </w:r>
            <w:r w:rsidRPr="00452D62">
              <w:rPr>
                <w:sz w:val="22"/>
                <w:szCs w:val="22"/>
              </w:rPr>
              <w:t xml:space="preserve">, pradėjus standartinį gydymą antikoaguliantais </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34DFF8D" w14:textId="0C8DD56F" w:rsidR="00C32BA3" w:rsidRPr="00452D62" w:rsidRDefault="00C32BA3" w:rsidP="00C32BA3">
            <w:pPr>
              <w:rPr>
                <w:sz w:val="22"/>
                <w:szCs w:val="22"/>
              </w:rPr>
            </w:pPr>
            <w:r w:rsidRPr="00452D62">
              <w:rPr>
                <w:sz w:val="22"/>
                <w:szCs w:val="22"/>
              </w:rPr>
              <w:t>329</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02519094" w14:textId="6480741A" w:rsidR="00C32BA3" w:rsidRPr="00452D62" w:rsidRDefault="00C32BA3" w:rsidP="00C32BA3">
            <w:pPr>
              <w:rPr>
                <w:sz w:val="22"/>
                <w:szCs w:val="22"/>
              </w:rPr>
            </w:pPr>
            <w:r w:rsidRPr="00452D62">
              <w:rPr>
                <w:sz w:val="22"/>
                <w:szCs w:val="22"/>
              </w:rPr>
              <w:t xml:space="preserve">Pagal kūno svorį parenkama dozė, siekiant panašios ekspozicijos kaip ir suaugusiems, vieną </w:t>
            </w:r>
            <w:r w:rsidR="005843FD" w:rsidRPr="00452D62">
              <w:rPr>
                <w:sz w:val="22"/>
                <w:szCs w:val="22"/>
              </w:rPr>
              <w:t>kartą per parą vartojantiems 20 </w:t>
            </w:r>
            <w:r w:rsidRPr="00452D62">
              <w:rPr>
                <w:sz w:val="22"/>
                <w:szCs w:val="22"/>
              </w:rPr>
              <w:t xml:space="preserve">mg rivaroksabano nuo GVT </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0E2434C4" w14:textId="037E2112" w:rsidR="00C32BA3" w:rsidRPr="00452D62" w:rsidRDefault="00C32BA3" w:rsidP="00C32BA3">
            <w:pPr>
              <w:rPr>
                <w:sz w:val="22"/>
                <w:szCs w:val="22"/>
              </w:rPr>
            </w:pPr>
            <w:r w:rsidRPr="00452D62">
              <w:rPr>
                <w:sz w:val="22"/>
                <w:szCs w:val="22"/>
              </w:rPr>
              <w:t>12 mėnesių</w:t>
            </w:r>
          </w:p>
        </w:tc>
      </w:tr>
      <w:tr w:rsidR="00823785" w:rsidRPr="00452D62" w14:paraId="7D4DF1F3" w14:textId="77777777" w:rsidTr="006453B9">
        <w:tc>
          <w:tcPr>
            <w:tcW w:w="3402" w:type="dxa"/>
            <w:tcBorders>
              <w:top w:val="single" w:sz="4" w:space="0" w:color="000000"/>
              <w:left w:val="single" w:sz="4" w:space="0" w:color="000000"/>
              <w:bottom w:val="single" w:sz="4" w:space="0" w:color="000000"/>
              <w:right w:val="single" w:sz="4" w:space="0" w:color="000000"/>
            </w:tcBorders>
            <w:shd w:val="clear" w:color="auto" w:fill="FFFFFF"/>
          </w:tcPr>
          <w:p w14:paraId="5C708023" w14:textId="1E3AF4D5" w:rsidR="00823785" w:rsidRPr="00452D62" w:rsidRDefault="00823785" w:rsidP="006453B9">
            <w:pPr>
              <w:rPr>
                <w:sz w:val="22"/>
                <w:szCs w:val="22"/>
              </w:rPr>
            </w:pPr>
            <w:r w:rsidRPr="00452D62">
              <w:rPr>
                <w:sz w:val="22"/>
                <w:szCs w:val="22"/>
              </w:rPr>
              <w:t>Giliųjų nervų trombozės (GVT),plaučių embolijos (PE) gydymas ir pasikartojimo profilaktika</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62F0AC2F" w14:textId="77777777" w:rsidR="00823785" w:rsidRPr="00452D62" w:rsidRDefault="00823785" w:rsidP="006453B9">
            <w:pPr>
              <w:rPr>
                <w:sz w:val="22"/>
                <w:szCs w:val="22"/>
              </w:rPr>
            </w:pPr>
            <w:r w:rsidRPr="00452D62">
              <w:rPr>
                <w:sz w:val="22"/>
                <w:szCs w:val="22"/>
              </w:rPr>
              <w:t>6 790</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460A6F60" w14:textId="77777777" w:rsidR="00823785" w:rsidRPr="00452D62" w:rsidRDefault="00823785" w:rsidP="006453B9">
            <w:pPr>
              <w:rPr>
                <w:sz w:val="22"/>
                <w:szCs w:val="22"/>
              </w:rPr>
            </w:pPr>
            <w:r w:rsidRPr="00452D62">
              <w:rPr>
                <w:sz w:val="22"/>
                <w:szCs w:val="22"/>
              </w:rPr>
              <w:t>1</w:t>
            </w:r>
            <w:r w:rsidRPr="00452D62">
              <w:rPr>
                <w:sz w:val="22"/>
                <w:szCs w:val="22"/>
              </w:rPr>
              <w:noBreakHyphen/>
              <w:t>21 diena: 30 mg</w:t>
            </w:r>
          </w:p>
          <w:p w14:paraId="195F89B9" w14:textId="77777777" w:rsidR="00823785" w:rsidRPr="00452D62" w:rsidRDefault="00823785" w:rsidP="006453B9">
            <w:pPr>
              <w:rPr>
                <w:sz w:val="22"/>
                <w:szCs w:val="22"/>
              </w:rPr>
            </w:pPr>
            <w:r w:rsidRPr="00452D62">
              <w:rPr>
                <w:sz w:val="22"/>
                <w:szCs w:val="22"/>
              </w:rPr>
              <w:t>22 diena ir vėliau: 20 mg</w:t>
            </w:r>
          </w:p>
          <w:p w14:paraId="01333B81" w14:textId="77777777" w:rsidR="00823785" w:rsidRPr="00452D62" w:rsidRDefault="00823785" w:rsidP="006453B9">
            <w:pPr>
              <w:rPr>
                <w:sz w:val="22"/>
                <w:szCs w:val="22"/>
              </w:rPr>
            </w:pPr>
            <w:r w:rsidRPr="00452D62">
              <w:rPr>
                <w:sz w:val="22"/>
                <w:szCs w:val="22"/>
              </w:rPr>
              <w:t>Ne anksčiau kaip po 6 mėnesių: 10 mg arba 20 mg</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257E674E" w14:textId="77777777" w:rsidR="00823785" w:rsidRPr="00452D62" w:rsidRDefault="00823785" w:rsidP="006453B9">
            <w:pPr>
              <w:rPr>
                <w:sz w:val="22"/>
                <w:szCs w:val="22"/>
              </w:rPr>
            </w:pPr>
            <w:r w:rsidRPr="00452D62">
              <w:rPr>
                <w:sz w:val="22"/>
                <w:szCs w:val="22"/>
              </w:rPr>
              <w:t>21 mėnesis</w:t>
            </w:r>
          </w:p>
        </w:tc>
      </w:tr>
      <w:tr w:rsidR="00823785" w:rsidRPr="00452D62" w14:paraId="0F4743A2" w14:textId="77777777" w:rsidTr="006453B9">
        <w:tc>
          <w:tcPr>
            <w:tcW w:w="3402" w:type="dxa"/>
            <w:tcBorders>
              <w:top w:val="single" w:sz="4" w:space="0" w:color="000000"/>
              <w:left w:val="single" w:sz="4" w:space="0" w:color="000000"/>
              <w:bottom w:val="single" w:sz="4" w:space="0" w:color="000000"/>
              <w:right w:val="single" w:sz="4" w:space="0" w:color="000000"/>
            </w:tcBorders>
            <w:shd w:val="clear" w:color="auto" w:fill="FFFFFF"/>
          </w:tcPr>
          <w:p w14:paraId="42CE8410" w14:textId="77777777" w:rsidR="00823785" w:rsidRPr="00452D62" w:rsidRDefault="00823785" w:rsidP="006453B9">
            <w:pPr>
              <w:rPr>
                <w:sz w:val="22"/>
                <w:szCs w:val="22"/>
              </w:rPr>
            </w:pPr>
            <w:r w:rsidRPr="00452D62">
              <w:rPr>
                <w:sz w:val="22"/>
                <w:szCs w:val="22"/>
              </w:rPr>
              <w:t>Insulto ir sisteminės embolijos profilaktika pacientams, kuriems yra su vožtuvų liga nesusijęs prieširdžių virpėjimas</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07AD32D5" w14:textId="77777777" w:rsidR="00823785" w:rsidRPr="00452D62" w:rsidRDefault="00823785" w:rsidP="006453B9">
            <w:pPr>
              <w:rPr>
                <w:sz w:val="22"/>
                <w:szCs w:val="22"/>
              </w:rPr>
            </w:pPr>
            <w:r w:rsidRPr="00452D62">
              <w:rPr>
                <w:sz w:val="22"/>
                <w:szCs w:val="22"/>
              </w:rPr>
              <w:t>7 750</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1A83C0C4" w14:textId="77777777" w:rsidR="00823785" w:rsidRPr="00452D62" w:rsidRDefault="00823785" w:rsidP="006453B9">
            <w:pPr>
              <w:rPr>
                <w:sz w:val="22"/>
                <w:szCs w:val="22"/>
              </w:rPr>
            </w:pPr>
            <w:r w:rsidRPr="00452D62">
              <w:rPr>
                <w:sz w:val="22"/>
                <w:szCs w:val="22"/>
              </w:rPr>
              <w:t>20 mg</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4B86D932" w14:textId="77777777" w:rsidR="00823785" w:rsidRPr="00452D62" w:rsidRDefault="00823785" w:rsidP="006453B9">
            <w:pPr>
              <w:rPr>
                <w:sz w:val="22"/>
                <w:szCs w:val="22"/>
              </w:rPr>
            </w:pPr>
            <w:r w:rsidRPr="00452D62">
              <w:rPr>
                <w:sz w:val="22"/>
                <w:szCs w:val="22"/>
              </w:rPr>
              <w:t>41 mėnesis</w:t>
            </w:r>
          </w:p>
        </w:tc>
      </w:tr>
      <w:tr w:rsidR="00823785" w:rsidRPr="00452D62" w14:paraId="079E48AE" w14:textId="77777777" w:rsidTr="006453B9">
        <w:tc>
          <w:tcPr>
            <w:tcW w:w="3402" w:type="dxa"/>
            <w:tcBorders>
              <w:top w:val="single" w:sz="4" w:space="0" w:color="000000"/>
              <w:left w:val="single" w:sz="4" w:space="0" w:color="000000"/>
              <w:bottom w:val="single" w:sz="4" w:space="0" w:color="000000"/>
              <w:right w:val="single" w:sz="4" w:space="0" w:color="000000"/>
            </w:tcBorders>
            <w:shd w:val="clear" w:color="auto" w:fill="FFFFFF"/>
          </w:tcPr>
          <w:p w14:paraId="3BFA69FB" w14:textId="77777777" w:rsidR="00823785" w:rsidRPr="00452D62" w:rsidRDefault="00823785" w:rsidP="006453B9">
            <w:pPr>
              <w:rPr>
                <w:sz w:val="22"/>
                <w:szCs w:val="22"/>
              </w:rPr>
            </w:pPr>
            <w:r w:rsidRPr="00452D62">
              <w:rPr>
                <w:sz w:val="22"/>
                <w:szCs w:val="22"/>
              </w:rPr>
              <w:t>Aterotrombozinių reiškinių profilaktika pacientams, patyrusiems ūminį vainikinį sindromą (ŪKS)</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10C08AA4" w14:textId="77777777" w:rsidR="00823785" w:rsidRPr="00452D62" w:rsidRDefault="00823785" w:rsidP="006453B9">
            <w:pPr>
              <w:rPr>
                <w:sz w:val="22"/>
                <w:szCs w:val="22"/>
              </w:rPr>
            </w:pPr>
            <w:r w:rsidRPr="00452D62">
              <w:rPr>
                <w:sz w:val="22"/>
                <w:szCs w:val="22"/>
              </w:rPr>
              <w:t>10 225</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459381DB" w14:textId="77777777" w:rsidR="00823785" w:rsidRPr="00452D62" w:rsidRDefault="00823785" w:rsidP="006453B9">
            <w:pPr>
              <w:rPr>
                <w:sz w:val="22"/>
                <w:szCs w:val="22"/>
              </w:rPr>
            </w:pPr>
            <w:r w:rsidRPr="00452D62">
              <w:rPr>
                <w:sz w:val="22"/>
                <w:szCs w:val="22"/>
              </w:rPr>
              <w:t>Atitinkamai 5 mg arba 10 mg, kartu vartojant arba acetilsalicilo rūgšties, arba acetilsalicilo rūgšties ir klopidogrelio ar tiklopidino</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46E984F3" w14:textId="77777777" w:rsidR="00823785" w:rsidRPr="00452D62" w:rsidRDefault="00823785" w:rsidP="006453B9">
            <w:pPr>
              <w:rPr>
                <w:sz w:val="22"/>
                <w:szCs w:val="22"/>
              </w:rPr>
            </w:pPr>
            <w:r w:rsidRPr="00452D62">
              <w:rPr>
                <w:sz w:val="22"/>
                <w:szCs w:val="22"/>
              </w:rPr>
              <w:t>31 mėnesis</w:t>
            </w:r>
          </w:p>
        </w:tc>
      </w:tr>
      <w:tr w:rsidR="00823785" w:rsidRPr="00452D62" w14:paraId="5EB7B31A" w14:textId="77777777" w:rsidTr="006453B9">
        <w:tc>
          <w:tcPr>
            <w:tcW w:w="3402" w:type="dxa"/>
            <w:vMerge w:val="restart"/>
            <w:tcBorders>
              <w:top w:val="single" w:sz="4" w:space="0" w:color="000000"/>
              <w:left w:val="single" w:sz="4" w:space="0" w:color="000000"/>
              <w:right w:val="single" w:sz="4" w:space="0" w:color="000000"/>
            </w:tcBorders>
            <w:shd w:val="clear" w:color="auto" w:fill="FFFFFF"/>
          </w:tcPr>
          <w:p w14:paraId="5E56EBFD" w14:textId="77777777" w:rsidR="00823785" w:rsidRPr="00452D62" w:rsidRDefault="00823785" w:rsidP="006453B9">
            <w:pPr>
              <w:rPr>
                <w:sz w:val="22"/>
                <w:szCs w:val="22"/>
              </w:rPr>
            </w:pPr>
            <w:r w:rsidRPr="00452D62">
              <w:rPr>
                <w:sz w:val="22"/>
                <w:szCs w:val="22"/>
              </w:rPr>
              <w:t>Aterotrombozinių reiškinių profilaktika pacientams, sergantiems VAL arba PAL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47A82C44" w14:textId="77777777" w:rsidR="00823785" w:rsidRPr="00452D62" w:rsidRDefault="00823785" w:rsidP="006453B9">
            <w:pPr>
              <w:rPr>
                <w:sz w:val="22"/>
                <w:szCs w:val="22"/>
              </w:rPr>
            </w:pPr>
            <w:r w:rsidRPr="00452D62">
              <w:rPr>
                <w:sz w:val="22"/>
                <w:szCs w:val="22"/>
              </w:rPr>
              <w:t>18 244</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19B70100" w14:textId="77777777" w:rsidR="00823785" w:rsidRPr="00452D62" w:rsidRDefault="00823785" w:rsidP="006453B9">
            <w:pPr>
              <w:rPr>
                <w:sz w:val="22"/>
                <w:szCs w:val="22"/>
              </w:rPr>
            </w:pPr>
            <w:r w:rsidRPr="00452D62">
              <w:rPr>
                <w:sz w:val="22"/>
                <w:szCs w:val="22"/>
              </w:rPr>
              <w:t xml:space="preserve">5 mg kartu su ASR arba vien 10 mg rivaroksabano </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1CAE1DBE" w14:textId="77777777" w:rsidR="00823785" w:rsidRPr="00452D62" w:rsidRDefault="00823785" w:rsidP="006453B9">
            <w:pPr>
              <w:rPr>
                <w:sz w:val="22"/>
                <w:szCs w:val="22"/>
              </w:rPr>
            </w:pPr>
            <w:r w:rsidRPr="00452D62">
              <w:rPr>
                <w:sz w:val="22"/>
                <w:szCs w:val="22"/>
              </w:rPr>
              <w:t>47 mėnesiai</w:t>
            </w:r>
          </w:p>
        </w:tc>
      </w:tr>
      <w:tr w:rsidR="00823785" w:rsidRPr="00452D62" w14:paraId="46F09F80" w14:textId="77777777" w:rsidTr="006453B9">
        <w:tc>
          <w:tcPr>
            <w:tcW w:w="3402" w:type="dxa"/>
            <w:vMerge/>
            <w:tcBorders>
              <w:left w:val="single" w:sz="4" w:space="0" w:color="000000"/>
              <w:bottom w:val="single" w:sz="4" w:space="0" w:color="000000"/>
              <w:right w:val="single" w:sz="4" w:space="0" w:color="000000"/>
            </w:tcBorders>
            <w:shd w:val="clear" w:color="auto" w:fill="FFFFFF"/>
          </w:tcPr>
          <w:p w14:paraId="485EC54F" w14:textId="77777777" w:rsidR="00823785" w:rsidRPr="00452D62" w:rsidRDefault="00823785" w:rsidP="006453B9">
            <w:pPr>
              <w:rPr>
                <w:sz w:val="22"/>
                <w:szCs w:val="2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76C451DF" w14:textId="120FE409" w:rsidR="00823785" w:rsidRPr="00452D62" w:rsidRDefault="00823785" w:rsidP="006453B9">
            <w:pPr>
              <w:rPr>
                <w:sz w:val="22"/>
                <w:szCs w:val="22"/>
              </w:rPr>
            </w:pPr>
            <w:r w:rsidRPr="00452D62">
              <w:rPr>
                <w:sz w:val="22"/>
                <w:szCs w:val="22"/>
              </w:rPr>
              <w:t>3</w:t>
            </w:r>
            <w:r w:rsidR="00030D25" w:rsidRPr="00452D62">
              <w:rPr>
                <w:sz w:val="22"/>
                <w:szCs w:val="22"/>
              </w:rPr>
              <w:t xml:space="preserve"> </w:t>
            </w:r>
            <w:r w:rsidRPr="00452D62">
              <w:rPr>
                <w:sz w:val="22"/>
                <w:szCs w:val="22"/>
              </w:rPr>
              <w:t>256**</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6485C09C" w14:textId="77777777" w:rsidR="00823785" w:rsidRPr="00452D62" w:rsidRDefault="00823785" w:rsidP="006453B9">
            <w:pPr>
              <w:rPr>
                <w:sz w:val="22"/>
                <w:szCs w:val="22"/>
              </w:rPr>
            </w:pPr>
            <w:r w:rsidRPr="00452D62">
              <w:rPr>
                <w:sz w:val="22"/>
                <w:szCs w:val="22"/>
              </w:rPr>
              <w:t>5 mg kartu su acetilsalicilo rūgštimi</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7A3B1063" w14:textId="77777777" w:rsidR="00823785" w:rsidRPr="00452D62" w:rsidRDefault="00823785" w:rsidP="006453B9">
            <w:pPr>
              <w:rPr>
                <w:sz w:val="22"/>
                <w:szCs w:val="22"/>
              </w:rPr>
            </w:pPr>
            <w:r w:rsidRPr="00452D62">
              <w:rPr>
                <w:sz w:val="22"/>
                <w:szCs w:val="22"/>
              </w:rPr>
              <w:t>42 mėnesiai</w:t>
            </w:r>
          </w:p>
        </w:tc>
      </w:tr>
    </w:tbl>
    <w:p w14:paraId="1823BCF5" w14:textId="77777777" w:rsidR="00823785" w:rsidRPr="00452D62" w:rsidRDefault="00823785" w:rsidP="00823785">
      <w:pPr>
        <w:rPr>
          <w:sz w:val="22"/>
          <w:szCs w:val="22"/>
        </w:rPr>
      </w:pPr>
      <w:r w:rsidRPr="00452D62">
        <w:rPr>
          <w:sz w:val="22"/>
          <w:szCs w:val="22"/>
        </w:rPr>
        <w:t>*Pacientai, pavartoję mažiausiai vieną rivaroksabano dozę.</w:t>
      </w:r>
    </w:p>
    <w:p w14:paraId="2E14B31C" w14:textId="77777777" w:rsidR="00823785" w:rsidRPr="00452D62" w:rsidRDefault="00823785" w:rsidP="00823785">
      <w:pPr>
        <w:rPr>
          <w:sz w:val="22"/>
          <w:szCs w:val="22"/>
        </w:rPr>
      </w:pPr>
      <w:r w:rsidRPr="00452D62">
        <w:rPr>
          <w:sz w:val="22"/>
          <w:szCs w:val="22"/>
        </w:rPr>
        <w:t>**Tyrimo VOYAGER PAD duomenys.</w:t>
      </w:r>
    </w:p>
    <w:p w14:paraId="6B28042C" w14:textId="77777777" w:rsidR="00823785" w:rsidRPr="00452D62" w:rsidRDefault="00823785" w:rsidP="00823785">
      <w:pPr>
        <w:rPr>
          <w:sz w:val="22"/>
          <w:szCs w:val="22"/>
        </w:rPr>
      </w:pPr>
    </w:p>
    <w:p w14:paraId="7935055D" w14:textId="6928C213" w:rsidR="00823785" w:rsidRPr="00452D62" w:rsidRDefault="00823785" w:rsidP="00823785">
      <w:pPr>
        <w:rPr>
          <w:sz w:val="22"/>
          <w:szCs w:val="22"/>
        </w:rPr>
      </w:pPr>
      <w:r w:rsidRPr="00452D62">
        <w:rPr>
          <w:sz w:val="22"/>
          <w:szCs w:val="22"/>
        </w:rPr>
        <w:t>Nepageidaujama reakcija, apie kurią dažniausiai gauta pranešimų rivaroksabano vartojantiems pacientams, buvo kraujavimas (2 lentelė, žr. 4.4 skyrių ir toliau pateiktą poskyrį „Atrinktų nepageidaujamų reakcijų apibūdinimas“). Kraujavimai, apie kuriuos pranešta dažniausiai, buvo kraujavimas iš nosies (4,5 %) ir kraujavimas iš virškinimo trakto (3,8 %).</w:t>
      </w:r>
    </w:p>
    <w:p w14:paraId="021BCAE2" w14:textId="77777777" w:rsidR="00823785" w:rsidRPr="00452D62" w:rsidRDefault="00823785" w:rsidP="00823785">
      <w:pPr>
        <w:rPr>
          <w:sz w:val="22"/>
          <w:szCs w:val="22"/>
        </w:rPr>
      </w:pPr>
    </w:p>
    <w:p w14:paraId="7F42EA95" w14:textId="182AA15D" w:rsidR="00823785" w:rsidRPr="00452D62" w:rsidRDefault="00823785" w:rsidP="00823785">
      <w:pPr>
        <w:rPr>
          <w:b/>
          <w:sz w:val="22"/>
          <w:szCs w:val="22"/>
        </w:rPr>
      </w:pPr>
      <w:r w:rsidRPr="00452D62">
        <w:rPr>
          <w:b/>
          <w:sz w:val="22"/>
          <w:szCs w:val="22"/>
        </w:rPr>
        <w:t>2 lentelė. Kraujavimo* ir anemijos reiškinių dažniai, nustatyti rivaroksabaną vartojusiems pacientams, dalyvavusiems užbaigtuose III fazės tyrimuose su suaugusiais</w:t>
      </w:r>
      <w:r w:rsidR="00C32BA3" w:rsidRPr="00452D62">
        <w:rPr>
          <w:b/>
          <w:sz w:val="22"/>
          <w:szCs w:val="22"/>
        </w:rPr>
        <w:t xml:space="preserve"> ir vaikais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8"/>
        <w:gridCol w:w="2919"/>
        <w:gridCol w:w="2919"/>
      </w:tblGrid>
      <w:tr w:rsidR="00823785" w:rsidRPr="00452D62" w14:paraId="23D02893" w14:textId="77777777" w:rsidTr="006453B9">
        <w:tc>
          <w:tcPr>
            <w:tcW w:w="2918" w:type="dxa"/>
            <w:shd w:val="clear" w:color="auto" w:fill="auto"/>
          </w:tcPr>
          <w:p w14:paraId="452E55F5" w14:textId="77777777" w:rsidR="00823785" w:rsidRPr="00452D62" w:rsidRDefault="00823785" w:rsidP="006453B9">
            <w:pPr>
              <w:rPr>
                <w:b/>
                <w:sz w:val="22"/>
                <w:szCs w:val="22"/>
              </w:rPr>
            </w:pPr>
            <w:r w:rsidRPr="00452D62">
              <w:rPr>
                <w:b/>
                <w:sz w:val="22"/>
                <w:szCs w:val="22"/>
              </w:rPr>
              <w:t>Indikacija</w:t>
            </w:r>
          </w:p>
        </w:tc>
        <w:tc>
          <w:tcPr>
            <w:tcW w:w="2919" w:type="dxa"/>
            <w:shd w:val="clear" w:color="auto" w:fill="auto"/>
          </w:tcPr>
          <w:p w14:paraId="1DA48447" w14:textId="77777777" w:rsidR="00823785" w:rsidRPr="00452D62" w:rsidRDefault="00823785" w:rsidP="006453B9">
            <w:pPr>
              <w:rPr>
                <w:b/>
                <w:sz w:val="22"/>
                <w:szCs w:val="22"/>
              </w:rPr>
            </w:pPr>
            <w:r w:rsidRPr="00452D62">
              <w:rPr>
                <w:b/>
                <w:sz w:val="22"/>
                <w:szCs w:val="22"/>
              </w:rPr>
              <w:t>Bet koks kraujavimas</w:t>
            </w:r>
          </w:p>
        </w:tc>
        <w:tc>
          <w:tcPr>
            <w:tcW w:w="2919" w:type="dxa"/>
            <w:shd w:val="clear" w:color="auto" w:fill="auto"/>
          </w:tcPr>
          <w:p w14:paraId="4B735D53" w14:textId="77777777" w:rsidR="00823785" w:rsidRPr="00452D62" w:rsidRDefault="00823785" w:rsidP="006453B9">
            <w:pPr>
              <w:rPr>
                <w:b/>
                <w:sz w:val="22"/>
                <w:szCs w:val="22"/>
              </w:rPr>
            </w:pPr>
            <w:r w:rsidRPr="00452D62">
              <w:rPr>
                <w:b/>
                <w:sz w:val="22"/>
                <w:szCs w:val="22"/>
              </w:rPr>
              <w:t>Anemija</w:t>
            </w:r>
          </w:p>
        </w:tc>
      </w:tr>
      <w:tr w:rsidR="00823785" w:rsidRPr="00452D62" w14:paraId="388A4C56" w14:textId="77777777" w:rsidTr="006453B9">
        <w:tc>
          <w:tcPr>
            <w:tcW w:w="2918" w:type="dxa"/>
            <w:shd w:val="clear" w:color="auto" w:fill="auto"/>
          </w:tcPr>
          <w:p w14:paraId="03B146B4" w14:textId="77777777" w:rsidR="00823785" w:rsidRPr="00452D62" w:rsidRDefault="00823785" w:rsidP="006453B9">
            <w:pPr>
              <w:rPr>
                <w:sz w:val="22"/>
                <w:szCs w:val="22"/>
              </w:rPr>
            </w:pPr>
            <w:r w:rsidRPr="00452D62">
              <w:rPr>
                <w:sz w:val="22"/>
                <w:szCs w:val="22"/>
              </w:rPr>
              <w:t>Venų tromboembolijos (VTE) profilaktika suaugusiems pacientams, kuriems atliekama planinė klubo arba kelio sąnario pakeitimo operacija</w:t>
            </w:r>
          </w:p>
        </w:tc>
        <w:tc>
          <w:tcPr>
            <w:tcW w:w="2919" w:type="dxa"/>
            <w:shd w:val="clear" w:color="auto" w:fill="auto"/>
          </w:tcPr>
          <w:p w14:paraId="42F21CD1" w14:textId="5BAA52A7" w:rsidR="00823785" w:rsidRPr="00452D62" w:rsidRDefault="00823785" w:rsidP="006453B9">
            <w:pPr>
              <w:rPr>
                <w:sz w:val="22"/>
                <w:szCs w:val="22"/>
              </w:rPr>
            </w:pPr>
            <w:r w:rsidRPr="00452D62">
              <w:rPr>
                <w:sz w:val="22"/>
                <w:szCs w:val="22"/>
              </w:rPr>
              <w:t>6,8 % pacientų</w:t>
            </w:r>
          </w:p>
        </w:tc>
        <w:tc>
          <w:tcPr>
            <w:tcW w:w="2919" w:type="dxa"/>
            <w:shd w:val="clear" w:color="auto" w:fill="auto"/>
          </w:tcPr>
          <w:p w14:paraId="5D4844F5" w14:textId="3031C542" w:rsidR="00823785" w:rsidRPr="00452D62" w:rsidRDefault="00823785" w:rsidP="006453B9">
            <w:pPr>
              <w:rPr>
                <w:sz w:val="22"/>
                <w:szCs w:val="22"/>
              </w:rPr>
            </w:pPr>
            <w:r w:rsidRPr="00452D62">
              <w:rPr>
                <w:sz w:val="22"/>
                <w:szCs w:val="22"/>
              </w:rPr>
              <w:t>5,9 % pacientų</w:t>
            </w:r>
          </w:p>
        </w:tc>
      </w:tr>
      <w:tr w:rsidR="00823785" w:rsidRPr="00452D62" w14:paraId="48BD8BF1" w14:textId="77777777" w:rsidTr="006453B9">
        <w:tc>
          <w:tcPr>
            <w:tcW w:w="2918" w:type="dxa"/>
            <w:shd w:val="clear" w:color="auto" w:fill="auto"/>
          </w:tcPr>
          <w:p w14:paraId="2C9F5736" w14:textId="68A378F6" w:rsidR="00823785" w:rsidRPr="00452D62" w:rsidRDefault="00823785" w:rsidP="006453B9">
            <w:pPr>
              <w:rPr>
                <w:sz w:val="22"/>
                <w:szCs w:val="22"/>
              </w:rPr>
            </w:pPr>
            <w:r w:rsidRPr="00452D62">
              <w:rPr>
                <w:sz w:val="22"/>
                <w:szCs w:val="22"/>
              </w:rPr>
              <w:t>Venų tromboembolijos profilaktika terapinėmis ligomis sergantiems pacientams</w:t>
            </w:r>
          </w:p>
        </w:tc>
        <w:tc>
          <w:tcPr>
            <w:tcW w:w="2919" w:type="dxa"/>
            <w:shd w:val="clear" w:color="auto" w:fill="auto"/>
          </w:tcPr>
          <w:p w14:paraId="77E16F88" w14:textId="006940BC" w:rsidR="00823785" w:rsidRPr="00452D62" w:rsidRDefault="00823785" w:rsidP="006453B9">
            <w:pPr>
              <w:rPr>
                <w:sz w:val="22"/>
                <w:szCs w:val="22"/>
              </w:rPr>
            </w:pPr>
            <w:r w:rsidRPr="00452D62">
              <w:rPr>
                <w:sz w:val="22"/>
                <w:szCs w:val="22"/>
              </w:rPr>
              <w:t>12,6 % pacientų</w:t>
            </w:r>
          </w:p>
        </w:tc>
        <w:tc>
          <w:tcPr>
            <w:tcW w:w="2919" w:type="dxa"/>
            <w:shd w:val="clear" w:color="auto" w:fill="auto"/>
          </w:tcPr>
          <w:p w14:paraId="1E80A819" w14:textId="60E511E9" w:rsidR="00823785" w:rsidRPr="00452D62" w:rsidRDefault="00823785" w:rsidP="006453B9">
            <w:pPr>
              <w:rPr>
                <w:sz w:val="22"/>
                <w:szCs w:val="22"/>
              </w:rPr>
            </w:pPr>
            <w:r w:rsidRPr="00452D62">
              <w:rPr>
                <w:sz w:val="22"/>
                <w:szCs w:val="22"/>
              </w:rPr>
              <w:t>2,1 % pacientų</w:t>
            </w:r>
          </w:p>
        </w:tc>
      </w:tr>
      <w:tr w:rsidR="00823785" w:rsidRPr="00452D62" w14:paraId="4278140D" w14:textId="77777777" w:rsidTr="006453B9">
        <w:tc>
          <w:tcPr>
            <w:tcW w:w="2918" w:type="dxa"/>
            <w:shd w:val="clear" w:color="auto" w:fill="auto"/>
          </w:tcPr>
          <w:p w14:paraId="2AAE739E" w14:textId="77777777" w:rsidR="00823785" w:rsidRPr="00452D62" w:rsidRDefault="00823785" w:rsidP="006453B9">
            <w:pPr>
              <w:rPr>
                <w:sz w:val="22"/>
                <w:szCs w:val="22"/>
              </w:rPr>
            </w:pPr>
            <w:r w:rsidRPr="00452D62">
              <w:rPr>
                <w:sz w:val="22"/>
                <w:szCs w:val="22"/>
              </w:rPr>
              <w:t>GVT bei PE gydymas ir pasikartojimo profilaktika</w:t>
            </w:r>
          </w:p>
        </w:tc>
        <w:tc>
          <w:tcPr>
            <w:tcW w:w="2919" w:type="dxa"/>
            <w:shd w:val="clear" w:color="auto" w:fill="auto"/>
          </w:tcPr>
          <w:p w14:paraId="019650CA" w14:textId="4EECF887" w:rsidR="00823785" w:rsidRPr="00452D62" w:rsidRDefault="00823785" w:rsidP="006453B9">
            <w:pPr>
              <w:rPr>
                <w:sz w:val="22"/>
                <w:szCs w:val="22"/>
              </w:rPr>
            </w:pPr>
            <w:r w:rsidRPr="00452D62">
              <w:rPr>
                <w:sz w:val="22"/>
                <w:szCs w:val="22"/>
              </w:rPr>
              <w:t>23 % pacientų</w:t>
            </w:r>
          </w:p>
        </w:tc>
        <w:tc>
          <w:tcPr>
            <w:tcW w:w="2919" w:type="dxa"/>
            <w:shd w:val="clear" w:color="auto" w:fill="auto"/>
          </w:tcPr>
          <w:p w14:paraId="7EA6076E" w14:textId="740735F2" w:rsidR="00823785" w:rsidRPr="00452D62" w:rsidRDefault="00823785" w:rsidP="006453B9">
            <w:pPr>
              <w:rPr>
                <w:sz w:val="22"/>
                <w:szCs w:val="22"/>
              </w:rPr>
            </w:pPr>
            <w:r w:rsidRPr="00452D62">
              <w:rPr>
                <w:sz w:val="22"/>
                <w:szCs w:val="22"/>
              </w:rPr>
              <w:t>1,6 % pacientų</w:t>
            </w:r>
          </w:p>
        </w:tc>
      </w:tr>
      <w:tr w:rsidR="00C32BA3" w:rsidRPr="00452D62" w14:paraId="4CD1FE53" w14:textId="77777777" w:rsidTr="00AE1B80">
        <w:tc>
          <w:tcPr>
            <w:tcW w:w="2918" w:type="dxa"/>
            <w:shd w:val="clear" w:color="auto" w:fill="auto"/>
          </w:tcPr>
          <w:p w14:paraId="3905E129" w14:textId="23E8E7F4" w:rsidR="00C32BA3" w:rsidRPr="00452D62" w:rsidRDefault="00C32BA3" w:rsidP="00C32BA3">
            <w:pPr>
              <w:rPr>
                <w:sz w:val="22"/>
                <w:szCs w:val="22"/>
              </w:rPr>
            </w:pPr>
            <w:r w:rsidRPr="00452D62">
              <w:rPr>
                <w:sz w:val="22"/>
                <w:szCs w:val="22"/>
              </w:rPr>
              <w:t>VTE gydymas ir pasikartojančios VTE profilaktika išnešiotiems naujagimiams ir jaunesniems kaip 18 metų amžiaus vaikams</w:t>
            </w:r>
            <w:r w:rsidR="00450385">
              <w:rPr>
                <w:sz w:val="22"/>
                <w:szCs w:val="22"/>
              </w:rPr>
              <w:t xml:space="preserve"> ir paaugliams</w:t>
            </w:r>
            <w:r w:rsidRPr="00452D62">
              <w:rPr>
                <w:sz w:val="22"/>
                <w:szCs w:val="22"/>
              </w:rPr>
              <w:t xml:space="preserve">, pradėjus standartinį gydymą antikoaguliantais </w:t>
            </w:r>
          </w:p>
        </w:tc>
        <w:tc>
          <w:tcPr>
            <w:tcW w:w="2919" w:type="dxa"/>
            <w:shd w:val="clear" w:color="auto" w:fill="auto"/>
          </w:tcPr>
          <w:p w14:paraId="319BB9C9" w14:textId="34C33A9B" w:rsidR="00C32BA3" w:rsidRPr="00452D62" w:rsidRDefault="005843FD" w:rsidP="00C32BA3">
            <w:pPr>
              <w:rPr>
                <w:sz w:val="22"/>
                <w:szCs w:val="22"/>
              </w:rPr>
            </w:pPr>
            <w:r w:rsidRPr="00452D62">
              <w:rPr>
                <w:sz w:val="22"/>
                <w:szCs w:val="22"/>
              </w:rPr>
              <w:t>39,5</w:t>
            </w:r>
            <w:r w:rsidR="008C3DF7">
              <w:rPr>
                <w:sz w:val="22"/>
                <w:szCs w:val="22"/>
              </w:rPr>
              <w:t> %</w:t>
            </w:r>
            <w:r w:rsidR="00C32BA3" w:rsidRPr="00452D62">
              <w:rPr>
                <w:sz w:val="22"/>
                <w:szCs w:val="22"/>
              </w:rPr>
              <w:t xml:space="preserve"> pacientų</w:t>
            </w:r>
          </w:p>
        </w:tc>
        <w:tc>
          <w:tcPr>
            <w:tcW w:w="2919" w:type="dxa"/>
            <w:shd w:val="clear" w:color="auto" w:fill="auto"/>
          </w:tcPr>
          <w:p w14:paraId="3E333055" w14:textId="077F48F4" w:rsidR="00C32BA3" w:rsidRPr="00452D62" w:rsidRDefault="005843FD" w:rsidP="00C32BA3">
            <w:pPr>
              <w:rPr>
                <w:sz w:val="22"/>
                <w:szCs w:val="22"/>
              </w:rPr>
            </w:pPr>
            <w:r w:rsidRPr="00452D62">
              <w:rPr>
                <w:sz w:val="22"/>
                <w:szCs w:val="22"/>
              </w:rPr>
              <w:t>4,6</w:t>
            </w:r>
            <w:r w:rsidR="008C3DF7">
              <w:rPr>
                <w:sz w:val="22"/>
                <w:szCs w:val="22"/>
              </w:rPr>
              <w:t> %</w:t>
            </w:r>
            <w:r w:rsidR="00C32BA3" w:rsidRPr="00452D62">
              <w:rPr>
                <w:sz w:val="22"/>
                <w:szCs w:val="22"/>
              </w:rPr>
              <w:t xml:space="preserve"> pacientų</w:t>
            </w:r>
          </w:p>
        </w:tc>
      </w:tr>
      <w:tr w:rsidR="00823785" w:rsidRPr="00452D62" w14:paraId="6614CE25" w14:textId="77777777" w:rsidTr="006453B9">
        <w:tc>
          <w:tcPr>
            <w:tcW w:w="2918" w:type="dxa"/>
            <w:shd w:val="clear" w:color="auto" w:fill="auto"/>
          </w:tcPr>
          <w:p w14:paraId="3C60C8FD" w14:textId="77777777" w:rsidR="00823785" w:rsidRPr="00452D62" w:rsidRDefault="00823785" w:rsidP="006453B9">
            <w:pPr>
              <w:rPr>
                <w:sz w:val="22"/>
                <w:szCs w:val="22"/>
              </w:rPr>
            </w:pPr>
            <w:r w:rsidRPr="00452D62">
              <w:rPr>
                <w:sz w:val="22"/>
                <w:szCs w:val="22"/>
              </w:rPr>
              <w:t>Insulto ir sisteminės embolijos profilaktika pacientams, kuriems yra su vožtuvų liga nesusijęs prieširdžių virpėjimas</w:t>
            </w:r>
          </w:p>
        </w:tc>
        <w:tc>
          <w:tcPr>
            <w:tcW w:w="2919" w:type="dxa"/>
            <w:shd w:val="clear" w:color="auto" w:fill="auto"/>
          </w:tcPr>
          <w:p w14:paraId="680B7869" w14:textId="77777777" w:rsidR="00823785" w:rsidRPr="00452D62" w:rsidRDefault="00823785" w:rsidP="006453B9">
            <w:pPr>
              <w:rPr>
                <w:sz w:val="22"/>
                <w:szCs w:val="22"/>
              </w:rPr>
            </w:pPr>
            <w:r w:rsidRPr="00452D62">
              <w:rPr>
                <w:sz w:val="22"/>
                <w:szCs w:val="22"/>
              </w:rPr>
              <w:t>28 per 100 paciento metų</w:t>
            </w:r>
          </w:p>
        </w:tc>
        <w:tc>
          <w:tcPr>
            <w:tcW w:w="2919" w:type="dxa"/>
            <w:shd w:val="clear" w:color="auto" w:fill="auto"/>
          </w:tcPr>
          <w:p w14:paraId="1B174091" w14:textId="77777777" w:rsidR="00823785" w:rsidRPr="00452D62" w:rsidRDefault="00823785" w:rsidP="006453B9">
            <w:pPr>
              <w:rPr>
                <w:sz w:val="22"/>
                <w:szCs w:val="22"/>
              </w:rPr>
            </w:pPr>
            <w:r w:rsidRPr="00452D62">
              <w:rPr>
                <w:sz w:val="22"/>
                <w:szCs w:val="22"/>
              </w:rPr>
              <w:t>2,5 per 100 paciento metų</w:t>
            </w:r>
          </w:p>
        </w:tc>
      </w:tr>
      <w:tr w:rsidR="00823785" w:rsidRPr="00452D62" w14:paraId="57EF6819" w14:textId="77777777" w:rsidTr="006453B9">
        <w:tc>
          <w:tcPr>
            <w:tcW w:w="2918" w:type="dxa"/>
            <w:shd w:val="clear" w:color="auto" w:fill="auto"/>
          </w:tcPr>
          <w:p w14:paraId="4735489E" w14:textId="77777777" w:rsidR="00823785" w:rsidRPr="00452D62" w:rsidRDefault="00823785" w:rsidP="006453B9">
            <w:pPr>
              <w:rPr>
                <w:sz w:val="22"/>
                <w:szCs w:val="22"/>
              </w:rPr>
            </w:pPr>
            <w:r w:rsidRPr="00452D62">
              <w:rPr>
                <w:sz w:val="22"/>
                <w:szCs w:val="22"/>
              </w:rPr>
              <w:t>Aterotrombozinių reiškinių profilaktika pacientams, patyrusiems ŪKS</w:t>
            </w:r>
          </w:p>
        </w:tc>
        <w:tc>
          <w:tcPr>
            <w:tcW w:w="2919" w:type="dxa"/>
            <w:shd w:val="clear" w:color="auto" w:fill="auto"/>
          </w:tcPr>
          <w:p w14:paraId="622FB3CE" w14:textId="77777777" w:rsidR="00823785" w:rsidRPr="00452D62" w:rsidRDefault="00823785" w:rsidP="006453B9">
            <w:pPr>
              <w:rPr>
                <w:sz w:val="22"/>
                <w:szCs w:val="22"/>
              </w:rPr>
            </w:pPr>
            <w:r w:rsidRPr="00452D62">
              <w:rPr>
                <w:sz w:val="22"/>
                <w:szCs w:val="22"/>
              </w:rPr>
              <w:t>22 per 100 paciento metų</w:t>
            </w:r>
          </w:p>
        </w:tc>
        <w:tc>
          <w:tcPr>
            <w:tcW w:w="2919" w:type="dxa"/>
            <w:shd w:val="clear" w:color="auto" w:fill="auto"/>
          </w:tcPr>
          <w:p w14:paraId="5B11E0F1" w14:textId="77777777" w:rsidR="00823785" w:rsidRPr="00452D62" w:rsidRDefault="00823785" w:rsidP="006453B9">
            <w:pPr>
              <w:rPr>
                <w:sz w:val="22"/>
                <w:szCs w:val="22"/>
              </w:rPr>
            </w:pPr>
            <w:r w:rsidRPr="00452D62">
              <w:rPr>
                <w:sz w:val="22"/>
                <w:szCs w:val="22"/>
              </w:rPr>
              <w:t>1,4 per 100 paciento metų</w:t>
            </w:r>
          </w:p>
        </w:tc>
      </w:tr>
      <w:tr w:rsidR="00823785" w:rsidRPr="00452D62" w14:paraId="7B7F7E9F" w14:textId="77777777" w:rsidTr="006453B9">
        <w:tc>
          <w:tcPr>
            <w:tcW w:w="2918" w:type="dxa"/>
            <w:vMerge w:val="restart"/>
            <w:shd w:val="clear" w:color="auto" w:fill="auto"/>
          </w:tcPr>
          <w:p w14:paraId="16796C2A" w14:textId="77777777" w:rsidR="00823785" w:rsidRPr="00452D62" w:rsidRDefault="00823785" w:rsidP="006453B9">
            <w:pPr>
              <w:rPr>
                <w:sz w:val="22"/>
                <w:szCs w:val="22"/>
              </w:rPr>
            </w:pPr>
            <w:r w:rsidRPr="00452D62">
              <w:rPr>
                <w:sz w:val="22"/>
                <w:szCs w:val="22"/>
              </w:rPr>
              <w:t>Aterotrombozinių reiškinių profilaktika pacientams, sergantiems VAL arba PAL</w:t>
            </w:r>
          </w:p>
        </w:tc>
        <w:tc>
          <w:tcPr>
            <w:tcW w:w="2919" w:type="dxa"/>
            <w:shd w:val="clear" w:color="auto" w:fill="auto"/>
          </w:tcPr>
          <w:p w14:paraId="4B373C02" w14:textId="77777777" w:rsidR="00823785" w:rsidRPr="00452D62" w:rsidRDefault="00823785" w:rsidP="006453B9">
            <w:pPr>
              <w:rPr>
                <w:sz w:val="22"/>
                <w:szCs w:val="22"/>
              </w:rPr>
            </w:pPr>
            <w:r w:rsidRPr="00452D62">
              <w:rPr>
                <w:sz w:val="22"/>
                <w:szCs w:val="22"/>
              </w:rPr>
              <w:t>6,7 per 100 paciento metų</w:t>
            </w:r>
          </w:p>
        </w:tc>
        <w:tc>
          <w:tcPr>
            <w:tcW w:w="2919" w:type="dxa"/>
            <w:shd w:val="clear" w:color="auto" w:fill="auto"/>
          </w:tcPr>
          <w:p w14:paraId="2105EDC6" w14:textId="77777777" w:rsidR="00823785" w:rsidRPr="00452D62" w:rsidRDefault="00823785" w:rsidP="006453B9">
            <w:pPr>
              <w:rPr>
                <w:sz w:val="22"/>
                <w:szCs w:val="22"/>
              </w:rPr>
            </w:pPr>
            <w:r w:rsidRPr="00452D62">
              <w:rPr>
                <w:sz w:val="22"/>
                <w:szCs w:val="22"/>
              </w:rPr>
              <w:t>0,15 per 100 paciento metų**</w:t>
            </w:r>
          </w:p>
        </w:tc>
      </w:tr>
      <w:tr w:rsidR="00823785" w:rsidRPr="00452D62" w14:paraId="5243B11F" w14:textId="77777777" w:rsidTr="006453B9">
        <w:tc>
          <w:tcPr>
            <w:tcW w:w="2918" w:type="dxa"/>
            <w:vMerge/>
            <w:shd w:val="clear" w:color="auto" w:fill="auto"/>
          </w:tcPr>
          <w:p w14:paraId="652994B8" w14:textId="77777777" w:rsidR="00823785" w:rsidRPr="00452D62" w:rsidRDefault="00823785" w:rsidP="006453B9">
            <w:pPr>
              <w:rPr>
                <w:sz w:val="22"/>
                <w:szCs w:val="22"/>
              </w:rPr>
            </w:pPr>
          </w:p>
        </w:tc>
        <w:tc>
          <w:tcPr>
            <w:tcW w:w="2919" w:type="dxa"/>
            <w:shd w:val="clear" w:color="auto" w:fill="auto"/>
          </w:tcPr>
          <w:p w14:paraId="073B3389" w14:textId="77777777" w:rsidR="00823785" w:rsidRPr="00452D62" w:rsidRDefault="00823785" w:rsidP="006453B9">
            <w:pPr>
              <w:rPr>
                <w:sz w:val="22"/>
                <w:szCs w:val="22"/>
              </w:rPr>
            </w:pPr>
            <w:r w:rsidRPr="00452D62">
              <w:rPr>
                <w:sz w:val="22"/>
                <w:szCs w:val="22"/>
              </w:rPr>
              <w:t>8,38 per 100 paciento metų</w:t>
            </w:r>
            <w:r w:rsidRPr="00452D62">
              <w:rPr>
                <w:sz w:val="22"/>
                <w:szCs w:val="22"/>
                <w:lang w:val="en-US"/>
              </w:rPr>
              <w:t>#</w:t>
            </w:r>
          </w:p>
        </w:tc>
        <w:tc>
          <w:tcPr>
            <w:tcW w:w="2919" w:type="dxa"/>
            <w:shd w:val="clear" w:color="auto" w:fill="auto"/>
          </w:tcPr>
          <w:p w14:paraId="0534B656" w14:textId="77777777" w:rsidR="00823785" w:rsidRPr="00452D62" w:rsidRDefault="00823785" w:rsidP="006453B9">
            <w:pPr>
              <w:rPr>
                <w:sz w:val="22"/>
                <w:szCs w:val="22"/>
              </w:rPr>
            </w:pPr>
            <w:r w:rsidRPr="00452D62">
              <w:rPr>
                <w:sz w:val="22"/>
                <w:szCs w:val="22"/>
              </w:rPr>
              <w:t>0,74 per 100 paciento metų***</w:t>
            </w:r>
            <w:r w:rsidRPr="00452D62">
              <w:rPr>
                <w:sz w:val="22"/>
                <w:szCs w:val="22"/>
                <w:lang w:val="en-US"/>
              </w:rPr>
              <w:t>#</w:t>
            </w:r>
          </w:p>
        </w:tc>
      </w:tr>
    </w:tbl>
    <w:p w14:paraId="09EECEBA" w14:textId="77777777" w:rsidR="00823785" w:rsidRPr="00452D62" w:rsidRDefault="00823785" w:rsidP="00823785">
      <w:pPr>
        <w:ind w:left="142" w:hanging="142"/>
        <w:rPr>
          <w:sz w:val="22"/>
          <w:szCs w:val="22"/>
        </w:rPr>
      </w:pPr>
      <w:r w:rsidRPr="00452D62">
        <w:rPr>
          <w:sz w:val="22"/>
          <w:szCs w:val="22"/>
        </w:rPr>
        <w:t>*Surinkti, pranešti ir įvertinti duomenys apie visus kraujavimo reiškinius, nustatytus visų rivaroksabano tyrimų metu.</w:t>
      </w:r>
    </w:p>
    <w:p w14:paraId="297D6E98" w14:textId="77777777" w:rsidR="00823785" w:rsidRPr="00452D62" w:rsidRDefault="00823785" w:rsidP="00823785">
      <w:pPr>
        <w:ind w:left="142" w:hanging="142"/>
        <w:rPr>
          <w:sz w:val="22"/>
          <w:szCs w:val="22"/>
        </w:rPr>
      </w:pPr>
      <w:r w:rsidRPr="00452D62">
        <w:rPr>
          <w:sz w:val="22"/>
          <w:szCs w:val="22"/>
        </w:rPr>
        <w:t>**Tyrimo COMPASS metu, taikant selektyvų nepageidaujamų reiškinių duomenų rinkimo metodą, nustatytas mažas anemijos dažnis.</w:t>
      </w:r>
    </w:p>
    <w:p w14:paraId="4C087976" w14:textId="77777777" w:rsidR="00823785" w:rsidRPr="00452D62" w:rsidRDefault="00823785" w:rsidP="00823785">
      <w:pPr>
        <w:ind w:left="142" w:hanging="142"/>
        <w:rPr>
          <w:sz w:val="22"/>
          <w:szCs w:val="22"/>
        </w:rPr>
      </w:pPr>
      <w:r w:rsidRPr="00452D62">
        <w:rPr>
          <w:sz w:val="22"/>
          <w:szCs w:val="22"/>
        </w:rPr>
        <w:t>***Buvo taikomas selektyvus nepageidaujamų reiškinių duomenų rinkimo metodas.</w:t>
      </w:r>
    </w:p>
    <w:p w14:paraId="7C287F34" w14:textId="77777777" w:rsidR="00823785" w:rsidRPr="00452D62" w:rsidRDefault="00823785" w:rsidP="00823785">
      <w:pPr>
        <w:ind w:left="142" w:hanging="142"/>
        <w:rPr>
          <w:sz w:val="22"/>
          <w:szCs w:val="22"/>
        </w:rPr>
      </w:pPr>
      <w:r w:rsidRPr="00452D62">
        <w:rPr>
          <w:sz w:val="22"/>
          <w:szCs w:val="22"/>
        </w:rPr>
        <w:t># Tyrimo VOYAGER PAD duomenys.</w:t>
      </w:r>
    </w:p>
    <w:p w14:paraId="38A4D7D7" w14:textId="77777777" w:rsidR="00823785" w:rsidRPr="00452D62" w:rsidRDefault="00823785" w:rsidP="00823785">
      <w:pPr>
        <w:ind w:left="142" w:hanging="142"/>
        <w:rPr>
          <w:sz w:val="22"/>
          <w:szCs w:val="22"/>
        </w:rPr>
      </w:pPr>
    </w:p>
    <w:p w14:paraId="26F926F4" w14:textId="77777777" w:rsidR="00823785" w:rsidRPr="00452D62" w:rsidRDefault="00823785" w:rsidP="00823785">
      <w:pPr>
        <w:rPr>
          <w:sz w:val="22"/>
          <w:szCs w:val="22"/>
        </w:rPr>
      </w:pPr>
      <w:r w:rsidRPr="00452D62">
        <w:rPr>
          <w:sz w:val="22"/>
          <w:szCs w:val="22"/>
          <w:u w:val="single"/>
        </w:rPr>
        <w:t>Nepageidaujamų reakcijų santrauka lentelėje</w:t>
      </w:r>
    </w:p>
    <w:p w14:paraId="3F581BEF" w14:textId="7693A089" w:rsidR="00823785" w:rsidRPr="00452D62" w:rsidRDefault="00823785" w:rsidP="00823785">
      <w:pPr>
        <w:rPr>
          <w:sz w:val="22"/>
          <w:szCs w:val="22"/>
        </w:rPr>
      </w:pPr>
      <w:r w:rsidRPr="00452D62">
        <w:rPr>
          <w:sz w:val="22"/>
          <w:szCs w:val="22"/>
        </w:rPr>
        <w:t>Rivaroksabano vartojimo metu suaugusiems</w:t>
      </w:r>
      <w:r w:rsidR="00120898" w:rsidRPr="00452D62">
        <w:rPr>
          <w:sz w:val="22"/>
          <w:szCs w:val="22"/>
        </w:rPr>
        <w:t xml:space="preserve"> ir vaikams</w:t>
      </w:r>
      <w:r w:rsidRPr="00452D62">
        <w:rPr>
          <w:sz w:val="22"/>
          <w:szCs w:val="22"/>
        </w:rPr>
        <w:t xml:space="preserve"> nustatytas nepageidaujamų reakcijų dažnis apibendrintas pagal organų sistemų klases (naudojant MedDRA terminologiją) ir dažnį toliau pateiktoje 3 lentelėje.</w:t>
      </w:r>
    </w:p>
    <w:p w14:paraId="323469A1" w14:textId="77777777" w:rsidR="00823785" w:rsidRPr="00452D62" w:rsidRDefault="00823785" w:rsidP="00823785">
      <w:pPr>
        <w:rPr>
          <w:sz w:val="22"/>
          <w:szCs w:val="22"/>
        </w:rPr>
      </w:pPr>
    </w:p>
    <w:p w14:paraId="1FC51C1C" w14:textId="77777777" w:rsidR="00823785" w:rsidRPr="00452D62" w:rsidRDefault="00823785" w:rsidP="00823785">
      <w:pPr>
        <w:rPr>
          <w:sz w:val="22"/>
          <w:szCs w:val="22"/>
        </w:rPr>
      </w:pPr>
      <w:r w:rsidRPr="00452D62">
        <w:rPr>
          <w:sz w:val="22"/>
          <w:szCs w:val="22"/>
        </w:rPr>
        <w:t>Nepageidaujamo poveikio dažnis apibūdinamas taip: labai dažnas (≥ 1/10), dažnas (nuo ≥ 1/100 iki &lt; 1/10), nedažnas (nuo ≥ 1/1 000 iki &lt; 1/100), retas (nuo ≥ 1/10 000 iki &lt; 1/1 000), labai retas (&lt; 1/10 000) ir nežinomas (negali būti apskaičiuotas pagal turimus duomenis).</w:t>
      </w:r>
    </w:p>
    <w:p w14:paraId="67D410BF" w14:textId="77777777" w:rsidR="00823785" w:rsidRPr="00452D62" w:rsidRDefault="00823785" w:rsidP="00823785">
      <w:pPr>
        <w:rPr>
          <w:sz w:val="22"/>
          <w:szCs w:val="22"/>
        </w:rPr>
      </w:pPr>
    </w:p>
    <w:p w14:paraId="4D936087" w14:textId="7E728CD5" w:rsidR="00823785" w:rsidRPr="00452D62" w:rsidRDefault="00823785" w:rsidP="00823785">
      <w:pPr>
        <w:rPr>
          <w:sz w:val="22"/>
          <w:szCs w:val="22"/>
        </w:rPr>
      </w:pPr>
      <w:r w:rsidRPr="00452D62">
        <w:rPr>
          <w:b/>
          <w:sz w:val="22"/>
          <w:szCs w:val="22"/>
        </w:rPr>
        <w:t>3 lentelė. Visos nepageidaujamos reakcijos, apie kurias pranešta suaugusiems pacientams III fazės tyrimuose</w:t>
      </w:r>
      <w:r w:rsidRPr="00AE1B80">
        <w:rPr>
          <w:sz w:val="22"/>
          <w:szCs w:val="22"/>
        </w:rPr>
        <w:t xml:space="preserve"> </w:t>
      </w:r>
      <w:r w:rsidRPr="00452D62">
        <w:rPr>
          <w:b/>
          <w:sz w:val="22"/>
          <w:szCs w:val="22"/>
        </w:rPr>
        <w:t>arba po vaistinio preparato pateikimo į rinką*</w:t>
      </w:r>
      <w:r w:rsidR="005C69C7" w:rsidRPr="00452D62">
        <w:rPr>
          <w:b/>
          <w:bCs/>
          <w:sz w:val="22"/>
          <w:szCs w:val="22"/>
        </w:rPr>
        <w:t xml:space="preserve"> ir vaikams dviejuose II fazės tyrimuose bei dviejuose III fazės tyrimuose</w:t>
      </w:r>
    </w:p>
    <w:tbl>
      <w:tblPr>
        <w:tblW w:w="9322" w:type="dxa"/>
        <w:tblLayout w:type="fixed"/>
        <w:tblLook w:val="0000" w:firstRow="0" w:lastRow="0" w:firstColumn="0" w:lastColumn="0" w:noHBand="0" w:noVBand="0"/>
      </w:tblPr>
      <w:tblGrid>
        <w:gridCol w:w="1809"/>
        <w:gridCol w:w="2268"/>
        <w:gridCol w:w="2127"/>
        <w:gridCol w:w="1559"/>
        <w:gridCol w:w="1559"/>
      </w:tblGrid>
      <w:tr w:rsidR="00823785" w:rsidRPr="00452D62" w14:paraId="34117EC3" w14:textId="77777777" w:rsidTr="006453B9">
        <w:trPr>
          <w:tblHeader/>
        </w:trPr>
        <w:tc>
          <w:tcPr>
            <w:tcW w:w="1809" w:type="dxa"/>
            <w:tcBorders>
              <w:top w:val="single" w:sz="4" w:space="0" w:color="000000"/>
              <w:left w:val="single" w:sz="4" w:space="0" w:color="000000"/>
              <w:bottom w:val="single" w:sz="4" w:space="0" w:color="000000"/>
              <w:right w:val="single" w:sz="4" w:space="0" w:color="000000"/>
            </w:tcBorders>
            <w:shd w:val="clear" w:color="auto" w:fill="BFBFBF"/>
          </w:tcPr>
          <w:p w14:paraId="29EAFF86" w14:textId="77777777" w:rsidR="00823785" w:rsidRPr="00452D62" w:rsidRDefault="00823785" w:rsidP="006453B9">
            <w:pPr>
              <w:rPr>
                <w:b/>
                <w:sz w:val="22"/>
                <w:szCs w:val="22"/>
              </w:rPr>
            </w:pPr>
            <w:r w:rsidRPr="00452D62">
              <w:rPr>
                <w:b/>
                <w:sz w:val="22"/>
                <w:szCs w:val="22"/>
              </w:rPr>
              <w:t>Dažnas</w:t>
            </w:r>
          </w:p>
        </w:tc>
        <w:tc>
          <w:tcPr>
            <w:tcW w:w="2268" w:type="dxa"/>
            <w:tcBorders>
              <w:top w:val="single" w:sz="4" w:space="0" w:color="000000"/>
              <w:left w:val="single" w:sz="4" w:space="0" w:color="000000"/>
              <w:bottom w:val="single" w:sz="4" w:space="0" w:color="000000"/>
              <w:right w:val="single" w:sz="4" w:space="0" w:color="000000"/>
            </w:tcBorders>
            <w:shd w:val="clear" w:color="auto" w:fill="BFBFBF"/>
          </w:tcPr>
          <w:p w14:paraId="37598169" w14:textId="77777777" w:rsidR="00823785" w:rsidRPr="00452D62" w:rsidRDefault="00823785" w:rsidP="006453B9">
            <w:pPr>
              <w:rPr>
                <w:b/>
                <w:sz w:val="22"/>
                <w:szCs w:val="22"/>
              </w:rPr>
            </w:pPr>
            <w:r w:rsidRPr="00452D62">
              <w:rPr>
                <w:b/>
                <w:sz w:val="22"/>
                <w:szCs w:val="22"/>
              </w:rPr>
              <w:t>Nedažnas</w:t>
            </w:r>
          </w:p>
        </w:tc>
        <w:tc>
          <w:tcPr>
            <w:tcW w:w="2127" w:type="dxa"/>
            <w:tcBorders>
              <w:top w:val="single" w:sz="4" w:space="0" w:color="000000"/>
              <w:left w:val="single" w:sz="4" w:space="0" w:color="000000"/>
              <w:bottom w:val="single" w:sz="4" w:space="0" w:color="000000"/>
              <w:right w:val="single" w:sz="4" w:space="0" w:color="000000"/>
            </w:tcBorders>
            <w:shd w:val="clear" w:color="auto" w:fill="BFBFBF"/>
          </w:tcPr>
          <w:p w14:paraId="7FC668CA" w14:textId="77777777" w:rsidR="00823785" w:rsidRPr="00452D62" w:rsidRDefault="00823785" w:rsidP="006453B9">
            <w:pPr>
              <w:rPr>
                <w:b/>
                <w:sz w:val="22"/>
                <w:szCs w:val="22"/>
              </w:rPr>
            </w:pPr>
            <w:r w:rsidRPr="00452D62">
              <w:rPr>
                <w:b/>
                <w:sz w:val="22"/>
                <w:szCs w:val="22"/>
              </w:rPr>
              <w:t>Retas</w:t>
            </w:r>
          </w:p>
        </w:tc>
        <w:tc>
          <w:tcPr>
            <w:tcW w:w="1559" w:type="dxa"/>
            <w:tcBorders>
              <w:top w:val="single" w:sz="4" w:space="0" w:color="000000"/>
              <w:left w:val="single" w:sz="4" w:space="0" w:color="000000"/>
              <w:bottom w:val="single" w:sz="4" w:space="0" w:color="000000"/>
              <w:right w:val="single" w:sz="4" w:space="0" w:color="000000"/>
            </w:tcBorders>
            <w:shd w:val="clear" w:color="auto" w:fill="BFBFBF"/>
          </w:tcPr>
          <w:p w14:paraId="79AF10CE" w14:textId="77777777" w:rsidR="00823785" w:rsidRPr="00452D62" w:rsidRDefault="00823785" w:rsidP="006453B9">
            <w:pPr>
              <w:rPr>
                <w:b/>
                <w:sz w:val="22"/>
                <w:szCs w:val="22"/>
              </w:rPr>
            </w:pPr>
            <w:r w:rsidRPr="00452D62">
              <w:rPr>
                <w:b/>
                <w:sz w:val="22"/>
                <w:szCs w:val="22"/>
              </w:rPr>
              <w:t>Labai retas</w:t>
            </w:r>
          </w:p>
        </w:tc>
        <w:tc>
          <w:tcPr>
            <w:tcW w:w="1559" w:type="dxa"/>
            <w:tcBorders>
              <w:top w:val="single" w:sz="4" w:space="0" w:color="000000"/>
              <w:left w:val="single" w:sz="4" w:space="0" w:color="000000"/>
              <w:bottom w:val="single" w:sz="4" w:space="0" w:color="000000"/>
              <w:right w:val="single" w:sz="4" w:space="0" w:color="000000"/>
            </w:tcBorders>
            <w:shd w:val="clear" w:color="auto" w:fill="BFBFBF"/>
          </w:tcPr>
          <w:p w14:paraId="4C249FC1" w14:textId="77777777" w:rsidR="00823785" w:rsidRPr="00452D62" w:rsidRDefault="00823785" w:rsidP="006453B9">
            <w:pPr>
              <w:rPr>
                <w:sz w:val="22"/>
                <w:szCs w:val="22"/>
              </w:rPr>
            </w:pPr>
            <w:r w:rsidRPr="00452D62">
              <w:rPr>
                <w:b/>
                <w:sz w:val="22"/>
                <w:szCs w:val="22"/>
              </w:rPr>
              <w:t>Dažnis nežinomas</w:t>
            </w:r>
          </w:p>
        </w:tc>
      </w:tr>
      <w:tr w:rsidR="00823785" w:rsidRPr="00452D62" w14:paraId="0658F753"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1E38DBE7" w14:textId="77777777" w:rsidR="00823785" w:rsidRPr="00452D62" w:rsidRDefault="00823785" w:rsidP="006453B9">
            <w:pPr>
              <w:rPr>
                <w:b/>
                <w:bCs/>
                <w:sz w:val="22"/>
                <w:szCs w:val="22"/>
              </w:rPr>
            </w:pPr>
            <w:r w:rsidRPr="00452D62">
              <w:rPr>
                <w:b/>
                <w:bCs/>
                <w:sz w:val="22"/>
                <w:szCs w:val="22"/>
              </w:rPr>
              <w:t>Kraujo ir limfinės sistemos sutrikimai</w:t>
            </w:r>
          </w:p>
        </w:tc>
      </w:tr>
      <w:tr w:rsidR="00823785" w:rsidRPr="00452D62" w14:paraId="64B67329"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1E14ECCB" w14:textId="77777777" w:rsidR="00823785" w:rsidRPr="00452D62" w:rsidRDefault="00823785" w:rsidP="006453B9">
            <w:pPr>
              <w:rPr>
                <w:sz w:val="22"/>
                <w:szCs w:val="22"/>
              </w:rPr>
            </w:pPr>
            <w:r w:rsidRPr="00452D62">
              <w:rPr>
                <w:sz w:val="22"/>
                <w:szCs w:val="22"/>
              </w:rPr>
              <w:t>Anemija (įskaitant atitinkamus laboratorinius parametrus)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23CCDFB8" w14:textId="77777777" w:rsidR="00823785" w:rsidRPr="00452D62" w:rsidRDefault="00823785" w:rsidP="006453B9">
            <w:pPr>
              <w:rPr>
                <w:sz w:val="22"/>
                <w:szCs w:val="22"/>
              </w:rPr>
            </w:pPr>
            <w:r w:rsidRPr="00452D62">
              <w:rPr>
                <w:sz w:val="22"/>
                <w:szCs w:val="22"/>
              </w:rPr>
              <w:t>Trombocitozė (įskaitant padidėjusį trombocitų kiekį)</w:t>
            </w:r>
            <w:r w:rsidRPr="00452D62">
              <w:rPr>
                <w:sz w:val="22"/>
                <w:szCs w:val="22"/>
                <w:vertAlign w:val="superscript"/>
              </w:rPr>
              <w:t>A</w:t>
            </w:r>
            <w:r w:rsidRPr="00452D62">
              <w:rPr>
                <w:sz w:val="22"/>
                <w:szCs w:val="22"/>
              </w:rPr>
              <w:t>,</w:t>
            </w:r>
          </w:p>
          <w:p w14:paraId="05AF63A0" w14:textId="77777777" w:rsidR="00823785" w:rsidRPr="00452D62" w:rsidRDefault="00823785" w:rsidP="006453B9">
            <w:pPr>
              <w:rPr>
                <w:sz w:val="22"/>
                <w:szCs w:val="22"/>
              </w:rPr>
            </w:pPr>
            <w:r w:rsidRPr="00452D62">
              <w:rPr>
                <w:sz w:val="22"/>
                <w:szCs w:val="22"/>
              </w:rPr>
              <w:t>trombocitopenija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348D9312"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364FD7E1"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3019B160" w14:textId="77777777" w:rsidR="00823785" w:rsidRPr="00452D62" w:rsidRDefault="00823785" w:rsidP="006453B9">
            <w:pPr>
              <w:rPr>
                <w:sz w:val="22"/>
                <w:szCs w:val="22"/>
              </w:rPr>
            </w:pPr>
          </w:p>
        </w:tc>
      </w:tr>
      <w:tr w:rsidR="00823785" w:rsidRPr="00452D62" w14:paraId="56914777"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466CCA14" w14:textId="77777777" w:rsidR="00823785" w:rsidRPr="00452D62" w:rsidRDefault="00823785" w:rsidP="006453B9">
            <w:pPr>
              <w:rPr>
                <w:b/>
                <w:sz w:val="22"/>
                <w:szCs w:val="22"/>
              </w:rPr>
            </w:pPr>
            <w:r w:rsidRPr="00452D62">
              <w:rPr>
                <w:b/>
                <w:sz w:val="22"/>
                <w:szCs w:val="22"/>
              </w:rPr>
              <w:t>Imuninės sistemos sutrikimai</w:t>
            </w:r>
          </w:p>
        </w:tc>
      </w:tr>
      <w:tr w:rsidR="00823785" w:rsidRPr="00452D62" w14:paraId="2D6E9772"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1E6F9725" w14:textId="77777777" w:rsidR="00823785" w:rsidRPr="00452D62" w:rsidRDefault="00823785" w:rsidP="006453B9">
            <w:pPr>
              <w:rPr>
                <w:sz w:val="22"/>
                <w:szCs w:val="22"/>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3A062408" w14:textId="77777777" w:rsidR="00823785" w:rsidRPr="00452D62" w:rsidRDefault="00823785" w:rsidP="006453B9">
            <w:pPr>
              <w:rPr>
                <w:sz w:val="22"/>
                <w:szCs w:val="22"/>
              </w:rPr>
            </w:pPr>
            <w:r w:rsidRPr="00452D62">
              <w:rPr>
                <w:sz w:val="22"/>
                <w:szCs w:val="22"/>
              </w:rPr>
              <w:t>Alerginė reakcija, alerginis dermatitas, angioneurozinė edema ir alerginė edema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18A12C96"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A383C9F" w14:textId="77777777" w:rsidR="00823785" w:rsidRPr="00452D62" w:rsidRDefault="00823785" w:rsidP="006453B9">
            <w:pPr>
              <w:rPr>
                <w:sz w:val="22"/>
                <w:szCs w:val="22"/>
              </w:rPr>
            </w:pPr>
            <w:r w:rsidRPr="00452D62">
              <w:rPr>
                <w:sz w:val="22"/>
                <w:szCs w:val="22"/>
              </w:rPr>
              <w:t>Anafilaksinės reakcijos, įskaitant anafilaksinį šoką</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A7AA090" w14:textId="77777777" w:rsidR="00823785" w:rsidRPr="00452D62" w:rsidRDefault="00823785" w:rsidP="006453B9">
            <w:pPr>
              <w:rPr>
                <w:sz w:val="22"/>
                <w:szCs w:val="22"/>
              </w:rPr>
            </w:pPr>
          </w:p>
        </w:tc>
      </w:tr>
      <w:tr w:rsidR="00823785" w:rsidRPr="00452D62" w14:paraId="5CC93EF0"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06B4AFCF" w14:textId="77777777" w:rsidR="00823785" w:rsidRPr="00452D62" w:rsidRDefault="00823785" w:rsidP="006453B9">
            <w:pPr>
              <w:rPr>
                <w:b/>
                <w:sz w:val="22"/>
                <w:szCs w:val="22"/>
              </w:rPr>
            </w:pPr>
            <w:r w:rsidRPr="00452D62">
              <w:rPr>
                <w:b/>
                <w:sz w:val="22"/>
                <w:szCs w:val="22"/>
              </w:rPr>
              <w:t>Nervų sistemos sutrikimai</w:t>
            </w:r>
          </w:p>
        </w:tc>
      </w:tr>
      <w:tr w:rsidR="00823785" w:rsidRPr="00452D62" w14:paraId="3A1161E2"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2F805382" w14:textId="77777777" w:rsidR="00823785" w:rsidRPr="00452D62" w:rsidRDefault="00823785" w:rsidP="006453B9">
            <w:pPr>
              <w:rPr>
                <w:sz w:val="22"/>
                <w:szCs w:val="22"/>
              </w:rPr>
            </w:pPr>
            <w:r w:rsidRPr="00452D62">
              <w:rPr>
                <w:sz w:val="22"/>
                <w:szCs w:val="22"/>
              </w:rPr>
              <w:t>Svaigulys, galvos skausmas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69105F4A" w14:textId="77777777" w:rsidR="00823785" w:rsidRPr="00452D62" w:rsidRDefault="00823785" w:rsidP="006453B9">
            <w:pPr>
              <w:rPr>
                <w:sz w:val="22"/>
                <w:szCs w:val="22"/>
              </w:rPr>
            </w:pPr>
            <w:r w:rsidRPr="00452D62">
              <w:rPr>
                <w:sz w:val="22"/>
                <w:szCs w:val="22"/>
              </w:rPr>
              <w:t>Intracerebrinis ir intrakranijinis kraujavimas, apalpimas</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34249B83"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B6EAD34"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FF7A211" w14:textId="77777777" w:rsidR="00823785" w:rsidRPr="00452D62" w:rsidRDefault="00823785" w:rsidP="006453B9">
            <w:pPr>
              <w:rPr>
                <w:sz w:val="22"/>
                <w:szCs w:val="22"/>
              </w:rPr>
            </w:pPr>
          </w:p>
        </w:tc>
      </w:tr>
      <w:tr w:rsidR="00823785" w:rsidRPr="00452D62" w14:paraId="34F1BA98"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47E4F0AB" w14:textId="77777777" w:rsidR="00823785" w:rsidRPr="00452D62" w:rsidRDefault="00823785" w:rsidP="006453B9">
            <w:pPr>
              <w:rPr>
                <w:b/>
                <w:sz w:val="22"/>
                <w:szCs w:val="22"/>
              </w:rPr>
            </w:pPr>
            <w:r w:rsidRPr="00452D62">
              <w:rPr>
                <w:b/>
                <w:sz w:val="22"/>
                <w:szCs w:val="22"/>
              </w:rPr>
              <w:t>Akių sutrikimai</w:t>
            </w:r>
          </w:p>
        </w:tc>
      </w:tr>
      <w:tr w:rsidR="00823785" w:rsidRPr="00452D62" w14:paraId="4251238F"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38903754" w14:textId="77777777" w:rsidR="00823785" w:rsidRPr="00452D62" w:rsidRDefault="00823785" w:rsidP="006453B9">
            <w:pPr>
              <w:rPr>
                <w:sz w:val="22"/>
                <w:szCs w:val="22"/>
              </w:rPr>
            </w:pPr>
            <w:r w:rsidRPr="00452D62">
              <w:rPr>
                <w:sz w:val="22"/>
                <w:szCs w:val="22"/>
              </w:rPr>
              <w:t>Akies kraujavimas (įskaitant junginės kraujavimą)</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0FA770C1" w14:textId="77777777" w:rsidR="00823785" w:rsidRPr="00452D62" w:rsidRDefault="00823785" w:rsidP="006453B9">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259D4A6C"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1E3CCE74"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1DC8FAFB" w14:textId="77777777" w:rsidR="00823785" w:rsidRPr="00452D62" w:rsidRDefault="00823785" w:rsidP="006453B9">
            <w:pPr>
              <w:rPr>
                <w:sz w:val="22"/>
                <w:szCs w:val="22"/>
              </w:rPr>
            </w:pPr>
          </w:p>
        </w:tc>
      </w:tr>
      <w:tr w:rsidR="00823785" w:rsidRPr="00452D62" w14:paraId="22837F41"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3DCDFD84" w14:textId="77777777" w:rsidR="00823785" w:rsidRPr="00452D62" w:rsidRDefault="00823785" w:rsidP="006453B9">
            <w:pPr>
              <w:rPr>
                <w:b/>
                <w:sz w:val="22"/>
                <w:szCs w:val="22"/>
              </w:rPr>
            </w:pPr>
            <w:r w:rsidRPr="00452D62">
              <w:rPr>
                <w:b/>
                <w:sz w:val="22"/>
                <w:szCs w:val="22"/>
              </w:rPr>
              <w:t>Širdies sutrikimai</w:t>
            </w:r>
          </w:p>
        </w:tc>
      </w:tr>
      <w:tr w:rsidR="00823785" w:rsidRPr="00452D62" w14:paraId="406BEE49"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29B5B356" w14:textId="77777777" w:rsidR="00823785" w:rsidRPr="00452D62" w:rsidRDefault="00823785" w:rsidP="006453B9">
            <w:pPr>
              <w:rPr>
                <w:sz w:val="22"/>
                <w:szCs w:val="22"/>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3AADB219" w14:textId="77777777" w:rsidR="00823785" w:rsidRPr="00452D62" w:rsidRDefault="00823785" w:rsidP="006453B9">
            <w:pPr>
              <w:rPr>
                <w:sz w:val="22"/>
                <w:szCs w:val="22"/>
              </w:rPr>
            </w:pPr>
            <w:r w:rsidRPr="00452D62">
              <w:rPr>
                <w:sz w:val="22"/>
                <w:szCs w:val="22"/>
              </w:rPr>
              <w:t>Tachikardija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34964A57"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4AEBC9B"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3E864759" w14:textId="77777777" w:rsidR="00823785" w:rsidRPr="00452D62" w:rsidRDefault="00823785" w:rsidP="006453B9">
            <w:pPr>
              <w:rPr>
                <w:sz w:val="22"/>
                <w:szCs w:val="22"/>
              </w:rPr>
            </w:pPr>
          </w:p>
        </w:tc>
      </w:tr>
      <w:tr w:rsidR="00823785" w:rsidRPr="00452D62" w14:paraId="4D91193A"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07A12EE7" w14:textId="77777777" w:rsidR="00823785" w:rsidRPr="00452D62" w:rsidRDefault="00823785" w:rsidP="006453B9">
            <w:pPr>
              <w:rPr>
                <w:sz w:val="22"/>
                <w:szCs w:val="22"/>
              </w:rPr>
            </w:pPr>
            <w:r w:rsidRPr="00452D62">
              <w:rPr>
                <w:b/>
                <w:sz w:val="22"/>
                <w:szCs w:val="22"/>
              </w:rPr>
              <w:t>Kraujagyslių sutrikimai</w:t>
            </w:r>
          </w:p>
        </w:tc>
      </w:tr>
      <w:tr w:rsidR="00823785" w:rsidRPr="00452D62" w14:paraId="2030B764"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5281A095" w14:textId="77777777" w:rsidR="00823785" w:rsidRPr="00452D62" w:rsidRDefault="00823785" w:rsidP="006453B9">
            <w:pPr>
              <w:rPr>
                <w:sz w:val="22"/>
                <w:szCs w:val="22"/>
              </w:rPr>
            </w:pPr>
            <w:r w:rsidRPr="00452D62">
              <w:rPr>
                <w:sz w:val="22"/>
                <w:szCs w:val="22"/>
              </w:rPr>
              <w:t>Hipotenzija,</w:t>
            </w:r>
          </w:p>
          <w:p w14:paraId="51FA5E27" w14:textId="77777777" w:rsidR="00823785" w:rsidRPr="00452D62" w:rsidRDefault="00823785" w:rsidP="006453B9">
            <w:pPr>
              <w:rPr>
                <w:sz w:val="22"/>
                <w:szCs w:val="22"/>
              </w:rPr>
            </w:pPr>
            <w:r w:rsidRPr="00452D62">
              <w:rPr>
                <w:sz w:val="22"/>
                <w:szCs w:val="22"/>
              </w:rPr>
              <w:t>hematoma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0CFAD8D6" w14:textId="77777777" w:rsidR="00823785" w:rsidRPr="00452D62" w:rsidRDefault="00823785" w:rsidP="006453B9">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0E5D34FB"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28C62D3E"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5C275DE" w14:textId="77777777" w:rsidR="00823785" w:rsidRPr="00452D62" w:rsidRDefault="00823785" w:rsidP="006453B9">
            <w:pPr>
              <w:rPr>
                <w:sz w:val="22"/>
                <w:szCs w:val="22"/>
              </w:rPr>
            </w:pPr>
          </w:p>
        </w:tc>
      </w:tr>
      <w:tr w:rsidR="00823785" w:rsidRPr="00452D62" w14:paraId="5AC20223"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07F846D5" w14:textId="77777777" w:rsidR="00823785" w:rsidRPr="00452D62" w:rsidRDefault="00823785" w:rsidP="006453B9">
            <w:pPr>
              <w:rPr>
                <w:sz w:val="22"/>
                <w:szCs w:val="22"/>
              </w:rPr>
            </w:pPr>
            <w:r w:rsidRPr="00452D62">
              <w:rPr>
                <w:b/>
                <w:bCs/>
                <w:sz w:val="22"/>
                <w:szCs w:val="22"/>
              </w:rPr>
              <w:t xml:space="preserve">Kvėpavimo sistemos, krūtinės ląstos ir tarpuplaučio sutrikimai </w:t>
            </w:r>
          </w:p>
        </w:tc>
      </w:tr>
      <w:tr w:rsidR="00823785" w:rsidRPr="00452D62" w14:paraId="2467E38C"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5FD8F1B9" w14:textId="77777777" w:rsidR="00823785" w:rsidRPr="00452D62" w:rsidRDefault="00823785" w:rsidP="006453B9">
            <w:pPr>
              <w:rPr>
                <w:sz w:val="22"/>
                <w:szCs w:val="22"/>
              </w:rPr>
            </w:pPr>
            <w:r w:rsidRPr="00452D62">
              <w:rPr>
                <w:sz w:val="22"/>
                <w:szCs w:val="22"/>
              </w:rPr>
              <w:t>Kraujavimas iš nosies, atsikosėjimas krauju</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20BE2D76" w14:textId="77777777" w:rsidR="00823785" w:rsidRPr="00452D62" w:rsidRDefault="00823785" w:rsidP="006453B9">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3AE2C6E2"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2C1BD987" w14:textId="77777777" w:rsidR="005C69C7" w:rsidRPr="00452D62" w:rsidRDefault="005C69C7" w:rsidP="005C69C7">
            <w:pPr>
              <w:pStyle w:val="Default"/>
              <w:rPr>
                <w:sz w:val="22"/>
                <w:szCs w:val="22"/>
              </w:rPr>
            </w:pPr>
            <w:r w:rsidRPr="00452D62">
              <w:rPr>
                <w:sz w:val="22"/>
                <w:szCs w:val="22"/>
              </w:rPr>
              <w:t xml:space="preserve">Eozinofilinė pneumonija </w:t>
            </w:r>
          </w:p>
          <w:p w14:paraId="28F49CBA"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4B2D5021" w14:textId="77777777" w:rsidR="00823785" w:rsidRPr="00452D62" w:rsidRDefault="00823785" w:rsidP="006453B9">
            <w:pPr>
              <w:rPr>
                <w:sz w:val="22"/>
                <w:szCs w:val="22"/>
              </w:rPr>
            </w:pPr>
          </w:p>
        </w:tc>
      </w:tr>
      <w:tr w:rsidR="00823785" w:rsidRPr="00452D62" w14:paraId="1E2C4511"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4091385E" w14:textId="77777777" w:rsidR="00823785" w:rsidRPr="00452D62" w:rsidRDefault="00823785" w:rsidP="006453B9">
            <w:pPr>
              <w:rPr>
                <w:sz w:val="22"/>
                <w:szCs w:val="22"/>
              </w:rPr>
            </w:pPr>
            <w:r w:rsidRPr="00452D62">
              <w:rPr>
                <w:b/>
                <w:bCs/>
                <w:sz w:val="22"/>
                <w:szCs w:val="22"/>
              </w:rPr>
              <w:t xml:space="preserve">Virškinimo trakto sutrikimai </w:t>
            </w:r>
          </w:p>
        </w:tc>
      </w:tr>
      <w:tr w:rsidR="00823785" w:rsidRPr="00452D62" w14:paraId="5AEB59ED"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23626BA1" w14:textId="77777777" w:rsidR="00823785" w:rsidRPr="00452D62" w:rsidRDefault="00823785" w:rsidP="006453B9">
            <w:pPr>
              <w:rPr>
                <w:sz w:val="22"/>
                <w:szCs w:val="22"/>
              </w:rPr>
            </w:pPr>
            <w:r w:rsidRPr="00452D62">
              <w:rPr>
                <w:sz w:val="22"/>
                <w:szCs w:val="22"/>
              </w:rPr>
              <w:t>Kraujavimas iš dantenų, kraujavimas iš virškinimo trakto (įskaitant kraujavimą iš tiesiosios žarnos), virškinimo trakto ir pilvo skausmai, dispepsija, pykinimas, vidurių užkietėjimas</w:t>
            </w:r>
            <w:r w:rsidRPr="00452D62">
              <w:rPr>
                <w:sz w:val="22"/>
                <w:szCs w:val="22"/>
                <w:vertAlign w:val="superscript"/>
              </w:rPr>
              <w:t>A</w:t>
            </w:r>
            <w:r w:rsidRPr="00452D62">
              <w:rPr>
                <w:sz w:val="22"/>
                <w:szCs w:val="22"/>
              </w:rPr>
              <w:t>, viduriavimas, vėmimas</w:t>
            </w:r>
            <w:r w:rsidRPr="00452D62">
              <w:rPr>
                <w:sz w:val="22"/>
                <w:szCs w:val="22"/>
                <w:vertAlign w:val="superscript"/>
              </w:rPr>
              <w:t>A</w:t>
            </w:r>
            <w:r w:rsidRPr="00452D62">
              <w:rPr>
                <w:sz w:val="22"/>
                <w:szCs w:val="22"/>
              </w:rPr>
              <w:t xml:space="preserve"> </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11C7B9C9" w14:textId="77777777" w:rsidR="00823785" w:rsidRPr="00452D62" w:rsidRDefault="00823785" w:rsidP="006453B9">
            <w:pPr>
              <w:rPr>
                <w:sz w:val="22"/>
                <w:szCs w:val="22"/>
              </w:rPr>
            </w:pPr>
            <w:r w:rsidRPr="00452D62">
              <w:rPr>
                <w:sz w:val="22"/>
                <w:szCs w:val="22"/>
              </w:rPr>
              <w:t>Burnos džiūvimas</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362F13A2"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47110FDC"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49A34E0" w14:textId="77777777" w:rsidR="00823785" w:rsidRPr="00452D62" w:rsidRDefault="00823785" w:rsidP="006453B9">
            <w:pPr>
              <w:rPr>
                <w:sz w:val="22"/>
                <w:szCs w:val="22"/>
              </w:rPr>
            </w:pPr>
          </w:p>
        </w:tc>
      </w:tr>
      <w:tr w:rsidR="00823785" w:rsidRPr="00452D62" w14:paraId="3875402A"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11E5D050" w14:textId="77777777" w:rsidR="00823785" w:rsidRPr="00452D62" w:rsidRDefault="00823785" w:rsidP="006453B9">
            <w:pPr>
              <w:rPr>
                <w:sz w:val="22"/>
                <w:szCs w:val="22"/>
              </w:rPr>
            </w:pPr>
            <w:r w:rsidRPr="00452D62">
              <w:rPr>
                <w:b/>
                <w:bCs/>
                <w:sz w:val="22"/>
                <w:szCs w:val="22"/>
              </w:rPr>
              <w:t>Kepenų, tulžies pūslės ir latakų sutrikimai</w:t>
            </w:r>
          </w:p>
        </w:tc>
      </w:tr>
      <w:tr w:rsidR="00823785" w:rsidRPr="00452D62" w14:paraId="1576FE51"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052B6075" w14:textId="77777777" w:rsidR="00823785" w:rsidRPr="00452D62" w:rsidRDefault="00823785" w:rsidP="006453B9">
            <w:pPr>
              <w:rPr>
                <w:sz w:val="22"/>
                <w:szCs w:val="22"/>
              </w:rPr>
            </w:pPr>
            <w:r w:rsidRPr="00452D62">
              <w:rPr>
                <w:sz w:val="22"/>
                <w:szCs w:val="22"/>
              </w:rPr>
              <w:t>Padidėjęs transaminazių aktyvumas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6C2009C5" w14:textId="77777777" w:rsidR="00823785" w:rsidRPr="00452D62" w:rsidRDefault="00823785" w:rsidP="006453B9">
            <w:pPr>
              <w:rPr>
                <w:sz w:val="22"/>
                <w:szCs w:val="22"/>
              </w:rPr>
            </w:pPr>
            <w:r w:rsidRPr="00452D62">
              <w:rPr>
                <w:sz w:val="22"/>
                <w:szCs w:val="22"/>
              </w:rPr>
              <w:t>Kepenų funkcijos sutrikimas, padidėjęs bilirubino kiekis, padidėjęs šarminės fosfatazės aktyvumas kraujyje</w:t>
            </w:r>
            <w:r w:rsidRPr="00452D62">
              <w:rPr>
                <w:sz w:val="22"/>
                <w:szCs w:val="22"/>
                <w:vertAlign w:val="superscript"/>
              </w:rPr>
              <w:t>A</w:t>
            </w:r>
            <w:r w:rsidRPr="00452D62">
              <w:rPr>
                <w:sz w:val="22"/>
                <w:szCs w:val="22"/>
              </w:rPr>
              <w:t>,</w:t>
            </w:r>
          </w:p>
          <w:p w14:paraId="2423BD49" w14:textId="77777777" w:rsidR="00823785" w:rsidRPr="00452D62" w:rsidRDefault="00823785" w:rsidP="006453B9">
            <w:pPr>
              <w:rPr>
                <w:sz w:val="22"/>
                <w:szCs w:val="22"/>
              </w:rPr>
            </w:pPr>
            <w:r w:rsidRPr="00452D62">
              <w:rPr>
                <w:sz w:val="22"/>
                <w:szCs w:val="22"/>
              </w:rPr>
              <w:t>padidėjęs GGT aktyvumas</w:t>
            </w:r>
            <w:r w:rsidRPr="00452D62">
              <w:rPr>
                <w:sz w:val="22"/>
                <w:szCs w:val="22"/>
                <w:vertAlign w:val="superscript"/>
              </w:rPr>
              <w:t>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0A215098" w14:textId="77777777" w:rsidR="00823785" w:rsidRPr="00452D62" w:rsidRDefault="00823785" w:rsidP="006453B9">
            <w:pPr>
              <w:rPr>
                <w:sz w:val="22"/>
                <w:szCs w:val="22"/>
              </w:rPr>
            </w:pPr>
            <w:r w:rsidRPr="00452D62">
              <w:rPr>
                <w:sz w:val="22"/>
                <w:szCs w:val="22"/>
              </w:rPr>
              <w:t>Gelta, padidėjęs konjuguoto bilirubino kiekis (kartu gali padidėti arba nepadidėti ALT aktyvumas), cholestazė, hepatitas (įskaitant kepenų ląstelių pažeidimą)</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3B1D9E1A"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A471ED6" w14:textId="77777777" w:rsidR="00823785" w:rsidRPr="00452D62" w:rsidRDefault="00823785" w:rsidP="006453B9">
            <w:pPr>
              <w:rPr>
                <w:sz w:val="22"/>
                <w:szCs w:val="22"/>
              </w:rPr>
            </w:pPr>
          </w:p>
        </w:tc>
      </w:tr>
      <w:tr w:rsidR="00823785" w:rsidRPr="00452D62" w14:paraId="5A3A0C96"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11072599" w14:textId="77777777" w:rsidR="00823785" w:rsidRPr="00452D62" w:rsidRDefault="00823785" w:rsidP="006453B9">
            <w:pPr>
              <w:rPr>
                <w:sz w:val="22"/>
                <w:szCs w:val="22"/>
              </w:rPr>
            </w:pPr>
            <w:r w:rsidRPr="00452D62">
              <w:rPr>
                <w:b/>
                <w:bCs/>
                <w:sz w:val="22"/>
                <w:szCs w:val="22"/>
              </w:rPr>
              <w:t>Odos ir poodinio audinio sutrikimai</w:t>
            </w:r>
          </w:p>
        </w:tc>
      </w:tr>
      <w:tr w:rsidR="00823785" w:rsidRPr="00452D62" w14:paraId="17EDB65C"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0001C491" w14:textId="77777777" w:rsidR="00823785" w:rsidRPr="00452D62" w:rsidRDefault="00823785" w:rsidP="006453B9">
            <w:pPr>
              <w:rPr>
                <w:sz w:val="22"/>
                <w:szCs w:val="22"/>
              </w:rPr>
            </w:pPr>
            <w:r w:rsidRPr="00452D62">
              <w:rPr>
                <w:sz w:val="22"/>
                <w:szCs w:val="22"/>
              </w:rPr>
              <w:t>Niežėjimas (įskaitant nedažnus išplitusio niežėjimo atvejus), išbėrimas, ekchimozė, kraujavimas į odą ir po oda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5EDE9BA2" w14:textId="77777777" w:rsidR="00823785" w:rsidRPr="00452D62" w:rsidRDefault="00823785" w:rsidP="006453B9">
            <w:pPr>
              <w:rPr>
                <w:sz w:val="22"/>
                <w:szCs w:val="22"/>
              </w:rPr>
            </w:pPr>
            <w:r w:rsidRPr="00452D62">
              <w:rPr>
                <w:sz w:val="22"/>
                <w:szCs w:val="22"/>
              </w:rPr>
              <w:t>Dilgėlinė</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1D056F18"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483B9DE" w14:textId="77777777" w:rsidR="00823785" w:rsidRPr="00452D62" w:rsidRDefault="00823785" w:rsidP="006453B9">
            <w:pPr>
              <w:rPr>
                <w:sz w:val="22"/>
                <w:szCs w:val="22"/>
              </w:rPr>
            </w:pPr>
            <w:r w:rsidRPr="00452D62">
              <w:rPr>
                <w:i/>
                <w:iCs/>
                <w:sz w:val="22"/>
                <w:szCs w:val="22"/>
              </w:rPr>
              <w:t>Stevens-Johnson</w:t>
            </w:r>
            <w:r w:rsidRPr="00452D62">
              <w:rPr>
                <w:sz w:val="22"/>
                <w:szCs w:val="22"/>
              </w:rPr>
              <w:t xml:space="preserve"> (Stivenso-Džonsono) sindromas, toksinė epidermio nekrolizė, </w:t>
            </w:r>
            <w:r w:rsidRPr="00452D62">
              <w:rPr>
                <w:i/>
                <w:iCs/>
                <w:sz w:val="22"/>
                <w:szCs w:val="22"/>
              </w:rPr>
              <w:t>DRESS</w:t>
            </w:r>
            <w:r w:rsidRPr="00452D62">
              <w:rPr>
                <w:sz w:val="22"/>
                <w:szCs w:val="22"/>
              </w:rPr>
              <w:t xml:space="preserve"> sindromas</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C7E64CB" w14:textId="77777777" w:rsidR="00823785" w:rsidRPr="00452D62" w:rsidRDefault="00823785" w:rsidP="006453B9">
            <w:pPr>
              <w:rPr>
                <w:sz w:val="22"/>
                <w:szCs w:val="22"/>
              </w:rPr>
            </w:pPr>
          </w:p>
        </w:tc>
      </w:tr>
      <w:tr w:rsidR="00823785" w:rsidRPr="00452D62" w14:paraId="78519788"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1579AF95" w14:textId="77777777" w:rsidR="00823785" w:rsidRPr="00452D62" w:rsidRDefault="00823785" w:rsidP="006453B9">
            <w:pPr>
              <w:rPr>
                <w:sz w:val="22"/>
                <w:szCs w:val="22"/>
              </w:rPr>
            </w:pPr>
            <w:r w:rsidRPr="00452D62">
              <w:rPr>
                <w:b/>
                <w:sz w:val="22"/>
                <w:szCs w:val="22"/>
              </w:rPr>
              <w:t>Skeleto, raumenų ir jungiamojo audinio sutrikimai</w:t>
            </w:r>
          </w:p>
        </w:tc>
      </w:tr>
      <w:tr w:rsidR="00823785" w:rsidRPr="00452D62" w14:paraId="638A729F"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6D2F2348" w14:textId="77777777" w:rsidR="00823785" w:rsidRPr="00452D62" w:rsidRDefault="00823785" w:rsidP="006453B9">
            <w:pPr>
              <w:rPr>
                <w:sz w:val="22"/>
                <w:szCs w:val="22"/>
              </w:rPr>
            </w:pPr>
            <w:r w:rsidRPr="00452D62">
              <w:rPr>
                <w:sz w:val="22"/>
                <w:szCs w:val="22"/>
              </w:rPr>
              <w:t>Galūnių skausmas</w:t>
            </w:r>
            <w:r w:rsidRPr="00452D62">
              <w:rPr>
                <w:sz w:val="22"/>
                <w:szCs w:val="22"/>
                <w:vertAlign w:val="superscript"/>
              </w:rPr>
              <w:t>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44696A21" w14:textId="77777777" w:rsidR="00823785" w:rsidRPr="00452D62" w:rsidRDefault="00823785" w:rsidP="006453B9">
            <w:pPr>
              <w:rPr>
                <w:sz w:val="22"/>
                <w:szCs w:val="22"/>
              </w:rPr>
            </w:pPr>
            <w:r w:rsidRPr="00452D62">
              <w:rPr>
                <w:sz w:val="22"/>
                <w:szCs w:val="22"/>
              </w:rPr>
              <w:t>Hemartrozė</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1B196043" w14:textId="77777777" w:rsidR="00823785" w:rsidRPr="00452D62" w:rsidRDefault="00823785" w:rsidP="006453B9">
            <w:pPr>
              <w:rPr>
                <w:sz w:val="22"/>
                <w:szCs w:val="22"/>
              </w:rPr>
            </w:pPr>
            <w:r w:rsidRPr="00452D62">
              <w:rPr>
                <w:sz w:val="22"/>
                <w:szCs w:val="22"/>
              </w:rPr>
              <w:t>Kraujavimas į raumenis</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378EAFE0"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7FDED6D" w14:textId="77777777" w:rsidR="00823785" w:rsidRPr="00452D62" w:rsidRDefault="00823785" w:rsidP="006453B9">
            <w:pPr>
              <w:rPr>
                <w:sz w:val="22"/>
                <w:szCs w:val="22"/>
              </w:rPr>
            </w:pPr>
            <w:r w:rsidRPr="00452D62">
              <w:rPr>
                <w:sz w:val="22"/>
                <w:szCs w:val="22"/>
              </w:rPr>
              <w:t>Suspaudimo sindromas dėl kraujavimo</w:t>
            </w:r>
          </w:p>
        </w:tc>
      </w:tr>
      <w:tr w:rsidR="00823785" w:rsidRPr="00452D62" w14:paraId="5552BCFF"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515C19B3" w14:textId="77777777" w:rsidR="00823785" w:rsidRPr="000877E9" w:rsidRDefault="00823785" w:rsidP="006453B9">
            <w:pPr>
              <w:rPr>
                <w:sz w:val="22"/>
                <w:szCs w:val="22"/>
              </w:rPr>
            </w:pPr>
            <w:r w:rsidRPr="00452D62">
              <w:rPr>
                <w:b/>
                <w:sz w:val="22"/>
                <w:szCs w:val="22"/>
              </w:rPr>
              <w:t>Inkstų ir šlapimo takų sutrikimai</w:t>
            </w:r>
          </w:p>
        </w:tc>
      </w:tr>
      <w:tr w:rsidR="00823785" w:rsidRPr="00452D62" w14:paraId="1E7D8CE3"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62295BBA" w14:textId="77777777" w:rsidR="00823785" w:rsidRPr="00452D62" w:rsidRDefault="00823785" w:rsidP="006453B9">
            <w:pPr>
              <w:rPr>
                <w:sz w:val="22"/>
                <w:szCs w:val="22"/>
              </w:rPr>
            </w:pPr>
            <w:r w:rsidRPr="00452D62">
              <w:rPr>
                <w:sz w:val="22"/>
                <w:szCs w:val="22"/>
              </w:rPr>
              <w:t>Kraujavimas iš urogenitalinio trakto (įskaitant hematuriją ir menoragiją</w:t>
            </w:r>
            <w:r w:rsidRPr="00452D62">
              <w:rPr>
                <w:sz w:val="22"/>
                <w:szCs w:val="22"/>
                <w:vertAlign w:val="superscript"/>
              </w:rPr>
              <w:t>B</w:t>
            </w:r>
            <w:r w:rsidRPr="00452D62">
              <w:rPr>
                <w:sz w:val="22"/>
                <w:szCs w:val="22"/>
              </w:rPr>
              <w:t>), inkstų funkcijos sutrikimas (įskaitant padidėjusį kreatinino kiekį kraujyje, padidėjusį šlapalo kiekį kraujyje)</w:t>
            </w:r>
            <w:r w:rsidRPr="00452D62">
              <w:rPr>
                <w:sz w:val="22"/>
                <w:szCs w:val="22"/>
                <w:vertAlign w:val="superscript"/>
              </w:rPr>
              <w:t>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67B0C749" w14:textId="77777777" w:rsidR="00823785" w:rsidRPr="00452D62" w:rsidRDefault="00823785" w:rsidP="006453B9">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03DA17C3"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60CE37F4"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62457A9C" w14:textId="54E3D3E4" w:rsidR="00823785" w:rsidRPr="00452D62" w:rsidRDefault="00823785" w:rsidP="006453B9">
            <w:pPr>
              <w:rPr>
                <w:sz w:val="22"/>
                <w:szCs w:val="22"/>
              </w:rPr>
            </w:pPr>
            <w:r w:rsidRPr="00452D62">
              <w:rPr>
                <w:sz w:val="22"/>
                <w:szCs w:val="22"/>
              </w:rPr>
              <w:t>Inkstų nepakankamumas/ūminis inkstų nepakankamumas dėl kraujavimo, kurio pakanka hipoperfuzijai sukelti</w:t>
            </w:r>
            <w:r w:rsidR="003E3C44" w:rsidRPr="00AE1B80">
              <w:rPr>
                <w:sz w:val="22"/>
                <w:szCs w:val="22"/>
              </w:rPr>
              <w:t xml:space="preserve"> s</w:t>
            </w:r>
            <w:r w:rsidR="003E3C44" w:rsidRPr="00452D62">
              <w:rPr>
                <w:sz w:val="22"/>
                <w:szCs w:val="22"/>
              </w:rPr>
              <w:t>u antikoaguliantais susijusi nefropatija</w:t>
            </w:r>
          </w:p>
        </w:tc>
      </w:tr>
      <w:tr w:rsidR="00823785" w:rsidRPr="00452D62" w14:paraId="0341A830"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5192AE9D" w14:textId="77777777" w:rsidR="00823785" w:rsidRPr="000877E9" w:rsidRDefault="00823785" w:rsidP="006453B9">
            <w:pPr>
              <w:rPr>
                <w:sz w:val="22"/>
                <w:szCs w:val="22"/>
              </w:rPr>
            </w:pPr>
            <w:r w:rsidRPr="00452D62">
              <w:rPr>
                <w:b/>
                <w:sz w:val="22"/>
                <w:szCs w:val="22"/>
              </w:rPr>
              <w:t>Bendrieji sutrikimai ir vartojimo vietos pažeidimai</w:t>
            </w:r>
          </w:p>
        </w:tc>
      </w:tr>
      <w:tr w:rsidR="00823785" w:rsidRPr="00452D62" w14:paraId="34AD4443"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08DDE32D" w14:textId="77777777" w:rsidR="00823785" w:rsidRPr="00452D62" w:rsidRDefault="00823785" w:rsidP="006453B9">
            <w:pPr>
              <w:rPr>
                <w:sz w:val="22"/>
                <w:szCs w:val="22"/>
              </w:rPr>
            </w:pPr>
            <w:r w:rsidRPr="00452D62">
              <w:rPr>
                <w:sz w:val="22"/>
                <w:szCs w:val="22"/>
              </w:rPr>
              <w:t>Karščiavimas</w:t>
            </w:r>
            <w:r w:rsidRPr="000877E9">
              <w:rPr>
                <w:sz w:val="22"/>
                <w:szCs w:val="22"/>
                <w:vertAlign w:val="superscript"/>
              </w:rPr>
              <w:t>A</w:t>
            </w:r>
            <w:r w:rsidRPr="00452D62">
              <w:rPr>
                <w:sz w:val="22"/>
                <w:szCs w:val="22"/>
              </w:rPr>
              <w:t>, periferinė edema, sumažėjusi bendroji jėga ir energija (įskaitant nuovargį ir asteniją)</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4360EF7F" w14:textId="77777777" w:rsidR="00823785" w:rsidRPr="00452D62" w:rsidRDefault="00823785" w:rsidP="006453B9">
            <w:pPr>
              <w:rPr>
                <w:sz w:val="22"/>
                <w:szCs w:val="22"/>
              </w:rPr>
            </w:pPr>
            <w:r w:rsidRPr="00452D62">
              <w:rPr>
                <w:sz w:val="22"/>
                <w:szCs w:val="22"/>
              </w:rPr>
              <w:t>Bloga savijauta (įskaitant negalavimą)</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78D0A3CE" w14:textId="77777777" w:rsidR="00823785" w:rsidRPr="00452D62" w:rsidRDefault="00823785" w:rsidP="006453B9">
            <w:pPr>
              <w:rPr>
                <w:sz w:val="22"/>
                <w:szCs w:val="22"/>
              </w:rPr>
            </w:pPr>
            <w:r w:rsidRPr="00452D62">
              <w:rPr>
                <w:sz w:val="22"/>
                <w:szCs w:val="22"/>
              </w:rPr>
              <w:t>Lokali edema</w:t>
            </w:r>
            <w:r w:rsidRPr="00452D62">
              <w:rPr>
                <w:sz w:val="22"/>
                <w:szCs w:val="22"/>
                <w:vertAlign w:val="superscript"/>
              </w:rPr>
              <w:t>A</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7290E18"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D0E9D16" w14:textId="77777777" w:rsidR="00823785" w:rsidRPr="00452D62" w:rsidRDefault="00823785" w:rsidP="006453B9">
            <w:pPr>
              <w:rPr>
                <w:sz w:val="22"/>
                <w:szCs w:val="22"/>
              </w:rPr>
            </w:pPr>
          </w:p>
        </w:tc>
      </w:tr>
      <w:tr w:rsidR="00823785" w:rsidRPr="00452D62" w14:paraId="59F9BFB6"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76208E23" w14:textId="77777777" w:rsidR="00823785" w:rsidRPr="000877E9" w:rsidRDefault="00823785" w:rsidP="006453B9">
            <w:pPr>
              <w:rPr>
                <w:sz w:val="22"/>
                <w:szCs w:val="22"/>
              </w:rPr>
            </w:pPr>
            <w:r w:rsidRPr="00452D62">
              <w:rPr>
                <w:b/>
                <w:sz w:val="22"/>
                <w:szCs w:val="22"/>
              </w:rPr>
              <w:t>Tyrimai</w:t>
            </w:r>
          </w:p>
        </w:tc>
      </w:tr>
      <w:tr w:rsidR="00823785" w:rsidRPr="00452D62" w14:paraId="32A4C160"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5D3C91A4" w14:textId="77777777" w:rsidR="00823785" w:rsidRPr="00452D62" w:rsidRDefault="00823785" w:rsidP="006453B9">
            <w:pPr>
              <w:rPr>
                <w:sz w:val="22"/>
                <w:szCs w:val="22"/>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77AC2953" w14:textId="77777777" w:rsidR="00823785" w:rsidRPr="00452D62" w:rsidRDefault="00823785" w:rsidP="006453B9">
            <w:pPr>
              <w:rPr>
                <w:sz w:val="22"/>
                <w:szCs w:val="22"/>
              </w:rPr>
            </w:pPr>
            <w:r w:rsidRPr="00452D62">
              <w:rPr>
                <w:sz w:val="22"/>
                <w:szCs w:val="22"/>
              </w:rPr>
              <w:t>Padidėjęs LDH aktyvumas</w:t>
            </w:r>
            <w:r w:rsidRPr="00452D62">
              <w:rPr>
                <w:sz w:val="22"/>
                <w:szCs w:val="22"/>
                <w:vertAlign w:val="superscript"/>
              </w:rPr>
              <w:t>A</w:t>
            </w:r>
            <w:r w:rsidRPr="00452D62">
              <w:rPr>
                <w:sz w:val="22"/>
                <w:szCs w:val="22"/>
              </w:rPr>
              <w:t>, padidėjęs lipazės aktyvumas</w:t>
            </w:r>
            <w:r w:rsidRPr="00452D62">
              <w:rPr>
                <w:sz w:val="22"/>
                <w:szCs w:val="22"/>
                <w:vertAlign w:val="superscript"/>
              </w:rPr>
              <w:t>A</w:t>
            </w:r>
            <w:r w:rsidRPr="00452D62">
              <w:rPr>
                <w:sz w:val="22"/>
                <w:szCs w:val="22"/>
              </w:rPr>
              <w:t>, padidėjęs amilazės aktyvumas</w:t>
            </w:r>
            <w:r w:rsidRPr="00452D62">
              <w:rPr>
                <w:sz w:val="22"/>
                <w:szCs w:val="22"/>
                <w:vertAlign w:val="superscript"/>
              </w:rPr>
              <w:t>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22BA52CF"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61079A33"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BB38FE8" w14:textId="77777777" w:rsidR="00823785" w:rsidRPr="00452D62" w:rsidRDefault="00823785" w:rsidP="006453B9">
            <w:pPr>
              <w:rPr>
                <w:sz w:val="22"/>
                <w:szCs w:val="22"/>
              </w:rPr>
            </w:pPr>
          </w:p>
        </w:tc>
      </w:tr>
      <w:tr w:rsidR="00823785" w:rsidRPr="00452D62" w14:paraId="6274A2AB"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759B50B8" w14:textId="77777777" w:rsidR="00823785" w:rsidRPr="00452D62" w:rsidRDefault="00823785" w:rsidP="006453B9">
            <w:pPr>
              <w:rPr>
                <w:sz w:val="22"/>
                <w:szCs w:val="22"/>
              </w:rPr>
            </w:pPr>
            <w:r w:rsidRPr="00452D62">
              <w:rPr>
                <w:b/>
                <w:sz w:val="22"/>
                <w:szCs w:val="22"/>
              </w:rPr>
              <w:t xml:space="preserve">Sužalojimai, apsinuodijimai ir procedūrų </w:t>
            </w:r>
            <w:r w:rsidRPr="000877E9">
              <w:rPr>
                <w:b/>
                <w:sz w:val="22"/>
                <w:szCs w:val="22"/>
              </w:rPr>
              <w:t>komplikacijos</w:t>
            </w:r>
          </w:p>
        </w:tc>
      </w:tr>
      <w:tr w:rsidR="00823785" w:rsidRPr="00452D62" w14:paraId="6A97E359"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2F9175D4" w14:textId="77777777" w:rsidR="00823785" w:rsidRPr="00452D62" w:rsidRDefault="00823785" w:rsidP="006453B9">
            <w:pPr>
              <w:rPr>
                <w:sz w:val="22"/>
                <w:szCs w:val="22"/>
              </w:rPr>
            </w:pPr>
            <w:r w:rsidRPr="00452D62">
              <w:rPr>
                <w:sz w:val="22"/>
                <w:szCs w:val="22"/>
              </w:rPr>
              <w:t>Kraujavimas po procedūros (įskaitant pooperacinę anemiją ir kraujavimą iš žaizdos), kontūzija, sekrecija iš žaizdos</w:t>
            </w:r>
            <w:r w:rsidRPr="00452D62">
              <w:rPr>
                <w:sz w:val="22"/>
                <w:szCs w:val="22"/>
                <w:vertAlign w:val="superscript"/>
              </w:rPr>
              <w:t>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7A621B95" w14:textId="77777777" w:rsidR="00823785" w:rsidRPr="00452D62" w:rsidRDefault="00823785" w:rsidP="006453B9">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20C90D9B" w14:textId="77777777" w:rsidR="00823785" w:rsidRPr="00452D62" w:rsidRDefault="00823785" w:rsidP="006453B9">
            <w:pPr>
              <w:rPr>
                <w:sz w:val="22"/>
                <w:szCs w:val="22"/>
              </w:rPr>
            </w:pPr>
            <w:r w:rsidRPr="00452D62">
              <w:rPr>
                <w:sz w:val="22"/>
                <w:szCs w:val="22"/>
              </w:rPr>
              <w:t>Kraujagyslių pseudoaneurizma</w:t>
            </w:r>
            <w:r w:rsidRPr="00452D62">
              <w:rPr>
                <w:sz w:val="22"/>
                <w:szCs w:val="22"/>
                <w:vertAlign w:val="superscript"/>
              </w:rPr>
              <w:t>C</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C1BAB21" w14:textId="77777777" w:rsidR="00823785" w:rsidRPr="00452D62"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2C80F731" w14:textId="77777777" w:rsidR="00823785" w:rsidRPr="00452D62" w:rsidRDefault="00823785" w:rsidP="006453B9">
            <w:pPr>
              <w:rPr>
                <w:sz w:val="22"/>
                <w:szCs w:val="22"/>
              </w:rPr>
            </w:pPr>
          </w:p>
        </w:tc>
      </w:tr>
    </w:tbl>
    <w:p w14:paraId="5FF9B149" w14:textId="77777777" w:rsidR="00823785" w:rsidRPr="00452D62" w:rsidRDefault="00823785" w:rsidP="00823785">
      <w:pPr>
        <w:rPr>
          <w:sz w:val="22"/>
          <w:szCs w:val="22"/>
        </w:rPr>
      </w:pPr>
      <w:r w:rsidRPr="00452D62">
        <w:rPr>
          <w:sz w:val="22"/>
          <w:szCs w:val="22"/>
        </w:rPr>
        <w:t xml:space="preserve">A: pastebėta taikant VTE profilaktiką suaugusiems pacientams, atliekant planines </w:t>
      </w:r>
      <w:r w:rsidRPr="000877E9">
        <w:rPr>
          <w:sz w:val="22"/>
          <w:szCs w:val="22"/>
        </w:rPr>
        <w:t>klubo arba kelio sąnario pakeitimo operacijas;</w:t>
      </w:r>
    </w:p>
    <w:p w14:paraId="09132333" w14:textId="77777777" w:rsidR="00823785" w:rsidRPr="00452D62" w:rsidRDefault="00823785" w:rsidP="00823785">
      <w:pPr>
        <w:rPr>
          <w:sz w:val="22"/>
          <w:szCs w:val="22"/>
        </w:rPr>
      </w:pPr>
      <w:r w:rsidRPr="00452D62">
        <w:rPr>
          <w:sz w:val="22"/>
          <w:szCs w:val="22"/>
        </w:rPr>
        <w:t>B: pastebėtas kaip labai dažnas nepageidaujamas poveikis, gydant GVT, PE ir taikant šių sutrikimų pasikartojimo profilaktiką jaunesnėms nei 55 metų amžiaus moterims;</w:t>
      </w:r>
    </w:p>
    <w:p w14:paraId="3E3A21A9" w14:textId="77777777" w:rsidR="00823785" w:rsidRPr="00452D62" w:rsidRDefault="00823785" w:rsidP="00823785">
      <w:pPr>
        <w:rPr>
          <w:sz w:val="22"/>
          <w:szCs w:val="22"/>
        </w:rPr>
      </w:pPr>
      <w:r w:rsidRPr="00452D62">
        <w:rPr>
          <w:sz w:val="22"/>
          <w:szCs w:val="22"/>
        </w:rPr>
        <w:t>C: pastebėtas kaip nedažnas nepageidaujamas poveikis, taikant aterotrombozinių reiškinių profilaktiką pacientams, patyrusiems ŪKS (po perkutaninės vainikinės intervencijos).</w:t>
      </w:r>
    </w:p>
    <w:p w14:paraId="572A2AD5" w14:textId="4DE9377C" w:rsidR="00823785" w:rsidRPr="00452D62" w:rsidRDefault="00823785" w:rsidP="00823785">
      <w:pPr>
        <w:rPr>
          <w:sz w:val="22"/>
          <w:szCs w:val="22"/>
        </w:rPr>
      </w:pPr>
      <w:r w:rsidRPr="00452D62">
        <w:rPr>
          <w:sz w:val="22"/>
          <w:szCs w:val="22"/>
        </w:rPr>
        <w:t>* Pasirinktų III fazės tyrimų metu buvo taikomas iš anksto numatytas selektyvus nepageidaujamų reiškinių rinkimo metodas. Remiantis šių tyrimų analize, nepageidaujamų reakcijų dažnis nepadidėjo ir naujų nepageidaujamų reakcijų nenustatyta.</w:t>
      </w:r>
    </w:p>
    <w:p w14:paraId="07BA1070" w14:textId="77777777" w:rsidR="00823785" w:rsidRPr="00452D62" w:rsidRDefault="00823785" w:rsidP="00823785">
      <w:pPr>
        <w:rPr>
          <w:sz w:val="22"/>
          <w:szCs w:val="22"/>
        </w:rPr>
      </w:pPr>
    </w:p>
    <w:p w14:paraId="0815511D" w14:textId="77777777" w:rsidR="00823785" w:rsidRPr="00452D62" w:rsidRDefault="00823785" w:rsidP="00823785">
      <w:pPr>
        <w:rPr>
          <w:sz w:val="22"/>
          <w:szCs w:val="22"/>
        </w:rPr>
      </w:pPr>
      <w:r w:rsidRPr="00452D62">
        <w:rPr>
          <w:sz w:val="22"/>
          <w:szCs w:val="22"/>
          <w:u w:val="single"/>
        </w:rPr>
        <w:t>Atrinktų nepageidaujamų reakcijų apibūdinimas</w:t>
      </w:r>
    </w:p>
    <w:p w14:paraId="34D57065" w14:textId="77777777" w:rsidR="00823785" w:rsidRPr="00452D62" w:rsidRDefault="00823785" w:rsidP="00823785">
      <w:pPr>
        <w:rPr>
          <w:sz w:val="22"/>
          <w:szCs w:val="22"/>
        </w:rPr>
      </w:pPr>
      <w:r w:rsidRPr="00452D62">
        <w:rPr>
          <w:sz w:val="22"/>
          <w:szCs w:val="22"/>
        </w:rPr>
        <w:t>Dėl farmakologinio veikimo mechanizmo rivaroksabano vartojimas gali būti susijęs su padidėjusia slapto ar akivaizdaus kraujavimo rizika iš bet kurio audinio ar organo, todėl gali pasireikšti pohemoraginė anemija. Požymiai, simptomai ir sunkumas (įskaitant mirties atvejus) yra skirtingi ir priklauso nuo kraujavimo vietos ir intensyvumo ir (arba) anemijos laipsnio (žr. poskyrį „Kraujavimo kontrolė“ 4.9 skyriuje). Klinikinių tyrimų metu kraujavimas iš gleivinės (t. y. iš nosies, dantenų, virškinimo trakto, lytinių organų ir šlapimo takų, įskaitant nenormalų kraujavimą iš makšties arba sustiprėjusį menstruacinį kraujavimą) ir anemija dažniau buvo pastebėtas taikant ilgalaikį gydymą rivaroksabanu, palyginti su gydymu VKA. Taigi, papildant reikiamą klinikinį stebėjimą, slaptam kraujavimui nustatyti ir klinikinei akivaizdaus kraujavimo reikšmei įvertinti gali būti naudingi hemoglobino ir (arba) hematokrito laboratoriniai tyrimai, jei manoma, kad jie yra tinkami. Gali būti padidėjusi kraujavimo rizika tam tikroms pacientų grupėms, pvz., tiems pacientams, kurie serga nekontroliuojama sunkia arterine hipertenzija ir (arba) kartu gydomi kitais vaistiniais preparatais, kurie veikia hemostazę (žr. poskyrį „Kraujavimo rizika“ 4.4 skyriuje). Gali sustiprėti ir (arba) pailgėti menstruacinis kraujavimas. Hemoraginės komplikacijos gali pasireikšti silpnumu, blyškumu, svaiguliu, galvos skausmu ar nepaaiškinamu patinimu, dusuliu ir nepaaiškinamu šoku. Kai kuriais atvejais, kaip anemijos pasekmė, pastebėta širdies išemijos simptomų, pvz., krūtinės skausmas arba krūtinės angina.</w:t>
      </w:r>
    </w:p>
    <w:p w14:paraId="7B45A8A2" w14:textId="332349C8" w:rsidR="00823785" w:rsidRPr="00452D62" w:rsidRDefault="00823785" w:rsidP="00823785">
      <w:pPr>
        <w:rPr>
          <w:sz w:val="22"/>
          <w:szCs w:val="22"/>
        </w:rPr>
      </w:pPr>
      <w:r w:rsidRPr="00452D62">
        <w:rPr>
          <w:sz w:val="22"/>
          <w:szCs w:val="22"/>
        </w:rPr>
        <w:t xml:space="preserve">Pranešta apie žinomas antrines sunkaus kraujavimo komplikacijas, pvz., suspaudimo sindromą ir inkstų nepakankamumą dėl hipoperfuzijos </w:t>
      </w:r>
      <w:r w:rsidR="00812DD9" w:rsidRPr="00452D62">
        <w:rPr>
          <w:sz w:val="22"/>
          <w:szCs w:val="22"/>
        </w:rPr>
        <w:t xml:space="preserve">ar su antikoaguliantais susijusią nefropatiją </w:t>
      </w:r>
      <w:r w:rsidRPr="00452D62">
        <w:rPr>
          <w:sz w:val="22"/>
          <w:szCs w:val="22"/>
        </w:rPr>
        <w:t>vartojant rivaroksabano. Todėl reikia atsižvelgti į kraujavimo galimybę, įvertinant bet kurio antikoaguliantais gydomo paciento būklę.</w:t>
      </w:r>
    </w:p>
    <w:p w14:paraId="671FE306" w14:textId="77777777" w:rsidR="00161A1F" w:rsidRPr="00452D62" w:rsidRDefault="00161A1F" w:rsidP="00161A1F">
      <w:pPr>
        <w:rPr>
          <w:sz w:val="22"/>
          <w:szCs w:val="22"/>
        </w:rPr>
      </w:pPr>
    </w:p>
    <w:p w14:paraId="3F93A1A0" w14:textId="213E1E5F" w:rsidR="00161A1F" w:rsidRPr="00452D62" w:rsidRDefault="00161A1F" w:rsidP="00161A1F">
      <w:pPr>
        <w:rPr>
          <w:sz w:val="22"/>
          <w:szCs w:val="22"/>
        </w:rPr>
      </w:pPr>
      <w:r w:rsidRPr="00452D62">
        <w:rPr>
          <w:sz w:val="22"/>
          <w:szCs w:val="22"/>
        </w:rPr>
        <w:t>Vaikų populiacija</w:t>
      </w:r>
    </w:p>
    <w:p w14:paraId="1DAC5829" w14:textId="77777777" w:rsidR="00161A1F" w:rsidRPr="00AE1B80" w:rsidRDefault="00161A1F" w:rsidP="00161A1F">
      <w:pPr>
        <w:rPr>
          <w:i/>
          <w:sz w:val="22"/>
          <w:szCs w:val="22"/>
        </w:rPr>
      </w:pPr>
      <w:r w:rsidRPr="00AE1B80">
        <w:rPr>
          <w:i/>
          <w:sz w:val="22"/>
          <w:szCs w:val="22"/>
        </w:rPr>
        <w:t>VTE gydymas ir pasikartojančios VTE profilaktika</w:t>
      </w:r>
    </w:p>
    <w:p w14:paraId="77BED8FC" w14:textId="1BCFF28C" w:rsidR="00161A1F" w:rsidRPr="00452D62" w:rsidRDefault="00161A1F" w:rsidP="00161A1F">
      <w:pPr>
        <w:rPr>
          <w:sz w:val="22"/>
          <w:szCs w:val="22"/>
        </w:rPr>
      </w:pPr>
      <w:r w:rsidRPr="00452D62">
        <w:rPr>
          <w:sz w:val="22"/>
          <w:szCs w:val="22"/>
        </w:rPr>
        <w:t>Saugumo vertinimas vaikams ir paaugliams yra pagrįstas saugumo duomenimis, gautais atlikus du II fazės ir vieną III fazės atvirus, veikliuoju vaistiniu preparatu kontroliuojamus tyrimus su vaikais</w:t>
      </w:r>
      <w:r w:rsidR="00450385">
        <w:rPr>
          <w:sz w:val="22"/>
          <w:szCs w:val="22"/>
        </w:rPr>
        <w:t xml:space="preserve"> ir paaugliais</w:t>
      </w:r>
      <w:r w:rsidRPr="00452D62">
        <w:rPr>
          <w:sz w:val="22"/>
          <w:szCs w:val="22"/>
        </w:rPr>
        <w:t>, kurių amžius buvo nuo gimimo iki mažiau kaip 18 metų. Rivaroksabano ir palyginamojo vaistinio preparato saugumo duomenys įvairiose vaikų amžiaus grupėse daugiausiai buvo panašūs. Apskritai 412 vaikų ir paauglių, gydytų rivaroksabanu, saugumo duomenys buvo panašūs į suaugusių populiacijoje gautus duomenis ir nuoseklūs skirtinguose amžiaus pogrupiuose, nors vertinimo galimybė buvo ribota dėl nedidelio pacientų skaičiaus.</w:t>
      </w:r>
    </w:p>
    <w:p w14:paraId="45D3982E" w14:textId="6BFC0C65" w:rsidR="00823785" w:rsidRPr="00452D62" w:rsidRDefault="00161A1F" w:rsidP="00161A1F">
      <w:pPr>
        <w:rPr>
          <w:sz w:val="22"/>
          <w:szCs w:val="22"/>
        </w:rPr>
      </w:pPr>
      <w:r w:rsidRPr="00452D62">
        <w:rPr>
          <w:sz w:val="22"/>
          <w:szCs w:val="22"/>
        </w:rPr>
        <w:t>Vaikams, palyginti su suaugusiais pacientais, dažniau nustatytas galvos skausmas (labai dažnas, 16,7</w:t>
      </w:r>
      <w:r w:rsidR="008C3DF7">
        <w:rPr>
          <w:sz w:val="22"/>
          <w:szCs w:val="22"/>
        </w:rPr>
        <w:t> %</w:t>
      </w:r>
      <w:r w:rsidRPr="00452D62">
        <w:rPr>
          <w:sz w:val="22"/>
          <w:szCs w:val="22"/>
        </w:rPr>
        <w:t>), karščiavimas (labai dažnas, 11,7</w:t>
      </w:r>
      <w:r w:rsidR="008C3DF7">
        <w:rPr>
          <w:sz w:val="22"/>
          <w:szCs w:val="22"/>
        </w:rPr>
        <w:t> %</w:t>
      </w:r>
      <w:r w:rsidRPr="00452D62">
        <w:rPr>
          <w:sz w:val="22"/>
          <w:szCs w:val="22"/>
        </w:rPr>
        <w:t>), kraujavimas iš nosies (labai dažnas, 11,2</w:t>
      </w:r>
      <w:r w:rsidR="008C3DF7">
        <w:rPr>
          <w:sz w:val="22"/>
          <w:szCs w:val="22"/>
        </w:rPr>
        <w:t> %</w:t>
      </w:r>
      <w:r w:rsidRPr="00452D62">
        <w:rPr>
          <w:sz w:val="22"/>
          <w:szCs w:val="22"/>
        </w:rPr>
        <w:t>), vėmimas (labai dažnas, 10,7</w:t>
      </w:r>
      <w:r w:rsidR="008C3DF7">
        <w:rPr>
          <w:sz w:val="22"/>
          <w:szCs w:val="22"/>
        </w:rPr>
        <w:t> %</w:t>
      </w:r>
      <w:r w:rsidRPr="00452D62">
        <w:rPr>
          <w:sz w:val="22"/>
          <w:szCs w:val="22"/>
        </w:rPr>
        <w:t>), tachikardija (dažnas, 1,5</w:t>
      </w:r>
      <w:r w:rsidR="008C3DF7">
        <w:rPr>
          <w:sz w:val="22"/>
          <w:szCs w:val="22"/>
        </w:rPr>
        <w:t> %</w:t>
      </w:r>
      <w:r w:rsidRPr="00452D62">
        <w:rPr>
          <w:sz w:val="22"/>
          <w:szCs w:val="22"/>
        </w:rPr>
        <w:t>), padidėjęs bilirubino kiekis (dažnas, 1,5</w:t>
      </w:r>
      <w:r w:rsidR="008C3DF7">
        <w:rPr>
          <w:sz w:val="22"/>
          <w:szCs w:val="22"/>
        </w:rPr>
        <w:t> %</w:t>
      </w:r>
      <w:r w:rsidRPr="00452D62">
        <w:rPr>
          <w:sz w:val="22"/>
          <w:szCs w:val="22"/>
        </w:rPr>
        <w:t>) ir padidėjęs konjuguoto bilirubino kiekis (nedažas, 0,7</w:t>
      </w:r>
      <w:r w:rsidR="008C3DF7">
        <w:rPr>
          <w:sz w:val="22"/>
          <w:szCs w:val="22"/>
        </w:rPr>
        <w:t> %</w:t>
      </w:r>
      <w:r w:rsidRPr="00452D62">
        <w:rPr>
          <w:sz w:val="22"/>
          <w:szCs w:val="22"/>
        </w:rPr>
        <w:t>). Panašiai kaip ir suaugusių populiacijoje, 6,6</w:t>
      </w:r>
      <w:r w:rsidR="008C3DF7">
        <w:rPr>
          <w:sz w:val="22"/>
          <w:szCs w:val="22"/>
        </w:rPr>
        <w:t> %</w:t>
      </w:r>
      <w:r w:rsidRPr="00452D62">
        <w:rPr>
          <w:sz w:val="22"/>
          <w:szCs w:val="22"/>
        </w:rPr>
        <w:t xml:space="preserve"> (dažnas) paauglių merginų po menarchės pasireiškė menoragija. Kaip ir suaugusių populiacijoje po vaistinio preparato pateikimo į rinką, su vaikais atliktų klinikinių tyrimų metu buvo dažnai (4,6</w:t>
      </w:r>
      <w:r w:rsidR="008C3DF7">
        <w:rPr>
          <w:sz w:val="22"/>
          <w:szCs w:val="22"/>
        </w:rPr>
        <w:t> %</w:t>
      </w:r>
      <w:r w:rsidRPr="00452D62">
        <w:rPr>
          <w:sz w:val="22"/>
          <w:szCs w:val="22"/>
        </w:rPr>
        <w:t>) nustatyta trombocitopenija. Vaikams pasireiškusios nepageidaujamos reakcijos į vaistinį preparatą daugiausiai buvo lengvos ir vidutinio sunkumo.</w:t>
      </w:r>
    </w:p>
    <w:p w14:paraId="2BBA54BB" w14:textId="77777777" w:rsidR="00161A1F" w:rsidRPr="00452D62" w:rsidRDefault="00161A1F" w:rsidP="00161A1F">
      <w:pPr>
        <w:rPr>
          <w:sz w:val="22"/>
          <w:szCs w:val="22"/>
        </w:rPr>
      </w:pPr>
    </w:p>
    <w:p w14:paraId="6182083B" w14:textId="77777777" w:rsidR="00823785" w:rsidRPr="00452D62" w:rsidRDefault="00823785" w:rsidP="00823785">
      <w:pPr>
        <w:rPr>
          <w:sz w:val="22"/>
          <w:szCs w:val="22"/>
        </w:rPr>
      </w:pPr>
      <w:r w:rsidRPr="00452D62">
        <w:rPr>
          <w:sz w:val="22"/>
          <w:szCs w:val="22"/>
          <w:u w:val="single"/>
        </w:rPr>
        <w:t>Pranešimas apie įtariamas nepageidaujamas reakcijas</w:t>
      </w:r>
    </w:p>
    <w:p w14:paraId="3E20FF4A" w14:textId="2E3EA49E" w:rsidR="00CB25DC" w:rsidRPr="00701AC2" w:rsidRDefault="00CB25DC" w:rsidP="00701AC2">
      <w:pPr>
        <w:suppressAutoHyphens w:val="0"/>
        <w:jc w:val="both"/>
        <w:rPr>
          <w:color w:val="auto"/>
          <w:sz w:val="22"/>
        </w:rPr>
      </w:pPr>
      <w:r w:rsidRPr="00701AC2">
        <w:rPr>
          <w:color w:val="auto"/>
          <w:sz w:val="22"/>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w:t>
      </w:r>
      <w:r w:rsidRPr="00CB25DC">
        <w:rPr>
          <w:color w:val="auto"/>
          <w:sz w:val="22"/>
          <w:szCs w:val="22"/>
          <w:lang w:eastAsia="en-US"/>
        </w:rPr>
        <w:t xml:space="preserve"> ir pateikę</w:t>
      </w:r>
      <w:r w:rsidRPr="00701AC2">
        <w:rPr>
          <w:color w:val="auto"/>
          <w:sz w:val="22"/>
        </w:rPr>
        <w:t xml:space="preserve"> pranešimo formą </w:t>
      </w:r>
      <w:r w:rsidRPr="00CB25DC">
        <w:rPr>
          <w:color w:val="auto"/>
          <w:sz w:val="22"/>
          <w:szCs w:val="22"/>
          <w:lang w:eastAsia="en-US"/>
        </w:rPr>
        <w:t xml:space="preserve">Valstybinės vaistų kontrolės tarnybos prie Lietuvos Respublikos sveikatos apsaugos ministerijos tinklalapyje </w:t>
      </w:r>
      <w:r w:rsidRPr="00CB25DC">
        <w:rPr>
          <w:color w:val="auto"/>
          <w:sz w:val="22"/>
          <w:szCs w:val="22"/>
          <w:u w:val="single"/>
          <w:lang w:eastAsia="en-US"/>
        </w:rPr>
        <w:t>https://vvkt.lrv.lt/lt/</w:t>
      </w:r>
      <w:r w:rsidRPr="00CB25DC">
        <w:rPr>
          <w:color w:val="auto"/>
          <w:sz w:val="22"/>
          <w:szCs w:val="22"/>
          <w:lang w:eastAsia="en-US"/>
        </w:rPr>
        <w:t xml:space="preserve"> nurodytais būdais.</w:t>
      </w:r>
    </w:p>
    <w:p w14:paraId="22E62436" w14:textId="77777777" w:rsidR="00823785" w:rsidRPr="00452D62" w:rsidRDefault="00823785" w:rsidP="00823785">
      <w:pPr>
        <w:rPr>
          <w:sz w:val="22"/>
          <w:szCs w:val="22"/>
        </w:rPr>
      </w:pPr>
    </w:p>
    <w:p w14:paraId="7207DDE4" w14:textId="77777777" w:rsidR="00823785" w:rsidRPr="00452D62" w:rsidRDefault="00823785" w:rsidP="00823785">
      <w:pPr>
        <w:widowControl w:val="0"/>
        <w:suppressAutoHyphens w:val="0"/>
        <w:spacing w:line="240" w:lineRule="auto"/>
        <w:ind w:left="567" w:hanging="567"/>
        <w:outlineLvl w:val="2"/>
        <w:rPr>
          <w:sz w:val="22"/>
          <w:szCs w:val="22"/>
        </w:rPr>
      </w:pPr>
      <w:r w:rsidRPr="00452D62">
        <w:rPr>
          <w:b/>
          <w:color w:val="auto"/>
          <w:kern w:val="28"/>
          <w:sz w:val="22"/>
          <w:szCs w:val="22"/>
          <w:lang w:eastAsia="en-US"/>
        </w:rPr>
        <w:t>4.9</w:t>
      </w:r>
      <w:r w:rsidRPr="00452D62">
        <w:rPr>
          <w:b/>
          <w:color w:val="auto"/>
          <w:kern w:val="28"/>
          <w:sz w:val="22"/>
          <w:szCs w:val="22"/>
          <w:lang w:eastAsia="en-US"/>
        </w:rPr>
        <w:tab/>
        <w:t>Perdozavimas</w:t>
      </w:r>
    </w:p>
    <w:p w14:paraId="32D86F76" w14:textId="77777777" w:rsidR="00823785" w:rsidRPr="00452D62" w:rsidRDefault="00823785" w:rsidP="00823785">
      <w:pPr>
        <w:rPr>
          <w:sz w:val="22"/>
          <w:szCs w:val="22"/>
        </w:rPr>
      </w:pPr>
    </w:p>
    <w:p w14:paraId="3438D09E" w14:textId="10F08EAB" w:rsidR="00823785" w:rsidRPr="00452D62" w:rsidRDefault="00823785" w:rsidP="00823785">
      <w:pPr>
        <w:rPr>
          <w:sz w:val="22"/>
          <w:szCs w:val="22"/>
        </w:rPr>
      </w:pPr>
      <w:r w:rsidRPr="00452D62">
        <w:rPr>
          <w:sz w:val="22"/>
          <w:szCs w:val="22"/>
        </w:rPr>
        <w:t xml:space="preserve">Pranešta apie retus perdozavimo iki 1960 mg atvejus suaugusiems. Perdozavimo atveju, pacientas turi būti atidžiai stebimas dėl kraujavimo komplikacijų arba kitų nepageidaujamų reakcijų (žr. skyrių „Gydymas esant kraujavimui“). </w:t>
      </w:r>
      <w:r w:rsidR="00470D17" w:rsidRPr="00452D62">
        <w:rPr>
          <w:sz w:val="22"/>
          <w:szCs w:val="22"/>
        </w:rPr>
        <w:t xml:space="preserve">Duomenys apie vaikus yra riboti. </w:t>
      </w:r>
      <w:r w:rsidRPr="00452D62">
        <w:rPr>
          <w:sz w:val="22"/>
          <w:szCs w:val="22"/>
        </w:rPr>
        <w:t>Tikėtina, kad dėl ribotos absorbcijos, vartojant terapines dozes viršijančias 50 mg ir didesnes rivaroksabano dozes, pasiekiama maksimali vidutinė ekspozicija plazmoje, kuri, toliau didinant dozę, nebedidėja</w:t>
      </w:r>
      <w:r w:rsidR="00470D17" w:rsidRPr="00452D62">
        <w:rPr>
          <w:sz w:val="22"/>
          <w:szCs w:val="22"/>
        </w:rPr>
        <w:t>,</w:t>
      </w:r>
      <w:r w:rsidR="00470D17" w:rsidRPr="00AE1B80">
        <w:rPr>
          <w:sz w:val="22"/>
          <w:szCs w:val="22"/>
        </w:rPr>
        <w:t xml:space="preserve"> </w:t>
      </w:r>
      <w:r w:rsidR="00470D17" w:rsidRPr="00452D62">
        <w:rPr>
          <w:sz w:val="22"/>
          <w:szCs w:val="22"/>
        </w:rPr>
        <w:t>tačiau duomenų apie didesnių nei gydomųjų dozių vartojimą vaikams nėra</w:t>
      </w:r>
      <w:r w:rsidRPr="00452D62">
        <w:rPr>
          <w:sz w:val="22"/>
          <w:szCs w:val="22"/>
        </w:rPr>
        <w:t>.</w:t>
      </w:r>
    </w:p>
    <w:p w14:paraId="02A81392" w14:textId="2FD91B6A" w:rsidR="00823785" w:rsidRPr="00452D62" w:rsidRDefault="00823785" w:rsidP="00823785">
      <w:pPr>
        <w:rPr>
          <w:sz w:val="22"/>
          <w:szCs w:val="22"/>
        </w:rPr>
      </w:pPr>
      <w:r w:rsidRPr="00452D62">
        <w:rPr>
          <w:sz w:val="22"/>
          <w:szCs w:val="22"/>
        </w:rPr>
        <w:t>Yra specifinis neutralizuojantis vaistinis preparatas (andeksanetas alfa), rivaroksabano farmakodinaminio poveikio antagonistas</w:t>
      </w:r>
      <w:r w:rsidR="00E83212" w:rsidRPr="00452D62">
        <w:rPr>
          <w:sz w:val="22"/>
          <w:szCs w:val="22"/>
        </w:rPr>
        <w:t>,</w:t>
      </w:r>
      <w:r w:rsidR="00E83212" w:rsidRPr="00AE1B80">
        <w:rPr>
          <w:sz w:val="22"/>
          <w:szCs w:val="22"/>
        </w:rPr>
        <w:t xml:space="preserve"> kuris skirtas suaugusiems, bet neištirtas vaikams</w:t>
      </w:r>
      <w:r w:rsidRPr="00452D62">
        <w:rPr>
          <w:sz w:val="22"/>
          <w:szCs w:val="22"/>
        </w:rPr>
        <w:t xml:space="preserve"> (žr. andeksaneto alfa preparato charakteristikų santrauką).</w:t>
      </w:r>
    </w:p>
    <w:p w14:paraId="0503772C" w14:textId="77777777" w:rsidR="00823785" w:rsidRPr="00452D62" w:rsidRDefault="00823785" w:rsidP="00823785">
      <w:pPr>
        <w:rPr>
          <w:sz w:val="22"/>
          <w:szCs w:val="22"/>
        </w:rPr>
      </w:pPr>
      <w:r w:rsidRPr="00452D62">
        <w:rPr>
          <w:sz w:val="22"/>
          <w:szCs w:val="22"/>
        </w:rPr>
        <w:t>Galima apsvarstyti aktyvintosios anglies skyrimą, taip sumažinant absorbciją po rivaroksabano perdozavimo.</w:t>
      </w:r>
    </w:p>
    <w:p w14:paraId="70FF9020" w14:textId="77777777" w:rsidR="00823785" w:rsidRPr="00452D62" w:rsidRDefault="00823785" w:rsidP="00823785">
      <w:pPr>
        <w:rPr>
          <w:sz w:val="22"/>
          <w:szCs w:val="22"/>
          <w:u w:val="single"/>
        </w:rPr>
      </w:pPr>
    </w:p>
    <w:p w14:paraId="174914DA" w14:textId="77777777" w:rsidR="00823785" w:rsidRPr="00452D62" w:rsidRDefault="00823785" w:rsidP="00823785">
      <w:pPr>
        <w:rPr>
          <w:sz w:val="22"/>
          <w:szCs w:val="22"/>
        </w:rPr>
      </w:pPr>
      <w:r w:rsidRPr="00452D62">
        <w:rPr>
          <w:sz w:val="22"/>
          <w:szCs w:val="22"/>
          <w:u w:val="single"/>
        </w:rPr>
        <w:t>Kraujavimo kontrolė</w:t>
      </w:r>
    </w:p>
    <w:p w14:paraId="69B1B5DA" w14:textId="27B6CFAC" w:rsidR="00823785" w:rsidRPr="00452D62" w:rsidRDefault="00823785" w:rsidP="00823785">
      <w:pPr>
        <w:rPr>
          <w:sz w:val="22"/>
          <w:szCs w:val="22"/>
        </w:rPr>
      </w:pPr>
      <w:r w:rsidRPr="00452D62">
        <w:rPr>
          <w:sz w:val="22"/>
          <w:szCs w:val="22"/>
        </w:rPr>
        <w:t>Jei rivaroksabano vartojančiam pacientui pasireiškė kraujavimo komplikacija, reikia pavėlinti kitos rivaroksabano dozės vartojimą arba gydymą nutraukti (kaip tinkama). Rivaroksabano pusinės eliminacijos laikas suaugusiems yra maždaug 5</w:t>
      </w:r>
      <w:r w:rsidRPr="00452D62">
        <w:rPr>
          <w:sz w:val="22"/>
          <w:szCs w:val="22"/>
        </w:rPr>
        <w:noBreakHyphen/>
        <w:t xml:space="preserve">13 valandų. </w:t>
      </w:r>
      <w:r w:rsidR="00FE3C1C" w:rsidRPr="00452D62">
        <w:rPr>
          <w:sz w:val="22"/>
          <w:szCs w:val="22"/>
        </w:rPr>
        <w:t xml:space="preserve">Pusinės eliminacijos laikas vaikams, kuris apskaičiuotas taikant populiacijos farmakokinetinį (popFK) modeliavimą, yra trumpesnis </w:t>
      </w:r>
      <w:r w:rsidRPr="00452D62">
        <w:rPr>
          <w:sz w:val="22"/>
          <w:szCs w:val="22"/>
        </w:rPr>
        <w:t>(žr. 5.2 skyrių). Gydymas turi būti individualizuotas atsižvelgiant į kraujavimo sunkumą ir vietą. Prireikus turi būti taikomas atitinkamas simptominis gydymas, toks kaip mechaninė kompresija (pvz., stipriai kraujuojant iš nosies), chirurginė hemostazė taikant kraujavimo kontrolės procedūras, skysčių kiekio papildymas ir hemodinamikos palaikymas, kraujo preparatų (eritrocitų masės ar šviežiai šaldytos plazmos, atsižvelgiant į tai, ar yra susijusi anemija ar koagulopatija) ar trombocitų perpylimas.</w:t>
      </w:r>
    </w:p>
    <w:p w14:paraId="2B49D007" w14:textId="77777777" w:rsidR="00A41B82" w:rsidRPr="00452D62" w:rsidRDefault="00A41B82" w:rsidP="00823785">
      <w:pPr>
        <w:rPr>
          <w:sz w:val="22"/>
          <w:szCs w:val="22"/>
        </w:rPr>
      </w:pPr>
    </w:p>
    <w:p w14:paraId="619A510C" w14:textId="06E465C1" w:rsidR="00823785" w:rsidRPr="00452D62" w:rsidRDefault="00823785" w:rsidP="00823785">
      <w:pPr>
        <w:rPr>
          <w:sz w:val="22"/>
          <w:szCs w:val="22"/>
        </w:rPr>
      </w:pPr>
      <w:r w:rsidRPr="00452D62">
        <w:rPr>
          <w:sz w:val="22"/>
          <w:szCs w:val="22"/>
        </w:rPr>
        <w:t>Jeigu anksčiau paminėtomis priemonėmis kraujavimo kontroliuoti nepavyksta, reikia spręsti dėl neutralizuojančiojo vaistinio preparato specifinio Xa faktoriaus inhibitoriaus (andeksaneto alfa), kuris yra rivaroksabano farmakodinaminio poveikio antagonistas, arba specifinio prokoaguliacinio</w:t>
      </w:r>
      <w:r w:rsidR="00450385">
        <w:rPr>
          <w:sz w:val="22"/>
          <w:szCs w:val="22"/>
        </w:rPr>
        <w:t xml:space="preserve"> vaistinio</w:t>
      </w:r>
      <w:r w:rsidRPr="00452D62">
        <w:rPr>
          <w:sz w:val="22"/>
          <w:szCs w:val="22"/>
        </w:rPr>
        <w:t xml:space="preserve"> preparato, pvz., protrombino komplekso koncentrato (PKK), aktyvuoto protrombino komplekso koncentrato (APKK) ar rekombinantinio VIIa faktoriaus (r-FVIIa) skyrimo. Vis dėlto, klinikinė patirtis skiriant šių vaistinių preparatų rivaroksabanu gydomiems suaugusiems </w:t>
      </w:r>
      <w:r w:rsidR="00A41B82" w:rsidRPr="00452D62">
        <w:rPr>
          <w:sz w:val="22"/>
          <w:szCs w:val="22"/>
        </w:rPr>
        <w:t xml:space="preserve">ir vaikams </w:t>
      </w:r>
      <w:r w:rsidRPr="00452D62">
        <w:rPr>
          <w:sz w:val="22"/>
          <w:szCs w:val="22"/>
        </w:rPr>
        <w:t>yra labai nedidelė. Ši rekomendacija taip pat yra pagrįsta ribotais ikiklinikiniais duomenimis. Reikia apsvarstyti kartotinį rekombinantinio VIIa faktoriaus skyrimą ir dozę titruoti atsižvelgiant į kraujavimo mažėjimą. Atsižvelgiant į vietines galimybes, didžiojo kraujavimo atveju reikia spręsti dėl kraujo krešėjimo specialisto konsultacijos poreikio (žr. 5.1 skyrių).</w:t>
      </w:r>
    </w:p>
    <w:p w14:paraId="782425ED" w14:textId="77777777" w:rsidR="00823785" w:rsidRPr="00452D62" w:rsidRDefault="00823785" w:rsidP="00823785">
      <w:pPr>
        <w:rPr>
          <w:sz w:val="22"/>
          <w:szCs w:val="22"/>
        </w:rPr>
      </w:pPr>
    </w:p>
    <w:p w14:paraId="1DCFFCDF" w14:textId="75BB7D7E" w:rsidR="00823785" w:rsidRPr="00452D62" w:rsidRDefault="00823785" w:rsidP="00823785">
      <w:pPr>
        <w:rPr>
          <w:sz w:val="22"/>
          <w:szCs w:val="22"/>
        </w:rPr>
      </w:pPr>
      <w:r w:rsidRPr="00452D62">
        <w:rPr>
          <w:sz w:val="22"/>
          <w:szCs w:val="22"/>
        </w:rPr>
        <w:t xml:space="preserve">Nemanoma, kad protamino sulfatas ir vitaminas K darytų įtaką rivaroksabano antikoaguliaciniam aktyvumui. Patirtis, skiriant traneksamo rūgštį, yra nedidelė, o patirties skiriant aminokaprono rūgštį ir aprotininą rivaroksabano vartojantiems suaugusiems nėra. </w:t>
      </w:r>
      <w:r w:rsidR="00A41B82" w:rsidRPr="00452D62">
        <w:rPr>
          <w:sz w:val="22"/>
          <w:szCs w:val="22"/>
        </w:rPr>
        <w:t xml:space="preserve">Patirties, skiriant šias medžiagas rivaroksabano vartojantiems vaikams, nėra. </w:t>
      </w:r>
      <w:r w:rsidRPr="00452D62">
        <w:rPr>
          <w:sz w:val="22"/>
          <w:szCs w:val="22"/>
        </w:rPr>
        <w:t>Nei mokslinio palankaus poveikio pagrindimo, nei patirties skiriant sisteminį hemostatiką desmopresiną rivaroksabanu gydomiems pacientams, nėra. Daug rivaroksabano prisijungia prie kraujo plazmos baltymų, todėl jo pašalinimas dialize nėra tikėtinas.</w:t>
      </w:r>
    </w:p>
    <w:p w14:paraId="4F24AF95" w14:textId="77777777" w:rsidR="00823785" w:rsidRPr="00452D62" w:rsidRDefault="00823785" w:rsidP="00823785">
      <w:pPr>
        <w:rPr>
          <w:sz w:val="22"/>
          <w:szCs w:val="22"/>
        </w:rPr>
      </w:pPr>
    </w:p>
    <w:p w14:paraId="4D70C64A" w14:textId="77777777" w:rsidR="00823785" w:rsidRPr="00452D62" w:rsidRDefault="00823785" w:rsidP="00823785">
      <w:pPr>
        <w:rPr>
          <w:sz w:val="22"/>
          <w:szCs w:val="22"/>
        </w:rPr>
      </w:pPr>
    </w:p>
    <w:p w14:paraId="7A73D295" w14:textId="77777777" w:rsidR="00823785" w:rsidRPr="00452D62" w:rsidRDefault="00823785" w:rsidP="00823785">
      <w:pPr>
        <w:widowControl w:val="0"/>
        <w:suppressAutoHyphens w:val="0"/>
        <w:spacing w:line="240" w:lineRule="auto"/>
        <w:ind w:left="567" w:hanging="567"/>
        <w:outlineLvl w:val="1"/>
        <w:rPr>
          <w:b/>
          <w:bCs/>
          <w:color w:val="auto"/>
          <w:sz w:val="22"/>
          <w:szCs w:val="22"/>
          <w:lang w:eastAsia="en-US"/>
        </w:rPr>
      </w:pPr>
      <w:r w:rsidRPr="00452D62">
        <w:rPr>
          <w:b/>
          <w:bCs/>
          <w:color w:val="auto"/>
          <w:sz w:val="22"/>
          <w:szCs w:val="22"/>
          <w:lang w:eastAsia="en-US"/>
        </w:rPr>
        <w:t>5.</w:t>
      </w:r>
      <w:r w:rsidRPr="00452D62">
        <w:rPr>
          <w:b/>
          <w:bCs/>
          <w:color w:val="auto"/>
          <w:sz w:val="22"/>
          <w:szCs w:val="22"/>
          <w:lang w:eastAsia="en-US"/>
        </w:rPr>
        <w:tab/>
        <w:t>FARMAKOLOGINĖS SAVYBĖS</w:t>
      </w:r>
    </w:p>
    <w:p w14:paraId="486285D4" w14:textId="77777777" w:rsidR="00823785" w:rsidRPr="00452D62" w:rsidRDefault="00823785" w:rsidP="00823785">
      <w:pPr>
        <w:rPr>
          <w:sz w:val="22"/>
          <w:szCs w:val="22"/>
        </w:rPr>
      </w:pPr>
    </w:p>
    <w:p w14:paraId="06B4FED8"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 xml:space="preserve">5.1 </w:t>
      </w:r>
      <w:r w:rsidRPr="00452D62">
        <w:rPr>
          <w:b/>
          <w:color w:val="auto"/>
          <w:kern w:val="28"/>
          <w:sz w:val="22"/>
          <w:szCs w:val="22"/>
          <w:lang w:eastAsia="en-US"/>
        </w:rPr>
        <w:tab/>
        <w:t>Farmakodinaminės savybės</w:t>
      </w:r>
    </w:p>
    <w:p w14:paraId="68A15C5D" w14:textId="77777777" w:rsidR="00823785" w:rsidRPr="00452D62" w:rsidRDefault="00823785" w:rsidP="00823785">
      <w:pPr>
        <w:rPr>
          <w:sz w:val="22"/>
          <w:szCs w:val="22"/>
        </w:rPr>
      </w:pPr>
    </w:p>
    <w:p w14:paraId="116148F5" w14:textId="77777777" w:rsidR="00823785" w:rsidRPr="00452D62" w:rsidRDefault="00823785" w:rsidP="00823785">
      <w:pPr>
        <w:rPr>
          <w:sz w:val="22"/>
          <w:szCs w:val="22"/>
          <w:u w:val="single"/>
        </w:rPr>
      </w:pPr>
      <w:r w:rsidRPr="00452D62">
        <w:rPr>
          <w:sz w:val="22"/>
          <w:szCs w:val="22"/>
        </w:rPr>
        <w:t>Farmakoterapinė grupė – antitromboziniai vaistiniai preparatai, tiesioginiai Xa faktoriaus inhibitoriai, ATC kodas – B01AF01.</w:t>
      </w:r>
    </w:p>
    <w:p w14:paraId="5C38AB6E" w14:textId="77777777" w:rsidR="00823785" w:rsidRPr="00452D62" w:rsidRDefault="00823785" w:rsidP="00823785">
      <w:pPr>
        <w:rPr>
          <w:sz w:val="22"/>
          <w:szCs w:val="22"/>
          <w:u w:val="single"/>
        </w:rPr>
      </w:pPr>
    </w:p>
    <w:p w14:paraId="05157F4B" w14:textId="77777777" w:rsidR="00823785" w:rsidRPr="00452D62" w:rsidRDefault="00823785" w:rsidP="00823785">
      <w:pPr>
        <w:rPr>
          <w:sz w:val="22"/>
          <w:szCs w:val="22"/>
        </w:rPr>
      </w:pPr>
      <w:r w:rsidRPr="00452D62">
        <w:rPr>
          <w:sz w:val="22"/>
          <w:szCs w:val="22"/>
          <w:u w:val="single"/>
        </w:rPr>
        <w:t>Veikimo mechanizmas</w:t>
      </w:r>
    </w:p>
    <w:p w14:paraId="24C11C0A" w14:textId="77777777" w:rsidR="00823785" w:rsidRPr="00452D62" w:rsidRDefault="00823785" w:rsidP="00823785">
      <w:pPr>
        <w:rPr>
          <w:sz w:val="22"/>
          <w:szCs w:val="22"/>
          <w:u w:val="single"/>
        </w:rPr>
      </w:pPr>
      <w:r w:rsidRPr="00452D62">
        <w:rPr>
          <w:sz w:val="22"/>
          <w:szCs w:val="22"/>
        </w:rPr>
        <w:t>Rivaroksabanas yra labai selektyvus tiesioginis Xa faktoriaus inhibitorius, kuris vartojant per burną yra biologiškai pasisavinamas. Xa faktoriaus slopinimas sutrikdo vidinį ir išorinį kraujo krešėjimo kaskados kelią, kadangi slopina trombino gamybą ir trombų formavimąsi. Rivaroksabanas neslopina trombino (aktyvuoto II faktorius) ir jo poveikis trombocitams nebuvo nustatytas.</w:t>
      </w:r>
    </w:p>
    <w:p w14:paraId="1F5D8387" w14:textId="77777777" w:rsidR="00823785" w:rsidRPr="00452D62" w:rsidRDefault="00823785" w:rsidP="00823785">
      <w:pPr>
        <w:rPr>
          <w:sz w:val="22"/>
          <w:szCs w:val="22"/>
          <w:u w:val="single"/>
        </w:rPr>
      </w:pPr>
    </w:p>
    <w:p w14:paraId="618B87FD" w14:textId="77777777" w:rsidR="00823785" w:rsidRPr="00452D62" w:rsidRDefault="00823785" w:rsidP="00823785">
      <w:pPr>
        <w:rPr>
          <w:sz w:val="22"/>
          <w:szCs w:val="22"/>
        </w:rPr>
      </w:pPr>
      <w:r w:rsidRPr="00452D62">
        <w:rPr>
          <w:sz w:val="22"/>
          <w:szCs w:val="22"/>
          <w:u w:val="single"/>
        </w:rPr>
        <w:t>Farmakodinaminis poveikis</w:t>
      </w:r>
    </w:p>
    <w:p w14:paraId="40ECECB9" w14:textId="77777777" w:rsidR="00823785" w:rsidRPr="00452D62" w:rsidRDefault="00823785" w:rsidP="00823785">
      <w:pPr>
        <w:rPr>
          <w:sz w:val="22"/>
          <w:szCs w:val="22"/>
        </w:rPr>
      </w:pPr>
      <w:r w:rsidRPr="00452D62">
        <w:rPr>
          <w:sz w:val="22"/>
          <w:szCs w:val="22"/>
        </w:rPr>
        <w:t xml:space="preserve">Žmonėms nustatytas nuo dozės priklausomas Xa faktoriaus slopinimas. Protrombino laiką (angl. </w:t>
      </w:r>
      <w:r w:rsidRPr="00452D62">
        <w:rPr>
          <w:i/>
          <w:iCs/>
          <w:sz w:val="22"/>
          <w:szCs w:val="22"/>
        </w:rPr>
        <w:t xml:space="preserve">prothrombin time, </w:t>
      </w:r>
      <w:r w:rsidRPr="00452D62">
        <w:rPr>
          <w:sz w:val="22"/>
          <w:szCs w:val="22"/>
        </w:rPr>
        <w:t xml:space="preserve">PT) rivaroksabanas veikia priklausomai nuo dozės, poveikis stipriai koreliuoja su koncentracija kraujo plazmoje (r rodmuo lygus 0,98), jei tyrimui naudojamas </w:t>
      </w:r>
      <w:r w:rsidRPr="00452D62">
        <w:rPr>
          <w:i/>
          <w:iCs/>
          <w:sz w:val="22"/>
          <w:szCs w:val="22"/>
        </w:rPr>
        <w:t>Neoplastin</w:t>
      </w:r>
      <w:r w:rsidRPr="00452D62">
        <w:rPr>
          <w:sz w:val="22"/>
          <w:szCs w:val="22"/>
        </w:rPr>
        <w:t xml:space="preserve">. Naudojant kitus reagentus, gaunami skirtingi rezultatai. PT nuskaitymas turi būti atliekamas per keletą sekundžių, nes </w:t>
      </w:r>
      <w:r w:rsidRPr="00452D62">
        <w:rPr>
          <w:iCs/>
          <w:sz w:val="22"/>
          <w:szCs w:val="22"/>
        </w:rPr>
        <w:t>INR</w:t>
      </w:r>
      <w:r w:rsidRPr="00452D62">
        <w:rPr>
          <w:sz w:val="22"/>
          <w:szCs w:val="22"/>
        </w:rPr>
        <w:t xml:space="preserve"> yra kalibruotas ir patvirtintas kumarinams ir turi būti nenaudojamas jokiam kitam antikoaguliantui. Pacientams, kuriems rivaroksabano buvo skiriama GVT bei PE gydymui ir pasikartojimo profilaktikai, 5/95 procentilių PT (</w:t>
      </w:r>
      <w:r w:rsidRPr="00452D62">
        <w:rPr>
          <w:i/>
          <w:iCs/>
          <w:sz w:val="22"/>
          <w:szCs w:val="22"/>
        </w:rPr>
        <w:t>Neoplastin</w:t>
      </w:r>
      <w:r w:rsidRPr="00452D62">
        <w:rPr>
          <w:sz w:val="22"/>
          <w:szCs w:val="22"/>
        </w:rPr>
        <w:t>), praėjus 2</w:t>
      </w:r>
      <w:r w:rsidRPr="00452D62">
        <w:rPr>
          <w:sz w:val="22"/>
          <w:szCs w:val="22"/>
        </w:rPr>
        <w:noBreakHyphen/>
        <w:t>4 valandoms po tabletės pavartojimo (t. y. maksimalaus poveikio metu) vartojant po 15 mg rivaroksabano du kartus per parą, svyravo nuo 17 iki 32 sekundžių, o vartojant 20 mg rivaroksabano vieną kartą per parą – nuo 15 iki 30 sekundžių. Esant mažiausiai koncentracijai (praėjus 8</w:t>
      </w:r>
      <w:r w:rsidRPr="00452D62">
        <w:rPr>
          <w:i/>
          <w:sz w:val="22"/>
          <w:szCs w:val="22"/>
        </w:rPr>
        <w:t>-</w:t>
      </w:r>
      <w:r w:rsidRPr="00452D62">
        <w:rPr>
          <w:sz w:val="22"/>
          <w:szCs w:val="22"/>
        </w:rPr>
        <w:t>16 valandų po tabletės pavartojimo), 5/95 procentilių, vartojant po 15 mg du kartus per parą, svyravo nuo 14 iki 24 sekundžių, o vartojant 20 mg vieną kartą per parą (praėjus 18-30 valandų po tabletės pavartojimo) – nuo 13 iki 20 sekundžių.</w:t>
      </w:r>
    </w:p>
    <w:p w14:paraId="5C4239B1" w14:textId="77777777" w:rsidR="00823785" w:rsidRPr="00452D62" w:rsidRDefault="00823785" w:rsidP="00823785">
      <w:pPr>
        <w:rPr>
          <w:sz w:val="22"/>
          <w:szCs w:val="22"/>
        </w:rPr>
      </w:pPr>
      <w:r w:rsidRPr="00452D62">
        <w:rPr>
          <w:sz w:val="22"/>
          <w:szCs w:val="22"/>
        </w:rPr>
        <w:t>Pacientams, kuriems yra su vožtuvų liga nesusijęs prieširdžių virpėjimas ir rivaroksabano skiriama insulto ir sisteminės embolijos profilaktikai, 5/95 procentilių PT (</w:t>
      </w:r>
      <w:r w:rsidRPr="00452D62">
        <w:rPr>
          <w:i/>
          <w:iCs/>
          <w:sz w:val="22"/>
          <w:szCs w:val="22"/>
        </w:rPr>
        <w:t>Neoplastin</w:t>
      </w:r>
      <w:r w:rsidRPr="00452D62">
        <w:rPr>
          <w:sz w:val="22"/>
          <w:szCs w:val="22"/>
        </w:rPr>
        <w:t>), praėjus 1-4 valandoms po tabletės pavartojimo (t. y. maksimalaus poveikio metu), vartojant 20 mg rivaroksabano vieną kartą per parą, buvo nuo 14 iki 40 sekundžių, o esant vidutinio sunkumo inkstų funkcijos sutrikimui ir vartojant 15 mg rivaroksabano vieną kartą per parą – nuo 10 iki 50 sekundžių. Esant mažiausiai koncentracijai (praėjus 16-36 valandoms po tabletės pavartojimo), 5/95 procentilių, vartojant 20 mg vieną kartą per parą, svyravo nuo 12 iki 26 sekundžių, o esant vidutinio sunkumo inkstų funkcijos sutrikimui ir vartojant 15 mg vieną kartą per parą – nuo 12 iki 26 sekundžių.</w:t>
      </w:r>
    </w:p>
    <w:p w14:paraId="73AC15E3" w14:textId="77777777" w:rsidR="00823785" w:rsidRPr="00452D62" w:rsidRDefault="00823785" w:rsidP="00823785">
      <w:pPr>
        <w:rPr>
          <w:sz w:val="22"/>
          <w:szCs w:val="22"/>
        </w:rPr>
      </w:pPr>
      <w:r w:rsidRPr="00452D62">
        <w:rPr>
          <w:sz w:val="22"/>
          <w:szCs w:val="22"/>
        </w:rPr>
        <w:t xml:space="preserve">Klinikinės farmakologijos tyrimo metu analizuojant rivaroksabano farmakodinaminio poveikio panaikinimą sveikiems suaugusiems tiriamiesiems (n=22), buvo įvertintas dviejų skirtingų PKK, t. y. 3-jų faktorių PKK (II, IX ir X faktorių) ir 4-ių faktorių PKK (II, VII, IX ir X faktorių), vienkartinės dozės (50 TV/kg) poveikis. 3-jų faktorių PKK sumažino </w:t>
      </w:r>
      <w:r w:rsidRPr="00452D62">
        <w:rPr>
          <w:i/>
          <w:iCs/>
          <w:sz w:val="22"/>
          <w:szCs w:val="22"/>
        </w:rPr>
        <w:t>Neoplastin</w:t>
      </w:r>
      <w:r w:rsidRPr="00452D62">
        <w:rPr>
          <w:sz w:val="22"/>
          <w:szCs w:val="22"/>
        </w:rPr>
        <w:t xml:space="preserve"> vidutinį PT maždaug 1,0 sekunde per 30 minučių, lyginant su maždaug 3,5 sekundžių sumažėjimu, stebėtu vartojant 4-faktorių PKK. Priešingai, 3-jų faktorių PKK sukėlė didesnį ir greitesnį poveikį bendram endogeninio trombino susiformavimo neutralizavimui, palyginti su 4-ių faktorių PKK (žr. 4.9 skyrių).</w:t>
      </w:r>
    </w:p>
    <w:p w14:paraId="2BD09675" w14:textId="77777777" w:rsidR="00823785" w:rsidRPr="00452D62" w:rsidRDefault="00823785" w:rsidP="00823785">
      <w:pPr>
        <w:rPr>
          <w:sz w:val="22"/>
          <w:szCs w:val="22"/>
        </w:rPr>
      </w:pPr>
      <w:r w:rsidRPr="00452D62">
        <w:rPr>
          <w:sz w:val="22"/>
          <w:szCs w:val="22"/>
        </w:rPr>
        <w:t xml:space="preserve">Dalinis aktyvintas tromboplastino laikas (DATL) ir </w:t>
      </w:r>
      <w:r w:rsidRPr="00452D62">
        <w:rPr>
          <w:i/>
          <w:sz w:val="22"/>
          <w:szCs w:val="22"/>
        </w:rPr>
        <w:t>HepTest</w:t>
      </w:r>
      <w:r w:rsidRPr="00452D62">
        <w:rPr>
          <w:sz w:val="22"/>
          <w:szCs w:val="22"/>
        </w:rPr>
        <w:t xml:space="preserve"> rodmuo pailgėja taip pat priklausomai nuo dozės, tačiau šie tyrimai nerekomenduojami rivaroksabano farmakodinaminiam poveikiui įvertinti. Įprastinėmis klinikinėmis sąlygomis gydant rivaroksabanu krešėjimo parametrų stebėti nereikia. Vis dėlto, esant klinikinėms indikacijoms, rivaroksabano lygį galima išmatuoti kalibruotu kiekybiniu anti-Xa faktoriaus tyrimu (žr. 5.2 skyrių).</w:t>
      </w:r>
    </w:p>
    <w:p w14:paraId="18A67F66" w14:textId="77777777" w:rsidR="005C0E3E" w:rsidRPr="00452D62" w:rsidRDefault="005C0E3E" w:rsidP="005C0E3E">
      <w:pPr>
        <w:rPr>
          <w:sz w:val="22"/>
          <w:szCs w:val="22"/>
        </w:rPr>
      </w:pPr>
    </w:p>
    <w:p w14:paraId="57C37D02" w14:textId="2466D92E" w:rsidR="005C0E3E" w:rsidRPr="00452D62" w:rsidRDefault="005C0E3E" w:rsidP="005C0E3E">
      <w:pPr>
        <w:rPr>
          <w:sz w:val="22"/>
          <w:szCs w:val="22"/>
        </w:rPr>
      </w:pPr>
      <w:r w:rsidRPr="00452D62">
        <w:rPr>
          <w:sz w:val="22"/>
          <w:szCs w:val="22"/>
        </w:rPr>
        <w:t>Vaikų populiacija</w:t>
      </w:r>
    </w:p>
    <w:p w14:paraId="019F9437" w14:textId="77777777" w:rsidR="005C0E3E" w:rsidRPr="00452D62" w:rsidRDefault="005C0E3E" w:rsidP="005C0E3E">
      <w:pPr>
        <w:rPr>
          <w:sz w:val="22"/>
          <w:szCs w:val="22"/>
        </w:rPr>
      </w:pPr>
      <w:r w:rsidRPr="00452D62">
        <w:rPr>
          <w:sz w:val="22"/>
          <w:szCs w:val="22"/>
        </w:rPr>
        <w:t>PL (nustatomas reagentu Neoplastin), DATL ir anti-Xa tyrimo (atliekant kalibruotą kiekybinį tyrimą) duomenys vaikams glaudžiai koreliuoja su plazmos koncentracija. Anti-Xa ir plazmos koncentracijos koreliacija yra linijinė, o jos nuolydis artimas 1. Gali būti individualių skirtumų, kai anti-Xa reikšmė yra didesnė arba mažesnė, palyginti su atitinkama plazmos koncentracija. Taikant gydymą rivaroksabanu klinikinėje aplinkoje, krešėjimo parametrų įprastai stebėti nereikia. Vis dėlto, jei yra klinikinių indikacijų, rivaroksabano koncentraciją μg/l galima nustatyti atlikus kalibruotą kiekybinį anti-Xa faktoriaus tyrimą (vaikams nustatytos rivaroksabano koncentracijos plazmoje intervalus žr. 13 lentelėje 5.2 skyriuje). Vaikams atliekant anti-Xa tyrimą, skirtą kiekybiškai įvertinti rivaroksabano koncentraciją plazmoje, būtina orientuotis į apatinę kiekybinio vertinimo ribą. Veiksmingumo ir saugumo reiškinių slenkstis nenustatytas.</w:t>
      </w:r>
    </w:p>
    <w:p w14:paraId="29AE5424" w14:textId="77777777" w:rsidR="00823785" w:rsidRPr="00452D62" w:rsidRDefault="00823785" w:rsidP="00823785">
      <w:pPr>
        <w:rPr>
          <w:sz w:val="22"/>
          <w:szCs w:val="22"/>
        </w:rPr>
      </w:pPr>
    </w:p>
    <w:p w14:paraId="1FDEAE17" w14:textId="77777777" w:rsidR="00823785" w:rsidRPr="00452D62" w:rsidRDefault="00823785" w:rsidP="00823785">
      <w:pPr>
        <w:rPr>
          <w:sz w:val="22"/>
          <w:szCs w:val="22"/>
          <w:u w:val="single"/>
        </w:rPr>
      </w:pPr>
      <w:r w:rsidRPr="00452D62">
        <w:rPr>
          <w:sz w:val="22"/>
          <w:szCs w:val="22"/>
          <w:u w:val="single"/>
        </w:rPr>
        <w:t>Klinikinis veiksmingumas ir saugumas</w:t>
      </w:r>
    </w:p>
    <w:p w14:paraId="3CC966FF" w14:textId="77777777" w:rsidR="00823785" w:rsidRPr="00452D62" w:rsidRDefault="00823785" w:rsidP="00823785">
      <w:pPr>
        <w:rPr>
          <w:i/>
          <w:sz w:val="22"/>
          <w:szCs w:val="22"/>
        </w:rPr>
      </w:pPr>
      <w:r w:rsidRPr="00452D62">
        <w:rPr>
          <w:i/>
          <w:sz w:val="22"/>
          <w:szCs w:val="22"/>
        </w:rPr>
        <w:t>Insulto ir sisteminės embolijos profilaktika pacientams, kuriems yra su vožtuvų liga nesusijęs prieširdžių virpėjimas</w:t>
      </w:r>
    </w:p>
    <w:p w14:paraId="158118C9" w14:textId="77777777" w:rsidR="00823785" w:rsidRPr="00452D62" w:rsidRDefault="00823785" w:rsidP="00823785">
      <w:pPr>
        <w:tabs>
          <w:tab w:val="clear" w:pos="567"/>
        </w:tabs>
        <w:suppressAutoHyphens w:val="0"/>
        <w:spacing w:line="240" w:lineRule="auto"/>
        <w:rPr>
          <w:sz w:val="22"/>
          <w:szCs w:val="22"/>
        </w:rPr>
      </w:pPr>
      <w:r w:rsidRPr="00452D62">
        <w:rPr>
          <w:sz w:val="22"/>
          <w:szCs w:val="22"/>
        </w:rPr>
        <w:t xml:space="preserve">Rivaroksabano klinikinė programa buvo suplanuota siekiant įrodyti rivaroksabano veiksmingumą insulto ir sisteminės embolijos profilaktikai pacientams, kuriems yra su vožtuvų liga nesusijęs prieširdžių virpėjimas. Pagrindiniame dvigubai koduotame </w:t>
      </w:r>
      <w:r w:rsidRPr="00452D62">
        <w:rPr>
          <w:i/>
          <w:iCs/>
          <w:sz w:val="22"/>
          <w:szCs w:val="22"/>
        </w:rPr>
        <w:t>ROCKET AF</w:t>
      </w:r>
      <w:r w:rsidRPr="00452D62">
        <w:rPr>
          <w:sz w:val="22"/>
          <w:szCs w:val="22"/>
        </w:rPr>
        <w:t xml:space="preserve"> tyrime, 14 264 pacientams buvo skirtas rivaroksabanas po 20 mg vieną kartą per parą (tiriamiesiems, kurių kreatinino klirensas 30</w:t>
      </w:r>
      <w:r w:rsidRPr="00452D62">
        <w:rPr>
          <w:sz w:val="22"/>
          <w:szCs w:val="22"/>
        </w:rPr>
        <w:noBreakHyphen/>
        <w:t>49 ml/min. – po 15 mg vieną kartą per parą) arba varfarinas, titruotas iki tikslinio INR rodmens 2,5 (terapinis intervalas nuo 2,0 iki 3,0). Gydymo trukmės mediana buvo 19 mėnesių ir bendra gydymo trukmė buvo iki 41 mėnesio.</w:t>
      </w:r>
    </w:p>
    <w:p w14:paraId="14A089D3" w14:textId="7E01A329" w:rsidR="00823785" w:rsidRPr="00452D62" w:rsidRDefault="00823785" w:rsidP="00823785">
      <w:pPr>
        <w:tabs>
          <w:tab w:val="clear" w:pos="567"/>
        </w:tabs>
        <w:suppressAutoHyphens w:val="0"/>
        <w:spacing w:line="240" w:lineRule="auto"/>
        <w:rPr>
          <w:sz w:val="22"/>
          <w:szCs w:val="22"/>
        </w:rPr>
      </w:pPr>
      <w:r w:rsidRPr="00452D62">
        <w:rPr>
          <w:sz w:val="22"/>
          <w:szCs w:val="22"/>
        </w:rPr>
        <w:t>34,9 % pacientų buvo gydyti acetilsalicilo rūgštimi, o 11,4 % buvo gydyti III klasės antiaritminiais vaistiniais preparatais, įskaitant amjodaroną.</w:t>
      </w:r>
    </w:p>
    <w:p w14:paraId="6DD41CF8" w14:textId="77777777" w:rsidR="00823785" w:rsidRPr="00452D62" w:rsidRDefault="00823785" w:rsidP="00823785">
      <w:pPr>
        <w:tabs>
          <w:tab w:val="clear" w:pos="567"/>
        </w:tabs>
        <w:suppressAutoHyphens w:val="0"/>
        <w:spacing w:line="240" w:lineRule="auto"/>
        <w:rPr>
          <w:sz w:val="22"/>
          <w:szCs w:val="22"/>
        </w:rPr>
      </w:pPr>
    </w:p>
    <w:p w14:paraId="7D685492" w14:textId="562201B1" w:rsidR="00823785" w:rsidRPr="00452D62" w:rsidRDefault="00823785" w:rsidP="00823785">
      <w:pPr>
        <w:tabs>
          <w:tab w:val="clear" w:pos="567"/>
        </w:tabs>
        <w:suppressAutoHyphens w:val="0"/>
        <w:spacing w:line="240" w:lineRule="auto"/>
        <w:rPr>
          <w:sz w:val="22"/>
          <w:szCs w:val="22"/>
        </w:rPr>
      </w:pPr>
      <w:r w:rsidRPr="00452D62">
        <w:rPr>
          <w:sz w:val="22"/>
          <w:szCs w:val="22"/>
        </w:rPr>
        <w:t>Rivaroksabanas sukėlė neprastesnį poveikį už varfariną, vertinant pagrindinės vertinamosios baigties (bendrą insulto ir ne centrinės nervų sistemos (CNS) sisteminės embolijos) atvejų skaičių. Protokolą atitinkančioje populiacijoje, kurioje taikytas gydymas, insultas arba sisteminė embolija pasireiškė 188 rivaroksabano vartojusiems pacientams (1,71 % per metus) ir 241 varfarino vartojusiam pacientui (2,16 % per metus) (RS 0,79; 95 % PI, 0,66</w:t>
      </w:r>
      <w:r w:rsidRPr="00452D62">
        <w:rPr>
          <w:sz w:val="22"/>
          <w:szCs w:val="22"/>
        </w:rPr>
        <w:noBreakHyphen/>
        <w:t xml:space="preserve">0,96; P &lt; 0,001 neprastesniam poveikiui). Visus atsitiktinėms imtims priskirtus pacientus įvertinus taikant </w:t>
      </w:r>
      <w:r w:rsidRPr="00452D62">
        <w:rPr>
          <w:i/>
          <w:iCs/>
          <w:sz w:val="22"/>
          <w:szCs w:val="22"/>
        </w:rPr>
        <w:t>ITT</w:t>
      </w:r>
      <w:r w:rsidRPr="00452D62">
        <w:rPr>
          <w:sz w:val="22"/>
          <w:szCs w:val="22"/>
        </w:rPr>
        <w:t xml:space="preserve"> (ketintų gydyti tiriamųjų analizę), pagrindinės vertinamosios baigties reiškiniai pasireiškė 269 rivaroksabano vartojusiems pacientams (2,12 % per metus) ir 306 varfarino vartojusiems pacientams (2,42 % per metus) (rizikos santykis 0,88; 95 % PI, 0,74</w:t>
      </w:r>
      <w:r w:rsidRPr="00452D62">
        <w:rPr>
          <w:sz w:val="22"/>
          <w:szCs w:val="22"/>
        </w:rPr>
        <w:noBreakHyphen/>
        <w:t xml:space="preserve">1,03; P &lt; 0,001 neprastesniam poveikiui; P=0,117 pranašumui). Antrinių vertinamųjų baigčių rezultatai, kurie buvo tiriami hierarchine tvarka </w:t>
      </w:r>
      <w:r w:rsidRPr="00452D62">
        <w:rPr>
          <w:i/>
          <w:iCs/>
          <w:sz w:val="22"/>
          <w:szCs w:val="22"/>
        </w:rPr>
        <w:t>ITT</w:t>
      </w:r>
      <w:r w:rsidRPr="00452D62">
        <w:rPr>
          <w:sz w:val="22"/>
          <w:szCs w:val="22"/>
        </w:rPr>
        <w:t xml:space="preserve"> analizės būdu, yra pateikti 4 lentelėje. Varfarino grupės pacientams INR rodmenys buvo terapiniame intervale (nuo 2,0 iki 3,0) vidutiniškai 55 % laiko (mediana 58 %; tarpkvartilinės ribos nuo 43 iki 71). Rivaroksabano poveikis centrinio LIT (laiko iki tikslinio INR intervalo nuo 2,0 iki 3,0) lygmenyje vienodo dydžio kvartilėse (sąveikos P=0,74) nesiskyrė. Aukščiausioje kvartilėje (vertinant pagal centrą) rizikos santykis (RS) vartojant rivaroksabano, palyginti su varfarinu, buvo 0,74 (95 % PI, 0,49-1,12).</w:t>
      </w:r>
    </w:p>
    <w:p w14:paraId="26815642" w14:textId="77777777" w:rsidR="00823785" w:rsidRPr="00452D62" w:rsidRDefault="00823785" w:rsidP="00823785">
      <w:pPr>
        <w:tabs>
          <w:tab w:val="clear" w:pos="567"/>
        </w:tabs>
        <w:suppressAutoHyphens w:val="0"/>
        <w:spacing w:line="240" w:lineRule="auto"/>
        <w:rPr>
          <w:sz w:val="22"/>
          <w:szCs w:val="22"/>
        </w:rPr>
      </w:pPr>
    </w:p>
    <w:p w14:paraId="4AD6E723" w14:textId="77777777" w:rsidR="00823785" w:rsidRPr="00452D62" w:rsidRDefault="00823785" w:rsidP="00823785">
      <w:pPr>
        <w:tabs>
          <w:tab w:val="clear" w:pos="567"/>
        </w:tabs>
        <w:suppressAutoHyphens w:val="0"/>
        <w:spacing w:line="240" w:lineRule="auto"/>
        <w:rPr>
          <w:rFonts w:eastAsia="MS Mincho"/>
          <w:color w:val="auto"/>
          <w:sz w:val="22"/>
          <w:szCs w:val="22"/>
          <w:lang w:eastAsia="fr-FR"/>
        </w:rPr>
      </w:pPr>
      <w:r w:rsidRPr="00452D62">
        <w:rPr>
          <w:sz w:val="22"/>
          <w:szCs w:val="22"/>
        </w:rPr>
        <w:t>Svarbiausios saugumo vertinamosios baigties (didžiojo ir ne didžiojo kliniškai reikšmingo kraujavimo reiškinių) atvejų dažnis abiejose tyrimo grupėse buvo panašus (žr. 5 lentelę).</w:t>
      </w:r>
    </w:p>
    <w:p w14:paraId="316DF64B" w14:textId="77777777" w:rsidR="00823785" w:rsidRPr="00452D62" w:rsidRDefault="00823785" w:rsidP="00823785">
      <w:pPr>
        <w:tabs>
          <w:tab w:val="clear" w:pos="567"/>
        </w:tabs>
        <w:suppressAutoHyphens w:val="0"/>
        <w:spacing w:line="240" w:lineRule="auto"/>
        <w:rPr>
          <w:rFonts w:eastAsia="MS Mincho"/>
          <w:color w:val="auto"/>
          <w:sz w:val="22"/>
          <w:szCs w:val="22"/>
          <w:lang w:eastAsia="fr-FR"/>
        </w:rPr>
      </w:pPr>
    </w:p>
    <w:p w14:paraId="628E6726" w14:textId="77777777" w:rsidR="00823785" w:rsidRPr="00452D62" w:rsidRDefault="00823785" w:rsidP="00823785">
      <w:pPr>
        <w:keepNext/>
        <w:tabs>
          <w:tab w:val="clear" w:pos="567"/>
        </w:tabs>
        <w:suppressAutoHyphens w:val="0"/>
        <w:spacing w:line="240" w:lineRule="auto"/>
        <w:rPr>
          <w:rFonts w:eastAsia="MS Mincho"/>
          <w:b/>
          <w:color w:val="auto"/>
          <w:sz w:val="22"/>
          <w:szCs w:val="22"/>
          <w:lang w:eastAsia="fr-FR"/>
        </w:rPr>
      </w:pPr>
      <w:r w:rsidRPr="00452D62">
        <w:rPr>
          <w:rFonts w:eastAsia="MS Mincho"/>
          <w:b/>
          <w:color w:val="auto"/>
          <w:sz w:val="22"/>
          <w:szCs w:val="22"/>
          <w:lang w:eastAsia="fr-FR"/>
        </w:rPr>
        <w:t>4</w:t>
      </w:r>
      <w:r w:rsidRPr="00AE1B80">
        <w:rPr>
          <w:sz w:val="22"/>
          <w:szCs w:val="22"/>
        </w:rPr>
        <w:t> </w:t>
      </w:r>
      <w:r w:rsidRPr="00452D62">
        <w:rPr>
          <w:rFonts w:eastAsia="MS Mincho"/>
          <w:b/>
          <w:color w:val="auto"/>
          <w:sz w:val="22"/>
          <w:szCs w:val="22"/>
          <w:lang w:eastAsia="fr-FR"/>
        </w:rPr>
        <w:t xml:space="preserve">lentelė. III fazės </w:t>
      </w:r>
      <w:r w:rsidRPr="000877E9">
        <w:rPr>
          <w:rFonts w:eastAsia="MS Mincho"/>
          <w:b/>
          <w:i/>
          <w:iCs/>
          <w:color w:val="auto"/>
          <w:sz w:val="22"/>
          <w:szCs w:val="22"/>
          <w:lang w:eastAsia="fr-FR"/>
        </w:rPr>
        <w:t>ROCKET AF</w:t>
      </w:r>
      <w:r w:rsidRPr="00452D62">
        <w:rPr>
          <w:rFonts w:eastAsia="MS Mincho"/>
          <w:b/>
          <w:color w:val="auto"/>
          <w:sz w:val="22"/>
          <w:szCs w:val="22"/>
          <w:lang w:eastAsia="fr-FR"/>
        </w:rPr>
        <w:t xml:space="preserve"> tyrimo veiksmingumo rezultatai</w:t>
      </w:r>
    </w:p>
    <w:tbl>
      <w:tblPr>
        <w:tblW w:w="0" w:type="auto"/>
        <w:tblInd w:w="4" w:type="dxa"/>
        <w:tblLayout w:type="fixed"/>
        <w:tblCellMar>
          <w:left w:w="0" w:type="dxa"/>
          <w:right w:w="0" w:type="dxa"/>
        </w:tblCellMar>
        <w:tblLook w:val="01E0" w:firstRow="1" w:lastRow="1" w:firstColumn="1" w:lastColumn="1" w:noHBand="0" w:noVBand="0"/>
      </w:tblPr>
      <w:tblGrid>
        <w:gridCol w:w="2652"/>
        <w:gridCol w:w="2132"/>
        <w:gridCol w:w="2132"/>
        <w:gridCol w:w="1998"/>
      </w:tblGrid>
      <w:tr w:rsidR="00823785" w:rsidRPr="00452D62" w14:paraId="321E6F51" w14:textId="77777777" w:rsidTr="006453B9">
        <w:trPr>
          <w:trHeight w:hRule="exact" w:val="599"/>
        </w:trPr>
        <w:tc>
          <w:tcPr>
            <w:tcW w:w="2652" w:type="dxa"/>
            <w:tcBorders>
              <w:top w:val="single" w:sz="4" w:space="0" w:color="000000"/>
              <w:left w:val="single" w:sz="3" w:space="0" w:color="000000"/>
              <w:bottom w:val="single" w:sz="4" w:space="0" w:color="000000"/>
              <w:right w:val="single" w:sz="4" w:space="0" w:color="000000"/>
            </w:tcBorders>
          </w:tcPr>
          <w:p w14:paraId="0C17F6B9" w14:textId="77777777" w:rsidR="00823785" w:rsidRPr="00452D62" w:rsidRDefault="00823785" w:rsidP="006453B9">
            <w:pPr>
              <w:keepNext/>
              <w:tabs>
                <w:tab w:val="clear" w:pos="567"/>
              </w:tabs>
              <w:suppressAutoHyphens w:val="0"/>
              <w:spacing w:line="240" w:lineRule="auto"/>
              <w:ind w:left="142"/>
              <w:rPr>
                <w:rFonts w:eastAsia="MS Mincho"/>
                <w:b/>
                <w:bCs/>
                <w:color w:val="auto"/>
                <w:sz w:val="22"/>
                <w:szCs w:val="22"/>
                <w:lang w:eastAsia="fr-FR"/>
              </w:rPr>
            </w:pPr>
            <w:r w:rsidRPr="00452D62">
              <w:rPr>
                <w:rFonts w:eastAsia="MS Mincho"/>
                <w:b/>
                <w:bCs/>
                <w:color w:val="auto"/>
                <w:sz w:val="22"/>
                <w:szCs w:val="22"/>
                <w:lang w:eastAsia="fr-FR"/>
              </w:rPr>
              <w:t>Tyrimo populiacija</w:t>
            </w:r>
          </w:p>
        </w:tc>
        <w:tc>
          <w:tcPr>
            <w:tcW w:w="6262" w:type="dxa"/>
            <w:gridSpan w:val="3"/>
            <w:tcBorders>
              <w:top w:val="single" w:sz="4" w:space="0" w:color="000000"/>
              <w:left w:val="single" w:sz="4" w:space="0" w:color="000000"/>
              <w:bottom w:val="single" w:sz="4" w:space="0" w:color="000000"/>
              <w:right w:val="single" w:sz="4" w:space="0" w:color="000000"/>
            </w:tcBorders>
          </w:tcPr>
          <w:p w14:paraId="0E60C97D" w14:textId="77777777" w:rsidR="00823785" w:rsidRPr="00452D62"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452D62">
              <w:rPr>
                <w:rFonts w:eastAsia="MS Mincho"/>
                <w:b/>
                <w:bCs/>
                <w:i/>
                <w:iCs/>
                <w:color w:val="auto"/>
                <w:sz w:val="22"/>
                <w:szCs w:val="22"/>
                <w:lang w:eastAsia="fr-FR"/>
              </w:rPr>
              <w:t>ITT</w:t>
            </w:r>
            <w:r w:rsidRPr="00452D62">
              <w:rPr>
                <w:rFonts w:eastAsia="MS Mincho"/>
                <w:b/>
                <w:bCs/>
                <w:color w:val="auto"/>
                <w:sz w:val="22"/>
                <w:szCs w:val="22"/>
                <w:lang w:eastAsia="fr-FR"/>
              </w:rPr>
              <w:t xml:space="preserve"> veiksmingumo analizė pacientams, kuriems yra su vožtuvų liga nesusijęs prieširdžių virpėjimas </w:t>
            </w:r>
          </w:p>
        </w:tc>
      </w:tr>
      <w:tr w:rsidR="00823785" w:rsidRPr="00452D62" w14:paraId="12A076D1" w14:textId="77777777" w:rsidTr="006453B9">
        <w:trPr>
          <w:trHeight w:hRule="exact" w:val="2559"/>
        </w:trPr>
        <w:tc>
          <w:tcPr>
            <w:tcW w:w="2652" w:type="dxa"/>
            <w:tcBorders>
              <w:top w:val="single" w:sz="4" w:space="0" w:color="000000"/>
              <w:left w:val="single" w:sz="3" w:space="0" w:color="000000"/>
              <w:bottom w:val="single" w:sz="3" w:space="0" w:color="000000"/>
              <w:right w:val="single" w:sz="4" w:space="0" w:color="000000"/>
            </w:tcBorders>
          </w:tcPr>
          <w:p w14:paraId="54A14506" w14:textId="77777777" w:rsidR="00823785" w:rsidRPr="000877E9" w:rsidRDefault="00823785" w:rsidP="006453B9">
            <w:pPr>
              <w:keepNext/>
              <w:tabs>
                <w:tab w:val="clear" w:pos="567"/>
              </w:tabs>
              <w:suppressAutoHyphens w:val="0"/>
              <w:spacing w:line="240" w:lineRule="auto"/>
              <w:ind w:left="142"/>
              <w:rPr>
                <w:rFonts w:eastAsia="MS Mincho"/>
                <w:b/>
                <w:bCs/>
                <w:color w:val="auto"/>
                <w:sz w:val="22"/>
                <w:szCs w:val="22"/>
                <w:lang w:eastAsia="fr-FR"/>
              </w:rPr>
            </w:pPr>
            <w:r w:rsidRPr="00452D62">
              <w:rPr>
                <w:rFonts w:eastAsia="MS Mincho"/>
                <w:b/>
                <w:bCs/>
                <w:color w:val="auto"/>
                <w:sz w:val="22"/>
                <w:szCs w:val="22"/>
                <w:lang w:eastAsia="fr-FR"/>
              </w:rPr>
              <w:t>Gydymo dozė</w:t>
            </w:r>
          </w:p>
        </w:tc>
        <w:tc>
          <w:tcPr>
            <w:tcW w:w="2132" w:type="dxa"/>
            <w:tcBorders>
              <w:top w:val="single" w:sz="4" w:space="0" w:color="000000"/>
              <w:left w:val="single" w:sz="4" w:space="0" w:color="000000"/>
              <w:bottom w:val="single" w:sz="3" w:space="0" w:color="000000"/>
              <w:right w:val="single" w:sz="3" w:space="0" w:color="000000"/>
            </w:tcBorders>
          </w:tcPr>
          <w:p w14:paraId="49E1E5C6" w14:textId="77777777" w:rsidR="00823785" w:rsidRPr="00452D62"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452D62">
              <w:rPr>
                <w:rFonts w:eastAsia="MS Mincho"/>
                <w:b/>
                <w:bCs/>
                <w:color w:val="auto"/>
                <w:sz w:val="22"/>
                <w:szCs w:val="22"/>
                <w:lang w:eastAsia="fr-FR"/>
              </w:rPr>
              <w:t>Rivaroksabanas 20 mg vieną kartą per parą (15 mg vieną kartą per parą pacientams, kuriems yra vidutinis inkstų funkcijos sutrikimas)</w:t>
            </w:r>
          </w:p>
          <w:p w14:paraId="7A38BAA9" w14:textId="77777777" w:rsidR="00823785" w:rsidRPr="00452D62"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452D62">
              <w:rPr>
                <w:rFonts w:eastAsia="MS Mincho"/>
                <w:b/>
                <w:bCs/>
                <w:color w:val="auto"/>
                <w:sz w:val="22"/>
                <w:szCs w:val="22"/>
                <w:lang w:eastAsia="fr-FR"/>
              </w:rPr>
              <w:t>Reiškinių dažnis (100 paciento metų)</w:t>
            </w:r>
          </w:p>
        </w:tc>
        <w:tc>
          <w:tcPr>
            <w:tcW w:w="2132" w:type="dxa"/>
            <w:tcBorders>
              <w:top w:val="single" w:sz="4" w:space="0" w:color="000000"/>
              <w:left w:val="single" w:sz="3" w:space="0" w:color="000000"/>
              <w:bottom w:val="single" w:sz="3" w:space="0" w:color="000000"/>
              <w:right w:val="single" w:sz="4" w:space="0" w:color="000000"/>
            </w:tcBorders>
          </w:tcPr>
          <w:p w14:paraId="6D5DEE83" w14:textId="77777777" w:rsidR="00823785" w:rsidRPr="00452D62"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452D62">
              <w:rPr>
                <w:rFonts w:eastAsia="MS Mincho"/>
                <w:b/>
                <w:bCs/>
                <w:color w:val="auto"/>
                <w:sz w:val="22"/>
                <w:szCs w:val="22"/>
                <w:lang w:eastAsia="fr-FR"/>
              </w:rPr>
              <w:t xml:space="preserve">Varfarinas, titruotas iki tikslinio INR rodmens 2,5 (terapinis intervalas nuo 2,0 iki 3,0) </w:t>
            </w:r>
          </w:p>
          <w:p w14:paraId="47940104" w14:textId="77777777" w:rsidR="00823785" w:rsidRPr="00452D62"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452D62">
              <w:rPr>
                <w:rFonts w:eastAsia="MS Mincho"/>
                <w:b/>
                <w:bCs/>
                <w:color w:val="auto"/>
                <w:sz w:val="22"/>
                <w:szCs w:val="22"/>
                <w:lang w:eastAsia="fr-FR"/>
              </w:rPr>
              <w:t>Reiškinių dažnis (100 paciento metų)</w:t>
            </w:r>
          </w:p>
        </w:tc>
        <w:tc>
          <w:tcPr>
            <w:tcW w:w="1998" w:type="dxa"/>
            <w:tcBorders>
              <w:top w:val="single" w:sz="4" w:space="0" w:color="000000"/>
              <w:left w:val="single" w:sz="4" w:space="0" w:color="000000"/>
              <w:bottom w:val="single" w:sz="3" w:space="0" w:color="000000"/>
              <w:right w:val="single" w:sz="4" w:space="0" w:color="000000"/>
            </w:tcBorders>
          </w:tcPr>
          <w:p w14:paraId="13F7BFD0" w14:textId="71A7D963" w:rsidR="00823785" w:rsidRPr="00452D62"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452D62">
              <w:rPr>
                <w:rFonts w:eastAsia="MS Mincho"/>
                <w:b/>
                <w:bCs/>
                <w:color w:val="auto"/>
                <w:sz w:val="22"/>
                <w:szCs w:val="22"/>
                <w:lang w:eastAsia="fr-FR"/>
              </w:rPr>
              <w:t>RS (95 % PI)</w:t>
            </w:r>
          </w:p>
          <w:p w14:paraId="22863B5F" w14:textId="77777777" w:rsidR="00823785" w:rsidRPr="00452D62"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452D62">
              <w:rPr>
                <w:rFonts w:eastAsia="MS Mincho"/>
                <w:b/>
                <w:bCs/>
                <w:color w:val="auto"/>
                <w:sz w:val="22"/>
                <w:szCs w:val="22"/>
                <w:lang w:eastAsia="fr-FR"/>
              </w:rPr>
              <w:t>p reikšmė, pranašumo testas</w:t>
            </w:r>
          </w:p>
        </w:tc>
      </w:tr>
      <w:tr w:rsidR="00823785" w:rsidRPr="00452D62" w14:paraId="1F60D8B5" w14:textId="77777777" w:rsidTr="006453B9">
        <w:trPr>
          <w:trHeight w:hRule="exact" w:val="990"/>
        </w:trPr>
        <w:tc>
          <w:tcPr>
            <w:tcW w:w="2652" w:type="dxa"/>
            <w:tcBorders>
              <w:top w:val="single" w:sz="3" w:space="0" w:color="000000"/>
              <w:left w:val="single" w:sz="3" w:space="0" w:color="000000"/>
              <w:bottom w:val="single" w:sz="4" w:space="0" w:color="000000"/>
              <w:right w:val="single" w:sz="4" w:space="0" w:color="000000"/>
            </w:tcBorders>
          </w:tcPr>
          <w:p w14:paraId="30FAF875" w14:textId="77777777" w:rsidR="00823785" w:rsidRPr="00452D62" w:rsidRDefault="00823785" w:rsidP="006453B9">
            <w:pPr>
              <w:tabs>
                <w:tab w:val="clear" w:pos="567"/>
              </w:tabs>
              <w:suppressAutoHyphens w:val="0"/>
              <w:spacing w:before="60" w:line="240" w:lineRule="auto"/>
              <w:ind w:left="142"/>
              <w:rPr>
                <w:rFonts w:eastAsia="MS Mincho"/>
                <w:color w:val="auto"/>
                <w:sz w:val="22"/>
                <w:szCs w:val="22"/>
                <w:lang w:eastAsia="fr-FR"/>
              </w:rPr>
            </w:pPr>
            <w:r w:rsidRPr="00452D62">
              <w:rPr>
                <w:rFonts w:eastAsia="MS Mincho"/>
                <w:color w:val="auto"/>
                <w:sz w:val="22"/>
                <w:szCs w:val="22"/>
                <w:lang w:eastAsia="fr-FR"/>
              </w:rPr>
              <w:t>Insultas ir ne CNS sisteminė embolija</w:t>
            </w:r>
          </w:p>
        </w:tc>
        <w:tc>
          <w:tcPr>
            <w:tcW w:w="2132" w:type="dxa"/>
            <w:tcBorders>
              <w:top w:val="single" w:sz="3" w:space="0" w:color="000000"/>
              <w:left w:val="single" w:sz="4" w:space="0" w:color="000000"/>
              <w:bottom w:val="single" w:sz="4" w:space="0" w:color="000000"/>
              <w:right w:val="single" w:sz="3" w:space="0" w:color="000000"/>
            </w:tcBorders>
          </w:tcPr>
          <w:p w14:paraId="271A73C0"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269 (2,12)</w:t>
            </w:r>
          </w:p>
        </w:tc>
        <w:tc>
          <w:tcPr>
            <w:tcW w:w="2132" w:type="dxa"/>
            <w:tcBorders>
              <w:top w:val="single" w:sz="3" w:space="0" w:color="000000"/>
              <w:left w:val="single" w:sz="3" w:space="0" w:color="000000"/>
              <w:bottom w:val="single" w:sz="4" w:space="0" w:color="000000"/>
              <w:right w:val="single" w:sz="4" w:space="0" w:color="000000"/>
            </w:tcBorders>
          </w:tcPr>
          <w:p w14:paraId="3CD75F06"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306 (2,42)</w:t>
            </w:r>
          </w:p>
        </w:tc>
        <w:tc>
          <w:tcPr>
            <w:tcW w:w="1998" w:type="dxa"/>
            <w:tcBorders>
              <w:top w:val="single" w:sz="3" w:space="0" w:color="000000"/>
              <w:left w:val="single" w:sz="4" w:space="0" w:color="000000"/>
              <w:bottom w:val="single" w:sz="4" w:space="0" w:color="000000"/>
              <w:right w:val="single" w:sz="4" w:space="0" w:color="000000"/>
            </w:tcBorders>
          </w:tcPr>
          <w:p w14:paraId="2D652D97"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0,88</w:t>
            </w:r>
          </w:p>
          <w:p w14:paraId="1D92CD7A"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(0,74</w:t>
            </w:r>
            <w:r w:rsidRPr="00452D62">
              <w:rPr>
                <w:rFonts w:eastAsia="MS Mincho"/>
                <w:color w:val="auto"/>
                <w:sz w:val="22"/>
                <w:szCs w:val="22"/>
                <w:lang w:eastAsia="fr-FR"/>
              </w:rPr>
              <w:noBreakHyphen/>
              <w:t>1,03)</w:t>
            </w:r>
          </w:p>
          <w:p w14:paraId="23E19012"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0,117</w:t>
            </w:r>
          </w:p>
        </w:tc>
      </w:tr>
      <w:tr w:rsidR="00823785" w:rsidRPr="00452D62" w14:paraId="2C641722" w14:textId="77777777" w:rsidTr="006453B9">
        <w:trPr>
          <w:trHeight w:hRule="exact" w:val="1006"/>
        </w:trPr>
        <w:tc>
          <w:tcPr>
            <w:tcW w:w="2652" w:type="dxa"/>
            <w:tcBorders>
              <w:top w:val="single" w:sz="4" w:space="0" w:color="000000"/>
              <w:left w:val="single" w:sz="3" w:space="0" w:color="000000"/>
              <w:bottom w:val="single" w:sz="4" w:space="0" w:color="000000"/>
              <w:right w:val="single" w:sz="4" w:space="0" w:color="000000"/>
            </w:tcBorders>
          </w:tcPr>
          <w:p w14:paraId="61666D3F" w14:textId="77777777" w:rsidR="00823785" w:rsidRPr="00452D62" w:rsidRDefault="00823785" w:rsidP="006453B9">
            <w:pPr>
              <w:tabs>
                <w:tab w:val="clear" w:pos="567"/>
              </w:tabs>
              <w:suppressAutoHyphens w:val="0"/>
              <w:spacing w:before="60" w:line="240" w:lineRule="auto"/>
              <w:ind w:left="142"/>
              <w:rPr>
                <w:rFonts w:eastAsia="MS Mincho"/>
                <w:color w:val="auto"/>
                <w:sz w:val="22"/>
                <w:szCs w:val="22"/>
                <w:lang w:eastAsia="fr-FR"/>
              </w:rPr>
            </w:pPr>
            <w:r w:rsidRPr="00452D62">
              <w:rPr>
                <w:sz w:val="22"/>
                <w:szCs w:val="22"/>
              </w:rPr>
              <w:t>Insultas, ne CNS sisteminė embolija ir kraujagyslinė mirtis</w:t>
            </w:r>
          </w:p>
        </w:tc>
        <w:tc>
          <w:tcPr>
            <w:tcW w:w="2132" w:type="dxa"/>
            <w:tcBorders>
              <w:top w:val="single" w:sz="4" w:space="0" w:color="000000"/>
              <w:left w:val="single" w:sz="4" w:space="0" w:color="000000"/>
              <w:bottom w:val="single" w:sz="4" w:space="0" w:color="000000"/>
              <w:right w:val="single" w:sz="3" w:space="0" w:color="000000"/>
            </w:tcBorders>
          </w:tcPr>
          <w:p w14:paraId="3179ED65"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572 (4,51)</w:t>
            </w:r>
          </w:p>
        </w:tc>
        <w:tc>
          <w:tcPr>
            <w:tcW w:w="2132" w:type="dxa"/>
            <w:tcBorders>
              <w:top w:val="single" w:sz="4" w:space="0" w:color="000000"/>
              <w:left w:val="single" w:sz="3" w:space="0" w:color="000000"/>
              <w:bottom w:val="single" w:sz="4" w:space="0" w:color="000000"/>
              <w:right w:val="single" w:sz="4" w:space="0" w:color="000000"/>
            </w:tcBorders>
          </w:tcPr>
          <w:p w14:paraId="2D94F790"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609 (4,81)</w:t>
            </w:r>
          </w:p>
        </w:tc>
        <w:tc>
          <w:tcPr>
            <w:tcW w:w="1998" w:type="dxa"/>
            <w:tcBorders>
              <w:top w:val="single" w:sz="4" w:space="0" w:color="000000"/>
              <w:left w:val="single" w:sz="4" w:space="0" w:color="000000"/>
              <w:bottom w:val="single" w:sz="4" w:space="0" w:color="000000"/>
              <w:right w:val="single" w:sz="4" w:space="0" w:color="000000"/>
            </w:tcBorders>
          </w:tcPr>
          <w:p w14:paraId="46EA07CF"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0,94</w:t>
            </w:r>
          </w:p>
          <w:p w14:paraId="1B3A6864"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(0,84</w:t>
            </w:r>
            <w:r w:rsidRPr="00452D62">
              <w:rPr>
                <w:rFonts w:eastAsia="MS Mincho"/>
                <w:color w:val="auto"/>
                <w:sz w:val="22"/>
                <w:szCs w:val="22"/>
                <w:lang w:eastAsia="fr-FR"/>
              </w:rPr>
              <w:noBreakHyphen/>
              <w:t>1,05)</w:t>
            </w:r>
          </w:p>
          <w:p w14:paraId="2AC39627"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0,265</w:t>
            </w:r>
          </w:p>
        </w:tc>
      </w:tr>
      <w:tr w:rsidR="00823785" w:rsidRPr="00452D62" w14:paraId="1873E41C" w14:textId="77777777" w:rsidTr="006453B9">
        <w:trPr>
          <w:trHeight w:hRule="exact" w:val="1108"/>
        </w:trPr>
        <w:tc>
          <w:tcPr>
            <w:tcW w:w="2652" w:type="dxa"/>
            <w:tcBorders>
              <w:top w:val="single" w:sz="4" w:space="0" w:color="000000"/>
              <w:left w:val="single" w:sz="3" w:space="0" w:color="000000"/>
              <w:bottom w:val="single" w:sz="4" w:space="0" w:color="000000"/>
              <w:right w:val="single" w:sz="4" w:space="0" w:color="000000"/>
            </w:tcBorders>
          </w:tcPr>
          <w:p w14:paraId="16D83956" w14:textId="77777777" w:rsidR="00823785" w:rsidRPr="00452D62" w:rsidRDefault="00823785" w:rsidP="006453B9">
            <w:pPr>
              <w:tabs>
                <w:tab w:val="clear" w:pos="567"/>
              </w:tabs>
              <w:suppressAutoHyphens w:val="0"/>
              <w:spacing w:before="60" w:line="240" w:lineRule="auto"/>
              <w:ind w:left="142"/>
              <w:rPr>
                <w:rFonts w:eastAsia="MS Mincho"/>
                <w:color w:val="auto"/>
                <w:sz w:val="22"/>
                <w:szCs w:val="22"/>
                <w:lang w:eastAsia="fr-FR"/>
              </w:rPr>
            </w:pPr>
            <w:r w:rsidRPr="00452D62">
              <w:rPr>
                <w:rFonts w:eastAsia="MS Mincho"/>
                <w:color w:val="auto"/>
                <w:sz w:val="22"/>
                <w:szCs w:val="22"/>
                <w:lang w:eastAsia="fr-FR"/>
              </w:rPr>
              <w:t>Insultas, ne CNS sisteminė embolija, kraujagyslinė mirtis ir miokardo infarktas</w:t>
            </w:r>
          </w:p>
        </w:tc>
        <w:tc>
          <w:tcPr>
            <w:tcW w:w="2132" w:type="dxa"/>
            <w:tcBorders>
              <w:top w:val="single" w:sz="4" w:space="0" w:color="000000"/>
              <w:left w:val="single" w:sz="4" w:space="0" w:color="000000"/>
              <w:bottom w:val="single" w:sz="4" w:space="0" w:color="000000"/>
              <w:right w:val="single" w:sz="3" w:space="0" w:color="000000"/>
            </w:tcBorders>
          </w:tcPr>
          <w:p w14:paraId="001C64C0"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659 (5,24)</w:t>
            </w:r>
          </w:p>
        </w:tc>
        <w:tc>
          <w:tcPr>
            <w:tcW w:w="2132" w:type="dxa"/>
            <w:tcBorders>
              <w:top w:val="single" w:sz="4" w:space="0" w:color="000000"/>
              <w:left w:val="single" w:sz="3" w:space="0" w:color="000000"/>
              <w:bottom w:val="single" w:sz="4" w:space="0" w:color="000000"/>
              <w:right w:val="single" w:sz="4" w:space="0" w:color="000000"/>
            </w:tcBorders>
          </w:tcPr>
          <w:p w14:paraId="5C51B852"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709 (5,65)</w:t>
            </w:r>
          </w:p>
        </w:tc>
        <w:tc>
          <w:tcPr>
            <w:tcW w:w="1998" w:type="dxa"/>
            <w:tcBorders>
              <w:top w:val="single" w:sz="4" w:space="0" w:color="000000"/>
              <w:left w:val="single" w:sz="4" w:space="0" w:color="000000"/>
              <w:bottom w:val="single" w:sz="4" w:space="0" w:color="000000"/>
              <w:right w:val="single" w:sz="4" w:space="0" w:color="000000"/>
            </w:tcBorders>
          </w:tcPr>
          <w:p w14:paraId="4618FFD3"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0,93</w:t>
            </w:r>
          </w:p>
          <w:p w14:paraId="481B284E"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(0,83</w:t>
            </w:r>
            <w:r w:rsidRPr="00452D62">
              <w:rPr>
                <w:rFonts w:eastAsia="MS Mincho"/>
                <w:color w:val="auto"/>
                <w:sz w:val="22"/>
                <w:szCs w:val="22"/>
                <w:lang w:eastAsia="fr-FR"/>
              </w:rPr>
              <w:noBreakHyphen/>
              <w:t>1,03)</w:t>
            </w:r>
          </w:p>
          <w:p w14:paraId="54E60C54"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0,158</w:t>
            </w:r>
          </w:p>
        </w:tc>
      </w:tr>
      <w:tr w:rsidR="00823785" w:rsidRPr="00452D62" w14:paraId="4A69267E" w14:textId="77777777" w:rsidTr="006453B9">
        <w:trPr>
          <w:trHeight w:hRule="exact" w:val="1038"/>
        </w:trPr>
        <w:tc>
          <w:tcPr>
            <w:tcW w:w="2652" w:type="dxa"/>
            <w:tcBorders>
              <w:top w:val="single" w:sz="4" w:space="0" w:color="000000"/>
              <w:left w:val="single" w:sz="3" w:space="0" w:color="000000"/>
              <w:bottom w:val="single" w:sz="3" w:space="0" w:color="000000"/>
              <w:right w:val="single" w:sz="4" w:space="0" w:color="000000"/>
            </w:tcBorders>
          </w:tcPr>
          <w:p w14:paraId="3102C7BC" w14:textId="77777777" w:rsidR="00823785" w:rsidRPr="000877E9" w:rsidRDefault="00823785" w:rsidP="006453B9">
            <w:pPr>
              <w:tabs>
                <w:tab w:val="clear" w:pos="567"/>
              </w:tabs>
              <w:suppressAutoHyphens w:val="0"/>
              <w:spacing w:before="60" w:line="240" w:lineRule="auto"/>
              <w:ind w:left="709"/>
              <w:rPr>
                <w:rFonts w:eastAsia="MS Mincho"/>
                <w:color w:val="auto"/>
                <w:sz w:val="22"/>
                <w:szCs w:val="22"/>
                <w:lang w:eastAsia="fr-FR"/>
              </w:rPr>
            </w:pPr>
            <w:r w:rsidRPr="00452D62">
              <w:rPr>
                <w:rFonts w:eastAsia="MS Mincho"/>
                <w:color w:val="auto"/>
                <w:sz w:val="22"/>
                <w:szCs w:val="22"/>
                <w:lang w:eastAsia="fr-FR"/>
              </w:rPr>
              <w:t>Insultas</w:t>
            </w:r>
          </w:p>
        </w:tc>
        <w:tc>
          <w:tcPr>
            <w:tcW w:w="2132" w:type="dxa"/>
            <w:tcBorders>
              <w:top w:val="single" w:sz="4" w:space="0" w:color="000000"/>
              <w:left w:val="single" w:sz="4" w:space="0" w:color="000000"/>
              <w:bottom w:val="single" w:sz="3" w:space="0" w:color="000000"/>
              <w:right w:val="single" w:sz="3" w:space="0" w:color="000000"/>
            </w:tcBorders>
          </w:tcPr>
          <w:p w14:paraId="52B54EAA"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253 (1,99)</w:t>
            </w:r>
          </w:p>
        </w:tc>
        <w:tc>
          <w:tcPr>
            <w:tcW w:w="2132" w:type="dxa"/>
            <w:tcBorders>
              <w:top w:val="single" w:sz="4" w:space="0" w:color="000000"/>
              <w:left w:val="single" w:sz="3" w:space="0" w:color="000000"/>
              <w:bottom w:val="single" w:sz="3" w:space="0" w:color="000000"/>
              <w:right w:val="single" w:sz="4" w:space="0" w:color="000000"/>
            </w:tcBorders>
          </w:tcPr>
          <w:p w14:paraId="1097A1A8"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281 (2,22)</w:t>
            </w:r>
          </w:p>
        </w:tc>
        <w:tc>
          <w:tcPr>
            <w:tcW w:w="1998" w:type="dxa"/>
            <w:tcBorders>
              <w:top w:val="single" w:sz="4" w:space="0" w:color="000000"/>
              <w:left w:val="single" w:sz="4" w:space="0" w:color="000000"/>
              <w:bottom w:val="single" w:sz="3" w:space="0" w:color="000000"/>
              <w:right w:val="single" w:sz="4" w:space="0" w:color="000000"/>
            </w:tcBorders>
          </w:tcPr>
          <w:p w14:paraId="242171F7"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0,90</w:t>
            </w:r>
          </w:p>
          <w:p w14:paraId="321DD298"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(0,76</w:t>
            </w:r>
            <w:r w:rsidRPr="00452D62">
              <w:rPr>
                <w:rFonts w:eastAsia="MS Mincho"/>
                <w:color w:val="auto"/>
                <w:sz w:val="22"/>
                <w:szCs w:val="22"/>
                <w:lang w:eastAsia="fr-FR"/>
              </w:rPr>
              <w:noBreakHyphen/>
              <w:t>1,07)</w:t>
            </w:r>
          </w:p>
          <w:p w14:paraId="3D24DE18"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0,221</w:t>
            </w:r>
          </w:p>
        </w:tc>
      </w:tr>
      <w:tr w:rsidR="00823785" w:rsidRPr="00452D62" w14:paraId="1B06F5D6" w14:textId="77777777" w:rsidTr="006453B9">
        <w:trPr>
          <w:trHeight w:hRule="exact" w:val="993"/>
        </w:trPr>
        <w:tc>
          <w:tcPr>
            <w:tcW w:w="2652" w:type="dxa"/>
            <w:tcBorders>
              <w:top w:val="single" w:sz="3" w:space="0" w:color="000000"/>
              <w:left w:val="single" w:sz="3" w:space="0" w:color="000000"/>
              <w:bottom w:val="single" w:sz="4" w:space="0" w:color="000000"/>
              <w:right w:val="single" w:sz="4" w:space="0" w:color="000000"/>
            </w:tcBorders>
          </w:tcPr>
          <w:p w14:paraId="3EF69F91" w14:textId="77777777" w:rsidR="00823785" w:rsidRPr="00452D62" w:rsidRDefault="00823785" w:rsidP="006453B9">
            <w:pPr>
              <w:tabs>
                <w:tab w:val="clear" w:pos="567"/>
              </w:tabs>
              <w:suppressAutoHyphens w:val="0"/>
              <w:spacing w:before="60" w:line="240" w:lineRule="auto"/>
              <w:ind w:left="709"/>
              <w:rPr>
                <w:rFonts w:eastAsia="MS Mincho"/>
                <w:color w:val="auto"/>
                <w:sz w:val="22"/>
                <w:szCs w:val="22"/>
                <w:lang w:eastAsia="fr-FR"/>
              </w:rPr>
            </w:pPr>
            <w:r w:rsidRPr="00452D62">
              <w:rPr>
                <w:rFonts w:eastAsia="MS Mincho"/>
                <w:color w:val="auto"/>
                <w:sz w:val="22"/>
                <w:szCs w:val="22"/>
                <w:lang w:eastAsia="fr-FR"/>
              </w:rPr>
              <w:t>Ne CNS sisteminė embolija</w:t>
            </w:r>
          </w:p>
        </w:tc>
        <w:tc>
          <w:tcPr>
            <w:tcW w:w="2132" w:type="dxa"/>
            <w:tcBorders>
              <w:top w:val="single" w:sz="3" w:space="0" w:color="000000"/>
              <w:left w:val="single" w:sz="4" w:space="0" w:color="000000"/>
              <w:bottom w:val="single" w:sz="4" w:space="0" w:color="000000"/>
              <w:right w:val="single" w:sz="3" w:space="0" w:color="000000"/>
            </w:tcBorders>
          </w:tcPr>
          <w:p w14:paraId="165457D1"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20 (0,16)</w:t>
            </w:r>
          </w:p>
        </w:tc>
        <w:tc>
          <w:tcPr>
            <w:tcW w:w="2132" w:type="dxa"/>
            <w:tcBorders>
              <w:top w:val="single" w:sz="3" w:space="0" w:color="000000"/>
              <w:left w:val="single" w:sz="3" w:space="0" w:color="000000"/>
              <w:bottom w:val="single" w:sz="4" w:space="0" w:color="000000"/>
              <w:right w:val="single" w:sz="4" w:space="0" w:color="000000"/>
            </w:tcBorders>
          </w:tcPr>
          <w:p w14:paraId="3CB9B41C"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27 (0,21)</w:t>
            </w:r>
          </w:p>
        </w:tc>
        <w:tc>
          <w:tcPr>
            <w:tcW w:w="1998" w:type="dxa"/>
            <w:tcBorders>
              <w:top w:val="single" w:sz="3" w:space="0" w:color="000000"/>
              <w:left w:val="single" w:sz="4" w:space="0" w:color="000000"/>
              <w:bottom w:val="single" w:sz="4" w:space="0" w:color="000000"/>
              <w:right w:val="single" w:sz="4" w:space="0" w:color="000000"/>
            </w:tcBorders>
          </w:tcPr>
          <w:p w14:paraId="3B3F5F14"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 xml:space="preserve">0,74 </w:t>
            </w:r>
          </w:p>
          <w:p w14:paraId="092F51FE"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(0,42</w:t>
            </w:r>
            <w:r w:rsidRPr="00452D62">
              <w:rPr>
                <w:rFonts w:eastAsia="MS Mincho"/>
                <w:color w:val="auto"/>
                <w:sz w:val="22"/>
                <w:szCs w:val="22"/>
                <w:lang w:eastAsia="fr-FR"/>
              </w:rPr>
              <w:noBreakHyphen/>
              <w:t>1,32)</w:t>
            </w:r>
          </w:p>
          <w:p w14:paraId="77693AF0"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0,308</w:t>
            </w:r>
          </w:p>
        </w:tc>
      </w:tr>
      <w:tr w:rsidR="00823785" w:rsidRPr="00452D62" w14:paraId="5C391E7A" w14:textId="77777777" w:rsidTr="006453B9">
        <w:trPr>
          <w:trHeight w:hRule="exact" w:val="996"/>
        </w:trPr>
        <w:tc>
          <w:tcPr>
            <w:tcW w:w="2652" w:type="dxa"/>
            <w:tcBorders>
              <w:top w:val="single" w:sz="4" w:space="0" w:color="000000"/>
              <w:left w:val="single" w:sz="3" w:space="0" w:color="000000"/>
              <w:bottom w:val="single" w:sz="4" w:space="0" w:color="000000"/>
              <w:right w:val="single" w:sz="4" w:space="0" w:color="000000"/>
            </w:tcBorders>
          </w:tcPr>
          <w:p w14:paraId="7511D4E7" w14:textId="77777777" w:rsidR="00823785" w:rsidRPr="000877E9" w:rsidRDefault="00823785" w:rsidP="006453B9">
            <w:pPr>
              <w:tabs>
                <w:tab w:val="clear" w:pos="567"/>
              </w:tabs>
              <w:suppressAutoHyphens w:val="0"/>
              <w:spacing w:before="60" w:line="240" w:lineRule="auto"/>
              <w:ind w:left="142"/>
              <w:rPr>
                <w:rFonts w:eastAsia="MS Mincho"/>
                <w:color w:val="auto"/>
                <w:sz w:val="22"/>
                <w:szCs w:val="22"/>
                <w:lang w:eastAsia="fr-FR"/>
              </w:rPr>
            </w:pPr>
            <w:r w:rsidRPr="00452D62">
              <w:rPr>
                <w:rFonts w:eastAsia="MS Mincho"/>
                <w:color w:val="auto"/>
                <w:sz w:val="22"/>
                <w:szCs w:val="22"/>
                <w:lang w:eastAsia="fr-FR"/>
              </w:rPr>
              <w:t>Miokardo infarktas</w:t>
            </w:r>
          </w:p>
        </w:tc>
        <w:tc>
          <w:tcPr>
            <w:tcW w:w="2132" w:type="dxa"/>
            <w:tcBorders>
              <w:top w:val="single" w:sz="4" w:space="0" w:color="000000"/>
              <w:left w:val="single" w:sz="4" w:space="0" w:color="000000"/>
              <w:bottom w:val="single" w:sz="4" w:space="0" w:color="000000"/>
              <w:right w:val="single" w:sz="3" w:space="0" w:color="000000"/>
            </w:tcBorders>
          </w:tcPr>
          <w:p w14:paraId="48218AAB"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p>
          <w:p w14:paraId="49D19990"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130 (1,02)</w:t>
            </w:r>
          </w:p>
        </w:tc>
        <w:tc>
          <w:tcPr>
            <w:tcW w:w="2132" w:type="dxa"/>
            <w:tcBorders>
              <w:top w:val="single" w:sz="4" w:space="0" w:color="000000"/>
              <w:left w:val="single" w:sz="3" w:space="0" w:color="000000"/>
              <w:bottom w:val="single" w:sz="4" w:space="0" w:color="000000"/>
              <w:right w:val="single" w:sz="4" w:space="0" w:color="000000"/>
            </w:tcBorders>
          </w:tcPr>
          <w:p w14:paraId="08FD022E"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p>
          <w:p w14:paraId="6D496285"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142 (1,11)</w:t>
            </w:r>
          </w:p>
        </w:tc>
        <w:tc>
          <w:tcPr>
            <w:tcW w:w="1998" w:type="dxa"/>
            <w:tcBorders>
              <w:top w:val="single" w:sz="4" w:space="0" w:color="000000"/>
              <w:left w:val="single" w:sz="4" w:space="0" w:color="000000"/>
              <w:bottom w:val="single" w:sz="4" w:space="0" w:color="000000"/>
              <w:right w:val="single" w:sz="4" w:space="0" w:color="000000"/>
            </w:tcBorders>
          </w:tcPr>
          <w:p w14:paraId="335570EB"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 xml:space="preserve">0,91 </w:t>
            </w:r>
          </w:p>
          <w:p w14:paraId="6FD9B0B9"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(0,72</w:t>
            </w:r>
            <w:r w:rsidRPr="00452D62">
              <w:rPr>
                <w:rFonts w:eastAsia="MS Mincho"/>
                <w:color w:val="auto"/>
                <w:sz w:val="22"/>
                <w:szCs w:val="22"/>
                <w:lang w:eastAsia="fr-FR"/>
              </w:rPr>
              <w:noBreakHyphen/>
              <w:t>1,16)</w:t>
            </w:r>
          </w:p>
          <w:p w14:paraId="0D5DA2BF" w14:textId="77777777" w:rsidR="00823785" w:rsidRPr="00452D62"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452D62">
              <w:rPr>
                <w:rFonts w:eastAsia="MS Mincho"/>
                <w:color w:val="auto"/>
                <w:sz w:val="22"/>
                <w:szCs w:val="22"/>
                <w:lang w:eastAsia="fr-FR"/>
              </w:rPr>
              <w:t>0,464</w:t>
            </w:r>
          </w:p>
        </w:tc>
      </w:tr>
    </w:tbl>
    <w:p w14:paraId="165304CA" w14:textId="77777777" w:rsidR="00823785" w:rsidRPr="00452D62" w:rsidRDefault="00823785" w:rsidP="00823785">
      <w:pPr>
        <w:tabs>
          <w:tab w:val="clear" w:pos="567"/>
        </w:tabs>
        <w:suppressAutoHyphens w:val="0"/>
        <w:spacing w:line="240" w:lineRule="auto"/>
        <w:rPr>
          <w:rFonts w:eastAsia="MS Mincho"/>
          <w:color w:val="auto"/>
          <w:sz w:val="22"/>
          <w:szCs w:val="22"/>
          <w:lang w:eastAsia="fr-FR"/>
        </w:rPr>
      </w:pPr>
    </w:p>
    <w:p w14:paraId="09EB8464" w14:textId="77777777" w:rsidR="00823785" w:rsidRPr="00452D62" w:rsidRDefault="00823785" w:rsidP="00823785">
      <w:pPr>
        <w:tabs>
          <w:tab w:val="clear" w:pos="567"/>
        </w:tabs>
        <w:suppressAutoHyphens w:val="0"/>
        <w:spacing w:line="240" w:lineRule="auto"/>
        <w:rPr>
          <w:rFonts w:eastAsia="MS Mincho"/>
          <w:b/>
          <w:color w:val="auto"/>
          <w:sz w:val="22"/>
          <w:szCs w:val="22"/>
          <w:lang w:eastAsia="fr-FR"/>
        </w:rPr>
      </w:pPr>
      <w:r w:rsidRPr="00452D62">
        <w:rPr>
          <w:rFonts w:eastAsia="MS Mincho"/>
          <w:b/>
          <w:color w:val="auto"/>
          <w:sz w:val="22"/>
          <w:szCs w:val="22"/>
          <w:lang w:eastAsia="fr-FR"/>
        </w:rPr>
        <w:t xml:space="preserve">5 lentelė. III fazės </w:t>
      </w:r>
      <w:r w:rsidRPr="00452D62">
        <w:rPr>
          <w:rFonts w:eastAsia="MS Mincho"/>
          <w:b/>
          <w:i/>
          <w:iCs/>
          <w:color w:val="auto"/>
          <w:sz w:val="22"/>
          <w:szCs w:val="22"/>
          <w:lang w:eastAsia="fr-FR"/>
        </w:rPr>
        <w:t>ROCKET AF</w:t>
      </w:r>
      <w:r w:rsidRPr="00452D62">
        <w:rPr>
          <w:rFonts w:eastAsia="MS Mincho"/>
          <w:b/>
          <w:color w:val="auto"/>
          <w:sz w:val="22"/>
          <w:szCs w:val="22"/>
          <w:lang w:eastAsia="fr-FR"/>
        </w:rPr>
        <w:t xml:space="preserve"> tyrimo saugumo rezultatai</w:t>
      </w:r>
    </w:p>
    <w:tbl>
      <w:tblPr>
        <w:tblW w:w="0" w:type="auto"/>
        <w:tblInd w:w="4" w:type="dxa"/>
        <w:tblLayout w:type="fixed"/>
        <w:tblCellMar>
          <w:left w:w="0" w:type="dxa"/>
          <w:right w:w="0" w:type="dxa"/>
        </w:tblCellMar>
        <w:tblLook w:val="01E0" w:firstRow="1" w:lastRow="1" w:firstColumn="1" w:lastColumn="1" w:noHBand="0" w:noVBand="0"/>
      </w:tblPr>
      <w:tblGrid>
        <w:gridCol w:w="2601"/>
        <w:gridCol w:w="2312"/>
        <w:gridCol w:w="2312"/>
        <w:gridCol w:w="1693"/>
      </w:tblGrid>
      <w:tr w:rsidR="00823785" w:rsidRPr="00452D62" w14:paraId="09C09B92" w14:textId="77777777" w:rsidTr="006453B9">
        <w:trPr>
          <w:trHeight w:hRule="exact" w:val="599"/>
        </w:trPr>
        <w:tc>
          <w:tcPr>
            <w:tcW w:w="2601" w:type="dxa"/>
            <w:tcBorders>
              <w:top w:val="single" w:sz="4" w:space="0" w:color="000000"/>
              <w:left w:val="single" w:sz="3" w:space="0" w:color="000000"/>
              <w:bottom w:val="single" w:sz="4" w:space="0" w:color="000000"/>
              <w:right w:val="single" w:sz="3" w:space="0" w:color="000000"/>
            </w:tcBorders>
          </w:tcPr>
          <w:p w14:paraId="2B429CFD" w14:textId="77777777" w:rsidR="00823785" w:rsidRPr="00452D62" w:rsidRDefault="00823785" w:rsidP="006453B9">
            <w:pPr>
              <w:keepNext/>
              <w:tabs>
                <w:tab w:val="clear" w:pos="567"/>
              </w:tabs>
              <w:suppressAutoHyphens w:val="0"/>
              <w:spacing w:line="240" w:lineRule="auto"/>
              <w:ind w:left="142"/>
              <w:rPr>
                <w:rFonts w:eastAsia="MS Mincho"/>
                <w:b/>
                <w:bCs/>
                <w:color w:val="auto"/>
                <w:sz w:val="22"/>
                <w:szCs w:val="22"/>
                <w:lang w:eastAsia="fr-FR"/>
              </w:rPr>
            </w:pPr>
            <w:r w:rsidRPr="00452D62">
              <w:rPr>
                <w:rFonts w:eastAsia="MS Mincho"/>
                <w:b/>
                <w:bCs/>
                <w:color w:val="auto"/>
                <w:sz w:val="22"/>
                <w:szCs w:val="22"/>
                <w:lang w:eastAsia="fr-FR"/>
              </w:rPr>
              <w:t>Tyrimo populiacija</w:t>
            </w:r>
          </w:p>
        </w:tc>
        <w:tc>
          <w:tcPr>
            <w:tcW w:w="6317" w:type="dxa"/>
            <w:gridSpan w:val="3"/>
            <w:tcBorders>
              <w:top w:val="single" w:sz="4" w:space="0" w:color="000000"/>
              <w:left w:val="single" w:sz="3" w:space="0" w:color="000000"/>
              <w:bottom w:val="single" w:sz="4" w:space="0" w:color="000000"/>
              <w:right w:val="single" w:sz="3" w:space="0" w:color="000000"/>
            </w:tcBorders>
          </w:tcPr>
          <w:p w14:paraId="358D5347" w14:textId="77777777" w:rsidR="00823785" w:rsidRPr="00452D62"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452D62">
              <w:rPr>
                <w:rFonts w:eastAsia="MS Mincho"/>
                <w:b/>
                <w:bCs/>
                <w:i/>
                <w:iCs/>
                <w:color w:val="auto"/>
                <w:sz w:val="22"/>
                <w:szCs w:val="22"/>
                <w:lang w:eastAsia="fr-FR"/>
              </w:rPr>
              <w:t>ITT</w:t>
            </w:r>
            <w:r w:rsidRPr="00452D62">
              <w:rPr>
                <w:rFonts w:eastAsia="MS Mincho"/>
                <w:b/>
                <w:bCs/>
                <w:color w:val="auto"/>
                <w:sz w:val="22"/>
                <w:szCs w:val="22"/>
                <w:lang w:eastAsia="fr-FR"/>
              </w:rPr>
              <w:t xml:space="preserve"> veiksmingumo analizė pacientams, kuriems yra su vožtuvų liga nesusijęs prieširdžių virpėjimas</w:t>
            </w:r>
            <w:r w:rsidRPr="00452D62">
              <w:rPr>
                <w:rFonts w:eastAsia="MS Mincho"/>
                <w:b/>
                <w:bCs/>
                <w:color w:val="auto"/>
                <w:sz w:val="22"/>
                <w:szCs w:val="22"/>
                <w:vertAlign w:val="superscript"/>
                <w:lang w:eastAsia="fr-FR"/>
              </w:rPr>
              <w:t>a)</w:t>
            </w:r>
          </w:p>
        </w:tc>
      </w:tr>
      <w:tr w:rsidR="00823785" w:rsidRPr="00452D62" w14:paraId="718460C4" w14:textId="77777777" w:rsidTr="006453B9">
        <w:trPr>
          <w:trHeight w:hRule="exact" w:val="2124"/>
        </w:trPr>
        <w:tc>
          <w:tcPr>
            <w:tcW w:w="2601" w:type="dxa"/>
            <w:tcBorders>
              <w:top w:val="single" w:sz="4" w:space="0" w:color="000000"/>
              <w:left w:val="single" w:sz="3" w:space="0" w:color="000000"/>
              <w:bottom w:val="single" w:sz="3" w:space="0" w:color="000000"/>
              <w:right w:val="single" w:sz="3" w:space="0" w:color="000000"/>
            </w:tcBorders>
          </w:tcPr>
          <w:p w14:paraId="3D1CDC2C" w14:textId="77777777" w:rsidR="00823785" w:rsidRPr="000877E9" w:rsidRDefault="00823785" w:rsidP="006453B9">
            <w:pPr>
              <w:keepNext/>
              <w:tabs>
                <w:tab w:val="clear" w:pos="567"/>
              </w:tabs>
              <w:suppressAutoHyphens w:val="0"/>
              <w:spacing w:line="240" w:lineRule="auto"/>
              <w:ind w:left="142"/>
              <w:rPr>
                <w:rFonts w:eastAsia="MS Mincho"/>
                <w:b/>
                <w:bCs/>
                <w:color w:val="auto"/>
                <w:sz w:val="22"/>
                <w:szCs w:val="22"/>
                <w:lang w:eastAsia="fr-FR"/>
              </w:rPr>
            </w:pPr>
            <w:r w:rsidRPr="00452D62">
              <w:rPr>
                <w:rFonts w:eastAsia="MS Mincho"/>
                <w:b/>
                <w:bCs/>
                <w:color w:val="auto"/>
                <w:sz w:val="22"/>
                <w:szCs w:val="22"/>
                <w:lang w:eastAsia="fr-FR"/>
              </w:rPr>
              <w:t>Gydymo dozė</w:t>
            </w:r>
          </w:p>
        </w:tc>
        <w:tc>
          <w:tcPr>
            <w:tcW w:w="2312" w:type="dxa"/>
            <w:tcBorders>
              <w:top w:val="single" w:sz="4" w:space="0" w:color="000000"/>
              <w:left w:val="single" w:sz="3" w:space="0" w:color="000000"/>
              <w:bottom w:val="single" w:sz="3" w:space="0" w:color="000000"/>
              <w:right w:val="single" w:sz="4" w:space="0" w:color="000000"/>
            </w:tcBorders>
          </w:tcPr>
          <w:p w14:paraId="17375D4D" w14:textId="77777777" w:rsidR="00823785" w:rsidRPr="00452D62"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452D62">
              <w:rPr>
                <w:rFonts w:eastAsia="MS Mincho"/>
                <w:b/>
                <w:bCs/>
                <w:color w:val="auto"/>
                <w:sz w:val="22"/>
                <w:szCs w:val="22"/>
                <w:lang w:eastAsia="fr-FR"/>
              </w:rPr>
              <w:t>Rivaroksabanas 20 mg vieną kartą per parą (15 mg vieną kartą per parą pacientams, kuriems yra vidutinis inkstų funkcijos sutrikimas)</w:t>
            </w:r>
          </w:p>
          <w:p w14:paraId="42031A3B" w14:textId="77777777" w:rsidR="00823785" w:rsidRPr="00452D62"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452D62">
              <w:rPr>
                <w:rFonts w:eastAsia="MS Mincho"/>
                <w:b/>
                <w:bCs/>
                <w:color w:val="auto"/>
                <w:sz w:val="22"/>
                <w:szCs w:val="22"/>
                <w:lang w:eastAsia="fr-FR"/>
              </w:rPr>
              <w:t>Reiškinių dažnis (100 paciento metų)</w:t>
            </w:r>
          </w:p>
        </w:tc>
        <w:tc>
          <w:tcPr>
            <w:tcW w:w="2312" w:type="dxa"/>
            <w:tcBorders>
              <w:top w:val="single" w:sz="4" w:space="0" w:color="000000"/>
              <w:left w:val="single" w:sz="4" w:space="0" w:color="000000"/>
              <w:bottom w:val="single" w:sz="3" w:space="0" w:color="000000"/>
              <w:right w:val="single" w:sz="3" w:space="0" w:color="000000"/>
            </w:tcBorders>
          </w:tcPr>
          <w:p w14:paraId="0C121950" w14:textId="77777777" w:rsidR="00823785" w:rsidRPr="00452D62"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452D62">
              <w:rPr>
                <w:rFonts w:eastAsia="MS Mincho"/>
                <w:b/>
                <w:bCs/>
                <w:color w:val="auto"/>
                <w:sz w:val="22"/>
                <w:szCs w:val="22"/>
                <w:lang w:eastAsia="fr-FR"/>
              </w:rPr>
              <w:t xml:space="preserve">Varfarinas, titruotas iki tikslinio INR rodmens 2,5 (terapinis intervalas nuo 2,0 iki 3,0) </w:t>
            </w:r>
          </w:p>
          <w:p w14:paraId="2D61B74E" w14:textId="77777777" w:rsidR="00823785" w:rsidRPr="00452D62"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452D62">
              <w:rPr>
                <w:rFonts w:eastAsia="MS Mincho"/>
                <w:b/>
                <w:bCs/>
                <w:color w:val="auto"/>
                <w:sz w:val="22"/>
                <w:szCs w:val="22"/>
                <w:lang w:eastAsia="fr-FR"/>
              </w:rPr>
              <w:t>Reiškinių dažnis (100 paciento metų)</w:t>
            </w:r>
          </w:p>
        </w:tc>
        <w:tc>
          <w:tcPr>
            <w:tcW w:w="1693" w:type="dxa"/>
            <w:tcBorders>
              <w:top w:val="single" w:sz="4" w:space="0" w:color="000000"/>
              <w:left w:val="single" w:sz="3" w:space="0" w:color="000000"/>
              <w:bottom w:val="single" w:sz="3" w:space="0" w:color="000000"/>
              <w:right w:val="single" w:sz="3" w:space="0" w:color="000000"/>
            </w:tcBorders>
          </w:tcPr>
          <w:p w14:paraId="18C1E961" w14:textId="4F4B8EFE" w:rsidR="00823785" w:rsidRPr="00452D62"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452D62">
              <w:rPr>
                <w:rFonts w:eastAsia="MS Mincho"/>
                <w:b/>
                <w:bCs/>
                <w:color w:val="auto"/>
                <w:sz w:val="22"/>
                <w:szCs w:val="22"/>
                <w:lang w:eastAsia="fr-FR"/>
              </w:rPr>
              <w:t>RS (95 % PI)</w:t>
            </w:r>
          </w:p>
          <w:p w14:paraId="6222F0FF" w14:textId="77777777" w:rsidR="00823785" w:rsidRPr="00452D62"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452D62">
              <w:rPr>
                <w:rFonts w:eastAsia="MS Mincho"/>
                <w:b/>
                <w:bCs/>
                <w:color w:val="auto"/>
                <w:sz w:val="22"/>
                <w:szCs w:val="22"/>
                <w:lang w:eastAsia="fr-FR"/>
              </w:rPr>
              <w:t>p reikšmė</w:t>
            </w:r>
          </w:p>
        </w:tc>
      </w:tr>
      <w:tr w:rsidR="00823785" w:rsidRPr="00452D62" w14:paraId="11E9EE3B" w14:textId="77777777" w:rsidTr="006453B9">
        <w:trPr>
          <w:trHeight w:hRule="exact" w:val="834"/>
        </w:trPr>
        <w:tc>
          <w:tcPr>
            <w:tcW w:w="2601" w:type="dxa"/>
            <w:tcBorders>
              <w:top w:val="single" w:sz="3" w:space="0" w:color="000000"/>
              <w:left w:val="single" w:sz="3" w:space="0" w:color="000000"/>
              <w:bottom w:val="single" w:sz="4" w:space="0" w:color="000000"/>
              <w:right w:val="single" w:sz="3" w:space="0" w:color="000000"/>
            </w:tcBorders>
          </w:tcPr>
          <w:p w14:paraId="7E814240" w14:textId="77777777" w:rsidR="00823785" w:rsidRPr="00452D62" w:rsidRDefault="00823785" w:rsidP="006453B9">
            <w:pPr>
              <w:tabs>
                <w:tab w:val="clear" w:pos="567"/>
              </w:tabs>
              <w:suppressAutoHyphens w:val="0"/>
              <w:spacing w:line="240" w:lineRule="auto"/>
              <w:ind w:left="142"/>
              <w:rPr>
                <w:rFonts w:eastAsia="MS Mincho"/>
                <w:color w:val="auto"/>
                <w:sz w:val="22"/>
                <w:szCs w:val="22"/>
                <w:lang w:eastAsia="fr-FR"/>
              </w:rPr>
            </w:pPr>
            <w:r w:rsidRPr="00452D62">
              <w:rPr>
                <w:rFonts w:eastAsia="MS Mincho"/>
                <w:color w:val="auto"/>
                <w:sz w:val="22"/>
                <w:szCs w:val="22"/>
                <w:lang w:eastAsia="fr-FR"/>
              </w:rPr>
              <w:t>Didžiojo ir ne didžiojo kliniškai reikšmingo kraujavimo atvejai</w:t>
            </w:r>
          </w:p>
        </w:tc>
        <w:tc>
          <w:tcPr>
            <w:tcW w:w="2312" w:type="dxa"/>
            <w:tcBorders>
              <w:top w:val="single" w:sz="3" w:space="0" w:color="000000"/>
              <w:left w:val="single" w:sz="3" w:space="0" w:color="000000"/>
              <w:bottom w:val="single" w:sz="4" w:space="0" w:color="000000"/>
              <w:right w:val="single" w:sz="4" w:space="0" w:color="000000"/>
            </w:tcBorders>
          </w:tcPr>
          <w:p w14:paraId="3FD7859D"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1,475</w:t>
            </w:r>
          </w:p>
          <w:p w14:paraId="4A2DB552"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(14,91)</w:t>
            </w:r>
          </w:p>
        </w:tc>
        <w:tc>
          <w:tcPr>
            <w:tcW w:w="2312" w:type="dxa"/>
            <w:tcBorders>
              <w:top w:val="single" w:sz="3" w:space="0" w:color="000000"/>
              <w:left w:val="single" w:sz="4" w:space="0" w:color="000000"/>
              <w:bottom w:val="single" w:sz="4" w:space="0" w:color="000000"/>
              <w:right w:val="single" w:sz="3" w:space="0" w:color="000000"/>
            </w:tcBorders>
          </w:tcPr>
          <w:p w14:paraId="5691EA19"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1,449</w:t>
            </w:r>
          </w:p>
          <w:p w14:paraId="36CE9CB8"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(14,52)</w:t>
            </w:r>
          </w:p>
        </w:tc>
        <w:tc>
          <w:tcPr>
            <w:tcW w:w="1693" w:type="dxa"/>
            <w:tcBorders>
              <w:top w:val="single" w:sz="3" w:space="0" w:color="000000"/>
              <w:left w:val="single" w:sz="3" w:space="0" w:color="000000"/>
              <w:bottom w:val="single" w:sz="4" w:space="0" w:color="000000"/>
              <w:right w:val="single" w:sz="3" w:space="0" w:color="000000"/>
            </w:tcBorders>
          </w:tcPr>
          <w:p w14:paraId="2F5F1E4E"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1,03</w:t>
            </w:r>
          </w:p>
          <w:p w14:paraId="6F1A598B"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(0,96</w:t>
            </w:r>
            <w:r w:rsidRPr="00452D62">
              <w:rPr>
                <w:rFonts w:eastAsia="MS Mincho"/>
                <w:color w:val="auto"/>
                <w:sz w:val="22"/>
                <w:szCs w:val="22"/>
                <w:lang w:eastAsia="fr-FR"/>
              </w:rPr>
              <w:noBreakHyphen/>
              <w:t>1,11)</w:t>
            </w:r>
          </w:p>
          <w:p w14:paraId="60EA2713"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0,442</w:t>
            </w:r>
          </w:p>
        </w:tc>
      </w:tr>
      <w:tr w:rsidR="00823785" w:rsidRPr="00452D62" w14:paraId="441EC372" w14:textId="77777777" w:rsidTr="006453B9">
        <w:trPr>
          <w:trHeight w:hRule="exact" w:val="852"/>
        </w:trPr>
        <w:tc>
          <w:tcPr>
            <w:tcW w:w="2601" w:type="dxa"/>
            <w:tcBorders>
              <w:top w:val="single" w:sz="4" w:space="0" w:color="000000"/>
              <w:left w:val="single" w:sz="3" w:space="0" w:color="000000"/>
              <w:bottom w:val="single" w:sz="4" w:space="0" w:color="000000"/>
              <w:right w:val="single" w:sz="3" w:space="0" w:color="000000"/>
            </w:tcBorders>
          </w:tcPr>
          <w:p w14:paraId="5664F73E" w14:textId="77777777" w:rsidR="00823785" w:rsidRPr="00452D62" w:rsidRDefault="00823785" w:rsidP="006453B9">
            <w:pPr>
              <w:tabs>
                <w:tab w:val="clear" w:pos="567"/>
              </w:tabs>
              <w:suppressAutoHyphens w:val="0"/>
              <w:spacing w:line="240" w:lineRule="auto"/>
              <w:ind w:left="426"/>
              <w:rPr>
                <w:rFonts w:eastAsia="MS Mincho"/>
                <w:color w:val="auto"/>
                <w:sz w:val="22"/>
                <w:szCs w:val="22"/>
                <w:lang w:eastAsia="fr-FR"/>
              </w:rPr>
            </w:pPr>
            <w:r w:rsidRPr="00452D62">
              <w:rPr>
                <w:rFonts w:eastAsia="MS Mincho"/>
                <w:color w:val="auto"/>
                <w:sz w:val="22"/>
                <w:szCs w:val="22"/>
                <w:lang w:eastAsia="fr-FR"/>
              </w:rPr>
              <w:t>Didžiojo kraujavimo atveja</w:t>
            </w:r>
          </w:p>
        </w:tc>
        <w:tc>
          <w:tcPr>
            <w:tcW w:w="2312" w:type="dxa"/>
            <w:tcBorders>
              <w:top w:val="single" w:sz="4" w:space="0" w:color="000000"/>
              <w:left w:val="single" w:sz="3" w:space="0" w:color="000000"/>
              <w:bottom w:val="single" w:sz="4" w:space="0" w:color="000000"/>
              <w:right w:val="single" w:sz="4" w:space="0" w:color="000000"/>
            </w:tcBorders>
          </w:tcPr>
          <w:p w14:paraId="7A6DECFF"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395</w:t>
            </w:r>
          </w:p>
          <w:p w14:paraId="6629ECEB"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(3,60)</w:t>
            </w:r>
          </w:p>
        </w:tc>
        <w:tc>
          <w:tcPr>
            <w:tcW w:w="2312" w:type="dxa"/>
            <w:tcBorders>
              <w:top w:val="single" w:sz="4" w:space="0" w:color="000000"/>
              <w:left w:val="single" w:sz="4" w:space="0" w:color="000000"/>
              <w:bottom w:val="single" w:sz="4" w:space="0" w:color="000000"/>
              <w:right w:val="single" w:sz="3" w:space="0" w:color="000000"/>
            </w:tcBorders>
          </w:tcPr>
          <w:p w14:paraId="7172DDFE"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386</w:t>
            </w:r>
          </w:p>
          <w:p w14:paraId="5EBB4552"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(3,45)</w:t>
            </w:r>
          </w:p>
        </w:tc>
        <w:tc>
          <w:tcPr>
            <w:tcW w:w="1693" w:type="dxa"/>
            <w:tcBorders>
              <w:top w:val="single" w:sz="4" w:space="0" w:color="000000"/>
              <w:left w:val="single" w:sz="3" w:space="0" w:color="000000"/>
              <w:bottom w:val="single" w:sz="4" w:space="0" w:color="000000"/>
              <w:right w:val="single" w:sz="3" w:space="0" w:color="000000"/>
            </w:tcBorders>
          </w:tcPr>
          <w:p w14:paraId="515F31EE"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1,04</w:t>
            </w:r>
          </w:p>
          <w:p w14:paraId="4C0B5AD1"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(0,90</w:t>
            </w:r>
            <w:r w:rsidRPr="00452D62">
              <w:rPr>
                <w:rFonts w:eastAsia="MS Mincho"/>
                <w:color w:val="auto"/>
                <w:sz w:val="22"/>
                <w:szCs w:val="22"/>
                <w:lang w:eastAsia="fr-FR"/>
              </w:rPr>
              <w:noBreakHyphen/>
              <w:t>1,20)</w:t>
            </w:r>
          </w:p>
          <w:p w14:paraId="6AA7D838"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0,576</w:t>
            </w:r>
          </w:p>
        </w:tc>
      </w:tr>
      <w:tr w:rsidR="00823785" w:rsidRPr="00452D62" w14:paraId="0DB7D1E8" w14:textId="77777777" w:rsidTr="006453B9">
        <w:trPr>
          <w:trHeight w:hRule="exact" w:val="854"/>
        </w:trPr>
        <w:tc>
          <w:tcPr>
            <w:tcW w:w="2601" w:type="dxa"/>
            <w:tcBorders>
              <w:top w:val="single" w:sz="4" w:space="0" w:color="000000"/>
              <w:left w:val="single" w:sz="3" w:space="0" w:color="000000"/>
              <w:bottom w:val="single" w:sz="3" w:space="0" w:color="000000"/>
              <w:right w:val="single" w:sz="3" w:space="0" w:color="000000"/>
            </w:tcBorders>
          </w:tcPr>
          <w:p w14:paraId="6B3CC3DA" w14:textId="77777777" w:rsidR="00823785" w:rsidRPr="00452D62" w:rsidRDefault="00823785" w:rsidP="006453B9">
            <w:pPr>
              <w:tabs>
                <w:tab w:val="clear" w:pos="567"/>
              </w:tabs>
              <w:suppressAutoHyphens w:val="0"/>
              <w:spacing w:line="240" w:lineRule="auto"/>
              <w:ind w:left="709"/>
              <w:rPr>
                <w:rFonts w:eastAsia="MS Mincho"/>
                <w:color w:val="auto"/>
                <w:sz w:val="22"/>
                <w:szCs w:val="22"/>
                <w:lang w:eastAsia="fr-FR"/>
              </w:rPr>
            </w:pPr>
            <w:r w:rsidRPr="00452D62">
              <w:rPr>
                <w:rFonts w:eastAsia="MS Mincho"/>
                <w:color w:val="auto"/>
                <w:sz w:val="22"/>
                <w:szCs w:val="22"/>
                <w:lang w:eastAsia="fr-FR"/>
              </w:rPr>
              <w:t>Mirtis dėl kraujavimo*</w:t>
            </w:r>
          </w:p>
        </w:tc>
        <w:tc>
          <w:tcPr>
            <w:tcW w:w="2312" w:type="dxa"/>
            <w:tcBorders>
              <w:top w:val="single" w:sz="4" w:space="0" w:color="000000"/>
              <w:left w:val="single" w:sz="3" w:space="0" w:color="000000"/>
              <w:bottom w:val="single" w:sz="3" w:space="0" w:color="000000"/>
              <w:right w:val="single" w:sz="4" w:space="0" w:color="000000"/>
            </w:tcBorders>
          </w:tcPr>
          <w:p w14:paraId="1532816D"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 xml:space="preserve">27 </w:t>
            </w:r>
          </w:p>
          <w:p w14:paraId="4D9BF68F"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(0,24)</w:t>
            </w:r>
          </w:p>
        </w:tc>
        <w:tc>
          <w:tcPr>
            <w:tcW w:w="2312" w:type="dxa"/>
            <w:tcBorders>
              <w:top w:val="single" w:sz="4" w:space="0" w:color="000000"/>
              <w:left w:val="single" w:sz="4" w:space="0" w:color="000000"/>
              <w:bottom w:val="single" w:sz="3" w:space="0" w:color="000000"/>
              <w:right w:val="single" w:sz="3" w:space="0" w:color="000000"/>
            </w:tcBorders>
          </w:tcPr>
          <w:p w14:paraId="734E9C1F"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55 (0,48)</w:t>
            </w:r>
          </w:p>
        </w:tc>
        <w:tc>
          <w:tcPr>
            <w:tcW w:w="1693" w:type="dxa"/>
            <w:tcBorders>
              <w:top w:val="single" w:sz="4" w:space="0" w:color="000000"/>
              <w:left w:val="single" w:sz="3" w:space="0" w:color="000000"/>
              <w:bottom w:val="single" w:sz="3" w:space="0" w:color="000000"/>
              <w:right w:val="single" w:sz="3" w:space="0" w:color="000000"/>
            </w:tcBorders>
          </w:tcPr>
          <w:p w14:paraId="29C838BD"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 xml:space="preserve">0,50 </w:t>
            </w:r>
          </w:p>
          <w:p w14:paraId="01357EA9"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(0,31</w:t>
            </w:r>
            <w:r w:rsidRPr="00452D62">
              <w:rPr>
                <w:rFonts w:eastAsia="MS Mincho"/>
                <w:color w:val="auto"/>
                <w:sz w:val="22"/>
                <w:szCs w:val="22"/>
                <w:lang w:eastAsia="fr-FR"/>
              </w:rPr>
              <w:noBreakHyphen/>
              <w:t>0,79)</w:t>
            </w:r>
          </w:p>
          <w:p w14:paraId="7C48BE42"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0,003</w:t>
            </w:r>
          </w:p>
        </w:tc>
      </w:tr>
      <w:tr w:rsidR="00823785" w:rsidRPr="00452D62" w14:paraId="5BD58F4E" w14:textId="77777777" w:rsidTr="006453B9">
        <w:trPr>
          <w:trHeight w:hRule="exact" w:val="848"/>
        </w:trPr>
        <w:tc>
          <w:tcPr>
            <w:tcW w:w="2601" w:type="dxa"/>
            <w:tcBorders>
              <w:top w:val="single" w:sz="3" w:space="0" w:color="000000"/>
              <w:left w:val="single" w:sz="3" w:space="0" w:color="000000"/>
              <w:bottom w:val="single" w:sz="3" w:space="0" w:color="000000"/>
              <w:right w:val="single" w:sz="3" w:space="0" w:color="000000"/>
            </w:tcBorders>
          </w:tcPr>
          <w:p w14:paraId="5FFC6DE6" w14:textId="77777777" w:rsidR="00823785" w:rsidRPr="00452D62" w:rsidRDefault="00823785" w:rsidP="006453B9">
            <w:pPr>
              <w:tabs>
                <w:tab w:val="clear" w:pos="567"/>
              </w:tabs>
              <w:suppressAutoHyphens w:val="0"/>
              <w:spacing w:line="240" w:lineRule="auto"/>
              <w:ind w:left="709"/>
              <w:rPr>
                <w:rFonts w:eastAsia="MS Mincho"/>
                <w:color w:val="auto"/>
                <w:sz w:val="22"/>
                <w:szCs w:val="22"/>
                <w:lang w:eastAsia="fr-FR"/>
              </w:rPr>
            </w:pPr>
            <w:r w:rsidRPr="00452D62">
              <w:rPr>
                <w:rFonts w:eastAsia="MS Mincho"/>
                <w:color w:val="auto"/>
                <w:sz w:val="22"/>
                <w:szCs w:val="22"/>
                <w:lang w:eastAsia="fr-FR"/>
              </w:rPr>
              <w:t>Kritinio organų kraujavimas*</w:t>
            </w:r>
          </w:p>
        </w:tc>
        <w:tc>
          <w:tcPr>
            <w:tcW w:w="2312" w:type="dxa"/>
            <w:tcBorders>
              <w:top w:val="single" w:sz="3" w:space="0" w:color="000000"/>
              <w:left w:val="single" w:sz="3" w:space="0" w:color="000000"/>
              <w:bottom w:val="single" w:sz="3" w:space="0" w:color="000000"/>
              <w:right w:val="single" w:sz="4" w:space="0" w:color="000000"/>
            </w:tcBorders>
          </w:tcPr>
          <w:p w14:paraId="7210E85E"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 xml:space="preserve">91 </w:t>
            </w:r>
          </w:p>
          <w:p w14:paraId="0DAF59DC"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(0,82)</w:t>
            </w:r>
          </w:p>
        </w:tc>
        <w:tc>
          <w:tcPr>
            <w:tcW w:w="2312" w:type="dxa"/>
            <w:tcBorders>
              <w:top w:val="single" w:sz="3" w:space="0" w:color="000000"/>
              <w:left w:val="single" w:sz="4" w:space="0" w:color="000000"/>
              <w:bottom w:val="single" w:sz="3" w:space="0" w:color="000000"/>
              <w:right w:val="single" w:sz="3" w:space="0" w:color="000000"/>
            </w:tcBorders>
          </w:tcPr>
          <w:p w14:paraId="1B16FC34"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133 (1,18)</w:t>
            </w:r>
          </w:p>
        </w:tc>
        <w:tc>
          <w:tcPr>
            <w:tcW w:w="1693" w:type="dxa"/>
            <w:tcBorders>
              <w:top w:val="single" w:sz="3" w:space="0" w:color="000000"/>
              <w:left w:val="single" w:sz="3" w:space="0" w:color="000000"/>
              <w:bottom w:val="single" w:sz="3" w:space="0" w:color="000000"/>
              <w:right w:val="single" w:sz="3" w:space="0" w:color="000000"/>
            </w:tcBorders>
          </w:tcPr>
          <w:p w14:paraId="5BD621F8"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 xml:space="preserve">0,69 </w:t>
            </w:r>
          </w:p>
          <w:p w14:paraId="40E20115"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(0,53</w:t>
            </w:r>
            <w:r w:rsidRPr="00452D62">
              <w:rPr>
                <w:rFonts w:eastAsia="MS Mincho"/>
                <w:color w:val="auto"/>
                <w:sz w:val="22"/>
                <w:szCs w:val="22"/>
                <w:lang w:eastAsia="fr-FR"/>
              </w:rPr>
              <w:noBreakHyphen/>
              <w:t>0,91)</w:t>
            </w:r>
          </w:p>
          <w:p w14:paraId="3950623D"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0,007</w:t>
            </w:r>
          </w:p>
        </w:tc>
      </w:tr>
      <w:tr w:rsidR="00823785" w:rsidRPr="00452D62" w14:paraId="35873BE1" w14:textId="77777777" w:rsidTr="006453B9">
        <w:trPr>
          <w:trHeight w:hRule="exact" w:val="846"/>
        </w:trPr>
        <w:tc>
          <w:tcPr>
            <w:tcW w:w="2601" w:type="dxa"/>
            <w:tcBorders>
              <w:top w:val="single" w:sz="3" w:space="0" w:color="000000"/>
              <w:left w:val="single" w:sz="3" w:space="0" w:color="000000"/>
              <w:bottom w:val="single" w:sz="4" w:space="0" w:color="000000"/>
              <w:right w:val="single" w:sz="3" w:space="0" w:color="000000"/>
            </w:tcBorders>
          </w:tcPr>
          <w:p w14:paraId="2AE798AD" w14:textId="77777777" w:rsidR="00823785" w:rsidRPr="00452D62" w:rsidRDefault="00823785" w:rsidP="006453B9">
            <w:pPr>
              <w:tabs>
                <w:tab w:val="clear" w:pos="567"/>
              </w:tabs>
              <w:suppressAutoHyphens w:val="0"/>
              <w:spacing w:line="240" w:lineRule="auto"/>
              <w:ind w:left="709"/>
              <w:rPr>
                <w:rFonts w:eastAsia="MS Mincho"/>
                <w:color w:val="auto"/>
                <w:sz w:val="22"/>
                <w:szCs w:val="22"/>
                <w:lang w:eastAsia="fr-FR"/>
              </w:rPr>
            </w:pPr>
            <w:r w:rsidRPr="00452D62">
              <w:rPr>
                <w:rFonts w:eastAsia="MS Mincho"/>
                <w:color w:val="auto"/>
                <w:sz w:val="22"/>
                <w:szCs w:val="22"/>
                <w:lang w:eastAsia="fr-FR"/>
              </w:rPr>
              <w:t>Intrakranijinis kraujavimas*</w:t>
            </w:r>
          </w:p>
        </w:tc>
        <w:tc>
          <w:tcPr>
            <w:tcW w:w="2312" w:type="dxa"/>
            <w:tcBorders>
              <w:top w:val="single" w:sz="3" w:space="0" w:color="000000"/>
              <w:left w:val="single" w:sz="3" w:space="0" w:color="000000"/>
              <w:bottom w:val="single" w:sz="4" w:space="0" w:color="000000"/>
              <w:right w:val="single" w:sz="4" w:space="0" w:color="000000"/>
            </w:tcBorders>
          </w:tcPr>
          <w:p w14:paraId="11D8E98F"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 xml:space="preserve">55 </w:t>
            </w:r>
          </w:p>
          <w:p w14:paraId="4984DC14"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(0,49)</w:t>
            </w:r>
          </w:p>
        </w:tc>
        <w:tc>
          <w:tcPr>
            <w:tcW w:w="2312" w:type="dxa"/>
            <w:tcBorders>
              <w:top w:val="single" w:sz="3" w:space="0" w:color="000000"/>
              <w:left w:val="single" w:sz="4" w:space="0" w:color="000000"/>
              <w:bottom w:val="single" w:sz="4" w:space="0" w:color="000000"/>
              <w:right w:val="single" w:sz="3" w:space="0" w:color="000000"/>
            </w:tcBorders>
          </w:tcPr>
          <w:p w14:paraId="08FBCFE6"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84 (0,74)</w:t>
            </w:r>
          </w:p>
        </w:tc>
        <w:tc>
          <w:tcPr>
            <w:tcW w:w="1693" w:type="dxa"/>
            <w:tcBorders>
              <w:top w:val="single" w:sz="3" w:space="0" w:color="000000"/>
              <w:left w:val="single" w:sz="3" w:space="0" w:color="000000"/>
              <w:bottom w:val="single" w:sz="4" w:space="0" w:color="000000"/>
              <w:right w:val="single" w:sz="3" w:space="0" w:color="000000"/>
            </w:tcBorders>
          </w:tcPr>
          <w:p w14:paraId="3F635BDC"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 xml:space="preserve">0,67 </w:t>
            </w:r>
          </w:p>
          <w:p w14:paraId="61C7CE54"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(0,47</w:t>
            </w:r>
            <w:r w:rsidRPr="00452D62">
              <w:rPr>
                <w:rFonts w:eastAsia="MS Mincho"/>
                <w:color w:val="auto"/>
                <w:sz w:val="22"/>
                <w:szCs w:val="22"/>
                <w:lang w:eastAsia="fr-FR"/>
              </w:rPr>
              <w:noBreakHyphen/>
              <w:t>0,93)</w:t>
            </w:r>
          </w:p>
          <w:p w14:paraId="49434A53"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0,019</w:t>
            </w:r>
          </w:p>
        </w:tc>
      </w:tr>
      <w:tr w:rsidR="00823785" w:rsidRPr="00452D62" w14:paraId="62DA2897" w14:textId="77777777" w:rsidTr="006453B9">
        <w:trPr>
          <w:trHeight w:hRule="exact" w:val="846"/>
        </w:trPr>
        <w:tc>
          <w:tcPr>
            <w:tcW w:w="2601" w:type="dxa"/>
            <w:tcBorders>
              <w:top w:val="single" w:sz="4" w:space="0" w:color="000000"/>
              <w:left w:val="single" w:sz="3" w:space="0" w:color="000000"/>
              <w:bottom w:val="single" w:sz="4" w:space="0" w:color="000000"/>
              <w:right w:val="single" w:sz="3" w:space="0" w:color="000000"/>
            </w:tcBorders>
          </w:tcPr>
          <w:p w14:paraId="2010E588" w14:textId="77777777" w:rsidR="00823785" w:rsidRPr="00452D62" w:rsidRDefault="00823785" w:rsidP="006453B9">
            <w:pPr>
              <w:tabs>
                <w:tab w:val="clear" w:pos="567"/>
              </w:tabs>
              <w:suppressAutoHyphens w:val="0"/>
              <w:spacing w:line="240" w:lineRule="auto"/>
              <w:ind w:left="709"/>
              <w:rPr>
                <w:rFonts w:eastAsia="MS Mincho"/>
                <w:color w:val="auto"/>
                <w:sz w:val="22"/>
                <w:szCs w:val="22"/>
                <w:lang w:eastAsia="fr-FR"/>
              </w:rPr>
            </w:pPr>
            <w:r w:rsidRPr="00452D62">
              <w:rPr>
                <w:rFonts w:eastAsia="MS Mincho"/>
                <w:color w:val="auto"/>
                <w:sz w:val="22"/>
                <w:szCs w:val="22"/>
                <w:lang w:eastAsia="fr-FR"/>
              </w:rPr>
              <w:t>Hemoglobino rodmens mažėjimas*</w:t>
            </w:r>
          </w:p>
        </w:tc>
        <w:tc>
          <w:tcPr>
            <w:tcW w:w="2312" w:type="dxa"/>
            <w:tcBorders>
              <w:top w:val="single" w:sz="4" w:space="0" w:color="000000"/>
              <w:left w:val="single" w:sz="3" w:space="0" w:color="000000"/>
              <w:bottom w:val="single" w:sz="4" w:space="0" w:color="000000"/>
              <w:right w:val="single" w:sz="4" w:space="0" w:color="000000"/>
            </w:tcBorders>
          </w:tcPr>
          <w:p w14:paraId="43424E20"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 xml:space="preserve">305 </w:t>
            </w:r>
          </w:p>
          <w:p w14:paraId="61BBF28C"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(2,77)</w:t>
            </w:r>
          </w:p>
        </w:tc>
        <w:tc>
          <w:tcPr>
            <w:tcW w:w="2312" w:type="dxa"/>
            <w:tcBorders>
              <w:top w:val="single" w:sz="4" w:space="0" w:color="000000"/>
              <w:left w:val="single" w:sz="4" w:space="0" w:color="000000"/>
              <w:bottom w:val="single" w:sz="4" w:space="0" w:color="000000"/>
              <w:right w:val="single" w:sz="3" w:space="0" w:color="000000"/>
            </w:tcBorders>
          </w:tcPr>
          <w:p w14:paraId="0254C54C"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254 (2,26)</w:t>
            </w:r>
          </w:p>
        </w:tc>
        <w:tc>
          <w:tcPr>
            <w:tcW w:w="1693" w:type="dxa"/>
            <w:tcBorders>
              <w:top w:val="single" w:sz="4" w:space="0" w:color="000000"/>
              <w:left w:val="single" w:sz="3" w:space="0" w:color="000000"/>
              <w:bottom w:val="single" w:sz="4" w:space="0" w:color="000000"/>
              <w:right w:val="single" w:sz="3" w:space="0" w:color="000000"/>
            </w:tcBorders>
          </w:tcPr>
          <w:p w14:paraId="09219F52"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 xml:space="preserve">1,22 </w:t>
            </w:r>
          </w:p>
          <w:p w14:paraId="69E9D4CC"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(1,03</w:t>
            </w:r>
            <w:r w:rsidRPr="00452D62">
              <w:rPr>
                <w:rFonts w:eastAsia="MS Mincho"/>
                <w:color w:val="auto"/>
                <w:sz w:val="22"/>
                <w:szCs w:val="22"/>
                <w:lang w:eastAsia="fr-FR"/>
              </w:rPr>
              <w:noBreakHyphen/>
              <w:t>1,44)</w:t>
            </w:r>
          </w:p>
          <w:p w14:paraId="4A9575EF"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0,019</w:t>
            </w:r>
          </w:p>
        </w:tc>
      </w:tr>
      <w:tr w:rsidR="00823785" w:rsidRPr="00452D62" w14:paraId="0B50DCA2" w14:textId="77777777" w:rsidTr="006453B9">
        <w:trPr>
          <w:trHeight w:hRule="exact" w:val="1026"/>
        </w:trPr>
        <w:tc>
          <w:tcPr>
            <w:tcW w:w="2601" w:type="dxa"/>
            <w:tcBorders>
              <w:top w:val="single" w:sz="4" w:space="0" w:color="000000"/>
              <w:left w:val="single" w:sz="3" w:space="0" w:color="000000"/>
              <w:bottom w:val="single" w:sz="3" w:space="0" w:color="000000"/>
              <w:right w:val="single" w:sz="3" w:space="0" w:color="000000"/>
            </w:tcBorders>
          </w:tcPr>
          <w:p w14:paraId="66540FBB" w14:textId="77777777" w:rsidR="00823785" w:rsidRPr="00452D62" w:rsidRDefault="00823785" w:rsidP="006453B9">
            <w:pPr>
              <w:tabs>
                <w:tab w:val="clear" w:pos="567"/>
              </w:tabs>
              <w:suppressAutoHyphens w:val="0"/>
              <w:spacing w:line="240" w:lineRule="auto"/>
              <w:ind w:left="709"/>
              <w:rPr>
                <w:rFonts w:eastAsia="MS Mincho"/>
                <w:color w:val="auto"/>
                <w:sz w:val="22"/>
                <w:szCs w:val="22"/>
                <w:lang w:eastAsia="fr-FR"/>
              </w:rPr>
            </w:pPr>
            <w:r w:rsidRPr="00452D62">
              <w:rPr>
                <w:rFonts w:eastAsia="MS Mincho"/>
                <w:color w:val="auto"/>
                <w:sz w:val="22"/>
                <w:szCs w:val="22"/>
                <w:lang w:eastAsia="fr-FR"/>
              </w:rPr>
              <w:t>2 ar daugiau eritrocitų masės ar viso kraujo pakuočių perpylimas*</w:t>
            </w:r>
          </w:p>
        </w:tc>
        <w:tc>
          <w:tcPr>
            <w:tcW w:w="2312" w:type="dxa"/>
            <w:tcBorders>
              <w:top w:val="single" w:sz="4" w:space="0" w:color="000000"/>
              <w:left w:val="single" w:sz="3" w:space="0" w:color="000000"/>
              <w:bottom w:val="single" w:sz="3" w:space="0" w:color="000000"/>
              <w:right w:val="single" w:sz="4" w:space="0" w:color="000000"/>
            </w:tcBorders>
          </w:tcPr>
          <w:p w14:paraId="41EC61D5"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 xml:space="preserve">183 </w:t>
            </w:r>
          </w:p>
          <w:p w14:paraId="24720D9C"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(1,65)</w:t>
            </w:r>
          </w:p>
        </w:tc>
        <w:tc>
          <w:tcPr>
            <w:tcW w:w="2312" w:type="dxa"/>
            <w:tcBorders>
              <w:top w:val="single" w:sz="4" w:space="0" w:color="000000"/>
              <w:left w:val="single" w:sz="4" w:space="0" w:color="000000"/>
              <w:bottom w:val="single" w:sz="3" w:space="0" w:color="000000"/>
              <w:right w:val="single" w:sz="3" w:space="0" w:color="000000"/>
            </w:tcBorders>
          </w:tcPr>
          <w:p w14:paraId="4680DC5C"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149 (1,32)</w:t>
            </w:r>
          </w:p>
        </w:tc>
        <w:tc>
          <w:tcPr>
            <w:tcW w:w="1693" w:type="dxa"/>
            <w:tcBorders>
              <w:top w:val="single" w:sz="4" w:space="0" w:color="000000"/>
              <w:left w:val="single" w:sz="3" w:space="0" w:color="000000"/>
              <w:bottom w:val="single" w:sz="3" w:space="0" w:color="000000"/>
              <w:right w:val="single" w:sz="3" w:space="0" w:color="000000"/>
            </w:tcBorders>
          </w:tcPr>
          <w:p w14:paraId="58928239"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 xml:space="preserve">1,25 </w:t>
            </w:r>
          </w:p>
          <w:p w14:paraId="079AA585"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(1,01</w:t>
            </w:r>
            <w:r w:rsidRPr="00452D62">
              <w:rPr>
                <w:rFonts w:eastAsia="MS Mincho"/>
                <w:color w:val="auto"/>
                <w:sz w:val="22"/>
                <w:szCs w:val="22"/>
                <w:lang w:eastAsia="fr-FR"/>
              </w:rPr>
              <w:noBreakHyphen/>
              <w:t>1,55)</w:t>
            </w:r>
          </w:p>
          <w:p w14:paraId="52CC8681"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0,044</w:t>
            </w:r>
          </w:p>
        </w:tc>
      </w:tr>
      <w:tr w:rsidR="00823785" w:rsidRPr="00452D62" w14:paraId="34548BD5" w14:textId="77777777" w:rsidTr="006453B9">
        <w:trPr>
          <w:trHeight w:hRule="exact" w:val="834"/>
        </w:trPr>
        <w:tc>
          <w:tcPr>
            <w:tcW w:w="2601" w:type="dxa"/>
            <w:tcBorders>
              <w:top w:val="single" w:sz="3" w:space="0" w:color="000000"/>
              <w:left w:val="single" w:sz="3" w:space="0" w:color="000000"/>
              <w:bottom w:val="single" w:sz="4" w:space="0" w:color="000000"/>
              <w:right w:val="single" w:sz="3" w:space="0" w:color="000000"/>
            </w:tcBorders>
          </w:tcPr>
          <w:p w14:paraId="382CD731" w14:textId="77777777" w:rsidR="00823785" w:rsidRPr="00452D62" w:rsidRDefault="00823785" w:rsidP="006453B9">
            <w:pPr>
              <w:tabs>
                <w:tab w:val="clear" w:pos="567"/>
              </w:tabs>
              <w:suppressAutoHyphens w:val="0"/>
              <w:spacing w:line="240" w:lineRule="auto"/>
              <w:ind w:left="142"/>
              <w:rPr>
                <w:rFonts w:eastAsia="MS Mincho"/>
                <w:color w:val="auto"/>
                <w:sz w:val="22"/>
                <w:szCs w:val="22"/>
                <w:lang w:eastAsia="fr-FR"/>
              </w:rPr>
            </w:pPr>
            <w:r w:rsidRPr="00452D62">
              <w:rPr>
                <w:rFonts w:eastAsia="MS Mincho"/>
                <w:color w:val="auto"/>
                <w:sz w:val="22"/>
                <w:szCs w:val="22"/>
                <w:lang w:eastAsia="fr-FR"/>
              </w:rPr>
              <w:t>Ne didžiojo kliniškai reikšmingo kraujavimo atvejai</w:t>
            </w:r>
          </w:p>
        </w:tc>
        <w:tc>
          <w:tcPr>
            <w:tcW w:w="2312" w:type="dxa"/>
            <w:tcBorders>
              <w:top w:val="single" w:sz="3" w:space="0" w:color="000000"/>
              <w:left w:val="single" w:sz="3" w:space="0" w:color="000000"/>
              <w:bottom w:val="single" w:sz="4" w:space="0" w:color="000000"/>
              <w:right w:val="single" w:sz="4" w:space="0" w:color="000000"/>
            </w:tcBorders>
          </w:tcPr>
          <w:p w14:paraId="2B485050"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 xml:space="preserve">1,185 </w:t>
            </w:r>
          </w:p>
          <w:p w14:paraId="103DDAEB"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(11,80)</w:t>
            </w:r>
          </w:p>
        </w:tc>
        <w:tc>
          <w:tcPr>
            <w:tcW w:w="2312" w:type="dxa"/>
            <w:tcBorders>
              <w:top w:val="single" w:sz="3" w:space="0" w:color="000000"/>
              <w:left w:val="single" w:sz="4" w:space="0" w:color="000000"/>
              <w:bottom w:val="single" w:sz="4" w:space="0" w:color="000000"/>
              <w:right w:val="single" w:sz="3" w:space="0" w:color="000000"/>
            </w:tcBorders>
          </w:tcPr>
          <w:p w14:paraId="30041249"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1,151 (11,37)</w:t>
            </w:r>
          </w:p>
        </w:tc>
        <w:tc>
          <w:tcPr>
            <w:tcW w:w="1693" w:type="dxa"/>
            <w:tcBorders>
              <w:top w:val="single" w:sz="3" w:space="0" w:color="000000"/>
              <w:left w:val="single" w:sz="3" w:space="0" w:color="000000"/>
              <w:bottom w:val="single" w:sz="4" w:space="0" w:color="000000"/>
              <w:right w:val="single" w:sz="3" w:space="0" w:color="000000"/>
            </w:tcBorders>
          </w:tcPr>
          <w:p w14:paraId="273E34BE"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 xml:space="preserve">1,04 </w:t>
            </w:r>
          </w:p>
          <w:p w14:paraId="187A15AC"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(0,96</w:t>
            </w:r>
            <w:r w:rsidRPr="00452D62">
              <w:rPr>
                <w:rFonts w:eastAsia="MS Mincho"/>
                <w:color w:val="auto"/>
                <w:sz w:val="22"/>
                <w:szCs w:val="22"/>
                <w:lang w:eastAsia="fr-FR"/>
              </w:rPr>
              <w:noBreakHyphen/>
              <w:t>1,13)</w:t>
            </w:r>
          </w:p>
          <w:p w14:paraId="1E9E2740"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0,345</w:t>
            </w:r>
          </w:p>
        </w:tc>
      </w:tr>
      <w:tr w:rsidR="00823785" w:rsidRPr="00452D62" w14:paraId="0F7B0DA8" w14:textId="77777777" w:rsidTr="006453B9">
        <w:trPr>
          <w:trHeight w:hRule="exact" w:val="829"/>
        </w:trPr>
        <w:tc>
          <w:tcPr>
            <w:tcW w:w="2601" w:type="dxa"/>
            <w:tcBorders>
              <w:top w:val="single" w:sz="4" w:space="0" w:color="000000"/>
              <w:left w:val="single" w:sz="3" w:space="0" w:color="000000"/>
              <w:bottom w:val="single" w:sz="4" w:space="0" w:color="000000"/>
              <w:right w:val="single" w:sz="3" w:space="0" w:color="000000"/>
            </w:tcBorders>
          </w:tcPr>
          <w:p w14:paraId="2A852C18" w14:textId="77777777" w:rsidR="00823785" w:rsidRPr="00452D62" w:rsidRDefault="00823785" w:rsidP="006453B9">
            <w:pPr>
              <w:tabs>
                <w:tab w:val="clear" w:pos="567"/>
              </w:tabs>
              <w:suppressAutoHyphens w:val="0"/>
              <w:spacing w:line="240" w:lineRule="auto"/>
              <w:ind w:left="142"/>
              <w:rPr>
                <w:rFonts w:eastAsia="MS Mincho"/>
                <w:color w:val="auto"/>
                <w:sz w:val="22"/>
                <w:szCs w:val="22"/>
                <w:lang w:eastAsia="fr-FR"/>
              </w:rPr>
            </w:pPr>
            <w:r w:rsidRPr="00452D62">
              <w:rPr>
                <w:rFonts w:eastAsia="MS Mincho"/>
                <w:color w:val="auto"/>
                <w:sz w:val="22"/>
                <w:szCs w:val="22"/>
                <w:lang w:eastAsia="fr-FR"/>
              </w:rPr>
              <w:t>Mirtis dėl bet kurios priežasties</w:t>
            </w:r>
          </w:p>
        </w:tc>
        <w:tc>
          <w:tcPr>
            <w:tcW w:w="2312" w:type="dxa"/>
            <w:tcBorders>
              <w:top w:val="single" w:sz="4" w:space="0" w:color="000000"/>
              <w:left w:val="single" w:sz="3" w:space="0" w:color="000000"/>
              <w:bottom w:val="single" w:sz="4" w:space="0" w:color="000000"/>
              <w:right w:val="single" w:sz="4" w:space="0" w:color="000000"/>
            </w:tcBorders>
          </w:tcPr>
          <w:p w14:paraId="51F953A8"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 xml:space="preserve">208 </w:t>
            </w:r>
          </w:p>
          <w:p w14:paraId="650B440C"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(1,87)</w:t>
            </w:r>
          </w:p>
        </w:tc>
        <w:tc>
          <w:tcPr>
            <w:tcW w:w="2312" w:type="dxa"/>
            <w:tcBorders>
              <w:top w:val="single" w:sz="4" w:space="0" w:color="000000"/>
              <w:left w:val="single" w:sz="4" w:space="0" w:color="000000"/>
              <w:bottom w:val="single" w:sz="4" w:space="0" w:color="000000"/>
              <w:right w:val="single" w:sz="3" w:space="0" w:color="000000"/>
            </w:tcBorders>
          </w:tcPr>
          <w:p w14:paraId="7C3E6F66"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250 (2,21)</w:t>
            </w:r>
          </w:p>
        </w:tc>
        <w:tc>
          <w:tcPr>
            <w:tcW w:w="1693" w:type="dxa"/>
            <w:tcBorders>
              <w:top w:val="single" w:sz="4" w:space="0" w:color="000000"/>
              <w:left w:val="single" w:sz="3" w:space="0" w:color="000000"/>
              <w:bottom w:val="single" w:sz="4" w:space="0" w:color="000000"/>
              <w:right w:val="single" w:sz="3" w:space="0" w:color="000000"/>
            </w:tcBorders>
          </w:tcPr>
          <w:p w14:paraId="0244A39B"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 xml:space="preserve">0,85 </w:t>
            </w:r>
          </w:p>
          <w:p w14:paraId="1E45150D"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(0,70</w:t>
            </w:r>
            <w:r w:rsidRPr="00452D62">
              <w:rPr>
                <w:rFonts w:eastAsia="MS Mincho"/>
                <w:color w:val="auto"/>
                <w:sz w:val="22"/>
                <w:szCs w:val="22"/>
                <w:lang w:eastAsia="fr-FR"/>
              </w:rPr>
              <w:noBreakHyphen/>
              <w:t>1,02)</w:t>
            </w:r>
          </w:p>
          <w:p w14:paraId="5B455FDA" w14:textId="77777777" w:rsidR="00823785" w:rsidRPr="00452D62"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452D62">
              <w:rPr>
                <w:rFonts w:eastAsia="MS Mincho"/>
                <w:color w:val="auto"/>
                <w:sz w:val="22"/>
                <w:szCs w:val="22"/>
                <w:lang w:eastAsia="fr-FR"/>
              </w:rPr>
              <w:t>0,073</w:t>
            </w:r>
          </w:p>
        </w:tc>
      </w:tr>
    </w:tbl>
    <w:p w14:paraId="7EC7A93D" w14:textId="77777777" w:rsidR="00823785" w:rsidRPr="000877E9" w:rsidRDefault="00823785" w:rsidP="00823785">
      <w:pPr>
        <w:tabs>
          <w:tab w:val="clear" w:pos="567"/>
        </w:tabs>
        <w:suppressAutoHyphens w:val="0"/>
        <w:spacing w:line="240" w:lineRule="auto"/>
        <w:rPr>
          <w:rFonts w:eastAsia="MS Mincho"/>
          <w:color w:val="auto"/>
          <w:sz w:val="22"/>
          <w:szCs w:val="22"/>
          <w:lang w:eastAsia="fr-FR"/>
        </w:rPr>
      </w:pPr>
      <w:r w:rsidRPr="00452D62">
        <w:rPr>
          <w:rFonts w:eastAsia="MS Mincho"/>
          <w:color w:val="auto"/>
          <w:sz w:val="22"/>
          <w:szCs w:val="22"/>
          <w:lang w:eastAsia="fr-FR"/>
        </w:rPr>
        <w:t xml:space="preserve">a) </w:t>
      </w:r>
      <w:r w:rsidRPr="000877E9">
        <w:rPr>
          <w:rFonts w:eastAsia="MS Mincho"/>
          <w:color w:val="auto"/>
          <w:sz w:val="22"/>
          <w:szCs w:val="22"/>
          <w:lang w:eastAsia="fr-FR"/>
        </w:rPr>
        <w:t>Saugumo populiacija, taikytas gydymas</w:t>
      </w:r>
    </w:p>
    <w:p w14:paraId="4CB486BD" w14:textId="77777777" w:rsidR="00823785" w:rsidRPr="00452D62" w:rsidRDefault="00823785" w:rsidP="00823785">
      <w:pPr>
        <w:tabs>
          <w:tab w:val="clear" w:pos="567"/>
        </w:tabs>
        <w:suppressAutoHyphens w:val="0"/>
        <w:spacing w:line="240" w:lineRule="auto"/>
        <w:rPr>
          <w:rFonts w:eastAsia="MS Mincho"/>
          <w:color w:val="auto"/>
          <w:sz w:val="22"/>
          <w:szCs w:val="22"/>
          <w:lang w:eastAsia="fr-FR"/>
        </w:rPr>
      </w:pPr>
      <w:r w:rsidRPr="00452D62">
        <w:rPr>
          <w:rFonts w:eastAsia="MS Mincho"/>
          <w:color w:val="auto"/>
          <w:sz w:val="22"/>
          <w:szCs w:val="22"/>
          <w:lang w:eastAsia="fr-FR"/>
        </w:rPr>
        <w:t>* Nominaliai reikšmingas</w:t>
      </w:r>
    </w:p>
    <w:p w14:paraId="44A1EAFC" w14:textId="77777777" w:rsidR="00823785" w:rsidRPr="00452D62" w:rsidRDefault="00823785" w:rsidP="00823785">
      <w:pPr>
        <w:tabs>
          <w:tab w:val="clear" w:pos="567"/>
        </w:tabs>
        <w:suppressAutoHyphens w:val="0"/>
        <w:spacing w:line="240" w:lineRule="auto"/>
        <w:rPr>
          <w:rFonts w:eastAsia="MS Mincho"/>
          <w:color w:val="auto"/>
          <w:sz w:val="22"/>
          <w:szCs w:val="22"/>
          <w:lang w:eastAsia="fr-FR"/>
        </w:rPr>
      </w:pPr>
    </w:p>
    <w:p w14:paraId="12C095B9" w14:textId="09984457" w:rsidR="00823785" w:rsidRPr="00452D62" w:rsidRDefault="00823785" w:rsidP="00823785">
      <w:pPr>
        <w:tabs>
          <w:tab w:val="clear" w:pos="567"/>
        </w:tabs>
        <w:suppressAutoHyphens w:val="0"/>
        <w:spacing w:line="240" w:lineRule="auto"/>
        <w:rPr>
          <w:rFonts w:eastAsia="MS Mincho"/>
          <w:color w:val="auto"/>
          <w:sz w:val="22"/>
          <w:szCs w:val="22"/>
          <w:lang w:eastAsia="fr-FR"/>
        </w:rPr>
      </w:pPr>
      <w:r w:rsidRPr="00452D62">
        <w:rPr>
          <w:rFonts w:eastAsia="MS Mincho"/>
          <w:color w:val="auto"/>
          <w:sz w:val="22"/>
          <w:szCs w:val="22"/>
          <w:lang w:eastAsia="fr-FR"/>
        </w:rPr>
        <w:t xml:space="preserve">Papildant III fazės </w:t>
      </w:r>
      <w:r w:rsidRPr="00452D62">
        <w:rPr>
          <w:rFonts w:eastAsia="MS Mincho"/>
          <w:i/>
          <w:iCs/>
          <w:color w:val="auto"/>
          <w:sz w:val="22"/>
          <w:szCs w:val="22"/>
          <w:lang w:eastAsia="fr-FR"/>
        </w:rPr>
        <w:t>ROCKET AF</w:t>
      </w:r>
      <w:r w:rsidRPr="00452D62">
        <w:rPr>
          <w:rFonts w:eastAsia="MS Mincho"/>
          <w:color w:val="auto"/>
          <w:sz w:val="22"/>
          <w:szCs w:val="22"/>
          <w:lang w:eastAsia="fr-FR"/>
        </w:rPr>
        <w:t xml:space="preserve"> tyrimą, buvo atliktas perspektyvinis, vienos grupės, poregistracinis, neintervencinis, atviras kohortos tyrimas (</w:t>
      </w:r>
      <w:r w:rsidRPr="00452D62">
        <w:rPr>
          <w:rFonts w:eastAsia="MS Mincho"/>
          <w:i/>
          <w:iCs/>
          <w:color w:val="auto"/>
          <w:sz w:val="22"/>
          <w:szCs w:val="22"/>
          <w:lang w:eastAsia="fr-FR"/>
        </w:rPr>
        <w:t>XANTUS</w:t>
      </w:r>
      <w:r w:rsidRPr="00452D62">
        <w:rPr>
          <w:rFonts w:eastAsia="MS Mincho"/>
          <w:color w:val="auto"/>
          <w:sz w:val="22"/>
          <w:szCs w:val="22"/>
          <w:lang w:eastAsia="fr-FR"/>
        </w:rPr>
        <w:t>),</w:t>
      </w:r>
      <w:r w:rsidRPr="00452D62">
        <w:rPr>
          <w:sz w:val="22"/>
          <w:szCs w:val="22"/>
        </w:rPr>
        <w:t xml:space="preserve"> kurio metu taikytas centralizuotas baigčių, įskaitant</w:t>
      </w:r>
      <w:r w:rsidRPr="00452D62">
        <w:rPr>
          <w:rFonts w:eastAsia="MS Mincho"/>
          <w:color w:val="auto"/>
          <w:sz w:val="22"/>
          <w:szCs w:val="22"/>
          <w:lang w:eastAsia="fr-FR"/>
        </w:rPr>
        <w:t xml:space="preserve"> tromboembolijos reiškinius ir didįjį kraujavimą, vertinimas. Į šį insulto ir ne CNS sisteminės embolijos prevencijos klinikinėje praktikoje tyrimą buvo įtraukti 6 7</w:t>
      </w:r>
      <w:r w:rsidR="00CD7711" w:rsidRPr="00452D62">
        <w:rPr>
          <w:rFonts w:eastAsia="MS Mincho"/>
          <w:color w:val="auto"/>
          <w:sz w:val="22"/>
          <w:szCs w:val="22"/>
          <w:lang w:eastAsia="fr-FR"/>
        </w:rPr>
        <w:t>04</w:t>
      </w:r>
      <w:r w:rsidRPr="00452D62">
        <w:rPr>
          <w:rFonts w:eastAsia="MS Mincho"/>
          <w:color w:val="auto"/>
          <w:sz w:val="22"/>
          <w:szCs w:val="22"/>
          <w:lang w:eastAsia="fr-FR"/>
        </w:rPr>
        <w:t xml:space="preserve"> pacientai, kuriems pasireiškė su vožtuvų liga nesusijęs prieširdžių virpėjimas. Vidutinis </w:t>
      </w:r>
      <w:r w:rsidR="00CD7711" w:rsidRPr="00452D62">
        <w:rPr>
          <w:rFonts w:eastAsia="MS Mincho"/>
          <w:color w:val="auto"/>
          <w:sz w:val="22"/>
          <w:szCs w:val="22"/>
          <w:lang w:eastAsia="fr-FR"/>
        </w:rPr>
        <w:t xml:space="preserve">balas pagal </w:t>
      </w:r>
      <w:r w:rsidRPr="00452D62">
        <w:rPr>
          <w:rFonts w:eastAsia="MS Mincho"/>
          <w:i/>
          <w:iCs/>
          <w:color w:val="auto"/>
          <w:sz w:val="22"/>
          <w:szCs w:val="22"/>
          <w:lang w:eastAsia="fr-FR"/>
        </w:rPr>
        <w:t>CHADS2</w:t>
      </w:r>
      <w:r w:rsidR="00CD7711" w:rsidRPr="00452D62">
        <w:rPr>
          <w:rFonts w:eastAsia="MS Mincho"/>
          <w:i/>
          <w:iCs/>
          <w:color w:val="auto"/>
          <w:sz w:val="22"/>
          <w:szCs w:val="22"/>
          <w:lang w:eastAsia="fr-FR"/>
        </w:rPr>
        <w:t xml:space="preserve"> </w:t>
      </w:r>
      <w:r w:rsidR="00CD7711" w:rsidRPr="00AE1B80">
        <w:rPr>
          <w:rFonts w:eastAsia="MS Mincho"/>
          <w:iCs/>
          <w:color w:val="auto"/>
          <w:sz w:val="22"/>
          <w:szCs w:val="22"/>
          <w:lang w:eastAsia="fr-FR"/>
        </w:rPr>
        <w:t xml:space="preserve">skalę buvo </w:t>
      </w:r>
      <w:r w:rsidR="00CD7711" w:rsidRPr="00AE1B80">
        <w:rPr>
          <w:rFonts w:eastAsia="MS Mincho"/>
          <w:color w:val="auto"/>
          <w:sz w:val="22"/>
        </w:rPr>
        <w:t>1,9,</w:t>
      </w:r>
      <w:r w:rsidRPr="000877E9">
        <w:rPr>
          <w:rFonts w:eastAsia="MS Mincho"/>
          <w:color w:val="auto"/>
          <w:sz w:val="22"/>
          <w:szCs w:val="22"/>
          <w:lang w:eastAsia="fr-FR"/>
        </w:rPr>
        <w:t xml:space="preserve"> </w:t>
      </w:r>
      <w:r w:rsidR="00CD7711" w:rsidRPr="000877E9">
        <w:rPr>
          <w:rFonts w:eastAsia="MS Mincho"/>
          <w:color w:val="auto"/>
          <w:sz w:val="22"/>
          <w:szCs w:val="22"/>
          <w:lang w:eastAsia="fr-FR"/>
        </w:rPr>
        <w:t>o</w:t>
      </w:r>
      <w:r w:rsidRPr="00452D62">
        <w:rPr>
          <w:rFonts w:eastAsia="MS Mincho"/>
          <w:color w:val="auto"/>
          <w:sz w:val="22"/>
          <w:szCs w:val="22"/>
          <w:lang w:eastAsia="fr-FR"/>
        </w:rPr>
        <w:t xml:space="preserve"> </w:t>
      </w:r>
      <w:r w:rsidRPr="00452D62">
        <w:rPr>
          <w:rFonts w:eastAsia="MS Mincho"/>
          <w:i/>
          <w:iCs/>
          <w:color w:val="auto"/>
          <w:sz w:val="22"/>
          <w:szCs w:val="22"/>
          <w:lang w:eastAsia="fr-FR"/>
        </w:rPr>
        <w:t>HAS-BLED</w:t>
      </w:r>
      <w:r w:rsidRPr="00452D62">
        <w:rPr>
          <w:rFonts w:eastAsia="MS Mincho"/>
          <w:color w:val="auto"/>
          <w:sz w:val="22"/>
          <w:szCs w:val="22"/>
          <w:lang w:eastAsia="fr-FR"/>
        </w:rPr>
        <w:t xml:space="preserve"> skalių įvertinimas </w:t>
      </w:r>
      <w:r w:rsidRPr="00452D62">
        <w:rPr>
          <w:rFonts w:eastAsia="MS Mincho"/>
          <w:i/>
          <w:iCs/>
          <w:color w:val="auto"/>
          <w:sz w:val="22"/>
          <w:szCs w:val="22"/>
          <w:lang w:eastAsia="fr-FR"/>
        </w:rPr>
        <w:t>XANTUS</w:t>
      </w:r>
      <w:r w:rsidRPr="00452D62">
        <w:rPr>
          <w:rFonts w:eastAsia="MS Mincho"/>
          <w:color w:val="auto"/>
          <w:sz w:val="22"/>
          <w:szCs w:val="22"/>
          <w:lang w:eastAsia="fr-FR"/>
        </w:rPr>
        <w:t xml:space="preserve"> tyrime buvo 2,0, o </w:t>
      </w:r>
      <w:r w:rsidRPr="00452D62">
        <w:rPr>
          <w:rFonts w:eastAsia="MS Mincho"/>
          <w:i/>
          <w:iCs/>
          <w:color w:val="auto"/>
          <w:sz w:val="22"/>
          <w:szCs w:val="22"/>
          <w:lang w:eastAsia="fr-FR"/>
        </w:rPr>
        <w:t>ROCKET AF</w:t>
      </w:r>
      <w:r w:rsidRPr="00452D62">
        <w:rPr>
          <w:rFonts w:eastAsia="MS Mincho"/>
          <w:color w:val="auto"/>
          <w:sz w:val="22"/>
          <w:szCs w:val="22"/>
          <w:lang w:eastAsia="fr-FR"/>
        </w:rPr>
        <w:t xml:space="preserve"> tyrime vidutinis </w:t>
      </w:r>
      <w:r w:rsidRPr="00452D62">
        <w:rPr>
          <w:rFonts w:eastAsia="MS Mincho"/>
          <w:i/>
          <w:iCs/>
          <w:color w:val="auto"/>
          <w:sz w:val="22"/>
          <w:szCs w:val="22"/>
          <w:lang w:eastAsia="fr-FR"/>
        </w:rPr>
        <w:t>CHADS2</w:t>
      </w:r>
      <w:r w:rsidRPr="00452D62">
        <w:rPr>
          <w:rFonts w:eastAsia="MS Mincho"/>
          <w:color w:val="auto"/>
          <w:sz w:val="22"/>
          <w:szCs w:val="22"/>
          <w:lang w:eastAsia="fr-FR"/>
        </w:rPr>
        <w:t xml:space="preserve"> ir </w:t>
      </w:r>
      <w:r w:rsidRPr="00452D62">
        <w:rPr>
          <w:rFonts w:eastAsia="MS Mincho"/>
          <w:i/>
          <w:iCs/>
          <w:color w:val="auto"/>
          <w:sz w:val="22"/>
          <w:szCs w:val="22"/>
          <w:lang w:eastAsia="fr-FR"/>
        </w:rPr>
        <w:t>HAS-BLED</w:t>
      </w:r>
      <w:r w:rsidRPr="00452D62">
        <w:rPr>
          <w:rFonts w:eastAsia="MS Mincho"/>
          <w:color w:val="auto"/>
          <w:sz w:val="22"/>
          <w:szCs w:val="22"/>
          <w:lang w:eastAsia="fr-FR"/>
        </w:rPr>
        <w:t xml:space="preserve"> skalių įvertinimas buvo atitinkamai 3,5 ir 2,8. Didžiojo kraujavimo dažnis buvo 2,1 atvejo 100 paciento metų. Mirtino kraujavimo dažnis buvo 0,2 atvejo 100 paciento metų ir intrakranijinio kraujavimo – 0,4 atvejo 100 paciento metų. Insulto arba ne CNS sisteminės embolijos atvejų dažnis buvo 0,8 atvejo 100 paciento metų.</w:t>
      </w:r>
    </w:p>
    <w:p w14:paraId="013C9B53" w14:textId="205E8C32" w:rsidR="00823785" w:rsidRPr="00452D62" w:rsidRDefault="00823785" w:rsidP="00823785">
      <w:pPr>
        <w:tabs>
          <w:tab w:val="clear" w:pos="567"/>
        </w:tabs>
        <w:suppressAutoHyphens w:val="0"/>
        <w:spacing w:line="240" w:lineRule="auto"/>
        <w:rPr>
          <w:rFonts w:eastAsia="MS Mincho"/>
          <w:color w:val="auto"/>
          <w:sz w:val="22"/>
          <w:szCs w:val="22"/>
          <w:lang w:eastAsia="fr-FR"/>
        </w:rPr>
      </w:pPr>
      <w:r w:rsidRPr="00452D62">
        <w:rPr>
          <w:sz w:val="22"/>
          <w:szCs w:val="22"/>
        </w:rPr>
        <w:t>Šie rezultatai pacientams, stebėtiems klinikinėje praktikoje, atitinka šiai indikacijai nustatytus saugumo duomenis</w:t>
      </w:r>
      <w:r w:rsidRPr="00452D62">
        <w:rPr>
          <w:rFonts w:eastAsia="MS Mincho"/>
          <w:color w:val="auto"/>
          <w:sz w:val="22"/>
          <w:szCs w:val="22"/>
          <w:lang w:eastAsia="fr-FR"/>
        </w:rPr>
        <w:t>.</w:t>
      </w:r>
    </w:p>
    <w:p w14:paraId="663526D0" w14:textId="77777777" w:rsidR="00722D53" w:rsidRPr="00452D62" w:rsidRDefault="00722D53" w:rsidP="00823785">
      <w:pPr>
        <w:tabs>
          <w:tab w:val="clear" w:pos="567"/>
        </w:tabs>
        <w:suppressAutoHyphens w:val="0"/>
        <w:spacing w:line="240" w:lineRule="auto"/>
        <w:rPr>
          <w:rFonts w:eastAsia="MS Mincho"/>
          <w:color w:val="auto"/>
          <w:sz w:val="22"/>
          <w:szCs w:val="22"/>
          <w:lang w:eastAsia="fr-FR"/>
        </w:rPr>
      </w:pPr>
    </w:p>
    <w:p w14:paraId="2E0CDC23" w14:textId="38DB1699" w:rsidR="00722D53" w:rsidRPr="00452D62" w:rsidRDefault="00722D53" w:rsidP="00722D53">
      <w:pPr>
        <w:tabs>
          <w:tab w:val="clear" w:pos="567"/>
        </w:tabs>
        <w:suppressAutoHyphens w:val="0"/>
        <w:spacing w:line="240" w:lineRule="auto"/>
        <w:rPr>
          <w:rFonts w:eastAsia="MS Mincho"/>
          <w:color w:val="auto"/>
          <w:sz w:val="22"/>
          <w:szCs w:val="22"/>
          <w:lang w:eastAsia="fr-FR"/>
        </w:rPr>
      </w:pPr>
      <w:r w:rsidRPr="00452D62">
        <w:rPr>
          <w:rFonts w:eastAsia="MS Mincho"/>
          <w:color w:val="auto"/>
          <w:sz w:val="22"/>
          <w:szCs w:val="22"/>
          <w:lang w:eastAsia="fr-FR"/>
        </w:rPr>
        <w:t xml:space="preserve">Poregistracinio neintervencinio tyrimo metu, kuriame dalyvavo daugiau nei 162 000 pacientų iš keturių šalių, rivaroksabano buvo paskirta insulto ir sisteminės embolijos profilaktikai pacientams, kuriems diagnozuotas su vožtuvų liga nesusijęs prieširdžių virpėjimas. Išeminio insulto atvejų dažnis buvo 0,70 (95 </w:t>
      </w:r>
      <w:r w:rsidR="008C3DF7">
        <w:rPr>
          <w:rFonts w:eastAsia="MS Mincho"/>
          <w:color w:val="auto"/>
          <w:sz w:val="22"/>
          <w:szCs w:val="22"/>
          <w:lang w:eastAsia="fr-FR"/>
        </w:rPr>
        <w:t> %</w:t>
      </w:r>
      <w:r w:rsidRPr="00452D62">
        <w:rPr>
          <w:rFonts w:eastAsia="MS Mincho"/>
          <w:color w:val="auto"/>
          <w:sz w:val="22"/>
          <w:szCs w:val="22"/>
          <w:lang w:eastAsia="fr-FR"/>
        </w:rPr>
        <w:t xml:space="preserve"> PI 0,44-1,13) 100-ui pacientų metų. Kraujavimas, dėl kurio prireikė hospitalizacijos, pasireiškė tokiais dažniais 100-ui pacientų metų: 0,43 (95 </w:t>
      </w:r>
      <w:r w:rsidR="008C3DF7">
        <w:rPr>
          <w:rFonts w:eastAsia="MS Mincho"/>
          <w:color w:val="auto"/>
          <w:sz w:val="22"/>
          <w:szCs w:val="22"/>
          <w:lang w:eastAsia="fr-FR"/>
        </w:rPr>
        <w:t> %</w:t>
      </w:r>
      <w:r w:rsidRPr="00452D62">
        <w:rPr>
          <w:rFonts w:eastAsia="MS Mincho"/>
          <w:color w:val="auto"/>
          <w:sz w:val="22"/>
          <w:szCs w:val="22"/>
          <w:lang w:eastAsia="fr-FR"/>
        </w:rPr>
        <w:t xml:space="preserve"> PI 0,31-0,59) intrakranijinio kraujavimo atveju, 1,04 (95 </w:t>
      </w:r>
      <w:r w:rsidR="008C3DF7">
        <w:rPr>
          <w:rFonts w:eastAsia="MS Mincho"/>
          <w:color w:val="auto"/>
          <w:sz w:val="22"/>
          <w:szCs w:val="22"/>
          <w:lang w:eastAsia="fr-FR"/>
        </w:rPr>
        <w:t> %</w:t>
      </w:r>
      <w:r w:rsidRPr="00452D62">
        <w:rPr>
          <w:rFonts w:eastAsia="MS Mincho"/>
          <w:color w:val="auto"/>
          <w:sz w:val="22"/>
          <w:szCs w:val="22"/>
          <w:lang w:eastAsia="fr-FR"/>
        </w:rPr>
        <w:t xml:space="preserve"> PI 0,65-1,66) kraujavimo iš virškinimo trakto atveju, 0,41 (95 </w:t>
      </w:r>
      <w:r w:rsidR="008C3DF7">
        <w:rPr>
          <w:rFonts w:eastAsia="MS Mincho"/>
          <w:color w:val="auto"/>
          <w:sz w:val="22"/>
          <w:szCs w:val="22"/>
          <w:lang w:eastAsia="fr-FR"/>
        </w:rPr>
        <w:t> %</w:t>
      </w:r>
      <w:r w:rsidRPr="00452D62">
        <w:rPr>
          <w:rFonts w:eastAsia="MS Mincho"/>
          <w:color w:val="auto"/>
          <w:sz w:val="22"/>
          <w:szCs w:val="22"/>
          <w:lang w:eastAsia="fr-FR"/>
        </w:rPr>
        <w:t xml:space="preserve"> PI 0,31-0,53) urogenitalinio kraujavimo atveju ir 0,40 (95 </w:t>
      </w:r>
      <w:r w:rsidR="008C3DF7">
        <w:rPr>
          <w:rFonts w:eastAsia="MS Mincho"/>
          <w:color w:val="auto"/>
          <w:sz w:val="22"/>
          <w:szCs w:val="22"/>
          <w:lang w:eastAsia="fr-FR"/>
        </w:rPr>
        <w:t> %</w:t>
      </w:r>
      <w:r w:rsidRPr="00452D62">
        <w:rPr>
          <w:rFonts w:eastAsia="MS Mincho"/>
          <w:color w:val="auto"/>
          <w:sz w:val="22"/>
          <w:szCs w:val="22"/>
          <w:lang w:eastAsia="fr-FR"/>
        </w:rPr>
        <w:t xml:space="preserve"> PI 0,25-0,65) kitokio kraujavimo atveju.</w:t>
      </w:r>
    </w:p>
    <w:p w14:paraId="0D1F6CB6" w14:textId="77777777" w:rsidR="00823785" w:rsidRPr="00452D62" w:rsidRDefault="00823785" w:rsidP="00823785">
      <w:pPr>
        <w:tabs>
          <w:tab w:val="clear" w:pos="567"/>
        </w:tabs>
        <w:suppressAutoHyphens w:val="0"/>
        <w:spacing w:line="240" w:lineRule="auto"/>
        <w:rPr>
          <w:rFonts w:eastAsia="MS Mincho"/>
          <w:color w:val="auto"/>
          <w:sz w:val="22"/>
          <w:szCs w:val="22"/>
          <w:lang w:eastAsia="fr-FR"/>
        </w:rPr>
      </w:pPr>
    </w:p>
    <w:p w14:paraId="099A4662" w14:textId="77777777" w:rsidR="00823785" w:rsidRPr="00452D62" w:rsidRDefault="00823785" w:rsidP="00823785">
      <w:pPr>
        <w:tabs>
          <w:tab w:val="clear" w:pos="567"/>
        </w:tabs>
        <w:suppressAutoHyphens w:val="0"/>
        <w:spacing w:line="240" w:lineRule="auto"/>
        <w:rPr>
          <w:rFonts w:eastAsia="MS Mincho"/>
          <w:color w:val="auto"/>
          <w:sz w:val="22"/>
          <w:szCs w:val="22"/>
          <w:u w:val="single"/>
          <w:lang w:eastAsia="fr-FR"/>
        </w:rPr>
      </w:pPr>
      <w:r w:rsidRPr="00452D62">
        <w:rPr>
          <w:rFonts w:eastAsia="MS Mincho"/>
          <w:color w:val="auto"/>
          <w:sz w:val="22"/>
          <w:szCs w:val="22"/>
          <w:u w:val="single"/>
          <w:lang w:eastAsia="fr-FR"/>
        </w:rPr>
        <w:t>Pacientai, kuriems atliekama kardioversija</w:t>
      </w:r>
    </w:p>
    <w:p w14:paraId="7E8AC86B" w14:textId="188CB847" w:rsidR="00823785" w:rsidRPr="00452D62" w:rsidRDefault="00823785" w:rsidP="00823785">
      <w:pPr>
        <w:tabs>
          <w:tab w:val="clear" w:pos="567"/>
        </w:tabs>
        <w:suppressAutoHyphens w:val="0"/>
        <w:spacing w:line="240" w:lineRule="auto"/>
        <w:rPr>
          <w:rFonts w:eastAsia="MS Mincho"/>
          <w:color w:val="auto"/>
          <w:sz w:val="22"/>
          <w:szCs w:val="22"/>
          <w:lang w:eastAsia="fr-FR"/>
        </w:rPr>
      </w:pPr>
      <w:r w:rsidRPr="00452D62">
        <w:rPr>
          <w:rFonts w:eastAsia="MS Mincho"/>
          <w:color w:val="auto"/>
          <w:sz w:val="22"/>
          <w:szCs w:val="22"/>
          <w:lang w:eastAsia="fr-FR"/>
        </w:rPr>
        <w:t>Buvo atliktas perspektyvinis, atsitiktinių imčių, atviras, daugiacentris žvalgomasis tyrimas su koduotu vertinamųjų baigčių vertinimu (</w:t>
      </w:r>
      <w:r w:rsidRPr="00452D62">
        <w:rPr>
          <w:rFonts w:eastAsia="MS Mincho"/>
          <w:i/>
          <w:iCs/>
          <w:color w:val="auto"/>
          <w:sz w:val="22"/>
          <w:szCs w:val="22"/>
          <w:lang w:eastAsia="fr-FR"/>
        </w:rPr>
        <w:t>X-VERT</w:t>
      </w:r>
      <w:r w:rsidRPr="00452D62">
        <w:rPr>
          <w:rFonts w:eastAsia="MS Mincho"/>
          <w:color w:val="auto"/>
          <w:sz w:val="22"/>
          <w:szCs w:val="22"/>
          <w:lang w:eastAsia="fr-FR"/>
        </w:rPr>
        <w:t>). Tyrime dalyvavo 1 504 pacientai (anksčiau gydyti arba negydyti geriamaisiais antikoaguliantais), kuriems pasireiškė su vožtuvų liga nesusijęs prieširdžių virpėjimas ir kuriems buvo nuspręsta taikyti kardioversiją. Šiuo tyrimu siekta palyginti rivaroksabano ir VKA (koreguotos dozės) poveikį kardiovaskulinių reiškinių profilaktikai (priskyrimo atsitiktinėms imtims santykis 2:1). Buvo naudojamos transezofagine echokardiograma (TEE) stebimos (prieš tai gydyta 1</w:t>
      </w:r>
      <w:r w:rsidRPr="00452D62">
        <w:rPr>
          <w:rFonts w:eastAsia="MS Mincho"/>
          <w:color w:val="auto"/>
          <w:sz w:val="22"/>
          <w:szCs w:val="22"/>
          <w:lang w:eastAsia="fr-FR"/>
        </w:rPr>
        <w:noBreakHyphen/>
        <w:t>5 dienas) arba įprastos (prieš tai gydyta mažiausiai 3 savaites) kardioversijos strategijos. Pagrindinės veiksmingumo vertinamosios baigties (bet koks insultas, praeinantis smegenų išemijos priepuolis, ne CNS sisteminė embolija, miokardo infarktas (MI) ir kardiovaskulinė mirtis) reiškinys pasireiškė 5 (0,5 %) pacientams rivaroksabano grupėje (n=978) ir 5 (1,0 %) pacientams VKA grupėje (n=492; SR 0,50; 95 % PI 0,15</w:t>
      </w:r>
      <w:r w:rsidRPr="00452D62">
        <w:rPr>
          <w:rFonts w:eastAsia="MS Mincho"/>
          <w:color w:val="auto"/>
          <w:sz w:val="22"/>
          <w:szCs w:val="22"/>
          <w:lang w:eastAsia="fr-FR"/>
        </w:rPr>
        <w:noBreakHyphen/>
        <w:t xml:space="preserve">1,73; modifikuota </w:t>
      </w:r>
      <w:r w:rsidRPr="00452D62">
        <w:rPr>
          <w:rFonts w:eastAsia="MS Mincho"/>
          <w:i/>
          <w:iCs/>
          <w:color w:val="auto"/>
          <w:sz w:val="22"/>
          <w:szCs w:val="22"/>
          <w:lang w:eastAsia="fr-FR"/>
        </w:rPr>
        <w:t>ITT</w:t>
      </w:r>
      <w:r w:rsidRPr="00452D62">
        <w:rPr>
          <w:rFonts w:eastAsia="MS Mincho"/>
          <w:color w:val="auto"/>
          <w:sz w:val="22"/>
          <w:szCs w:val="22"/>
          <w:lang w:eastAsia="fr-FR"/>
        </w:rPr>
        <w:t xml:space="preserve"> populiacija). Svarbiausios saugumo vertinamosios baigties (didžiojo kraujavimo) atvejų pasireiškė 6 (0,6 %) rivaroksabanu (n=988) ir 4 (0,8 %) VKA (n=499) gydytiems pacientams (SR 0,76; 95 % PI 0,21</w:t>
      </w:r>
      <w:r w:rsidRPr="00452D62">
        <w:rPr>
          <w:rFonts w:eastAsia="MS Mincho"/>
          <w:color w:val="auto"/>
          <w:sz w:val="22"/>
          <w:szCs w:val="22"/>
          <w:lang w:eastAsia="fr-FR"/>
        </w:rPr>
        <w:noBreakHyphen/>
        <w:t>2,67; saugumo populiacija). Šis žvalgomasis tyrimas parodė panašų gydymo rivaroksabanu ir VKA veiksmingumą ir saugumą taikant kardioversiją.</w:t>
      </w:r>
    </w:p>
    <w:p w14:paraId="2D37BCE0" w14:textId="77777777" w:rsidR="00823785" w:rsidRPr="00452D62" w:rsidRDefault="00823785" w:rsidP="00823785">
      <w:pPr>
        <w:tabs>
          <w:tab w:val="clear" w:pos="567"/>
        </w:tabs>
        <w:suppressAutoHyphens w:val="0"/>
        <w:spacing w:line="240" w:lineRule="auto"/>
        <w:rPr>
          <w:rFonts w:eastAsia="MS Mincho"/>
          <w:color w:val="auto"/>
          <w:sz w:val="22"/>
          <w:szCs w:val="22"/>
          <w:lang w:eastAsia="fr-FR"/>
        </w:rPr>
      </w:pPr>
    </w:p>
    <w:p w14:paraId="4E55B351" w14:textId="77777777" w:rsidR="00823785" w:rsidRPr="00452D62" w:rsidRDefault="00823785" w:rsidP="00823785">
      <w:pPr>
        <w:tabs>
          <w:tab w:val="clear" w:pos="567"/>
        </w:tabs>
        <w:suppressAutoHyphens w:val="0"/>
        <w:spacing w:line="240" w:lineRule="auto"/>
        <w:rPr>
          <w:rFonts w:eastAsia="MS Mincho"/>
          <w:color w:val="auto"/>
          <w:sz w:val="22"/>
          <w:szCs w:val="22"/>
          <w:u w:val="single"/>
          <w:lang w:eastAsia="fr-FR"/>
        </w:rPr>
      </w:pPr>
      <w:r w:rsidRPr="00452D62">
        <w:rPr>
          <w:rFonts w:eastAsia="MS Mincho"/>
          <w:color w:val="auto"/>
          <w:sz w:val="22"/>
          <w:szCs w:val="22"/>
          <w:u w:val="single"/>
          <w:lang w:eastAsia="fr-FR"/>
        </w:rPr>
        <w:t>Pacientai, sergantys su vožtuvų liga nesusijusiu prieširdžių virpėjimu, kuriems atliekama PVI su stento įvedimu</w:t>
      </w:r>
    </w:p>
    <w:p w14:paraId="48CD1161" w14:textId="77777777" w:rsidR="00823785" w:rsidRPr="00452D62" w:rsidRDefault="00823785" w:rsidP="00823785">
      <w:pPr>
        <w:tabs>
          <w:tab w:val="clear" w:pos="567"/>
        </w:tabs>
        <w:suppressAutoHyphens w:val="0"/>
        <w:spacing w:line="240" w:lineRule="auto"/>
        <w:rPr>
          <w:rFonts w:eastAsia="MS Mincho"/>
          <w:color w:val="auto"/>
          <w:sz w:val="22"/>
          <w:szCs w:val="22"/>
          <w:lang w:eastAsia="fr-FR"/>
        </w:rPr>
      </w:pPr>
      <w:r w:rsidRPr="00452D62">
        <w:rPr>
          <w:rFonts w:eastAsia="MS Mincho"/>
          <w:color w:val="auto"/>
          <w:sz w:val="22"/>
          <w:szCs w:val="22"/>
          <w:lang w:eastAsia="fr-FR"/>
        </w:rPr>
        <w:t>Atsitiktinių imčių, atvirame, daugiacentriame klinikiniame tyrime (</w:t>
      </w:r>
      <w:r w:rsidRPr="00452D62">
        <w:rPr>
          <w:rFonts w:eastAsia="MS Mincho"/>
          <w:i/>
          <w:iCs/>
          <w:color w:val="auto"/>
          <w:sz w:val="22"/>
          <w:szCs w:val="22"/>
          <w:lang w:eastAsia="fr-FR"/>
        </w:rPr>
        <w:t>PIONEER AF–PCI</w:t>
      </w:r>
      <w:r w:rsidRPr="00452D62">
        <w:rPr>
          <w:rFonts w:eastAsia="MS Mincho"/>
          <w:color w:val="auto"/>
          <w:sz w:val="22"/>
          <w:szCs w:val="22"/>
          <w:lang w:eastAsia="fr-FR"/>
        </w:rPr>
        <w:t>) dalyvavo 2 124 pacientai, kurie sirgo su vožtuvų liga nesusijusiu prieširdžių virpėjimu ir kuriems dėl pirminės aterosklerozinės širdies ligos atlikta PVI su stento įvedimu. Tyrimo metu buvo lyginamas dviejų rivaroksabano ir vieno VKA dozavimo schemų saugumas. Pacientai buvo priskirti atsitiktinėms imtims santykiu 1:1:1 ir gydyti iš viso 12 mėnesių. Pacientai, anksčiau patyrę insultą arba PSIP, į tyrimą įtraukti nebuvo.</w:t>
      </w:r>
    </w:p>
    <w:p w14:paraId="7E207FBD" w14:textId="77777777" w:rsidR="00823785" w:rsidRPr="00452D62" w:rsidRDefault="00823785" w:rsidP="00823785">
      <w:pPr>
        <w:tabs>
          <w:tab w:val="clear" w:pos="567"/>
        </w:tabs>
        <w:suppressAutoHyphens w:val="0"/>
        <w:spacing w:line="240" w:lineRule="auto"/>
        <w:rPr>
          <w:rFonts w:eastAsia="MS Mincho"/>
          <w:color w:val="auto"/>
          <w:sz w:val="22"/>
          <w:szCs w:val="22"/>
          <w:lang w:eastAsia="fr-FR"/>
        </w:rPr>
      </w:pPr>
      <w:r w:rsidRPr="00452D62">
        <w:rPr>
          <w:rFonts w:eastAsia="MS Mincho"/>
          <w:color w:val="auto"/>
          <w:sz w:val="22"/>
          <w:szCs w:val="22"/>
          <w:lang w:eastAsia="fr-FR"/>
        </w:rPr>
        <w:t>1 grupės pacientai vartojo 15 mg rivaroksabano vieną kartą per parą (pacientai, kurių kreatinino klirensas buvo 30</w:t>
      </w:r>
      <w:r w:rsidRPr="00452D62">
        <w:rPr>
          <w:rFonts w:eastAsia="MS Mincho"/>
          <w:color w:val="auto"/>
          <w:sz w:val="22"/>
          <w:szCs w:val="22"/>
          <w:lang w:eastAsia="fr-FR"/>
        </w:rPr>
        <w:noBreakHyphen/>
        <w:t>49 ml/min., vartojo 10 mg dozę vieną kartą per parą) kartu su P2Y12 inhibitoriumi. 2 grupės pacientai 1, 6 arba 12 mėnesių vartojo 2,5 mg rivaroksabano du kartus per parą kartu su DAT (dviguba antitrombocitine terapija, t. y. 75 mg klopidogrelio [arba kito P2Y12 inhibitoriaus] kartu su maža acetilsalicilo rūgšties [ASR] doze), o vėliau – 15 mg rivaroksabano (pacientai, kurių kreatinino klirensas 30</w:t>
      </w:r>
      <w:r w:rsidRPr="00452D62">
        <w:rPr>
          <w:rFonts w:eastAsia="MS Mincho"/>
          <w:color w:val="auto"/>
          <w:sz w:val="22"/>
          <w:szCs w:val="22"/>
          <w:lang w:eastAsia="fr-FR"/>
        </w:rPr>
        <w:noBreakHyphen/>
        <w:t>49 ml/min., vartojo 10 mg dozę) vieną kartą per parą kartu su maža ASR doze. 3 grupės pacientai 1, 6 arba 12 mėnesių vartojo pritaikytos dozės VKA kartu su DAT, o vėliau – pritaikytos dozės VKA kartu su maža ASR doze.</w:t>
      </w:r>
    </w:p>
    <w:p w14:paraId="3FD17D21" w14:textId="675737EA" w:rsidR="00823785" w:rsidRPr="00452D62" w:rsidRDefault="00823785" w:rsidP="00823785">
      <w:pPr>
        <w:tabs>
          <w:tab w:val="clear" w:pos="567"/>
        </w:tabs>
        <w:suppressAutoHyphens w:val="0"/>
        <w:spacing w:line="240" w:lineRule="auto"/>
        <w:rPr>
          <w:rFonts w:eastAsia="MS Mincho"/>
          <w:color w:val="auto"/>
          <w:sz w:val="22"/>
          <w:szCs w:val="22"/>
          <w:lang w:eastAsia="fr-FR"/>
        </w:rPr>
      </w:pPr>
      <w:r w:rsidRPr="00452D62">
        <w:rPr>
          <w:rFonts w:eastAsia="MS Mincho"/>
          <w:color w:val="auto"/>
          <w:sz w:val="22"/>
          <w:szCs w:val="22"/>
          <w:lang w:eastAsia="fr-FR"/>
        </w:rPr>
        <w:t>Pagrindinė saugumo vertinamoji baigtis, kliniškai reikšmingas kraujavimas, atitinkamai pasireiškė 109 (15,7 %), 117 (16,6 %) ir 167 (24,0 %) 1 grupės, 2 grupės ir 3 grupės tiriamųjų (atitinkamai RS 0,59; 95 % PI 0,47</w:t>
      </w:r>
      <w:r w:rsidRPr="00452D62">
        <w:rPr>
          <w:rFonts w:eastAsia="MS Mincho"/>
          <w:color w:val="auto"/>
          <w:sz w:val="22"/>
          <w:szCs w:val="22"/>
          <w:lang w:eastAsia="fr-FR"/>
        </w:rPr>
        <w:noBreakHyphen/>
        <w:t>0,76; p &lt; 0,001 ir RS 0,63; 95 % PI 0,50</w:t>
      </w:r>
      <w:r w:rsidRPr="00452D62">
        <w:rPr>
          <w:rFonts w:eastAsia="MS Mincho"/>
          <w:color w:val="auto"/>
          <w:sz w:val="22"/>
          <w:szCs w:val="22"/>
          <w:lang w:eastAsia="fr-FR"/>
        </w:rPr>
        <w:noBreakHyphen/>
        <w:t>0,80; p &lt; 0,001). Antrinė sudėtinė vertinamoji baigtis (ją sudarė kardiovaskuliniai reiškiniai: KV mirtis, MI arba insultas) pasireiškė 41 (5,9 %), 36 (5,1 %) ir 36 (5,2 %) atitinkamai 1 grupės, 2 grupės ir 3 grupės tiriamųjų. Pacientams, kuriems buvo vožtuvų liga nesusijęs prieširdžių virpėjimas ir kuriems atlikta PVI su stento įvedimu, taikant kiekvieną rivaroksabano dozavimo schemą, pasireiškė reikšmingai mažiau kliniškai svarbių kraujavimo reiškinių, palyginti su pacientais, gydytais taikant VKA schemą.</w:t>
      </w:r>
    </w:p>
    <w:p w14:paraId="62BA4469" w14:textId="77777777" w:rsidR="00823785" w:rsidRPr="00452D62" w:rsidRDefault="00823785" w:rsidP="00823785">
      <w:pPr>
        <w:tabs>
          <w:tab w:val="clear" w:pos="567"/>
        </w:tabs>
        <w:suppressAutoHyphens w:val="0"/>
        <w:spacing w:line="240" w:lineRule="auto"/>
        <w:rPr>
          <w:rFonts w:eastAsia="MS Mincho"/>
          <w:color w:val="auto"/>
          <w:sz w:val="22"/>
          <w:szCs w:val="22"/>
          <w:lang w:eastAsia="fr-FR"/>
        </w:rPr>
      </w:pPr>
      <w:r w:rsidRPr="00452D62">
        <w:rPr>
          <w:rFonts w:eastAsia="MS Mincho"/>
          <w:color w:val="auto"/>
          <w:sz w:val="22"/>
          <w:szCs w:val="22"/>
          <w:lang w:eastAsia="fr-FR"/>
        </w:rPr>
        <w:t xml:space="preserve">Pagrindinis </w:t>
      </w:r>
      <w:r w:rsidRPr="00452D62">
        <w:rPr>
          <w:rFonts w:eastAsia="MS Mincho"/>
          <w:i/>
          <w:iCs/>
          <w:color w:val="auto"/>
          <w:sz w:val="22"/>
          <w:szCs w:val="22"/>
          <w:lang w:eastAsia="fr-FR"/>
        </w:rPr>
        <w:t>PIONEER AF–PCI</w:t>
      </w:r>
      <w:r w:rsidRPr="00452D62">
        <w:rPr>
          <w:rFonts w:eastAsia="MS Mincho"/>
          <w:color w:val="auto"/>
          <w:sz w:val="22"/>
          <w:szCs w:val="22"/>
          <w:lang w:eastAsia="fr-FR"/>
        </w:rPr>
        <w:t xml:space="preserve"> klinikinio tyrimo tikslas buvo saugumo įvertinimas. Duomenų apie veiksmingumą (įskaitant tromboembolijos reiškinius) šiai populiacijai yra nedaug.</w:t>
      </w:r>
    </w:p>
    <w:p w14:paraId="1EDF5FCA" w14:textId="77777777" w:rsidR="00823785" w:rsidRPr="00452D62" w:rsidRDefault="00823785" w:rsidP="00823785">
      <w:pPr>
        <w:rPr>
          <w:sz w:val="22"/>
          <w:szCs w:val="22"/>
        </w:rPr>
      </w:pPr>
    </w:p>
    <w:p w14:paraId="7A6A9495" w14:textId="77777777" w:rsidR="00823785" w:rsidRPr="00452D62" w:rsidRDefault="00823785" w:rsidP="00823785">
      <w:pPr>
        <w:rPr>
          <w:i/>
          <w:sz w:val="22"/>
          <w:szCs w:val="22"/>
        </w:rPr>
      </w:pPr>
      <w:r w:rsidRPr="00452D62">
        <w:rPr>
          <w:i/>
          <w:sz w:val="22"/>
          <w:szCs w:val="22"/>
        </w:rPr>
        <w:t>GVT gydymas, PE gydymas ir pasikartojančios GVT bei PE profilaktika</w:t>
      </w:r>
    </w:p>
    <w:p w14:paraId="65D30DEA" w14:textId="77777777" w:rsidR="00823785" w:rsidRPr="00452D62" w:rsidRDefault="00823785" w:rsidP="00823785">
      <w:pPr>
        <w:rPr>
          <w:sz w:val="22"/>
          <w:szCs w:val="22"/>
        </w:rPr>
      </w:pPr>
      <w:r w:rsidRPr="00452D62">
        <w:rPr>
          <w:sz w:val="22"/>
          <w:szCs w:val="22"/>
        </w:rPr>
        <w:t>Rivaroksabano klinikinė programa buvo suplanuota siekiant įrodyti rivaroksabano veiksmingumą, skiriant pradinį ir tęstinį ūminės GVT bei PE gydymą ir pasikartojimo profilaktiką.</w:t>
      </w:r>
    </w:p>
    <w:p w14:paraId="6CC9B886" w14:textId="77777777" w:rsidR="00823785" w:rsidRPr="00452D62" w:rsidRDefault="00823785" w:rsidP="00823785">
      <w:pPr>
        <w:rPr>
          <w:sz w:val="22"/>
          <w:szCs w:val="22"/>
        </w:rPr>
      </w:pPr>
      <w:r w:rsidRPr="00452D62">
        <w:rPr>
          <w:sz w:val="22"/>
          <w:szCs w:val="22"/>
        </w:rPr>
        <w:t>Keturiuose atsitiktinių imčių kontroliuojamuose III fazės klinikiniuose tyrimuose (</w:t>
      </w:r>
      <w:r w:rsidRPr="00452D62">
        <w:rPr>
          <w:i/>
          <w:sz w:val="22"/>
          <w:szCs w:val="22"/>
        </w:rPr>
        <w:t>Einstein DVT, Einstein PE, Einstein Extention ir Einstein Choice</w:t>
      </w:r>
      <w:r w:rsidRPr="00452D62">
        <w:rPr>
          <w:sz w:val="22"/>
          <w:szCs w:val="22"/>
        </w:rPr>
        <w:t xml:space="preserve">) buvo tirta daugiau nei 12 800 pacientų ir atlikta iš anksto numatyta apibendrinta </w:t>
      </w:r>
      <w:r w:rsidRPr="00452D62">
        <w:rPr>
          <w:i/>
          <w:sz w:val="22"/>
          <w:szCs w:val="22"/>
        </w:rPr>
        <w:t xml:space="preserve">Einstein DVT </w:t>
      </w:r>
      <w:r w:rsidRPr="00452D62">
        <w:rPr>
          <w:sz w:val="22"/>
          <w:szCs w:val="22"/>
        </w:rPr>
        <w:t xml:space="preserve">ir </w:t>
      </w:r>
      <w:r w:rsidRPr="00452D62">
        <w:rPr>
          <w:i/>
          <w:sz w:val="22"/>
          <w:szCs w:val="22"/>
        </w:rPr>
        <w:t>Einstein PE</w:t>
      </w:r>
      <w:r w:rsidRPr="00452D62">
        <w:rPr>
          <w:sz w:val="22"/>
          <w:szCs w:val="22"/>
        </w:rPr>
        <w:t xml:space="preserve"> tyrimų analizė. Bendra kombinuotojo gydymo trukmė visuose tyrimuose buvo iki 21 mėnesio.</w:t>
      </w:r>
    </w:p>
    <w:p w14:paraId="11B8E9D0" w14:textId="77777777" w:rsidR="00823785" w:rsidRPr="00452D62" w:rsidRDefault="00823785" w:rsidP="00823785">
      <w:pPr>
        <w:rPr>
          <w:sz w:val="22"/>
          <w:szCs w:val="22"/>
        </w:rPr>
      </w:pPr>
    </w:p>
    <w:p w14:paraId="7DEE9139" w14:textId="77777777" w:rsidR="00823785" w:rsidRPr="00452D62" w:rsidRDefault="00823785" w:rsidP="00823785">
      <w:pPr>
        <w:rPr>
          <w:sz w:val="22"/>
          <w:szCs w:val="22"/>
        </w:rPr>
      </w:pPr>
      <w:r w:rsidRPr="00452D62">
        <w:rPr>
          <w:i/>
          <w:sz w:val="22"/>
          <w:szCs w:val="22"/>
        </w:rPr>
        <w:t>Einstein DVT</w:t>
      </w:r>
      <w:r w:rsidRPr="00452D62">
        <w:rPr>
          <w:sz w:val="22"/>
          <w:szCs w:val="22"/>
        </w:rPr>
        <w:t xml:space="preserve"> tyrime vertintas GVT gydymas ir pasikartojančios GVT bei PE profilaktika ir tirti 3 449 pacientai, sergantys ūmine GVT (pacientai, kuriems buvo simptominė PE, į tyrimą nebuvo įtraukti). Gydymas truko 3, 6 arba 12 mėnesių, priklausomai nuo klinikinio tyrėjo sprendimo.</w:t>
      </w:r>
    </w:p>
    <w:p w14:paraId="44462E8B" w14:textId="77777777" w:rsidR="00823785" w:rsidRPr="00452D62" w:rsidRDefault="00823785" w:rsidP="00823785">
      <w:pPr>
        <w:rPr>
          <w:sz w:val="22"/>
          <w:szCs w:val="22"/>
        </w:rPr>
      </w:pPr>
      <w:r w:rsidRPr="00452D62">
        <w:rPr>
          <w:sz w:val="22"/>
          <w:szCs w:val="22"/>
        </w:rPr>
        <w:t>Pradinio ūminės GVT 3 savaičių trukmės gydymo laikotarpiu du kartus per parą buvo skiriama po 15 mg rivaroksabano. Po to buvo skiriama 20 mg rivaroksabano vieną kartą per parą.</w:t>
      </w:r>
    </w:p>
    <w:p w14:paraId="537467A2" w14:textId="77777777" w:rsidR="00823785" w:rsidRPr="00452D62" w:rsidRDefault="00823785" w:rsidP="00823785">
      <w:pPr>
        <w:rPr>
          <w:sz w:val="22"/>
          <w:szCs w:val="22"/>
        </w:rPr>
      </w:pPr>
    </w:p>
    <w:p w14:paraId="33B8833A" w14:textId="77777777" w:rsidR="00823785" w:rsidRPr="00452D62" w:rsidRDefault="00823785" w:rsidP="00823785">
      <w:pPr>
        <w:rPr>
          <w:sz w:val="22"/>
          <w:szCs w:val="22"/>
        </w:rPr>
      </w:pPr>
      <w:r w:rsidRPr="00452D62">
        <w:rPr>
          <w:i/>
          <w:sz w:val="22"/>
          <w:szCs w:val="22"/>
        </w:rPr>
        <w:t>Einstein PE</w:t>
      </w:r>
      <w:r w:rsidRPr="00452D62">
        <w:rPr>
          <w:sz w:val="22"/>
          <w:szCs w:val="22"/>
        </w:rPr>
        <w:t xml:space="preserve"> tyrimo metu 4 832 ūmine PE sergantiems pacientams buvo taikomas PE gydymas ir pasikartojančios GVT bei PE profilaktika. Gydymo trukmė buvo 3, 6 arba 12 mėnesių, priklausomai nuo klinikinio tyrėjo sprendimo.</w:t>
      </w:r>
    </w:p>
    <w:p w14:paraId="488F0596" w14:textId="77777777" w:rsidR="00823785" w:rsidRPr="00452D62" w:rsidRDefault="00823785" w:rsidP="00823785">
      <w:pPr>
        <w:rPr>
          <w:sz w:val="22"/>
          <w:szCs w:val="22"/>
        </w:rPr>
      </w:pPr>
      <w:r w:rsidRPr="00452D62">
        <w:rPr>
          <w:sz w:val="22"/>
          <w:szCs w:val="22"/>
        </w:rPr>
        <w:t>Ūminės PE gydymui pirmąsias tris savaites buvo skiriama po 15 mg rivaroksabano du kartus per parą, vėliau – 20 mg rivaroksabano vieną kartą per parą.</w:t>
      </w:r>
    </w:p>
    <w:p w14:paraId="31D62A34" w14:textId="77777777" w:rsidR="00823785" w:rsidRPr="00452D62" w:rsidRDefault="00823785" w:rsidP="00823785">
      <w:pPr>
        <w:rPr>
          <w:sz w:val="22"/>
          <w:szCs w:val="22"/>
        </w:rPr>
      </w:pPr>
    </w:p>
    <w:p w14:paraId="001DD726" w14:textId="77777777" w:rsidR="00823785" w:rsidRPr="00452D62" w:rsidRDefault="00823785" w:rsidP="00823785">
      <w:pPr>
        <w:rPr>
          <w:sz w:val="22"/>
          <w:szCs w:val="22"/>
        </w:rPr>
      </w:pPr>
      <w:r w:rsidRPr="00452D62">
        <w:rPr>
          <w:iCs/>
          <w:sz w:val="22"/>
          <w:szCs w:val="22"/>
        </w:rPr>
        <w:t xml:space="preserve">Ir </w:t>
      </w:r>
      <w:r w:rsidRPr="00452D62">
        <w:rPr>
          <w:i/>
          <w:sz w:val="22"/>
          <w:szCs w:val="22"/>
        </w:rPr>
        <w:t>Einstein DVT</w:t>
      </w:r>
      <w:r w:rsidRPr="00452D62">
        <w:rPr>
          <w:sz w:val="22"/>
          <w:szCs w:val="22"/>
        </w:rPr>
        <w:t xml:space="preserve"> ir </w:t>
      </w:r>
      <w:r w:rsidRPr="00452D62">
        <w:rPr>
          <w:i/>
          <w:sz w:val="22"/>
          <w:szCs w:val="22"/>
        </w:rPr>
        <w:t>Einstein PE</w:t>
      </w:r>
      <w:r w:rsidRPr="00452D62">
        <w:rPr>
          <w:sz w:val="22"/>
          <w:szCs w:val="22"/>
        </w:rPr>
        <w:t xml:space="preserve"> tyrimuose palyginamajam gydymui mažiausiai 5 dienas kartu su vitamino K antagonistu buvo skiriamas enoksaparinas, kol protrombino laikas/INR pasiekė terapinį intervalą (≥ 2,0). Gydymas buvo tęsiamas vitamino K antagonistu, kurio dozė buvo parenkama atsižvelgiant į PT/INR rodmenis siekiant, kad jie būtų terapiniame intervale nuo 2,0 ir 3,0.</w:t>
      </w:r>
    </w:p>
    <w:p w14:paraId="13D38082" w14:textId="77777777" w:rsidR="00823785" w:rsidRPr="00452D62" w:rsidRDefault="00823785" w:rsidP="00823785">
      <w:pPr>
        <w:rPr>
          <w:sz w:val="22"/>
          <w:szCs w:val="22"/>
        </w:rPr>
      </w:pPr>
    </w:p>
    <w:p w14:paraId="33F5BB71" w14:textId="77777777" w:rsidR="00823785" w:rsidRPr="00452D62" w:rsidRDefault="00823785" w:rsidP="00823785">
      <w:pPr>
        <w:rPr>
          <w:sz w:val="22"/>
          <w:szCs w:val="22"/>
        </w:rPr>
      </w:pPr>
      <w:r w:rsidRPr="00452D62">
        <w:rPr>
          <w:i/>
          <w:sz w:val="22"/>
          <w:szCs w:val="22"/>
        </w:rPr>
        <w:t xml:space="preserve">Einstein Extention </w:t>
      </w:r>
      <w:r w:rsidRPr="00452D62">
        <w:rPr>
          <w:sz w:val="22"/>
          <w:szCs w:val="22"/>
        </w:rPr>
        <w:t>tyrime buvo vertinta pasikartojančios GVT ir PE profilaktika ir tirti 1 197 pacientai, sergantys GVT arba PE. Pacientų, kuriems buvo baigtas 6</w:t>
      </w:r>
      <w:r w:rsidRPr="00452D62">
        <w:rPr>
          <w:sz w:val="22"/>
          <w:szCs w:val="22"/>
        </w:rPr>
        <w:noBreakHyphen/>
        <w:t>12 mėnesių trukmės venų tromboembolijos gydymas, papildomas gydymas truko dar 6 arba 12 mėnesių, priklausomai nuo klinikinio tyrėjo sprendimo. Buvo lyginamas vieną kartą per parą vartojamos 20 mg rivaroksabano dozės ir placebo poveikis.</w:t>
      </w:r>
    </w:p>
    <w:p w14:paraId="7524B971" w14:textId="77777777" w:rsidR="00823785" w:rsidRPr="00452D62" w:rsidRDefault="00823785" w:rsidP="00823785">
      <w:pPr>
        <w:rPr>
          <w:sz w:val="22"/>
          <w:szCs w:val="22"/>
        </w:rPr>
      </w:pPr>
    </w:p>
    <w:p w14:paraId="1CEB1CD6" w14:textId="77777777" w:rsidR="00823785" w:rsidRPr="00452D62" w:rsidRDefault="00823785" w:rsidP="00823785">
      <w:pPr>
        <w:rPr>
          <w:sz w:val="22"/>
          <w:szCs w:val="22"/>
        </w:rPr>
      </w:pPr>
      <w:r w:rsidRPr="00452D62">
        <w:rPr>
          <w:i/>
          <w:sz w:val="22"/>
          <w:szCs w:val="22"/>
        </w:rPr>
        <w:t>Einstein DVT, PE</w:t>
      </w:r>
      <w:r w:rsidRPr="00452D62">
        <w:rPr>
          <w:sz w:val="22"/>
          <w:szCs w:val="22"/>
        </w:rPr>
        <w:t xml:space="preserve"> ir </w:t>
      </w:r>
      <w:r w:rsidRPr="00452D62">
        <w:rPr>
          <w:i/>
          <w:sz w:val="22"/>
          <w:szCs w:val="22"/>
        </w:rPr>
        <w:t>Extension</w:t>
      </w:r>
      <w:r w:rsidRPr="00452D62">
        <w:rPr>
          <w:sz w:val="22"/>
          <w:szCs w:val="22"/>
        </w:rPr>
        <w:t xml:space="preserve"> tyrimuose analizuotos tokios pačios iš anksto numatytos pagrindinės ir antrinės veiksmingumo vertinamosios baigtys. Pagrindinė sudėtinė veiksmingumo vertinamoji baigtis buvo simptominė pasikartojanti VTE, apibūdinama kaip pasikartojanti GVT ir mirtina arba nemirtina PE. Antrinė veiksmingumo vertinamoji baigtis buvo sudėtinė, ją sudarė pasikartojanti GVT, nemirtina PE ir mirtis dėl bet kokios priežasties.</w:t>
      </w:r>
    </w:p>
    <w:p w14:paraId="02BE1018" w14:textId="77777777" w:rsidR="00823785" w:rsidRPr="00452D62" w:rsidRDefault="00823785" w:rsidP="00823785">
      <w:pPr>
        <w:rPr>
          <w:sz w:val="22"/>
          <w:szCs w:val="22"/>
        </w:rPr>
      </w:pPr>
    </w:p>
    <w:p w14:paraId="507C0DBC" w14:textId="20061F1A" w:rsidR="00823785" w:rsidRPr="00452D62" w:rsidRDefault="00823785" w:rsidP="00823785">
      <w:pPr>
        <w:rPr>
          <w:sz w:val="22"/>
          <w:szCs w:val="22"/>
        </w:rPr>
      </w:pPr>
      <w:r w:rsidRPr="00452D62">
        <w:rPr>
          <w:sz w:val="22"/>
          <w:szCs w:val="22"/>
        </w:rPr>
        <w:t xml:space="preserve">Tyrime </w:t>
      </w:r>
      <w:r w:rsidRPr="00452D62">
        <w:rPr>
          <w:i/>
          <w:sz w:val="22"/>
          <w:szCs w:val="22"/>
        </w:rPr>
        <w:t>Einstein Choice</w:t>
      </w:r>
      <w:r w:rsidRPr="00452D62">
        <w:rPr>
          <w:sz w:val="22"/>
          <w:szCs w:val="22"/>
        </w:rPr>
        <w:t>, kuriame dalyvavo 3 396 pacientai, patyrę patvirtintą simptominę GVT ir (arba) PE ir užbaigę 6</w:t>
      </w:r>
      <w:r w:rsidRPr="00452D62">
        <w:rPr>
          <w:sz w:val="22"/>
          <w:szCs w:val="22"/>
        </w:rPr>
        <w:noBreakHyphen/>
        <w:t>12 mėnesių trukusį gydymą antikoaguliantais, buvo tiriama mirtinos PE arba nemirtinos pasikartojančios simptominės GVT arba PE profilaktika. Pacientai, kuriems buvo tęstinio gydymo terapinėmis antikoaguliantų dozėmis indikacijų, į tyrimą įtraukti nebuvo. Gydymo trukmė buvo iki 12 mėnesių ir priklausė nuo priskyrimo atsitiktinei imčiai datos (mediana: 351 diena). Buvo lyginamas vieną kartą per parą vartojamos 20 rivaroksabano dozės, vieną kartą per parą vartojamos 10 mg rivaroksabano dozės ir vieną kartą per parą vartojamos 100 mg acetilsalicilo rūgšties dozės poveikis.</w:t>
      </w:r>
    </w:p>
    <w:p w14:paraId="4227B4CC" w14:textId="77777777" w:rsidR="00823785" w:rsidRPr="00452D62" w:rsidRDefault="00823785" w:rsidP="00823785">
      <w:pPr>
        <w:rPr>
          <w:sz w:val="22"/>
          <w:szCs w:val="22"/>
        </w:rPr>
      </w:pPr>
    </w:p>
    <w:p w14:paraId="084FDC3E" w14:textId="77777777" w:rsidR="00823785" w:rsidRPr="00452D62" w:rsidRDefault="00823785" w:rsidP="00823785">
      <w:pPr>
        <w:rPr>
          <w:sz w:val="22"/>
          <w:szCs w:val="22"/>
        </w:rPr>
      </w:pPr>
      <w:r w:rsidRPr="00452D62">
        <w:rPr>
          <w:sz w:val="22"/>
          <w:szCs w:val="22"/>
        </w:rPr>
        <w:t>Pagrindinė sudėtinė veiksmingumo vertinamoji baigtis buvo simptominė pasikartojanti VTE, apibūdinama kaip pasikartojanti GVT ir mirtina arba nemirtina PE.</w:t>
      </w:r>
    </w:p>
    <w:p w14:paraId="7AC0D9BD" w14:textId="77777777" w:rsidR="00823785" w:rsidRPr="00452D62" w:rsidRDefault="00823785" w:rsidP="00823785">
      <w:pPr>
        <w:rPr>
          <w:sz w:val="22"/>
          <w:szCs w:val="22"/>
        </w:rPr>
      </w:pPr>
    </w:p>
    <w:p w14:paraId="536E0FBC" w14:textId="3D17D70F" w:rsidR="00823785" w:rsidRPr="00452D62" w:rsidRDefault="00823785" w:rsidP="00823785">
      <w:pPr>
        <w:rPr>
          <w:sz w:val="22"/>
          <w:szCs w:val="22"/>
        </w:rPr>
      </w:pPr>
      <w:r w:rsidRPr="00452D62">
        <w:rPr>
          <w:i/>
          <w:sz w:val="22"/>
          <w:szCs w:val="22"/>
        </w:rPr>
        <w:t>Einstein DVT</w:t>
      </w:r>
      <w:r w:rsidRPr="00452D62">
        <w:rPr>
          <w:sz w:val="22"/>
          <w:szCs w:val="22"/>
        </w:rPr>
        <w:t xml:space="preserve"> tyrimo metu (žr. 6 lentelę) analizuojant pagrindinę veiksmingumo vertinamąją baigtį, įrodytas neprastesnis poveikis, palyginti su enoksaparino/VKA poveikiu (p &lt; 0,0001 (neprastesnio poveikio testas); rizikos santykis (RS): 0,680 (0,443</w:t>
      </w:r>
      <w:r w:rsidRPr="00452D62">
        <w:rPr>
          <w:sz w:val="22"/>
          <w:szCs w:val="22"/>
        </w:rPr>
        <w:noBreakHyphen/>
        <w:t>1,042), p=0,076 (pranašumo tyrimas). Vertinant iš anksto numatytą suminę klinikinę naudą (pagrindinės veiksmingumo vertinamosios baigties reiškiniai plius didžiojo kraujavimo atvejai), RS buvo 0,67 ((95 % PI: 0,47</w:t>
      </w:r>
      <w:r w:rsidRPr="00452D62">
        <w:rPr>
          <w:sz w:val="22"/>
          <w:szCs w:val="22"/>
        </w:rPr>
        <w:noBreakHyphen/>
        <w:t>0,95), nominali p reikšmė p=0,027) rivaroksabano naudai. INR rodmuo vidutiniškai 60,3 % laiko buvo terapiniame intervale, kai vidutinė gydymo trukmė buvo 189 dienos, ir 55,4 %, 60,1 % bei 62,8 % laiko atitinkamai 3, 6 ir 12 mėnesių trukmės gydymo grupėse. Enoksaparino/VKA grupėje nebuvo aiškaus ryšio tarp vidutinio centrinio LIT (laiko iki tikslinio INR intervalo nuo 2,0 iki 3,0) vienodo dydžio tertilėse ir pasikartojančios VTE dažnio (sąveikos p=0,932). Aukščiausioje tertilėje (vertinant pagal centrą) RS vartojant rivaroksabaną, palyginti su varfarinu, buvo 0,69 (95 % PI: 0,35-1,35).</w:t>
      </w:r>
    </w:p>
    <w:p w14:paraId="405E84AD" w14:textId="77777777" w:rsidR="00823785" w:rsidRPr="00452D62" w:rsidRDefault="00823785" w:rsidP="00823785">
      <w:pPr>
        <w:rPr>
          <w:sz w:val="22"/>
          <w:szCs w:val="22"/>
        </w:rPr>
      </w:pPr>
    </w:p>
    <w:p w14:paraId="0514B179" w14:textId="77777777" w:rsidR="00823785" w:rsidRPr="00452D62" w:rsidRDefault="00823785" w:rsidP="00823785">
      <w:pPr>
        <w:rPr>
          <w:sz w:val="22"/>
          <w:szCs w:val="22"/>
        </w:rPr>
      </w:pPr>
      <w:r w:rsidRPr="00452D62">
        <w:rPr>
          <w:sz w:val="22"/>
          <w:szCs w:val="22"/>
        </w:rPr>
        <w:t>Pagrindinės saugumo vertinamosios baigties reiškinių (didžiojo arba kliniškai reikšmingų ne didžiojo kraujavimo reiškinių) ir antrinės saugumo vertinamosios baigties reiškinių (didžiojo kraujavimo reiškinių) atvejų dažnis abiejose gydymo grupėse buvo panašūs.</w:t>
      </w:r>
    </w:p>
    <w:p w14:paraId="05E93385" w14:textId="77777777" w:rsidR="00823785" w:rsidRPr="00452D62" w:rsidRDefault="00823785" w:rsidP="00823785">
      <w:pPr>
        <w:rPr>
          <w:sz w:val="22"/>
          <w:szCs w:val="22"/>
        </w:rPr>
      </w:pPr>
    </w:p>
    <w:p w14:paraId="5E6A3082" w14:textId="77777777" w:rsidR="00823785" w:rsidRPr="00452D62" w:rsidRDefault="00823785" w:rsidP="00823785">
      <w:pPr>
        <w:rPr>
          <w:b/>
          <w:sz w:val="22"/>
          <w:szCs w:val="22"/>
        </w:rPr>
      </w:pPr>
      <w:r w:rsidRPr="00452D62">
        <w:rPr>
          <w:b/>
          <w:sz w:val="22"/>
          <w:szCs w:val="22"/>
        </w:rPr>
        <w:t xml:space="preserve">6 lentelė. III fazės </w:t>
      </w:r>
      <w:r w:rsidRPr="00452D62">
        <w:rPr>
          <w:b/>
          <w:i/>
          <w:iCs/>
          <w:sz w:val="22"/>
          <w:szCs w:val="22"/>
        </w:rPr>
        <w:t>Einstein DVT</w:t>
      </w:r>
      <w:r w:rsidRPr="00452D62">
        <w:rPr>
          <w:b/>
          <w:sz w:val="22"/>
          <w:szCs w:val="22"/>
        </w:rPr>
        <w:t xml:space="preserve"> tyrimo veiksmingumo ir saugumo rezultatai</w:t>
      </w: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7"/>
        <w:gridCol w:w="2882"/>
        <w:gridCol w:w="2855"/>
      </w:tblGrid>
      <w:tr w:rsidR="00823785" w:rsidRPr="00452D62" w14:paraId="1523E474" w14:textId="77777777" w:rsidTr="006453B9">
        <w:tc>
          <w:tcPr>
            <w:tcW w:w="2877" w:type="dxa"/>
            <w:shd w:val="clear" w:color="auto" w:fill="auto"/>
          </w:tcPr>
          <w:p w14:paraId="2AD3D819"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Tyrimo populiacija</w:t>
            </w:r>
          </w:p>
        </w:tc>
        <w:tc>
          <w:tcPr>
            <w:tcW w:w="5737" w:type="dxa"/>
            <w:gridSpan w:val="2"/>
            <w:shd w:val="clear" w:color="auto" w:fill="auto"/>
          </w:tcPr>
          <w:p w14:paraId="1C160E00"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3 449 pacientai, sergantys simptomine ūmine giliųjų venų tromboze</w:t>
            </w:r>
          </w:p>
        </w:tc>
      </w:tr>
      <w:tr w:rsidR="00823785" w:rsidRPr="00452D62" w14:paraId="5C284505" w14:textId="77777777" w:rsidTr="006453B9">
        <w:tc>
          <w:tcPr>
            <w:tcW w:w="2877" w:type="dxa"/>
            <w:shd w:val="clear" w:color="auto" w:fill="auto"/>
          </w:tcPr>
          <w:p w14:paraId="1CFFF070" w14:textId="77777777" w:rsidR="00823785" w:rsidRPr="000877E9"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Gydymo dozė ir trukmė</w:t>
            </w:r>
          </w:p>
        </w:tc>
        <w:tc>
          <w:tcPr>
            <w:tcW w:w="2882" w:type="dxa"/>
            <w:shd w:val="clear" w:color="auto" w:fill="auto"/>
          </w:tcPr>
          <w:p w14:paraId="21B7B84E"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vertAlign w:val="superscript"/>
                <w:lang w:eastAsia="en-US"/>
              </w:rPr>
            </w:pPr>
            <w:r w:rsidRPr="00452D62">
              <w:rPr>
                <w:b/>
                <w:bCs/>
                <w:color w:val="231F20"/>
                <w:spacing w:val="-1"/>
                <w:sz w:val="22"/>
                <w:szCs w:val="22"/>
                <w:lang w:eastAsia="en-US"/>
              </w:rPr>
              <w:t>Rivaroksabanas</w:t>
            </w:r>
            <w:r w:rsidRPr="00452D62">
              <w:rPr>
                <w:b/>
                <w:bCs/>
                <w:color w:val="231F20"/>
                <w:spacing w:val="-1"/>
                <w:sz w:val="22"/>
                <w:szCs w:val="22"/>
                <w:vertAlign w:val="superscript"/>
                <w:lang w:eastAsia="en-US"/>
              </w:rPr>
              <w:t>a)</w:t>
            </w:r>
          </w:p>
          <w:p w14:paraId="202643FB"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 xml:space="preserve">3, 6 arba 12 mėnesių </w:t>
            </w:r>
          </w:p>
          <w:p w14:paraId="770ABE23"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N=1 731</w:t>
            </w:r>
          </w:p>
        </w:tc>
        <w:tc>
          <w:tcPr>
            <w:tcW w:w="2855" w:type="dxa"/>
            <w:shd w:val="clear" w:color="auto" w:fill="auto"/>
          </w:tcPr>
          <w:p w14:paraId="722D2944"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Enoksaparinas/VKA</w:t>
            </w:r>
            <w:r w:rsidRPr="00452D62">
              <w:rPr>
                <w:b/>
                <w:bCs/>
                <w:color w:val="231F20"/>
                <w:spacing w:val="-1"/>
                <w:sz w:val="22"/>
                <w:szCs w:val="22"/>
                <w:vertAlign w:val="superscript"/>
                <w:lang w:eastAsia="en-US"/>
              </w:rPr>
              <w:t>b)</w:t>
            </w:r>
          </w:p>
          <w:p w14:paraId="49950CEA"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3, 6 arba 12 mėnesių</w:t>
            </w:r>
          </w:p>
          <w:p w14:paraId="761D468B"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N=1 718</w:t>
            </w:r>
          </w:p>
        </w:tc>
      </w:tr>
      <w:tr w:rsidR="00823785" w:rsidRPr="00452D62" w14:paraId="2541C654" w14:textId="77777777" w:rsidTr="006453B9">
        <w:tc>
          <w:tcPr>
            <w:tcW w:w="2877" w:type="dxa"/>
            <w:shd w:val="clear" w:color="auto" w:fill="auto"/>
          </w:tcPr>
          <w:p w14:paraId="0FECBAD8" w14:textId="77777777" w:rsidR="00823785" w:rsidRPr="00452D62" w:rsidRDefault="00823785"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452D62">
              <w:rPr>
                <w:color w:val="231F20"/>
                <w:spacing w:val="-1"/>
                <w:sz w:val="22"/>
                <w:szCs w:val="22"/>
                <w:lang w:eastAsia="en-US"/>
              </w:rPr>
              <w:t>Simptominė pasikartojanti VTE*</w:t>
            </w:r>
          </w:p>
        </w:tc>
        <w:tc>
          <w:tcPr>
            <w:tcW w:w="2882" w:type="dxa"/>
            <w:shd w:val="clear" w:color="auto" w:fill="auto"/>
          </w:tcPr>
          <w:p w14:paraId="07C8A4C6"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36 </w:t>
            </w:r>
          </w:p>
          <w:p w14:paraId="3765EB2A" w14:textId="56A240A6"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(2,1 %)</w:t>
            </w:r>
          </w:p>
        </w:tc>
        <w:tc>
          <w:tcPr>
            <w:tcW w:w="2855" w:type="dxa"/>
            <w:shd w:val="clear" w:color="auto" w:fill="auto"/>
          </w:tcPr>
          <w:p w14:paraId="5BFB7CAD"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51 </w:t>
            </w:r>
          </w:p>
          <w:p w14:paraId="59EAF18E" w14:textId="29971738"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(3,0 %)</w:t>
            </w:r>
          </w:p>
        </w:tc>
      </w:tr>
      <w:tr w:rsidR="00823785" w:rsidRPr="00452D62" w14:paraId="0672123E" w14:textId="77777777" w:rsidTr="006453B9">
        <w:tc>
          <w:tcPr>
            <w:tcW w:w="2877" w:type="dxa"/>
            <w:shd w:val="clear" w:color="auto" w:fill="auto"/>
          </w:tcPr>
          <w:p w14:paraId="67625403" w14:textId="77777777" w:rsidR="00823785" w:rsidRPr="00452D62"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452D62">
              <w:rPr>
                <w:color w:val="231F20"/>
                <w:spacing w:val="-1"/>
                <w:sz w:val="22"/>
                <w:szCs w:val="22"/>
                <w:lang w:eastAsia="en-US"/>
              </w:rPr>
              <w:t>Simptominė pasikartojanti PE</w:t>
            </w:r>
          </w:p>
        </w:tc>
        <w:tc>
          <w:tcPr>
            <w:tcW w:w="2882" w:type="dxa"/>
            <w:shd w:val="clear" w:color="auto" w:fill="auto"/>
          </w:tcPr>
          <w:p w14:paraId="423DEC94"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20 </w:t>
            </w:r>
          </w:p>
          <w:p w14:paraId="5CA9BC69" w14:textId="24627CF0"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(1,2 %)</w:t>
            </w:r>
          </w:p>
        </w:tc>
        <w:tc>
          <w:tcPr>
            <w:tcW w:w="2855" w:type="dxa"/>
            <w:shd w:val="clear" w:color="auto" w:fill="auto"/>
          </w:tcPr>
          <w:p w14:paraId="76ADEF65"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18 </w:t>
            </w:r>
          </w:p>
          <w:p w14:paraId="09C5DB13" w14:textId="715FC280"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(1,0 %)</w:t>
            </w:r>
          </w:p>
        </w:tc>
      </w:tr>
      <w:tr w:rsidR="00823785" w:rsidRPr="00452D62" w14:paraId="60B7F1DF" w14:textId="77777777" w:rsidTr="006453B9">
        <w:tc>
          <w:tcPr>
            <w:tcW w:w="2877" w:type="dxa"/>
            <w:shd w:val="clear" w:color="auto" w:fill="auto"/>
          </w:tcPr>
          <w:p w14:paraId="613279B0" w14:textId="77777777" w:rsidR="00823785" w:rsidRPr="00452D62" w:rsidRDefault="00823785" w:rsidP="006453B9">
            <w:pPr>
              <w:widowControl w:val="0"/>
              <w:tabs>
                <w:tab w:val="clear" w:pos="567"/>
                <w:tab w:val="left" w:pos="8505"/>
              </w:tabs>
              <w:suppressAutoHyphens w:val="0"/>
              <w:spacing w:before="75" w:line="240" w:lineRule="auto"/>
              <w:ind w:left="284" w:right="35"/>
              <w:contextualSpacing/>
              <w:rPr>
                <w:color w:val="231F20"/>
                <w:spacing w:val="-1"/>
                <w:sz w:val="22"/>
                <w:szCs w:val="22"/>
                <w:lang w:eastAsia="en-US"/>
              </w:rPr>
            </w:pPr>
            <w:r w:rsidRPr="00452D62">
              <w:rPr>
                <w:color w:val="231F20"/>
                <w:spacing w:val="-1"/>
                <w:sz w:val="22"/>
                <w:szCs w:val="22"/>
                <w:lang w:eastAsia="en-US"/>
              </w:rPr>
              <w:t>Simptominė pasikartojanti GVT</w:t>
            </w:r>
          </w:p>
        </w:tc>
        <w:tc>
          <w:tcPr>
            <w:tcW w:w="2882" w:type="dxa"/>
            <w:shd w:val="clear" w:color="auto" w:fill="auto"/>
          </w:tcPr>
          <w:p w14:paraId="6873325F"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14 </w:t>
            </w:r>
          </w:p>
          <w:p w14:paraId="266053C2" w14:textId="01B59500"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(0,8 %)</w:t>
            </w:r>
          </w:p>
        </w:tc>
        <w:tc>
          <w:tcPr>
            <w:tcW w:w="2855" w:type="dxa"/>
            <w:shd w:val="clear" w:color="auto" w:fill="auto"/>
          </w:tcPr>
          <w:p w14:paraId="587A0CDF"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28 </w:t>
            </w:r>
          </w:p>
          <w:p w14:paraId="5D4CA738" w14:textId="2E21D514"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(1,6 %)</w:t>
            </w:r>
          </w:p>
        </w:tc>
      </w:tr>
      <w:tr w:rsidR="00823785" w:rsidRPr="00452D62" w14:paraId="3225AAAA" w14:textId="77777777" w:rsidTr="006453B9">
        <w:tc>
          <w:tcPr>
            <w:tcW w:w="2877" w:type="dxa"/>
            <w:shd w:val="clear" w:color="auto" w:fill="auto"/>
          </w:tcPr>
          <w:p w14:paraId="0BC6F2BF" w14:textId="77777777" w:rsidR="00823785" w:rsidRPr="000877E9"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452D62">
              <w:rPr>
                <w:color w:val="auto"/>
                <w:sz w:val="22"/>
                <w:szCs w:val="22"/>
                <w:lang w:eastAsia="en-US"/>
              </w:rPr>
              <w:t>Simptominė PE ir GVT</w:t>
            </w:r>
          </w:p>
        </w:tc>
        <w:tc>
          <w:tcPr>
            <w:tcW w:w="2882" w:type="dxa"/>
            <w:shd w:val="clear" w:color="auto" w:fill="auto"/>
          </w:tcPr>
          <w:p w14:paraId="6A5B5117"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color w:val="auto"/>
                <w:sz w:val="22"/>
                <w:szCs w:val="22"/>
                <w:lang w:eastAsia="en-US"/>
              </w:rPr>
              <w:t xml:space="preserve">1 </w:t>
            </w:r>
          </w:p>
          <w:p w14:paraId="4C42D90A" w14:textId="62F81CF5"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auto"/>
                <w:sz w:val="22"/>
                <w:szCs w:val="22"/>
                <w:lang w:eastAsia="en-US"/>
              </w:rPr>
              <w:t>(0,1 %)</w:t>
            </w:r>
          </w:p>
        </w:tc>
        <w:tc>
          <w:tcPr>
            <w:tcW w:w="2855" w:type="dxa"/>
            <w:shd w:val="clear" w:color="auto" w:fill="auto"/>
          </w:tcPr>
          <w:p w14:paraId="3B8D2DDF"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w:t>
            </w:r>
          </w:p>
        </w:tc>
      </w:tr>
      <w:tr w:rsidR="00823785" w:rsidRPr="00452D62" w14:paraId="12DEECF3" w14:textId="77777777" w:rsidTr="006453B9">
        <w:tc>
          <w:tcPr>
            <w:tcW w:w="2877" w:type="dxa"/>
            <w:shd w:val="clear" w:color="auto" w:fill="auto"/>
          </w:tcPr>
          <w:p w14:paraId="6A110FC0" w14:textId="77777777" w:rsidR="00823785" w:rsidRPr="00452D62"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452D62">
              <w:rPr>
                <w:color w:val="231F20"/>
                <w:spacing w:val="-1"/>
                <w:sz w:val="22"/>
                <w:szCs w:val="22"/>
                <w:lang w:eastAsia="en-US"/>
              </w:rPr>
              <w:t>Mirtina PE/mirtis, kai negalima atmesti PE kaip galimos priežasties</w:t>
            </w:r>
          </w:p>
        </w:tc>
        <w:tc>
          <w:tcPr>
            <w:tcW w:w="2882" w:type="dxa"/>
            <w:shd w:val="clear" w:color="auto" w:fill="auto"/>
          </w:tcPr>
          <w:p w14:paraId="2B962A58"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4 </w:t>
            </w:r>
          </w:p>
          <w:p w14:paraId="3AE33388" w14:textId="637BD8CA"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(0,2 %)</w:t>
            </w:r>
          </w:p>
        </w:tc>
        <w:tc>
          <w:tcPr>
            <w:tcW w:w="2855" w:type="dxa"/>
            <w:shd w:val="clear" w:color="auto" w:fill="auto"/>
          </w:tcPr>
          <w:p w14:paraId="393CBFC6"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6 </w:t>
            </w:r>
          </w:p>
          <w:p w14:paraId="6A95E0D3" w14:textId="2138ABE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(0,3 %)</w:t>
            </w:r>
          </w:p>
        </w:tc>
      </w:tr>
      <w:tr w:rsidR="00823785" w:rsidRPr="00452D62" w14:paraId="361376B8" w14:textId="77777777" w:rsidTr="006453B9">
        <w:tc>
          <w:tcPr>
            <w:tcW w:w="2877" w:type="dxa"/>
            <w:shd w:val="clear" w:color="auto" w:fill="auto"/>
          </w:tcPr>
          <w:p w14:paraId="0D34E825" w14:textId="77777777" w:rsidR="00823785" w:rsidRPr="00452D62" w:rsidRDefault="00823785"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452D62">
              <w:rPr>
                <w:color w:val="231F20"/>
                <w:spacing w:val="-1"/>
                <w:sz w:val="22"/>
                <w:szCs w:val="22"/>
                <w:lang w:eastAsia="en-US"/>
              </w:rPr>
              <w:t>Didysis ar kliniškai reikšmingas ne didysis kraujavimas</w:t>
            </w:r>
          </w:p>
        </w:tc>
        <w:tc>
          <w:tcPr>
            <w:tcW w:w="2882" w:type="dxa"/>
            <w:shd w:val="clear" w:color="auto" w:fill="auto"/>
          </w:tcPr>
          <w:p w14:paraId="41BA79F4"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139 </w:t>
            </w:r>
          </w:p>
          <w:p w14:paraId="29E56D6B" w14:textId="162793B0"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(8,1 %)</w:t>
            </w:r>
          </w:p>
        </w:tc>
        <w:tc>
          <w:tcPr>
            <w:tcW w:w="2855" w:type="dxa"/>
            <w:shd w:val="clear" w:color="auto" w:fill="auto"/>
          </w:tcPr>
          <w:p w14:paraId="61A36B4D"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138 </w:t>
            </w:r>
          </w:p>
          <w:p w14:paraId="5558431C" w14:textId="07598774"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(8,1 %)</w:t>
            </w:r>
          </w:p>
        </w:tc>
      </w:tr>
      <w:tr w:rsidR="00823785" w:rsidRPr="00452D62" w14:paraId="7B0A8C28" w14:textId="77777777" w:rsidTr="006453B9">
        <w:tc>
          <w:tcPr>
            <w:tcW w:w="2877" w:type="dxa"/>
            <w:shd w:val="clear" w:color="auto" w:fill="auto"/>
          </w:tcPr>
          <w:p w14:paraId="23BE39C0" w14:textId="77777777" w:rsidR="00823785" w:rsidRPr="00452D62" w:rsidRDefault="00823785"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452D62">
              <w:rPr>
                <w:color w:val="231F20"/>
                <w:spacing w:val="-1"/>
                <w:sz w:val="22"/>
                <w:szCs w:val="22"/>
                <w:lang w:eastAsia="en-US"/>
              </w:rPr>
              <w:t>Didžiojo kraujavimo reiškiniai</w:t>
            </w:r>
          </w:p>
        </w:tc>
        <w:tc>
          <w:tcPr>
            <w:tcW w:w="2882" w:type="dxa"/>
            <w:shd w:val="clear" w:color="auto" w:fill="auto"/>
          </w:tcPr>
          <w:p w14:paraId="53BA4A79"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14 </w:t>
            </w:r>
          </w:p>
          <w:p w14:paraId="2CC7E7FD" w14:textId="10AE2FAE"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(0,8 %)</w:t>
            </w:r>
          </w:p>
        </w:tc>
        <w:tc>
          <w:tcPr>
            <w:tcW w:w="2855" w:type="dxa"/>
            <w:shd w:val="clear" w:color="auto" w:fill="auto"/>
          </w:tcPr>
          <w:p w14:paraId="0C1B9B32"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20 </w:t>
            </w:r>
          </w:p>
          <w:p w14:paraId="1A1D8F2E" w14:textId="0567E514"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(1,2 %)</w:t>
            </w:r>
          </w:p>
        </w:tc>
      </w:tr>
    </w:tbl>
    <w:p w14:paraId="5EAFE06D" w14:textId="77777777" w:rsidR="00823785" w:rsidRPr="000877E9" w:rsidRDefault="00823785" w:rsidP="00823785">
      <w:pPr>
        <w:spacing w:before="120"/>
        <w:rPr>
          <w:sz w:val="22"/>
          <w:szCs w:val="22"/>
        </w:rPr>
      </w:pPr>
      <w:r w:rsidRPr="00452D62">
        <w:rPr>
          <w:sz w:val="22"/>
          <w:szCs w:val="22"/>
          <w:vertAlign w:val="superscript"/>
        </w:rPr>
        <w:t>a)</w:t>
      </w:r>
      <w:r w:rsidRPr="000877E9">
        <w:rPr>
          <w:sz w:val="22"/>
          <w:szCs w:val="22"/>
        </w:rPr>
        <w:t xml:space="preserve"> Rivaroksabanas po 15 mg du kartus per parą 3 savaites, po to po 20 mg vieną kartą per parą.</w:t>
      </w:r>
    </w:p>
    <w:p w14:paraId="1C41A638" w14:textId="77777777" w:rsidR="00823785" w:rsidRPr="00452D62" w:rsidRDefault="00823785" w:rsidP="00823785">
      <w:pPr>
        <w:rPr>
          <w:sz w:val="22"/>
          <w:szCs w:val="22"/>
        </w:rPr>
      </w:pPr>
      <w:r w:rsidRPr="00452D62">
        <w:rPr>
          <w:sz w:val="22"/>
          <w:szCs w:val="22"/>
          <w:vertAlign w:val="superscript"/>
        </w:rPr>
        <w:t>b)</w:t>
      </w:r>
      <w:r w:rsidRPr="00452D62">
        <w:rPr>
          <w:sz w:val="22"/>
          <w:szCs w:val="22"/>
        </w:rPr>
        <w:t xml:space="preserve"> Enoksaparinas mažiausiai 5 dienas, kartu vartojant ir vėliau tęsiant gydymą VKA. </w:t>
      </w:r>
    </w:p>
    <w:p w14:paraId="1D92660C" w14:textId="77777777" w:rsidR="00823785" w:rsidRPr="00452D62" w:rsidRDefault="00823785" w:rsidP="00823785">
      <w:pPr>
        <w:ind w:left="142" w:hanging="142"/>
        <w:rPr>
          <w:sz w:val="22"/>
          <w:szCs w:val="22"/>
        </w:rPr>
      </w:pPr>
      <w:r w:rsidRPr="00452D62">
        <w:rPr>
          <w:sz w:val="22"/>
          <w:szCs w:val="22"/>
        </w:rPr>
        <w:t>* p &lt; 0,0001 (neprastesnis poveikis, kai iš anksto numatytas RS buvo 2,0); RS: 0,680 (0,443</w:t>
      </w:r>
      <w:r w:rsidRPr="00452D62">
        <w:rPr>
          <w:sz w:val="22"/>
          <w:szCs w:val="22"/>
        </w:rPr>
        <w:noBreakHyphen/>
        <w:t>1,042), p=0,076 (pranašumas).</w:t>
      </w:r>
    </w:p>
    <w:p w14:paraId="14619A93" w14:textId="77777777" w:rsidR="00823785" w:rsidRPr="00452D62" w:rsidRDefault="00823785" w:rsidP="00823785">
      <w:pPr>
        <w:rPr>
          <w:sz w:val="22"/>
          <w:szCs w:val="22"/>
        </w:rPr>
      </w:pPr>
    </w:p>
    <w:p w14:paraId="7F73C66D" w14:textId="03E4B21E" w:rsidR="00823785" w:rsidRPr="00452D62" w:rsidRDefault="00823785" w:rsidP="00823785">
      <w:pPr>
        <w:rPr>
          <w:sz w:val="22"/>
          <w:szCs w:val="22"/>
        </w:rPr>
      </w:pPr>
      <w:r w:rsidRPr="00452D62">
        <w:rPr>
          <w:i/>
          <w:sz w:val="22"/>
          <w:szCs w:val="22"/>
        </w:rPr>
        <w:t>Einstein PE</w:t>
      </w:r>
      <w:r w:rsidRPr="00452D62">
        <w:rPr>
          <w:sz w:val="22"/>
          <w:szCs w:val="22"/>
        </w:rPr>
        <w:t xml:space="preserve"> tyrimo metu (žr. 7 lentelę), analizuojant pagrindinę veiksmingumo vertinamąją baigtį patvirtintas neprastesnis rivaroksabano poveikis, palyginti su enoksaparinu/VKA (p=0,0026) (neprastesnio poveikio testas); RS 1,123 (0,749</w:t>
      </w:r>
      <w:r w:rsidRPr="00452D62">
        <w:rPr>
          <w:sz w:val="22"/>
          <w:szCs w:val="22"/>
        </w:rPr>
        <w:noBreakHyphen/>
        <w:t>1,684)). Vertinant iš anksto numatytą suminę klinikinę naudą (pagrindinės veiksmingumo vertinamosios baigties reiškiniai plius didžiojo kraujavimo atvejai), RS buvo 0,849 ((95 % PI: 0,633</w:t>
      </w:r>
      <w:r w:rsidRPr="00452D62">
        <w:rPr>
          <w:sz w:val="22"/>
          <w:szCs w:val="22"/>
        </w:rPr>
        <w:noBreakHyphen/>
        <w:t>1,139), nominali p reikšmė p=0,275). INR rodmuo vidutiniškai 63 % laiko buvo terapiniame intervale, kai vidutinė gydymo trukmė buvo 215 dienų, ir 57 %, 62 % bei 65 % laiko atitinkamai 3, 6 ir 12 mėnesių trukmės gydymo grupėse. Enoksaparino/VKA grupėje nebuvo aiškaus ryšio tarp vidutinio centrinio LIT (laiko iki tikslinio INR intervalo nuo 2,0 iki 3,0) vienodo dydžio tertilėse ir pasikartojančios VTE dažnio (sąveikos p=0,082). Aukščiausioje tertilėje (vertinant pagal centrą) RS vartojant rivaroksabaną, palyginti su varfarinu, buvo 0,642 (95 % PI: 0,277</w:t>
      </w:r>
      <w:r w:rsidRPr="00452D62">
        <w:rPr>
          <w:sz w:val="22"/>
          <w:szCs w:val="22"/>
        </w:rPr>
        <w:noBreakHyphen/>
        <w:t>1,484).</w:t>
      </w:r>
    </w:p>
    <w:p w14:paraId="17903950" w14:textId="77777777" w:rsidR="00823785" w:rsidRPr="00452D62" w:rsidRDefault="00823785" w:rsidP="00823785">
      <w:pPr>
        <w:rPr>
          <w:sz w:val="22"/>
          <w:szCs w:val="22"/>
        </w:rPr>
      </w:pPr>
    </w:p>
    <w:p w14:paraId="12F37354" w14:textId="375587D0" w:rsidR="00823785" w:rsidRPr="00452D62" w:rsidRDefault="00823785" w:rsidP="00823785">
      <w:pPr>
        <w:rPr>
          <w:sz w:val="22"/>
          <w:szCs w:val="22"/>
        </w:rPr>
      </w:pPr>
      <w:r w:rsidRPr="00452D62">
        <w:rPr>
          <w:sz w:val="22"/>
          <w:szCs w:val="22"/>
        </w:rPr>
        <w:t>Antrinės saugumo vertinamosios baigties (didžiojo kraujavimo reiškinių) atvejų dažnis rivaroksabano grupėje dažnis buvo šiek tiek mažesnis (10,3 %, 249/2412) negu enoksaparino/VKA grupėje (11,4 %, 274/2405). Pagrindinės saugumo vertinamosios baigties (didžiųjų arba kliniškai reikšmingų nedidžiųjų kraujavimo reiškinių) atvejų dažnis rivaroksabano grupėje dažnis buvo mažesnis (1,1 %, 26/2412) negu enoksaparino/VKA grupėje (2,2 %, 52/2405), RS buvo 0,493 (95 % PI: 0,308</w:t>
      </w:r>
      <w:r w:rsidRPr="00452D62">
        <w:rPr>
          <w:sz w:val="22"/>
          <w:szCs w:val="22"/>
        </w:rPr>
        <w:noBreakHyphen/>
        <w:t>0,789).</w:t>
      </w:r>
    </w:p>
    <w:p w14:paraId="209C1903" w14:textId="77777777" w:rsidR="00823785" w:rsidRPr="00452D62" w:rsidRDefault="00823785" w:rsidP="00823785">
      <w:pPr>
        <w:rPr>
          <w:sz w:val="22"/>
          <w:szCs w:val="22"/>
        </w:rPr>
      </w:pPr>
    </w:p>
    <w:p w14:paraId="1F78441C" w14:textId="77777777" w:rsidR="00823785" w:rsidRPr="00452D62" w:rsidRDefault="00823785" w:rsidP="00823785">
      <w:pPr>
        <w:rPr>
          <w:b/>
          <w:sz w:val="22"/>
          <w:szCs w:val="22"/>
        </w:rPr>
      </w:pPr>
      <w:r w:rsidRPr="00452D62">
        <w:rPr>
          <w:b/>
          <w:sz w:val="22"/>
          <w:szCs w:val="22"/>
        </w:rPr>
        <w:t xml:space="preserve">7 lentelė. III fazės </w:t>
      </w:r>
      <w:r w:rsidRPr="00452D62">
        <w:rPr>
          <w:b/>
          <w:i/>
          <w:iCs/>
          <w:sz w:val="22"/>
          <w:szCs w:val="22"/>
        </w:rPr>
        <w:t>Einstein PE</w:t>
      </w:r>
      <w:r w:rsidRPr="00452D62">
        <w:rPr>
          <w:b/>
          <w:sz w:val="22"/>
          <w:szCs w:val="22"/>
        </w:rPr>
        <w:t xml:space="preserve"> tyrimo veiksmingumo ir saugumo rezultatai</w:t>
      </w:r>
    </w:p>
    <w:tbl>
      <w:tblPr>
        <w:tblW w:w="8614"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7"/>
        <w:gridCol w:w="2882"/>
        <w:gridCol w:w="2855"/>
      </w:tblGrid>
      <w:tr w:rsidR="00823785" w:rsidRPr="00452D62" w14:paraId="3E8E648C" w14:textId="77777777" w:rsidTr="006453B9">
        <w:tc>
          <w:tcPr>
            <w:tcW w:w="2877" w:type="dxa"/>
          </w:tcPr>
          <w:p w14:paraId="63D9AC9A"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Tyrimo populiacija</w:t>
            </w:r>
          </w:p>
        </w:tc>
        <w:tc>
          <w:tcPr>
            <w:tcW w:w="5737" w:type="dxa"/>
            <w:gridSpan w:val="2"/>
            <w:shd w:val="clear" w:color="auto" w:fill="auto"/>
          </w:tcPr>
          <w:p w14:paraId="30BF8642"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4 832 pacientai, sergantys ūmine simptomine PE</w:t>
            </w:r>
          </w:p>
        </w:tc>
      </w:tr>
      <w:tr w:rsidR="00823785" w:rsidRPr="00452D62" w14:paraId="6E51425D" w14:textId="77777777" w:rsidTr="006453B9">
        <w:tc>
          <w:tcPr>
            <w:tcW w:w="2877" w:type="dxa"/>
          </w:tcPr>
          <w:p w14:paraId="77B42F24" w14:textId="77777777" w:rsidR="00823785" w:rsidRPr="000877E9"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Gydymo dozė ir trukmė</w:t>
            </w:r>
          </w:p>
        </w:tc>
        <w:tc>
          <w:tcPr>
            <w:tcW w:w="2882" w:type="dxa"/>
            <w:shd w:val="clear" w:color="auto" w:fill="auto"/>
          </w:tcPr>
          <w:p w14:paraId="56816193"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vertAlign w:val="superscript"/>
                <w:lang w:eastAsia="en-US"/>
              </w:rPr>
            </w:pPr>
            <w:r w:rsidRPr="00452D62">
              <w:rPr>
                <w:b/>
                <w:bCs/>
                <w:color w:val="231F20"/>
                <w:spacing w:val="-1"/>
                <w:sz w:val="22"/>
                <w:szCs w:val="22"/>
                <w:lang w:eastAsia="en-US"/>
              </w:rPr>
              <w:t>Rivaroksabanas</w:t>
            </w:r>
            <w:r w:rsidRPr="00452D62">
              <w:rPr>
                <w:b/>
                <w:bCs/>
                <w:color w:val="231F20"/>
                <w:spacing w:val="-1"/>
                <w:sz w:val="22"/>
                <w:szCs w:val="22"/>
                <w:vertAlign w:val="superscript"/>
                <w:lang w:eastAsia="en-US"/>
              </w:rPr>
              <w:t>a)</w:t>
            </w:r>
          </w:p>
          <w:p w14:paraId="3C893B04"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 xml:space="preserve">3, 6 arba 12 mėnesių </w:t>
            </w:r>
          </w:p>
          <w:p w14:paraId="77A9D088"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N=2 419</w:t>
            </w:r>
          </w:p>
        </w:tc>
        <w:tc>
          <w:tcPr>
            <w:tcW w:w="2855" w:type="dxa"/>
            <w:shd w:val="clear" w:color="auto" w:fill="auto"/>
          </w:tcPr>
          <w:p w14:paraId="48B1E791"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Enoksaparinas/VKA</w:t>
            </w:r>
            <w:r w:rsidRPr="00452D62">
              <w:rPr>
                <w:b/>
                <w:bCs/>
                <w:color w:val="231F20"/>
                <w:spacing w:val="-1"/>
                <w:sz w:val="22"/>
                <w:szCs w:val="22"/>
                <w:vertAlign w:val="superscript"/>
                <w:lang w:eastAsia="en-US"/>
              </w:rPr>
              <w:t>b)</w:t>
            </w:r>
          </w:p>
          <w:p w14:paraId="6C0D90BF"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3, 6 arba 12 mėnesių</w:t>
            </w:r>
          </w:p>
          <w:p w14:paraId="5F76DEE1"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N=2 413</w:t>
            </w:r>
          </w:p>
        </w:tc>
      </w:tr>
      <w:tr w:rsidR="00823785" w:rsidRPr="00452D62" w14:paraId="07BB7AAF" w14:textId="77777777" w:rsidTr="006453B9">
        <w:tc>
          <w:tcPr>
            <w:tcW w:w="2877" w:type="dxa"/>
          </w:tcPr>
          <w:p w14:paraId="3E6BE7D1" w14:textId="77777777" w:rsidR="00823785" w:rsidRPr="00452D62" w:rsidRDefault="00823785"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452D62">
              <w:rPr>
                <w:color w:val="231F20"/>
                <w:spacing w:val="-1"/>
                <w:sz w:val="22"/>
                <w:szCs w:val="22"/>
                <w:lang w:eastAsia="en-US"/>
              </w:rPr>
              <w:t>Simptominė pasikartojanti VTE*</w:t>
            </w:r>
          </w:p>
        </w:tc>
        <w:tc>
          <w:tcPr>
            <w:tcW w:w="2882" w:type="dxa"/>
            <w:shd w:val="clear" w:color="auto" w:fill="auto"/>
          </w:tcPr>
          <w:p w14:paraId="4CA9047B"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50 </w:t>
            </w:r>
          </w:p>
          <w:p w14:paraId="0B1DCE6F" w14:textId="6747FFB1"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(2,1 %)</w:t>
            </w:r>
          </w:p>
        </w:tc>
        <w:tc>
          <w:tcPr>
            <w:tcW w:w="2855" w:type="dxa"/>
            <w:shd w:val="clear" w:color="auto" w:fill="auto"/>
          </w:tcPr>
          <w:p w14:paraId="11853372"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44</w:t>
            </w:r>
          </w:p>
          <w:p w14:paraId="3E135BF4" w14:textId="50290DEE"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(1,8 %)</w:t>
            </w:r>
          </w:p>
        </w:tc>
      </w:tr>
      <w:tr w:rsidR="00823785" w:rsidRPr="00452D62" w14:paraId="1208D7BB" w14:textId="77777777" w:rsidTr="006453B9">
        <w:tc>
          <w:tcPr>
            <w:tcW w:w="2877" w:type="dxa"/>
          </w:tcPr>
          <w:p w14:paraId="3E5E3349" w14:textId="77777777" w:rsidR="00823785" w:rsidRPr="00452D62"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452D62">
              <w:rPr>
                <w:color w:val="231F20"/>
                <w:spacing w:val="-1"/>
                <w:sz w:val="22"/>
                <w:szCs w:val="22"/>
                <w:lang w:eastAsia="en-US"/>
              </w:rPr>
              <w:t>Simptominė pasikartojanti PE</w:t>
            </w:r>
          </w:p>
        </w:tc>
        <w:tc>
          <w:tcPr>
            <w:tcW w:w="2882" w:type="dxa"/>
            <w:shd w:val="clear" w:color="auto" w:fill="auto"/>
          </w:tcPr>
          <w:p w14:paraId="3EE25BB3"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23 </w:t>
            </w:r>
          </w:p>
          <w:p w14:paraId="0CE4B640" w14:textId="52083B20"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(1,0 %)</w:t>
            </w:r>
          </w:p>
        </w:tc>
        <w:tc>
          <w:tcPr>
            <w:tcW w:w="2855" w:type="dxa"/>
            <w:shd w:val="clear" w:color="auto" w:fill="auto"/>
          </w:tcPr>
          <w:p w14:paraId="3D306F05"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20 </w:t>
            </w:r>
          </w:p>
          <w:p w14:paraId="061FEE62" w14:textId="20D12866"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(0,8 %)</w:t>
            </w:r>
          </w:p>
        </w:tc>
      </w:tr>
      <w:tr w:rsidR="00823785" w:rsidRPr="00452D62" w14:paraId="324B48B3" w14:textId="77777777" w:rsidTr="006453B9">
        <w:tc>
          <w:tcPr>
            <w:tcW w:w="2877" w:type="dxa"/>
          </w:tcPr>
          <w:p w14:paraId="7848E843" w14:textId="77777777" w:rsidR="00823785" w:rsidRPr="00452D62"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452D62">
              <w:rPr>
                <w:color w:val="231F20"/>
                <w:spacing w:val="-1"/>
                <w:sz w:val="22"/>
                <w:szCs w:val="22"/>
                <w:lang w:eastAsia="en-US"/>
              </w:rPr>
              <w:t>Simptominė pasikartojanti GVT</w:t>
            </w:r>
          </w:p>
        </w:tc>
        <w:tc>
          <w:tcPr>
            <w:tcW w:w="2882" w:type="dxa"/>
            <w:shd w:val="clear" w:color="auto" w:fill="auto"/>
          </w:tcPr>
          <w:p w14:paraId="20034F8C"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18 </w:t>
            </w:r>
          </w:p>
          <w:p w14:paraId="3A0F756B" w14:textId="13078881"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(0,7 %)</w:t>
            </w:r>
          </w:p>
        </w:tc>
        <w:tc>
          <w:tcPr>
            <w:tcW w:w="2855" w:type="dxa"/>
            <w:shd w:val="clear" w:color="auto" w:fill="auto"/>
          </w:tcPr>
          <w:p w14:paraId="7E184F40"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17 </w:t>
            </w:r>
          </w:p>
          <w:p w14:paraId="05A55219" w14:textId="230C803A"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(0,7 %)</w:t>
            </w:r>
          </w:p>
        </w:tc>
      </w:tr>
      <w:tr w:rsidR="00823785" w:rsidRPr="00452D62" w14:paraId="7664603B" w14:textId="77777777" w:rsidTr="006453B9">
        <w:tc>
          <w:tcPr>
            <w:tcW w:w="2877" w:type="dxa"/>
          </w:tcPr>
          <w:p w14:paraId="0D30B6AC" w14:textId="77777777" w:rsidR="00823785" w:rsidRPr="000877E9"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452D62">
              <w:rPr>
                <w:color w:val="auto"/>
                <w:sz w:val="22"/>
                <w:szCs w:val="22"/>
                <w:lang w:eastAsia="en-US"/>
              </w:rPr>
              <w:t>Simptominė PE ir GVT</w:t>
            </w:r>
          </w:p>
        </w:tc>
        <w:tc>
          <w:tcPr>
            <w:tcW w:w="2882" w:type="dxa"/>
            <w:shd w:val="clear" w:color="auto" w:fill="auto"/>
          </w:tcPr>
          <w:p w14:paraId="20DCAE71"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w:t>
            </w:r>
          </w:p>
        </w:tc>
        <w:tc>
          <w:tcPr>
            <w:tcW w:w="2855" w:type="dxa"/>
            <w:shd w:val="clear" w:color="auto" w:fill="auto"/>
          </w:tcPr>
          <w:p w14:paraId="4D1CE33E"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2 </w:t>
            </w:r>
          </w:p>
          <w:p w14:paraId="68469238" w14:textId="319FEFDD"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(&lt;0,1 %)</w:t>
            </w:r>
          </w:p>
        </w:tc>
      </w:tr>
      <w:tr w:rsidR="00823785" w:rsidRPr="00452D62" w14:paraId="06550DCA" w14:textId="77777777" w:rsidTr="006453B9">
        <w:tc>
          <w:tcPr>
            <w:tcW w:w="2877" w:type="dxa"/>
          </w:tcPr>
          <w:p w14:paraId="03CCBB3D" w14:textId="77777777" w:rsidR="00823785" w:rsidRPr="00452D62"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452D62">
              <w:rPr>
                <w:color w:val="231F20"/>
                <w:spacing w:val="-1"/>
                <w:sz w:val="22"/>
                <w:szCs w:val="22"/>
                <w:lang w:eastAsia="en-US"/>
              </w:rPr>
              <w:t>Mirtina PE/mirtis, kai negalima atmesti PE kaip galimos priežasties</w:t>
            </w:r>
          </w:p>
        </w:tc>
        <w:tc>
          <w:tcPr>
            <w:tcW w:w="2882" w:type="dxa"/>
            <w:shd w:val="clear" w:color="auto" w:fill="auto"/>
          </w:tcPr>
          <w:p w14:paraId="6037B3C1"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11 </w:t>
            </w:r>
          </w:p>
          <w:p w14:paraId="53F7CD7A" w14:textId="5FC1AD00"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(0,5 %)</w:t>
            </w:r>
          </w:p>
        </w:tc>
        <w:tc>
          <w:tcPr>
            <w:tcW w:w="2855" w:type="dxa"/>
            <w:shd w:val="clear" w:color="auto" w:fill="auto"/>
          </w:tcPr>
          <w:p w14:paraId="64929D68"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7 </w:t>
            </w:r>
          </w:p>
          <w:p w14:paraId="67AD81AF" w14:textId="2416D04A"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(0,3 %)</w:t>
            </w:r>
          </w:p>
        </w:tc>
      </w:tr>
      <w:tr w:rsidR="00823785" w:rsidRPr="00452D62" w14:paraId="492ED289" w14:textId="77777777" w:rsidTr="006453B9">
        <w:tc>
          <w:tcPr>
            <w:tcW w:w="2877" w:type="dxa"/>
          </w:tcPr>
          <w:p w14:paraId="07FEB17D" w14:textId="77777777" w:rsidR="00823785" w:rsidRPr="00452D62" w:rsidRDefault="00823785"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452D62">
              <w:rPr>
                <w:color w:val="231F20"/>
                <w:spacing w:val="-1"/>
                <w:sz w:val="22"/>
                <w:szCs w:val="22"/>
                <w:lang w:eastAsia="en-US"/>
              </w:rPr>
              <w:t xml:space="preserve">Didysis ar </w:t>
            </w:r>
            <w:r w:rsidRPr="000877E9">
              <w:rPr>
                <w:color w:val="231F20"/>
                <w:spacing w:val="-1"/>
                <w:sz w:val="22"/>
                <w:szCs w:val="22"/>
                <w:lang w:eastAsia="en-US"/>
              </w:rPr>
              <w:t>kliniškai reikšmingas ne didysis kraujavimas</w:t>
            </w:r>
          </w:p>
        </w:tc>
        <w:tc>
          <w:tcPr>
            <w:tcW w:w="2882" w:type="dxa"/>
            <w:shd w:val="clear" w:color="auto" w:fill="auto"/>
          </w:tcPr>
          <w:p w14:paraId="50EBB73D"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249 </w:t>
            </w:r>
          </w:p>
          <w:p w14:paraId="7DE18D27" w14:textId="1A4160F4"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(10,3 %)</w:t>
            </w:r>
          </w:p>
        </w:tc>
        <w:tc>
          <w:tcPr>
            <w:tcW w:w="2855" w:type="dxa"/>
            <w:shd w:val="clear" w:color="auto" w:fill="auto"/>
          </w:tcPr>
          <w:p w14:paraId="50F103E2" w14:textId="593141B6"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274 (11,4 %)</w:t>
            </w:r>
          </w:p>
        </w:tc>
      </w:tr>
      <w:tr w:rsidR="00823785" w:rsidRPr="00452D62" w14:paraId="7CA21531" w14:textId="77777777" w:rsidTr="006453B9">
        <w:tc>
          <w:tcPr>
            <w:tcW w:w="2877" w:type="dxa"/>
          </w:tcPr>
          <w:p w14:paraId="244FBF04" w14:textId="77777777" w:rsidR="00823785" w:rsidRPr="000877E9"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Didžiojo kraujavimo atvejai</w:t>
            </w:r>
          </w:p>
        </w:tc>
        <w:tc>
          <w:tcPr>
            <w:tcW w:w="2882" w:type="dxa"/>
            <w:shd w:val="clear" w:color="auto" w:fill="auto"/>
          </w:tcPr>
          <w:p w14:paraId="225FCFDA"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26 </w:t>
            </w:r>
          </w:p>
          <w:p w14:paraId="50B5980A" w14:textId="51B2D17C"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(1,1 %)</w:t>
            </w:r>
          </w:p>
        </w:tc>
        <w:tc>
          <w:tcPr>
            <w:tcW w:w="2855" w:type="dxa"/>
            <w:shd w:val="clear" w:color="auto" w:fill="auto"/>
          </w:tcPr>
          <w:p w14:paraId="61969A29"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52 </w:t>
            </w:r>
          </w:p>
          <w:p w14:paraId="69A511A0" w14:textId="541B713D"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(2,2 %)</w:t>
            </w:r>
          </w:p>
        </w:tc>
      </w:tr>
    </w:tbl>
    <w:p w14:paraId="7113F27B" w14:textId="77777777" w:rsidR="00823785" w:rsidRPr="000877E9" w:rsidRDefault="00823785" w:rsidP="00823785">
      <w:pPr>
        <w:spacing w:before="120"/>
        <w:rPr>
          <w:sz w:val="22"/>
          <w:szCs w:val="22"/>
        </w:rPr>
      </w:pPr>
      <w:r w:rsidRPr="00452D62">
        <w:rPr>
          <w:sz w:val="22"/>
          <w:szCs w:val="22"/>
          <w:vertAlign w:val="superscript"/>
        </w:rPr>
        <w:t>a)</w:t>
      </w:r>
      <w:r w:rsidRPr="000877E9">
        <w:rPr>
          <w:sz w:val="22"/>
          <w:szCs w:val="22"/>
        </w:rPr>
        <w:t xml:space="preserve"> Rivaroksabanas po 15 mg du kartus per parą 3 savaites, po to po 20 mg vieną kartą per parą.</w:t>
      </w:r>
    </w:p>
    <w:p w14:paraId="254A584A" w14:textId="77777777" w:rsidR="00823785" w:rsidRPr="00452D62" w:rsidRDefault="00823785" w:rsidP="00823785">
      <w:pPr>
        <w:rPr>
          <w:sz w:val="22"/>
          <w:szCs w:val="22"/>
        </w:rPr>
      </w:pPr>
      <w:r w:rsidRPr="00452D62">
        <w:rPr>
          <w:sz w:val="22"/>
          <w:szCs w:val="22"/>
          <w:vertAlign w:val="superscript"/>
        </w:rPr>
        <w:t>b)</w:t>
      </w:r>
      <w:r w:rsidRPr="00452D62">
        <w:rPr>
          <w:sz w:val="22"/>
          <w:szCs w:val="22"/>
        </w:rPr>
        <w:t xml:space="preserve"> Enoksaparinas mažiausiai 5 dienas, kartu vartojant ir vėliau tęsiant gydymą VKA.</w:t>
      </w:r>
    </w:p>
    <w:p w14:paraId="3029CF3F" w14:textId="77777777" w:rsidR="00823785" w:rsidRPr="00452D62" w:rsidRDefault="00823785" w:rsidP="00823785">
      <w:pPr>
        <w:ind w:left="142" w:hanging="142"/>
        <w:rPr>
          <w:sz w:val="22"/>
          <w:szCs w:val="22"/>
        </w:rPr>
      </w:pPr>
      <w:r w:rsidRPr="00452D62">
        <w:rPr>
          <w:sz w:val="22"/>
          <w:szCs w:val="22"/>
        </w:rPr>
        <w:t>* p &lt; 0,0026 (neprastesnis poveikis, kai iš anksto numatytas RS buvo 2,0); RS: 1,123 (0,749</w:t>
      </w:r>
      <w:r w:rsidRPr="00452D62">
        <w:rPr>
          <w:sz w:val="22"/>
          <w:szCs w:val="22"/>
        </w:rPr>
        <w:noBreakHyphen/>
        <w:t>1,684).</w:t>
      </w:r>
    </w:p>
    <w:p w14:paraId="4F007ED9" w14:textId="77777777" w:rsidR="00823785" w:rsidRPr="00452D62" w:rsidRDefault="00823785" w:rsidP="00823785">
      <w:pPr>
        <w:rPr>
          <w:sz w:val="22"/>
          <w:szCs w:val="22"/>
        </w:rPr>
      </w:pPr>
    </w:p>
    <w:p w14:paraId="610F384D" w14:textId="77777777" w:rsidR="00823785" w:rsidRPr="00452D62" w:rsidRDefault="00823785" w:rsidP="00823785">
      <w:pPr>
        <w:rPr>
          <w:sz w:val="22"/>
          <w:szCs w:val="22"/>
        </w:rPr>
      </w:pPr>
      <w:r w:rsidRPr="00452D62">
        <w:rPr>
          <w:sz w:val="22"/>
          <w:szCs w:val="22"/>
        </w:rPr>
        <w:t xml:space="preserve">Buvo atlikta iš anksto numatyta apibendrinta </w:t>
      </w:r>
      <w:r w:rsidRPr="00452D62">
        <w:rPr>
          <w:i/>
          <w:sz w:val="22"/>
          <w:szCs w:val="22"/>
        </w:rPr>
        <w:t>Einstein DVT</w:t>
      </w:r>
      <w:r w:rsidRPr="00452D62">
        <w:rPr>
          <w:sz w:val="22"/>
          <w:szCs w:val="22"/>
        </w:rPr>
        <w:t xml:space="preserve"> ir </w:t>
      </w:r>
      <w:r w:rsidRPr="00452D62">
        <w:rPr>
          <w:i/>
          <w:sz w:val="22"/>
          <w:szCs w:val="22"/>
        </w:rPr>
        <w:t>PE</w:t>
      </w:r>
      <w:r w:rsidRPr="00452D62">
        <w:rPr>
          <w:sz w:val="22"/>
          <w:szCs w:val="22"/>
        </w:rPr>
        <w:t xml:space="preserve"> tyrimų rezultatų analizė (žr. 8 lentelę).</w:t>
      </w:r>
    </w:p>
    <w:p w14:paraId="1FEFCA46" w14:textId="77777777" w:rsidR="00823785" w:rsidRPr="00452D62" w:rsidRDefault="00823785" w:rsidP="00823785">
      <w:pPr>
        <w:rPr>
          <w:sz w:val="22"/>
          <w:szCs w:val="22"/>
        </w:rPr>
      </w:pPr>
    </w:p>
    <w:p w14:paraId="4D2FB346" w14:textId="77777777" w:rsidR="00823785" w:rsidRPr="00452D62" w:rsidRDefault="00823785" w:rsidP="00823785">
      <w:pPr>
        <w:rPr>
          <w:b/>
          <w:sz w:val="22"/>
          <w:szCs w:val="22"/>
        </w:rPr>
      </w:pPr>
      <w:r w:rsidRPr="00452D62">
        <w:rPr>
          <w:b/>
          <w:sz w:val="22"/>
          <w:szCs w:val="22"/>
        </w:rPr>
        <w:t xml:space="preserve">8 lentelė. Veiksmingumo ir saugumo rezultatai, gauti atlikus apibendrintą III fazės </w:t>
      </w:r>
      <w:r w:rsidRPr="00452D62">
        <w:rPr>
          <w:b/>
          <w:i/>
          <w:sz w:val="22"/>
          <w:szCs w:val="22"/>
        </w:rPr>
        <w:t>Einstein DVT</w:t>
      </w:r>
      <w:r w:rsidRPr="00452D62">
        <w:rPr>
          <w:b/>
          <w:sz w:val="22"/>
          <w:szCs w:val="22"/>
        </w:rPr>
        <w:t xml:space="preserve"> ir </w:t>
      </w:r>
      <w:r w:rsidRPr="00452D62">
        <w:rPr>
          <w:b/>
          <w:i/>
          <w:sz w:val="22"/>
          <w:szCs w:val="22"/>
        </w:rPr>
        <w:t>Einstein PE</w:t>
      </w:r>
      <w:r w:rsidRPr="00452D62">
        <w:rPr>
          <w:b/>
          <w:sz w:val="22"/>
          <w:szCs w:val="22"/>
        </w:rPr>
        <w:t xml:space="preserve"> tyrimų analizę</w:t>
      </w: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7"/>
        <w:gridCol w:w="2882"/>
        <w:gridCol w:w="2855"/>
      </w:tblGrid>
      <w:tr w:rsidR="00823785" w:rsidRPr="00452D62" w14:paraId="08DFB1BB" w14:textId="77777777" w:rsidTr="006453B9">
        <w:tc>
          <w:tcPr>
            <w:tcW w:w="2877" w:type="dxa"/>
            <w:shd w:val="clear" w:color="auto" w:fill="auto"/>
          </w:tcPr>
          <w:p w14:paraId="39FD6816"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Tyrimo populiacija</w:t>
            </w:r>
          </w:p>
        </w:tc>
        <w:tc>
          <w:tcPr>
            <w:tcW w:w="5737" w:type="dxa"/>
            <w:gridSpan w:val="2"/>
            <w:shd w:val="clear" w:color="auto" w:fill="auto"/>
          </w:tcPr>
          <w:p w14:paraId="498EDDCC"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8 281 pacientas, sergantis ūmine simptomine GVT arba PE</w:t>
            </w:r>
          </w:p>
        </w:tc>
      </w:tr>
      <w:tr w:rsidR="00823785" w:rsidRPr="00452D62" w14:paraId="0148FFF2" w14:textId="77777777" w:rsidTr="006453B9">
        <w:tc>
          <w:tcPr>
            <w:tcW w:w="2877" w:type="dxa"/>
            <w:shd w:val="clear" w:color="auto" w:fill="auto"/>
          </w:tcPr>
          <w:p w14:paraId="08B20584" w14:textId="77777777" w:rsidR="00823785" w:rsidRPr="000877E9"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Gydymo dozė ir trukmė</w:t>
            </w:r>
          </w:p>
        </w:tc>
        <w:tc>
          <w:tcPr>
            <w:tcW w:w="2882" w:type="dxa"/>
            <w:shd w:val="clear" w:color="auto" w:fill="auto"/>
          </w:tcPr>
          <w:p w14:paraId="308A3D5F"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vertAlign w:val="superscript"/>
                <w:lang w:eastAsia="en-US"/>
              </w:rPr>
            </w:pPr>
            <w:r w:rsidRPr="00452D62">
              <w:rPr>
                <w:b/>
                <w:bCs/>
                <w:color w:val="231F20"/>
                <w:spacing w:val="-1"/>
                <w:sz w:val="22"/>
                <w:szCs w:val="22"/>
                <w:lang w:eastAsia="en-US"/>
              </w:rPr>
              <w:t>Rivaroksabanas</w:t>
            </w:r>
            <w:r w:rsidRPr="00452D62">
              <w:rPr>
                <w:b/>
                <w:bCs/>
                <w:color w:val="231F20"/>
                <w:spacing w:val="-1"/>
                <w:sz w:val="22"/>
                <w:szCs w:val="22"/>
                <w:vertAlign w:val="superscript"/>
                <w:lang w:eastAsia="en-US"/>
              </w:rPr>
              <w:t>a)</w:t>
            </w:r>
          </w:p>
          <w:p w14:paraId="426123A1" w14:textId="77777777" w:rsidR="00823785" w:rsidRPr="00452D62" w:rsidRDefault="00823785" w:rsidP="006453B9">
            <w:pPr>
              <w:widowControl w:val="0"/>
              <w:tabs>
                <w:tab w:val="clear" w:pos="567"/>
                <w:tab w:val="left" w:pos="8505"/>
              </w:tabs>
              <w:suppressAutoHyphens w:val="0"/>
              <w:spacing w:before="75" w:line="240" w:lineRule="auto"/>
              <w:ind w:right="35"/>
              <w:contextualSpacing/>
              <w:rPr>
                <w:b/>
                <w:bCs/>
                <w:color w:val="231F20"/>
                <w:spacing w:val="-1"/>
                <w:sz w:val="22"/>
                <w:szCs w:val="22"/>
                <w:lang w:eastAsia="en-US"/>
              </w:rPr>
            </w:pPr>
            <w:r w:rsidRPr="00452D62">
              <w:rPr>
                <w:b/>
                <w:bCs/>
                <w:color w:val="231F20"/>
                <w:spacing w:val="-1"/>
                <w:sz w:val="22"/>
                <w:szCs w:val="22"/>
                <w:lang w:eastAsia="en-US"/>
              </w:rPr>
              <w:t>3, 6 arba 12 mėnesių</w:t>
            </w:r>
          </w:p>
          <w:p w14:paraId="23A0A138"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N=4 150</w:t>
            </w:r>
          </w:p>
        </w:tc>
        <w:tc>
          <w:tcPr>
            <w:tcW w:w="2855" w:type="dxa"/>
            <w:shd w:val="clear" w:color="auto" w:fill="auto"/>
          </w:tcPr>
          <w:p w14:paraId="6455B0FE"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Enoksaparinas/VKA</w:t>
            </w:r>
            <w:r w:rsidRPr="00452D62">
              <w:rPr>
                <w:b/>
                <w:bCs/>
                <w:color w:val="231F20"/>
                <w:spacing w:val="-1"/>
                <w:sz w:val="22"/>
                <w:szCs w:val="22"/>
                <w:vertAlign w:val="superscript"/>
                <w:lang w:eastAsia="en-US"/>
              </w:rPr>
              <w:t>b)</w:t>
            </w:r>
          </w:p>
          <w:p w14:paraId="4673DD56"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3, 6 arba 12 mėnesių</w:t>
            </w:r>
          </w:p>
          <w:p w14:paraId="65FEF6A5"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N=4 131</w:t>
            </w:r>
          </w:p>
        </w:tc>
      </w:tr>
      <w:tr w:rsidR="00823785" w:rsidRPr="00452D62" w14:paraId="643DD0DC" w14:textId="77777777" w:rsidTr="006453B9">
        <w:tc>
          <w:tcPr>
            <w:tcW w:w="2877" w:type="dxa"/>
            <w:shd w:val="clear" w:color="auto" w:fill="auto"/>
          </w:tcPr>
          <w:p w14:paraId="688F9EE2" w14:textId="77777777" w:rsidR="00823785" w:rsidRPr="00452D62" w:rsidRDefault="00823785"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452D62">
              <w:rPr>
                <w:color w:val="231F20"/>
                <w:spacing w:val="-1"/>
                <w:sz w:val="22"/>
                <w:szCs w:val="22"/>
                <w:lang w:eastAsia="en-US"/>
              </w:rPr>
              <w:t>Simptominė pasikartojanti VTE*</w:t>
            </w:r>
          </w:p>
        </w:tc>
        <w:tc>
          <w:tcPr>
            <w:tcW w:w="2882" w:type="dxa"/>
            <w:shd w:val="clear" w:color="auto" w:fill="auto"/>
          </w:tcPr>
          <w:p w14:paraId="68CF383D"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86 </w:t>
            </w:r>
          </w:p>
          <w:p w14:paraId="70AD764A" w14:textId="3BD42048"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(2,1 %)</w:t>
            </w:r>
          </w:p>
        </w:tc>
        <w:tc>
          <w:tcPr>
            <w:tcW w:w="2855" w:type="dxa"/>
            <w:shd w:val="clear" w:color="auto" w:fill="auto"/>
          </w:tcPr>
          <w:p w14:paraId="499FF7EF"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95 </w:t>
            </w:r>
          </w:p>
          <w:p w14:paraId="18F759D4" w14:textId="53E72BF1"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(2,3 %)</w:t>
            </w:r>
          </w:p>
        </w:tc>
      </w:tr>
      <w:tr w:rsidR="00823785" w:rsidRPr="00452D62" w14:paraId="79EE407F" w14:textId="77777777" w:rsidTr="006453B9">
        <w:tc>
          <w:tcPr>
            <w:tcW w:w="2877" w:type="dxa"/>
            <w:shd w:val="clear" w:color="auto" w:fill="auto"/>
          </w:tcPr>
          <w:p w14:paraId="328286A0" w14:textId="77777777" w:rsidR="00823785" w:rsidRPr="00452D62" w:rsidRDefault="00823785" w:rsidP="006453B9">
            <w:pPr>
              <w:widowControl w:val="0"/>
              <w:tabs>
                <w:tab w:val="clear" w:pos="567"/>
                <w:tab w:val="left" w:pos="8505"/>
              </w:tabs>
              <w:suppressAutoHyphens w:val="0"/>
              <w:spacing w:before="75" w:line="240" w:lineRule="auto"/>
              <w:ind w:left="284" w:right="35"/>
              <w:contextualSpacing/>
              <w:rPr>
                <w:color w:val="231F20"/>
                <w:spacing w:val="-1"/>
                <w:sz w:val="22"/>
                <w:szCs w:val="22"/>
                <w:lang w:eastAsia="en-US"/>
              </w:rPr>
            </w:pPr>
            <w:r w:rsidRPr="00452D62">
              <w:rPr>
                <w:color w:val="231F20"/>
                <w:spacing w:val="-1"/>
                <w:sz w:val="22"/>
                <w:szCs w:val="22"/>
                <w:lang w:eastAsia="en-US"/>
              </w:rPr>
              <w:t>Simptominė pasikartojanti PE</w:t>
            </w:r>
          </w:p>
        </w:tc>
        <w:tc>
          <w:tcPr>
            <w:tcW w:w="2882" w:type="dxa"/>
            <w:shd w:val="clear" w:color="auto" w:fill="auto"/>
          </w:tcPr>
          <w:p w14:paraId="547387E2"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43 </w:t>
            </w:r>
          </w:p>
          <w:p w14:paraId="6F30C82F" w14:textId="668DA8D2"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(1,0 %)</w:t>
            </w:r>
          </w:p>
        </w:tc>
        <w:tc>
          <w:tcPr>
            <w:tcW w:w="2855" w:type="dxa"/>
            <w:shd w:val="clear" w:color="auto" w:fill="auto"/>
          </w:tcPr>
          <w:p w14:paraId="3D7CA02C"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38 </w:t>
            </w:r>
          </w:p>
          <w:p w14:paraId="71197D71" w14:textId="63926C2F"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(0,9 %)</w:t>
            </w:r>
          </w:p>
        </w:tc>
      </w:tr>
      <w:tr w:rsidR="00823785" w:rsidRPr="00452D62" w14:paraId="1051C2B0" w14:textId="77777777" w:rsidTr="006453B9">
        <w:tc>
          <w:tcPr>
            <w:tcW w:w="2877" w:type="dxa"/>
            <w:shd w:val="clear" w:color="auto" w:fill="auto"/>
          </w:tcPr>
          <w:p w14:paraId="442D506E" w14:textId="77777777" w:rsidR="00823785" w:rsidRPr="00452D62" w:rsidRDefault="00823785" w:rsidP="006453B9">
            <w:pPr>
              <w:widowControl w:val="0"/>
              <w:tabs>
                <w:tab w:val="clear" w:pos="567"/>
                <w:tab w:val="left" w:pos="8505"/>
              </w:tabs>
              <w:suppressAutoHyphens w:val="0"/>
              <w:spacing w:before="75" w:line="240" w:lineRule="auto"/>
              <w:ind w:left="284" w:right="35"/>
              <w:contextualSpacing/>
              <w:rPr>
                <w:color w:val="231F20"/>
                <w:spacing w:val="-1"/>
                <w:sz w:val="22"/>
                <w:szCs w:val="22"/>
                <w:lang w:eastAsia="en-US"/>
              </w:rPr>
            </w:pPr>
            <w:r w:rsidRPr="00452D62">
              <w:rPr>
                <w:color w:val="231F20"/>
                <w:spacing w:val="-1"/>
                <w:sz w:val="22"/>
                <w:szCs w:val="22"/>
                <w:lang w:eastAsia="en-US"/>
              </w:rPr>
              <w:t>Simptominė pasikartojanti GVT</w:t>
            </w:r>
          </w:p>
        </w:tc>
        <w:tc>
          <w:tcPr>
            <w:tcW w:w="2882" w:type="dxa"/>
            <w:shd w:val="clear" w:color="auto" w:fill="auto"/>
          </w:tcPr>
          <w:p w14:paraId="19737563"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32 </w:t>
            </w:r>
          </w:p>
          <w:p w14:paraId="7D6B203E" w14:textId="034D367F"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(0,8 %)</w:t>
            </w:r>
          </w:p>
        </w:tc>
        <w:tc>
          <w:tcPr>
            <w:tcW w:w="2855" w:type="dxa"/>
            <w:shd w:val="clear" w:color="auto" w:fill="auto"/>
          </w:tcPr>
          <w:p w14:paraId="11C0DD18"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45 </w:t>
            </w:r>
          </w:p>
          <w:p w14:paraId="2EEE8ADB" w14:textId="44305D6F"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(1,1 %)</w:t>
            </w:r>
          </w:p>
        </w:tc>
      </w:tr>
      <w:tr w:rsidR="00823785" w:rsidRPr="00452D62" w14:paraId="7819A11E" w14:textId="77777777" w:rsidTr="006453B9">
        <w:tc>
          <w:tcPr>
            <w:tcW w:w="2877" w:type="dxa"/>
            <w:shd w:val="clear" w:color="auto" w:fill="auto"/>
          </w:tcPr>
          <w:p w14:paraId="2BA68639" w14:textId="77777777" w:rsidR="00823785" w:rsidRPr="000877E9" w:rsidRDefault="00823785" w:rsidP="006453B9">
            <w:pPr>
              <w:widowControl w:val="0"/>
              <w:tabs>
                <w:tab w:val="clear" w:pos="567"/>
                <w:tab w:val="left" w:pos="8505"/>
              </w:tabs>
              <w:suppressAutoHyphens w:val="0"/>
              <w:spacing w:before="75" w:line="240" w:lineRule="auto"/>
              <w:ind w:left="284" w:right="35"/>
              <w:contextualSpacing/>
              <w:rPr>
                <w:color w:val="231F20"/>
                <w:spacing w:val="-1"/>
                <w:sz w:val="22"/>
                <w:szCs w:val="22"/>
                <w:lang w:eastAsia="en-US"/>
              </w:rPr>
            </w:pPr>
            <w:r w:rsidRPr="00452D62">
              <w:rPr>
                <w:color w:val="231F20"/>
                <w:spacing w:val="-1"/>
                <w:sz w:val="22"/>
                <w:szCs w:val="22"/>
                <w:lang w:eastAsia="en-US"/>
              </w:rPr>
              <w:t>Simptominė PE ir GVT</w:t>
            </w:r>
          </w:p>
        </w:tc>
        <w:tc>
          <w:tcPr>
            <w:tcW w:w="2882" w:type="dxa"/>
            <w:shd w:val="clear" w:color="auto" w:fill="auto"/>
          </w:tcPr>
          <w:p w14:paraId="2E77F999"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1 </w:t>
            </w:r>
          </w:p>
          <w:p w14:paraId="4BAF2199" w14:textId="0E7D471E"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(&lt;0,1 %)</w:t>
            </w:r>
          </w:p>
        </w:tc>
        <w:tc>
          <w:tcPr>
            <w:tcW w:w="2855" w:type="dxa"/>
            <w:shd w:val="clear" w:color="auto" w:fill="auto"/>
          </w:tcPr>
          <w:p w14:paraId="18A8BB35"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2</w:t>
            </w:r>
          </w:p>
          <w:p w14:paraId="1C22A4D1" w14:textId="771E0191"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 (&lt;0,1 %)</w:t>
            </w:r>
          </w:p>
        </w:tc>
      </w:tr>
      <w:tr w:rsidR="00823785" w:rsidRPr="00452D62" w14:paraId="0573DA96" w14:textId="77777777" w:rsidTr="006453B9">
        <w:tc>
          <w:tcPr>
            <w:tcW w:w="2877" w:type="dxa"/>
            <w:shd w:val="clear" w:color="auto" w:fill="auto"/>
          </w:tcPr>
          <w:p w14:paraId="0A46E8C6" w14:textId="77777777" w:rsidR="00823785" w:rsidRPr="00452D62"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452D62">
              <w:rPr>
                <w:color w:val="231F20"/>
                <w:spacing w:val="-1"/>
                <w:sz w:val="22"/>
                <w:szCs w:val="22"/>
                <w:lang w:eastAsia="en-US"/>
              </w:rPr>
              <w:t>Mirtina PE/mirtis, kai negalima atmesti PE kaip galimos priežasties</w:t>
            </w:r>
          </w:p>
        </w:tc>
        <w:tc>
          <w:tcPr>
            <w:tcW w:w="2882" w:type="dxa"/>
            <w:shd w:val="clear" w:color="auto" w:fill="auto"/>
          </w:tcPr>
          <w:p w14:paraId="5D5CA48F"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15 </w:t>
            </w:r>
          </w:p>
          <w:p w14:paraId="4621D75E" w14:textId="552F164E"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(0,4 %)</w:t>
            </w:r>
          </w:p>
        </w:tc>
        <w:tc>
          <w:tcPr>
            <w:tcW w:w="2855" w:type="dxa"/>
            <w:shd w:val="clear" w:color="auto" w:fill="auto"/>
          </w:tcPr>
          <w:p w14:paraId="1B500DB0"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13 </w:t>
            </w:r>
          </w:p>
          <w:p w14:paraId="6929D8ED" w14:textId="0A778748"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(0,3 %)</w:t>
            </w:r>
          </w:p>
        </w:tc>
      </w:tr>
      <w:tr w:rsidR="00823785" w:rsidRPr="00452D62" w14:paraId="06AC7643" w14:textId="77777777" w:rsidTr="006453B9">
        <w:tc>
          <w:tcPr>
            <w:tcW w:w="2877" w:type="dxa"/>
            <w:shd w:val="clear" w:color="auto" w:fill="auto"/>
          </w:tcPr>
          <w:p w14:paraId="489561D7" w14:textId="77777777" w:rsidR="00823785" w:rsidRPr="00452D62" w:rsidRDefault="00823785"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452D62">
              <w:rPr>
                <w:color w:val="231F20"/>
                <w:spacing w:val="-1"/>
                <w:sz w:val="22"/>
                <w:szCs w:val="22"/>
                <w:lang w:eastAsia="en-US"/>
              </w:rPr>
              <w:t>Didysis ar kliniškai reikšmingas ne didysis kraujavimas</w:t>
            </w:r>
          </w:p>
        </w:tc>
        <w:tc>
          <w:tcPr>
            <w:tcW w:w="2882" w:type="dxa"/>
            <w:shd w:val="clear" w:color="auto" w:fill="auto"/>
          </w:tcPr>
          <w:p w14:paraId="25D75B89"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388 </w:t>
            </w:r>
          </w:p>
          <w:p w14:paraId="51DF55DC" w14:textId="268D7993"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(9,4 %)</w:t>
            </w:r>
          </w:p>
        </w:tc>
        <w:tc>
          <w:tcPr>
            <w:tcW w:w="2855" w:type="dxa"/>
            <w:shd w:val="clear" w:color="auto" w:fill="auto"/>
          </w:tcPr>
          <w:p w14:paraId="7FEDB082"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412 </w:t>
            </w:r>
          </w:p>
          <w:p w14:paraId="5C997864" w14:textId="1C7DBA85"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(10,0 %)</w:t>
            </w:r>
          </w:p>
        </w:tc>
      </w:tr>
      <w:tr w:rsidR="00823785" w:rsidRPr="00452D62" w14:paraId="5944CB20" w14:textId="77777777" w:rsidTr="006453B9">
        <w:tc>
          <w:tcPr>
            <w:tcW w:w="2877" w:type="dxa"/>
            <w:shd w:val="clear" w:color="auto" w:fill="auto"/>
          </w:tcPr>
          <w:p w14:paraId="2141AB54" w14:textId="77777777" w:rsidR="00823785" w:rsidRPr="000877E9"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Didžiojo kraujavimo atvejai</w:t>
            </w:r>
          </w:p>
        </w:tc>
        <w:tc>
          <w:tcPr>
            <w:tcW w:w="2882" w:type="dxa"/>
            <w:shd w:val="clear" w:color="auto" w:fill="auto"/>
          </w:tcPr>
          <w:p w14:paraId="6F5677D3"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40 </w:t>
            </w:r>
          </w:p>
          <w:p w14:paraId="633FD056" w14:textId="1E694A0C"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(1,0 %)</w:t>
            </w:r>
          </w:p>
        </w:tc>
        <w:tc>
          <w:tcPr>
            <w:tcW w:w="2855" w:type="dxa"/>
            <w:shd w:val="clear" w:color="auto" w:fill="auto"/>
          </w:tcPr>
          <w:p w14:paraId="222868A8"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72 </w:t>
            </w:r>
          </w:p>
          <w:p w14:paraId="0343C0B6" w14:textId="484A7E02"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(1,7 %)</w:t>
            </w:r>
          </w:p>
        </w:tc>
      </w:tr>
    </w:tbl>
    <w:p w14:paraId="3F316FA2" w14:textId="77777777" w:rsidR="00823785" w:rsidRPr="000877E9" w:rsidRDefault="00823785" w:rsidP="00823785">
      <w:pPr>
        <w:spacing w:before="120"/>
        <w:rPr>
          <w:sz w:val="22"/>
          <w:szCs w:val="22"/>
        </w:rPr>
      </w:pPr>
      <w:r w:rsidRPr="00452D62">
        <w:rPr>
          <w:sz w:val="22"/>
          <w:szCs w:val="22"/>
          <w:vertAlign w:val="superscript"/>
        </w:rPr>
        <w:t>a)</w:t>
      </w:r>
      <w:r w:rsidRPr="000877E9">
        <w:rPr>
          <w:sz w:val="22"/>
          <w:szCs w:val="22"/>
        </w:rPr>
        <w:t xml:space="preserve"> Rivaroksabanas po 15 mg du kartus per parą 3 savaites, po to po 20 mg vieną kartą per parą.</w:t>
      </w:r>
    </w:p>
    <w:p w14:paraId="66945EA2" w14:textId="77777777" w:rsidR="00823785" w:rsidRPr="00452D62" w:rsidRDefault="00823785" w:rsidP="00823785">
      <w:pPr>
        <w:rPr>
          <w:sz w:val="22"/>
          <w:szCs w:val="22"/>
        </w:rPr>
      </w:pPr>
      <w:r w:rsidRPr="00452D62">
        <w:rPr>
          <w:sz w:val="22"/>
          <w:szCs w:val="22"/>
          <w:vertAlign w:val="superscript"/>
        </w:rPr>
        <w:t>b)</w:t>
      </w:r>
      <w:r w:rsidRPr="00452D62">
        <w:rPr>
          <w:sz w:val="22"/>
          <w:szCs w:val="22"/>
        </w:rPr>
        <w:t xml:space="preserve"> Enoksaparinas mažiausiai 5 dienas, kartu vartojant ir vėliau tęsiant gydymą VKA.</w:t>
      </w:r>
    </w:p>
    <w:p w14:paraId="64FF6350" w14:textId="77777777" w:rsidR="00823785" w:rsidRPr="00452D62" w:rsidRDefault="00823785" w:rsidP="00823785">
      <w:pPr>
        <w:ind w:left="142" w:hanging="142"/>
        <w:rPr>
          <w:sz w:val="22"/>
          <w:szCs w:val="22"/>
        </w:rPr>
      </w:pPr>
      <w:r w:rsidRPr="00452D62">
        <w:rPr>
          <w:sz w:val="22"/>
          <w:szCs w:val="22"/>
        </w:rPr>
        <w:t>* p &lt; 0,0001 (neprastesnis poveikis, kai iš anksto numatytas RS buvo 1,75); RS: 0,886 (0,661</w:t>
      </w:r>
      <w:r w:rsidRPr="00452D62">
        <w:rPr>
          <w:sz w:val="22"/>
          <w:szCs w:val="22"/>
        </w:rPr>
        <w:noBreakHyphen/>
        <w:t>1,186).</w:t>
      </w:r>
    </w:p>
    <w:p w14:paraId="3491D492" w14:textId="77777777" w:rsidR="00823785" w:rsidRPr="00452D62" w:rsidRDefault="00823785" w:rsidP="00823785">
      <w:pPr>
        <w:rPr>
          <w:sz w:val="22"/>
          <w:szCs w:val="22"/>
        </w:rPr>
      </w:pPr>
    </w:p>
    <w:p w14:paraId="5994BD14" w14:textId="6CD0EFC9" w:rsidR="00823785" w:rsidRPr="00452D62" w:rsidRDefault="00823785" w:rsidP="00823785">
      <w:pPr>
        <w:rPr>
          <w:sz w:val="22"/>
          <w:szCs w:val="22"/>
        </w:rPr>
      </w:pPr>
      <w:r w:rsidRPr="00452D62">
        <w:rPr>
          <w:sz w:val="22"/>
          <w:szCs w:val="22"/>
        </w:rPr>
        <w:t>Vertinant iš anksto numatytą suminę klinikinę naudą (pagrindinės veiksmingumo vertinamosios baigties reiškiniai plius didžiojo kraujavimo atvejai), RS buvo 0,771 ((95 % PI: 0,614</w:t>
      </w:r>
      <w:r w:rsidRPr="00452D62">
        <w:rPr>
          <w:sz w:val="22"/>
          <w:szCs w:val="22"/>
        </w:rPr>
        <w:noBreakHyphen/>
        <w:t>0,967), nominali p reikšmė p=0,0244).</w:t>
      </w:r>
    </w:p>
    <w:p w14:paraId="3A269284" w14:textId="77777777" w:rsidR="00823785" w:rsidRPr="00452D62" w:rsidRDefault="00823785" w:rsidP="00823785">
      <w:pPr>
        <w:rPr>
          <w:sz w:val="22"/>
          <w:szCs w:val="22"/>
        </w:rPr>
      </w:pPr>
    </w:p>
    <w:p w14:paraId="74CF9B28" w14:textId="77777777" w:rsidR="00823785" w:rsidRPr="00452D62" w:rsidRDefault="00823785" w:rsidP="00823785">
      <w:pPr>
        <w:rPr>
          <w:sz w:val="22"/>
          <w:szCs w:val="22"/>
        </w:rPr>
      </w:pPr>
      <w:r w:rsidRPr="00452D62">
        <w:rPr>
          <w:i/>
          <w:sz w:val="22"/>
          <w:szCs w:val="22"/>
        </w:rPr>
        <w:t>Einstein Extention</w:t>
      </w:r>
      <w:r w:rsidRPr="00452D62">
        <w:rPr>
          <w:sz w:val="22"/>
          <w:szCs w:val="22"/>
        </w:rPr>
        <w:t xml:space="preserve"> tyrime (žr. 9 lentelę) rivaroksabanas, palyginti su placebu, sukėlė pranašesnį poveikį vertinant pagrindinę ir antrines veiksmingumo vertinamąsias baigtis. Analizuojant pagrindinę saugumo vertinamąja baigtį (didžiojo kraujavimo reiškinius) pacientų, vartojusių rivaroksabano 20 mg vieną kartą per parą, grupėje, atvejų dažnis skaitine reikšme buvo nereikšmingai didesnis, palyginti su placebo grupės duomenimis. Analizuojant antrinę saugumo vertinamąja baigtį (didžiojo ar </w:t>
      </w:r>
      <w:r w:rsidRPr="00452D62">
        <w:rPr>
          <w:color w:val="231F20"/>
          <w:spacing w:val="-1"/>
          <w:sz w:val="22"/>
          <w:szCs w:val="22"/>
          <w:lang w:eastAsia="en-US"/>
        </w:rPr>
        <w:t xml:space="preserve">kliniškai </w:t>
      </w:r>
      <w:r w:rsidRPr="00452D62">
        <w:rPr>
          <w:sz w:val="22"/>
          <w:szCs w:val="22"/>
        </w:rPr>
        <w:t>reikšmingo ne didžiojo kraujavimo reiškinius), nustatytas atvejų dažnis buvo didesnis pacientams, vartojusiems 20 mg rivaroksabano vieną kartą per parą, palyginti su vartojusiais placebu.</w:t>
      </w:r>
    </w:p>
    <w:p w14:paraId="5B803920" w14:textId="77777777" w:rsidR="00823785" w:rsidRPr="00452D62" w:rsidRDefault="00823785" w:rsidP="00823785">
      <w:pPr>
        <w:rPr>
          <w:sz w:val="22"/>
          <w:szCs w:val="22"/>
        </w:rPr>
      </w:pPr>
    </w:p>
    <w:p w14:paraId="611C7A88" w14:textId="77777777" w:rsidR="00823785" w:rsidRPr="00452D62" w:rsidRDefault="00823785" w:rsidP="00823785">
      <w:pPr>
        <w:rPr>
          <w:b/>
          <w:sz w:val="22"/>
          <w:szCs w:val="22"/>
        </w:rPr>
      </w:pPr>
      <w:r w:rsidRPr="00452D62">
        <w:rPr>
          <w:b/>
          <w:sz w:val="22"/>
          <w:szCs w:val="22"/>
        </w:rPr>
        <w:t xml:space="preserve">9 lentelė. III fazės </w:t>
      </w:r>
      <w:r w:rsidRPr="00452D62">
        <w:rPr>
          <w:b/>
          <w:i/>
          <w:sz w:val="22"/>
          <w:szCs w:val="22"/>
        </w:rPr>
        <w:t>Einstein Extention</w:t>
      </w:r>
      <w:r w:rsidRPr="00452D62">
        <w:rPr>
          <w:b/>
          <w:sz w:val="22"/>
          <w:szCs w:val="22"/>
        </w:rPr>
        <w:t xml:space="preserve"> tyrimo veiksmingumo ir saugumo rezultatai</w:t>
      </w: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7"/>
        <w:gridCol w:w="2882"/>
        <w:gridCol w:w="2855"/>
      </w:tblGrid>
      <w:tr w:rsidR="00823785" w:rsidRPr="00452D62" w14:paraId="0A130EB6" w14:textId="77777777" w:rsidTr="006453B9">
        <w:tc>
          <w:tcPr>
            <w:tcW w:w="2877" w:type="dxa"/>
            <w:shd w:val="clear" w:color="auto" w:fill="auto"/>
          </w:tcPr>
          <w:p w14:paraId="1C95A18E"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Tyrimo populiacija</w:t>
            </w:r>
          </w:p>
        </w:tc>
        <w:tc>
          <w:tcPr>
            <w:tcW w:w="5737" w:type="dxa"/>
            <w:gridSpan w:val="2"/>
            <w:shd w:val="clear" w:color="auto" w:fill="auto"/>
          </w:tcPr>
          <w:p w14:paraId="33637883" w14:textId="77777777" w:rsidR="00823785" w:rsidRPr="00452D62" w:rsidRDefault="00823785" w:rsidP="006453B9">
            <w:pPr>
              <w:widowControl w:val="0"/>
              <w:tabs>
                <w:tab w:val="clear" w:pos="567"/>
                <w:tab w:val="left" w:pos="8505"/>
              </w:tabs>
              <w:suppressAutoHyphens w:val="0"/>
              <w:spacing w:before="75" w:line="240" w:lineRule="auto"/>
              <w:ind w:right="35"/>
              <w:contextualSpacing/>
              <w:rPr>
                <w:b/>
                <w:bCs/>
                <w:color w:val="231F20"/>
                <w:spacing w:val="-1"/>
                <w:sz w:val="22"/>
                <w:szCs w:val="22"/>
                <w:lang w:eastAsia="en-US"/>
              </w:rPr>
            </w:pPr>
            <w:r w:rsidRPr="00452D62">
              <w:rPr>
                <w:b/>
                <w:bCs/>
                <w:color w:val="231F20"/>
                <w:spacing w:val="-1"/>
                <w:sz w:val="22"/>
                <w:szCs w:val="22"/>
                <w:lang w:eastAsia="en-US"/>
              </w:rPr>
              <w:t>1 197 tiriamieji tęsė pasikartojančios venų tromboembolijos gydymą ir profilaktiką</w:t>
            </w:r>
          </w:p>
        </w:tc>
      </w:tr>
      <w:tr w:rsidR="00823785" w:rsidRPr="00452D62" w14:paraId="001ACF71" w14:textId="77777777" w:rsidTr="006453B9">
        <w:tc>
          <w:tcPr>
            <w:tcW w:w="2877" w:type="dxa"/>
            <w:shd w:val="clear" w:color="auto" w:fill="auto"/>
          </w:tcPr>
          <w:p w14:paraId="18281CC8" w14:textId="77777777" w:rsidR="00823785" w:rsidRPr="000877E9"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Gydymo dozė ir trukmė</w:t>
            </w:r>
          </w:p>
          <w:p w14:paraId="55E4F521"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p>
        </w:tc>
        <w:tc>
          <w:tcPr>
            <w:tcW w:w="2882" w:type="dxa"/>
            <w:shd w:val="clear" w:color="auto" w:fill="auto"/>
          </w:tcPr>
          <w:p w14:paraId="4B9CCFF9"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vertAlign w:val="superscript"/>
                <w:lang w:eastAsia="en-US"/>
              </w:rPr>
            </w:pPr>
            <w:r w:rsidRPr="00452D62">
              <w:rPr>
                <w:b/>
                <w:bCs/>
                <w:color w:val="231F20"/>
                <w:spacing w:val="-1"/>
                <w:sz w:val="22"/>
                <w:szCs w:val="22"/>
                <w:lang w:eastAsia="en-US"/>
              </w:rPr>
              <w:t>Rivaroksabanas</w:t>
            </w:r>
            <w:r w:rsidRPr="00452D62">
              <w:rPr>
                <w:b/>
                <w:bCs/>
                <w:color w:val="231F20"/>
                <w:spacing w:val="-1"/>
                <w:sz w:val="22"/>
                <w:szCs w:val="22"/>
                <w:vertAlign w:val="superscript"/>
                <w:lang w:eastAsia="en-US"/>
              </w:rPr>
              <w:t>a)</w:t>
            </w:r>
          </w:p>
          <w:p w14:paraId="59E36D41"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6 arba 12 mėnesių</w:t>
            </w:r>
          </w:p>
          <w:p w14:paraId="04E342BD"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N=602</w:t>
            </w:r>
          </w:p>
        </w:tc>
        <w:tc>
          <w:tcPr>
            <w:tcW w:w="2855" w:type="dxa"/>
            <w:shd w:val="clear" w:color="auto" w:fill="auto"/>
          </w:tcPr>
          <w:p w14:paraId="1D840442"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Placebas</w:t>
            </w:r>
          </w:p>
          <w:p w14:paraId="6CA42945"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6 arba 12 mėnesių</w:t>
            </w:r>
          </w:p>
          <w:p w14:paraId="70D03F57"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452D62">
              <w:rPr>
                <w:b/>
                <w:bCs/>
                <w:color w:val="231F20"/>
                <w:spacing w:val="-1"/>
                <w:sz w:val="22"/>
                <w:szCs w:val="22"/>
                <w:lang w:eastAsia="en-US"/>
              </w:rPr>
              <w:t>N=594</w:t>
            </w:r>
          </w:p>
        </w:tc>
      </w:tr>
      <w:tr w:rsidR="00823785" w:rsidRPr="00452D62" w14:paraId="544385C0" w14:textId="77777777" w:rsidTr="006453B9">
        <w:tc>
          <w:tcPr>
            <w:tcW w:w="2877" w:type="dxa"/>
            <w:shd w:val="clear" w:color="auto" w:fill="auto"/>
          </w:tcPr>
          <w:p w14:paraId="1F94C5A5" w14:textId="77777777" w:rsidR="00823785" w:rsidRPr="00452D62" w:rsidRDefault="00823785"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452D62">
              <w:rPr>
                <w:color w:val="231F20"/>
                <w:spacing w:val="-1"/>
                <w:sz w:val="22"/>
                <w:szCs w:val="22"/>
                <w:lang w:eastAsia="en-US"/>
              </w:rPr>
              <w:t>Simptominė pasikartojanti VTE*</w:t>
            </w:r>
          </w:p>
        </w:tc>
        <w:tc>
          <w:tcPr>
            <w:tcW w:w="2882" w:type="dxa"/>
            <w:shd w:val="clear" w:color="auto" w:fill="auto"/>
          </w:tcPr>
          <w:p w14:paraId="296F0923"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8 </w:t>
            </w:r>
          </w:p>
          <w:p w14:paraId="23BE3C70" w14:textId="268BE2CA"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(1,3 %)</w:t>
            </w:r>
          </w:p>
        </w:tc>
        <w:tc>
          <w:tcPr>
            <w:tcW w:w="2855" w:type="dxa"/>
            <w:shd w:val="clear" w:color="auto" w:fill="auto"/>
          </w:tcPr>
          <w:p w14:paraId="54215B6B"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42 </w:t>
            </w:r>
          </w:p>
          <w:p w14:paraId="1EBD03B2" w14:textId="5F882118"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(7,1 %)</w:t>
            </w:r>
          </w:p>
        </w:tc>
      </w:tr>
      <w:tr w:rsidR="00823785" w:rsidRPr="00452D62" w14:paraId="1D8C8689" w14:textId="77777777" w:rsidTr="006453B9">
        <w:tc>
          <w:tcPr>
            <w:tcW w:w="2877" w:type="dxa"/>
            <w:shd w:val="clear" w:color="auto" w:fill="auto"/>
          </w:tcPr>
          <w:tbl>
            <w:tblPr>
              <w:tblW w:w="0" w:type="auto"/>
              <w:tblBorders>
                <w:top w:val="nil"/>
                <w:left w:val="nil"/>
                <w:bottom w:val="nil"/>
                <w:right w:val="nil"/>
              </w:tblBorders>
              <w:tblLook w:val="0000" w:firstRow="0" w:lastRow="0" w:firstColumn="0" w:lastColumn="0" w:noHBand="0" w:noVBand="0"/>
            </w:tblPr>
            <w:tblGrid>
              <w:gridCol w:w="2661"/>
            </w:tblGrid>
            <w:tr w:rsidR="00823785" w:rsidRPr="00452D62" w14:paraId="654154D1" w14:textId="77777777" w:rsidTr="006453B9">
              <w:trPr>
                <w:trHeight w:val="145"/>
              </w:trPr>
              <w:tc>
                <w:tcPr>
                  <w:tcW w:w="0" w:type="auto"/>
                </w:tcPr>
                <w:p w14:paraId="3D6EF888"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Simptominė pasikartojanti PE</w:t>
                  </w:r>
                </w:p>
              </w:tc>
            </w:tr>
          </w:tbl>
          <w:p w14:paraId="165FC6D8"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p>
        </w:tc>
        <w:tc>
          <w:tcPr>
            <w:tcW w:w="2882" w:type="dxa"/>
            <w:shd w:val="clear" w:color="auto" w:fill="auto"/>
          </w:tcPr>
          <w:p w14:paraId="735C1C0A"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2 </w:t>
            </w:r>
          </w:p>
          <w:p w14:paraId="2FACA817" w14:textId="046A7B0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(0,3 %)</w:t>
            </w:r>
          </w:p>
        </w:tc>
        <w:tc>
          <w:tcPr>
            <w:tcW w:w="2855" w:type="dxa"/>
            <w:shd w:val="clear" w:color="auto" w:fill="auto"/>
          </w:tcPr>
          <w:p w14:paraId="0DB948F5"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13 </w:t>
            </w:r>
          </w:p>
          <w:p w14:paraId="1830A73D" w14:textId="03FE5ED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(2,2 %)</w:t>
            </w:r>
          </w:p>
        </w:tc>
      </w:tr>
      <w:tr w:rsidR="00823785" w:rsidRPr="00452D62" w14:paraId="7B964231" w14:textId="77777777" w:rsidTr="006453B9">
        <w:tc>
          <w:tcPr>
            <w:tcW w:w="2877" w:type="dxa"/>
            <w:shd w:val="clear" w:color="auto" w:fill="auto"/>
          </w:tcPr>
          <w:p w14:paraId="3311F22A" w14:textId="77777777" w:rsidR="00823785" w:rsidRPr="00452D62" w:rsidRDefault="00823785" w:rsidP="006453B9">
            <w:pPr>
              <w:widowControl w:val="0"/>
              <w:tabs>
                <w:tab w:val="clear" w:pos="567"/>
                <w:tab w:val="left" w:pos="8505"/>
              </w:tabs>
              <w:suppressAutoHyphens w:val="0"/>
              <w:spacing w:before="75" w:line="240" w:lineRule="auto"/>
              <w:ind w:left="142" w:right="35"/>
              <w:contextualSpacing/>
              <w:rPr>
                <w:color w:val="231F20"/>
                <w:spacing w:val="-1"/>
                <w:sz w:val="22"/>
                <w:szCs w:val="22"/>
                <w:lang w:eastAsia="en-US"/>
              </w:rPr>
            </w:pPr>
            <w:r w:rsidRPr="00452D62">
              <w:rPr>
                <w:color w:val="231F20"/>
                <w:spacing w:val="-1"/>
                <w:sz w:val="22"/>
                <w:szCs w:val="22"/>
                <w:lang w:eastAsia="en-US"/>
              </w:rPr>
              <w:t>Simptominė pasikartojanti GVT</w:t>
            </w:r>
          </w:p>
        </w:tc>
        <w:tc>
          <w:tcPr>
            <w:tcW w:w="2882" w:type="dxa"/>
            <w:shd w:val="clear" w:color="auto" w:fill="auto"/>
          </w:tcPr>
          <w:p w14:paraId="5283F82B"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5 </w:t>
            </w:r>
          </w:p>
          <w:p w14:paraId="2BD46B54" w14:textId="5089006C"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(0,8 %)</w:t>
            </w:r>
          </w:p>
        </w:tc>
        <w:tc>
          <w:tcPr>
            <w:tcW w:w="2855" w:type="dxa"/>
            <w:shd w:val="clear" w:color="auto" w:fill="auto"/>
          </w:tcPr>
          <w:p w14:paraId="0F2649F7"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31 </w:t>
            </w:r>
          </w:p>
          <w:p w14:paraId="4AF0310B" w14:textId="32E2106B"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(5,2 %)</w:t>
            </w:r>
          </w:p>
        </w:tc>
      </w:tr>
      <w:tr w:rsidR="00823785" w:rsidRPr="00452D62" w14:paraId="15442FB9" w14:textId="77777777" w:rsidTr="006453B9">
        <w:tc>
          <w:tcPr>
            <w:tcW w:w="2877" w:type="dxa"/>
            <w:shd w:val="clear" w:color="auto" w:fill="auto"/>
          </w:tcPr>
          <w:tbl>
            <w:tblPr>
              <w:tblW w:w="0" w:type="auto"/>
              <w:tblBorders>
                <w:top w:val="nil"/>
                <w:left w:val="nil"/>
                <w:bottom w:val="nil"/>
                <w:right w:val="nil"/>
              </w:tblBorders>
              <w:tblLook w:val="0000" w:firstRow="0" w:lastRow="0" w:firstColumn="0" w:lastColumn="0" w:noHBand="0" w:noVBand="0"/>
            </w:tblPr>
            <w:tblGrid>
              <w:gridCol w:w="2661"/>
            </w:tblGrid>
            <w:tr w:rsidR="00823785" w:rsidRPr="00452D62" w14:paraId="2C2C226D" w14:textId="77777777" w:rsidTr="006453B9">
              <w:trPr>
                <w:trHeight w:val="275"/>
              </w:trPr>
              <w:tc>
                <w:tcPr>
                  <w:tcW w:w="0" w:type="auto"/>
                </w:tcPr>
                <w:p w14:paraId="4E7651C7" w14:textId="77777777" w:rsidR="00823785" w:rsidRPr="00452D62" w:rsidRDefault="00823785" w:rsidP="006453B9">
                  <w:pPr>
                    <w:pStyle w:val="Default"/>
                    <w:rPr>
                      <w:sz w:val="22"/>
                      <w:szCs w:val="22"/>
                    </w:rPr>
                  </w:pPr>
                  <w:r w:rsidRPr="00452D62">
                    <w:rPr>
                      <w:color w:val="231F20"/>
                      <w:spacing w:val="-1"/>
                      <w:sz w:val="22"/>
                      <w:szCs w:val="22"/>
                      <w:lang w:eastAsia="en-US"/>
                    </w:rPr>
                    <w:t>Mirtina PE/mirtis, kai negalima atmesti PE kaip galimos priežasties</w:t>
                  </w:r>
                </w:p>
              </w:tc>
            </w:tr>
          </w:tbl>
          <w:p w14:paraId="34316EFD"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p>
        </w:tc>
        <w:tc>
          <w:tcPr>
            <w:tcW w:w="2882" w:type="dxa"/>
            <w:shd w:val="clear" w:color="auto" w:fill="auto"/>
          </w:tcPr>
          <w:p w14:paraId="677BAD02"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1 </w:t>
            </w:r>
          </w:p>
          <w:p w14:paraId="0EA92269" w14:textId="259CA2E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(0,2 %)</w:t>
            </w:r>
          </w:p>
        </w:tc>
        <w:tc>
          <w:tcPr>
            <w:tcW w:w="2855" w:type="dxa"/>
            <w:shd w:val="clear" w:color="auto" w:fill="auto"/>
          </w:tcPr>
          <w:p w14:paraId="0999D337"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1 </w:t>
            </w:r>
          </w:p>
          <w:p w14:paraId="6D4899E1" w14:textId="05223D15"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(0,2 %)</w:t>
            </w:r>
          </w:p>
        </w:tc>
      </w:tr>
      <w:tr w:rsidR="00823785" w:rsidRPr="00452D62" w14:paraId="0A00E274" w14:textId="77777777" w:rsidTr="006453B9">
        <w:tc>
          <w:tcPr>
            <w:tcW w:w="2877" w:type="dxa"/>
            <w:shd w:val="clear" w:color="auto" w:fill="auto"/>
          </w:tcPr>
          <w:p w14:paraId="73E77DBB" w14:textId="77777777" w:rsidR="00823785" w:rsidRPr="000877E9"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Didžiojo kraujavimo atvejai</w:t>
            </w:r>
          </w:p>
        </w:tc>
        <w:tc>
          <w:tcPr>
            <w:tcW w:w="2882" w:type="dxa"/>
            <w:shd w:val="clear" w:color="auto" w:fill="auto"/>
          </w:tcPr>
          <w:p w14:paraId="12CF719D"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4 </w:t>
            </w:r>
          </w:p>
          <w:p w14:paraId="3B463F1F" w14:textId="0D8DF4D9"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(0,7 %)</w:t>
            </w:r>
          </w:p>
        </w:tc>
        <w:tc>
          <w:tcPr>
            <w:tcW w:w="2855" w:type="dxa"/>
            <w:shd w:val="clear" w:color="auto" w:fill="auto"/>
          </w:tcPr>
          <w:p w14:paraId="10F04CC0"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0</w:t>
            </w:r>
          </w:p>
          <w:p w14:paraId="6DBD15F9" w14:textId="19F6CE60"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sz w:val="22"/>
                <w:szCs w:val="22"/>
                <w:lang w:val="en-US"/>
              </w:rPr>
              <w:t>(0.0 %)</w:t>
            </w:r>
          </w:p>
        </w:tc>
      </w:tr>
      <w:tr w:rsidR="00823785" w:rsidRPr="00452D62" w14:paraId="099C9266" w14:textId="77777777" w:rsidTr="006453B9">
        <w:tc>
          <w:tcPr>
            <w:tcW w:w="2877" w:type="dxa"/>
            <w:shd w:val="clear" w:color="auto" w:fill="auto"/>
          </w:tcPr>
          <w:p w14:paraId="5EFC2C51" w14:textId="77777777" w:rsidR="00823785" w:rsidRPr="00452D62" w:rsidRDefault="00823785"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452D62">
              <w:rPr>
                <w:color w:val="231F20"/>
                <w:spacing w:val="-1"/>
                <w:sz w:val="22"/>
                <w:szCs w:val="22"/>
                <w:lang w:eastAsia="en-US"/>
              </w:rPr>
              <w:t>Didysis ar kliniškai reikšmingas ne didysis kraujavimas</w:t>
            </w:r>
          </w:p>
        </w:tc>
        <w:tc>
          <w:tcPr>
            <w:tcW w:w="2882" w:type="dxa"/>
            <w:shd w:val="clear" w:color="auto" w:fill="auto"/>
          </w:tcPr>
          <w:p w14:paraId="0B3D17C4"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32 </w:t>
            </w:r>
          </w:p>
          <w:p w14:paraId="41C562BD" w14:textId="2C57EC6D"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(5,4 %)</w:t>
            </w:r>
          </w:p>
        </w:tc>
        <w:tc>
          <w:tcPr>
            <w:tcW w:w="2855" w:type="dxa"/>
            <w:shd w:val="clear" w:color="auto" w:fill="auto"/>
          </w:tcPr>
          <w:p w14:paraId="4C69D0C4" w14:textId="77777777"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 xml:space="preserve">7 </w:t>
            </w:r>
          </w:p>
          <w:p w14:paraId="127ABC75" w14:textId="4415EA3D" w:rsidR="00823785" w:rsidRPr="00452D62"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452D62">
              <w:rPr>
                <w:color w:val="231F20"/>
                <w:spacing w:val="-1"/>
                <w:sz w:val="22"/>
                <w:szCs w:val="22"/>
                <w:lang w:eastAsia="en-US"/>
              </w:rPr>
              <w:t>(1,2 %)</w:t>
            </w:r>
          </w:p>
        </w:tc>
      </w:tr>
    </w:tbl>
    <w:p w14:paraId="56A907E1" w14:textId="77777777" w:rsidR="00823785" w:rsidRPr="000877E9" w:rsidRDefault="00823785" w:rsidP="00823785">
      <w:pPr>
        <w:spacing w:before="120"/>
        <w:rPr>
          <w:sz w:val="22"/>
          <w:szCs w:val="22"/>
        </w:rPr>
      </w:pPr>
      <w:r w:rsidRPr="00452D62">
        <w:rPr>
          <w:sz w:val="22"/>
          <w:szCs w:val="22"/>
          <w:vertAlign w:val="superscript"/>
        </w:rPr>
        <w:t>a)</w:t>
      </w:r>
      <w:r w:rsidRPr="000877E9">
        <w:rPr>
          <w:sz w:val="22"/>
          <w:szCs w:val="22"/>
        </w:rPr>
        <w:t xml:space="preserve"> Rivaroksabanas 20 mg vieną kartą per parą</w:t>
      </w:r>
    </w:p>
    <w:p w14:paraId="2DA01EC0" w14:textId="77777777" w:rsidR="00823785" w:rsidRPr="00452D62" w:rsidRDefault="00823785" w:rsidP="00823785">
      <w:pPr>
        <w:rPr>
          <w:sz w:val="22"/>
          <w:szCs w:val="22"/>
        </w:rPr>
      </w:pPr>
      <w:r w:rsidRPr="00452D62">
        <w:rPr>
          <w:sz w:val="22"/>
          <w:szCs w:val="22"/>
        </w:rPr>
        <w:t>* p &lt; 0,0001 (pranašumas), RS: 0,185 (0,087</w:t>
      </w:r>
      <w:r w:rsidRPr="00452D62">
        <w:rPr>
          <w:sz w:val="22"/>
          <w:szCs w:val="22"/>
        </w:rPr>
        <w:noBreakHyphen/>
        <w:t>0,393)</w:t>
      </w:r>
    </w:p>
    <w:p w14:paraId="72C887AF" w14:textId="77777777" w:rsidR="00823785" w:rsidRPr="00452D62" w:rsidRDefault="00823785" w:rsidP="00823785">
      <w:pPr>
        <w:rPr>
          <w:sz w:val="22"/>
          <w:szCs w:val="22"/>
        </w:rPr>
      </w:pPr>
    </w:p>
    <w:p w14:paraId="120A3FE9" w14:textId="77777777" w:rsidR="00823785" w:rsidRPr="00452D62" w:rsidRDefault="00823785" w:rsidP="00823785">
      <w:pPr>
        <w:rPr>
          <w:sz w:val="22"/>
          <w:szCs w:val="22"/>
        </w:rPr>
      </w:pPr>
      <w:r w:rsidRPr="00452D62">
        <w:rPr>
          <w:sz w:val="22"/>
          <w:szCs w:val="22"/>
        </w:rPr>
        <w:t xml:space="preserve">Tyrimo </w:t>
      </w:r>
      <w:r w:rsidRPr="00452D62">
        <w:rPr>
          <w:i/>
          <w:sz w:val="22"/>
          <w:szCs w:val="22"/>
        </w:rPr>
        <w:t>Einstein Choice</w:t>
      </w:r>
      <w:r w:rsidRPr="00452D62">
        <w:rPr>
          <w:sz w:val="22"/>
          <w:szCs w:val="22"/>
        </w:rPr>
        <w:t xml:space="preserve"> metu (žr. 10 lentelę), vertinant pagrindinę veiksmingumo vertinamąją baigtį, 20 mg ir 10 mg rivaroksabano dozės buvo pranašesnės už 100 mg acetilsalicilo rūgšties dozę. Pacientų, vieną kartą per parą vartojusių 20 mg ir 10 mg rivaroksabano dozę, pagrindinės saugumo vertinamosios baigties (didžiųjų kraujavimo reiškinių) atvejų dažnis buvo panašus į nustatytą vartojant 100 mg acetilsalicilo rūgšties dozę.</w:t>
      </w:r>
    </w:p>
    <w:p w14:paraId="2E428086" w14:textId="77777777" w:rsidR="00823785" w:rsidRPr="00452D62" w:rsidRDefault="00823785" w:rsidP="00823785">
      <w:pPr>
        <w:rPr>
          <w:sz w:val="22"/>
          <w:szCs w:val="22"/>
        </w:rPr>
      </w:pPr>
    </w:p>
    <w:p w14:paraId="484954F8" w14:textId="77777777" w:rsidR="00823785" w:rsidRPr="00452D62" w:rsidRDefault="00823785" w:rsidP="00823785">
      <w:pPr>
        <w:rPr>
          <w:b/>
          <w:sz w:val="22"/>
          <w:szCs w:val="22"/>
        </w:rPr>
      </w:pPr>
      <w:r w:rsidRPr="00452D62">
        <w:rPr>
          <w:b/>
          <w:sz w:val="22"/>
          <w:szCs w:val="22"/>
        </w:rPr>
        <w:t xml:space="preserve">10 lentelė. III fazės </w:t>
      </w:r>
      <w:r w:rsidRPr="00452D62">
        <w:rPr>
          <w:b/>
          <w:i/>
          <w:sz w:val="22"/>
          <w:szCs w:val="22"/>
        </w:rPr>
        <w:t>Einstein Choice</w:t>
      </w:r>
      <w:r w:rsidRPr="00452D62">
        <w:rPr>
          <w:b/>
          <w:sz w:val="22"/>
          <w:szCs w:val="22"/>
        </w:rPr>
        <w:t xml:space="preserve"> tyrimo veiksmingumo ir saugumo rezultatai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9"/>
        <w:gridCol w:w="2329"/>
        <w:gridCol w:w="2250"/>
        <w:gridCol w:w="2129"/>
      </w:tblGrid>
      <w:tr w:rsidR="00823785" w:rsidRPr="00452D62" w14:paraId="0CEC770F" w14:textId="77777777" w:rsidTr="006453B9">
        <w:tc>
          <w:tcPr>
            <w:tcW w:w="2189" w:type="dxa"/>
            <w:shd w:val="clear" w:color="auto" w:fill="auto"/>
          </w:tcPr>
          <w:p w14:paraId="404D8217"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b/>
                <w:bCs/>
                <w:color w:val="231F20"/>
                <w:spacing w:val="-1"/>
                <w:sz w:val="22"/>
                <w:szCs w:val="22"/>
                <w:lang w:eastAsia="en-US"/>
              </w:rPr>
            </w:pPr>
            <w:r w:rsidRPr="00452D62">
              <w:rPr>
                <w:rFonts w:eastAsia="Calibri"/>
                <w:b/>
                <w:bCs/>
                <w:color w:val="231F20"/>
                <w:spacing w:val="-1"/>
                <w:sz w:val="22"/>
                <w:szCs w:val="22"/>
                <w:lang w:eastAsia="en-US"/>
              </w:rPr>
              <w:t>Tyrimo populiacija</w:t>
            </w:r>
          </w:p>
        </w:tc>
        <w:tc>
          <w:tcPr>
            <w:tcW w:w="6708" w:type="dxa"/>
            <w:gridSpan w:val="3"/>
            <w:shd w:val="clear" w:color="auto" w:fill="auto"/>
          </w:tcPr>
          <w:p w14:paraId="78847795" w14:textId="77777777" w:rsidR="00823785" w:rsidRPr="00452D62" w:rsidRDefault="00823785" w:rsidP="006453B9">
            <w:pPr>
              <w:tabs>
                <w:tab w:val="clear" w:pos="567"/>
              </w:tabs>
              <w:suppressAutoHyphens w:val="0"/>
              <w:autoSpaceDE w:val="0"/>
              <w:autoSpaceDN w:val="0"/>
              <w:adjustRightInd w:val="0"/>
              <w:spacing w:line="240" w:lineRule="auto"/>
              <w:rPr>
                <w:rFonts w:eastAsia="Calibri"/>
                <w:b/>
                <w:bCs/>
                <w:color w:val="231F20"/>
                <w:spacing w:val="-1"/>
                <w:sz w:val="22"/>
                <w:szCs w:val="22"/>
                <w:lang w:eastAsia="en-US"/>
              </w:rPr>
            </w:pPr>
            <w:r w:rsidRPr="00452D62">
              <w:rPr>
                <w:rFonts w:eastAsia="Calibri"/>
                <w:b/>
                <w:bCs/>
                <w:color w:val="231F20"/>
                <w:spacing w:val="-1"/>
                <w:sz w:val="22"/>
                <w:szCs w:val="22"/>
                <w:lang w:eastAsia="en-US"/>
              </w:rPr>
              <w:t>3 396 pacientai tęsė pasikartojančios venų tromboembolijos profilaktiką</w:t>
            </w:r>
          </w:p>
        </w:tc>
      </w:tr>
      <w:tr w:rsidR="00823785" w:rsidRPr="00452D62" w14:paraId="3CD0370D" w14:textId="77777777" w:rsidTr="006453B9">
        <w:tc>
          <w:tcPr>
            <w:tcW w:w="2189" w:type="dxa"/>
            <w:shd w:val="clear" w:color="auto" w:fill="auto"/>
          </w:tcPr>
          <w:p w14:paraId="66A02B86" w14:textId="77777777" w:rsidR="00823785" w:rsidRPr="000877E9" w:rsidRDefault="00823785" w:rsidP="006453B9">
            <w:pPr>
              <w:tabs>
                <w:tab w:val="clear" w:pos="567"/>
              </w:tabs>
              <w:suppressAutoHyphens w:val="0"/>
              <w:autoSpaceDE w:val="0"/>
              <w:autoSpaceDN w:val="0"/>
              <w:adjustRightInd w:val="0"/>
              <w:spacing w:line="240" w:lineRule="auto"/>
              <w:jc w:val="both"/>
              <w:rPr>
                <w:rFonts w:eastAsia="Calibri"/>
                <w:b/>
                <w:bCs/>
                <w:color w:val="231F20"/>
                <w:spacing w:val="-1"/>
                <w:sz w:val="22"/>
                <w:szCs w:val="22"/>
                <w:lang w:eastAsia="en-US"/>
              </w:rPr>
            </w:pPr>
            <w:r w:rsidRPr="00452D62">
              <w:rPr>
                <w:rFonts w:eastAsia="Calibri"/>
                <w:b/>
                <w:bCs/>
                <w:color w:val="231F20"/>
                <w:spacing w:val="-1"/>
                <w:sz w:val="22"/>
                <w:szCs w:val="22"/>
                <w:lang w:eastAsia="en-US"/>
              </w:rPr>
              <w:t>Gydymo dozė</w:t>
            </w:r>
          </w:p>
        </w:tc>
        <w:tc>
          <w:tcPr>
            <w:tcW w:w="2329" w:type="dxa"/>
            <w:shd w:val="clear" w:color="auto" w:fill="auto"/>
          </w:tcPr>
          <w:p w14:paraId="29B2B2E9" w14:textId="25E3F506" w:rsidR="00823785" w:rsidRPr="00452D62" w:rsidRDefault="00823785" w:rsidP="006453B9">
            <w:pPr>
              <w:tabs>
                <w:tab w:val="clear" w:pos="567"/>
              </w:tabs>
              <w:suppressAutoHyphens w:val="0"/>
              <w:autoSpaceDE w:val="0"/>
              <w:autoSpaceDN w:val="0"/>
              <w:adjustRightInd w:val="0"/>
              <w:spacing w:line="240" w:lineRule="auto"/>
              <w:rPr>
                <w:rFonts w:eastAsia="Calibri"/>
                <w:b/>
                <w:bCs/>
                <w:color w:val="231F20"/>
                <w:spacing w:val="-1"/>
                <w:sz w:val="22"/>
                <w:szCs w:val="22"/>
                <w:lang w:eastAsia="en-US"/>
              </w:rPr>
            </w:pPr>
            <w:r w:rsidRPr="00452D62">
              <w:rPr>
                <w:rFonts w:eastAsia="Calibri"/>
                <w:b/>
                <w:bCs/>
                <w:color w:val="231F20"/>
                <w:spacing w:val="-1"/>
                <w:sz w:val="22"/>
                <w:szCs w:val="22"/>
                <w:lang w:eastAsia="en-US"/>
              </w:rPr>
              <w:t>Rivaroksabanas 20 mg vieną kartą per parą</w:t>
            </w:r>
          </w:p>
          <w:p w14:paraId="47865874" w14:textId="353BB315" w:rsidR="00823785" w:rsidRPr="00452D62" w:rsidRDefault="00823785" w:rsidP="006453B9">
            <w:pPr>
              <w:tabs>
                <w:tab w:val="clear" w:pos="567"/>
              </w:tabs>
              <w:suppressAutoHyphens w:val="0"/>
              <w:autoSpaceDE w:val="0"/>
              <w:autoSpaceDN w:val="0"/>
              <w:adjustRightInd w:val="0"/>
              <w:spacing w:line="240" w:lineRule="auto"/>
              <w:rPr>
                <w:rFonts w:eastAsia="Calibri"/>
                <w:b/>
                <w:bCs/>
                <w:color w:val="231F20"/>
                <w:spacing w:val="-1"/>
                <w:sz w:val="22"/>
                <w:szCs w:val="22"/>
                <w:lang w:eastAsia="en-US"/>
              </w:rPr>
            </w:pPr>
            <w:r w:rsidRPr="00452D62">
              <w:rPr>
                <w:rFonts w:eastAsia="Calibri"/>
                <w:b/>
                <w:bCs/>
                <w:color w:val="231F20"/>
                <w:spacing w:val="-1"/>
                <w:sz w:val="22"/>
                <w:szCs w:val="22"/>
                <w:lang w:eastAsia="en-US"/>
              </w:rPr>
              <w:t>N=1 107</w:t>
            </w:r>
          </w:p>
        </w:tc>
        <w:tc>
          <w:tcPr>
            <w:tcW w:w="2250" w:type="dxa"/>
            <w:shd w:val="clear" w:color="auto" w:fill="auto"/>
          </w:tcPr>
          <w:p w14:paraId="07FC42BF" w14:textId="4E52068B" w:rsidR="00823785" w:rsidRPr="00452D62" w:rsidRDefault="00823785" w:rsidP="006453B9">
            <w:pPr>
              <w:tabs>
                <w:tab w:val="clear" w:pos="567"/>
              </w:tabs>
              <w:suppressAutoHyphens w:val="0"/>
              <w:autoSpaceDE w:val="0"/>
              <w:autoSpaceDN w:val="0"/>
              <w:adjustRightInd w:val="0"/>
              <w:spacing w:line="240" w:lineRule="auto"/>
              <w:rPr>
                <w:rFonts w:eastAsia="Calibri"/>
                <w:b/>
                <w:bCs/>
                <w:color w:val="231F20"/>
                <w:spacing w:val="-1"/>
                <w:sz w:val="22"/>
                <w:szCs w:val="22"/>
                <w:lang w:eastAsia="en-US"/>
              </w:rPr>
            </w:pPr>
            <w:r w:rsidRPr="00452D62">
              <w:rPr>
                <w:rFonts w:eastAsia="Calibri"/>
                <w:b/>
                <w:bCs/>
                <w:color w:val="231F20"/>
                <w:spacing w:val="-1"/>
                <w:sz w:val="22"/>
                <w:szCs w:val="22"/>
                <w:lang w:eastAsia="en-US"/>
              </w:rPr>
              <w:t>Rivaroksabanas 10 mg vieną kartą per parą</w:t>
            </w:r>
          </w:p>
          <w:p w14:paraId="73993C60" w14:textId="77777777" w:rsidR="00823785" w:rsidRPr="00452D62" w:rsidRDefault="00823785" w:rsidP="006453B9">
            <w:pPr>
              <w:tabs>
                <w:tab w:val="clear" w:pos="567"/>
              </w:tabs>
              <w:suppressAutoHyphens w:val="0"/>
              <w:autoSpaceDE w:val="0"/>
              <w:autoSpaceDN w:val="0"/>
              <w:adjustRightInd w:val="0"/>
              <w:spacing w:line="240" w:lineRule="auto"/>
              <w:rPr>
                <w:rFonts w:eastAsia="Calibri"/>
                <w:b/>
                <w:bCs/>
                <w:color w:val="231F20"/>
                <w:spacing w:val="-1"/>
                <w:sz w:val="22"/>
                <w:szCs w:val="22"/>
                <w:lang w:eastAsia="en-US"/>
              </w:rPr>
            </w:pPr>
            <w:r w:rsidRPr="00452D62">
              <w:rPr>
                <w:rFonts w:eastAsia="Calibri"/>
                <w:b/>
                <w:bCs/>
                <w:color w:val="231F20"/>
                <w:spacing w:val="-1"/>
                <w:sz w:val="22"/>
                <w:szCs w:val="22"/>
                <w:lang w:eastAsia="en-US"/>
              </w:rPr>
              <w:t>N=1 127</w:t>
            </w:r>
          </w:p>
        </w:tc>
        <w:tc>
          <w:tcPr>
            <w:tcW w:w="2129" w:type="dxa"/>
            <w:shd w:val="clear" w:color="auto" w:fill="auto"/>
          </w:tcPr>
          <w:p w14:paraId="58AE2868" w14:textId="77777777" w:rsidR="00823785" w:rsidRPr="00452D62" w:rsidRDefault="00823785" w:rsidP="006453B9">
            <w:pPr>
              <w:tabs>
                <w:tab w:val="clear" w:pos="567"/>
              </w:tabs>
              <w:suppressAutoHyphens w:val="0"/>
              <w:autoSpaceDE w:val="0"/>
              <w:autoSpaceDN w:val="0"/>
              <w:adjustRightInd w:val="0"/>
              <w:spacing w:line="240" w:lineRule="auto"/>
              <w:rPr>
                <w:rFonts w:eastAsia="Calibri"/>
                <w:b/>
                <w:bCs/>
                <w:color w:val="231F20"/>
                <w:spacing w:val="-1"/>
                <w:sz w:val="22"/>
                <w:szCs w:val="22"/>
                <w:lang w:eastAsia="en-US"/>
              </w:rPr>
            </w:pPr>
            <w:r w:rsidRPr="00452D62">
              <w:rPr>
                <w:rFonts w:eastAsia="Calibri"/>
                <w:b/>
                <w:bCs/>
                <w:color w:val="231F20"/>
                <w:spacing w:val="-1"/>
                <w:sz w:val="22"/>
                <w:szCs w:val="22"/>
                <w:lang w:eastAsia="en-US"/>
              </w:rPr>
              <w:t>100 mg ASR vieną kartą per parą</w:t>
            </w:r>
          </w:p>
          <w:p w14:paraId="2C510F99"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b/>
                <w:bCs/>
                <w:color w:val="231F20"/>
                <w:spacing w:val="-1"/>
                <w:sz w:val="22"/>
                <w:szCs w:val="22"/>
                <w:lang w:eastAsia="en-US"/>
              </w:rPr>
            </w:pPr>
            <w:r w:rsidRPr="00452D62">
              <w:rPr>
                <w:rFonts w:eastAsia="Calibri"/>
                <w:b/>
                <w:bCs/>
                <w:color w:val="231F20"/>
                <w:spacing w:val="-1"/>
                <w:sz w:val="22"/>
                <w:szCs w:val="22"/>
                <w:lang w:eastAsia="en-US"/>
              </w:rPr>
              <w:t>N=1 131</w:t>
            </w:r>
          </w:p>
        </w:tc>
      </w:tr>
      <w:tr w:rsidR="00823785" w:rsidRPr="00452D62" w14:paraId="7C779832" w14:textId="77777777" w:rsidTr="006453B9">
        <w:tc>
          <w:tcPr>
            <w:tcW w:w="2189" w:type="dxa"/>
            <w:shd w:val="clear" w:color="auto" w:fill="auto"/>
          </w:tcPr>
          <w:p w14:paraId="1ADCB8BA"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452D62">
              <w:rPr>
                <w:rFonts w:eastAsia="Calibri"/>
                <w:color w:val="231F20"/>
                <w:spacing w:val="-1"/>
                <w:sz w:val="22"/>
                <w:szCs w:val="22"/>
                <w:lang w:eastAsia="en-US"/>
              </w:rPr>
              <w:t xml:space="preserve">Gydymo </w:t>
            </w:r>
            <w:r w:rsidRPr="000877E9">
              <w:rPr>
                <w:rFonts w:eastAsia="Calibri"/>
                <w:color w:val="231F20"/>
                <w:spacing w:val="-1"/>
                <w:sz w:val="22"/>
                <w:szCs w:val="22"/>
                <w:lang w:eastAsia="en-US"/>
              </w:rPr>
              <w:t>trukmės mediana [tarpkvartilinės ribos]</w:t>
            </w:r>
          </w:p>
        </w:tc>
        <w:tc>
          <w:tcPr>
            <w:tcW w:w="2329" w:type="dxa"/>
            <w:shd w:val="clear" w:color="auto" w:fill="auto"/>
          </w:tcPr>
          <w:p w14:paraId="20A78A98"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349 [189</w:t>
            </w:r>
            <w:r w:rsidRPr="00452D62">
              <w:rPr>
                <w:rFonts w:eastAsia="Calibri"/>
                <w:color w:val="231F20"/>
                <w:spacing w:val="-1"/>
                <w:sz w:val="22"/>
                <w:szCs w:val="22"/>
                <w:lang w:eastAsia="en-US"/>
              </w:rPr>
              <w:noBreakHyphen/>
              <w:t>362] dienos</w:t>
            </w:r>
          </w:p>
        </w:tc>
        <w:tc>
          <w:tcPr>
            <w:tcW w:w="2250" w:type="dxa"/>
            <w:shd w:val="clear" w:color="auto" w:fill="auto"/>
          </w:tcPr>
          <w:p w14:paraId="567CA695"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353 [190</w:t>
            </w:r>
            <w:r w:rsidRPr="00452D62">
              <w:rPr>
                <w:rFonts w:eastAsia="Calibri"/>
                <w:color w:val="231F20"/>
                <w:spacing w:val="-1"/>
                <w:sz w:val="22"/>
                <w:szCs w:val="22"/>
                <w:lang w:eastAsia="en-US"/>
              </w:rPr>
              <w:noBreakHyphen/>
              <w:t>362] dienos</w:t>
            </w:r>
          </w:p>
        </w:tc>
        <w:tc>
          <w:tcPr>
            <w:tcW w:w="2129" w:type="dxa"/>
            <w:shd w:val="clear" w:color="auto" w:fill="auto"/>
          </w:tcPr>
          <w:p w14:paraId="070F9945"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452D62">
              <w:rPr>
                <w:rFonts w:eastAsia="Calibri"/>
                <w:color w:val="231F20"/>
                <w:spacing w:val="-1"/>
                <w:sz w:val="22"/>
                <w:szCs w:val="22"/>
                <w:lang w:eastAsia="en-US"/>
              </w:rPr>
              <w:t>350 [186</w:t>
            </w:r>
            <w:r w:rsidRPr="00452D62">
              <w:rPr>
                <w:rFonts w:eastAsia="Calibri"/>
                <w:color w:val="231F20"/>
                <w:spacing w:val="-1"/>
                <w:sz w:val="22"/>
                <w:szCs w:val="22"/>
                <w:lang w:eastAsia="en-US"/>
              </w:rPr>
              <w:noBreakHyphen/>
              <w:t>362] dienos</w:t>
            </w:r>
          </w:p>
        </w:tc>
      </w:tr>
      <w:tr w:rsidR="00823785" w:rsidRPr="00452D62" w14:paraId="1FF2BADC" w14:textId="77777777" w:rsidTr="006453B9">
        <w:tc>
          <w:tcPr>
            <w:tcW w:w="2189" w:type="dxa"/>
            <w:shd w:val="clear" w:color="auto" w:fill="auto"/>
          </w:tcPr>
          <w:p w14:paraId="1316B5D8"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Simptominė pasikartojanti VTE</w:t>
            </w:r>
          </w:p>
        </w:tc>
        <w:tc>
          <w:tcPr>
            <w:tcW w:w="2329" w:type="dxa"/>
            <w:shd w:val="clear" w:color="auto" w:fill="auto"/>
          </w:tcPr>
          <w:p w14:paraId="694AE6B9"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17 </w:t>
            </w:r>
          </w:p>
          <w:p w14:paraId="79823D71" w14:textId="17C7FB6E"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(1,5 %)*</w:t>
            </w:r>
          </w:p>
        </w:tc>
        <w:tc>
          <w:tcPr>
            <w:tcW w:w="2250" w:type="dxa"/>
            <w:shd w:val="clear" w:color="auto" w:fill="auto"/>
          </w:tcPr>
          <w:p w14:paraId="147C0A05"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13 </w:t>
            </w:r>
          </w:p>
          <w:p w14:paraId="75991FEE" w14:textId="6E05798F"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(1,2 %)**</w:t>
            </w:r>
          </w:p>
        </w:tc>
        <w:tc>
          <w:tcPr>
            <w:tcW w:w="2129" w:type="dxa"/>
            <w:shd w:val="clear" w:color="auto" w:fill="auto"/>
          </w:tcPr>
          <w:p w14:paraId="0E6ADD8F"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50 </w:t>
            </w:r>
          </w:p>
          <w:p w14:paraId="34C2603C" w14:textId="6315518B"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(4,4 %)</w:t>
            </w:r>
          </w:p>
        </w:tc>
      </w:tr>
      <w:tr w:rsidR="00823785" w:rsidRPr="00452D62" w14:paraId="7CE76350" w14:textId="77777777" w:rsidTr="006453B9">
        <w:tc>
          <w:tcPr>
            <w:tcW w:w="2189" w:type="dxa"/>
            <w:shd w:val="clear" w:color="auto" w:fill="auto"/>
          </w:tcPr>
          <w:p w14:paraId="3DF75453" w14:textId="77777777" w:rsidR="00823785" w:rsidRPr="00452D62" w:rsidRDefault="00823785" w:rsidP="006453B9">
            <w:pPr>
              <w:tabs>
                <w:tab w:val="clear" w:pos="567"/>
              </w:tabs>
              <w:suppressAutoHyphens w:val="0"/>
              <w:autoSpaceDE w:val="0"/>
              <w:autoSpaceDN w:val="0"/>
              <w:adjustRightInd w:val="0"/>
              <w:spacing w:line="240" w:lineRule="auto"/>
              <w:ind w:left="284"/>
              <w:jc w:val="both"/>
              <w:rPr>
                <w:rFonts w:eastAsia="Calibri"/>
                <w:color w:val="231F20"/>
                <w:spacing w:val="-1"/>
                <w:sz w:val="22"/>
                <w:szCs w:val="22"/>
                <w:lang w:eastAsia="en-US"/>
              </w:rPr>
            </w:pPr>
            <w:r w:rsidRPr="00452D62">
              <w:rPr>
                <w:rFonts w:eastAsia="Calibri"/>
                <w:color w:val="231F20"/>
                <w:spacing w:val="-1"/>
                <w:sz w:val="22"/>
                <w:szCs w:val="22"/>
                <w:lang w:eastAsia="en-US"/>
              </w:rPr>
              <w:t>Simptominė pasikartojanti GVT</w:t>
            </w:r>
          </w:p>
        </w:tc>
        <w:tc>
          <w:tcPr>
            <w:tcW w:w="2329" w:type="dxa"/>
            <w:shd w:val="clear" w:color="auto" w:fill="auto"/>
          </w:tcPr>
          <w:p w14:paraId="546ADC27"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6 </w:t>
            </w:r>
          </w:p>
          <w:p w14:paraId="228CA281" w14:textId="43E61F3B"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(0,5 %)</w:t>
            </w:r>
          </w:p>
        </w:tc>
        <w:tc>
          <w:tcPr>
            <w:tcW w:w="2250" w:type="dxa"/>
            <w:shd w:val="clear" w:color="auto" w:fill="auto"/>
          </w:tcPr>
          <w:p w14:paraId="0842FCA4"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6 </w:t>
            </w:r>
          </w:p>
          <w:p w14:paraId="0CE2E7E3" w14:textId="6E48FD30"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(0,5 %)</w:t>
            </w:r>
          </w:p>
        </w:tc>
        <w:tc>
          <w:tcPr>
            <w:tcW w:w="2129" w:type="dxa"/>
            <w:shd w:val="clear" w:color="auto" w:fill="auto"/>
          </w:tcPr>
          <w:p w14:paraId="77E6ADCD"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19 </w:t>
            </w:r>
          </w:p>
          <w:p w14:paraId="67A69678" w14:textId="012603B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(1,7 %)</w:t>
            </w:r>
          </w:p>
        </w:tc>
      </w:tr>
      <w:tr w:rsidR="00823785" w:rsidRPr="00452D62" w14:paraId="2C07E192" w14:textId="77777777" w:rsidTr="006453B9">
        <w:tc>
          <w:tcPr>
            <w:tcW w:w="2189" w:type="dxa"/>
            <w:shd w:val="clear" w:color="auto" w:fill="auto"/>
          </w:tcPr>
          <w:tbl>
            <w:tblPr>
              <w:tblW w:w="0" w:type="auto"/>
              <w:tblBorders>
                <w:top w:val="nil"/>
                <w:left w:val="nil"/>
                <w:bottom w:val="nil"/>
                <w:right w:val="nil"/>
              </w:tblBorders>
              <w:tblLook w:val="0000" w:firstRow="0" w:lastRow="0" w:firstColumn="0" w:lastColumn="0" w:noHBand="0" w:noVBand="0"/>
            </w:tblPr>
            <w:tblGrid>
              <w:gridCol w:w="1973"/>
            </w:tblGrid>
            <w:tr w:rsidR="00823785" w:rsidRPr="00452D62" w14:paraId="6D2EB2FF" w14:textId="77777777" w:rsidTr="006453B9">
              <w:trPr>
                <w:trHeight w:val="271"/>
              </w:trPr>
              <w:tc>
                <w:tcPr>
                  <w:tcW w:w="0" w:type="auto"/>
                </w:tcPr>
                <w:p w14:paraId="53D9FF94" w14:textId="77777777" w:rsidR="00823785" w:rsidRPr="00452D62" w:rsidRDefault="00823785" w:rsidP="006453B9">
                  <w:pPr>
                    <w:tabs>
                      <w:tab w:val="clear" w:pos="567"/>
                    </w:tabs>
                    <w:suppressAutoHyphens w:val="0"/>
                    <w:autoSpaceDE w:val="0"/>
                    <w:autoSpaceDN w:val="0"/>
                    <w:adjustRightInd w:val="0"/>
                    <w:spacing w:line="240" w:lineRule="auto"/>
                    <w:ind w:left="227"/>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Simptominė pasikartojanti GVT </w:t>
                  </w:r>
                </w:p>
              </w:tc>
            </w:tr>
          </w:tbl>
          <w:p w14:paraId="3395BF7F"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p>
        </w:tc>
        <w:tc>
          <w:tcPr>
            <w:tcW w:w="2329" w:type="dxa"/>
            <w:shd w:val="clear" w:color="auto" w:fill="auto"/>
          </w:tcPr>
          <w:p w14:paraId="12E0437B"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9 </w:t>
            </w:r>
          </w:p>
          <w:p w14:paraId="40897F14" w14:textId="2A693EE6"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(0,8 %)</w:t>
            </w:r>
          </w:p>
        </w:tc>
        <w:tc>
          <w:tcPr>
            <w:tcW w:w="2250" w:type="dxa"/>
            <w:shd w:val="clear" w:color="auto" w:fill="auto"/>
          </w:tcPr>
          <w:p w14:paraId="75DD0159"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8 </w:t>
            </w:r>
          </w:p>
          <w:p w14:paraId="3A89A06E" w14:textId="229ED8F8"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(0,7 %)</w:t>
            </w:r>
          </w:p>
        </w:tc>
        <w:tc>
          <w:tcPr>
            <w:tcW w:w="2129" w:type="dxa"/>
            <w:shd w:val="clear" w:color="auto" w:fill="auto"/>
          </w:tcPr>
          <w:p w14:paraId="4CDC616B"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30 </w:t>
            </w:r>
          </w:p>
          <w:p w14:paraId="3D922E52" w14:textId="42F67826"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(2,7 %)</w:t>
            </w:r>
          </w:p>
        </w:tc>
      </w:tr>
      <w:tr w:rsidR="00823785" w:rsidRPr="00452D62" w14:paraId="7D0AA13F" w14:textId="77777777" w:rsidTr="006453B9">
        <w:tc>
          <w:tcPr>
            <w:tcW w:w="2189" w:type="dxa"/>
            <w:shd w:val="clear" w:color="auto" w:fill="auto"/>
          </w:tcPr>
          <w:p w14:paraId="45657974" w14:textId="77777777" w:rsidR="00823785" w:rsidRPr="00452D62" w:rsidRDefault="00823785" w:rsidP="006453B9">
            <w:pPr>
              <w:tabs>
                <w:tab w:val="clear" w:pos="567"/>
              </w:tabs>
              <w:suppressAutoHyphens w:val="0"/>
              <w:autoSpaceDE w:val="0"/>
              <w:autoSpaceDN w:val="0"/>
              <w:adjustRightInd w:val="0"/>
              <w:spacing w:line="240" w:lineRule="auto"/>
              <w:ind w:left="284"/>
              <w:rPr>
                <w:rFonts w:eastAsia="Calibri"/>
                <w:color w:val="231F20"/>
                <w:spacing w:val="-1"/>
                <w:sz w:val="22"/>
                <w:szCs w:val="22"/>
                <w:lang w:eastAsia="en-US"/>
              </w:rPr>
            </w:pPr>
            <w:r w:rsidRPr="00452D62">
              <w:rPr>
                <w:color w:val="231F20"/>
                <w:spacing w:val="-1"/>
                <w:sz w:val="22"/>
                <w:szCs w:val="22"/>
                <w:lang w:eastAsia="en-US"/>
              </w:rPr>
              <w:t>Mirtina PE/mirtis, kai negalima atmesti PE kaip galimos priežasties</w:t>
            </w:r>
          </w:p>
        </w:tc>
        <w:tc>
          <w:tcPr>
            <w:tcW w:w="2329" w:type="dxa"/>
            <w:shd w:val="clear" w:color="auto" w:fill="auto"/>
          </w:tcPr>
          <w:p w14:paraId="60F121B1"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2 </w:t>
            </w:r>
          </w:p>
          <w:p w14:paraId="1DA6793E" w14:textId="046C2808"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(0,2 %)</w:t>
            </w:r>
          </w:p>
        </w:tc>
        <w:tc>
          <w:tcPr>
            <w:tcW w:w="2250" w:type="dxa"/>
            <w:shd w:val="clear" w:color="auto" w:fill="auto"/>
          </w:tcPr>
          <w:p w14:paraId="1685EF41"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0</w:t>
            </w:r>
          </w:p>
          <w:p w14:paraId="2B385F24" w14:textId="44486B03"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(0.0 %)</w:t>
            </w:r>
          </w:p>
        </w:tc>
        <w:tc>
          <w:tcPr>
            <w:tcW w:w="2129" w:type="dxa"/>
            <w:shd w:val="clear" w:color="auto" w:fill="auto"/>
          </w:tcPr>
          <w:p w14:paraId="2CA6A958"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2 </w:t>
            </w:r>
          </w:p>
          <w:p w14:paraId="10BB5077" w14:textId="293E1D18"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(0,2 %_)</w:t>
            </w:r>
          </w:p>
        </w:tc>
      </w:tr>
      <w:tr w:rsidR="00823785" w:rsidRPr="00452D62" w14:paraId="5DD8DB35" w14:textId="77777777" w:rsidTr="006453B9">
        <w:tc>
          <w:tcPr>
            <w:tcW w:w="2189" w:type="dxa"/>
            <w:shd w:val="clear" w:color="auto" w:fill="auto"/>
          </w:tcPr>
          <w:p w14:paraId="1BD8DAAF"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452D62">
              <w:rPr>
                <w:rFonts w:eastAsia="Calibri"/>
                <w:color w:val="231F20"/>
                <w:spacing w:val="-1"/>
                <w:sz w:val="22"/>
                <w:szCs w:val="22"/>
                <w:lang w:eastAsia="en-US"/>
              </w:rPr>
              <w:t>Simptominė pasikartojanti VTE, MI, insultas arba ne CNS sisteminė embolija</w:t>
            </w:r>
          </w:p>
        </w:tc>
        <w:tc>
          <w:tcPr>
            <w:tcW w:w="2329" w:type="dxa"/>
            <w:shd w:val="clear" w:color="auto" w:fill="auto"/>
          </w:tcPr>
          <w:p w14:paraId="694A3B85"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19 </w:t>
            </w:r>
          </w:p>
          <w:p w14:paraId="5FDA5640" w14:textId="4EEEF4BD"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(1,7 %)</w:t>
            </w:r>
          </w:p>
        </w:tc>
        <w:tc>
          <w:tcPr>
            <w:tcW w:w="2250" w:type="dxa"/>
            <w:shd w:val="clear" w:color="auto" w:fill="auto"/>
          </w:tcPr>
          <w:p w14:paraId="562BB588"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18 </w:t>
            </w:r>
          </w:p>
          <w:p w14:paraId="65E00BE7" w14:textId="402FDA64"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(1,6 %)</w:t>
            </w:r>
          </w:p>
        </w:tc>
        <w:tc>
          <w:tcPr>
            <w:tcW w:w="2129" w:type="dxa"/>
            <w:shd w:val="clear" w:color="auto" w:fill="auto"/>
          </w:tcPr>
          <w:p w14:paraId="5F359387"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56 </w:t>
            </w:r>
          </w:p>
          <w:p w14:paraId="2569907D" w14:textId="06D9FF1B"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(5,0 %)</w:t>
            </w:r>
          </w:p>
        </w:tc>
      </w:tr>
      <w:tr w:rsidR="00823785" w:rsidRPr="00452D62" w14:paraId="2780A8C4" w14:textId="77777777" w:rsidTr="006453B9">
        <w:tc>
          <w:tcPr>
            <w:tcW w:w="2189" w:type="dxa"/>
            <w:shd w:val="clear" w:color="auto" w:fill="auto"/>
          </w:tcPr>
          <w:p w14:paraId="635E6B40"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452D62">
              <w:rPr>
                <w:rFonts w:eastAsia="Calibri"/>
                <w:color w:val="231F20"/>
                <w:spacing w:val="-1"/>
                <w:sz w:val="22"/>
                <w:szCs w:val="22"/>
                <w:lang w:eastAsia="en-US"/>
              </w:rPr>
              <w:t>Didžiojo kraujavimo reiškiniai</w:t>
            </w:r>
          </w:p>
        </w:tc>
        <w:tc>
          <w:tcPr>
            <w:tcW w:w="2329" w:type="dxa"/>
            <w:shd w:val="clear" w:color="auto" w:fill="auto"/>
          </w:tcPr>
          <w:p w14:paraId="38455EC7"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6 </w:t>
            </w:r>
          </w:p>
          <w:p w14:paraId="5851BAAE" w14:textId="741C5AF0"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(0,5 %)</w:t>
            </w:r>
          </w:p>
        </w:tc>
        <w:tc>
          <w:tcPr>
            <w:tcW w:w="2250" w:type="dxa"/>
            <w:shd w:val="clear" w:color="auto" w:fill="auto"/>
          </w:tcPr>
          <w:p w14:paraId="52737C80"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5 </w:t>
            </w:r>
          </w:p>
          <w:p w14:paraId="337C2BCB" w14:textId="7ED9A8DD"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(0,4 %)</w:t>
            </w:r>
          </w:p>
        </w:tc>
        <w:tc>
          <w:tcPr>
            <w:tcW w:w="2129" w:type="dxa"/>
            <w:shd w:val="clear" w:color="auto" w:fill="auto"/>
          </w:tcPr>
          <w:p w14:paraId="3DA8D6CC"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3 </w:t>
            </w:r>
          </w:p>
          <w:p w14:paraId="114537F7" w14:textId="7F3013E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(0,3 %)</w:t>
            </w:r>
          </w:p>
        </w:tc>
      </w:tr>
      <w:tr w:rsidR="00823785" w:rsidRPr="00452D62" w14:paraId="3E0B753B" w14:textId="77777777" w:rsidTr="006453B9">
        <w:tc>
          <w:tcPr>
            <w:tcW w:w="2189" w:type="dxa"/>
            <w:shd w:val="clear" w:color="auto" w:fill="auto"/>
          </w:tcPr>
          <w:p w14:paraId="0DD73D39" w14:textId="77777777" w:rsidR="00823785" w:rsidRPr="00452D62" w:rsidRDefault="00823785" w:rsidP="006453B9">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452D62">
              <w:rPr>
                <w:rFonts w:eastAsia="Calibri"/>
                <w:color w:val="231F20"/>
                <w:spacing w:val="-1"/>
                <w:sz w:val="22"/>
                <w:szCs w:val="22"/>
                <w:lang w:eastAsia="en-US"/>
              </w:rPr>
              <w:t>Kliniškai reikšmingas ne didysis kraujavimas</w:t>
            </w:r>
          </w:p>
        </w:tc>
        <w:tc>
          <w:tcPr>
            <w:tcW w:w="2329" w:type="dxa"/>
            <w:shd w:val="clear" w:color="auto" w:fill="auto"/>
          </w:tcPr>
          <w:p w14:paraId="15547B44"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30 </w:t>
            </w:r>
          </w:p>
          <w:p w14:paraId="6509A516" w14:textId="72787B3A"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(2,7 %)</w:t>
            </w:r>
          </w:p>
        </w:tc>
        <w:tc>
          <w:tcPr>
            <w:tcW w:w="2250" w:type="dxa"/>
            <w:shd w:val="clear" w:color="auto" w:fill="auto"/>
          </w:tcPr>
          <w:p w14:paraId="3E0F1E79"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22 </w:t>
            </w:r>
          </w:p>
          <w:p w14:paraId="6510EDDC" w14:textId="131C5915"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(2,0 %)</w:t>
            </w:r>
          </w:p>
        </w:tc>
        <w:tc>
          <w:tcPr>
            <w:tcW w:w="2129" w:type="dxa"/>
            <w:shd w:val="clear" w:color="auto" w:fill="auto"/>
          </w:tcPr>
          <w:p w14:paraId="5581EBF5"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20 </w:t>
            </w:r>
          </w:p>
          <w:p w14:paraId="74460A71" w14:textId="41923B98"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(1,8 %)</w:t>
            </w:r>
          </w:p>
        </w:tc>
      </w:tr>
      <w:tr w:rsidR="00823785" w:rsidRPr="00452D62" w14:paraId="6F7EDB7C" w14:textId="77777777" w:rsidTr="006453B9">
        <w:tc>
          <w:tcPr>
            <w:tcW w:w="2189" w:type="dxa"/>
            <w:shd w:val="clear" w:color="auto" w:fill="auto"/>
          </w:tcPr>
          <w:tbl>
            <w:tblPr>
              <w:tblW w:w="0" w:type="auto"/>
              <w:tblBorders>
                <w:top w:val="nil"/>
                <w:left w:val="nil"/>
                <w:bottom w:val="nil"/>
                <w:right w:val="nil"/>
              </w:tblBorders>
              <w:tblLook w:val="0000" w:firstRow="0" w:lastRow="0" w:firstColumn="0" w:lastColumn="0" w:noHBand="0" w:noVBand="0"/>
            </w:tblPr>
            <w:tblGrid>
              <w:gridCol w:w="1973"/>
            </w:tblGrid>
            <w:tr w:rsidR="00823785" w:rsidRPr="00452D62" w14:paraId="20C9C2AD" w14:textId="77777777" w:rsidTr="006453B9">
              <w:trPr>
                <w:trHeight w:val="524"/>
              </w:trPr>
              <w:tc>
                <w:tcPr>
                  <w:tcW w:w="0" w:type="auto"/>
                </w:tcPr>
                <w:p w14:paraId="589D2CBA" w14:textId="77777777" w:rsidR="00823785" w:rsidRPr="00452D62" w:rsidRDefault="00823785" w:rsidP="006453B9">
                  <w:pPr>
                    <w:pStyle w:val="Default"/>
                    <w:spacing w:before="60" w:after="60"/>
                    <w:ind w:left="-108"/>
                    <w:rPr>
                      <w:sz w:val="22"/>
                      <w:szCs w:val="22"/>
                    </w:rPr>
                  </w:pPr>
                  <w:r w:rsidRPr="00452D62">
                    <w:rPr>
                      <w:sz w:val="22"/>
                      <w:szCs w:val="22"/>
                    </w:rPr>
                    <w:t xml:space="preserve">Simptominė pasikartojanti VTE arba didysis kraujavimas (suminė klinikinė nauda) </w:t>
                  </w:r>
                </w:p>
              </w:tc>
            </w:tr>
          </w:tbl>
          <w:p w14:paraId="773E17EC"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p>
        </w:tc>
        <w:tc>
          <w:tcPr>
            <w:tcW w:w="2329" w:type="dxa"/>
            <w:shd w:val="clear" w:color="auto" w:fill="auto"/>
          </w:tcPr>
          <w:p w14:paraId="2428B7F7"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23 </w:t>
            </w:r>
          </w:p>
          <w:p w14:paraId="492642B1" w14:textId="2204FC34"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(2,1 %)</w:t>
            </w:r>
            <w:r w:rsidRPr="00452D62">
              <w:rPr>
                <w:rFonts w:eastAsia="Calibri"/>
                <w:color w:val="231F20"/>
                <w:spacing w:val="-1"/>
                <w:sz w:val="22"/>
                <w:szCs w:val="22"/>
                <w:vertAlign w:val="superscript"/>
                <w:lang w:eastAsia="en-US"/>
              </w:rPr>
              <w:t>+</w:t>
            </w:r>
          </w:p>
        </w:tc>
        <w:tc>
          <w:tcPr>
            <w:tcW w:w="2250" w:type="dxa"/>
            <w:shd w:val="clear" w:color="auto" w:fill="auto"/>
          </w:tcPr>
          <w:p w14:paraId="5BD95079"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17 </w:t>
            </w:r>
          </w:p>
          <w:p w14:paraId="3AF1196F" w14:textId="344C2365"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(1,5 %)</w:t>
            </w:r>
            <w:r w:rsidRPr="00452D62">
              <w:rPr>
                <w:rFonts w:eastAsia="Calibri"/>
                <w:color w:val="231F20"/>
                <w:spacing w:val="-1"/>
                <w:sz w:val="22"/>
                <w:szCs w:val="22"/>
                <w:vertAlign w:val="superscript"/>
                <w:lang w:eastAsia="en-US"/>
              </w:rPr>
              <w:t>++</w:t>
            </w:r>
          </w:p>
        </w:tc>
        <w:tc>
          <w:tcPr>
            <w:tcW w:w="2129" w:type="dxa"/>
            <w:shd w:val="clear" w:color="auto" w:fill="auto"/>
          </w:tcPr>
          <w:p w14:paraId="4E698B3E" w14:textId="77777777"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 xml:space="preserve">53 </w:t>
            </w:r>
          </w:p>
          <w:p w14:paraId="420FB426" w14:textId="67F69EA0" w:rsidR="00823785" w:rsidRPr="00452D62"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452D62">
              <w:rPr>
                <w:rFonts w:eastAsia="Calibri"/>
                <w:color w:val="231F20"/>
                <w:spacing w:val="-1"/>
                <w:sz w:val="22"/>
                <w:szCs w:val="22"/>
                <w:lang w:eastAsia="en-US"/>
              </w:rPr>
              <w:t>(4,7 %)</w:t>
            </w:r>
          </w:p>
        </w:tc>
      </w:tr>
    </w:tbl>
    <w:p w14:paraId="70B72166" w14:textId="77777777" w:rsidR="00823785" w:rsidRPr="00452D62" w:rsidRDefault="00823785" w:rsidP="00823785">
      <w:pPr>
        <w:spacing w:before="120"/>
        <w:ind w:left="142" w:hanging="142"/>
        <w:rPr>
          <w:sz w:val="22"/>
          <w:szCs w:val="22"/>
        </w:rPr>
      </w:pPr>
      <w:r w:rsidRPr="00452D62">
        <w:rPr>
          <w:sz w:val="22"/>
          <w:szCs w:val="22"/>
        </w:rPr>
        <w:t>* p &lt; 0,001 (pranašumas), vartojant 20 mg rivaroksabano vieną kartą per parą, palyginti su ASR 100 mg kartą per parą; RS=0,34 (0,20</w:t>
      </w:r>
      <w:r w:rsidRPr="00452D62">
        <w:rPr>
          <w:sz w:val="22"/>
          <w:szCs w:val="22"/>
        </w:rPr>
        <w:noBreakHyphen/>
        <w:t>0,59).</w:t>
      </w:r>
    </w:p>
    <w:p w14:paraId="3C8941E9" w14:textId="77777777" w:rsidR="00823785" w:rsidRPr="00452D62" w:rsidRDefault="00823785" w:rsidP="00823785">
      <w:pPr>
        <w:ind w:left="142" w:hanging="142"/>
        <w:rPr>
          <w:sz w:val="22"/>
          <w:szCs w:val="22"/>
        </w:rPr>
      </w:pPr>
      <w:r w:rsidRPr="00452D62">
        <w:rPr>
          <w:sz w:val="22"/>
          <w:szCs w:val="22"/>
        </w:rPr>
        <w:t>** p &lt; 0,001 (pranašumas), vartojant 10 mg rivaroksabano vieną kartą per parą, palyginti su ASR 100 mg kartą per parą; RS=0,26 (0,14-0,47).</w:t>
      </w:r>
    </w:p>
    <w:p w14:paraId="78B26B39" w14:textId="77777777" w:rsidR="00823785" w:rsidRPr="00452D62" w:rsidRDefault="00823785" w:rsidP="00823785">
      <w:pPr>
        <w:ind w:left="142" w:hanging="142"/>
        <w:rPr>
          <w:sz w:val="22"/>
          <w:szCs w:val="22"/>
        </w:rPr>
      </w:pPr>
      <w:r w:rsidRPr="00452D62">
        <w:rPr>
          <w:sz w:val="22"/>
          <w:szCs w:val="22"/>
          <w:vertAlign w:val="superscript"/>
        </w:rPr>
        <w:t>+</w:t>
      </w:r>
      <w:r w:rsidRPr="00452D62">
        <w:rPr>
          <w:sz w:val="22"/>
          <w:szCs w:val="22"/>
        </w:rPr>
        <w:t xml:space="preserve"> Rivaroksabanas 20 mg vieną kartą per parą, palyginti su ASR 100 mg vieną kartą per parą; RS=0,44 (0,27</w:t>
      </w:r>
      <w:r w:rsidRPr="00452D62">
        <w:rPr>
          <w:sz w:val="22"/>
          <w:szCs w:val="22"/>
        </w:rPr>
        <w:noBreakHyphen/>
        <w:t>0,71), p=0,0009 (nominali reikšmė).</w:t>
      </w:r>
    </w:p>
    <w:p w14:paraId="6FC852E7" w14:textId="77777777" w:rsidR="00823785" w:rsidRPr="00452D62" w:rsidRDefault="00823785" w:rsidP="00823785">
      <w:pPr>
        <w:ind w:left="142" w:hanging="142"/>
        <w:rPr>
          <w:sz w:val="22"/>
          <w:szCs w:val="22"/>
        </w:rPr>
      </w:pPr>
      <w:r w:rsidRPr="00452D62">
        <w:rPr>
          <w:sz w:val="22"/>
          <w:szCs w:val="22"/>
          <w:vertAlign w:val="superscript"/>
        </w:rPr>
        <w:t>++</w:t>
      </w:r>
      <w:r w:rsidRPr="00452D62">
        <w:rPr>
          <w:sz w:val="22"/>
          <w:szCs w:val="22"/>
        </w:rPr>
        <w:t xml:space="preserve"> Rivaroksabano 10 mg vieną kartą per parą, palyginti su ASR 100 mg vieną kartą per parą; RS=0,32 (0,18</w:t>
      </w:r>
      <w:r w:rsidRPr="00452D62">
        <w:rPr>
          <w:sz w:val="22"/>
          <w:szCs w:val="22"/>
        </w:rPr>
        <w:noBreakHyphen/>
        <w:t>0,55), p &lt; 0,0001 (nominali reikšmė).</w:t>
      </w:r>
    </w:p>
    <w:p w14:paraId="73216904" w14:textId="77777777" w:rsidR="00823785" w:rsidRPr="00452D62" w:rsidRDefault="00823785" w:rsidP="00823785">
      <w:pPr>
        <w:rPr>
          <w:sz w:val="22"/>
          <w:szCs w:val="22"/>
        </w:rPr>
      </w:pPr>
    </w:p>
    <w:p w14:paraId="63C6BD74" w14:textId="4D6C45EA" w:rsidR="00823785" w:rsidRPr="00452D62" w:rsidRDefault="00823785" w:rsidP="00823785">
      <w:pPr>
        <w:rPr>
          <w:sz w:val="22"/>
          <w:szCs w:val="22"/>
        </w:rPr>
      </w:pPr>
      <w:r w:rsidRPr="00452D62">
        <w:rPr>
          <w:sz w:val="22"/>
          <w:szCs w:val="22"/>
        </w:rPr>
        <w:t xml:space="preserve">Papildant III fazės </w:t>
      </w:r>
      <w:r w:rsidRPr="00452D62">
        <w:rPr>
          <w:i/>
          <w:sz w:val="22"/>
          <w:szCs w:val="22"/>
        </w:rPr>
        <w:t>EINSTEIN</w:t>
      </w:r>
      <w:r w:rsidRPr="00452D62">
        <w:rPr>
          <w:sz w:val="22"/>
          <w:szCs w:val="22"/>
        </w:rPr>
        <w:t xml:space="preserve"> programą, buvo atliktas perspektyvinis, neintervencinis, atviras kohortos tyrimas (XALIA), kurio metu taikytas centralizuotas baigčių, įskaitant pasikartojančią VTE, didįjį kraujavimą ir mirtį, vertinimas. Į šį ilgalaikio rivaroksabano, palyginti su standartiniu antikoaguliaciniu gydymu, saugumo klinikinėje praktikoje tyrimą buvo įtraukti 5142 pacientai, kuriems pasireiškė ūminė GVT. Didžiojo kraujavimo, pasikartojančios VTE ir mirties nuo bet kokios priežasties dažnis, vartojant rivaroksabaną, buvo atitinkamai 0,7 %, 1,4 % ir 0,5 %. Pradinės pacientų charakteristikos, įskaitant amžių, sirgimą vėžiu ir inkstų funkcijos sutrikimą, skyrėsi. Buvo naudojama iš anksto numatyta paskirstymo pagal polinkio įvertinimo (angl. </w:t>
      </w:r>
      <w:r w:rsidRPr="00452D62">
        <w:rPr>
          <w:i/>
          <w:iCs/>
          <w:sz w:val="22"/>
          <w:szCs w:val="22"/>
        </w:rPr>
        <w:t>propensity score matching</w:t>
      </w:r>
      <w:r w:rsidRPr="00452D62">
        <w:rPr>
          <w:sz w:val="22"/>
          <w:szCs w:val="22"/>
        </w:rPr>
        <w:t>) stratifikuota analizė pradinių pacientų charakteristikų skirtumų koregavimui, tačiau nepaisant to liekamoji paklaida gali turėti įtakos rezultatams. Koreguotas RS, lyginant rivaroksabaną su standartine terapija, buvo 0,77 (95 % PI: 0,40</w:t>
      </w:r>
      <w:r w:rsidRPr="00452D62">
        <w:rPr>
          <w:sz w:val="22"/>
          <w:szCs w:val="22"/>
        </w:rPr>
        <w:noBreakHyphen/>
        <w:t>1,50), 0,91 (95 % PI: 0,54</w:t>
      </w:r>
      <w:r w:rsidRPr="00452D62">
        <w:rPr>
          <w:sz w:val="22"/>
          <w:szCs w:val="22"/>
        </w:rPr>
        <w:noBreakHyphen/>
        <w:t>1,54) ir 0,51 (95 % PI: 0,24</w:t>
      </w:r>
      <w:r w:rsidRPr="00452D62">
        <w:rPr>
          <w:sz w:val="22"/>
          <w:szCs w:val="22"/>
        </w:rPr>
        <w:noBreakHyphen/>
        <w:t>1,07) atitinkamai didžiajam kraujavimui, pasikartojančiai VTE ir mirties dėl bet kokios priežasties atvejams.</w:t>
      </w:r>
    </w:p>
    <w:p w14:paraId="5A5F06D9" w14:textId="77777777" w:rsidR="00823785" w:rsidRPr="00452D62" w:rsidRDefault="00823785" w:rsidP="00823785">
      <w:pPr>
        <w:rPr>
          <w:sz w:val="22"/>
          <w:szCs w:val="22"/>
        </w:rPr>
      </w:pPr>
      <w:r w:rsidRPr="00452D62">
        <w:rPr>
          <w:sz w:val="22"/>
          <w:szCs w:val="22"/>
        </w:rPr>
        <w:t>Šie rezultatai pacientams, stebėtiems klinikinėje praktikoje, atitinka šiai indikacijai nustatytus saugumo duomenis.</w:t>
      </w:r>
    </w:p>
    <w:p w14:paraId="46A43A5C" w14:textId="77777777" w:rsidR="002D7026" w:rsidRPr="00452D62" w:rsidRDefault="002D7026" w:rsidP="002D7026">
      <w:pPr>
        <w:spacing w:line="240" w:lineRule="auto"/>
        <w:rPr>
          <w:sz w:val="22"/>
          <w:szCs w:val="22"/>
        </w:rPr>
      </w:pPr>
    </w:p>
    <w:p w14:paraId="04D58FC8" w14:textId="1FAC112F" w:rsidR="002D7026" w:rsidRPr="00452D62" w:rsidRDefault="002D7026" w:rsidP="002D7026">
      <w:pPr>
        <w:spacing w:line="240" w:lineRule="auto"/>
        <w:rPr>
          <w:sz w:val="22"/>
          <w:szCs w:val="22"/>
        </w:rPr>
      </w:pPr>
      <w:r w:rsidRPr="00452D62">
        <w:rPr>
          <w:sz w:val="22"/>
          <w:szCs w:val="22"/>
        </w:rPr>
        <w:t>Poregistracinio neintervencinio tyrimo metu, kuriame dalyvavo daugiau nei 40 000 vėžiu nesirgusių pacientų iš keturių šalių, rivaroksabano buvo paskirta GVT ir PE gydymui arba profilaktikai. Simptominių / kliniškai akivaizdžių VTE / tromboembolinių reiškinių, dėl kurių prireikė hospitalizacijos, atvejų dažnis 100-ui pacientų metų svyravo nuo 0,64 (95</w:t>
      </w:r>
      <w:r w:rsidR="008C3DF7">
        <w:rPr>
          <w:sz w:val="22"/>
          <w:szCs w:val="22"/>
        </w:rPr>
        <w:t> %</w:t>
      </w:r>
      <w:r w:rsidRPr="00452D62">
        <w:rPr>
          <w:sz w:val="22"/>
          <w:szCs w:val="22"/>
        </w:rPr>
        <w:t xml:space="preserve"> PI 0,40-0,97) Jungtinėje Karalystėje iki 2,30 (95</w:t>
      </w:r>
      <w:r w:rsidR="008C3DF7">
        <w:rPr>
          <w:sz w:val="22"/>
          <w:szCs w:val="22"/>
        </w:rPr>
        <w:t> %</w:t>
      </w:r>
      <w:r w:rsidRPr="00452D62">
        <w:rPr>
          <w:sz w:val="22"/>
          <w:szCs w:val="22"/>
        </w:rPr>
        <w:t xml:space="preserve"> PI 2,11-2,51) Vokietijoje. Kraujavimas, dėl kurio prireikė hospitalizacijos, pasireiškė tokiais dažniais 100-ui pacientų metų: 0,31 (95</w:t>
      </w:r>
      <w:r w:rsidR="008C3DF7">
        <w:rPr>
          <w:sz w:val="22"/>
          <w:szCs w:val="22"/>
        </w:rPr>
        <w:t> %</w:t>
      </w:r>
      <w:r w:rsidRPr="00452D62">
        <w:rPr>
          <w:sz w:val="22"/>
          <w:szCs w:val="22"/>
        </w:rPr>
        <w:t xml:space="preserve"> PI 0,23-0,42) intrakranijinio kraujavimo atveju, 0,89 (95</w:t>
      </w:r>
      <w:r w:rsidR="008C3DF7">
        <w:rPr>
          <w:sz w:val="22"/>
          <w:szCs w:val="22"/>
        </w:rPr>
        <w:t> %</w:t>
      </w:r>
      <w:r w:rsidRPr="00452D62">
        <w:rPr>
          <w:sz w:val="22"/>
          <w:szCs w:val="22"/>
        </w:rPr>
        <w:t xml:space="preserve"> PI 0,67-1,17) kraujavimo iš virškinimo trakto atveju, 0,44 (95</w:t>
      </w:r>
      <w:r w:rsidR="008C3DF7">
        <w:rPr>
          <w:sz w:val="22"/>
          <w:szCs w:val="22"/>
        </w:rPr>
        <w:t> %</w:t>
      </w:r>
      <w:r w:rsidRPr="00452D62">
        <w:rPr>
          <w:sz w:val="22"/>
          <w:szCs w:val="22"/>
        </w:rPr>
        <w:t xml:space="preserve"> PI 0,26-0,74) urogenitalinio kraujavimo atveju ir 0,41 (95</w:t>
      </w:r>
      <w:r w:rsidR="008C3DF7">
        <w:rPr>
          <w:sz w:val="22"/>
          <w:szCs w:val="22"/>
        </w:rPr>
        <w:t> %</w:t>
      </w:r>
      <w:r w:rsidRPr="00452D62">
        <w:rPr>
          <w:sz w:val="22"/>
          <w:szCs w:val="22"/>
        </w:rPr>
        <w:t xml:space="preserve"> PI 0,31-0,54) kitokio kraujavimo atveju.</w:t>
      </w:r>
    </w:p>
    <w:p w14:paraId="0FF9AEB8" w14:textId="77777777" w:rsidR="002D7026" w:rsidRPr="00452D62" w:rsidRDefault="002D7026" w:rsidP="002D7026">
      <w:pPr>
        <w:spacing w:line="240" w:lineRule="auto"/>
        <w:rPr>
          <w:sz w:val="22"/>
          <w:szCs w:val="22"/>
        </w:rPr>
      </w:pPr>
    </w:p>
    <w:p w14:paraId="78B0921F" w14:textId="77777777" w:rsidR="002D7026" w:rsidRPr="00452D62" w:rsidRDefault="002D7026" w:rsidP="002D7026">
      <w:pPr>
        <w:spacing w:line="240" w:lineRule="auto"/>
        <w:rPr>
          <w:sz w:val="22"/>
          <w:szCs w:val="22"/>
        </w:rPr>
      </w:pPr>
      <w:r w:rsidRPr="00452D62">
        <w:rPr>
          <w:sz w:val="22"/>
          <w:szCs w:val="22"/>
        </w:rPr>
        <w:t>Vaikų populiacija</w:t>
      </w:r>
    </w:p>
    <w:p w14:paraId="28E2A1D4" w14:textId="77777777" w:rsidR="002D7026" w:rsidRPr="00452D62" w:rsidRDefault="002D7026" w:rsidP="002D7026">
      <w:pPr>
        <w:spacing w:line="240" w:lineRule="auto"/>
        <w:rPr>
          <w:i/>
          <w:sz w:val="22"/>
          <w:szCs w:val="22"/>
        </w:rPr>
      </w:pPr>
      <w:r w:rsidRPr="00452D62">
        <w:rPr>
          <w:i/>
          <w:sz w:val="22"/>
          <w:szCs w:val="22"/>
        </w:rPr>
        <w:t>VTE gydymas ir pasikartojančios VTE profilaktika vaikams</w:t>
      </w:r>
    </w:p>
    <w:p w14:paraId="19671184" w14:textId="318283F7" w:rsidR="002D7026" w:rsidRPr="00452D62" w:rsidRDefault="002D7026" w:rsidP="002D7026">
      <w:pPr>
        <w:spacing w:line="240" w:lineRule="auto"/>
        <w:rPr>
          <w:sz w:val="22"/>
          <w:szCs w:val="22"/>
        </w:rPr>
      </w:pPr>
      <w:r w:rsidRPr="00452D62">
        <w:rPr>
          <w:sz w:val="22"/>
          <w:szCs w:val="22"/>
        </w:rPr>
        <w:t>6 atvirų, daugiacentrių, su vaikais atliktų tyrimų metu iš viso buvo tiriami 727 vaikai, sergantys patvirtinta ūmine VTE, iš kurių 528 vartojo rivaroksabaną. Kaip buvo patvirtinta III fazės tyrimu, vaikams</w:t>
      </w:r>
      <w:r w:rsidR="001C3C00">
        <w:rPr>
          <w:sz w:val="22"/>
          <w:szCs w:val="22"/>
        </w:rPr>
        <w:t xml:space="preserve"> ir paaugliams</w:t>
      </w:r>
      <w:r w:rsidRPr="00452D62">
        <w:rPr>
          <w:sz w:val="22"/>
          <w:szCs w:val="22"/>
        </w:rPr>
        <w:t>, kurių amžius buvo nuo gimimo iki mažiau kaip 18 metų, taikant pagal kūno svorį parinktą dozavimą, buvo pasiekta rivaroksabano ekspozicija, panaši į stebimą suaugusiems pacientams, vartojantiems 20</w:t>
      </w:r>
      <w:r w:rsidR="001C3C00">
        <w:rPr>
          <w:sz w:val="22"/>
          <w:szCs w:val="22"/>
        </w:rPr>
        <w:t> </w:t>
      </w:r>
      <w:r w:rsidRPr="00452D62">
        <w:rPr>
          <w:sz w:val="22"/>
          <w:szCs w:val="22"/>
        </w:rPr>
        <w:t>mg rivaroksabano nuo GVT vieną kartą per parą (žr. 5.2 skyrių).</w:t>
      </w:r>
    </w:p>
    <w:p w14:paraId="2217C414" w14:textId="77777777" w:rsidR="002D7026" w:rsidRPr="00452D62" w:rsidRDefault="002D7026" w:rsidP="002D7026">
      <w:pPr>
        <w:spacing w:line="240" w:lineRule="auto"/>
        <w:rPr>
          <w:sz w:val="22"/>
          <w:szCs w:val="22"/>
        </w:rPr>
      </w:pPr>
    </w:p>
    <w:p w14:paraId="04CA05EA" w14:textId="770D7AB4" w:rsidR="002D7026" w:rsidRPr="00452D62" w:rsidRDefault="002D7026" w:rsidP="002D7026">
      <w:pPr>
        <w:spacing w:line="240" w:lineRule="auto"/>
        <w:rPr>
          <w:sz w:val="22"/>
          <w:szCs w:val="22"/>
        </w:rPr>
      </w:pPr>
      <w:r w:rsidRPr="00452D62">
        <w:rPr>
          <w:sz w:val="22"/>
          <w:szCs w:val="22"/>
        </w:rPr>
        <w:t xml:space="preserve">III fazės tyrimas EINSTEIN Junior buvo atsitiktinių imčių, veikliuoju vaistiniu preparatu kontroliuojamas, atviras, daugiacentris klinikinis tyrimas, kuriame dalyvavo 500 vaikų </w:t>
      </w:r>
      <w:r w:rsidR="001C3C00">
        <w:rPr>
          <w:sz w:val="22"/>
          <w:szCs w:val="22"/>
        </w:rPr>
        <w:t xml:space="preserve">ir paauglių </w:t>
      </w:r>
      <w:r w:rsidRPr="00452D62">
        <w:rPr>
          <w:sz w:val="22"/>
          <w:szCs w:val="22"/>
        </w:rPr>
        <w:t xml:space="preserve">(nuo gimimo iki &lt; 18 metų amžiaus), sergančių patvirtinta ūmine VTE. 276 </w:t>
      </w:r>
      <w:r w:rsidR="001C3C00">
        <w:rPr>
          <w:sz w:val="22"/>
          <w:szCs w:val="22"/>
        </w:rPr>
        <w:t>paaugliai</w:t>
      </w:r>
      <w:r w:rsidRPr="00452D62">
        <w:rPr>
          <w:sz w:val="22"/>
          <w:szCs w:val="22"/>
        </w:rPr>
        <w:t xml:space="preserve"> buvo nuo 12 iki &lt; 18 metų amžiaus, 101 vaikas</w:t>
      </w:r>
      <w:r w:rsidR="001C3C00">
        <w:rPr>
          <w:sz w:val="22"/>
          <w:szCs w:val="22"/>
        </w:rPr>
        <w:t xml:space="preserve"> ir paauglys</w:t>
      </w:r>
      <w:r w:rsidRPr="00452D62">
        <w:rPr>
          <w:sz w:val="22"/>
          <w:szCs w:val="22"/>
        </w:rPr>
        <w:t xml:space="preserve"> nuo 6 iki &lt; 12 metų amžiaus, 69 vaikai nuo 2 iki &lt; 6 metų amžiaus ir 54 vaikai &lt; 2 metų amžiaus.</w:t>
      </w:r>
    </w:p>
    <w:p w14:paraId="5551A2E5" w14:textId="77777777" w:rsidR="002D7026" w:rsidRPr="00452D62" w:rsidRDefault="002D7026" w:rsidP="002D7026">
      <w:pPr>
        <w:spacing w:line="240" w:lineRule="auto"/>
        <w:rPr>
          <w:sz w:val="22"/>
          <w:szCs w:val="22"/>
        </w:rPr>
      </w:pPr>
    </w:p>
    <w:p w14:paraId="37E31092" w14:textId="5B293021" w:rsidR="002D7026" w:rsidRPr="00452D62" w:rsidRDefault="002D7026" w:rsidP="002D7026">
      <w:pPr>
        <w:spacing w:line="240" w:lineRule="auto"/>
        <w:rPr>
          <w:sz w:val="22"/>
          <w:szCs w:val="22"/>
        </w:rPr>
      </w:pPr>
      <w:r w:rsidRPr="00452D62">
        <w:rPr>
          <w:sz w:val="22"/>
          <w:szCs w:val="22"/>
        </w:rPr>
        <w:t xml:space="preserve">Pirmąkart pasireiškusi VTE buvo klasifikuojama kaip su centrinės venos kateteriu susijusi VTE (CVK-VTE; 90/335 pacientų rivaroksabano grupėje, 37/165 pacientai lyginamojoje grupėje), galvos smegenų venos ir sinuso trombozė (GSVST, 74/335 pacientai rivaroksabano grupėje, 43/165 pacientai lyginamojoje grupėje) ir visi kiti reiškiniai, įskaitant GVT ir PE (ne-CVK-VTE; 171/335 pacientas rivaroksabano grupėje, 85/165 pacientai lyginamojoje grupėje). </w:t>
      </w:r>
      <w:r w:rsidR="001C3C00">
        <w:rPr>
          <w:sz w:val="22"/>
          <w:szCs w:val="22"/>
        </w:rPr>
        <w:t>Paaugliams</w:t>
      </w:r>
      <w:r w:rsidRPr="00452D62">
        <w:rPr>
          <w:sz w:val="22"/>
          <w:szCs w:val="22"/>
        </w:rPr>
        <w:t xml:space="preserve"> nuo 12 iki &lt; 18 metų amžiaus dažniausia pirmąkart pasireiškusi trombozė buvo ne-CVK-VTE, kuri nustatyta 211 (76,4</w:t>
      </w:r>
      <w:r w:rsidR="008C3DF7">
        <w:rPr>
          <w:sz w:val="22"/>
          <w:szCs w:val="22"/>
        </w:rPr>
        <w:t> %</w:t>
      </w:r>
      <w:r w:rsidRPr="00452D62">
        <w:rPr>
          <w:sz w:val="22"/>
          <w:szCs w:val="22"/>
        </w:rPr>
        <w:t>); vaikams</w:t>
      </w:r>
      <w:r w:rsidR="001C3C00">
        <w:rPr>
          <w:sz w:val="22"/>
          <w:szCs w:val="22"/>
        </w:rPr>
        <w:t xml:space="preserve"> ir paaugliams</w:t>
      </w:r>
      <w:r w:rsidRPr="00452D62">
        <w:rPr>
          <w:sz w:val="22"/>
          <w:szCs w:val="22"/>
        </w:rPr>
        <w:t xml:space="preserve"> nuo 6 iki &lt; 12 metų amžiaus ir nuo 2 iki &lt; 6 metų amžiaus tai buvo GSVST, kuri nustatyta atitinkamai 48 (47,5</w:t>
      </w:r>
      <w:r w:rsidR="008C3DF7">
        <w:rPr>
          <w:sz w:val="22"/>
          <w:szCs w:val="22"/>
        </w:rPr>
        <w:t> %</w:t>
      </w:r>
      <w:r w:rsidRPr="00452D62">
        <w:rPr>
          <w:sz w:val="22"/>
          <w:szCs w:val="22"/>
        </w:rPr>
        <w:t>) ir 35 (50,7</w:t>
      </w:r>
      <w:r w:rsidR="008C3DF7">
        <w:rPr>
          <w:sz w:val="22"/>
          <w:szCs w:val="22"/>
        </w:rPr>
        <w:t> %</w:t>
      </w:r>
      <w:r w:rsidRPr="00452D62">
        <w:rPr>
          <w:sz w:val="22"/>
          <w:szCs w:val="22"/>
        </w:rPr>
        <w:t>), o &lt; 2 metų amžiaus vaikams tai buvo CVK-VTE, kuri nustatyta 37 (68,5</w:t>
      </w:r>
      <w:r w:rsidR="008C3DF7">
        <w:rPr>
          <w:sz w:val="22"/>
          <w:szCs w:val="22"/>
        </w:rPr>
        <w:t> %</w:t>
      </w:r>
      <w:r w:rsidRPr="00452D62">
        <w:rPr>
          <w:sz w:val="22"/>
          <w:szCs w:val="22"/>
        </w:rPr>
        <w:t>). Rivaroksabano grupėje nebuvo &lt; 6 mėnesių amžiaus vaikų, sergančių GSVST.</w:t>
      </w:r>
      <w:r w:rsidRPr="00AE1B80">
        <w:rPr>
          <w:sz w:val="22"/>
          <w:szCs w:val="22"/>
        </w:rPr>
        <w:t xml:space="preserve"> </w:t>
      </w:r>
      <w:r w:rsidRPr="00452D62">
        <w:rPr>
          <w:sz w:val="22"/>
          <w:szCs w:val="22"/>
        </w:rPr>
        <w:t xml:space="preserve">22-iems iš </w:t>
      </w:r>
      <w:r w:rsidRPr="000877E9">
        <w:rPr>
          <w:sz w:val="22"/>
          <w:szCs w:val="22"/>
        </w:rPr>
        <w:t>GSVST sergančių pacientų buvo nustatyta CNS infekcija (13 pacientų rivaroksabano grupėje ir 9 pacientai lyginamojoje grupėje).</w:t>
      </w:r>
    </w:p>
    <w:p w14:paraId="1CFF81AA" w14:textId="77777777" w:rsidR="002D7026" w:rsidRPr="00452D62" w:rsidRDefault="002D7026" w:rsidP="002D7026">
      <w:pPr>
        <w:spacing w:line="240" w:lineRule="auto"/>
        <w:rPr>
          <w:sz w:val="22"/>
          <w:szCs w:val="22"/>
        </w:rPr>
      </w:pPr>
    </w:p>
    <w:p w14:paraId="111E1B52" w14:textId="48ABDFE7" w:rsidR="002D7026" w:rsidRPr="00452D62" w:rsidRDefault="002D7026" w:rsidP="002D7026">
      <w:pPr>
        <w:spacing w:line="240" w:lineRule="auto"/>
        <w:rPr>
          <w:sz w:val="22"/>
          <w:szCs w:val="22"/>
        </w:rPr>
      </w:pPr>
      <w:r w:rsidRPr="00452D62">
        <w:rPr>
          <w:sz w:val="22"/>
          <w:szCs w:val="22"/>
        </w:rPr>
        <w:t>438 (87,6</w:t>
      </w:r>
      <w:r w:rsidR="008C3DF7">
        <w:rPr>
          <w:sz w:val="22"/>
          <w:szCs w:val="22"/>
        </w:rPr>
        <w:t> %</w:t>
      </w:r>
      <w:r w:rsidRPr="00452D62">
        <w:rPr>
          <w:sz w:val="22"/>
          <w:szCs w:val="22"/>
        </w:rPr>
        <w:t>) vaikams VTE išprovokavo nuolatiniai, laikini arba ir nuolatiniai, ir laikini rizikos veiksniai.</w:t>
      </w:r>
    </w:p>
    <w:p w14:paraId="4B0AD3FB" w14:textId="77777777" w:rsidR="002D7026" w:rsidRPr="00452D62" w:rsidRDefault="002D7026" w:rsidP="002D7026">
      <w:pPr>
        <w:spacing w:line="240" w:lineRule="auto"/>
        <w:rPr>
          <w:sz w:val="22"/>
          <w:szCs w:val="22"/>
        </w:rPr>
      </w:pPr>
    </w:p>
    <w:p w14:paraId="7973310D" w14:textId="77777777" w:rsidR="002D7026" w:rsidRPr="00452D62" w:rsidRDefault="002D7026" w:rsidP="002D7026">
      <w:pPr>
        <w:spacing w:line="240" w:lineRule="auto"/>
        <w:rPr>
          <w:sz w:val="22"/>
          <w:szCs w:val="22"/>
        </w:rPr>
      </w:pPr>
      <w:r w:rsidRPr="00452D62">
        <w:rPr>
          <w:sz w:val="22"/>
          <w:szCs w:val="22"/>
        </w:rPr>
        <w:t>Pacientams ne trumpiau kaip 5 dienas buvo taikytas pradinis gydymas, skiriant terapines NFH, MMMH arba fondaparinukso dozes, ir tada jie buvo suskirstyti atsitiktinių imčių būdu 2:1 santykiu, kad pagrindinį tyrimo gydymo laikotarpį, kuris truko 3 mėnesius (&lt; 2 metų vaikams, sergantiems CVK-VTE, 1 mėnesį), vartotų pagal kūno svorį dozuojamą rivaroksabaną arba palyginamuosius vaistinius preparatus (heparinus, VKA). Jei buvo kliniškai tikslinga, baigiantis pagrindinio tyrimo gydymo laikotarpiui, buvo pakartoti diagnostiniai vaizdo atkūrimo tyrimai, atlikti dar tyrimo pradžioje. Šiuo momentu buvo galima nutraukti tyrimo gydymą arba tyrėjo nuožiūra tęsti iš viso iki 12 mėnesių (&lt; 2 metų amžiaus vaikams, sergantiems CVK-VTE, iki 3 mėnesių).</w:t>
      </w:r>
    </w:p>
    <w:p w14:paraId="532DBD00" w14:textId="77777777" w:rsidR="002D7026" w:rsidRPr="00452D62" w:rsidRDefault="002D7026" w:rsidP="002D7026">
      <w:pPr>
        <w:spacing w:line="240" w:lineRule="auto"/>
        <w:rPr>
          <w:sz w:val="22"/>
          <w:szCs w:val="22"/>
        </w:rPr>
      </w:pPr>
    </w:p>
    <w:p w14:paraId="1CB89DD1" w14:textId="77777777" w:rsidR="002D7026" w:rsidRPr="00452D62" w:rsidRDefault="002D7026" w:rsidP="002D7026">
      <w:pPr>
        <w:spacing w:line="240" w:lineRule="auto"/>
        <w:rPr>
          <w:sz w:val="22"/>
          <w:szCs w:val="22"/>
        </w:rPr>
      </w:pPr>
      <w:r w:rsidRPr="00452D62">
        <w:rPr>
          <w:sz w:val="22"/>
          <w:szCs w:val="22"/>
        </w:rPr>
        <w:t>Pirminė veiksmingumo vertinamoji baigtis buvo simptominė pasikartojanti VTE. Pirminė saugumo vertinamoji baigtis buvo sudaryta iš didžiojo kraujavimo ir klinikiniu požiūriu reikšmingo ne didžiojo kraujavimo (KRNDK). Visas veiksmingumo ir saugumo vertinamąsias baigtis centriniu būdu patvirtino nepriklausomas komitetas, kuris negalėjo žinoti pacientams taikyto gydymo. Veiksmingumo ir saugumo rezultatai yra nurodyti toliau pateiktose 11 ir 12 lentelėse.</w:t>
      </w:r>
    </w:p>
    <w:p w14:paraId="718B1538" w14:textId="77777777" w:rsidR="002D7026" w:rsidRPr="00452D62" w:rsidRDefault="002D7026" w:rsidP="002D7026">
      <w:pPr>
        <w:spacing w:line="240" w:lineRule="auto"/>
        <w:rPr>
          <w:sz w:val="22"/>
          <w:szCs w:val="22"/>
        </w:rPr>
      </w:pPr>
    </w:p>
    <w:p w14:paraId="7FB9EB51" w14:textId="7BD111B6" w:rsidR="002D7026" w:rsidRPr="00452D62" w:rsidRDefault="002D7026" w:rsidP="002D7026">
      <w:pPr>
        <w:spacing w:line="240" w:lineRule="auto"/>
        <w:rPr>
          <w:sz w:val="22"/>
          <w:szCs w:val="22"/>
        </w:rPr>
      </w:pPr>
      <w:r w:rsidRPr="00452D62">
        <w:rPr>
          <w:sz w:val="22"/>
          <w:szCs w:val="22"/>
        </w:rPr>
        <w:t>Rivaroksabano grupėje pasikartojanti VTE nustatyta 4-iems iš 335 pacientų, o lyginamojoje grupėje – 5-iems iš 165 pacientų. Didžiojo kraujavimo ir KRNDK sudėtiniai reiškiniai nustatyti 10-iai iš 329 pacientų (3</w:t>
      </w:r>
      <w:r w:rsidR="008C3DF7">
        <w:rPr>
          <w:sz w:val="22"/>
          <w:szCs w:val="22"/>
        </w:rPr>
        <w:t> %</w:t>
      </w:r>
      <w:r w:rsidRPr="00452D62">
        <w:rPr>
          <w:sz w:val="22"/>
          <w:szCs w:val="22"/>
        </w:rPr>
        <w:t>), gydytų rivaroksabanu, ir 3-ims iš 162 pacientų (1,9</w:t>
      </w:r>
      <w:r w:rsidR="00ED61C6">
        <w:rPr>
          <w:sz w:val="22"/>
          <w:szCs w:val="22"/>
        </w:rPr>
        <w:t> </w:t>
      </w:r>
      <w:r w:rsidR="008C3DF7">
        <w:rPr>
          <w:sz w:val="22"/>
          <w:szCs w:val="22"/>
        </w:rPr>
        <w:t>%</w:t>
      </w:r>
      <w:r w:rsidRPr="00452D62">
        <w:rPr>
          <w:sz w:val="22"/>
          <w:szCs w:val="22"/>
        </w:rPr>
        <w:t>), gydytų palyginamuoju vaistiniu preparatu. Su grynąja klinikine nauda siejami reiškiniai (simptominės pasikartojančios VTE plius didžiojo kraujavimo reiškiniai) rivaroksabano grupėje nustatyti 4-iems iš 335 pacientų, o lyginamojoje grupėje 7-iems iš 165 pacientų. Pakartojus vaizdo atkūrimo tyrimus, normalus vaizdas išnykus trombams gautas 128-iems iš 335 pacientų, gydytų rivaroksabanu, ir 43-ims iš 165 lyginamosios grupės pacientų. Šie duomenys apytikriai yra panašūs visose amžiaus grupėse. 119-ai (36,2</w:t>
      </w:r>
      <w:r w:rsidR="008C3DF7">
        <w:rPr>
          <w:sz w:val="22"/>
          <w:szCs w:val="22"/>
        </w:rPr>
        <w:t> %</w:t>
      </w:r>
      <w:r w:rsidRPr="00452D62">
        <w:rPr>
          <w:sz w:val="22"/>
          <w:szCs w:val="22"/>
        </w:rPr>
        <w:t>) vaikų pasireiškė bet koks dėl gydymo atsirandantis kraujavimas rivaroksabano grupėje ir 45-iems (27,8</w:t>
      </w:r>
      <w:r w:rsidR="008C3DF7">
        <w:rPr>
          <w:sz w:val="22"/>
          <w:szCs w:val="22"/>
        </w:rPr>
        <w:t> %</w:t>
      </w:r>
      <w:r w:rsidRPr="00452D62">
        <w:rPr>
          <w:sz w:val="22"/>
          <w:szCs w:val="22"/>
        </w:rPr>
        <w:t>) vaikams – lyginamojoje grupėje.</w:t>
      </w:r>
    </w:p>
    <w:p w14:paraId="1A858ADF" w14:textId="77777777" w:rsidR="002D7026" w:rsidRPr="00452D62" w:rsidRDefault="002D7026" w:rsidP="002D7026">
      <w:pPr>
        <w:spacing w:line="240" w:lineRule="auto"/>
        <w:rPr>
          <w:sz w:val="22"/>
          <w:szCs w:val="22"/>
        </w:rPr>
      </w:pPr>
    </w:p>
    <w:p w14:paraId="102D5E03" w14:textId="77777777" w:rsidR="002D7026" w:rsidRPr="00452D62" w:rsidRDefault="002D7026" w:rsidP="002D7026">
      <w:pPr>
        <w:spacing w:line="240" w:lineRule="auto"/>
        <w:rPr>
          <w:b/>
          <w:sz w:val="22"/>
          <w:szCs w:val="22"/>
        </w:rPr>
      </w:pPr>
      <w:r w:rsidRPr="00452D62">
        <w:rPr>
          <w:b/>
          <w:sz w:val="22"/>
          <w:szCs w:val="22"/>
        </w:rPr>
        <w:t>11 lentelė. Veiksmingumo rezultatai pagrindinio gydymo laikotarpio pabaigoje</w:t>
      </w:r>
    </w:p>
    <w:tbl>
      <w:tblPr>
        <w:tblW w:w="5000" w:type="pct"/>
        <w:tblBorders>
          <w:top w:val="single" w:sz="4" w:space="0" w:color="7E7E7E"/>
          <w:left w:val="single" w:sz="4" w:space="0" w:color="7E7E7E"/>
          <w:bottom w:val="single" w:sz="4" w:space="0" w:color="7E7E7E"/>
          <w:right w:val="single" w:sz="4" w:space="0" w:color="7E7E7E"/>
          <w:insideH w:val="single" w:sz="4" w:space="0" w:color="7E7E7E"/>
          <w:insideV w:val="single" w:sz="4" w:space="0" w:color="7E7E7E"/>
        </w:tblBorders>
        <w:tblCellMar>
          <w:left w:w="0" w:type="dxa"/>
          <w:right w:w="0" w:type="dxa"/>
        </w:tblCellMar>
        <w:tblLook w:val="01E0" w:firstRow="1" w:lastRow="1" w:firstColumn="1" w:lastColumn="1" w:noHBand="0" w:noVBand="0"/>
      </w:tblPr>
      <w:tblGrid>
        <w:gridCol w:w="5206"/>
        <w:gridCol w:w="2124"/>
        <w:gridCol w:w="1730"/>
      </w:tblGrid>
      <w:tr w:rsidR="002D7026" w:rsidRPr="00452D62" w14:paraId="43E3B722" w14:textId="77777777" w:rsidTr="00913D02">
        <w:trPr>
          <w:trHeight w:val="506"/>
        </w:trPr>
        <w:tc>
          <w:tcPr>
            <w:tcW w:w="2873" w:type="pct"/>
            <w:shd w:val="clear" w:color="auto" w:fill="auto"/>
          </w:tcPr>
          <w:p w14:paraId="377C5A21" w14:textId="56285766" w:rsidR="002D7026" w:rsidRPr="00AE1B80" w:rsidRDefault="001C3C00" w:rsidP="00913D02">
            <w:pPr>
              <w:widowControl w:val="0"/>
              <w:tabs>
                <w:tab w:val="clear" w:pos="567"/>
              </w:tabs>
              <w:suppressAutoHyphens w:val="0"/>
              <w:autoSpaceDE w:val="0"/>
              <w:autoSpaceDN w:val="0"/>
              <w:spacing w:line="253" w:lineRule="exact"/>
              <w:rPr>
                <w:rFonts w:eastAsia="Calibri"/>
                <w:b/>
                <w:color w:val="auto"/>
                <w:sz w:val="22"/>
                <w:szCs w:val="22"/>
                <w:lang w:val="en-US" w:eastAsia="en-US"/>
              </w:rPr>
            </w:pPr>
            <w:r>
              <w:rPr>
                <w:rFonts w:eastAsia="Calibri"/>
                <w:b/>
                <w:color w:val="auto"/>
                <w:sz w:val="22"/>
                <w:szCs w:val="22"/>
                <w:lang w:val="en-US" w:eastAsia="en-US"/>
              </w:rPr>
              <w:t>Reiškinys</w:t>
            </w:r>
          </w:p>
        </w:tc>
        <w:tc>
          <w:tcPr>
            <w:tcW w:w="1172" w:type="pct"/>
            <w:shd w:val="clear" w:color="auto" w:fill="auto"/>
          </w:tcPr>
          <w:p w14:paraId="389A70F1" w14:textId="77777777" w:rsidR="002D7026" w:rsidRPr="00AE1B80" w:rsidRDefault="002D7026" w:rsidP="00913D02">
            <w:pPr>
              <w:widowControl w:val="0"/>
              <w:tabs>
                <w:tab w:val="clear" w:pos="567"/>
              </w:tabs>
              <w:suppressAutoHyphens w:val="0"/>
              <w:autoSpaceDE w:val="0"/>
              <w:autoSpaceDN w:val="0"/>
              <w:spacing w:before="2" w:line="254" w:lineRule="exact"/>
              <w:rPr>
                <w:rFonts w:eastAsia="Calibri"/>
                <w:b/>
                <w:color w:val="auto"/>
                <w:sz w:val="22"/>
                <w:szCs w:val="22"/>
                <w:lang w:val="en-US" w:eastAsia="en-US"/>
              </w:rPr>
            </w:pPr>
            <w:r w:rsidRPr="00AE1B80">
              <w:rPr>
                <w:rFonts w:eastAsia="Calibri"/>
                <w:b/>
                <w:color w:val="auto"/>
                <w:sz w:val="22"/>
                <w:szCs w:val="22"/>
                <w:lang w:val="en-US" w:eastAsia="en-US"/>
              </w:rPr>
              <w:t>Rivaroksabanas N=335*</w:t>
            </w:r>
          </w:p>
        </w:tc>
        <w:tc>
          <w:tcPr>
            <w:tcW w:w="955" w:type="pct"/>
            <w:shd w:val="clear" w:color="auto" w:fill="auto"/>
          </w:tcPr>
          <w:p w14:paraId="17EB95EF" w14:textId="77777777" w:rsidR="002D7026" w:rsidRPr="00AE1B80" w:rsidRDefault="002D7026" w:rsidP="00913D02">
            <w:pPr>
              <w:widowControl w:val="0"/>
              <w:tabs>
                <w:tab w:val="clear" w:pos="567"/>
              </w:tabs>
              <w:suppressAutoHyphens w:val="0"/>
              <w:autoSpaceDE w:val="0"/>
              <w:autoSpaceDN w:val="0"/>
              <w:spacing w:before="2" w:line="254" w:lineRule="exact"/>
              <w:rPr>
                <w:rFonts w:eastAsia="Calibri"/>
                <w:b/>
                <w:color w:val="auto"/>
                <w:sz w:val="22"/>
                <w:szCs w:val="22"/>
                <w:lang w:val="en-US" w:eastAsia="en-US"/>
              </w:rPr>
            </w:pPr>
            <w:r w:rsidRPr="00AE1B80">
              <w:rPr>
                <w:rFonts w:eastAsia="Calibri"/>
                <w:b/>
                <w:color w:val="auto"/>
                <w:sz w:val="22"/>
                <w:szCs w:val="22"/>
                <w:lang w:val="en-US" w:eastAsia="en-US"/>
              </w:rPr>
              <w:t>Palyginamasis vaistinis preparatas N=165*</w:t>
            </w:r>
          </w:p>
        </w:tc>
      </w:tr>
      <w:tr w:rsidR="002D7026" w:rsidRPr="00452D62" w14:paraId="56587762" w14:textId="77777777" w:rsidTr="00913D02">
        <w:trPr>
          <w:trHeight w:val="253"/>
        </w:trPr>
        <w:tc>
          <w:tcPr>
            <w:tcW w:w="2873" w:type="pct"/>
            <w:tcBorders>
              <w:bottom w:val="nil"/>
            </w:tcBorders>
            <w:shd w:val="clear" w:color="auto" w:fill="auto"/>
          </w:tcPr>
          <w:p w14:paraId="11F56DDE" w14:textId="77777777" w:rsidR="002D7026" w:rsidRPr="00452D62" w:rsidRDefault="002D7026" w:rsidP="00913D02">
            <w:pPr>
              <w:pStyle w:val="Default"/>
              <w:rPr>
                <w:sz w:val="22"/>
                <w:szCs w:val="22"/>
              </w:rPr>
            </w:pPr>
            <w:r w:rsidRPr="00452D62">
              <w:rPr>
                <w:sz w:val="22"/>
                <w:szCs w:val="22"/>
              </w:rPr>
              <w:t xml:space="preserve">Pasikartojanti VTE (pirminė veiksmingumo </w:t>
            </w:r>
            <w:r w:rsidRPr="000877E9">
              <w:rPr>
                <w:sz w:val="22"/>
                <w:szCs w:val="22"/>
              </w:rPr>
              <w:t>vertinamoji baigtis)</w:t>
            </w:r>
          </w:p>
        </w:tc>
        <w:tc>
          <w:tcPr>
            <w:tcW w:w="1172" w:type="pct"/>
            <w:tcBorders>
              <w:bottom w:val="nil"/>
            </w:tcBorders>
            <w:shd w:val="clear" w:color="auto" w:fill="auto"/>
          </w:tcPr>
          <w:p w14:paraId="0F84A150" w14:textId="77777777" w:rsidR="002D7026" w:rsidRPr="00AE1B80" w:rsidRDefault="002D7026" w:rsidP="00913D02">
            <w:pPr>
              <w:widowControl w:val="0"/>
              <w:tabs>
                <w:tab w:val="clear" w:pos="567"/>
              </w:tabs>
              <w:suppressAutoHyphens w:val="0"/>
              <w:autoSpaceDE w:val="0"/>
              <w:autoSpaceDN w:val="0"/>
              <w:spacing w:line="234" w:lineRule="exact"/>
              <w:rPr>
                <w:rFonts w:eastAsia="Calibri"/>
                <w:color w:val="auto"/>
                <w:sz w:val="22"/>
                <w:szCs w:val="22"/>
                <w:lang w:val="en-US" w:eastAsia="en-US"/>
              </w:rPr>
            </w:pPr>
            <w:r w:rsidRPr="00AE1B80">
              <w:rPr>
                <w:rFonts w:eastAsia="Calibri"/>
                <w:color w:val="auto"/>
                <w:w w:val="99"/>
                <w:sz w:val="22"/>
                <w:szCs w:val="22"/>
                <w:lang w:val="en-US" w:eastAsia="en-US"/>
              </w:rPr>
              <w:t>4</w:t>
            </w:r>
          </w:p>
        </w:tc>
        <w:tc>
          <w:tcPr>
            <w:tcW w:w="955" w:type="pct"/>
            <w:tcBorders>
              <w:bottom w:val="nil"/>
            </w:tcBorders>
            <w:shd w:val="clear" w:color="auto" w:fill="auto"/>
          </w:tcPr>
          <w:p w14:paraId="6E2D2E5C" w14:textId="77777777" w:rsidR="002D7026" w:rsidRPr="00AE1B80" w:rsidRDefault="002D7026" w:rsidP="00913D02">
            <w:pPr>
              <w:widowControl w:val="0"/>
              <w:tabs>
                <w:tab w:val="clear" w:pos="567"/>
              </w:tabs>
              <w:suppressAutoHyphens w:val="0"/>
              <w:autoSpaceDE w:val="0"/>
              <w:autoSpaceDN w:val="0"/>
              <w:spacing w:line="234" w:lineRule="exact"/>
              <w:rPr>
                <w:rFonts w:eastAsia="Calibri"/>
                <w:color w:val="auto"/>
                <w:sz w:val="22"/>
                <w:szCs w:val="22"/>
                <w:lang w:val="en-US" w:eastAsia="en-US"/>
              </w:rPr>
            </w:pPr>
            <w:r w:rsidRPr="00AE1B80">
              <w:rPr>
                <w:rFonts w:eastAsia="Calibri"/>
                <w:color w:val="auto"/>
                <w:w w:val="99"/>
                <w:sz w:val="22"/>
                <w:szCs w:val="22"/>
                <w:lang w:val="en-US" w:eastAsia="en-US"/>
              </w:rPr>
              <w:t>5</w:t>
            </w:r>
          </w:p>
        </w:tc>
      </w:tr>
      <w:tr w:rsidR="002D7026" w:rsidRPr="00452D62" w14:paraId="281DA603" w14:textId="77777777" w:rsidTr="00913D02">
        <w:trPr>
          <w:trHeight w:val="253"/>
        </w:trPr>
        <w:tc>
          <w:tcPr>
            <w:tcW w:w="2873" w:type="pct"/>
            <w:tcBorders>
              <w:top w:val="nil"/>
              <w:bottom w:val="nil"/>
            </w:tcBorders>
            <w:shd w:val="clear" w:color="auto" w:fill="auto"/>
          </w:tcPr>
          <w:p w14:paraId="1AE8BD1A" w14:textId="77777777" w:rsidR="002D7026" w:rsidRPr="00AE1B80" w:rsidRDefault="002D7026"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1172" w:type="pct"/>
            <w:tcBorders>
              <w:top w:val="nil"/>
              <w:bottom w:val="nil"/>
            </w:tcBorders>
            <w:shd w:val="clear" w:color="auto" w:fill="auto"/>
          </w:tcPr>
          <w:p w14:paraId="6DAB4165" w14:textId="112CA497" w:rsidR="002D7026" w:rsidRPr="00AE1B80"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E1B80">
              <w:rPr>
                <w:rFonts w:eastAsia="Calibri"/>
                <w:color w:val="auto"/>
                <w:sz w:val="22"/>
                <w:szCs w:val="22"/>
                <w:lang w:val="en-US" w:eastAsia="en-US"/>
              </w:rPr>
              <w:t>(1,2</w:t>
            </w:r>
            <w:r w:rsidR="008C3DF7">
              <w:rPr>
                <w:rFonts w:eastAsia="Calibri"/>
                <w:color w:val="auto"/>
                <w:sz w:val="22"/>
                <w:szCs w:val="22"/>
                <w:lang w:val="en-US" w:eastAsia="en-US"/>
              </w:rPr>
              <w:t> %</w:t>
            </w:r>
            <w:r w:rsidRPr="00AE1B80">
              <w:rPr>
                <w:rFonts w:eastAsia="Calibri"/>
                <w:color w:val="auto"/>
                <w:sz w:val="22"/>
                <w:szCs w:val="22"/>
                <w:lang w:val="en-US" w:eastAsia="en-US"/>
              </w:rPr>
              <w:t>, 95</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PI</w:t>
            </w:r>
          </w:p>
        </w:tc>
        <w:tc>
          <w:tcPr>
            <w:tcW w:w="955" w:type="pct"/>
            <w:tcBorders>
              <w:top w:val="nil"/>
              <w:bottom w:val="nil"/>
            </w:tcBorders>
            <w:shd w:val="clear" w:color="auto" w:fill="auto"/>
          </w:tcPr>
          <w:p w14:paraId="5DF8AD4F" w14:textId="584EE01B" w:rsidR="002D7026" w:rsidRPr="00AE1B80"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E1B80">
              <w:rPr>
                <w:rFonts w:eastAsia="Calibri"/>
                <w:color w:val="auto"/>
                <w:sz w:val="22"/>
                <w:szCs w:val="22"/>
                <w:lang w:val="en-US" w:eastAsia="en-US"/>
              </w:rPr>
              <w:t>(3,0</w:t>
            </w:r>
            <w:r w:rsidR="008C3DF7">
              <w:rPr>
                <w:rFonts w:eastAsia="Calibri"/>
                <w:color w:val="auto"/>
                <w:sz w:val="22"/>
                <w:szCs w:val="22"/>
                <w:lang w:val="en-US" w:eastAsia="en-US"/>
              </w:rPr>
              <w:t> %</w:t>
            </w:r>
            <w:r w:rsidRPr="00AE1B80">
              <w:rPr>
                <w:rFonts w:eastAsia="Calibri"/>
                <w:color w:val="auto"/>
                <w:sz w:val="22"/>
                <w:szCs w:val="22"/>
                <w:lang w:val="en-US" w:eastAsia="en-US"/>
              </w:rPr>
              <w:t>, 95</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PI</w:t>
            </w:r>
          </w:p>
        </w:tc>
      </w:tr>
      <w:tr w:rsidR="002D7026" w:rsidRPr="00452D62" w14:paraId="7FC7CE94" w14:textId="77777777" w:rsidTr="00913D02">
        <w:trPr>
          <w:trHeight w:val="248"/>
        </w:trPr>
        <w:tc>
          <w:tcPr>
            <w:tcW w:w="2873" w:type="pct"/>
            <w:tcBorders>
              <w:top w:val="nil"/>
            </w:tcBorders>
            <w:shd w:val="clear" w:color="auto" w:fill="auto"/>
          </w:tcPr>
          <w:p w14:paraId="147693AA" w14:textId="77777777" w:rsidR="002D7026" w:rsidRPr="00AE1B80" w:rsidRDefault="002D7026"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1172" w:type="pct"/>
            <w:tcBorders>
              <w:top w:val="nil"/>
            </w:tcBorders>
            <w:shd w:val="clear" w:color="auto" w:fill="auto"/>
          </w:tcPr>
          <w:p w14:paraId="240B9AAE" w14:textId="13642DD9" w:rsidR="002D7026" w:rsidRPr="00AE1B80" w:rsidRDefault="002D7026" w:rsidP="00913D02">
            <w:pPr>
              <w:widowControl w:val="0"/>
              <w:tabs>
                <w:tab w:val="clear" w:pos="567"/>
              </w:tabs>
              <w:suppressAutoHyphens w:val="0"/>
              <w:autoSpaceDE w:val="0"/>
              <w:autoSpaceDN w:val="0"/>
              <w:spacing w:line="228" w:lineRule="exact"/>
              <w:rPr>
                <w:rFonts w:eastAsia="Calibri"/>
                <w:color w:val="auto"/>
                <w:sz w:val="22"/>
                <w:szCs w:val="22"/>
                <w:lang w:val="en-US" w:eastAsia="en-US"/>
              </w:rPr>
            </w:pPr>
            <w:r w:rsidRPr="00AE1B80">
              <w:rPr>
                <w:rFonts w:eastAsia="Calibri"/>
                <w:color w:val="auto"/>
                <w:sz w:val="22"/>
                <w:szCs w:val="22"/>
                <w:lang w:val="en-US" w:eastAsia="en-US"/>
              </w:rPr>
              <w:t>0,4</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 3,0</w:t>
            </w:r>
            <w:r w:rsidR="008C3DF7">
              <w:rPr>
                <w:rFonts w:eastAsia="Calibri"/>
                <w:color w:val="auto"/>
                <w:sz w:val="22"/>
                <w:szCs w:val="22"/>
                <w:lang w:val="en-US" w:eastAsia="en-US"/>
              </w:rPr>
              <w:t> %</w:t>
            </w:r>
            <w:r w:rsidRPr="00AE1B80">
              <w:rPr>
                <w:rFonts w:eastAsia="Calibri"/>
                <w:color w:val="auto"/>
                <w:sz w:val="22"/>
                <w:szCs w:val="22"/>
                <w:lang w:val="en-US" w:eastAsia="en-US"/>
              </w:rPr>
              <w:t>)</w:t>
            </w:r>
          </w:p>
        </w:tc>
        <w:tc>
          <w:tcPr>
            <w:tcW w:w="955" w:type="pct"/>
            <w:tcBorders>
              <w:top w:val="nil"/>
            </w:tcBorders>
            <w:shd w:val="clear" w:color="auto" w:fill="auto"/>
          </w:tcPr>
          <w:p w14:paraId="6C39C858" w14:textId="600985DD" w:rsidR="002D7026" w:rsidRPr="00AE1B80" w:rsidRDefault="002D7026" w:rsidP="00913D02">
            <w:pPr>
              <w:widowControl w:val="0"/>
              <w:tabs>
                <w:tab w:val="clear" w:pos="567"/>
              </w:tabs>
              <w:suppressAutoHyphens w:val="0"/>
              <w:autoSpaceDE w:val="0"/>
              <w:autoSpaceDN w:val="0"/>
              <w:spacing w:line="228" w:lineRule="exact"/>
              <w:rPr>
                <w:rFonts w:eastAsia="Calibri"/>
                <w:color w:val="auto"/>
                <w:sz w:val="22"/>
                <w:szCs w:val="22"/>
                <w:lang w:val="en-US" w:eastAsia="en-US"/>
              </w:rPr>
            </w:pPr>
            <w:r w:rsidRPr="00AE1B80">
              <w:rPr>
                <w:rFonts w:eastAsia="Calibri"/>
                <w:color w:val="auto"/>
                <w:sz w:val="22"/>
                <w:szCs w:val="22"/>
                <w:lang w:val="en-US" w:eastAsia="en-US"/>
              </w:rPr>
              <w:t>1,2</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- 6,6</w:t>
            </w:r>
            <w:r w:rsidR="008C3DF7">
              <w:rPr>
                <w:rFonts w:eastAsia="Calibri"/>
                <w:color w:val="auto"/>
                <w:sz w:val="22"/>
                <w:szCs w:val="22"/>
                <w:lang w:val="en-US" w:eastAsia="en-US"/>
              </w:rPr>
              <w:t> %</w:t>
            </w:r>
            <w:r w:rsidRPr="00AE1B80">
              <w:rPr>
                <w:rFonts w:eastAsia="Calibri"/>
                <w:color w:val="auto"/>
                <w:sz w:val="22"/>
                <w:szCs w:val="22"/>
                <w:lang w:val="en-US" w:eastAsia="en-US"/>
              </w:rPr>
              <w:t>)</w:t>
            </w:r>
          </w:p>
        </w:tc>
      </w:tr>
      <w:tr w:rsidR="002D7026" w:rsidRPr="00452D62" w14:paraId="371C897C" w14:textId="77777777" w:rsidTr="00913D02">
        <w:trPr>
          <w:trHeight w:val="257"/>
        </w:trPr>
        <w:tc>
          <w:tcPr>
            <w:tcW w:w="2873" w:type="pct"/>
            <w:tcBorders>
              <w:bottom w:val="nil"/>
            </w:tcBorders>
            <w:shd w:val="clear" w:color="auto" w:fill="auto"/>
          </w:tcPr>
          <w:p w14:paraId="2F4CF249" w14:textId="77777777" w:rsidR="002D7026" w:rsidRPr="00AE1B80" w:rsidRDefault="002D7026" w:rsidP="00913D02">
            <w:pPr>
              <w:widowControl w:val="0"/>
              <w:tabs>
                <w:tab w:val="clear" w:pos="567"/>
              </w:tabs>
              <w:suppressAutoHyphens w:val="0"/>
              <w:autoSpaceDE w:val="0"/>
              <w:autoSpaceDN w:val="0"/>
              <w:spacing w:line="238" w:lineRule="exact"/>
              <w:rPr>
                <w:rFonts w:eastAsia="Calibri"/>
                <w:color w:val="auto"/>
                <w:sz w:val="22"/>
              </w:rPr>
            </w:pPr>
            <w:r w:rsidRPr="00AE1B80">
              <w:rPr>
                <w:rFonts w:eastAsia="Calibri"/>
                <w:color w:val="auto"/>
                <w:sz w:val="22"/>
              </w:rPr>
              <w:t>Sud</w:t>
            </w:r>
            <w:r w:rsidRPr="00AE1B80">
              <w:rPr>
                <w:rFonts w:eastAsia="Calibri"/>
                <w:color w:val="auto"/>
                <w:sz w:val="22"/>
                <w:szCs w:val="22"/>
                <w:lang w:eastAsia="en-US"/>
              </w:rPr>
              <w:t>ėtiniai reiškiniai</w:t>
            </w:r>
            <w:r w:rsidRPr="00AE1B80">
              <w:rPr>
                <w:rFonts w:eastAsia="Calibri"/>
                <w:color w:val="auto"/>
                <w:sz w:val="22"/>
              </w:rPr>
              <w:t>: simptominė pasikartojanti VTE + besimtomis pablogėjimas, nustatytas kartojant vaizdo atkūrimo tyrimą</w:t>
            </w:r>
          </w:p>
        </w:tc>
        <w:tc>
          <w:tcPr>
            <w:tcW w:w="1172" w:type="pct"/>
            <w:tcBorders>
              <w:bottom w:val="nil"/>
            </w:tcBorders>
            <w:shd w:val="clear" w:color="auto" w:fill="auto"/>
          </w:tcPr>
          <w:p w14:paraId="35F7B15D" w14:textId="77777777" w:rsidR="002D7026" w:rsidRPr="00AE1B80" w:rsidRDefault="002D7026" w:rsidP="00913D02">
            <w:pPr>
              <w:widowControl w:val="0"/>
              <w:tabs>
                <w:tab w:val="clear" w:pos="567"/>
              </w:tabs>
              <w:suppressAutoHyphens w:val="0"/>
              <w:autoSpaceDE w:val="0"/>
              <w:autoSpaceDN w:val="0"/>
              <w:spacing w:line="238" w:lineRule="exact"/>
              <w:rPr>
                <w:rFonts w:eastAsia="Calibri"/>
                <w:color w:val="auto"/>
                <w:sz w:val="22"/>
                <w:szCs w:val="22"/>
                <w:lang w:val="en-US" w:eastAsia="en-US"/>
              </w:rPr>
            </w:pPr>
            <w:r w:rsidRPr="00AE1B80">
              <w:rPr>
                <w:rFonts w:eastAsia="Calibri"/>
                <w:color w:val="auto"/>
                <w:w w:val="99"/>
                <w:sz w:val="22"/>
                <w:szCs w:val="22"/>
                <w:lang w:val="en-US" w:eastAsia="en-US"/>
              </w:rPr>
              <w:t>5</w:t>
            </w:r>
          </w:p>
        </w:tc>
        <w:tc>
          <w:tcPr>
            <w:tcW w:w="955" w:type="pct"/>
            <w:tcBorders>
              <w:bottom w:val="nil"/>
            </w:tcBorders>
            <w:shd w:val="clear" w:color="auto" w:fill="auto"/>
          </w:tcPr>
          <w:p w14:paraId="7A5C0443" w14:textId="77777777" w:rsidR="002D7026" w:rsidRPr="00AE1B80" w:rsidRDefault="002D7026" w:rsidP="00913D02">
            <w:pPr>
              <w:widowControl w:val="0"/>
              <w:tabs>
                <w:tab w:val="clear" w:pos="567"/>
              </w:tabs>
              <w:suppressAutoHyphens w:val="0"/>
              <w:autoSpaceDE w:val="0"/>
              <w:autoSpaceDN w:val="0"/>
              <w:spacing w:line="238" w:lineRule="exact"/>
              <w:rPr>
                <w:rFonts w:eastAsia="Calibri"/>
                <w:color w:val="auto"/>
                <w:sz w:val="22"/>
                <w:szCs w:val="22"/>
                <w:lang w:val="en-US" w:eastAsia="en-US"/>
              </w:rPr>
            </w:pPr>
            <w:r w:rsidRPr="00AE1B80">
              <w:rPr>
                <w:rFonts w:eastAsia="Calibri"/>
                <w:color w:val="auto"/>
                <w:w w:val="99"/>
                <w:sz w:val="22"/>
                <w:szCs w:val="22"/>
                <w:lang w:val="en-US" w:eastAsia="en-US"/>
              </w:rPr>
              <w:t>6</w:t>
            </w:r>
          </w:p>
        </w:tc>
      </w:tr>
      <w:tr w:rsidR="002D7026" w:rsidRPr="00452D62" w14:paraId="7F68AF40" w14:textId="77777777" w:rsidTr="00913D02">
        <w:trPr>
          <w:trHeight w:val="252"/>
        </w:trPr>
        <w:tc>
          <w:tcPr>
            <w:tcW w:w="2873" w:type="pct"/>
            <w:tcBorders>
              <w:top w:val="nil"/>
              <w:bottom w:val="nil"/>
            </w:tcBorders>
            <w:shd w:val="clear" w:color="auto" w:fill="auto"/>
          </w:tcPr>
          <w:p w14:paraId="5CD3195C" w14:textId="77777777" w:rsidR="002D7026" w:rsidRPr="00AE1B80"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p>
        </w:tc>
        <w:tc>
          <w:tcPr>
            <w:tcW w:w="1172" w:type="pct"/>
            <w:tcBorders>
              <w:top w:val="nil"/>
              <w:bottom w:val="nil"/>
            </w:tcBorders>
            <w:shd w:val="clear" w:color="auto" w:fill="auto"/>
          </w:tcPr>
          <w:p w14:paraId="2980CAEB" w14:textId="05081B72" w:rsidR="002D7026" w:rsidRPr="00AE1B80"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E1B80">
              <w:rPr>
                <w:rFonts w:eastAsia="Calibri"/>
                <w:color w:val="auto"/>
                <w:sz w:val="22"/>
                <w:szCs w:val="22"/>
                <w:lang w:val="en-US" w:eastAsia="en-US"/>
              </w:rPr>
              <w:t>(1,5</w:t>
            </w:r>
            <w:r w:rsidR="008C3DF7">
              <w:rPr>
                <w:rFonts w:eastAsia="Calibri"/>
                <w:color w:val="auto"/>
                <w:sz w:val="22"/>
                <w:szCs w:val="22"/>
                <w:lang w:val="en-US" w:eastAsia="en-US"/>
              </w:rPr>
              <w:t> %</w:t>
            </w:r>
            <w:r w:rsidRPr="00AE1B80">
              <w:rPr>
                <w:rFonts w:eastAsia="Calibri"/>
                <w:color w:val="auto"/>
                <w:sz w:val="22"/>
                <w:szCs w:val="22"/>
                <w:lang w:val="en-US" w:eastAsia="en-US"/>
              </w:rPr>
              <w:t>, 95</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PI</w:t>
            </w:r>
          </w:p>
        </w:tc>
        <w:tc>
          <w:tcPr>
            <w:tcW w:w="955" w:type="pct"/>
            <w:tcBorders>
              <w:top w:val="nil"/>
              <w:bottom w:val="nil"/>
            </w:tcBorders>
            <w:shd w:val="clear" w:color="auto" w:fill="auto"/>
          </w:tcPr>
          <w:p w14:paraId="4CF573CF" w14:textId="45C2F840" w:rsidR="002D7026" w:rsidRPr="00AE1B80"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E1B80">
              <w:rPr>
                <w:rFonts w:eastAsia="Calibri"/>
                <w:color w:val="auto"/>
                <w:sz w:val="22"/>
                <w:szCs w:val="22"/>
                <w:lang w:val="en-US" w:eastAsia="en-US"/>
              </w:rPr>
              <w:t>(3,6</w:t>
            </w:r>
            <w:r w:rsidR="008C3DF7">
              <w:rPr>
                <w:rFonts w:eastAsia="Calibri"/>
                <w:color w:val="auto"/>
                <w:sz w:val="22"/>
                <w:szCs w:val="22"/>
                <w:lang w:val="en-US" w:eastAsia="en-US"/>
              </w:rPr>
              <w:t> %</w:t>
            </w:r>
            <w:r w:rsidRPr="00AE1B80">
              <w:rPr>
                <w:rFonts w:eastAsia="Calibri"/>
                <w:color w:val="auto"/>
                <w:sz w:val="22"/>
                <w:szCs w:val="22"/>
                <w:lang w:val="en-US" w:eastAsia="en-US"/>
              </w:rPr>
              <w:t>, 95</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PI</w:t>
            </w:r>
          </w:p>
        </w:tc>
      </w:tr>
      <w:tr w:rsidR="002D7026" w:rsidRPr="00452D62" w14:paraId="1362A703" w14:textId="77777777" w:rsidTr="00913D02">
        <w:trPr>
          <w:trHeight w:val="247"/>
        </w:trPr>
        <w:tc>
          <w:tcPr>
            <w:tcW w:w="2873" w:type="pct"/>
            <w:tcBorders>
              <w:top w:val="nil"/>
            </w:tcBorders>
            <w:shd w:val="clear" w:color="auto" w:fill="auto"/>
          </w:tcPr>
          <w:p w14:paraId="6E182F65" w14:textId="77777777" w:rsidR="002D7026" w:rsidRPr="00AE1B80" w:rsidRDefault="002D7026"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1172" w:type="pct"/>
            <w:tcBorders>
              <w:top w:val="nil"/>
            </w:tcBorders>
            <w:shd w:val="clear" w:color="auto" w:fill="auto"/>
          </w:tcPr>
          <w:p w14:paraId="30DF2D5A" w14:textId="286A6C33" w:rsidR="002D7026" w:rsidRPr="00AE1B80" w:rsidRDefault="002D7026" w:rsidP="00913D02">
            <w:pPr>
              <w:widowControl w:val="0"/>
              <w:tabs>
                <w:tab w:val="clear" w:pos="567"/>
              </w:tabs>
              <w:suppressAutoHyphens w:val="0"/>
              <w:autoSpaceDE w:val="0"/>
              <w:autoSpaceDN w:val="0"/>
              <w:spacing w:line="228" w:lineRule="exact"/>
              <w:rPr>
                <w:rFonts w:eastAsia="Calibri"/>
                <w:color w:val="auto"/>
                <w:sz w:val="22"/>
                <w:szCs w:val="22"/>
                <w:lang w:val="en-US" w:eastAsia="en-US"/>
              </w:rPr>
            </w:pPr>
            <w:r w:rsidRPr="00AE1B80">
              <w:rPr>
                <w:rFonts w:eastAsia="Calibri"/>
                <w:color w:val="auto"/>
                <w:sz w:val="22"/>
                <w:szCs w:val="22"/>
                <w:lang w:val="en-US" w:eastAsia="en-US"/>
              </w:rPr>
              <w:t>0,6</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 3,4</w:t>
            </w:r>
            <w:r w:rsidR="008C3DF7">
              <w:rPr>
                <w:rFonts w:eastAsia="Calibri"/>
                <w:color w:val="auto"/>
                <w:sz w:val="22"/>
                <w:szCs w:val="22"/>
                <w:lang w:val="en-US" w:eastAsia="en-US"/>
              </w:rPr>
              <w:t> %</w:t>
            </w:r>
            <w:r w:rsidRPr="00AE1B80">
              <w:rPr>
                <w:rFonts w:eastAsia="Calibri"/>
                <w:color w:val="auto"/>
                <w:sz w:val="22"/>
                <w:szCs w:val="22"/>
                <w:lang w:val="en-US" w:eastAsia="en-US"/>
              </w:rPr>
              <w:t>)</w:t>
            </w:r>
          </w:p>
        </w:tc>
        <w:tc>
          <w:tcPr>
            <w:tcW w:w="955" w:type="pct"/>
            <w:tcBorders>
              <w:top w:val="nil"/>
            </w:tcBorders>
            <w:shd w:val="clear" w:color="auto" w:fill="auto"/>
          </w:tcPr>
          <w:p w14:paraId="7CDBB2AE" w14:textId="059FF5A9" w:rsidR="002D7026" w:rsidRPr="00AE1B80" w:rsidRDefault="002D7026" w:rsidP="00913D02">
            <w:pPr>
              <w:widowControl w:val="0"/>
              <w:tabs>
                <w:tab w:val="clear" w:pos="567"/>
              </w:tabs>
              <w:suppressAutoHyphens w:val="0"/>
              <w:autoSpaceDE w:val="0"/>
              <w:autoSpaceDN w:val="0"/>
              <w:spacing w:line="228" w:lineRule="exact"/>
              <w:rPr>
                <w:rFonts w:eastAsia="Calibri"/>
                <w:color w:val="auto"/>
                <w:sz w:val="22"/>
                <w:szCs w:val="22"/>
                <w:lang w:val="en-US" w:eastAsia="en-US"/>
              </w:rPr>
            </w:pPr>
            <w:r w:rsidRPr="00AE1B80">
              <w:rPr>
                <w:rFonts w:eastAsia="Calibri"/>
                <w:color w:val="auto"/>
                <w:sz w:val="22"/>
                <w:szCs w:val="22"/>
                <w:lang w:val="en-US" w:eastAsia="en-US"/>
              </w:rPr>
              <w:t>1,6</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 7,6</w:t>
            </w:r>
            <w:r w:rsidR="008C3DF7">
              <w:rPr>
                <w:rFonts w:eastAsia="Calibri"/>
                <w:color w:val="auto"/>
                <w:sz w:val="22"/>
                <w:szCs w:val="22"/>
                <w:lang w:val="en-US" w:eastAsia="en-US"/>
              </w:rPr>
              <w:t> %</w:t>
            </w:r>
            <w:r w:rsidRPr="00AE1B80">
              <w:rPr>
                <w:rFonts w:eastAsia="Calibri"/>
                <w:color w:val="auto"/>
                <w:sz w:val="22"/>
                <w:szCs w:val="22"/>
                <w:lang w:val="en-US" w:eastAsia="en-US"/>
              </w:rPr>
              <w:t>)</w:t>
            </w:r>
          </w:p>
        </w:tc>
      </w:tr>
      <w:tr w:rsidR="002D7026" w:rsidRPr="00452D62" w14:paraId="428B0CE8" w14:textId="77777777" w:rsidTr="00913D02">
        <w:trPr>
          <w:trHeight w:val="257"/>
        </w:trPr>
        <w:tc>
          <w:tcPr>
            <w:tcW w:w="2873" w:type="pct"/>
            <w:tcBorders>
              <w:bottom w:val="nil"/>
            </w:tcBorders>
            <w:shd w:val="clear" w:color="auto" w:fill="auto"/>
          </w:tcPr>
          <w:p w14:paraId="4AADE3D9" w14:textId="77777777" w:rsidR="002D7026" w:rsidRPr="00AE1B80" w:rsidRDefault="002D7026" w:rsidP="00913D02">
            <w:pPr>
              <w:widowControl w:val="0"/>
              <w:tabs>
                <w:tab w:val="clear" w:pos="567"/>
              </w:tabs>
              <w:suppressAutoHyphens w:val="0"/>
              <w:autoSpaceDE w:val="0"/>
              <w:autoSpaceDN w:val="0"/>
              <w:spacing w:line="238" w:lineRule="exact"/>
              <w:rPr>
                <w:rFonts w:eastAsia="Calibri"/>
                <w:color w:val="auto"/>
                <w:sz w:val="22"/>
              </w:rPr>
            </w:pPr>
            <w:r w:rsidRPr="00AE1B80">
              <w:rPr>
                <w:sz w:val="22"/>
                <w:szCs w:val="22"/>
              </w:rPr>
              <w:t>Sudėtiniai reiškiniai: simptominė pasikartojanti VTE + besimptomis pablogėjimas + jokių pokyčių kartojant vaizdo atkūrimo tyrimą</w:t>
            </w:r>
          </w:p>
        </w:tc>
        <w:tc>
          <w:tcPr>
            <w:tcW w:w="1172" w:type="pct"/>
            <w:tcBorders>
              <w:bottom w:val="nil"/>
            </w:tcBorders>
            <w:shd w:val="clear" w:color="auto" w:fill="auto"/>
          </w:tcPr>
          <w:p w14:paraId="0C0AD9CC" w14:textId="77777777" w:rsidR="002D7026" w:rsidRPr="00AE1B80" w:rsidRDefault="002D7026" w:rsidP="00913D02">
            <w:pPr>
              <w:widowControl w:val="0"/>
              <w:tabs>
                <w:tab w:val="clear" w:pos="567"/>
              </w:tabs>
              <w:suppressAutoHyphens w:val="0"/>
              <w:autoSpaceDE w:val="0"/>
              <w:autoSpaceDN w:val="0"/>
              <w:spacing w:line="238" w:lineRule="exact"/>
              <w:rPr>
                <w:rFonts w:eastAsia="Calibri"/>
                <w:color w:val="auto"/>
                <w:sz w:val="22"/>
                <w:szCs w:val="22"/>
                <w:lang w:val="en-US" w:eastAsia="en-US"/>
              </w:rPr>
            </w:pPr>
            <w:r w:rsidRPr="00AE1B80">
              <w:rPr>
                <w:rFonts w:eastAsia="Calibri"/>
                <w:color w:val="auto"/>
                <w:sz w:val="22"/>
                <w:szCs w:val="22"/>
                <w:lang w:val="en-US" w:eastAsia="en-US"/>
              </w:rPr>
              <w:t>21</w:t>
            </w:r>
          </w:p>
        </w:tc>
        <w:tc>
          <w:tcPr>
            <w:tcW w:w="955" w:type="pct"/>
            <w:tcBorders>
              <w:bottom w:val="nil"/>
            </w:tcBorders>
            <w:shd w:val="clear" w:color="auto" w:fill="auto"/>
          </w:tcPr>
          <w:p w14:paraId="1752120C" w14:textId="77777777" w:rsidR="002D7026" w:rsidRPr="00AE1B80" w:rsidRDefault="002D7026" w:rsidP="00913D02">
            <w:pPr>
              <w:widowControl w:val="0"/>
              <w:tabs>
                <w:tab w:val="clear" w:pos="567"/>
              </w:tabs>
              <w:suppressAutoHyphens w:val="0"/>
              <w:autoSpaceDE w:val="0"/>
              <w:autoSpaceDN w:val="0"/>
              <w:spacing w:line="238" w:lineRule="exact"/>
              <w:rPr>
                <w:rFonts w:eastAsia="Calibri"/>
                <w:color w:val="auto"/>
                <w:sz w:val="22"/>
                <w:szCs w:val="22"/>
                <w:lang w:val="en-US" w:eastAsia="en-US"/>
              </w:rPr>
            </w:pPr>
            <w:r w:rsidRPr="00AE1B80">
              <w:rPr>
                <w:rFonts w:eastAsia="Calibri"/>
                <w:color w:val="auto"/>
                <w:sz w:val="22"/>
                <w:szCs w:val="22"/>
                <w:lang w:val="en-US" w:eastAsia="en-US"/>
              </w:rPr>
              <w:t>19</w:t>
            </w:r>
          </w:p>
        </w:tc>
      </w:tr>
      <w:tr w:rsidR="002D7026" w:rsidRPr="00452D62" w14:paraId="2A54AE48" w14:textId="77777777" w:rsidTr="00913D02">
        <w:trPr>
          <w:trHeight w:val="253"/>
        </w:trPr>
        <w:tc>
          <w:tcPr>
            <w:tcW w:w="2873" w:type="pct"/>
            <w:tcBorders>
              <w:top w:val="nil"/>
              <w:bottom w:val="nil"/>
            </w:tcBorders>
            <w:shd w:val="clear" w:color="auto" w:fill="auto"/>
          </w:tcPr>
          <w:p w14:paraId="6B7B031C" w14:textId="77777777" w:rsidR="002D7026" w:rsidRPr="00AE1B80"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p>
        </w:tc>
        <w:tc>
          <w:tcPr>
            <w:tcW w:w="1172" w:type="pct"/>
            <w:tcBorders>
              <w:top w:val="nil"/>
              <w:bottom w:val="nil"/>
            </w:tcBorders>
            <w:shd w:val="clear" w:color="auto" w:fill="auto"/>
          </w:tcPr>
          <w:p w14:paraId="6933396A" w14:textId="03211FDF" w:rsidR="002D7026" w:rsidRPr="00AE1B80"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E1B80">
              <w:rPr>
                <w:rFonts w:eastAsia="Calibri"/>
                <w:color w:val="auto"/>
                <w:sz w:val="22"/>
                <w:szCs w:val="22"/>
                <w:lang w:val="en-US" w:eastAsia="en-US"/>
              </w:rPr>
              <w:t>(6,3</w:t>
            </w:r>
            <w:r w:rsidR="008C3DF7">
              <w:rPr>
                <w:rFonts w:eastAsia="Calibri"/>
                <w:color w:val="auto"/>
                <w:sz w:val="22"/>
                <w:szCs w:val="22"/>
                <w:lang w:val="en-US" w:eastAsia="en-US"/>
              </w:rPr>
              <w:t> %</w:t>
            </w:r>
            <w:r w:rsidRPr="00AE1B80">
              <w:rPr>
                <w:rFonts w:eastAsia="Calibri"/>
                <w:color w:val="auto"/>
                <w:sz w:val="22"/>
                <w:szCs w:val="22"/>
                <w:lang w:val="en-US" w:eastAsia="en-US"/>
              </w:rPr>
              <w:t>, 95</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PI</w:t>
            </w:r>
          </w:p>
        </w:tc>
        <w:tc>
          <w:tcPr>
            <w:tcW w:w="955" w:type="pct"/>
            <w:tcBorders>
              <w:top w:val="nil"/>
              <w:bottom w:val="nil"/>
            </w:tcBorders>
            <w:shd w:val="clear" w:color="auto" w:fill="auto"/>
          </w:tcPr>
          <w:p w14:paraId="6D2E753E" w14:textId="70AE811F" w:rsidR="002D7026" w:rsidRPr="00AE1B80"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E1B80">
              <w:rPr>
                <w:rFonts w:eastAsia="Calibri"/>
                <w:color w:val="auto"/>
                <w:sz w:val="22"/>
                <w:szCs w:val="22"/>
                <w:lang w:val="en-US" w:eastAsia="en-US"/>
              </w:rPr>
              <w:t>(11,5</w:t>
            </w:r>
            <w:r w:rsidR="008C3DF7">
              <w:rPr>
                <w:rFonts w:eastAsia="Calibri"/>
                <w:color w:val="auto"/>
                <w:sz w:val="22"/>
                <w:szCs w:val="22"/>
                <w:lang w:val="en-US" w:eastAsia="en-US"/>
              </w:rPr>
              <w:t> %</w:t>
            </w:r>
            <w:r w:rsidRPr="00AE1B80">
              <w:rPr>
                <w:rFonts w:eastAsia="Calibri"/>
                <w:color w:val="auto"/>
                <w:sz w:val="22"/>
                <w:szCs w:val="22"/>
                <w:lang w:val="en-US" w:eastAsia="en-US"/>
              </w:rPr>
              <w:t>, 95</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PI</w:t>
            </w:r>
          </w:p>
        </w:tc>
      </w:tr>
      <w:tr w:rsidR="002D7026" w:rsidRPr="00452D62" w14:paraId="6B7477F0" w14:textId="77777777" w:rsidTr="00913D02">
        <w:trPr>
          <w:trHeight w:val="309"/>
        </w:trPr>
        <w:tc>
          <w:tcPr>
            <w:tcW w:w="2873" w:type="pct"/>
            <w:tcBorders>
              <w:top w:val="nil"/>
            </w:tcBorders>
            <w:shd w:val="clear" w:color="auto" w:fill="auto"/>
          </w:tcPr>
          <w:p w14:paraId="0DAEC338" w14:textId="77777777" w:rsidR="002D7026" w:rsidRPr="00AE1B80" w:rsidRDefault="002D7026" w:rsidP="00913D02">
            <w:pPr>
              <w:widowControl w:val="0"/>
              <w:tabs>
                <w:tab w:val="clear" w:pos="567"/>
              </w:tabs>
              <w:suppressAutoHyphens w:val="0"/>
              <w:autoSpaceDE w:val="0"/>
              <w:autoSpaceDN w:val="0"/>
              <w:spacing w:line="248" w:lineRule="exact"/>
              <w:rPr>
                <w:rFonts w:eastAsia="Calibri"/>
                <w:color w:val="auto"/>
                <w:sz w:val="22"/>
                <w:szCs w:val="22"/>
                <w:lang w:val="en-US" w:eastAsia="en-US"/>
              </w:rPr>
            </w:pPr>
          </w:p>
        </w:tc>
        <w:tc>
          <w:tcPr>
            <w:tcW w:w="1172" w:type="pct"/>
            <w:tcBorders>
              <w:top w:val="nil"/>
            </w:tcBorders>
            <w:shd w:val="clear" w:color="auto" w:fill="auto"/>
          </w:tcPr>
          <w:p w14:paraId="048404A1" w14:textId="05EFC061" w:rsidR="002D7026" w:rsidRPr="00AE1B80" w:rsidRDefault="002D7026" w:rsidP="00913D02">
            <w:pPr>
              <w:widowControl w:val="0"/>
              <w:tabs>
                <w:tab w:val="clear" w:pos="567"/>
              </w:tabs>
              <w:suppressAutoHyphens w:val="0"/>
              <w:autoSpaceDE w:val="0"/>
              <w:autoSpaceDN w:val="0"/>
              <w:spacing w:line="248" w:lineRule="exact"/>
              <w:rPr>
                <w:rFonts w:eastAsia="Calibri"/>
                <w:color w:val="auto"/>
                <w:sz w:val="22"/>
                <w:szCs w:val="22"/>
                <w:lang w:val="en-US" w:eastAsia="en-US"/>
              </w:rPr>
            </w:pPr>
            <w:r w:rsidRPr="00AE1B80">
              <w:rPr>
                <w:rFonts w:eastAsia="Calibri"/>
                <w:color w:val="auto"/>
                <w:sz w:val="22"/>
                <w:szCs w:val="22"/>
                <w:lang w:val="en-US" w:eastAsia="en-US"/>
              </w:rPr>
              <w:t>4,0</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 9,2</w:t>
            </w:r>
            <w:r w:rsidR="008C3DF7">
              <w:rPr>
                <w:rFonts w:eastAsia="Calibri"/>
                <w:color w:val="auto"/>
                <w:sz w:val="22"/>
                <w:szCs w:val="22"/>
                <w:lang w:val="en-US" w:eastAsia="en-US"/>
              </w:rPr>
              <w:t> %</w:t>
            </w:r>
            <w:r w:rsidRPr="00AE1B80">
              <w:rPr>
                <w:rFonts w:eastAsia="Calibri"/>
                <w:color w:val="auto"/>
                <w:sz w:val="22"/>
                <w:szCs w:val="22"/>
                <w:lang w:val="en-US" w:eastAsia="en-US"/>
              </w:rPr>
              <w:t>)</w:t>
            </w:r>
          </w:p>
        </w:tc>
        <w:tc>
          <w:tcPr>
            <w:tcW w:w="955" w:type="pct"/>
            <w:tcBorders>
              <w:top w:val="nil"/>
            </w:tcBorders>
            <w:shd w:val="clear" w:color="auto" w:fill="auto"/>
          </w:tcPr>
          <w:p w14:paraId="57B23A53" w14:textId="7D3ACEC5" w:rsidR="002D7026" w:rsidRPr="00AE1B80" w:rsidRDefault="002D7026" w:rsidP="00913D02">
            <w:pPr>
              <w:widowControl w:val="0"/>
              <w:tabs>
                <w:tab w:val="clear" w:pos="567"/>
              </w:tabs>
              <w:suppressAutoHyphens w:val="0"/>
              <w:autoSpaceDE w:val="0"/>
              <w:autoSpaceDN w:val="0"/>
              <w:spacing w:line="248" w:lineRule="exact"/>
              <w:rPr>
                <w:rFonts w:eastAsia="Calibri"/>
                <w:color w:val="auto"/>
                <w:sz w:val="22"/>
                <w:szCs w:val="22"/>
                <w:lang w:val="en-US" w:eastAsia="en-US"/>
              </w:rPr>
            </w:pPr>
            <w:r w:rsidRPr="00AE1B80">
              <w:rPr>
                <w:rFonts w:eastAsia="Calibri"/>
                <w:color w:val="auto"/>
                <w:sz w:val="22"/>
                <w:szCs w:val="22"/>
                <w:lang w:val="en-US" w:eastAsia="en-US"/>
              </w:rPr>
              <w:t>7,3</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 17,4</w:t>
            </w:r>
            <w:r w:rsidR="008C3DF7">
              <w:rPr>
                <w:rFonts w:eastAsia="Calibri"/>
                <w:color w:val="auto"/>
                <w:sz w:val="22"/>
                <w:szCs w:val="22"/>
                <w:lang w:val="en-US" w:eastAsia="en-US"/>
              </w:rPr>
              <w:t> %</w:t>
            </w:r>
            <w:r w:rsidRPr="00AE1B80">
              <w:rPr>
                <w:rFonts w:eastAsia="Calibri"/>
                <w:color w:val="auto"/>
                <w:sz w:val="22"/>
                <w:szCs w:val="22"/>
                <w:lang w:val="en-US" w:eastAsia="en-US"/>
              </w:rPr>
              <w:t>)</w:t>
            </w:r>
          </w:p>
        </w:tc>
      </w:tr>
      <w:tr w:rsidR="002D7026" w:rsidRPr="00452D62" w14:paraId="10B9B177" w14:textId="77777777" w:rsidTr="00913D02">
        <w:trPr>
          <w:trHeight w:val="257"/>
        </w:trPr>
        <w:tc>
          <w:tcPr>
            <w:tcW w:w="2873" w:type="pct"/>
            <w:tcBorders>
              <w:bottom w:val="nil"/>
            </w:tcBorders>
            <w:shd w:val="clear" w:color="auto" w:fill="auto"/>
          </w:tcPr>
          <w:p w14:paraId="6E2A20B4" w14:textId="77777777" w:rsidR="002D7026" w:rsidRPr="00AE1B80" w:rsidRDefault="002D7026" w:rsidP="00913D02">
            <w:pPr>
              <w:widowControl w:val="0"/>
              <w:tabs>
                <w:tab w:val="clear" w:pos="567"/>
              </w:tabs>
              <w:suppressAutoHyphens w:val="0"/>
              <w:autoSpaceDE w:val="0"/>
              <w:autoSpaceDN w:val="0"/>
              <w:spacing w:line="238" w:lineRule="exact"/>
              <w:rPr>
                <w:rFonts w:eastAsia="Calibri"/>
                <w:color w:val="auto"/>
                <w:sz w:val="22"/>
                <w:lang w:val="pt-PT"/>
              </w:rPr>
            </w:pPr>
            <w:r w:rsidRPr="00AE1B80">
              <w:rPr>
                <w:rFonts w:eastAsia="Calibri"/>
                <w:color w:val="auto"/>
                <w:sz w:val="22"/>
                <w:lang w:val="pt-PT"/>
              </w:rPr>
              <w:t>Normalus vaizdas, kartojant vaizdo atkūrimo tyrimą</w:t>
            </w:r>
          </w:p>
        </w:tc>
        <w:tc>
          <w:tcPr>
            <w:tcW w:w="1172" w:type="pct"/>
            <w:tcBorders>
              <w:bottom w:val="nil"/>
            </w:tcBorders>
            <w:shd w:val="clear" w:color="auto" w:fill="auto"/>
          </w:tcPr>
          <w:p w14:paraId="61359698" w14:textId="77777777" w:rsidR="002D7026" w:rsidRPr="00AE1B80" w:rsidRDefault="002D7026" w:rsidP="00913D02">
            <w:pPr>
              <w:widowControl w:val="0"/>
              <w:tabs>
                <w:tab w:val="clear" w:pos="567"/>
              </w:tabs>
              <w:suppressAutoHyphens w:val="0"/>
              <w:autoSpaceDE w:val="0"/>
              <w:autoSpaceDN w:val="0"/>
              <w:spacing w:line="238" w:lineRule="exact"/>
              <w:rPr>
                <w:rFonts w:eastAsia="Calibri"/>
                <w:color w:val="auto"/>
                <w:sz w:val="22"/>
                <w:szCs w:val="22"/>
                <w:lang w:val="en-US" w:eastAsia="en-US"/>
              </w:rPr>
            </w:pPr>
            <w:r w:rsidRPr="00AE1B80">
              <w:rPr>
                <w:rFonts w:eastAsia="Calibri"/>
                <w:color w:val="auto"/>
                <w:sz w:val="22"/>
                <w:szCs w:val="22"/>
                <w:lang w:val="en-US" w:eastAsia="en-US"/>
              </w:rPr>
              <w:t>128</w:t>
            </w:r>
          </w:p>
        </w:tc>
        <w:tc>
          <w:tcPr>
            <w:tcW w:w="955" w:type="pct"/>
            <w:tcBorders>
              <w:bottom w:val="nil"/>
            </w:tcBorders>
            <w:shd w:val="clear" w:color="auto" w:fill="auto"/>
          </w:tcPr>
          <w:p w14:paraId="5FDF3323" w14:textId="77777777" w:rsidR="002D7026" w:rsidRPr="00AE1B80" w:rsidRDefault="002D7026" w:rsidP="00913D02">
            <w:pPr>
              <w:widowControl w:val="0"/>
              <w:tabs>
                <w:tab w:val="clear" w:pos="567"/>
              </w:tabs>
              <w:suppressAutoHyphens w:val="0"/>
              <w:autoSpaceDE w:val="0"/>
              <w:autoSpaceDN w:val="0"/>
              <w:spacing w:line="238" w:lineRule="exact"/>
              <w:rPr>
                <w:rFonts w:eastAsia="Calibri"/>
                <w:color w:val="auto"/>
                <w:sz w:val="22"/>
                <w:szCs w:val="22"/>
                <w:lang w:val="en-US" w:eastAsia="en-US"/>
              </w:rPr>
            </w:pPr>
            <w:r w:rsidRPr="00AE1B80">
              <w:rPr>
                <w:rFonts w:eastAsia="Calibri"/>
                <w:color w:val="auto"/>
                <w:sz w:val="22"/>
                <w:szCs w:val="22"/>
                <w:lang w:val="en-US" w:eastAsia="en-US"/>
              </w:rPr>
              <w:t>43</w:t>
            </w:r>
          </w:p>
        </w:tc>
      </w:tr>
      <w:tr w:rsidR="002D7026" w:rsidRPr="00452D62" w14:paraId="2FFAC4D2" w14:textId="77777777" w:rsidTr="00913D02">
        <w:trPr>
          <w:trHeight w:val="253"/>
        </w:trPr>
        <w:tc>
          <w:tcPr>
            <w:tcW w:w="2873" w:type="pct"/>
            <w:tcBorders>
              <w:top w:val="nil"/>
              <w:bottom w:val="nil"/>
            </w:tcBorders>
            <w:shd w:val="clear" w:color="auto" w:fill="auto"/>
          </w:tcPr>
          <w:p w14:paraId="3ED9DD59" w14:textId="77777777" w:rsidR="002D7026" w:rsidRPr="00AE1B80" w:rsidRDefault="002D7026"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1172" w:type="pct"/>
            <w:tcBorders>
              <w:top w:val="nil"/>
              <w:bottom w:val="nil"/>
            </w:tcBorders>
            <w:shd w:val="clear" w:color="auto" w:fill="auto"/>
          </w:tcPr>
          <w:p w14:paraId="470D853C" w14:textId="68E0EE1A" w:rsidR="002D7026" w:rsidRPr="00AE1B80"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E1B80">
              <w:rPr>
                <w:rFonts w:eastAsia="Calibri"/>
                <w:color w:val="auto"/>
                <w:sz w:val="22"/>
                <w:szCs w:val="22"/>
                <w:lang w:val="en-US" w:eastAsia="en-US"/>
              </w:rPr>
              <w:t>(38,2</w:t>
            </w:r>
            <w:r w:rsidR="008C3DF7">
              <w:rPr>
                <w:rFonts w:eastAsia="Calibri"/>
                <w:color w:val="auto"/>
                <w:sz w:val="22"/>
                <w:szCs w:val="22"/>
                <w:lang w:val="en-US" w:eastAsia="en-US"/>
              </w:rPr>
              <w:t> %</w:t>
            </w:r>
            <w:r w:rsidRPr="00AE1B80">
              <w:rPr>
                <w:rFonts w:eastAsia="Calibri"/>
                <w:color w:val="auto"/>
                <w:sz w:val="22"/>
                <w:szCs w:val="22"/>
                <w:lang w:val="en-US" w:eastAsia="en-US"/>
              </w:rPr>
              <w:t>, 95</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PI</w:t>
            </w:r>
          </w:p>
        </w:tc>
        <w:tc>
          <w:tcPr>
            <w:tcW w:w="955" w:type="pct"/>
            <w:tcBorders>
              <w:top w:val="nil"/>
              <w:bottom w:val="nil"/>
            </w:tcBorders>
            <w:shd w:val="clear" w:color="auto" w:fill="auto"/>
          </w:tcPr>
          <w:p w14:paraId="6CBD29D5" w14:textId="0B70D0F4" w:rsidR="002D7026" w:rsidRPr="00AE1B80"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E1B80">
              <w:rPr>
                <w:rFonts w:eastAsia="Calibri"/>
                <w:color w:val="auto"/>
                <w:sz w:val="22"/>
                <w:szCs w:val="22"/>
                <w:lang w:val="en-US" w:eastAsia="en-US"/>
              </w:rPr>
              <w:t>(26,1</w:t>
            </w:r>
            <w:r w:rsidR="008C3DF7">
              <w:rPr>
                <w:rFonts w:eastAsia="Calibri"/>
                <w:color w:val="auto"/>
                <w:sz w:val="22"/>
                <w:szCs w:val="22"/>
                <w:lang w:val="en-US" w:eastAsia="en-US"/>
              </w:rPr>
              <w:t> %</w:t>
            </w:r>
            <w:r w:rsidRPr="00AE1B80">
              <w:rPr>
                <w:rFonts w:eastAsia="Calibri"/>
                <w:color w:val="auto"/>
                <w:sz w:val="22"/>
                <w:szCs w:val="22"/>
                <w:lang w:val="en-US" w:eastAsia="en-US"/>
              </w:rPr>
              <w:t>, 95</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PI</w:t>
            </w:r>
          </w:p>
        </w:tc>
      </w:tr>
      <w:tr w:rsidR="002D7026" w:rsidRPr="00452D62" w14:paraId="011916D2" w14:textId="77777777" w:rsidTr="00913D02">
        <w:trPr>
          <w:trHeight w:val="336"/>
        </w:trPr>
        <w:tc>
          <w:tcPr>
            <w:tcW w:w="2873" w:type="pct"/>
            <w:tcBorders>
              <w:top w:val="nil"/>
            </w:tcBorders>
            <w:shd w:val="clear" w:color="auto" w:fill="auto"/>
          </w:tcPr>
          <w:p w14:paraId="425D6A41" w14:textId="77777777" w:rsidR="002D7026" w:rsidRPr="00AE1B80" w:rsidRDefault="002D7026"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1172" w:type="pct"/>
            <w:tcBorders>
              <w:top w:val="nil"/>
            </w:tcBorders>
            <w:shd w:val="clear" w:color="auto" w:fill="auto"/>
          </w:tcPr>
          <w:p w14:paraId="14C221C6" w14:textId="0B61D604" w:rsidR="002D7026" w:rsidRPr="00AE1B80" w:rsidRDefault="002D7026" w:rsidP="00913D02">
            <w:pPr>
              <w:widowControl w:val="0"/>
              <w:tabs>
                <w:tab w:val="clear" w:pos="567"/>
              </w:tabs>
              <w:suppressAutoHyphens w:val="0"/>
              <w:autoSpaceDE w:val="0"/>
              <w:autoSpaceDN w:val="0"/>
              <w:spacing w:line="248" w:lineRule="exact"/>
              <w:rPr>
                <w:rFonts w:eastAsia="Calibri"/>
                <w:color w:val="auto"/>
                <w:sz w:val="22"/>
                <w:szCs w:val="22"/>
                <w:lang w:val="en-US" w:eastAsia="en-US"/>
              </w:rPr>
            </w:pPr>
            <w:r w:rsidRPr="00AE1B80">
              <w:rPr>
                <w:rFonts w:eastAsia="Calibri"/>
                <w:color w:val="auto"/>
                <w:sz w:val="22"/>
                <w:szCs w:val="22"/>
                <w:lang w:val="en-US" w:eastAsia="en-US"/>
              </w:rPr>
              <w:t>33,0</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- 43,5</w:t>
            </w:r>
            <w:r w:rsidR="008C3DF7">
              <w:rPr>
                <w:rFonts w:eastAsia="Calibri"/>
                <w:color w:val="auto"/>
                <w:sz w:val="22"/>
                <w:szCs w:val="22"/>
                <w:lang w:val="en-US" w:eastAsia="en-US"/>
              </w:rPr>
              <w:t> %</w:t>
            </w:r>
            <w:r w:rsidRPr="00AE1B80">
              <w:rPr>
                <w:rFonts w:eastAsia="Calibri"/>
                <w:color w:val="auto"/>
                <w:sz w:val="22"/>
                <w:szCs w:val="22"/>
                <w:lang w:val="en-US" w:eastAsia="en-US"/>
              </w:rPr>
              <w:t>)</w:t>
            </w:r>
          </w:p>
        </w:tc>
        <w:tc>
          <w:tcPr>
            <w:tcW w:w="955" w:type="pct"/>
            <w:tcBorders>
              <w:top w:val="nil"/>
            </w:tcBorders>
            <w:shd w:val="clear" w:color="auto" w:fill="auto"/>
          </w:tcPr>
          <w:p w14:paraId="76965A74" w14:textId="246C4934" w:rsidR="002D7026" w:rsidRPr="00AE1B80" w:rsidRDefault="002D7026" w:rsidP="00913D02">
            <w:pPr>
              <w:widowControl w:val="0"/>
              <w:tabs>
                <w:tab w:val="clear" w:pos="567"/>
              </w:tabs>
              <w:suppressAutoHyphens w:val="0"/>
              <w:autoSpaceDE w:val="0"/>
              <w:autoSpaceDN w:val="0"/>
              <w:spacing w:line="248" w:lineRule="exact"/>
              <w:rPr>
                <w:rFonts w:eastAsia="Calibri"/>
                <w:color w:val="auto"/>
                <w:sz w:val="22"/>
                <w:szCs w:val="22"/>
                <w:lang w:val="en-US" w:eastAsia="en-US"/>
              </w:rPr>
            </w:pPr>
            <w:r w:rsidRPr="00AE1B80">
              <w:rPr>
                <w:rFonts w:eastAsia="Calibri"/>
                <w:color w:val="auto"/>
                <w:sz w:val="22"/>
                <w:szCs w:val="22"/>
                <w:lang w:val="en-US" w:eastAsia="en-US"/>
              </w:rPr>
              <w:t>19,8</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- 33.0</w:t>
            </w:r>
            <w:r w:rsidR="008C3DF7">
              <w:rPr>
                <w:rFonts w:eastAsia="Calibri"/>
                <w:color w:val="auto"/>
                <w:sz w:val="22"/>
                <w:szCs w:val="22"/>
                <w:lang w:val="en-US" w:eastAsia="en-US"/>
              </w:rPr>
              <w:t> %</w:t>
            </w:r>
            <w:r w:rsidRPr="00AE1B80">
              <w:rPr>
                <w:rFonts w:eastAsia="Calibri"/>
                <w:color w:val="auto"/>
                <w:sz w:val="22"/>
                <w:szCs w:val="22"/>
                <w:lang w:val="en-US" w:eastAsia="en-US"/>
              </w:rPr>
              <w:t>)</w:t>
            </w:r>
          </w:p>
        </w:tc>
      </w:tr>
      <w:tr w:rsidR="002D7026" w:rsidRPr="00452D62" w14:paraId="7070E1EE" w14:textId="77777777" w:rsidTr="00913D02">
        <w:trPr>
          <w:trHeight w:val="257"/>
        </w:trPr>
        <w:tc>
          <w:tcPr>
            <w:tcW w:w="2873" w:type="pct"/>
            <w:tcBorders>
              <w:bottom w:val="nil"/>
            </w:tcBorders>
            <w:shd w:val="clear" w:color="auto" w:fill="auto"/>
          </w:tcPr>
          <w:p w14:paraId="3A8D2160" w14:textId="77777777" w:rsidR="002D7026" w:rsidRPr="00AE1B80" w:rsidRDefault="002D7026" w:rsidP="00913D02">
            <w:pPr>
              <w:widowControl w:val="0"/>
              <w:tabs>
                <w:tab w:val="clear" w:pos="567"/>
              </w:tabs>
              <w:suppressAutoHyphens w:val="0"/>
              <w:autoSpaceDE w:val="0"/>
              <w:autoSpaceDN w:val="0"/>
              <w:spacing w:line="238" w:lineRule="exact"/>
              <w:rPr>
                <w:rFonts w:eastAsia="Calibri"/>
                <w:color w:val="auto"/>
                <w:sz w:val="22"/>
              </w:rPr>
            </w:pPr>
            <w:r w:rsidRPr="00AE1B80">
              <w:rPr>
                <w:sz w:val="22"/>
                <w:szCs w:val="22"/>
              </w:rPr>
              <w:t>Sudėtiniai reiškiniai: simptominė pasikartojanti VTE + didysis kraujavimas (grynoji klinikinė nauda)</w:t>
            </w:r>
          </w:p>
        </w:tc>
        <w:tc>
          <w:tcPr>
            <w:tcW w:w="1172" w:type="pct"/>
            <w:tcBorders>
              <w:bottom w:val="nil"/>
            </w:tcBorders>
            <w:shd w:val="clear" w:color="auto" w:fill="auto"/>
          </w:tcPr>
          <w:p w14:paraId="5346245C" w14:textId="77777777" w:rsidR="002D7026" w:rsidRPr="00AE1B80" w:rsidRDefault="002D7026" w:rsidP="00913D02">
            <w:pPr>
              <w:widowControl w:val="0"/>
              <w:tabs>
                <w:tab w:val="clear" w:pos="567"/>
              </w:tabs>
              <w:suppressAutoHyphens w:val="0"/>
              <w:autoSpaceDE w:val="0"/>
              <w:autoSpaceDN w:val="0"/>
              <w:spacing w:line="238" w:lineRule="exact"/>
              <w:rPr>
                <w:rFonts w:eastAsia="Calibri"/>
                <w:color w:val="auto"/>
                <w:sz w:val="22"/>
                <w:szCs w:val="22"/>
                <w:lang w:val="en-US" w:eastAsia="en-US"/>
              </w:rPr>
            </w:pPr>
            <w:r w:rsidRPr="00AE1B80">
              <w:rPr>
                <w:rFonts w:eastAsia="Calibri"/>
                <w:color w:val="auto"/>
                <w:w w:val="99"/>
                <w:sz w:val="22"/>
                <w:szCs w:val="22"/>
                <w:lang w:val="en-US" w:eastAsia="en-US"/>
              </w:rPr>
              <w:t>4</w:t>
            </w:r>
          </w:p>
        </w:tc>
        <w:tc>
          <w:tcPr>
            <w:tcW w:w="955" w:type="pct"/>
            <w:tcBorders>
              <w:bottom w:val="nil"/>
            </w:tcBorders>
            <w:shd w:val="clear" w:color="auto" w:fill="auto"/>
          </w:tcPr>
          <w:p w14:paraId="44EDC379" w14:textId="77777777" w:rsidR="002D7026" w:rsidRPr="00AE1B80" w:rsidRDefault="002D7026" w:rsidP="00913D02">
            <w:pPr>
              <w:widowControl w:val="0"/>
              <w:tabs>
                <w:tab w:val="clear" w:pos="567"/>
              </w:tabs>
              <w:suppressAutoHyphens w:val="0"/>
              <w:autoSpaceDE w:val="0"/>
              <w:autoSpaceDN w:val="0"/>
              <w:spacing w:line="238" w:lineRule="exact"/>
              <w:rPr>
                <w:rFonts w:eastAsia="Calibri"/>
                <w:color w:val="auto"/>
                <w:sz w:val="22"/>
                <w:szCs w:val="22"/>
                <w:lang w:val="en-US" w:eastAsia="en-US"/>
              </w:rPr>
            </w:pPr>
            <w:r w:rsidRPr="00AE1B80">
              <w:rPr>
                <w:rFonts w:eastAsia="Calibri"/>
                <w:color w:val="auto"/>
                <w:w w:val="99"/>
                <w:sz w:val="22"/>
                <w:szCs w:val="22"/>
                <w:lang w:val="en-US" w:eastAsia="en-US"/>
              </w:rPr>
              <w:t>7</w:t>
            </w:r>
          </w:p>
        </w:tc>
      </w:tr>
      <w:tr w:rsidR="002D7026" w:rsidRPr="00452D62" w14:paraId="6BAA6BC8" w14:textId="77777777" w:rsidTr="00913D02">
        <w:trPr>
          <w:trHeight w:val="253"/>
        </w:trPr>
        <w:tc>
          <w:tcPr>
            <w:tcW w:w="2873" w:type="pct"/>
            <w:tcBorders>
              <w:top w:val="nil"/>
              <w:bottom w:val="nil"/>
            </w:tcBorders>
            <w:shd w:val="clear" w:color="auto" w:fill="auto"/>
          </w:tcPr>
          <w:p w14:paraId="359853A9" w14:textId="77777777" w:rsidR="002D7026" w:rsidRPr="00AE1B80"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p>
        </w:tc>
        <w:tc>
          <w:tcPr>
            <w:tcW w:w="1172" w:type="pct"/>
            <w:tcBorders>
              <w:top w:val="nil"/>
              <w:bottom w:val="nil"/>
            </w:tcBorders>
            <w:shd w:val="clear" w:color="auto" w:fill="auto"/>
          </w:tcPr>
          <w:p w14:paraId="2FCE38F6" w14:textId="58241DE6" w:rsidR="002D7026" w:rsidRPr="00AE1B80"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E1B80">
              <w:rPr>
                <w:rFonts w:eastAsia="Calibri"/>
                <w:color w:val="auto"/>
                <w:sz w:val="22"/>
                <w:szCs w:val="22"/>
                <w:lang w:val="en-US" w:eastAsia="en-US"/>
              </w:rPr>
              <w:t>(1,2</w:t>
            </w:r>
            <w:r w:rsidR="008C3DF7">
              <w:rPr>
                <w:rFonts w:eastAsia="Calibri"/>
                <w:color w:val="auto"/>
                <w:sz w:val="22"/>
                <w:szCs w:val="22"/>
                <w:lang w:val="en-US" w:eastAsia="en-US"/>
              </w:rPr>
              <w:t> %</w:t>
            </w:r>
            <w:r w:rsidRPr="00AE1B80">
              <w:rPr>
                <w:rFonts w:eastAsia="Calibri"/>
                <w:color w:val="auto"/>
                <w:sz w:val="22"/>
                <w:szCs w:val="22"/>
                <w:lang w:val="en-US" w:eastAsia="en-US"/>
              </w:rPr>
              <w:t>, 95</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PI</w:t>
            </w:r>
          </w:p>
        </w:tc>
        <w:tc>
          <w:tcPr>
            <w:tcW w:w="955" w:type="pct"/>
            <w:tcBorders>
              <w:top w:val="nil"/>
              <w:bottom w:val="nil"/>
            </w:tcBorders>
            <w:shd w:val="clear" w:color="auto" w:fill="auto"/>
          </w:tcPr>
          <w:p w14:paraId="156C028C" w14:textId="7AC2F1D8" w:rsidR="002D7026" w:rsidRPr="00AE1B80"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E1B80">
              <w:rPr>
                <w:rFonts w:eastAsia="Calibri"/>
                <w:color w:val="auto"/>
                <w:sz w:val="22"/>
                <w:szCs w:val="22"/>
                <w:lang w:val="en-US" w:eastAsia="en-US"/>
              </w:rPr>
              <w:t>(4,2</w:t>
            </w:r>
            <w:r w:rsidR="008C3DF7">
              <w:rPr>
                <w:rFonts w:eastAsia="Calibri"/>
                <w:color w:val="auto"/>
                <w:sz w:val="22"/>
                <w:szCs w:val="22"/>
                <w:lang w:val="en-US" w:eastAsia="en-US"/>
              </w:rPr>
              <w:t> %</w:t>
            </w:r>
            <w:r w:rsidRPr="00AE1B80">
              <w:rPr>
                <w:rFonts w:eastAsia="Calibri"/>
                <w:color w:val="auto"/>
                <w:sz w:val="22"/>
                <w:szCs w:val="22"/>
                <w:lang w:val="en-US" w:eastAsia="en-US"/>
              </w:rPr>
              <w:t>, 95</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PI</w:t>
            </w:r>
          </w:p>
        </w:tc>
      </w:tr>
      <w:tr w:rsidR="002D7026" w:rsidRPr="00452D62" w14:paraId="0D14C9E3" w14:textId="77777777" w:rsidTr="00913D02">
        <w:trPr>
          <w:trHeight w:val="462"/>
        </w:trPr>
        <w:tc>
          <w:tcPr>
            <w:tcW w:w="2873" w:type="pct"/>
            <w:tcBorders>
              <w:top w:val="nil"/>
            </w:tcBorders>
            <w:shd w:val="clear" w:color="auto" w:fill="auto"/>
          </w:tcPr>
          <w:p w14:paraId="03F5B6F8" w14:textId="77777777" w:rsidR="002D7026" w:rsidRPr="00AE1B80" w:rsidRDefault="002D7026"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1172" w:type="pct"/>
            <w:tcBorders>
              <w:top w:val="nil"/>
            </w:tcBorders>
            <w:shd w:val="clear" w:color="auto" w:fill="auto"/>
          </w:tcPr>
          <w:p w14:paraId="0478FD5F" w14:textId="76FA13ED" w:rsidR="002D7026" w:rsidRPr="00AE1B80" w:rsidRDefault="002D7026" w:rsidP="00913D02">
            <w:pPr>
              <w:widowControl w:val="0"/>
              <w:tabs>
                <w:tab w:val="clear" w:pos="567"/>
              </w:tabs>
              <w:suppressAutoHyphens w:val="0"/>
              <w:autoSpaceDE w:val="0"/>
              <w:autoSpaceDN w:val="0"/>
              <w:spacing w:line="248" w:lineRule="exact"/>
              <w:rPr>
                <w:rFonts w:eastAsia="Calibri"/>
                <w:color w:val="auto"/>
                <w:sz w:val="22"/>
                <w:szCs w:val="22"/>
                <w:lang w:val="en-US" w:eastAsia="en-US"/>
              </w:rPr>
            </w:pPr>
            <w:r w:rsidRPr="00AE1B80">
              <w:rPr>
                <w:rFonts w:eastAsia="Calibri"/>
                <w:color w:val="auto"/>
                <w:sz w:val="22"/>
                <w:szCs w:val="22"/>
                <w:lang w:val="en-US" w:eastAsia="en-US"/>
              </w:rPr>
              <w:t>0,4</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- 3,0</w:t>
            </w:r>
            <w:r w:rsidR="008C3DF7">
              <w:rPr>
                <w:rFonts w:eastAsia="Calibri"/>
                <w:color w:val="auto"/>
                <w:sz w:val="22"/>
                <w:szCs w:val="22"/>
                <w:lang w:val="en-US" w:eastAsia="en-US"/>
              </w:rPr>
              <w:t> %</w:t>
            </w:r>
            <w:r w:rsidRPr="00AE1B80">
              <w:rPr>
                <w:rFonts w:eastAsia="Calibri"/>
                <w:color w:val="auto"/>
                <w:sz w:val="22"/>
                <w:szCs w:val="22"/>
                <w:lang w:val="en-US" w:eastAsia="en-US"/>
              </w:rPr>
              <w:t>)</w:t>
            </w:r>
          </w:p>
        </w:tc>
        <w:tc>
          <w:tcPr>
            <w:tcW w:w="955" w:type="pct"/>
            <w:tcBorders>
              <w:top w:val="nil"/>
            </w:tcBorders>
            <w:shd w:val="clear" w:color="auto" w:fill="auto"/>
          </w:tcPr>
          <w:p w14:paraId="309CDE9C" w14:textId="0173C2E4" w:rsidR="002D7026" w:rsidRPr="00AE1B80" w:rsidRDefault="002D7026" w:rsidP="00913D02">
            <w:pPr>
              <w:widowControl w:val="0"/>
              <w:tabs>
                <w:tab w:val="clear" w:pos="567"/>
              </w:tabs>
              <w:suppressAutoHyphens w:val="0"/>
              <w:autoSpaceDE w:val="0"/>
              <w:autoSpaceDN w:val="0"/>
              <w:spacing w:line="248" w:lineRule="exact"/>
              <w:rPr>
                <w:rFonts w:eastAsia="Calibri"/>
                <w:color w:val="auto"/>
                <w:sz w:val="22"/>
                <w:szCs w:val="22"/>
                <w:lang w:val="en-US" w:eastAsia="en-US"/>
              </w:rPr>
            </w:pPr>
            <w:r w:rsidRPr="00AE1B80">
              <w:rPr>
                <w:rFonts w:eastAsia="Calibri"/>
                <w:color w:val="auto"/>
                <w:sz w:val="22"/>
                <w:szCs w:val="22"/>
                <w:lang w:val="en-US" w:eastAsia="en-US"/>
              </w:rPr>
              <w:t>2,0</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- 8,4</w:t>
            </w:r>
            <w:r w:rsidR="008C3DF7">
              <w:rPr>
                <w:rFonts w:eastAsia="Calibri"/>
                <w:color w:val="auto"/>
                <w:sz w:val="22"/>
                <w:szCs w:val="22"/>
                <w:lang w:val="en-US" w:eastAsia="en-US"/>
              </w:rPr>
              <w:t> %</w:t>
            </w:r>
            <w:r w:rsidRPr="00AE1B80">
              <w:rPr>
                <w:rFonts w:eastAsia="Calibri"/>
                <w:color w:val="auto"/>
                <w:sz w:val="22"/>
                <w:szCs w:val="22"/>
                <w:lang w:val="en-US" w:eastAsia="en-US"/>
              </w:rPr>
              <w:t>)</w:t>
            </w:r>
          </w:p>
        </w:tc>
      </w:tr>
      <w:tr w:rsidR="002D7026" w:rsidRPr="00452D62" w14:paraId="7CD91D27" w14:textId="77777777" w:rsidTr="00913D02">
        <w:trPr>
          <w:trHeight w:val="256"/>
        </w:trPr>
        <w:tc>
          <w:tcPr>
            <w:tcW w:w="2873" w:type="pct"/>
            <w:tcBorders>
              <w:bottom w:val="nil"/>
            </w:tcBorders>
            <w:shd w:val="clear" w:color="auto" w:fill="auto"/>
          </w:tcPr>
          <w:p w14:paraId="7191BA51" w14:textId="77777777" w:rsidR="002D7026" w:rsidRPr="00AE1B80" w:rsidRDefault="002D7026" w:rsidP="00913D02">
            <w:pPr>
              <w:widowControl w:val="0"/>
              <w:tabs>
                <w:tab w:val="clear" w:pos="567"/>
              </w:tabs>
              <w:suppressAutoHyphens w:val="0"/>
              <w:autoSpaceDE w:val="0"/>
              <w:autoSpaceDN w:val="0"/>
              <w:spacing w:line="237" w:lineRule="exact"/>
              <w:rPr>
                <w:rFonts w:eastAsia="Calibri"/>
                <w:color w:val="auto"/>
                <w:sz w:val="22"/>
                <w:lang w:val="pt-PT"/>
              </w:rPr>
            </w:pPr>
            <w:r w:rsidRPr="00AE1B80">
              <w:rPr>
                <w:rFonts w:eastAsia="Calibri"/>
                <w:color w:val="auto"/>
                <w:sz w:val="22"/>
                <w:lang w:val="pt-PT"/>
              </w:rPr>
              <w:t>Mirtina arba ne mirtina plaučių embolija</w:t>
            </w:r>
          </w:p>
        </w:tc>
        <w:tc>
          <w:tcPr>
            <w:tcW w:w="1172" w:type="pct"/>
            <w:tcBorders>
              <w:bottom w:val="nil"/>
            </w:tcBorders>
            <w:shd w:val="clear" w:color="auto" w:fill="auto"/>
          </w:tcPr>
          <w:p w14:paraId="7EA59FBF" w14:textId="77777777" w:rsidR="002D7026" w:rsidRPr="00AE1B80" w:rsidRDefault="002D7026" w:rsidP="00913D02">
            <w:pPr>
              <w:widowControl w:val="0"/>
              <w:tabs>
                <w:tab w:val="clear" w:pos="567"/>
              </w:tabs>
              <w:suppressAutoHyphens w:val="0"/>
              <w:autoSpaceDE w:val="0"/>
              <w:autoSpaceDN w:val="0"/>
              <w:spacing w:line="237" w:lineRule="exact"/>
              <w:rPr>
                <w:rFonts w:eastAsia="Calibri"/>
                <w:color w:val="auto"/>
                <w:sz w:val="22"/>
                <w:szCs w:val="22"/>
                <w:lang w:val="en-US" w:eastAsia="en-US"/>
              </w:rPr>
            </w:pPr>
            <w:r w:rsidRPr="00AE1B80">
              <w:rPr>
                <w:rFonts w:eastAsia="Calibri"/>
                <w:color w:val="auto"/>
                <w:w w:val="99"/>
                <w:sz w:val="22"/>
                <w:szCs w:val="22"/>
                <w:lang w:val="en-US" w:eastAsia="en-US"/>
              </w:rPr>
              <w:t>1</w:t>
            </w:r>
          </w:p>
        </w:tc>
        <w:tc>
          <w:tcPr>
            <w:tcW w:w="955" w:type="pct"/>
            <w:tcBorders>
              <w:bottom w:val="nil"/>
            </w:tcBorders>
            <w:shd w:val="clear" w:color="auto" w:fill="auto"/>
          </w:tcPr>
          <w:p w14:paraId="32EE5900" w14:textId="77777777" w:rsidR="002D7026" w:rsidRPr="00AE1B80" w:rsidRDefault="002D7026" w:rsidP="00913D02">
            <w:pPr>
              <w:widowControl w:val="0"/>
              <w:tabs>
                <w:tab w:val="clear" w:pos="567"/>
              </w:tabs>
              <w:suppressAutoHyphens w:val="0"/>
              <w:autoSpaceDE w:val="0"/>
              <w:autoSpaceDN w:val="0"/>
              <w:spacing w:line="237" w:lineRule="exact"/>
              <w:rPr>
                <w:rFonts w:eastAsia="Calibri"/>
                <w:color w:val="auto"/>
                <w:sz w:val="22"/>
                <w:szCs w:val="22"/>
                <w:lang w:val="en-US" w:eastAsia="en-US"/>
              </w:rPr>
            </w:pPr>
            <w:r w:rsidRPr="00AE1B80">
              <w:rPr>
                <w:rFonts w:eastAsia="Calibri"/>
                <w:color w:val="auto"/>
                <w:w w:val="99"/>
                <w:sz w:val="22"/>
                <w:szCs w:val="22"/>
                <w:lang w:val="en-US" w:eastAsia="en-US"/>
              </w:rPr>
              <w:t>1</w:t>
            </w:r>
          </w:p>
        </w:tc>
      </w:tr>
      <w:tr w:rsidR="002D7026" w:rsidRPr="00452D62" w14:paraId="1E2255ED" w14:textId="77777777" w:rsidTr="00913D02">
        <w:trPr>
          <w:trHeight w:val="252"/>
        </w:trPr>
        <w:tc>
          <w:tcPr>
            <w:tcW w:w="2873" w:type="pct"/>
            <w:tcBorders>
              <w:top w:val="nil"/>
              <w:bottom w:val="nil"/>
            </w:tcBorders>
            <w:shd w:val="clear" w:color="auto" w:fill="auto"/>
          </w:tcPr>
          <w:p w14:paraId="30405E4D" w14:textId="77777777" w:rsidR="002D7026" w:rsidRPr="00AE1B80" w:rsidRDefault="002D7026"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1172" w:type="pct"/>
            <w:tcBorders>
              <w:top w:val="nil"/>
              <w:bottom w:val="nil"/>
            </w:tcBorders>
            <w:shd w:val="clear" w:color="auto" w:fill="auto"/>
          </w:tcPr>
          <w:p w14:paraId="306E70A3" w14:textId="63962127" w:rsidR="002D7026" w:rsidRPr="00AE1B80"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E1B80">
              <w:rPr>
                <w:rFonts w:eastAsia="Calibri"/>
                <w:color w:val="auto"/>
                <w:sz w:val="22"/>
                <w:szCs w:val="22"/>
                <w:lang w:val="en-US" w:eastAsia="en-US"/>
              </w:rPr>
              <w:t>(0,3</w:t>
            </w:r>
            <w:r w:rsidR="008C3DF7">
              <w:rPr>
                <w:rFonts w:eastAsia="Calibri"/>
                <w:color w:val="auto"/>
                <w:sz w:val="22"/>
                <w:szCs w:val="22"/>
                <w:lang w:val="en-US" w:eastAsia="en-US"/>
              </w:rPr>
              <w:t> %</w:t>
            </w:r>
            <w:r w:rsidRPr="00AE1B80">
              <w:rPr>
                <w:rFonts w:eastAsia="Calibri"/>
                <w:color w:val="auto"/>
                <w:sz w:val="22"/>
                <w:szCs w:val="22"/>
                <w:lang w:val="en-US" w:eastAsia="en-US"/>
              </w:rPr>
              <w:t>, 95</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PI</w:t>
            </w:r>
          </w:p>
        </w:tc>
        <w:tc>
          <w:tcPr>
            <w:tcW w:w="955" w:type="pct"/>
            <w:tcBorders>
              <w:top w:val="nil"/>
              <w:bottom w:val="nil"/>
            </w:tcBorders>
            <w:shd w:val="clear" w:color="auto" w:fill="auto"/>
          </w:tcPr>
          <w:p w14:paraId="17E3EDB1" w14:textId="5BC42A7E" w:rsidR="002D7026" w:rsidRPr="00AE1B80"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E1B80">
              <w:rPr>
                <w:rFonts w:eastAsia="Calibri"/>
                <w:color w:val="auto"/>
                <w:sz w:val="22"/>
                <w:szCs w:val="22"/>
                <w:lang w:val="en-US" w:eastAsia="en-US"/>
              </w:rPr>
              <w:t>(0,6</w:t>
            </w:r>
            <w:r w:rsidR="008C3DF7">
              <w:rPr>
                <w:rFonts w:eastAsia="Calibri"/>
                <w:color w:val="auto"/>
                <w:sz w:val="22"/>
                <w:szCs w:val="22"/>
                <w:lang w:val="en-US" w:eastAsia="en-US"/>
              </w:rPr>
              <w:t> %</w:t>
            </w:r>
            <w:r w:rsidRPr="00AE1B80">
              <w:rPr>
                <w:rFonts w:eastAsia="Calibri"/>
                <w:color w:val="auto"/>
                <w:sz w:val="22"/>
                <w:szCs w:val="22"/>
                <w:lang w:val="en-US" w:eastAsia="en-US"/>
              </w:rPr>
              <w:t>, 95</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PI</w:t>
            </w:r>
          </w:p>
        </w:tc>
      </w:tr>
      <w:tr w:rsidR="002D7026" w:rsidRPr="00452D62" w14:paraId="046B49AA" w14:textId="77777777" w:rsidTr="00913D02">
        <w:trPr>
          <w:trHeight w:val="334"/>
        </w:trPr>
        <w:tc>
          <w:tcPr>
            <w:tcW w:w="2873" w:type="pct"/>
            <w:tcBorders>
              <w:top w:val="nil"/>
              <w:bottom w:val="single" w:sz="4" w:space="0" w:color="000000"/>
            </w:tcBorders>
            <w:shd w:val="clear" w:color="auto" w:fill="auto"/>
          </w:tcPr>
          <w:p w14:paraId="26472889" w14:textId="77777777" w:rsidR="002D7026" w:rsidRPr="00AE1B80" w:rsidRDefault="002D7026"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1172" w:type="pct"/>
            <w:tcBorders>
              <w:top w:val="nil"/>
              <w:bottom w:val="single" w:sz="4" w:space="0" w:color="000000"/>
            </w:tcBorders>
            <w:shd w:val="clear" w:color="auto" w:fill="auto"/>
          </w:tcPr>
          <w:p w14:paraId="12EAD588" w14:textId="02D3FC1D" w:rsidR="002D7026" w:rsidRPr="00AE1B80" w:rsidRDefault="002D7026" w:rsidP="00913D02">
            <w:pPr>
              <w:widowControl w:val="0"/>
              <w:tabs>
                <w:tab w:val="clear" w:pos="567"/>
              </w:tabs>
              <w:suppressAutoHyphens w:val="0"/>
              <w:autoSpaceDE w:val="0"/>
              <w:autoSpaceDN w:val="0"/>
              <w:spacing w:line="248" w:lineRule="exact"/>
              <w:rPr>
                <w:rFonts w:eastAsia="Calibri"/>
                <w:color w:val="auto"/>
                <w:sz w:val="22"/>
                <w:szCs w:val="22"/>
                <w:lang w:val="en-US" w:eastAsia="en-US"/>
              </w:rPr>
            </w:pPr>
            <w:r w:rsidRPr="00AE1B80">
              <w:rPr>
                <w:rFonts w:eastAsia="Calibri"/>
                <w:color w:val="auto"/>
                <w:sz w:val="22"/>
                <w:szCs w:val="22"/>
                <w:lang w:val="en-US" w:eastAsia="en-US"/>
              </w:rPr>
              <w:t>0,0</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 1,6</w:t>
            </w:r>
            <w:r w:rsidR="008C3DF7">
              <w:rPr>
                <w:rFonts w:eastAsia="Calibri"/>
                <w:color w:val="auto"/>
                <w:sz w:val="22"/>
                <w:szCs w:val="22"/>
                <w:lang w:val="en-US" w:eastAsia="en-US"/>
              </w:rPr>
              <w:t> %</w:t>
            </w:r>
            <w:r w:rsidRPr="00AE1B80">
              <w:rPr>
                <w:rFonts w:eastAsia="Calibri"/>
                <w:color w:val="auto"/>
                <w:sz w:val="22"/>
                <w:szCs w:val="22"/>
                <w:lang w:val="en-US" w:eastAsia="en-US"/>
              </w:rPr>
              <w:t>)</w:t>
            </w:r>
          </w:p>
        </w:tc>
        <w:tc>
          <w:tcPr>
            <w:tcW w:w="955" w:type="pct"/>
            <w:tcBorders>
              <w:top w:val="nil"/>
              <w:bottom w:val="single" w:sz="4" w:space="0" w:color="000000"/>
            </w:tcBorders>
            <w:shd w:val="clear" w:color="auto" w:fill="auto"/>
          </w:tcPr>
          <w:p w14:paraId="560E7A01" w14:textId="72B365F6" w:rsidR="002D7026" w:rsidRPr="00AE1B80" w:rsidRDefault="002D7026" w:rsidP="00913D02">
            <w:pPr>
              <w:widowControl w:val="0"/>
              <w:tabs>
                <w:tab w:val="clear" w:pos="567"/>
              </w:tabs>
              <w:suppressAutoHyphens w:val="0"/>
              <w:autoSpaceDE w:val="0"/>
              <w:autoSpaceDN w:val="0"/>
              <w:spacing w:line="248" w:lineRule="exact"/>
              <w:rPr>
                <w:rFonts w:eastAsia="Calibri"/>
                <w:color w:val="auto"/>
                <w:sz w:val="22"/>
                <w:szCs w:val="22"/>
                <w:lang w:val="en-US" w:eastAsia="en-US"/>
              </w:rPr>
            </w:pPr>
            <w:r w:rsidRPr="00AE1B80">
              <w:rPr>
                <w:rFonts w:eastAsia="Calibri"/>
                <w:color w:val="auto"/>
                <w:sz w:val="22"/>
                <w:szCs w:val="22"/>
                <w:lang w:val="en-US" w:eastAsia="en-US"/>
              </w:rPr>
              <w:t>0,0</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 3,1</w:t>
            </w:r>
            <w:r w:rsidR="008C3DF7">
              <w:rPr>
                <w:rFonts w:eastAsia="Calibri"/>
                <w:color w:val="auto"/>
                <w:sz w:val="22"/>
                <w:szCs w:val="22"/>
                <w:lang w:val="en-US" w:eastAsia="en-US"/>
              </w:rPr>
              <w:t> %</w:t>
            </w:r>
            <w:r w:rsidRPr="00AE1B80">
              <w:rPr>
                <w:rFonts w:eastAsia="Calibri"/>
                <w:color w:val="auto"/>
                <w:sz w:val="22"/>
                <w:szCs w:val="22"/>
                <w:lang w:val="en-US" w:eastAsia="en-US"/>
              </w:rPr>
              <w:t>)</w:t>
            </w:r>
          </w:p>
        </w:tc>
      </w:tr>
    </w:tbl>
    <w:p w14:paraId="22F5B54F" w14:textId="77777777" w:rsidR="002D7026" w:rsidRPr="000877E9" w:rsidRDefault="002D7026" w:rsidP="002D7026">
      <w:pPr>
        <w:spacing w:line="240" w:lineRule="auto"/>
        <w:rPr>
          <w:sz w:val="22"/>
          <w:szCs w:val="22"/>
        </w:rPr>
      </w:pPr>
      <w:r w:rsidRPr="00452D62">
        <w:rPr>
          <w:sz w:val="22"/>
          <w:szCs w:val="22"/>
        </w:rPr>
        <w:t xml:space="preserve">*VAG = visa </w:t>
      </w:r>
      <w:r w:rsidRPr="000877E9">
        <w:rPr>
          <w:sz w:val="22"/>
          <w:szCs w:val="22"/>
        </w:rPr>
        <w:t>analizės grupė, visi vaikai, kurie buvo atrinkti atsitiktinių imčių būdu</w:t>
      </w:r>
    </w:p>
    <w:p w14:paraId="4739542B" w14:textId="77777777" w:rsidR="002D7026" w:rsidRPr="00452D62" w:rsidRDefault="002D7026" w:rsidP="002D7026">
      <w:pPr>
        <w:spacing w:line="240" w:lineRule="auto"/>
        <w:rPr>
          <w:sz w:val="22"/>
          <w:szCs w:val="22"/>
        </w:rPr>
      </w:pPr>
    </w:p>
    <w:p w14:paraId="7D5EBF7F" w14:textId="77777777" w:rsidR="002D7026" w:rsidRPr="00452D62" w:rsidRDefault="002D7026" w:rsidP="002D7026">
      <w:pPr>
        <w:spacing w:line="240" w:lineRule="auto"/>
        <w:rPr>
          <w:b/>
          <w:sz w:val="22"/>
          <w:szCs w:val="22"/>
        </w:rPr>
      </w:pPr>
      <w:r w:rsidRPr="00452D62">
        <w:rPr>
          <w:b/>
          <w:sz w:val="22"/>
          <w:szCs w:val="22"/>
        </w:rPr>
        <w:t>12 lentelė. Saugumo rezultatai pagrindinio gydymo laikotarpio pabaigoje</w:t>
      </w:r>
    </w:p>
    <w:tbl>
      <w:tblPr>
        <w:tblW w:w="5000" w:type="pct"/>
        <w:tblBorders>
          <w:top w:val="single" w:sz="4" w:space="0" w:color="7E7E7E"/>
          <w:left w:val="single" w:sz="4" w:space="0" w:color="7E7E7E"/>
          <w:bottom w:val="single" w:sz="4" w:space="0" w:color="7E7E7E"/>
          <w:right w:val="single" w:sz="4" w:space="0" w:color="7E7E7E"/>
          <w:insideH w:val="single" w:sz="4" w:space="0" w:color="7E7E7E"/>
          <w:insideV w:val="single" w:sz="4" w:space="0" w:color="7E7E7E"/>
        </w:tblBorders>
        <w:tblCellMar>
          <w:left w:w="0" w:type="dxa"/>
          <w:right w:w="0" w:type="dxa"/>
        </w:tblCellMar>
        <w:tblLook w:val="01E0" w:firstRow="1" w:lastRow="1" w:firstColumn="1" w:lastColumn="1" w:noHBand="0" w:noVBand="0"/>
      </w:tblPr>
      <w:tblGrid>
        <w:gridCol w:w="4990"/>
        <w:gridCol w:w="2035"/>
        <w:gridCol w:w="2035"/>
      </w:tblGrid>
      <w:tr w:rsidR="002D7026" w:rsidRPr="00452D62" w14:paraId="44676054" w14:textId="77777777" w:rsidTr="00913D02">
        <w:trPr>
          <w:trHeight w:val="506"/>
        </w:trPr>
        <w:tc>
          <w:tcPr>
            <w:tcW w:w="2753" w:type="pct"/>
            <w:shd w:val="clear" w:color="auto" w:fill="auto"/>
          </w:tcPr>
          <w:p w14:paraId="36E56F16" w14:textId="77777777" w:rsidR="002D7026" w:rsidRPr="00AE1B80" w:rsidRDefault="002D7026" w:rsidP="00913D02">
            <w:pPr>
              <w:widowControl w:val="0"/>
              <w:tabs>
                <w:tab w:val="clear" w:pos="567"/>
              </w:tabs>
              <w:suppressAutoHyphens w:val="0"/>
              <w:autoSpaceDE w:val="0"/>
              <w:autoSpaceDN w:val="0"/>
              <w:spacing w:line="240" w:lineRule="auto"/>
              <w:rPr>
                <w:rFonts w:eastAsia="Calibri"/>
                <w:color w:val="auto"/>
                <w:sz w:val="22"/>
                <w:lang w:val="pt-PT"/>
              </w:rPr>
            </w:pPr>
          </w:p>
        </w:tc>
        <w:tc>
          <w:tcPr>
            <w:tcW w:w="1123" w:type="pct"/>
            <w:shd w:val="clear" w:color="auto" w:fill="auto"/>
          </w:tcPr>
          <w:p w14:paraId="1AE373E3" w14:textId="77777777" w:rsidR="002D7026" w:rsidRPr="00AE1B80" w:rsidRDefault="002D7026" w:rsidP="00913D02">
            <w:pPr>
              <w:widowControl w:val="0"/>
              <w:tabs>
                <w:tab w:val="clear" w:pos="567"/>
              </w:tabs>
              <w:suppressAutoHyphens w:val="0"/>
              <w:autoSpaceDE w:val="0"/>
              <w:autoSpaceDN w:val="0"/>
              <w:spacing w:before="2" w:line="254" w:lineRule="exact"/>
              <w:rPr>
                <w:rFonts w:eastAsia="Calibri"/>
                <w:b/>
                <w:color w:val="auto"/>
                <w:sz w:val="22"/>
                <w:szCs w:val="22"/>
                <w:lang w:val="en-US" w:eastAsia="en-US"/>
              </w:rPr>
            </w:pPr>
            <w:r w:rsidRPr="00AE1B80">
              <w:rPr>
                <w:rFonts w:eastAsia="Calibri"/>
                <w:b/>
                <w:color w:val="auto"/>
                <w:sz w:val="22"/>
                <w:szCs w:val="22"/>
                <w:lang w:val="en-US" w:eastAsia="en-US"/>
              </w:rPr>
              <w:t>Rivaksabanas N=329*</w:t>
            </w:r>
          </w:p>
        </w:tc>
        <w:tc>
          <w:tcPr>
            <w:tcW w:w="1123" w:type="pct"/>
            <w:shd w:val="clear" w:color="auto" w:fill="auto"/>
          </w:tcPr>
          <w:p w14:paraId="22E19D97" w14:textId="77777777" w:rsidR="002D7026" w:rsidRPr="00AE1B80" w:rsidRDefault="002D7026" w:rsidP="00913D02">
            <w:pPr>
              <w:widowControl w:val="0"/>
              <w:tabs>
                <w:tab w:val="clear" w:pos="567"/>
              </w:tabs>
              <w:suppressAutoHyphens w:val="0"/>
              <w:autoSpaceDE w:val="0"/>
              <w:autoSpaceDN w:val="0"/>
              <w:spacing w:before="2" w:line="254" w:lineRule="exact"/>
              <w:rPr>
                <w:rFonts w:eastAsia="Calibri"/>
                <w:b/>
                <w:color w:val="auto"/>
                <w:sz w:val="22"/>
                <w:szCs w:val="22"/>
                <w:lang w:val="en-US" w:eastAsia="en-US"/>
              </w:rPr>
            </w:pPr>
            <w:r w:rsidRPr="00AE1B80">
              <w:rPr>
                <w:rFonts w:eastAsia="Calibri"/>
                <w:b/>
                <w:color w:val="auto"/>
                <w:sz w:val="22"/>
                <w:szCs w:val="22"/>
                <w:lang w:val="en-US" w:eastAsia="en-US"/>
              </w:rPr>
              <w:t>Palyginamasis vaistinis preparatas N=162*</w:t>
            </w:r>
          </w:p>
        </w:tc>
      </w:tr>
      <w:tr w:rsidR="002D7026" w:rsidRPr="00452D62" w14:paraId="35DFF6AB" w14:textId="77777777" w:rsidTr="00913D02">
        <w:trPr>
          <w:trHeight w:val="753"/>
        </w:trPr>
        <w:tc>
          <w:tcPr>
            <w:tcW w:w="2753" w:type="pct"/>
            <w:shd w:val="clear" w:color="auto" w:fill="auto"/>
          </w:tcPr>
          <w:p w14:paraId="4CE75261" w14:textId="77777777" w:rsidR="002D7026" w:rsidRPr="00AE1B80" w:rsidRDefault="002D7026" w:rsidP="00913D02">
            <w:pPr>
              <w:widowControl w:val="0"/>
              <w:tabs>
                <w:tab w:val="clear" w:pos="567"/>
              </w:tabs>
              <w:suppressAutoHyphens w:val="0"/>
              <w:autoSpaceDE w:val="0"/>
              <w:autoSpaceDN w:val="0"/>
              <w:spacing w:line="240" w:lineRule="auto"/>
              <w:rPr>
                <w:rFonts w:eastAsia="Calibri"/>
                <w:color w:val="auto"/>
                <w:sz w:val="22"/>
              </w:rPr>
            </w:pPr>
            <w:r w:rsidRPr="00AE1B80">
              <w:rPr>
                <w:rFonts w:eastAsia="Calibri"/>
                <w:color w:val="auto"/>
                <w:sz w:val="22"/>
              </w:rPr>
              <w:t>Sudėtiniai reiškiniai: didysis kraujavimas + KRNDK (pirminė saugumo vertinamoji baigtis)</w:t>
            </w:r>
          </w:p>
        </w:tc>
        <w:tc>
          <w:tcPr>
            <w:tcW w:w="1123" w:type="pct"/>
            <w:shd w:val="clear" w:color="auto" w:fill="auto"/>
          </w:tcPr>
          <w:p w14:paraId="6150213D" w14:textId="77777777" w:rsidR="002D7026" w:rsidRPr="00AE1B80" w:rsidRDefault="002D7026" w:rsidP="00913D02">
            <w:pPr>
              <w:widowControl w:val="0"/>
              <w:tabs>
                <w:tab w:val="clear" w:pos="567"/>
              </w:tabs>
              <w:suppressAutoHyphens w:val="0"/>
              <w:autoSpaceDE w:val="0"/>
              <w:autoSpaceDN w:val="0"/>
              <w:spacing w:line="249" w:lineRule="exact"/>
              <w:rPr>
                <w:rFonts w:eastAsia="Calibri"/>
                <w:color w:val="auto"/>
                <w:sz w:val="22"/>
                <w:szCs w:val="22"/>
                <w:lang w:val="en-US" w:eastAsia="en-US"/>
              </w:rPr>
            </w:pPr>
            <w:r w:rsidRPr="00AE1B80">
              <w:rPr>
                <w:rFonts w:eastAsia="Calibri"/>
                <w:color w:val="auto"/>
                <w:sz w:val="22"/>
                <w:szCs w:val="22"/>
                <w:lang w:val="en-US" w:eastAsia="en-US"/>
              </w:rPr>
              <w:t>10</w:t>
            </w:r>
          </w:p>
          <w:p w14:paraId="5A17FE5F" w14:textId="172B9D21" w:rsidR="002D7026" w:rsidRPr="00AE1B80" w:rsidRDefault="002D7026" w:rsidP="00913D02">
            <w:pPr>
              <w:widowControl w:val="0"/>
              <w:tabs>
                <w:tab w:val="clear" w:pos="567"/>
              </w:tabs>
              <w:suppressAutoHyphens w:val="0"/>
              <w:autoSpaceDE w:val="0"/>
              <w:autoSpaceDN w:val="0"/>
              <w:spacing w:line="252" w:lineRule="exact"/>
              <w:rPr>
                <w:rFonts w:eastAsia="Calibri"/>
                <w:color w:val="auto"/>
                <w:sz w:val="22"/>
                <w:szCs w:val="22"/>
                <w:lang w:val="en-US" w:eastAsia="en-US"/>
              </w:rPr>
            </w:pPr>
            <w:r w:rsidRPr="00AE1B80">
              <w:rPr>
                <w:rFonts w:eastAsia="Calibri"/>
                <w:color w:val="auto"/>
                <w:sz w:val="22"/>
                <w:szCs w:val="22"/>
                <w:lang w:val="en-US" w:eastAsia="en-US"/>
              </w:rPr>
              <w:t>(3,0</w:t>
            </w:r>
            <w:r w:rsidR="008C3DF7">
              <w:rPr>
                <w:rFonts w:eastAsia="Calibri"/>
                <w:color w:val="auto"/>
                <w:sz w:val="22"/>
                <w:szCs w:val="22"/>
                <w:lang w:val="en-US" w:eastAsia="en-US"/>
              </w:rPr>
              <w:t> %</w:t>
            </w:r>
            <w:r w:rsidRPr="00AE1B80">
              <w:rPr>
                <w:rFonts w:eastAsia="Calibri"/>
                <w:color w:val="auto"/>
                <w:sz w:val="22"/>
                <w:szCs w:val="22"/>
                <w:lang w:val="en-US" w:eastAsia="en-US"/>
              </w:rPr>
              <w:t>, 95</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PI</w:t>
            </w:r>
          </w:p>
          <w:p w14:paraId="65865ADA" w14:textId="792B7FDE" w:rsidR="002D7026" w:rsidRPr="00AE1B80"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E1B80">
              <w:rPr>
                <w:rFonts w:eastAsia="Calibri"/>
                <w:color w:val="auto"/>
                <w:sz w:val="22"/>
                <w:szCs w:val="22"/>
                <w:lang w:val="en-US" w:eastAsia="en-US"/>
              </w:rPr>
              <w:t>1,6</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- 5,5</w:t>
            </w:r>
            <w:r w:rsidR="008C3DF7">
              <w:rPr>
                <w:rFonts w:eastAsia="Calibri"/>
                <w:color w:val="auto"/>
                <w:sz w:val="22"/>
                <w:szCs w:val="22"/>
                <w:lang w:val="en-US" w:eastAsia="en-US"/>
              </w:rPr>
              <w:t> %</w:t>
            </w:r>
            <w:r w:rsidRPr="00AE1B80">
              <w:rPr>
                <w:rFonts w:eastAsia="Calibri"/>
                <w:color w:val="auto"/>
                <w:sz w:val="22"/>
                <w:szCs w:val="22"/>
                <w:lang w:val="en-US" w:eastAsia="en-US"/>
              </w:rPr>
              <w:t>)</w:t>
            </w:r>
          </w:p>
        </w:tc>
        <w:tc>
          <w:tcPr>
            <w:tcW w:w="1123" w:type="pct"/>
            <w:shd w:val="clear" w:color="auto" w:fill="auto"/>
          </w:tcPr>
          <w:p w14:paraId="6E583CF3" w14:textId="77777777" w:rsidR="002D7026" w:rsidRPr="00AE1B80" w:rsidRDefault="002D7026" w:rsidP="00913D02">
            <w:pPr>
              <w:widowControl w:val="0"/>
              <w:tabs>
                <w:tab w:val="clear" w:pos="567"/>
              </w:tabs>
              <w:suppressAutoHyphens w:val="0"/>
              <w:autoSpaceDE w:val="0"/>
              <w:autoSpaceDN w:val="0"/>
              <w:spacing w:line="249" w:lineRule="exact"/>
              <w:rPr>
                <w:rFonts w:eastAsia="Calibri"/>
                <w:color w:val="auto"/>
                <w:sz w:val="22"/>
                <w:szCs w:val="22"/>
                <w:lang w:val="en-US" w:eastAsia="en-US"/>
              </w:rPr>
            </w:pPr>
            <w:r w:rsidRPr="00AE1B80">
              <w:rPr>
                <w:rFonts w:eastAsia="Calibri"/>
                <w:color w:val="auto"/>
                <w:w w:val="99"/>
                <w:sz w:val="22"/>
                <w:szCs w:val="22"/>
                <w:lang w:val="en-US" w:eastAsia="en-US"/>
              </w:rPr>
              <w:t>3</w:t>
            </w:r>
          </w:p>
          <w:p w14:paraId="4A273BB9" w14:textId="0094C25B" w:rsidR="002D7026" w:rsidRPr="00AE1B80" w:rsidRDefault="002D7026" w:rsidP="00913D02">
            <w:pPr>
              <w:widowControl w:val="0"/>
              <w:tabs>
                <w:tab w:val="clear" w:pos="567"/>
              </w:tabs>
              <w:suppressAutoHyphens w:val="0"/>
              <w:autoSpaceDE w:val="0"/>
              <w:autoSpaceDN w:val="0"/>
              <w:spacing w:line="252" w:lineRule="exact"/>
              <w:rPr>
                <w:rFonts w:eastAsia="Calibri"/>
                <w:color w:val="auto"/>
                <w:sz w:val="22"/>
                <w:szCs w:val="22"/>
                <w:lang w:val="en-US" w:eastAsia="en-US"/>
              </w:rPr>
            </w:pPr>
            <w:r w:rsidRPr="00AE1B80">
              <w:rPr>
                <w:rFonts w:eastAsia="Calibri"/>
                <w:color w:val="auto"/>
                <w:sz w:val="22"/>
                <w:szCs w:val="22"/>
                <w:lang w:val="en-US" w:eastAsia="en-US"/>
              </w:rPr>
              <w:t>(1,9</w:t>
            </w:r>
            <w:r w:rsidR="008C3DF7">
              <w:rPr>
                <w:rFonts w:eastAsia="Calibri"/>
                <w:color w:val="auto"/>
                <w:sz w:val="22"/>
                <w:szCs w:val="22"/>
                <w:lang w:val="en-US" w:eastAsia="en-US"/>
              </w:rPr>
              <w:t> %</w:t>
            </w:r>
            <w:r w:rsidRPr="00AE1B80">
              <w:rPr>
                <w:rFonts w:eastAsia="Calibri"/>
                <w:color w:val="auto"/>
                <w:sz w:val="22"/>
                <w:szCs w:val="22"/>
                <w:lang w:val="en-US" w:eastAsia="en-US"/>
              </w:rPr>
              <w:t>, 95</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PI</w:t>
            </w:r>
          </w:p>
          <w:p w14:paraId="5E2B1560" w14:textId="4FF44B01" w:rsidR="002D7026" w:rsidRPr="00AE1B80"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E1B80">
              <w:rPr>
                <w:rFonts w:eastAsia="Calibri"/>
                <w:color w:val="auto"/>
                <w:sz w:val="22"/>
                <w:szCs w:val="22"/>
                <w:lang w:val="en-US" w:eastAsia="en-US"/>
              </w:rPr>
              <w:t>0,5</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- 5,3</w:t>
            </w:r>
            <w:r w:rsidR="008C3DF7">
              <w:rPr>
                <w:rFonts w:eastAsia="Calibri"/>
                <w:color w:val="auto"/>
                <w:sz w:val="22"/>
                <w:szCs w:val="22"/>
                <w:lang w:val="en-US" w:eastAsia="en-US"/>
              </w:rPr>
              <w:t> %</w:t>
            </w:r>
            <w:r w:rsidRPr="00AE1B80">
              <w:rPr>
                <w:rFonts w:eastAsia="Calibri"/>
                <w:color w:val="auto"/>
                <w:sz w:val="22"/>
                <w:szCs w:val="22"/>
                <w:lang w:val="en-US" w:eastAsia="en-US"/>
              </w:rPr>
              <w:t>)</w:t>
            </w:r>
          </w:p>
        </w:tc>
      </w:tr>
      <w:tr w:rsidR="002D7026" w:rsidRPr="00452D62" w14:paraId="322A0D14" w14:textId="77777777" w:rsidTr="00913D02">
        <w:trPr>
          <w:trHeight w:val="759"/>
        </w:trPr>
        <w:tc>
          <w:tcPr>
            <w:tcW w:w="2753" w:type="pct"/>
            <w:shd w:val="clear" w:color="auto" w:fill="auto"/>
          </w:tcPr>
          <w:p w14:paraId="6C06BC16" w14:textId="77777777" w:rsidR="002D7026" w:rsidRPr="00AE1B80" w:rsidRDefault="002D7026" w:rsidP="00913D02">
            <w:pPr>
              <w:widowControl w:val="0"/>
              <w:tabs>
                <w:tab w:val="clear" w:pos="567"/>
              </w:tabs>
              <w:suppressAutoHyphens w:val="0"/>
              <w:autoSpaceDE w:val="0"/>
              <w:autoSpaceDN w:val="0"/>
              <w:spacing w:before="1" w:line="240" w:lineRule="auto"/>
              <w:rPr>
                <w:rFonts w:eastAsia="Calibri"/>
                <w:color w:val="auto"/>
                <w:sz w:val="22"/>
                <w:szCs w:val="22"/>
                <w:lang w:val="en-US" w:eastAsia="en-US"/>
              </w:rPr>
            </w:pPr>
            <w:r w:rsidRPr="00AE1B80">
              <w:rPr>
                <w:rFonts w:eastAsia="Calibri"/>
                <w:color w:val="auto"/>
                <w:sz w:val="22"/>
                <w:szCs w:val="22"/>
                <w:lang w:val="en-US" w:eastAsia="en-US"/>
              </w:rPr>
              <w:t>Didysis kraujavimas</w:t>
            </w:r>
          </w:p>
        </w:tc>
        <w:tc>
          <w:tcPr>
            <w:tcW w:w="1123" w:type="pct"/>
            <w:shd w:val="clear" w:color="auto" w:fill="auto"/>
          </w:tcPr>
          <w:p w14:paraId="596A7A26" w14:textId="77777777" w:rsidR="002D7026" w:rsidRPr="00AE1B80" w:rsidRDefault="002D7026" w:rsidP="00913D02">
            <w:pPr>
              <w:widowControl w:val="0"/>
              <w:tabs>
                <w:tab w:val="clear" w:pos="567"/>
              </w:tabs>
              <w:suppressAutoHyphens w:val="0"/>
              <w:autoSpaceDE w:val="0"/>
              <w:autoSpaceDN w:val="0"/>
              <w:spacing w:before="1" w:line="252" w:lineRule="exact"/>
              <w:rPr>
                <w:rFonts w:eastAsia="Calibri"/>
                <w:color w:val="auto"/>
                <w:sz w:val="22"/>
                <w:szCs w:val="22"/>
                <w:lang w:val="en-US" w:eastAsia="en-US"/>
              </w:rPr>
            </w:pPr>
            <w:r w:rsidRPr="00AE1B80">
              <w:rPr>
                <w:rFonts w:eastAsia="Calibri"/>
                <w:color w:val="auto"/>
                <w:w w:val="99"/>
                <w:sz w:val="22"/>
                <w:szCs w:val="22"/>
                <w:lang w:val="en-US" w:eastAsia="en-US"/>
              </w:rPr>
              <w:t>0</w:t>
            </w:r>
          </w:p>
          <w:p w14:paraId="64DCDBD8" w14:textId="523BEB19" w:rsidR="002D7026" w:rsidRPr="00AE1B80" w:rsidRDefault="002D7026" w:rsidP="00913D02">
            <w:pPr>
              <w:widowControl w:val="0"/>
              <w:tabs>
                <w:tab w:val="clear" w:pos="567"/>
              </w:tabs>
              <w:suppressAutoHyphens w:val="0"/>
              <w:autoSpaceDE w:val="0"/>
              <w:autoSpaceDN w:val="0"/>
              <w:spacing w:line="252" w:lineRule="exact"/>
              <w:rPr>
                <w:rFonts w:eastAsia="Calibri"/>
                <w:color w:val="auto"/>
                <w:sz w:val="22"/>
                <w:szCs w:val="22"/>
                <w:lang w:val="en-US" w:eastAsia="en-US"/>
              </w:rPr>
            </w:pPr>
            <w:r w:rsidRPr="00AE1B80">
              <w:rPr>
                <w:rFonts w:eastAsia="Calibri"/>
                <w:color w:val="auto"/>
                <w:sz w:val="22"/>
                <w:szCs w:val="22"/>
                <w:lang w:val="en-US" w:eastAsia="en-US"/>
              </w:rPr>
              <w:t>(0,0</w:t>
            </w:r>
            <w:r w:rsidR="008C3DF7">
              <w:rPr>
                <w:rFonts w:eastAsia="Calibri"/>
                <w:color w:val="auto"/>
                <w:sz w:val="22"/>
                <w:szCs w:val="22"/>
                <w:lang w:val="en-US" w:eastAsia="en-US"/>
              </w:rPr>
              <w:t> %</w:t>
            </w:r>
            <w:r w:rsidRPr="00AE1B80">
              <w:rPr>
                <w:rFonts w:eastAsia="Calibri"/>
                <w:color w:val="auto"/>
                <w:sz w:val="22"/>
                <w:szCs w:val="22"/>
                <w:lang w:val="en-US" w:eastAsia="en-US"/>
              </w:rPr>
              <w:t>, 95</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PI</w:t>
            </w:r>
          </w:p>
          <w:p w14:paraId="07EAD7B9" w14:textId="50FFEE6B" w:rsidR="002D7026" w:rsidRPr="00AE1B80"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E1B80">
              <w:rPr>
                <w:rFonts w:eastAsia="Calibri"/>
                <w:color w:val="auto"/>
                <w:sz w:val="22"/>
                <w:szCs w:val="22"/>
                <w:lang w:val="en-US" w:eastAsia="en-US"/>
              </w:rPr>
              <w:t>0,0</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- 1,1</w:t>
            </w:r>
            <w:r w:rsidR="008C3DF7">
              <w:rPr>
                <w:rFonts w:eastAsia="Calibri"/>
                <w:color w:val="auto"/>
                <w:sz w:val="22"/>
                <w:szCs w:val="22"/>
                <w:lang w:val="en-US" w:eastAsia="en-US"/>
              </w:rPr>
              <w:t> %</w:t>
            </w:r>
            <w:r w:rsidRPr="00AE1B80">
              <w:rPr>
                <w:rFonts w:eastAsia="Calibri"/>
                <w:color w:val="auto"/>
                <w:sz w:val="22"/>
                <w:szCs w:val="22"/>
                <w:lang w:val="en-US" w:eastAsia="en-US"/>
              </w:rPr>
              <w:t>)</w:t>
            </w:r>
          </w:p>
        </w:tc>
        <w:tc>
          <w:tcPr>
            <w:tcW w:w="1123" w:type="pct"/>
            <w:shd w:val="clear" w:color="auto" w:fill="auto"/>
          </w:tcPr>
          <w:p w14:paraId="5762770C" w14:textId="77777777" w:rsidR="002D7026" w:rsidRPr="00AE1B80" w:rsidRDefault="002D7026" w:rsidP="00913D02">
            <w:pPr>
              <w:widowControl w:val="0"/>
              <w:tabs>
                <w:tab w:val="clear" w:pos="567"/>
              </w:tabs>
              <w:suppressAutoHyphens w:val="0"/>
              <w:autoSpaceDE w:val="0"/>
              <w:autoSpaceDN w:val="0"/>
              <w:spacing w:before="1" w:line="252" w:lineRule="exact"/>
              <w:rPr>
                <w:rFonts w:eastAsia="Calibri"/>
                <w:color w:val="auto"/>
                <w:sz w:val="22"/>
                <w:szCs w:val="22"/>
                <w:lang w:val="en-US" w:eastAsia="en-US"/>
              </w:rPr>
            </w:pPr>
            <w:r w:rsidRPr="00AE1B80">
              <w:rPr>
                <w:rFonts w:eastAsia="Calibri"/>
                <w:color w:val="auto"/>
                <w:w w:val="99"/>
                <w:sz w:val="22"/>
                <w:szCs w:val="22"/>
                <w:lang w:val="en-US" w:eastAsia="en-US"/>
              </w:rPr>
              <w:t>2</w:t>
            </w:r>
          </w:p>
          <w:p w14:paraId="777DF2F4" w14:textId="0A559551" w:rsidR="002D7026" w:rsidRPr="00AE1B80" w:rsidRDefault="002D7026" w:rsidP="00913D02">
            <w:pPr>
              <w:widowControl w:val="0"/>
              <w:tabs>
                <w:tab w:val="clear" w:pos="567"/>
              </w:tabs>
              <w:suppressAutoHyphens w:val="0"/>
              <w:autoSpaceDE w:val="0"/>
              <w:autoSpaceDN w:val="0"/>
              <w:spacing w:line="252" w:lineRule="exact"/>
              <w:rPr>
                <w:rFonts w:eastAsia="Calibri"/>
                <w:color w:val="auto"/>
                <w:sz w:val="22"/>
                <w:szCs w:val="22"/>
                <w:lang w:val="en-US" w:eastAsia="en-US"/>
              </w:rPr>
            </w:pPr>
            <w:r w:rsidRPr="00AE1B80">
              <w:rPr>
                <w:rFonts w:eastAsia="Calibri"/>
                <w:color w:val="auto"/>
                <w:sz w:val="22"/>
                <w:szCs w:val="22"/>
                <w:lang w:val="en-US" w:eastAsia="en-US"/>
              </w:rPr>
              <w:t>(1,2</w:t>
            </w:r>
            <w:r w:rsidR="008C3DF7">
              <w:rPr>
                <w:rFonts w:eastAsia="Calibri"/>
                <w:color w:val="auto"/>
                <w:sz w:val="22"/>
                <w:szCs w:val="22"/>
                <w:lang w:val="en-US" w:eastAsia="en-US"/>
              </w:rPr>
              <w:t> %</w:t>
            </w:r>
            <w:r w:rsidRPr="00AE1B80">
              <w:rPr>
                <w:rFonts w:eastAsia="Calibri"/>
                <w:color w:val="auto"/>
                <w:sz w:val="22"/>
                <w:szCs w:val="22"/>
                <w:lang w:val="en-US" w:eastAsia="en-US"/>
              </w:rPr>
              <w:t>, 95</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PI</w:t>
            </w:r>
          </w:p>
          <w:p w14:paraId="35DE748D" w14:textId="50A62D1A" w:rsidR="002D7026" w:rsidRPr="00AE1B80"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E1B80">
              <w:rPr>
                <w:rFonts w:eastAsia="Calibri"/>
                <w:color w:val="auto"/>
                <w:sz w:val="22"/>
                <w:szCs w:val="22"/>
                <w:lang w:val="en-US" w:eastAsia="en-US"/>
              </w:rPr>
              <w:t>0,2</w:t>
            </w:r>
            <w:r w:rsidR="008C3DF7">
              <w:rPr>
                <w:rFonts w:eastAsia="Calibri"/>
                <w:color w:val="auto"/>
                <w:sz w:val="22"/>
                <w:szCs w:val="22"/>
                <w:lang w:val="en-US" w:eastAsia="en-US"/>
              </w:rPr>
              <w:t> %</w:t>
            </w:r>
            <w:r w:rsidRPr="00AE1B80">
              <w:rPr>
                <w:rFonts w:eastAsia="Calibri"/>
                <w:color w:val="auto"/>
                <w:sz w:val="22"/>
                <w:szCs w:val="22"/>
                <w:lang w:val="en-US" w:eastAsia="en-US"/>
              </w:rPr>
              <w:t xml:space="preserve"> - 4,3</w:t>
            </w:r>
            <w:r w:rsidR="008C3DF7">
              <w:rPr>
                <w:rFonts w:eastAsia="Calibri"/>
                <w:color w:val="auto"/>
                <w:sz w:val="22"/>
                <w:szCs w:val="22"/>
                <w:lang w:val="en-US" w:eastAsia="en-US"/>
              </w:rPr>
              <w:t> %</w:t>
            </w:r>
            <w:r w:rsidRPr="00AE1B80">
              <w:rPr>
                <w:rFonts w:eastAsia="Calibri"/>
                <w:color w:val="auto"/>
                <w:sz w:val="22"/>
                <w:szCs w:val="22"/>
                <w:lang w:val="en-US" w:eastAsia="en-US"/>
              </w:rPr>
              <w:t>)</w:t>
            </w:r>
          </w:p>
        </w:tc>
      </w:tr>
      <w:tr w:rsidR="002D7026" w:rsidRPr="00452D62" w14:paraId="3A6D3234" w14:textId="77777777" w:rsidTr="00913D02">
        <w:trPr>
          <w:trHeight w:val="252"/>
        </w:trPr>
        <w:tc>
          <w:tcPr>
            <w:tcW w:w="2753" w:type="pct"/>
            <w:tcBorders>
              <w:bottom w:val="single" w:sz="4" w:space="0" w:color="000000"/>
            </w:tcBorders>
            <w:shd w:val="clear" w:color="auto" w:fill="auto"/>
          </w:tcPr>
          <w:p w14:paraId="12449987" w14:textId="77777777" w:rsidR="002D7026" w:rsidRPr="00AE1B80"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E1B80">
              <w:rPr>
                <w:rFonts w:eastAsia="Calibri"/>
                <w:color w:val="auto"/>
                <w:sz w:val="22"/>
                <w:szCs w:val="22"/>
                <w:lang w:val="en-US" w:eastAsia="en-US"/>
              </w:rPr>
              <w:t>Bet koks dėl gydymo atsirandantis kraujavimas</w:t>
            </w:r>
          </w:p>
        </w:tc>
        <w:tc>
          <w:tcPr>
            <w:tcW w:w="1123" w:type="pct"/>
            <w:tcBorders>
              <w:bottom w:val="single" w:sz="4" w:space="0" w:color="000000"/>
            </w:tcBorders>
            <w:shd w:val="clear" w:color="auto" w:fill="auto"/>
          </w:tcPr>
          <w:p w14:paraId="6CC27AAD" w14:textId="027B6BB6" w:rsidR="002D7026" w:rsidRPr="00AE1B80"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E1B80">
              <w:rPr>
                <w:rFonts w:eastAsia="Calibri"/>
                <w:color w:val="auto"/>
                <w:sz w:val="22"/>
                <w:szCs w:val="22"/>
                <w:lang w:val="en-US" w:eastAsia="en-US"/>
              </w:rPr>
              <w:t>119 (36,2</w:t>
            </w:r>
            <w:r w:rsidR="008C3DF7">
              <w:rPr>
                <w:rFonts w:eastAsia="Calibri"/>
                <w:color w:val="auto"/>
                <w:sz w:val="22"/>
                <w:szCs w:val="22"/>
                <w:lang w:val="en-US" w:eastAsia="en-US"/>
              </w:rPr>
              <w:t> %</w:t>
            </w:r>
            <w:r w:rsidRPr="00AE1B80">
              <w:rPr>
                <w:rFonts w:eastAsia="Calibri"/>
                <w:color w:val="auto"/>
                <w:sz w:val="22"/>
                <w:szCs w:val="22"/>
                <w:lang w:val="en-US" w:eastAsia="en-US"/>
              </w:rPr>
              <w:t>)</w:t>
            </w:r>
          </w:p>
        </w:tc>
        <w:tc>
          <w:tcPr>
            <w:tcW w:w="1123" w:type="pct"/>
            <w:tcBorders>
              <w:bottom w:val="single" w:sz="4" w:space="0" w:color="000000"/>
            </w:tcBorders>
            <w:shd w:val="clear" w:color="auto" w:fill="auto"/>
          </w:tcPr>
          <w:p w14:paraId="7BE9263F" w14:textId="4D45D3BD" w:rsidR="002D7026" w:rsidRPr="00AE1B80"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E1B80">
              <w:rPr>
                <w:rFonts w:eastAsia="Calibri"/>
                <w:color w:val="auto"/>
                <w:sz w:val="22"/>
                <w:szCs w:val="22"/>
                <w:lang w:val="en-US" w:eastAsia="en-US"/>
              </w:rPr>
              <w:t>45 (27,8</w:t>
            </w:r>
            <w:r w:rsidR="008C3DF7">
              <w:rPr>
                <w:rFonts w:eastAsia="Calibri"/>
                <w:color w:val="auto"/>
                <w:sz w:val="22"/>
                <w:szCs w:val="22"/>
                <w:lang w:val="en-US" w:eastAsia="en-US"/>
              </w:rPr>
              <w:t> %</w:t>
            </w:r>
            <w:r w:rsidRPr="00AE1B80">
              <w:rPr>
                <w:rFonts w:eastAsia="Calibri"/>
                <w:color w:val="auto"/>
                <w:sz w:val="22"/>
                <w:szCs w:val="22"/>
                <w:lang w:val="en-US" w:eastAsia="en-US"/>
              </w:rPr>
              <w:t>)</w:t>
            </w:r>
          </w:p>
        </w:tc>
      </w:tr>
    </w:tbl>
    <w:p w14:paraId="0A2BBD5A" w14:textId="77777777" w:rsidR="002D7026" w:rsidRPr="00452D62" w:rsidRDefault="002D7026" w:rsidP="002D7026">
      <w:pPr>
        <w:spacing w:line="240" w:lineRule="auto"/>
        <w:rPr>
          <w:sz w:val="22"/>
          <w:szCs w:val="22"/>
        </w:rPr>
      </w:pPr>
      <w:r w:rsidRPr="00452D62">
        <w:rPr>
          <w:sz w:val="22"/>
          <w:szCs w:val="22"/>
        </w:rPr>
        <w:t>*SAG = saugumo analizės grupė, visi vaikai, kurie buvo atrinkti atsitiktinių imčių būdu ir suvartojo bent 1 tiriamųjų vaistinių preparatų dozę</w:t>
      </w:r>
    </w:p>
    <w:p w14:paraId="4B0BCB9C" w14:textId="77777777" w:rsidR="002D7026" w:rsidRPr="00452D62" w:rsidRDefault="002D7026" w:rsidP="002D7026">
      <w:pPr>
        <w:spacing w:line="240" w:lineRule="auto"/>
        <w:rPr>
          <w:sz w:val="22"/>
          <w:szCs w:val="22"/>
        </w:rPr>
      </w:pPr>
    </w:p>
    <w:p w14:paraId="1E8EF611" w14:textId="77777777" w:rsidR="002D7026" w:rsidRPr="00452D62" w:rsidRDefault="002D7026" w:rsidP="002D7026">
      <w:pPr>
        <w:spacing w:line="240" w:lineRule="auto"/>
        <w:rPr>
          <w:sz w:val="22"/>
          <w:szCs w:val="22"/>
        </w:rPr>
      </w:pPr>
      <w:r w:rsidRPr="00452D62">
        <w:rPr>
          <w:sz w:val="22"/>
          <w:szCs w:val="22"/>
        </w:rPr>
        <w:t>VTE sergančių vaikų populiacijoje ir GVT ir (arba) PE sergančių suaugusių populiacijoje rivaroksabano veiksmingumo ir saugumo duomenys buvo daugiausiai panašūs, tačiau pacientų, kuriems pasireiškė bet koks kraujavimas, dalis vaikų VTE populiacijoje buvo didesnė, palyginti su GVT ir (arba) PE suaugusiųjų populiacija.</w:t>
      </w:r>
    </w:p>
    <w:p w14:paraId="2A5F2244" w14:textId="77777777" w:rsidR="00823785" w:rsidRPr="00452D62" w:rsidRDefault="00823785" w:rsidP="00823785">
      <w:pPr>
        <w:spacing w:line="240" w:lineRule="auto"/>
        <w:rPr>
          <w:sz w:val="22"/>
          <w:szCs w:val="22"/>
        </w:rPr>
      </w:pPr>
    </w:p>
    <w:p w14:paraId="1EB25A34" w14:textId="77777777" w:rsidR="00823785" w:rsidRPr="00452D62" w:rsidRDefault="00823785" w:rsidP="00823785">
      <w:pPr>
        <w:rPr>
          <w:sz w:val="22"/>
          <w:szCs w:val="22"/>
          <w:u w:val="single"/>
        </w:rPr>
      </w:pPr>
      <w:r w:rsidRPr="00452D62">
        <w:rPr>
          <w:sz w:val="22"/>
          <w:szCs w:val="22"/>
          <w:u w:val="single"/>
        </w:rPr>
        <w:t>Didelės rizikos trigubai teigiamu antifosfolipidiniu sindromu sergantys pacientai</w:t>
      </w:r>
    </w:p>
    <w:p w14:paraId="3B3B4C04" w14:textId="2AB1DAE3" w:rsidR="00823785" w:rsidRPr="00452D62" w:rsidRDefault="00823785" w:rsidP="00823785">
      <w:pPr>
        <w:rPr>
          <w:sz w:val="22"/>
          <w:szCs w:val="22"/>
        </w:rPr>
      </w:pPr>
      <w:r w:rsidRPr="00452D62">
        <w:rPr>
          <w:sz w:val="22"/>
          <w:szCs w:val="22"/>
        </w:rPr>
        <w:t>Atliekant tyrėjo remiamą, atsitiktinių imčių, atvirą daugiacentrį tyrimą su koduotu vertinamųjų baigčių vertinimu, buvo lyginamas rivaroksabano ir varfarino poveikis gydant pacientus, kuriems diagnozuotas antifosfolipidinis sindromas ir nustatyta didelė tromboembolijos reiškinių rizika (visų trijų antifosfolipidinių antikūnų, t. y. vilkligės antikoaguliantų, antikardiolipino antikūnų ir anti-beta 2-glikoproteino I antikūnų, tyrimų rezultatai buvo teigiami) ir praeityje buvo nustatyta trombozė. Tyrimas buvo nutrauktas anksčiau nei numatyta į tyrimą įtraukus 120 pacientų, nes rivaroksabano tyrimo grupėje buvo nustatyta itin daug nepageidaujamų reiškinių atvejų. Vidutinė stebėjimo laikotarpio trukmė buvo 569 dienos. 59 pacientai buvo atsitiktinai priskirti vartoti rivaroksabano 20 mg dozę (15 mg dozę pacientams, kurių kreatinino klirensas (KrKl) &lt; 50 ml/min.), 61 pacientui buvo skirtas varfarinas (INR 2,0–3,0). Tromboembolinių reiškinių nustatyta 12 % pacientų, kuriems buvo paskirtas rivaroksabanas (4 išeminio insulto ir 3 miokardo infarkto atvejai). Pacientų, kuriems buvo paskirtas varfarinas, grupėje nepageidaujamų reiškinių nenustatyta. Didysis kraujavimas pasireiškė 4 (7 %) rivaroksabano grupės pacientams ir 2 (3 %) varfarino grupės pacientams.</w:t>
      </w:r>
    </w:p>
    <w:p w14:paraId="6CE00819" w14:textId="77777777" w:rsidR="00823785" w:rsidRPr="00452D62" w:rsidRDefault="00823785" w:rsidP="00823785">
      <w:pPr>
        <w:rPr>
          <w:b/>
          <w:sz w:val="22"/>
          <w:szCs w:val="22"/>
        </w:rPr>
      </w:pPr>
    </w:p>
    <w:p w14:paraId="69A38E55" w14:textId="77777777" w:rsidR="00823785" w:rsidRPr="00452D62" w:rsidRDefault="00823785" w:rsidP="00823785">
      <w:pPr>
        <w:rPr>
          <w:sz w:val="22"/>
          <w:szCs w:val="22"/>
        </w:rPr>
      </w:pPr>
      <w:r w:rsidRPr="00452D62">
        <w:rPr>
          <w:sz w:val="22"/>
          <w:szCs w:val="22"/>
          <w:u w:val="single"/>
        </w:rPr>
        <w:t>Vaikų populiacija</w:t>
      </w:r>
    </w:p>
    <w:p w14:paraId="42983868" w14:textId="3BD1DB23" w:rsidR="00823785" w:rsidRPr="00452D62" w:rsidRDefault="00823785" w:rsidP="00823785">
      <w:pPr>
        <w:widowControl w:val="0"/>
        <w:rPr>
          <w:sz w:val="22"/>
          <w:szCs w:val="22"/>
        </w:rPr>
      </w:pPr>
      <w:r w:rsidRPr="00452D62">
        <w:rPr>
          <w:sz w:val="22"/>
          <w:szCs w:val="22"/>
        </w:rPr>
        <w:t>Europos vaistų agentūra atidėjo įsipareigojimą pateikti tyrimų, atliktų su rivaroksabanu viename ar daugiau vaikų populiacijos pogrupių, gydant tromboembolijos reiškinius, rezultatus. Europos vaistų agentūra nereikalauja įsipareigoti pateikti tyrimų, atliktų su rivaroksabano referentiniu vaistiniu preparatu visuose vaikų populiacijos pogrupiuose tromboembolijos reiškinių profilaktikai, rezultatų (informaciją apie vartojimą vaikams žr. 4.2 skyriuje)</w:t>
      </w:r>
    </w:p>
    <w:p w14:paraId="2084084A" w14:textId="6B096C25" w:rsidR="00823785" w:rsidRPr="00452D62" w:rsidRDefault="00823785" w:rsidP="00823785">
      <w:pPr>
        <w:ind w:right="-2"/>
        <w:rPr>
          <w:iCs/>
          <w:sz w:val="22"/>
          <w:szCs w:val="22"/>
        </w:rPr>
      </w:pPr>
      <w:r w:rsidRPr="00452D62" w:rsidDel="00D40377">
        <w:rPr>
          <w:sz w:val="22"/>
          <w:szCs w:val="22"/>
        </w:rPr>
        <w:t xml:space="preserve"> </w:t>
      </w:r>
    </w:p>
    <w:p w14:paraId="043EBAD4"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5.2</w:t>
      </w:r>
      <w:r w:rsidRPr="00452D62">
        <w:rPr>
          <w:b/>
          <w:color w:val="auto"/>
          <w:kern w:val="28"/>
          <w:sz w:val="22"/>
          <w:szCs w:val="22"/>
          <w:lang w:eastAsia="en-US"/>
        </w:rPr>
        <w:tab/>
        <w:t>Farmakokinetinės savybės</w:t>
      </w:r>
    </w:p>
    <w:p w14:paraId="7592167A" w14:textId="77777777" w:rsidR="00823785" w:rsidRPr="00452D62" w:rsidRDefault="00823785" w:rsidP="00823785">
      <w:pPr>
        <w:ind w:left="567" w:hanging="567"/>
        <w:rPr>
          <w:sz w:val="22"/>
          <w:szCs w:val="22"/>
        </w:rPr>
      </w:pPr>
    </w:p>
    <w:p w14:paraId="007540C2" w14:textId="77777777" w:rsidR="00823785" w:rsidRPr="00452D62" w:rsidRDefault="00823785" w:rsidP="00823785">
      <w:pPr>
        <w:rPr>
          <w:sz w:val="22"/>
          <w:szCs w:val="22"/>
        </w:rPr>
      </w:pPr>
      <w:r w:rsidRPr="00452D62">
        <w:rPr>
          <w:sz w:val="22"/>
          <w:szCs w:val="22"/>
          <w:u w:val="single"/>
        </w:rPr>
        <w:t>Absorbcija</w:t>
      </w:r>
    </w:p>
    <w:p w14:paraId="45E4A414" w14:textId="77777777" w:rsidR="00814ED9" w:rsidRPr="00452D62" w:rsidRDefault="00814ED9" w:rsidP="00814ED9">
      <w:pPr>
        <w:rPr>
          <w:sz w:val="22"/>
          <w:szCs w:val="22"/>
        </w:rPr>
      </w:pPr>
      <w:r w:rsidRPr="00452D62">
        <w:rPr>
          <w:sz w:val="22"/>
          <w:szCs w:val="22"/>
        </w:rPr>
        <w:t>Toliau pateikta informacija yra pagrįsta suaugusių duomenimis.</w:t>
      </w:r>
    </w:p>
    <w:p w14:paraId="57CBC03F" w14:textId="77777777" w:rsidR="00823785" w:rsidRPr="00452D62" w:rsidRDefault="00823785" w:rsidP="00823785">
      <w:pPr>
        <w:rPr>
          <w:sz w:val="22"/>
          <w:szCs w:val="22"/>
        </w:rPr>
      </w:pPr>
      <w:r w:rsidRPr="00452D62">
        <w:rPr>
          <w:sz w:val="22"/>
          <w:szCs w:val="22"/>
        </w:rPr>
        <w:t>Rivaroksabanas yra greitai absorbuojamas, didžiausia koncentracija (C</w:t>
      </w:r>
      <w:r w:rsidRPr="00452D62">
        <w:rPr>
          <w:sz w:val="22"/>
          <w:szCs w:val="22"/>
          <w:vertAlign w:val="subscript"/>
        </w:rPr>
        <w:t>max</w:t>
      </w:r>
      <w:r w:rsidRPr="00452D62">
        <w:rPr>
          <w:sz w:val="22"/>
          <w:szCs w:val="22"/>
        </w:rPr>
        <w:t>) atsiranda praėjus 2</w:t>
      </w:r>
      <w:r w:rsidRPr="00452D62">
        <w:rPr>
          <w:sz w:val="22"/>
          <w:szCs w:val="22"/>
        </w:rPr>
        <w:noBreakHyphen/>
        <w:t>4 valandoms po tabletės suvartojimo.</w:t>
      </w:r>
    </w:p>
    <w:p w14:paraId="3E9B0BE3" w14:textId="0426FA47" w:rsidR="00823785" w:rsidRPr="00452D62" w:rsidRDefault="00823785" w:rsidP="00823785">
      <w:pPr>
        <w:rPr>
          <w:sz w:val="22"/>
          <w:szCs w:val="22"/>
        </w:rPr>
      </w:pPr>
      <w:r w:rsidRPr="00452D62">
        <w:rPr>
          <w:sz w:val="22"/>
          <w:szCs w:val="22"/>
        </w:rPr>
        <w:t>Išgertas rivaroksabanas beveik visas absorbuojamas ir biologinis geriamojo rivaroksabano prieinamumas, suvartojus 2,5 mg ir 10 mg dozės tabletę, yra didelis (80</w:t>
      </w:r>
      <w:r w:rsidRPr="00452D62">
        <w:rPr>
          <w:sz w:val="22"/>
          <w:szCs w:val="22"/>
        </w:rPr>
        <w:noBreakHyphen/>
        <w:t>100 %), nepriklausomai nuo to, ar vaistinis preparatas suvartotas valgio metu, ar kitu laiku. Vartojant 2,5 mg ir 10 mg dozes, maistas nedaro įtakos rivaroksabano AUC ar C</w:t>
      </w:r>
      <w:r w:rsidRPr="00452D62">
        <w:rPr>
          <w:sz w:val="22"/>
          <w:szCs w:val="22"/>
          <w:vertAlign w:val="subscript"/>
        </w:rPr>
        <w:t>max</w:t>
      </w:r>
      <w:r w:rsidRPr="00452D62">
        <w:rPr>
          <w:sz w:val="22"/>
          <w:szCs w:val="22"/>
        </w:rPr>
        <w:t>.</w:t>
      </w:r>
    </w:p>
    <w:p w14:paraId="5D23E146" w14:textId="7ADE5442" w:rsidR="00823785" w:rsidRPr="00452D62" w:rsidRDefault="00823785" w:rsidP="00823785">
      <w:pPr>
        <w:rPr>
          <w:sz w:val="22"/>
          <w:szCs w:val="22"/>
        </w:rPr>
      </w:pPr>
      <w:r w:rsidRPr="00452D62">
        <w:rPr>
          <w:sz w:val="22"/>
          <w:szCs w:val="22"/>
        </w:rPr>
        <w:t>Pavartojus 20 mg tabletę nevalgius, nustatytas biologinis prieinamumas buvo 66 %, tai lėmė sumažėjusi absorbcija. Kai rivaroksabano 20 mg tabletės vartojamos kartu su maistu, vidutinis AUC padidėja 39 %, palyginti su rodmeniu tabletę vartojant nevalgius, tai rodo beveik visišką absorbciją ir didelė per burną pavartoto vaistinio preparato biologinį prieinamumą. Rivaroksabano 15 mg ir 20 mg tabletes reikia vartoti su maistu (žr. 4.2 skyrių).</w:t>
      </w:r>
    </w:p>
    <w:p w14:paraId="44862427" w14:textId="23183E77" w:rsidR="00823785" w:rsidRPr="00452D62" w:rsidRDefault="00823785" w:rsidP="00823785">
      <w:pPr>
        <w:rPr>
          <w:sz w:val="22"/>
          <w:szCs w:val="22"/>
        </w:rPr>
      </w:pPr>
      <w:r w:rsidRPr="00452D62">
        <w:rPr>
          <w:sz w:val="22"/>
          <w:szCs w:val="22"/>
        </w:rPr>
        <w:t>Rivaroksabano farmakokinetika yra maždaug tiesinė, kai jo skiriama iki maždaug 15 mg vieną kartą per parą nevalgius. Vartojant pavalgius, rivaroksabano 10 mg, 15 mg ir 20 mg tablečių farmakokinetika buvo proporcinga dozei. Skiriant didesnes rivaroksabano dozes, gaunama dėl tirpumo savybių ribota absorbcija su sumažėjusiu biologiniu prieinamumu ir sumažėjusiu absorbcijos greičiu, didinant dozę. Rivaroksabano farmakokinetikos kintamumas yra vidutinis, kintamumas tarp pacientų (CV %) svyruoja nuo 30 % iki 40 %.</w:t>
      </w:r>
    </w:p>
    <w:p w14:paraId="6925D152" w14:textId="36C49ED1" w:rsidR="00823785" w:rsidRPr="00452D62" w:rsidRDefault="00823785" w:rsidP="00823785">
      <w:pPr>
        <w:rPr>
          <w:sz w:val="22"/>
          <w:szCs w:val="22"/>
        </w:rPr>
      </w:pPr>
      <w:r w:rsidRPr="00452D62">
        <w:rPr>
          <w:sz w:val="22"/>
          <w:szCs w:val="22"/>
        </w:rPr>
        <w:t>Rivaroksabano absorbcija priklauso nuo jo atpalaidavimo vietos virškinimo trakte. Nustatyta, kad tada, kai rivaroksabano granulės atpalaiduojamos proksimalinėje plonosios žarnos dalyje, palyginti su tablete, AUC ir C</w:t>
      </w:r>
      <w:r w:rsidRPr="00452D62">
        <w:rPr>
          <w:sz w:val="22"/>
          <w:szCs w:val="22"/>
          <w:vertAlign w:val="subscript"/>
        </w:rPr>
        <w:t xml:space="preserve">max </w:t>
      </w:r>
      <w:r w:rsidRPr="00452D62">
        <w:rPr>
          <w:sz w:val="22"/>
          <w:szCs w:val="22"/>
        </w:rPr>
        <w:t>sumažėja 29 % ir 56 %. Kai rivaroksabanas atpalaiduojamas distalinėje plonosios žarnos dalyje arba kylančioje gaubtinėje žarnoje, ekspozicija dar labiau sumažėja. Taigi reikia vengti skirti rivaroksabano, kai jis atsipalaiduoja distaliau nuo skrandžio, nes tai gali sumažinti absorbciją ir atitinkamai rivaroksabano ekspoziciją.</w:t>
      </w:r>
    </w:p>
    <w:p w14:paraId="6ADC18DE" w14:textId="77777777" w:rsidR="00823785" w:rsidRPr="00452D62" w:rsidRDefault="00823785" w:rsidP="00823785">
      <w:pPr>
        <w:rPr>
          <w:sz w:val="22"/>
          <w:szCs w:val="22"/>
          <w:u w:val="single"/>
        </w:rPr>
      </w:pPr>
      <w:r w:rsidRPr="00452D62">
        <w:rPr>
          <w:sz w:val="22"/>
          <w:szCs w:val="22"/>
        </w:rPr>
        <w:t>20 mg rivaroksabano tabletės, kuri suvartojama per burną, ją sutraiškius ir išmaišius obuolių tyrėje arba paruošus suspensiją vandenyje ir supylus per skrandžio vamzdelį, po to pavartojant skysto maisto, biologinis prieinamumas (AUC ir C</w:t>
      </w:r>
      <w:r w:rsidRPr="00452D62">
        <w:rPr>
          <w:sz w:val="22"/>
          <w:szCs w:val="22"/>
          <w:vertAlign w:val="subscript"/>
        </w:rPr>
        <w:t>max</w:t>
      </w:r>
      <w:r w:rsidRPr="00452D62">
        <w:rPr>
          <w:sz w:val="22"/>
          <w:szCs w:val="22"/>
        </w:rPr>
        <w:t>), palyginti su nepažeista tablete, buvo panašus. Atsižvelgiant į nuspėjamas ir dozei proporcingas rivaroksabano farmakokinetinės savybes, tikėtina, kad šio tyrimo metu gauti biologinio prieinamumo rezultatai tinka ir mažesnėms rivaroksabano dozėms.</w:t>
      </w:r>
    </w:p>
    <w:p w14:paraId="485BB910" w14:textId="77777777" w:rsidR="00A31845" w:rsidRPr="00452D62" w:rsidRDefault="00A31845" w:rsidP="00A31845">
      <w:pPr>
        <w:rPr>
          <w:i/>
          <w:sz w:val="22"/>
          <w:szCs w:val="22"/>
          <w:u w:val="single"/>
        </w:rPr>
      </w:pPr>
    </w:p>
    <w:p w14:paraId="7124AF22" w14:textId="28F489EB" w:rsidR="00A31845" w:rsidRPr="00AE1B80" w:rsidRDefault="00A31845" w:rsidP="00A31845">
      <w:pPr>
        <w:rPr>
          <w:i/>
          <w:sz w:val="22"/>
          <w:szCs w:val="22"/>
        </w:rPr>
      </w:pPr>
      <w:r w:rsidRPr="00AE1B80">
        <w:rPr>
          <w:i/>
          <w:sz w:val="22"/>
          <w:szCs w:val="22"/>
        </w:rPr>
        <w:t>Vaikų populiacija</w:t>
      </w:r>
    </w:p>
    <w:p w14:paraId="275F9E4B" w14:textId="77777777" w:rsidR="00A31845" w:rsidRPr="00AE1B80" w:rsidRDefault="00A31845" w:rsidP="00A31845">
      <w:pPr>
        <w:rPr>
          <w:sz w:val="22"/>
          <w:szCs w:val="22"/>
        </w:rPr>
      </w:pPr>
      <w:r w:rsidRPr="00AE1B80">
        <w:rPr>
          <w:sz w:val="22"/>
          <w:szCs w:val="22"/>
        </w:rPr>
        <w:t>Rivaroksabano tabletes arba geriamąją suspensiją vaikai vartojo maitinimo arba valgio metu arba netrukus po to ir kartu su įprastu skysčio kiekiu, kad būtų užtikrintas patikimas dozavimas. Kaip ir suaugusiems, tablečių arba granulių geriamajai suspensijai pavidalu išgertas rivaroksabanas vaikams yra lengvai absorbuojamas. Absorbcijos greičio ir absorbcijos laipsnio skirtumų, vartojant tabletes arba granules geriamajai suspensijai, nenustatyta. Farmakokinetikos duomenų, rivaroksabano suleidus vaikams į veną, nėra, taigi absoliutus biologinis jo prieinamumas vaikams nežinomas. Nustatyta, kad didinant dozes (mg/kg kūno svorio) santykinis biologinis prieinamumas mažėja, ir tai leidžia manyti, kad didesnių dozių absorbcija yra ribota, net kai vaistinio preparato vartojama valgio metu.</w:t>
      </w:r>
    </w:p>
    <w:p w14:paraId="1A486F4D" w14:textId="5E949200" w:rsidR="00A31845" w:rsidRPr="00AE1B80" w:rsidRDefault="00A31845" w:rsidP="00A31845">
      <w:pPr>
        <w:rPr>
          <w:sz w:val="22"/>
          <w:szCs w:val="22"/>
        </w:rPr>
      </w:pPr>
      <w:r w:rsidRPr="00AE1B80">
        <w:rPr>
          <w:sz w:val="22"/>
          <w:szCs w:val="22"/>
        </w:rPr>
        <w:t xml:space="preserve">Rivaroksabano </w:t>
      </w:r>
      <w:r w:rsidR="009C269B" w:rsidRPr="00AE1B80">
        <w:rPr>
          <w:sz w:val="22"/>
          <w:szCs w:val="22"/>
        </w:rPr>
        <w:t>20 </w:t>
      </w:r>
      <w:r w:rsidRPr="00AE1B80">
        <w:rPr>
          <w:sz w:val="22"/>
          <w:szCs w:val="22"/>
        </w:rPr>
        <w:t>mg tabletes reikia vartoti maitinimo arba valgio metu (žr. 4.2 skyrių).</w:t>
      </w:r>
    </w:p>
    <w:p w14:paraId="3E6B33BB" w14:textId="77777777" w:rsidR="00823785" w:rsidRPr="00452D62" w:rsidRDefault="00823785" w:rsidP="00823785">
      <w:pPr>
        <w:rPr>
          <w:sz w:val="22"/>
          <w:szCs w:val="22"/>
          <w:u w:val="single"/>
        </w:rPr>
      </w:pPr>
    </w:p>
    <w:p w14:paraId="31AC55C4" w14:textId="77777777" w:rsidR="00823785" w:rsidRPr="00452D62" w:rsidRDefault="00823785" w:rsidP="00823785">
      <w:pPr>
        <w:rPr>
          <w:sz w:val="22"/>
          <w:szCs w:val="22"/>
        </w:rPr>
      </w:pPr>
      <w:r w:rsidRPr="00452D62">
        <w:rPr>
          <w:sz w:val="22"/>
          <w:szCs w:val="22"/>
          <w:u w:val="single"/>
        </w:rPr>
        <w:t>Pasiskirstymas</w:t>
      </w:r>
    </w:p>
    <w:p w14:paraId="3B6308F6" w14:textId="300D9BA8" w:rsidR="00823785" w:rsidRPr="00452D62" w:rsidRDefault="00823785" w:rsidP="00823785">
      <w:pPr>
        <w:tabs>
          <w:tab w:val="clear" w:pos="567"/>
        </w:tabs>
        <w:rPr>
          <w:sz w:val="22"/>
          <w:szCs w:val="22"/>
        </w:rPr>
      </w:pPr>
      <w:r w:rsidRPr="00452D62">
        <w:rPr>
          <w:sz w:val="22"/>
          <w:szCs w:val="22"/>
        </w:rPr>
        <w:t>Daug (maždaug 92</w:t>
      </w:r>
      <w:r w:rsidRPr="00452D62">
        <w:rPr>
          <w:sz w:val="22"/>
          <w:szCs w:val="22"/>
        </w:rPr>
        <w:noBreakHyphen/>
        <w:t>95 %) vaistinio preparato prisijungia prie suaugusių plazmos baltymų, daugiausia serumo albumino. Pasiskirstymo tūris yra vidutinis, V</w:t>
      </w:r>
      <w:r w:rsidRPr="00452D62">
        <w:rPr>
          <w:sz w:val="22"/>
          <w:szCs w:val="22"/>
          <w:vertAlign w:val="subscript"/>
        </w:rPr>
        <w:t xml:space="preserve">ss </w:t>
      </w:r>
      <w:r w:rsidRPr="00452D62">
        <w:rPr>
          <w:sz w:val="22"/>
          <w:szCs w:val="22"/>
        </w:rPr>
        <w:t>yra maždaug 50 litrų.</w:t>
      </w:r>
    </w:p>
    <w:p w14:paraId="54BD4351" w14:textId="77777777" w:rsidR="00A31845" w:rsidRPr="00452D62" w:rsidRDefault="00A31845" w:rsidP="00A31845">
      <w:pPr>
        <w:ind w:left="567" w:hanging="567"/>
        <w:rPr>
          <w:i/>
          <w:sz w:val="22"/>
          <w:szCs w:val="22"/>
        </w:rPr>
      </w:pPr>
    </w:p>
    <w:p w14:paraId="14423944" w14:textId="772EAD5A" w:rsidR="00A31845" w:rsidRPr="00452D62" w:rsidRDefault="00A31845" w:rsidP="00A31845">
      <w:pPr>
        <w:ind w:left="567" w:hanging="567"/>
        <w:rPr>
          <w:i/>
          <w:sz w:val="22"/>
          <w:szCs w:val="22"/>
        </w:rPr>
      </w:pPr>
      <w:r w:rsidRPr="00452D62">
        <w:rPr>
          <w:i/>
          <w:sz w:val="22"/>
          <w:szCs w:val="22"/>
        </w:rPr>
        <w:t>Vaikų populiacija</w:t>
      </w:r>
    </w:p>
    <w:p w14:paraId="4B9BA5B1" w14:textId="7BFB4216" w:rsidR="00A31845" w:rsidRPr="00452D62" w:rsidRDefault="00A31845" w:rsidP="00A31845">
      <w:pPr>
        <w:rPr>
          <w:sz w:val="22"/>
          <w:szCs w:val="22"/>
        </w:rPr>
      </w:pPr>
      <w:r w:rsidRPr="00452D62">
        <w:rPr>
          <w:sz w:val="22"/>
          <w:szCs w:val="22"/>
        </w:rPr>
        <w:t>Vaikams specifinių rivaroksabano jungimosi su plazmos baltymais duomenų nėra. Farmakokinetikos duomenų, rivaroksabano suleidus vaikams į veną, nėra. Taikant populiacijos farmakokinetikos modeliavimą, vaikams</w:t>
      </w:r>
      <w:r w:rsidR="001C3C00">
        <w:rPr>
          <w:sz w:val="22"/>
          <w:szCs w:val="22"/>
        </w:rPr>
        <w:t xml:space="preserve"> ir paaugliams</w:t>
      </w:r>
      <w:r w:rsidRPr="00452D62">
        <w:rPr>
          <w:sz w:val="22"/>
          <w:szCs w:val="22"/>
        </w:rPr>
        <w:t xml:space="preserve"> (nuo 0 iki &lt; 18 metų amžiaus) apskaičiuotas Vss, išgėrus rivaroksabano, priklauso nuo kūno svorio, jį apibūdina alometrinė funkcija ir, jei tiriamojo asmens kūno svoris yra 82,8</w:t>
      </w:r>
      <w:r w:rsidR="001C3C00">
        <w:rPr>
          <w:sz w:val="22"/>
          <w:szCs w:val="22"/>
        </w:rPr>
        <w:t> </w:t>
      </w:r>
      <w:r w:rsidRPr="00452D62">
        <w:rPr>
          <w:sz w:val="22"/>
          <w:szCs w:val="22"/>
        </w:rPr>
        <w:t>kg, Vss vidurkis siekia 113</w:t>
      </w:r>
      <w:r w:rsidR="001C3C00">
        <w:rPr>
          <w:sz w:val="22"/>
          <w:szCs w:val="22"/>
        </w:rPr>
        <w:t> </w:t>
      </w:r>
      <w:r w:rsidRPr="00452D62">
        <w:rPr>
          <w:sz w:val="22"/>
          <w:szCs w:val="22"/>
        </w:rPr>
        <w:t>l.</w:t>
      </w:r>
    </w:p>
    <w:p w14:paraId="18BA13A5" w14:textId="77777777" w:rsidR="00823785" w:rsidRPr="00452D62" w:rsidRDefault="00823785" w:rsidP="00823785">
      <w:pPr>
        <w:ind w:left="567" w:hanging="567"/>
        <w:rPr>
          <w:sz w:val="22"/>
          <w:szCs w:val="22"/>
        </w:rPr>
      </w:pPr>
    </w:p>
    <w:p w14:paraId="35904F06" w14:textId="77777777" w:rsidR="00823785" w:rsidRPr="00452D62" w:rsidRDefault="00823785" w:rsidP="00823785">
      <w:pPr>
        <w:rPr>
          <w:sz w:val="22"/>
          <w:szCs w:val="22"/>
        </w:rPr>
      </w:pPr>
      <w:r w:rsidRPr="00452D62">
        <w:rPr>
          <w:sz w:val="22"/>
          <w:szCs w:val="22"/>
          <w:u w:val="single"/>
        </w:rPr>
        <w:t>Biotransformacija ir eliminacija</w:t>
      </w:r>
    </w:p>
    <w:p w14:paraId="7C3467DA" w14:textId="420534F3" w:rsidR="00823785" w:rsidRPr="00452D62" w:rsidRDefault="00823785" w:rsidP="00823785">
      <w:pPr>
        <w:rPr>
          <w:sz w:val="22"/>
          <w:szCs w:val="22"/>
        </w:rPr>
      </w:pPr>
      <w:r w:rsidRPr="00452D62">
        <w:rPr>
          <w:sz w:val="22"/>
          <w:szCs w:val="22"/>
        </w:rPr>
        <w:t>Suaugusiems maždaug 2/3 suvartotos rivaroksabano dozės suardoma metabolizmo metu ir pusė to kiekio yra pašalinama per inkstus, o pusė su išmatomis. Likusi 1/3 suvartotos dozės dalis šalinama nepakitusia veikliosios medžiagos forma su šlapimu tiesioginės ekskrecijos per inkstus būdu, daugiausiai aktyvios inkstų sekrecijos būdu.</w:t>
      </w:r>
    </w:p>
    <w:p w14:paraId="01810BC3" w14:textId="77777777" w:rsidR="00823785" w:rsidRPr="00452D62" w:rsidRDefault="00823785" w:rsidP="00823785">
      <w:pPr>
        <w:rPr>
          <w:sz w:val="22"/>
          <w:szCs w:val="22"/>
        </w:rPr>
      </w:pPr>
      <w:r w:rsidRPr="00452D62">
        <w:rPr>
          <w:sz w:val="22"/>
          <w:szCs w:val="22"/>
        </w:rPr>
        <w:t xml:space="preserve">Rivaroksabanas yra metabolizuojamas CYP3A4, CYP2J2 ir nuo CYP nepriklausomais mechanizmais. Morfolinono dalies oksidacinis irimas ir amido jungčių hidrolizė yra pagrindinės biotransformacijos sritys. Remiantis </w:t>
      </w:r>
      <w:r w:rsidRPr="00452D62">
        <w:rPr>
          <w:i/>
          <w:iCs/>
          <w:sz w:val="22"/>
          <w:szCs w:val="22"/>
        </w:rPr>
        <w:t xml:space="preserve">in vitro </w:t>
      </w:r>
      <w:r w:rsidRPr="00452D62">
        <w:rPr>
          <w:sz w:val="22"/>
          <w:szCs w:val="22"/>
        </w:rPr>
        <w:t>tyrimais, rivaroksabanas yra P-gp (P-glikoproteino) ir Bcrp (krūties vėžio atsparumo baltymo) pernašos baltymų substratas.</w:t>
      </w:r>
    </w:p>
    <w:p w14:paraId="4EACEB2A" w14:textId="77777777" w:rsidR="00823785" w:rsidRPr="00452D62" w:rsidRDefault="00823785" w:rsidP="00823785">
      <w:pPr>
        <w:rPr>
          <w:sz w:val="22"/>
          <w:szCs w:val="22"/>
          <w:u w:val="single"/>
        </w:rPr>
      </w:pPr>
      <w:r w:rsidRPr="00452D62">
        <w:rPr>
          <w:sz w:val="22"/>
          <w:szCs w:val="22"/>
        </w:rPr>
        <w:t>Nepakitęs rivaroksabanas yra svarbiausias darinys žmogaus kraujo plazmoje, labai svarbių ar aktyvių cirkuliuojančių metabolitų nėra. Sisteminis klirensas yra apie 10 l/val., dėl to rivaroksabaną galima priskirti prie mažo klirenso medžiagų. 1 mg dozę suleidus į veną, pusinės eliminacijos laikas trunka maždaug 4,5 valandos. Suvartoto per burną vaistinio preparato eliminaciją riboja absorbcijos greitis. Rivaroksabano galutinis pusinės eliminacijos iš kraujo plazmos laikas jauniems asmenims trunka nuo 5 iki 9 valandų, senyviems asmenims – nuo 11 iki 13 valandų.</w:t>
      </w:r>
    </w:p>
    <w:p w14:paraId="4203EDEC" w14:textId="77777777" w:rsidR="00E95B05" w:rsidRPr="00452D62" w:rsidRDefault="00E95B05" w:rsidP="00E95B05">
      <w:pPr>
        <w:rPr>
          <w:i/>
          <w:sz w:val="22"/>
          <w:szCs w:val="22"/>
          <w:u w:val="single"/>
        </w:rPr>
      </w:pPr>
    </w:p>
    <w:p w14:paraId="3AAC544B" w14:textId="48E9879A" w:rsidR="00E95B05" w:rsidRPr="00AE1B80" w:rsidRDefault="00E95B05" w:rsidP="00E95B05">
      <w:pPr>
        <w:rPr>
          <w:i/>
          <w:sz w:val="22"/>
          <w:szCs w:val="22"/>
        </w:rPr>
      </w:pPr>
      <w:r w:rsidRPr="00AE1B80">
        <w:rPr>
          <w:i/>
          <w:sz w:val="22"/>
          <w:szCs w:val="22"/>
        </w:rPr>
        <w:t>Vaikų populiacija</w:t>
      </w:r>
    </w:p>
    <w:p w14:paraId="002A8296" w14:textId="7FA45471" w:rsidR="00E95B05" w:rsidRPr="00AE1B80" w:rsidRDefault="00E95B05" w:rsidP="00E95B05">
      <w:pPr>
        <w:rPr>
          <w:sz w:val="22"/>
          <w:szCs w:val="22"/>
        </w:rPr>
      </w:pPr>
      <w:r w:rsidRPr="00AE1B80">
        <w:rPr>
          <w:sz w:val="22"/>
          <w:szCs w:val="22"/>
        </w:rPr>
        <w:t>Vaikams specifinių metabolizmo duomenų nėra. Farmakokinetikos duomenų, rivaroksabano suleidus vaikams į veną, nėra. Taikant populiacijos farmakokinetikos modeliavimą, vaikams</w:t>
      </w:r>
      <w:r w:rsidR="001C3C00">
        <w:rPr>
          <w:sz w:val="22"/>
          <w:szCs w:val="22"/>
        </w:rPr>
        <w:t xml:space="preserve"> ir paaugliams</w:t>
      </w:r>
      <w:r w:rsidRPr="00AE1B80">
        <w:rPr>
          <w:sz w:val="22"/>
          <w:szCs w:val="22"/>
        </w:rPr>
        <w:t xml:space="preserve"> (nuo 0 iki &lt; 18 metų amžiaus) apskaičiuotas klirensas (CL), išgėrus rivaroksabano, priklauso nuo kūno svorio, jį apibūdina alometrinė funkcija ir, jei tiriamojo asmens kūno svoris yra 82,8</w:t>
      </w:r>
      <w:r w:rsidR="001C3C00">
        <w:rPr>
          <w:sz w:val="22"/>
          <w:szCs w:val="22"/>
        </w:rPr>
        <w:t> </w:t>
      </w:r>
      <w:r w:rsidRPr="00AE1B80">
        <w:rPr>
          <w:sz w:val="22"/>
          <w:szCs w:val="22"/>
        </w:rPr>
        <w:t>kg, CL vidurkis siekia 8</w:t>
      </w:r>
      <w:r w:rsidR="001C3C00">
        <w:rPr>
          <w:sz w:val="22"/>
          <w:szCs w:val="22"/>
        </w:rPr>
        <w:t> </w:t>
      </w:r>
      <w:r w:rsidRPr="00AE1B80">
        <w:rPr>
          <w:sz w:val="22"/>
          <w:szCs w:val="22"/>
        </w:rPr>
        <w:t>l/val. Mažėjant amžiui, pusinių eliminacijos laikų (t1/2) geometrinio vidurkio reikšmės, apskaičiuotos taikant farmakokinetikos modeliavimą, mažėja, ir jos svyruoja nuo 4,2</w:t>
      </w:r>
      <w:r w:rsidR="001C3C00">
        <w:rPr>
          <w:sz w:val="22"/>
          <w:szCs w:val="22"/>
        </w:rPr>
        <w:t> </w:t>
      </w:r>
      <w:r w:rsidRPr="00AE1B80">
        <w:rPr>
          <w:sz w:val="22"/>
          <w:szCs w:val="22"/>
        </w:rPr>
        <w:t>val. paaugliams iki maždaug 3</w:t>
      </w:r>
      <w:r w:rsidR="001C3C00">
        <w:rPr>
          <w:sz w:val="22"/>
          <w:szCs w:val="22"/>
        </w:rPr>
        <w:t> </w:t>
      </w:r>
      <w:r w:rsidRPr="00AE1B80">
        <w:rPr>
          <w:sz w:val="22"/>
          <w:szCs w:val="22"/>
        </w:rPr>
        <w:t>val. 2-12 metų vaikams</w:t>
      </w:r>
      <w:r w:rsidR="001C3C00">
        <w:rPr>
          <w:sz w:val="22"/>
          <w:szCs w:val="22"/>
        </w:rPr>
        <w:t xml:space="preserve"> ir paauglimas</w:t>
      </w:r>
      <w:r w:rsidRPr="00AE1B80">
        <w:rPr>
          <w:sz w:val="22"/>
          <w:szCs w:val="22"/>
        </w:rPr>
        <w:t xml:space="preserve"> ir iki 1,9</w:t>
      </w:r>
      <w:r w:rsidR="001C3C00">
        <w:rPr>
          <w:sz w:val="22"/>
          <w:szCs w:val="22"/>
        </w:rPr>
        <w:t> </w:t>
      </w:r>
      <w:r w:rsidRPr="00AE1B80">
        <w:rPr>
          <w:sz w:val="22"/>
          <w:szCs w:val="22"/>
        </w:rPr>
        <w:t>val. bei 1,6</w:t>
      </w:r>
      <w:r w:rsidR="001C3C00">
        <w:rPr>
          <w:sz w:val="22"/>
          <w:szCs w:val="22"/>
        </w:rPr>
        <w:t> </w:t>
      </w:r>
      <w:r w:rsidRPr="00AE1B80">
        <w:rPr>
          <w:sz w:val="22"/>
          <w:szCs w:val="22"/>
        </w:rPr>
        <w:t>val. atitinkamai 0,5-&lt; 2 metų ir jaunesniems kaip 0,5 metų amžiaus vaikams.</w:t>
      </w:r>
    </w:p>
    <w:p w14:paraId="73A19D5B" w14:textId="77777777" w:rsidR="00823785" w:rsidRPr="00452D62" w:rsidRDefault="00823785" w:rsidP="00823785">
      <w:pPr>
        <w:rPr>
          <w:sz w:val="22"/>
          <w:szCs w:val="22"/>
          <w:u w:val="single"/>
        </w:rPr>
      </w:pPr>
    </w:p>
    <w:p w14:paraId="1A1EB435" w14:textId="77777777" w:rsidR="00823785" w:rsidRPr="00452D62" w:rsidRDefault="00823785" w:rsidP="00823785">
      <w:pPr>
        <w:rPr>
          <w:i/>
          <w:iCs/>
          <w:sz w:val="22"/>
          <w:szCs w:val="22"/>
        </w:rPr>
      </w:pPr>
      <w:r w:rsidRPr="00452D62">
        <w:rPr>
          <w:sz w:val="22"/>
          <w:szCs w:val="22"/>
          <w:u w:val="single"/>
        </w:rPr>
        <w:t>Ypatingos populiacijos</w:t>
      </w:r>
    </w:p>
    <w:p w14:paraId="26F40A61" w14:textId="77777777" w:rsidR="00823785" w:rsidRPr="00452D62" w:rsidRDefault="00823785" w:rsidP="00823785">
      <w:pPr>
        <w:rPr>
          <w:sz w:val="22"/>
          <w:szCs w:val="22"/>
        </w:rPr>
      </w:pPr>
      <w:r w:rsidRPr="00452D62">
        <w:rPr>
          <w:i/>
          <w:iCs/>
          <w:sz w:val="22"/>
          <w:szCs w:val="22"/>
        </w:rPr>
        <w:t>Lytis</w:t>
      </w:r>
    </w:p>
    <w:p w14:paraId="7B3EFCC2" w14:textId="056F3290" w:rsidR="00823785" w:rsidRPr="00452D62" w:rsidRDefault="00823785" w:rsidP="00823785">
      <w:pPr>
        <w:tabs>
          <w:tab w:val="clear" w:pos="567"/>
          <w:tab w:val="left" w:pos="0"/>
        </w:tabs>
        <w:rPr>
          <w:sz w:val="22"/>
          <w:szCs w:val="22"/>
        </w:rPr>
      </w:pPr>
      <w:r w:rsidRPr="00452D62">
        <w:rPr>
          <w:sz w:val="22"/>
          <w:szCs w:val="22"/>
        </w:rPr>
        <w:t>Kliniškai reikšmingų farmakokinetikos ir farmakodinamikos skirtumų tarp suaugusių vyrų ir moterų nenustatyta.</w:t>
      </w:r>
      <w:r w:rsidR="00E95B05" w:rsidRPr="00452D62">
        <w:rPr>
          <w:sz w:val="22"/>
          <w:szCs w:val="22"/>
        </w:rPr>
        <w:t xml:space="preserve"> Taikant tiriamąją analizę, reikšmingų rivaroksabano ekspozicijos skirtumų tarp berniukų ir mergaičių nenustatyta.</w:t>
      </w:r>
    </w:p>
    <w:p w14:paraId="3A73904B" w14:textId="77777777" w:rsidR="00823785" w:rsidRPr="00452D62" w:rsidRDefault="00823785" w:rsidP="00823785">
      <w:pPr>
        <w:ind w:left="567" w:hanging="567"/>
        <w:rPr>
          <w:sz w:val="22"/>
          <w:szCs w:val="22"/>
        </w:rPr>
      </w:pPr>
    </w:p>
    <w:p w14:paraId="7E7363C9" w14:textId="77777777" w:rsidR="00823785" w:rsidRPr="00452D62" w:rsidRDefault="00823785" w:rsidP="00823785">
      <w:pPr>
        <w:rPr>
          <w:sz w:val="22"/>
          <w:szCs w:val="22"/>
        </w:rPr>
      </w:pPr>
      <w:r w:rsidRPr="00452D62">
        <w:rPr>
          <w:i/>
          <w:iCs/>
          <w:sz w:val="22"/>
          <w:szCs w:val="22"/>
        </w:rPr>
        <w:t>Senyvi pacientai</w:t>
      </w:r>
    </w:p>
    <w:p w14:paraId="2BC80E5B" w14:textId="77777777" w:rsidR="00823785" w:rsidRPr="00452D62" w:rsidRDefault="00823785" w:rsidP="00823785">
      <w:pPr>
        <w:rPr>
          <w:i/>
          <w:iCs/>
          <w:sz w:val="22"/>
          <w:szCs w:val="22"/>
        </w:rPr>
      </w:pPr>
      <w:r w:rsidRPr="00452D62">
        <w:rPr>
          <w:sz w:val="22"/>
          <w:szCs w:val="22"/>
        </w:rPr>
        <w:t>Senyviems pacientams nustatyta didesnė koncentracija kraujo plazmoje nei jaunesniems pacientams. Vidutiniai AUC rodmenys buvo maždaug 1,5 karto didesni daugiausia dėl sumažėjusio (tariamojo) bendro ir inkstų klirenso. Dozės koreguoti nereikia.</w:t>
      </w:r>
    </w:p>
    <w:p w14:paraId="79FCE4B0" w14:textId="77777777" w:rsidR="00E95B05" w:rsidRPr="00452D62" w:rsidRDefault="00E95B05" w:rsidP="00E95B05">
      <w:pPr>
        <w:rPr>
          <w:iCs/>
          <w:sz w:val="22"/>
          <w:szCs w:val="22"/>
        </w:rPr>
      </w:pPr>
      <w:r w:rsidRPr="00452D62">
        <w:rPr>
          <w:iCs/>
          <w:sz w:val="22"/>
          <w:szCs w:val="22"/>
        </w:rPr>
        <w:t>Vaikams rivaroksabanas dozuojamas pagal kūno svorį. Taikant tiriamąją analizę, reikšmingos nepakankamo svorio ar nutukimo įtakos rivaroksabano ekspozicijai vaikams nenustatyta.</w:t>
      </w:r>
    </w:p>
    <w:p w14:paraId="34DB881C" w14:textId="77777777" w:rsidR="00823785" w:rsidRPr="00452D62" w:rsidRDefault="00823785" w:rsidP="00823785">
      <w:pPr>
        <w:rPr>
          <w:i/>
          <w:iCs/>
          <w:sz w:val="22"/>
          <w:szCs w:val="22"/>
        </w:rPr>
      </w:pPr>
    </w:p>
    <w:p w14:paraId="650165D9" w14:textId="77777777" w:rsidR="00823785" w:rsidRPr="00452D62" w:rsidRDefault="00823785" w:rsidP="00823785">
      <w:pPr>
        <w:rPr>
          <w:sz w:val="22"/>
          <w:szCs w:val="22"/>
        </w:rPr>
      </w:pPr>
      <w:r w:rsidRPr="00452D62">
        <w:rPr>
          <w:i/>
          <w:iCs/>
          <w:sz w:val="22"/>
          <w:szCs w:val="22"/>
        </w:rPr>
        <w:t>Skirtingos svorio kategorijos</w:t>
      </w:r>
    </w:p>
    <w:p w14:paraId="69DFACE4" w14:textId="15194CCF" w:rsidR="00823785" w:rsidRPr="00452D62" w:rsidRDefault="00823785" w:rsidP="00823785">
      <w:pPr>
        <w:rPr>
          <w:i/>
          <w:iCs/>
          <w:sz w:val="22"/>
          <w:szCs w:val="22"/>
        </w:rPr>
      </w:pPr>
      <w:r w:rsidRPr="00452D62">
        <w:rPr>
          <w:sz w:val="22"/>
          <w:szCs w:val="22"/>
        </w:rPr>
        <w:t>Suaugusiems svorio kraštutinumai (&lt; 50 kg arba &gt; 120 kg) darė mažą įtaką rivaroksabano koncentracijai kraujo plazmoje (mažiau nei 25 %). Dozės koreguoti nereikia.</w:t>
      </w:r>
    </w:p>
    <w:p w14:paraId="44F8A157" w14:textId="77777777" w:rsidR="00823785" w:rsidRPr="00452D62" w:rsidRDefault="00823785" w:rsidP="00823785">
      <w:pPr>
        <w:rPr>
          <w:i/>
          <w:iCs/>
          <w:sz w:val="22"/>
          <w:szCs w:val="22"/>
        </w:rPr>
      </w:pPr>
    </w:p>
    <w:p w14:paraId="1152506A" w14:textId="77777777" w:rsidR="00823785" w:rsidRPr="00452D62" w:rsidRDefault="00823785" w:rsidP="00823785">
      <w:pPr>
        <w:rPr>
          <w:sz w:val="22"/>
          <w:szCs w:val="22"/>
        </w:rPr>
      </w:pPr>
      <w:r w:rsidRPr="00452D62">
        <w:rPr>
          <w:i/>
          <w:iCs/>
          <w:sz w:val="22"/>
          <w:szCs w:val="22"/>
        </w:rPr>
        <w:t>Etniniai skirtumai</w:t>
      </w:r>
    </w:p>
    <w:p w14:paraId="1DE3A2C4" w14:textId="0326A702" w:rsidR="00823785" w:rsidRPr="00452D62" w:rsidRDefault="00823785" w:rsidP="00823785">
      <w:pPr>
        <w:rPr>
          <w:i/>
          <w:iCs/>
          <w:sz w:val="22"/>
          <w:szCs w:val="22"/>
        </w:rPr>
      </w:pPr>
      <w:r w:rsidRPr="00452D62">
        <w:rPr>
          <w:sz w:val="22"/>
          <w:szCs w:val="22"/>
        </w:rPr>
        <w:t>Atsižvelgiant į rivaroksabano farmakokinetiką ir farmakodinamiką, kliniškai reikšmingų skirtumų tarp baltųjų, afroamerikiečių, ispanų, japonų ar kinų etninių grupių suaugusių pacientų nepastebėta.</w:t>
      </w:r>
    </w:p>
    <w:p w14:paraId="257B4AEE" w14:textId="77777777" w:rsidR="00210776" w:rsidRPr="00452D62" w:rsidRDefault="00210776" w:rsidP="00210776">
      <w:pPr>
        <w:rPr>
          <w:iCs/>
          <w:sz w:val="22"/>
          <w:szCs w:val="22"/>
        </w:rPr>
      </w:pPr>
      <w:r w:rsidRPr="00452D62">
        <w:rPr>
          <w:iCs/>
          <w:sz w:val="22"/>
          <w:szCs w:val="22"/>
        </w:rPr>
        <w:t>Taikant tiriamąją analizę, reikšmingų rivaroksabano ekspozicijos skirtumų tarp japonų, kinų arba azijiečių (ne japonų ir ne kinų) etninių grupių vaikų, palyginti su atitinkama bendra vaikų populiacija, nenustatyta.</w:t>
      </w:r>
    </w:p>
    <w:p w14:paraId="40E7EBC8" w14:textId="77777777" w:rsidR="00823785" w:rsidRPr="00452D62" w:rsidRDefault="00823785" w:rsidP="00823785">
      <w:pPr>
        <w:rPr>
          <w:i/>
          <w:iCs/>
          <w:sz w:val="22"/>
          <w:szCs w:val="22"/>
        </w:rPr>
      </w:pPr>
    </w:p>
    <w:p w14:paraId="1C4D2270" w14:textId="77777777" w:rsidR="00823785" w:rsidRPr="00452D62" w:rsidRDefault="00823785" w:rsidP="00823785">
      <w:pPr>
        <w:rPr>
          <w:sz w:val="22"/>
          <w:szCs w:val="22"/>
        </w:rPr>
      </w:pPr>
      <w:r w:rsidRPr="00452D62">
        <w:rPr>
          <w:i/>
          <w:iCs/>
          <w:sz w:val="22"/>
          <w:szCs w:val="22"/>
        </w:rPr>
        <w:t>Sutrikusi kepenų funkcija</w:t>
      </w:r>
    </w:p>
    <w:p w14:paraId="562EE0CD" w14:textId="77777777" w:rsidR="00823785" w:rsidRPr="00452D62" w:rsidRDefault="00823785" w:rsidP="00823785">
      <w:pPr>
        <w:rPr>
          <w:sz w:val="22"/>
          <w:szCs w:val="22"/>
        </w:rPr>
      </w:pPr>
      <w:r w:rsidRPr="00452D62">
        <w:rPr>
          <w:sz w:val="22"/>
          <w:szCs w:val="22"/>
        </w:rPr>
        <w:t xml:space="preserve">Ciroze sergantiems suaugusiems pacientams, kuriems buvo lengvas kepenų funkcijos sutrikimas (A klasė pagal </w:t>
      </w:r>
      <w:r w:rsidRPr="00452D62">
        <w:rPr>
          <w:i/>
          <w:sz w:val="22"/>
          <w:szCs w:val="22"/>
        </w:rPr>
        <w:t>Child Pugh</w:t>
      </w:r>
      <w:r w:rsidRPr="00452D62">
        <w:rPr>
          <w:sz w:val="22"/>
          <w:szCs w:val="22"/>
        </w:rPr>
        <w:t xml:space="preserve">), nustatyta tik nedidelių rivaroksabano farmakokinetikos pokyčių (vidutiniškai 1,2 karto padidėjęs rivaroksabano AUC), ir rodmenys beveik atitiko atitinkamos sveikų asmenų kontrolinės grupės rodmenis. Pacientams, kuriems dėl cirozės yra vidutinio sunkumo kepenų funkcijos sutrikimas (B pagal </w:t>
      </w:r>
      <w:r w:rsidRPr="00452D62">
        <w:rPr>
          <w:i/>
          <w:sz w:val="22"/>
          <w:szCs w:val="22"/>
        </w:rPr>
        <w:t>Child Pugh</w:t>
      </w:r>
      <w:r w:rsidRPr="00452D62">
        <w:rPr>
          <w:sz w:val="22"/>
          <w:szCs w:val="22"/>
        </w:rPr>
        <w:t>), rivaroksabano vidutinis AUC buvo reikšmingai 2,3 karto didesnis, palyginti su sveikų savanorių rodmeniu. Laisvos medžiagos AUC padidėjo 2,6 karto. Tokiems pacientams rivaroksabano eliminacija per inkstus taip pat buvo sulėtėjusi, panašiai kaip ir pacientų, kuriems yra vidutinio laipsnio inkstų funkcijos sutrikimas. Duomenų apie pacientus, kuriems yra sunkus kepenų funkcijos sutrikimas, nėra.</w:t>
      </w:r>
    </w:p>
    <w:p w14:paraId="5F730890" w14:textId="77777777" w:rsidR="00823785" w:rsidRPr="00452D62" w:rsidRDefault="00823785" w:rsidP="00823785">
      <w:pPr>
        <w:rPr>
          <w:sz w:val="22"/>
          <w:szCs w:val="22"/>
        </w:rPr>
      </w:pPr>
      <w:r w:rsidRPr="00452D62">
        <w:rPr>
          <w:sz w:val="22"/>
          <w:szCs w:val="22"/>
        </w:rPr>
        <w:t>Xa faktoriaus aktyvumo slopinimas pacientams, kuriems buvo vidutinio sunkumo kepenų funkcijos sutrikimas, buvo padidėjęs 2,6 karto, palyginti su sveikų savanorių rodmeniu, PT buvo pailgėjęs panašiai – 2,1 karto. Pacientai, kuriems yra vidutinio sunkumo kepenų funkcijos sutrikimas, buvo jautresni rivaroksabano poveikiui, todėl jų FK/FD santykis tarp koncentracijos ir PT buvo statesnis.</w:t>
      </w:r>
    </w:p>
    <w:p w14:paraId="6D5AB736" w14:textId="12010872" w:rsidR="00823785" w:rsidRPr="00452D62" w:rsidRDefault="00823785" w:rsidP="00823785">
      <w:pPr>
        <w:tabs>
          <w:tab w:val="clear" w:pos="567"/>
          <w:tab w:val="left" w:pos="0"/>
        </w:tabs>
        <w:rPr>
          <w:sz w:val="22"/>
          <w:szCs w:val="22"/>
        </w:rPr>
      </w:pPr>
      <w:r w:rsidRPr="00452D62">
        <w:rPr>
          <w:sz w:val="22"/>
          <w:szCs w:val="22"/>
        </w:rPr>
        <w:t xml:space="preserve">Rivaroksabano draudžiama vartoti pacientams, kurie serga kepenų liga, susijusia su koagulopatija ir kliniškai reikšminga kraujavimo rizika, įskaitant pacientus, kuriems yra cirozė (B ir C pagal </w:t>
      </w:r>
      <w:r w:rsidRPr="00452D62">
        <w:rPr>
          <w:i/>
          <w:sz w:val="22"/>
          <w:szCs w:val="22"/>
        </w:rPr>
        <w:t>Child</w:t>
      </w:r>
      <w:r w:rsidRPr="00452D62">
        <w:rPr>
          <w:sz w:val="22"/>
          <w:szCs w:val="22"/>
        </w:rPr>
        <w:t xml:space="preserve"> </w:t>
      </w:r>
      <w:r w:rsidRPr="00452D62">
        <w:rPr>
          <w:i/>
          <w:sz w:val="22"/>
          <w:szCs w:val="22"/>
        </w:rPr>
        <w:t>Pugh</w:t>
      </w:r>
      <w:r w:rsidRPr="00452D62">
        <w:rPr>
          <w:sz w:val="22"/>
          <w:szCs w:val="22"/>
        </w:rPr>
        <w:t>) (žr. 4.3 skyrių).</w:t>
      </w:r>
    </w:p>
    <w:p w14:paraId="3AAC781D" w14:textId="77777777" w:rsidR="00210776" w:rsidRPr="00452D62" w:rsidRDefault="00210776" w:rsidP="00210776">
      <w:pPr>
        <w:ind w:left="567" w:hanging="567"/>
        <w:rPr>
          <w:sz w:val="22"/>
          <w:szCs w:val="22"/>
        </w:rPr>
      </w:pPr>
      <w:r w:rsidRPr="00452D62">
        <w:rPr>
          <w:sz w:val="22"/>
          <w:szCs w:val="22"/>
        </w:rPr>
        <w:t>Vaikams, kurių sutrikusi kepenų funkcija, klinikinių duomenų nėra.</w:t>
      </w:r>
    </w:p>
    <w:p w14:paraId="4C338362" w14:textId="77777777" w:rsidR="00823785" w:rsidRPr="00452D62" w:rsidRDefault="00823785" w:rsidP="00823785">
      <w:pPr>
        <w:ind w:left="567" w:hanging="567"/>
        <w:rPr>
          <w:sz w:val="22"/>
          <w:szCs w:val="22"/>
        </w:rPr>
      </w:pPr>
    </w:p>
    <w:p w14:paraId="6F442EAD" w14:textId="77777777" w:rsidR="00823785" w:rsidRPr="00452D62" w:rsidRDefault="00823785" w:rsidP="00823785">
      <w:pPr>
        <w:rPr>
          <w:sz w:val="22"/>
          <w:szCs w:val="22"/>
        </w:rPr>
      </w:pPr>
      <w:r w:rsidRPr="00452D62">
        <w:rPr>
          <w:i/>
          <w:iCs/>
          <w:sz w:val="22"/>
          <w:szCs w:val="22"/>
        </w:rPr>
        <w:t>Sutrikusi inkstų funkcija</w:t>
      </w:r>
    </w:p>
    <w:p w14:paraId="25BF8827" w14:textId="1EA51D54" w:rsidR="00823785" w:rsidRPr="00452D62" w:rsidRDefault="00823785" w:rsidP="00823785">
      <w:pPr>
        <w:rPr>
          <w:sz w:val="22"/>
          <w:szCs w:val="22"/>
        </w:rPr>
      </w:pPr>
      <w:r w:rsidRPr="00452D62">
        <w:rPr>
          <w:sz w:val="22"/>
          <w:szCs w:val="22"/>
        </w:rPr>
        <w:t>Suaugusiems rivaroksabano ekspozicijos padidėjimas koreliavo su inkstų funkcijos susilpnėjimu vertinant kreatinino klirenso tyrimus. Asmenims, kuriems buvo lengvas (kreatinino klirensas 50</w:t>
      </w:r>
      <w:r w:rsidRPr="00452D62">
        <w:rPr>
          <w:sz w:val="22"/>
          <w:szCs w:val="22"/>
        </w:rPr>
        <w:noBreakHyphen/>
        <w:t>80 ml/min.), vidutinio sunkumo (kreatinino klirensas 30</w:t>
      </w:r>
      <w:r w:rsidRPr="00452D62">
        <w:rPr>
          <w:sz w:val="22"/>
          <w:szCs w:val="22"/>
        </w:rPr>
        <w:noBreakHyphen/>
        <w:t>49 ml/min.) ir sunkus (kreatinino klirensas 15</w:t>
      </w:r>
      <w:r w:rsidRPr="00452D62">
        <w:rPr>
          <w:sz w:val="22"/>
          <w:szCs w:val="22"/>
        </w:rPr>
        <w:noBreakHyphen/>
        <w:t>29 ml/min.) inkstų funkcijos sutrikimas, rivaroksabano koncentracija kraujo plazmoje (AUC) buvo padidėjusi atitinkamai 1,4, 1,5 ir 1,6 karto. Atitinkamai buvo ryškesnis farmakodinaminio poveikio sustiprėjimas. Asmenims, kuriems buvo lengvas, vidutinio sunkumo ir sunkus inkstų funkcijos sutrikimas, bendras Xa faktoriaus aktyvumo slopinimas buvo padidėjęs atitinkamai 1,5, 1,9 ir 2,0 karto, palyginti su sveikų savanorių rodmenimis; PT pailgėjo atitinkamai 1,3, 2,2 ir 2,4 karto.</w:t>
      </w:r>
      <w:r w:rsidR="0041017E" w:rsidRPr="00452D62">
        <w:rPr>
          <w:sz w:val="22"/>
          <w:szCs w:val="22"/>
        </w:rPr>
        <w:t xml:space="preserve"> </w:t>
      </w:r>
      <w:r w:rsidRPr="00452D62">
        <w:rPr>
          <w:sz w:val="22"/>
          <w:szCs w:val="22"/>
        </w:rPr>
        <w:t>Duomenų apie pacientus, kurių kreatinino klirensas &lt; 15 ml/min., nėra.</w:t>
      </w:r>
    </w:p>
    <w:p w14:paraId="3FD709D3" w14:textId="77777777" w:rsidR="00823785" w:rsidRPr="00452D62" w:rsidRDefault="00823785" w:rsidP="00823785">
      <w:pPr>
        <w:rPr>
          <w:sz w:val="22"/>
          <w:szCs w:val="22"/>
        </w:rPr>
      </w:pPr>
      <w:r w:rsidRPr="00452D62">
        <w:rPr>
          <w:sz w:val="22"/>
          <w:szCs w:val="22"/>
        </w:rPr>
        <w:t>Daug rivaroksabano prisijungia prie kraujo plazmos baltymų, todėl jo pašalinimas dialize nėra tikėtinas.</w:t>
      </w:r>
    </w:p>
    <w:p w14:paraId="37A0AC55" w14:textId="4F182343" w:rsidR="00823785" w:rsidRPr="00452D62" w:rsidRDefault="00823785" w:rsidP="00823785">
      <w:pPr>
        <w:tabs>
          <w:tab w:val="clear" w:pos="567"/>
          <w:tab w:val="left" w:pos="0"/>
        </w:tabs>
        <w:rPr>
          <w:sz w:val="22"/>
          <w:szCs w:val="22"/>
        </w:rPr>
      </w:pPr>
      <w:r w:rsidRPr="00452D62">
        <w:rPr>
          <w:sz w:val="22"/>
          <w:szCs w:val="22"/>
        </w:rPr>
        <w:t>Vartojimas nerekomenduojamas pacientams, kurių kreatinino klirensas yra &lt; 15 ml/min. Pacientams, kurių kreatinino klirensas yra 15</w:t>
      </w:r>
      <w:r w:rsidRPr="00452D62">
        <w:rPr>
          <w:sz w:val="22"/>
          <w:szCs w:val="22"/>
        </w:rPr>
        <w:noBreakHyphen/>
        <w:t>29 ml/min., rivaroksabano reikia skirti atsargiai (žr. 4.4 skyrių).</w:t>
      </w:r>
    </w:p>
    <w:p w14:paraId="18B9C310" w14:textId="3F62DCCF" w:rsidR="00210776" w:rsidRPr="00452D62" w:rsidRDefault="00210776" w:rsidP="00210776">
      <w:pPr>
        <w:rPr>
          <w:sz w:val="22"/>
          <w:szCs w:val="22"/>
        </w:rPr>
      </w:pPr>
      <w:r w:rsidRPr="00452D62">
        <w:rPr>
          <w:sz w:val="22"/>
          <w:szCs w:val="22"/>
        </w:rPr>
        <w:t>1 metų amžiaus arba vyresniems vaikams, kuriems yra vidutinio sunkumo arba sunkus inkstų funkcijos sutrikimas (glomerulų filtracijos greitis &lt; 50</w:t>
      </w:r>
      <w:r w:rsidR="006D624E">
        <w:rPr>
          <w:sz w:val="22"/>
          <w:szCs w:val="22"/>
        </w:rPr>
        <w:t> </w:t>
      </w:r>
      <w:r w:rsidRPr="00452D62">
        <w:rPr>
          <w:sz w:val="22"/>
          <w:szCs w:val="22"/>
        </w:rPr>
        <w:t>ml/min./1,73 m</w:t>
      </w:r>
      <w:r w:rsidRPr="00452D62">
        <w:rPr>
          <w:sz w:val="22"/>
          <w:szCs w:val="22"/>
          <w:vertAlign w:val="superscript"/>
        </w:rPr>
        <w:t>2</w:t>
      </w:r>
      <w:r w:rsidRPr="00452D62">
        <w:rPr>
          <w:sz w:val="22"/>
          <w:szCs w:val="22"/>
        </w:rPr>
        <w:t>), klinikinių duomenų nėra.</w:t>
      </w:r>
    </w:p>
    <w:p w14:paraId="2A001A10" w14:textId="77777777" w:rsidR="00823785" w:rsidRPr="00452D62" w:rsidRDefault="00823785" w:rsidP="00823785">
      <w:pPr>
        <w:ind w:left="567" w:hanging="567"/>
        <w:rPr>
          <w:sz w:val="22"/>
          <w:szCs w:val="22"/>
        </w:rPr>
      </w:pPr>
    </w:p>
    <w:p w14:paraId="60F4A1D7" w14:textId="77777777" w:rsidR="00823785" w:rsidRPr="00452D62" w:rsidRDefault="00823785" w:rsidP="00823785">
      <w:pPr>
        <w:rPr>
          <w:sz w:val="22"/>
          <w:szCs w:val="22"/>
        </w:rPr>
      </w:pPr>
      <w:r w:rsidRPr="00452D62">
        <w:rPr>
          <w:sz w:val="22"/>
          <w:szCs w:val="22"/>
          <w:u w:val="single"/>
        </w:rPr>
        <w:t>Farmakokinetikos duomenys pacientams</w:t>
      </w:r>
    </w:p>
    <w:p w14:paraId="23F1A0A1" w14:textId="06A44D56" w:rsidR="00823785" w:rsidRPr="00452D62" w:rsidRDefault="00823785" w:rsidP="00823785">
      <w:pPr>
        <w:rPr>
          <w:sz w:val="22"/>
          <w:szCs w:val="22"/>
          <w:u w:val="single"/>
        </w:rPr>
      </w:pPr>
      <w:r w:rsidRPr="00452D62">
        <w:rPr>
          <w:sz w:val="22"/>
          <w:szCs w:val="22"/>
        </w:rPr>
        <w:t>Pacientams, vartojusiems po 20 mg rivaroksabano vieną kartą per parą GVT gydymui, geometrinis koncentracijos vidurkis (90 % prognozavimo intervalas), praėjus 2-4 val. ir maždaug 12 val. po dozės pavartojimo (apytikriai tai atitinka didžiausią ir mažiausią koncentraciją laikotarpiu tarp dozių) buvo atitinkamai 215 (22</w:t>
      </w:r>
      <w:r w:rsidRPr="00452D62">
        <w:rPr>
          <w:sz w:val="22"/>
          <w:szCs w:val="22"/>
        </w:rPr>
        <w:noBreakHyphen/>
        <w:t>535) μg/l ir 32 (6-239) μg/l.</w:t>
      </w:r>
    </w:p>
    <w:p w14:paraId="7E60EF53" w14:textId="77777777" w:rsidR="0041017E" w:rsidRPr="00452D62" w:rsidRDefault="0041017E" w:rsidP="0041017E">
      <w:pPr>
        <w:rPr>
          <w:sz w:val="22"/>
          <w:szCs w:val="22"/>
          <w:u w:val="single"/>
        </w:rPr>
      </w:pPr>
    </w:p>
    <w:p w14:paraId="67CA3F9B" w14:textId="4EBDBB01" w:rsidR="0041017E" w:rsidRPr="00AE1B80" w:rsidRDefault="0041017E" w:rsidP="0041017E">
      <w:pPr>
        <w:rPr>
          <w:sz w:val="22"/>
          <w:szCs w:val="22"/>
        </w:rPr>
      </w:pPr>
      <w:r w:rsidRPr="00AE1B80">
        <w:rPr>
          <w:sz w:val="22"/>
          <w:szCs w:val="22"/>
        </w:rPr>
        <w:t>Vaikams, sergantiems ūmine VTE ir vartojantiems pagal kūno svorį dozuojamą rivaroksabaną, siekiant panašios ekspozicijos kaip ir suaugusiems pacientams, vieną kartą per parą vartojantiems 20</w:t>
      </w:r>
      <w:r w:rsidR="006D624E">
        <w:rPr>
          <w:sz w:val="22"/>
          <w:szCs w:val="22"/>
        </w:rPr>
        <w:t> </w:t>
      </w:r>
      <w:r w:rsidRPr="00AE1B80">
        <w:rPr>
          <w:sz w:val="22"/>
          <w:szCs w:val="22"/>
        </w:rPr>
        <w:t>mg rivaroksabano nuo GVT, koncentracijų geometriniai vidurkiai (90</w:t>
      </w:r>
      <w:r w:rsidR="008C3DF7">
        <w:rPr>
          <w:sz w:val="22"/>
          <w:szCs w:val="22"/>
        </w:rPr>
        <w:t> %</w:t>
      </w:r>
      <w:r w:rsidRPr="00AE1B80">
        <w:rPr>
          <w:sz w:val="22"/>
          <w:szCs w:val="22"/>
        </w:rPr>
        <w:t xml:space="preserve"> intervalas), kai mėginių paėmimo intervalai apytikriai atitinka didžiausią ir mažiausią tarp dozių susidarančią koncentraciją, apibendrinami 13 lentelėje.</w:t>
      </w:r>
    </w:p>
    <w:p w14:paraId="54F71245" w14:textId="77777777" w:rsidR="0041017E" w:rsidRPr="00452D62" w:rsidRDefault="0041017E" w:rsidP="0041017E">
      <w:pPr>
        <w:rPr>
          <w:sz w:val="22"/>
          <w:szCs w:val="22"/>
          <w:u w:val="single"/>
        </w:rPr>
      </w:pPr>
    </w:p>
    <w:p w14:paraId="2584CFAA" w14:textId="367D386C" w:rsidR="0041017E" w:rsidRPr="00452D62" w:rsidRDefault="0041017E" w:rsidP="0041017E">
      <w:pPr>
        <w:rPr>
          <w:b/>
          <w:sz w:val="22"/>
          <w:szCs w:val="22"/>
          <w:u w:val="single"/>
        </w:rPr>
      </w:pPr>
      <w:r w:rsidRPr="00452D62">
        <w:rPr>
          <w:b/>
          <w:sz w:val="22"/>
          <w:szCs w:val="22"/>
          <w:u w:val="single"/>
        </w:rPr>
        <w:t>13 lentelė. Rivaroksabano koncentracijos pusiausvyros sąlygomis (μg/l) statistikos suvestinė (geometrinis vidurkis (90</w:t>
      </w:r>
      <w:r w:rsidR="008C3DF7">
        <w:rPr>
          <w:b/>
          <w:sz w:val="22"/>
          <w:szCs w:val="22"/>
          <w:u w:val="single"/>
        </w:rPr>
        <w:t> %</w:t>
      </w:r>
      <w:r w:rsidRPr="00452D62">
        <w:rPr>
          <w:b/>
          <w:sz w:val="22"/>
          <w:szCs w:val="22"/>
          <w:u w:val="single"/>
        </w:rPr>
        <w:t xml:space="preserve"> intervalas)) pagal dozavimo režimą ir amžių</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75"/>
        <w:gridCol w:w="540"/>
        <w:gridCol w:w="1421"/>
        <w:gridCol w:w="538"/>
        <w:gridCol w:w="1392"/>
        <w:gridCol w:w="422"/>
        <w:gridCol w:w="1426"/>
        <w:gridCol w:w="417"/>
        <w:gridCol w:w="1629"/>
      </w:tblGrid>
      <w:tr w:rsidR="0041017E" w:rsidRPr="00452D62" w14:paraId="0FECD48B" w14:textId="77777777" w:rsidTr="00913D02">
        <w:trPr>
          <w:trHeight w:val="506"/>
        </w:trPr>
        <w:tc>
          <w:tcPr>
            <w:tcW w:w="704" w:type="pct"/>
            <w:shd w:val="clear" w:color="auto" w:fill="auto"/>
          </w:tcPr>
          <w:p w14:paraId="731F6421" w14:textId="77777777" w:rsidR="0041017E" w:rsidRPr="00AE1B80" w:rsidRDefault="0041017E" w:rsidP="00913D02">
            <w:pPr>
              <w:widowControl w:val="0"/>
              <w:tabs>
                <w:tab w:val="clear" w:pos="567"/>
              </w:tabs>
              <w:suppressAutoHyphens w:val="0"/>
              <w:autoSpaceDE w:val="0"/>
              <w:autoSpaceDN w:val="0"/>
              <w:spacing w:before="2" w:line="254" w:lineRule="exact"/>
              <w:ind w:left="107"/>
              <w:rPr>
                <w:rFonts w:eastAsia="Calibri"/>
                <w:b/>
                <w:color w:val="auto"/>
                <w:sz w:val="22"/>
                <w:szCs w:val="22"/>
                <w:lang w:val="en-US" w:eastAsia="en-US"/>
              </w:rPr>
            </w:pPr>
            <w:r w:rsidRPr="00AE1B80">
              <w:rPr>
                <w:rFonts w:eastAsia="Calibri"/>
                <w:b/>
                <w:color w:val="auto"/>
                <w:sz w:val="22"/>
                <w:szCs w:val="22"/>
                <w:lang w:val="en-US" w:eastAsia="en-US"/>
              </w:rPr>
              <w:t>Laiko intervalai</w:t>
            </w:r>
          </w:p>
        </w:tc>
        <w:tc>
          <w:tcPr>
            <w:tcW w:w="298" w:type="pct"/>
            <w:shd w:val="clear" w:color="auto" w:fill="auto"/>
          </w:tcPr>
          <w:p w14:paraId="165128BF" w14:textId="77777777" w:rsidR="0041017E" w:rsidRPr="00AE1B80"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784" w:type="pct"/>
            <w:shd w:val="clear" w:color="auto" w:fill="auto"/>
          </w:tcPr>
          <w:p w14:paraId="4294EA73" w14:textId="77777777" w:rsidR="0041017E" w:rsidRPr="00AE1B80"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297" w:type="pct"/>
            <w:shd w:val="clear" w:color="auto" w:fill="auto"/>
          </w:tcPr>
          <w:p w14:paraId="65F3070E" w14:textId="77777777" w:rsidR="0041017E" w:rsidRPr="00AE1B80"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768" w:type="pct"/>
            <w:shd w:val="clear" w:color="auto" w:fill="auto"/>
          </w:tcPr>
          <w:p w14:paraId="376296A7" w14:textId="77777777" w:rsidR="0041017E" w:rsidRPr="00AE1B80"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233" w:type="pct"/>
            <w:shd w:val="clear" w:color="auto" w:fill="auto"/>
          </w:tcPr>
          <w:p w14:paraId="5C3A5417" w14:textId="77777777" w:rsidR="0041017E" w:rsidRPr="00AE1B80"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787" w:type="pct"/>
            <w:shd w:val="clear" w:color="auto" w:fill="auto"/>
          </w:tcPr>
          <w:p w14:paraId="44B8E4E0" w14:textId="77777777" w:rsidR="0041017E" w:rsidRPr="00AE1B80"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230" w:type="pct"/>
            <w:shd w:val="clear" w:color="auto" w:fill="auto"/>
          </w:tcPr>
          <w:p w14:paraId="04313C25" w14:textId="77777777" w:rsidR="0041017E" w:rsidRPr="00AE1B80"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899" w:type="pct"/>
            <w:shd w:val="clear" w:color="auto" w:fill="auto"/>
          </w:tcPr>
          <w:p w14:paraId="6FDD17F4" w14:textId="77777777" w:rsidR="0041017E" w:rsidRPr="00AE1B80"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r>
      <w:tr w:rsidR="0041017E" w:rsidRPr="00452D62" w14:paraId="199094E6" w14:textId="77777777" w:rsidTr="00913D02">
        <w:trPr>
          <w:trHeight w:val="501"/>
        </w:trPr>
        <w:tc>
          <w:tcPr>
            <w:tcW w:w="704" w:type="pct"/>
            <w:shd w:val="clear" w:color="auto" w:fill="auto"/>
          </w:tcPr>
          <w:p w14:paraId="0BA2975D" w14:textId="77777777" w:rsidR="0041017E" w:rsidRPr="00AE1B80" w:rsidRDefault="0041017E" w:rsidP="00913D02">
            <w:pPr>
              <w:widowControl w:val="0"/>
              <w:tabs>
                <w:tab w:val="clear" w:pos="567"/>
              </w:tabs>
              <w:suppressAutoHyphens w:val="0"/>
              <w:autoSpaceDE w:val="0"/>
              <w:autoSpaceDN w:val="0"/>
              <w:spacing w:line="249" w:lineRule="exact"/>
              <w:ind w:left="107"/>
              <w:rPr>
                <w:rFonts w:eastAsia="Calibri"/>
                <w:b/>
                <w:color w:val="auto"/>
                <w:sz w:val="22"/>
                <w:szCs w:val="22"/>
                <w:lang w:val="en-US" w:eastAsia="en-US"/>
              </w:rPr>
            </w:pPr>
            <w:r w:rsidRPr="00AE1B80">
              <w:rPr>
                <w:rFonts w:eastAsia="Calibri"/>
                <w:b/>
                <w:color w:val="auto"/>
                <w:sz w:val="22"/>
                <w:szCs w:val="22"/>
                <w:lang w:val="en-US" w:eastAsia="en-US"/>
              </w:rPr>
              <w:t>VKP</w:t>
            </w:r>
          </w:p>
        </w:tc>
        <w:tc>
          <w:tcPr>
            <w:tcW w:w="298" w:type="pct"/>
            <w:shd w:val="clear" w:color="auto" w:fill="auto"/>
          </w:tcPr>
          <w:p w14:paraId="77958D78" w14:textId="77777777" w:rsidR="0041017E" w:rsidRPr="00AE1B80" w:rsidRDefault="0041017E" w:rsidP="00913D02">
            <w:pPr>
              <w:widowControl w:val="0"/>
              <w:tabs>
                <w:tab w:val="clear" w:pos="567"/>
              </w:tabs>
              <w:suppressAutoHyphens w:val="0"/>
              <w:autoSpaceDE w:val="0"/>
              <w:autoSpaceDN w:val="0"/>
              <w:spacing w:line="249" w:lineRule="exact"/>
              <w:ind w:left="107"/>
              <w:rPr>
                <w:rFonts w:eastAsia="Calibri"/>
                <w:b/>
                <w:color w:val="auto"/>
                <w:sz w:val="22"/>
                <w:szCs w:val="22"/>
                <w:lang w:val="en-US" w:eastAsia="en-US"/>
              </w:rPr>
            </w:pPr>
            <w:r w:rsidRPr="00AE1B80">
              <w:rPr>
                <w:rFonts w:eastAsia="Calibri"/>
                <w:b/>
                <w:color w:val="auto"/>
                <w:w w:val="99"/>
                <w:sz w:val="22"/>
                <w:szCs w:val="22"/>
                <w:lang w:val="en-US" w:eastAsia="en-US"/>
              </w:rPr>
              <w:t>N</w:t>
            </w:r>
          </w:p>
        </w:tc>
        <w:tc>
          <w:tcPr>
            <w:tcW w:w="784" w:type="pct"/>
            <w:shd w:val="clear" w:color="auto" w:fill="auto"/>
          </w:tcPr>
          <w:p w14:paraId="3F6127C2" w14:textId="77777777" w:rsidR="0041017E" w:rsidRPr="00AE1B80" w:rsidRDefault="0041017E" w:rsidP="00913D02">
            <w:pPr>
              <w:widowControl w:val="0"/>
              <w:tabs>
                <w:tab w:val="clear" w:pos="567"/>
              </w:tabs>
              <w:suppressAutoHyphens w:val="0"/>
              <w:autoSpaceDE w:val="0"/>
              <w:autoSpaceDN w:val="0"/>
              <w:spacing w:line="249" w:lineRule="exact"/>
              <w:ind w:left="107"/>
              <w:rPr>
                <w:rFonts w:eastAsia="Calibri"/>
                <w:b/>
                <w:color w:val="auto"/>
                <w:sz w:val="22"/>
                <w:szCs w:val="22"/>
                <w:lang w:val="en-US" w:eastAsia="en-US"/>
              </w:rPr>
            </w:pPr>
            <w:r w:rsidRPr="00AE1B80">
              <w:rPr>
                <w:rFonts w:eastAsia="Calibri"/>
                <w:b/>
                <w:color w:val="auto"/>
                <w:sz w:val="22"/>
                <w:szCs w:val="22"/>
                <w:lang w:val="en-US" w:eastAsia="en-US"/>
              </w:rPr>
              <w:t>12 -</w:t>
            </w:r>
          </w:p>
          <w:p w14:paraId="0D3F1E5D" w14:textId="77777777" w:rsidR="0041017E" w:rsidRPr="00AE1B80" w:rsidRDefault="0041017E" w:rsidP="00913D02">
            <w:pPr>
              <w:widowControl w:val="0"/>
              <w:tabs>
                <w:tab w:val="clear" w:pos="567"/>
              </w:tabs>
              <w:suppressAutoHyphens w:val="0"/>
              <w:autoSpaceDE w:val="0"/>
              <w:autoSpaceDN w:val="0"/>
              <w:spacing w:line="233" w:lineRule="exact"/>
              <w:ind w:left="107"/>
              <w:rPr>
                <w:rFonts w:eastAsia="Calibri"/>
                <w:b/>
                <w:color w:val="auto"/>
                <w:sz w:val="22"/>
                <w:szCs w:val="22"/>
                <w:lang w:val="en-US" w:eastAsia="en-US"/>
              </w:rPr>
            </w:pPr>
            <w:r w:rsidRPr="00AE1B80">
              <w:rPr>
                <w:rFonts w:eastAsia="Calibri"/>
                <w:b/>
                <w:color w:val="auto"/>
                <w:sz w:val="22"/>
                <w:szCs w:val="22"/>
                <w:lang w:val="en-US" w:eastAsia="en-US"/>
              </w:rPr>
              <w:t>&lt; 18 metų</w:t>
            </w:r>
          </w:p>
        </w:tc>
        <w:tc>
          <w:tcPr>
            <w:tcW w:w="297" w:type="pct"/>
            <w:shd w:val="clear" w:color="auto" w:fill="auto"/>
          </w:tcPr>
          <w:p w14:paraId="497C83F1" w14:textId="77777777" w:rsidR="0041017E" w:rsidRPr="00AE1B80" w:rsidRDefault="0041017E" w:rsidP="00913D02">
            <w:pPr>
              <w:widowControl w:val="0"/>
              <w:tabs>
                <w:tab w:val="clear" w:pos="567"/>
              </w:tabs>
              <w:suppressAutoHyphens w:val="0"/>
              <w:autoSpaceDE w:val="0"/>
              <w:autoSpaceDN w:val="0"/>
              <w:spacing w:line="249" w:lineRule="exact"/>
              <w:ind w:left="107"/>
              <w:rPr>
                <w:rFonts w:eastAsia="Calibri"/>
                <w:b/>
                <w:color w:val="auto"/>
                <w:sz w:val="22"/>
                <w:szCs w:val="22"/>
                <w:lang w:val="en-US" w:eastAsia="en-US"/>
              </w:rPr>
            </w:pPr>
            <w:r w:rsidRPr="00AE1B80">
              <w:rPr>
                <w:rFonts w:eastAsia="Calibri"/>
                <w:b/>
                <w:color w:val="auto"/>
                <w:w w:val="99"/>
                <w:sz w:val="22"/>
                <w:szCs w:val="22"/>
                <w:lang w:val="en-US" w:eastAsia="en-US"/>
              </w:rPr>
              <w:t>N</w:t>
            </w:r>
          </w:p>
        </w:tc>
        <w:tc>
          <w:tcPr>
            <w:tcW w:w="768" w:type="pct"/>
            <w:shd w:val="clear" w:color="auto" w:fill="auto"/>
          </w:tcPr>
          <w:p w14:paraId="48DE8A32" w14:textId="77777777" w:rsidR="0041017E" w:rsidRPr="00AE1B80" w:rsidRDefault="0041017E" w:rsidP="00913D02">
            <w:pPr>
              <w:widowControl w:val="0"/>
              <w:tabs>
                <w:tab w:val="clear" w:pos="567"/>
              </w:tabs>
              <w:suppressAutoHyphens w:val="0"/>
              <w:autoSpaceDE w:val="0"/>
              <w:autoSpaceDN w:val="0"/>
              <w:spacing w:line="249" w:lineRule="exact"/>
              <w:ind w:left="106"/>
              <w:rPr>
                <w:rFonts w:eastAsia="Calibri"/>
                <w:b/>
                <w:color w:val="auto"/>
                <w:sz w:val="22"/>
                <w:szCs w:val="22"/>
                <w:lang w:val="en-US" w:eastAsia="en-US"/>
              </w:rPr>
            </w:pPr>
            <w:r w:rsidRPr="00AE1B80">
              <w:rPr>
                <w:rFonts w:eastAsia="Calibri"/>
                <w:b/>
                <w:color w:val="auto"/>
                <w:sz w:val="22"/>
                <w:szCs w:val="22"/>
                <w:lang w:val="en-US" w:eastAsia="en-US"/>
              </w:rPr>
              <w:t>6 -&lt; 12 metų</w:t>
            </w:r>
          </w:p>
        </w:tc>
        <w:tc>
          <w:tcPr>
            <w:tcW w:w="233" w:type="pct"/>
            <w:shd w:val="clear" w:color="auto" w:fill="auto"/>
          </w:tcPr>
          <w:p w14:paraId="1C686B3F" w14:textId="77777777" w:rsidR="0041017E" w:rsidRPr="00AE1B80"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787" w:type="pct"/>
            <w:shd w:val="clear" w:color="auto" w:fill="auto"/>
          </w:tcPr>
          <w:p w14:paraId="6CE70383" w14:textId="77777777" w:rsidR="0041017E" w:rsidRPr="00AE1B80"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230" w:type="pct"/>
            <w:shd w:val="clear" w:color="auto" w:fill="auto"/>
          </w:tcPr>
          <w:p w14:paraId="757E9832" w14:textId="77777777" w:rsidR="0041017E" w:rsidRPr="00AE1B80"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899" w:type="pct"/>
            <w:shd w:val="clear" w:color="auto" w:fill="auto"/>
          </w:tcPr>
          <w:p w14:paraId="14A1ADAD" w14:textId="77777777" w:rsidR="0041017E" w:rsidRPr="00AE1B80"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r>
      <w:tr w:rsidR="0041017E" w:rsidRPr="00452D62" w14:paraId="3064D0FC" w14:textId="77777777" w:rsidTr="00913D02">
        <w:trPr>
          <w:trHeight w:val="506"/>
        </w:trPr>
        <w:tc>
          <w:tcPr>
            <w:tcW w:w="704" w:type="pct"/>
            <w:shd w:val="clear" w:color="auto" w:fill="auto"/>
          </w:tcPr>
          <w:p w14:paraId="5AAD073B" w14:textId="77777777" w:rsidR="0041017E" w:rsidRPr="00AE1B80" w:rsidRDefault="0041017E" w:rsidP="00913D02">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E1B80">
              <w:rPr>
                <w:rFonts w:eastAsia="Calibri"/>
                <w:color w:val="auto"/>
                <w:sz w:val="22"/>
                <w:szCs w:val="22"/>
                <w:lang w:val="en-US" w:eastAsia="en-US"/>
              </w:rPr>
              <w:t>2,5-4 val. po vartojimo</w:t>
            </w:r>
          </w:p>
        </w:tc>
        <w:tc>
          <w:tcPr>
            <w:tcW w:w="298" w:type="pct"/>
            <w:shd w:val="clear" w:color="auto" w:fill="auto"/>
          </w:tcPr>
          <w:p w14:paraId="3AFB4DCE" w14:textId="77777777" w:rsidR="0041017E" w:rsidRPr="00AE1B80" w:rsidRDefault="0041017E" w:rsidP="00913D02">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E1B80">
              <w:rPr>
                <w:rFonts w:eastAsia="Calibri"/>
                <w:color w:val="auto"/>
                <w:sz w:val="22"/>
                <w:szCs w:val="22"/>
                <w:lang w:val="en-US" w:eastAsia="en-US"/>
              </w:rPr>
              <w:t>171</w:t>
            </w:r>
          </w:p>
        </w:tc>
        <w:tc>
          <w:tcPr>
            <w:tcW w:w="784" w:type="pct"/>
            <w:shd w:val="clear" w:color="auto" w:fill="auto"/>
          </w:tcPr>
          <w:p w14:paraId="55E4BCD7" w14:textId="77777777" w:rsidR="0041017E" w:rsidRPr="00AE1B80" w:rsidRDefault="0041017E" w:rsidP="00913D02">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E1B80">
              <w:rPr>
                <w:rFonts w:eastAsia="Calibri"/>
                <w:color w:val="auto"/>
                <w:sz w:val="22"/>
                <w:szCs w:val="22"/>
                <w:lang w:val="en-US" w:eastAsia="en-US"/>
              </w:rPr>
              <w:t>241,5</w:t>
            </w:r>
          </w:p>
          <w:p w14:paraId="432D5840" w14:textId="77777777" w:rsidR="0041017E" w:rsidRPr="00AE1B80" w:rsidRDefault="0041017E" w:rsidP="00913D02">
            <w:pPr>
              <w:widowControl w:val="0"/>
              <w:tabs>
                <w:tab w:val="clear" w:pos="567"/>
              </w:tabs>
              <w:suppressAutoHyphens w:val="0"/>
              <w:autoSpaceDE w:val="0"/>
              <w:autoSpaceDN w:val="0"/>
              <w:spacing w:line="233" w:lineRule="exact"/>
              <w:ind w:left="107"/>
              <w:rPr>
                <w:rFonts w:eastAsia="Calibri"/>
                <w:color w:val="auto"/>
                <w:sz w:val="22"/>
                <w:szCs w:val="22"/>
                <w:lang w:val="en-US" w:eastAsia="en-US"/>
              </w:rPr>
            </w:pPr>
            <w:r w:rsidRPr="00AE1B80">
              <w:rPr>
                <w:rFonts w:eastAsia="Calibri"/>
                <w:color w:val="auto"/>
                <w:sz w:val="22"/>
                <w:szCs w:val="22"/>
                <w:lang w:val="en-US" w:eastAsia="en-US"/>
              </w:rPr>
              <w:t>(105-484)</w:t>
            </w:r>
          </w:p>
        </w:tc>
        <w:tc>
          <w:tcPr>
            <w:tcW w:w="297" w:type="pct"/>
            <w:shd w:val="clear" w:color="auto" w:fill="auto"/>
          </w:tcPr>
          <w:p w14:paraId="3D9F686A" w14:textId="77777777" w:rsidR="0041017E" w:rsidRPr="00AE1B80" w:rsidRDefault="0041017E" w:rsidP="00913D02">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E1B80">
              <w:rPr>
                <w:rFonts w:eastAsia="Calibri"/>
                <w:color w:val="auto"/>
                <w:sz w:val="22"/>
                <w:szCs w:val="22"/>
                <w:lang w:val="en-US" w:eastAsia="en-US"/>
              </w:rPr>
              <w:t>24</w:t>
            </w:r>
          </w:p>
        </w:tc>
        <w:tc>
          <w:tcPr>
            <w:tcW w:w="768" w:type="pct"/>
            <w:shd w:val="clear" w:color="auto" w:fill="auto"/>
          </w:tcPr>
          <w:p w14:paraId="27758A31" w14:textId="77777777" w:rsidR="0041017E" w:rsidRPr="00AE1B80" w:rsidRDefault="0041017E" w:rsidP="00913D02">
            <w:pPr>
              <w:widowControl w:val="0"/>
              <w:tabs>
                <w:tab w:val="clear" w:pos="567"/>
              </w:tabs>
              <w:suppressAutoHyphens w:val="0"/>
              <w:autoSpaceDE w:val="0"/>
              <w:autoSpaceDN w:val="0"/>
              <w:spacing w:line="253" w:lineRule="exact"/>
              <w:ind w:left="106"/>
              <w:rPr>
                <w:rFonts w:eastAsia="Calibri"/>
                <w:color w:val="auto"/>
                <w:sz w:val="22"/>
                <w:szCs w:val="22"/>
                <w:lang w:val="en-US" w:eastAsia="en-US"/>
              </w:rPr>
            </w:pPr>
            <w:r w:rsidRPr="00AE1B80">
              <w:rPr>
                <w:rFonts w:eastAsia="Calibri"/>
                <w:color w:val="auto"/>
                <w:sz w:val="22"/>
                <w:szCs w:val="22"/>
                <w:lang w:val="en-US" w:eastAsia="en-US"/>
              </w:rPr>
              <w:t>229,7</w:t>
            </w:r>
          </w:p>
          <w:p w14:paraId="634351EA" w14:textId="77777777" w:rsidR="0041017E" w:rsidRPr="00AE1B80" w:rsidRDefault="0041017E" w:rsidP="00913D02">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E1B80">
              <w:rPr>
                <w:rFonts w:eastAsia="Calibri"/>
                <w:color w:val="auto"/>
                <w:sz w:val="22"/>
                <w:szCs w:val="22"/>
                <w:lang w:val="en-US" w:eastAsia="en-US"/>
              </w:rPr>
              <w:t>(91,5-777)</w:t>
            </w:r>
          </w:p>
        </w:tc>
        <w:tc>
          <w:tcPr>
            <w:tcW w:w="233" w:type="pct"/>
            <w:shd w:val="clear" w:color="auto" w:fill="auto"/>
          </w:tcPr>
          <w:p w14:paraId="28AA6F3A" w14:textId="77777777" w:rsidR="0041017E" w:rsidRPr="00AE1B80"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787" w:type="pct"/>
            <w:shd w:val="clear" w:color="auto" w:fill="auto"/>
          </w:tcPr>
          <w:p w14:paraId="2D79C928" w14:textId="77777777" w:rsidR="0041017E" w:rsidRPr="00AE1B80"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230" w:type="pct"/>
            <w:shd w:val="clear" w:color="auto" w:fill="auto"/>
          </w:tcPr>
          <w:p w14:paraId="3426C924" w14:textId="77777777" w:rsidR="0041017E" w:rsidRPr="00AE1B80"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899" w:type="pct"/>
            <w:shd w:val="clear" w:color="auto" w:fill="auto"/>
          </w:tcPr>
          <w:p w14:paraId="4EFF3A1A" w14:textId="77777777" w:rsidR="0041017E" w:rsidRPr="00AE1B80"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r>
      <w:tr w:rsidR="0041017E" w:rsidRPr="00452D62" w14:paraId="6D6E247E" w14:textId="77777777" w:rsidTr="00913D02">
        <w:trPr>
          <w:trHeight w:val="504"/>
        </w:trPr>
        <w:tc>
          <w:tcPr>
            <w:tcW w:w="704" w:type="pct"/>
            <w:shd w:val="clear" w:color="auto" w:fill="auto"/>
          </w:tcPr>
          <w:p w14:paraId="26B22FB6" w14:textId="77777777" w:rsidR="0041017E" w:rsidRPr="00AE1B80" w:rsidRDefault="0041017E" w:rsidP="00913D02">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E1B80">
              <w:rPr>
                <w:rFonts w:eastAsia="Calibri"/>
                <w:color w:val="auto"/>
                <w:sz w:val="22"/>
                <w:szCs w:val="22"/>
                <w:lang w:val="en-US" w:eastAsia="en-US"/>
              </w:rPr>
              <w:t>20-24 val. Po vartojimo</w:t>
            </w:r>
          </w:p>
        </w:tc>
        <w:tc>
          <w:tcPr>
            <w:tcW w:w="298" w:type="pct"/>
            <w:shd w:val="clear" w:color="auto" w:fill="auto"/>
          </w:tcPr>
          <w:p w14:paraId="1CDD1CA1" w14:textId="77777777" w:rsidR="0041017E" w:rsidRPr="00AE1B80" w:rsidRDefault="0041017E" w:rsidP="00913D02">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E1B80">
              <w:rPr>
                <w:rFonts w:eastAsia="Calibri"/>
                <w:color w:val="auto"/>
                <w:sz w:val="22"/>
                <w:szCs w:val="22"/>
                <w:lang w:val="en-US" w:eastAsia="en-US"/>
              </w:rPr>
              <w:t>151</w:t>
            </w:r>
          </w:p>
        </w:tc>
        <w:tc>
          <w:tcPr>
            <w:tcW w:w="784" w:type="pct"/>
            <w:shd w:val="clear" w:color="auto" w:fill="auto"/>
          </w:tcPr>
          <w:p w14:paraId="69A01936" w14:textId="77777777" w:rsidR="0041017E" w:rsidRPr="00AE1B80" w:rsidRDefault="0041017E" w:rsidP="00913D02">
            <w:pPr>
              <w:widowControl w:val="0"/>
              <w:tabs>
                <w:tab w:val="clear" w:pos="567"/>
              </w:tabs>
              <w:suppressAutoHyphens w:val="0"/>
              <w:autoSpaceDE w:val="0"/>
              <w:autoSpaceDN w:val="0"/>
              <w:spacing w:line="252" w:lineRule="exact"/>
              <w:ind w:left="107"/>
              <w:rPr>
                <w:rFonts w:eastAsia="Calibri"/>
                <w:color w:val="auto"/>
                <w:sz w:val="22"/>
                <w:szCs w:val="22"/>
                <w:lang w:val="en-US" w:eastAsia="en-US"/>
              </w:rPr>
            </w:pPr>
            <w:r w:rsidRPr="00AE1B80">
              <w:rPr>
                <w:rFonts w:eastAsia="Calibri"/>
                <w:color w:val="auto"/>
                <w:sz w:val="22"/>
                <w:szCs w:val="22"/>
                <w:lang w:val="en-US" w:eastAsia="en-US"/>
              </w:rPr>
              <w:t>20,6</w:t>
            </w:r>
          </w:p>
          <w:p w14:paraId="3DF42CD2" w14:textId="77777777" w:rsidR="0041017E" w:rsidRPr="00AE1B80" w:rsidRDefault="0041017E" w:rsidP="00913D02">
            <w:pPr>
              <w:widowControl w:val="0"/>
              <w:tabs>
                <w:tab w:val="clear" w:pos="567"/>
              </w:tabs>
              <w:suppressAutoHyphens w:val="0"/>
              <w:autoSpaceDE w:val="0"/>
              <w:autoSpaceDN w:val="0"/>
              <w:spacing w:line="233" w:lineRule="exact"/>
              <w:ind w:left="107"/>
              <w:rPr>
                <w:rFonts w:eastAsia="Calibri"/>
                <w:color w:val="auto"/>
                <w:sz w:val="22"/>
                <w:szCs w:val="22"/>
                <w:lang w:val="en-US" w:eastAsia="en-US"/>
              </w:rPr>
            </w:pPr>
            <w:r w:rsidRPr="00AE1B80">
              <w:rPr>
                <w:rFonts w:eastAsia="Calibri"/>
                <w:color w:val="auto"/>
                <w:sz w:val="22"/>
                <w:szCs w:val="22"/>
                <w:lang w:val="en-US" w:eastAsia="en-US"/>
              </w:rPr>
              <w:t>(5,69-66,5)</w:t>
            </w:r>
          </w:p>
        </w:tc>
        <w:tc>
          <w:tcPr>
            <w:tcW w:w="297" w:type="pct"/>
            <w:shd w:val="clear" w:color="auto" w:fill="auto"/>
          </w:tcPr>
          <w:p w14:paraId="5B6845F6" w14:textId="77777777" w:rsidR="0041017E" w:rsidRPr="00AE1B80" w:rsidRDefault="0041017E" w:rsidP="00913D02">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E1B80">
              <w:rPr>
                <w:rFonts w:eastAsia="Calibri"/>
                <w:color w:val="auto"/>
                <w:sz w:val="22"/>
                <w:szCs w:val="22"/>
                <w:lang w:val="en-US" w:eastAsia="en-US"/>
              </w:rPr>
              <w:t>24</w:t>
            </w:r>
          </w:p>
        </w:tc>
        <w:tc>
          <w:tcPr>
            <w:tcW w:w="768" w:type="pct"/>
            <w:shd w:val="clear" w:color="auto" w:fill="auto"/>
          </w:tcPr>
          <w:p w14:paraId="4A50C7C2" w14:textId="77777777" w:rsidR="0041017E" w:rsidRPr="00AE1B80" w:rsidRDefault="0041017E" w:rsidP="00913D02">
            <w:pPr>
              <w:widowControl w:val="0"/>
              <w:tabs>
                <w:tab w:val="clear" w:pos="567"/>
              </w:tabs>
              <w:suppressAutoHyphens w:val="0"/>
              <w:autoSpaceDE w:val="0"/>
              <w:autoSpaceDN w:val="0"/>
              <w:spacing w:line="252" w:lineRule="exact"/>
              <w:ind w:left="106"/>
              <w:rPr>
                <w:rFonts w:eastAsia="Calibri"/>
                <w:color w:val="auto"/>
                <w:sz w:val="22"/>
                <w:szCs w:val="22"/>
                <w:lang w:val="en-US" w:eastAsia="en-US"/>
              </w:rPr>
            </w:pPr>
            <w:r w:rsidRPr="00AE1B80">
              <w:rPr>
                <w:rFonts w:eastAsia="Calibri"/>
                <w:color w:val="auto"/>
                <w:sz w:val="22"/>
                <w:szCs w:val="22"/>
                <w:lang w:val="en-US" w:eastAsia="en-US"/>
              </w:rPr>
              <w:t>15,9</w:t>
            </w:r>
          </w:p>
          <w:p w14:paraId="180C2BB4" w14:textId="77777777" w:rsidR="0041017E" w:rsidRPr="00AE1B80" w:rsidRDefault="0041017E" w:rsidP="00913D02">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E1B80">
              <w:rPr>
                <w:rFonts w:eastAsia="Calibri"/>
                <w:color w:val="auto"/>
                <w:sz w:val="22"/>
                <w:szCs w:val="22"/>
                <w:lang w:val="en-US" w:eastAsia="en-US"/>
              </w:rPr>
              <w:t>(3,42-45,5)</w:t>
            </w:r>
          </w:p>
        </w:tc>
        <w:tc>
          <w:tcPr>
            <w:tcW w:w="233" w:type="pct"/>
            <w:shd w:val="clear" w:color="auto" w:fill="auto"/>
          </w:tcPr>
          <w:p w14:paraId="25F56425" w14:textId="77777777" w:rsidR="0041017E" w:rsidRPr="00AE1B80"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787" w:type="pct"/>
            <w:shd w:val="clear" w:color="auto" w:fill="auto"/>
          </w:tcPr>
          <w:p w14:paraId="520FAB6B" w14:textId="77777777" w:rsidR="0041017E" w:rsidRPr="00AE1B80"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230" w:type="pct"/>
            <w:shd w:val="clear" w:color="auto" w:fill="auto"/>
          </w:tcPr>
          <w:p w14:paraId="3E3008C1" w14:textId="77777777" w:rsidR="0041017E" w:rsidRPr="00AE1B80"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899" w:type="pct"/>
            <w:shd w:val="clear" w:color="auto" w:fill="auto"/>
          </w:tcPr>
          <w:p w14:paraId="53CCA8A2" w14:textId="77777777" w:rsidR="0041017E" w:rsidRPr="00AE1B80"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r>
      <w:tr w:rsidR="0041017E" w:rsidRPr="00452D62" w14:paraId="1D0851B0" w14:textId="77777777" w:rsidTr="00913D02">
        <w:trPr>
          <w:trHeight w:val="254"/>
        </w:trPr>
        <w:tc>
          <w:tcPr>
            <w:tcW w:w="704" w:type="pct"/>
            <w:shd w:val="clear" w:color="auto" w:fill="auto"/>
          </w:tcPr>
          <w:p w14:paraId="357AE737" w14:textId="77777777" w:rsidR="0041017E" w:rsidRPr="00AE1B80" w:rsidRDefault="0041017E" w:rsidP="00913D02">
            <w:pPr>
              <w:widowControl w:val="0"/>
              <w:tabs>
                <w:tab w:val="clear" w:pos="567"/>
              </w:tabs>
              <w:suppressAutoHyphens w:val="0"/>
              <w:autoSpaceDE w:val="0"/>
              <w:autoSpaceDN w:val="0"/>
              <w:spacing w:before="1" w:line="233" w:lineRule="exact"/>
              <w:ind w:left="107"/>
              <w:rPr>
                <w:rFonts w:eastAsia="Calibri"/>
                <w:b/>
                <w:color w:val="auto"/>
                <w:sz w:val="22"/>
                <w:szCs w:val="22"/>
                <w:lang w:val="en-US" w:eastAsia="en-US"/>
              </w:rPr>
            </w:pPr>
            <w:r w:rsidRPr="00AE1B80">
              <w:rPr>
                <w:rFonts w:eastAsia="Calibri"/>
                <w:b/>
                <w:color w:val="auto"/>
                <w:sz w:val="22"/>
                <w:szCs w:val="22"/>
                <w:lang w:val="en-US" w:eastAsia="en-US"/>
              </w:rPr>
              <w:t>DKP</w:t>
            </w:r>
          </w:p>
        </w:tc>
        <w:tc>
          <w:tcPr>
            <w:tcW w:w="298" w:type="pct"/>
            <w:shd w:val="clear" w:color="auto" w:fill="auto"/>
          </w:tcPr>
          <w:p w14:paraId="4705031E" w14:textId="77777777" w:rsidR="0041017E" w:rsidRPr="00AE1B80" w:rsidRDefault="0041017E" w:rsidP="00913D02">
            <w:pPr>
              <w:widowControl w:val="0"/>
              <w:tabs>
                <w:tab w:val="clear" w:pos="567"/>
              </w:tabs>
              <w:suppressAutoHyphens w:val="0"/>
              <w:autoSpaceDE w:val="0"/>
              <w:autoSpaceDN w:val="0"/>
              <w:spacing w:before="1" w:line="233" w:lineRule="exact"/>
              <w:ind w:left="107"/>
              <w:rPr>
                <w:rFonts w:eastAsia="Calibri"/>
                <w:b/>
                <w:color w:val="auto"/>
                <w:sz w:val="22"/>
                <w:szCs w:val="22"/>
                <w:lang w:val="en-US" w:eastAsia="en-US"/>
              </w:rPr>
            </w:pPr>
            <w:r w:rsidRPr="00AE1B80">
              <w:rPr>
                <w:rFonts w:eastAsia="Calibri"/>
                <w:b/>
                <w:color w:val="auto"/>
                <w:w w:val="99"/>
                <w:sz w:val="22"/>
                <w:szCs w:val="22"/>
                <w:lang w:val="en-US" w:eastAsia="en-US"/>
              </w:rPr>
              <w:t>N</w:t>
            </w:r>
          </w:p>
        </w:tc>
        <w:tc>
          <w:tcPr>
            <w:tcW w:w="784" w:type="pct"/>
            <w:shd w:val="clear" w:color="auto" w:fill="auto"/>
          </w:tcPr>
          <w:p w14:paraId="26558372" w14:textId="77777777" w:rsidR="0041017E" w:rsidRPr="00AE1B80" w:rsidRDefault="0041017E" w:rsidP="00913D02">
            <w:pPr>
              <w:widowControl w:val="0"/>
              <w:tabs>
                <w:tab w:val="clear" w:pos="567"/>
              </w:tabs>
              <w:suppressAutoHyphens w:val="0"/>
              <w:autoSpaceDE w:val="0"/>
              <w:autoSpaceDN w:val="0"/>
              <w:spacing w:before="1" w:line="233" w:lineRule="exact"/>
              <w:ind w:left="107"/>
              <w:rPr>
                <w:rFonts w:eastAsia="Calibri"/>
                <w:b/>
                <w:color w:val="auto"/>
                <w:sz w:val="22"/>
                <w:szCs w:val="22"/>
                <w:lang w:val="en-US" w:eastAsia="en-US"/>
              </w:rPr>
            </w:pPr>
            <w:r w:rsidRPr="00AE1B80">
              <w:rPr>
                <w:rFonts w:eastAsia="Calibri"/>
                <w:b/>
                <w:color w:val="auto"/>
                <w:sz w:val="22"/>
                <w:szCs w:val="22"/>
                <w:lang w:val="en-US" w:eastAsia="en-US"/>
              </w:rPr>
              <w:t>6 -&lt; 12 metų</w:t>
            </w:r>
          </w:p>
        </w:tc>
        <w:tc>
          <w:tcPr>
            <w:tcW w:w="297" w:type="pct"/>
            <w:shd w:val="clear" w:color="auto" w:fill="auto"/>
          </w:tcPr>
          <w:p w14:paraId="39A07552" w14:textId="77777777" w:rsidR="0041017E" w:rsidRPr="00AE1B80" w:rsidRDefault="0041017E" w:rsidP="00913D02">
            <w:pPr>
              <w:widowControl w:val="0"/>
              <w:tabs>
                <w:tab w:val="clear" w:pos="567"/>
              </w:tabs>
              <w:suppressAutoHyphens w:val="0"/>
              <w:autoSpaceDE w:val="0"/>
              <w:autoSpaceDN w:val="0"/>
              <w:spacing w:before="1" w:line="233" w:lineRule="exact"/>
              <w:ind w:left="107"/>
              <w:rPr>
                <w:rFonts w:eastAsia="Calibri"/>
                <w:b/>
                <w:color w:val="auto"/>
                <w:sz w:val="22"/>
                <w:szCs w:val="22"/>
                <w:lang w:val="en-US" w:eastAsia="en-US"/>
              </w:rPr>
            </w:pPr>
            <w:r w:rsidRPr="00AE1B80">
              <w:rPr>
                <w:rFonts w:eastAsia="Calibri"/>
                <w:b/>
                <w:color w:val="auto"/>
                <w:w w:val="99"/>
                <w:sz w:val="22"/>
                <w:szCs w:val="22"/>
                <w:lang w:val="en-US" w:eastAsia="en-US"/>
              </w:rPr>
              <w:t>N</w:t>
            </w:r>
          </w:p>
        </w:tc>
        <w:tc>
          <w:tcPr>
            <w:tcW w:w="768" w:type="pct"/>
            <w:shd w:val="clear" w:color="auto" w:fill="auto"/>
          </w:tcPr>
          <w:p w14:paraId="5BC19A83" w14:textId="77777777" w:rsidR="0041017E" w:rsidRPr="00AE1B80" w:rsidRDefault="0041017E" w:rsidP="00913D02">
            <w:pPr>
              <w:widowControl w:val="0"/>
              <w:tabs>
                <w:tab w:val="clear" w:pos="567"/>
              </w:tabs>
              <w:suppressAutoHyphens w:val="0"/>
              <w:autoSpaceDE w:val="0"/>
              <w:autoSpaceDN w:val="0"/>
              <w:spacing w:before="1" w:line="233" w:lineRule="exact"/>
              <w:ind w:left="106"/>
              <w:rPr>
                <w:rFonts w:eastAsia="Calibri"/>
                <w:b/>
                <w:color w:val="auto"/>
                <w:sz w:val="22"/>
                <w:szCs w:val="22"/>
                <w:lang w:val="en-US" w:eastAsia="en-US"/>
              </w:rPr>
            </w:pPr>
            <w:r w:rsidRPr="00AE1B80">
              <w:rPr>
                <w:rFonts w:eastAsia="Calibri"/>
                <w:b/>
                <w:color w:val="auto"/>
                <w:sz w:val="22"/>
                <w:szCs w:val="22"/>
                <w:lang w:val="en-US" w:eastAsia="en-US"/>
              </w:rPr>
              <w:t>2 -&lt; 6 metai</w:t>
            </w:r>
          </w:p>
        </w:tc>
        <w:tc>
          <w:tcPr>
            <w:tcW w:w="233" w:type="pct"/>
            <w:shd w:val="clear" w:color="auto" w:fill="auto"/>
          </w:tcPr>
          <w:p w14:paraId="2D51779F" w14:textId="77777777" w:rsidR="0041017E" w:rsidRPr="00AE1B80" w:rsidRDefault="0041017E" w:rsidP="00913D02">
            <w:pPr>
              <w:widowControl w:val="0"/>
              <w:tabs>
                <w:tab w:val="clear" w:pos="567"/>
              </w:tabs>
              <w:suppressAutoHyphens w:val="0"/>
              <w:autoSpaceDE w:val="0"/>
              <w:autoSpaceDN w:val="0"/>
              <w:spacing w:before="1" w:line="233" w:lineRule="exact"/>
              <w:ind w:left="107"/>
              <w:rPr>
                <w:rFonts w:eastAsia="Calibri"/>
                <w:b/>
                <w:color w:val="auto"/>
                <w:sz w:val="22"/>
                <w:szCs w:val="22"/>
                <w:lang w:val="en-US" w:eastAsia="en-US"/>
              </w:rPr>
            </w:pPr>
            <w:r w:rsidRPr="00AE1B80">
              <w:rPr>
                <w:rFonts w:eastAsia="Calibri"/>
                <w:b/>
                <w:color w:val="auto"/>
                <w:w w:val="99"/>
                <w:sz w:val="22"/>
                <w:szCs w:val="22"/>
                <w:lang w:val="en-US" w:eastAsia="en-US"/>
              </w:rPr>
              <w:t>N</w:t>
            </w:r>
          </w:p>
        </w:tc>
        <w:tc>
          <w:tcPr>
            <w:tcW w:w="787" w:type="pct"/>
            <w:shd w:val="clear" w:color="auto" w:fill="auto"/>
          </w:tcPr>
          <w:p w14:paraId="2966D50C" w14:textId="77777777" w:rsidR="0041017E" w:rsidRPr="00AE1B80" w:rsidRDefault="0041017E" w:rsidP="00913D02">
            <w:pPr>
              <w:widowControl w:val="0"/>
              <w:tabs>
                <w:tab w:val="clear" w:pos="567"/>
              </w:tabs>
              <w:suppressAutoHyphens w:val="0"/>
              <w:autoSpaceDE w:val="0"/>
              <w:autoSpaceDN w:val="0"/>
              <w:spacing w:before="1" w:line="233" w:lineRule="exact"/>
              <w:ind w:left="106"/>
              <w:rPr>
                <w:rFonts w:eastAsia="Calibri"/>
                <w:b/>
                <w:color w:val="auto"/>
                <w:sz w:val="22"/>
                <w:szCs w:val="22"/>
                <w:lang w:val="en-US" w:eastAsia="en-US"/>
              </w:rPr>
            </w:pPr>
            <w:r w:rsidRPr="00AE1B80">
              <w:rPr>
                <w:rFonts w:eastAsia="Calibri"/>
                <w:b/>
                <w:color w:val="auto"/>
                <w:sz w:val="22"/>
                <w:szCs w:val="22"/>
                <w:lang w:val="en-US" w:eastAsia="en-US"/>
              </w:rPr>
              <w:t>0,5 -&lt; 2 metai</w:t>
            </w:r>
          </w:p>
        </w:tc>
        <w:tc>
          <w:tcPr>
            <w:tcW w:w="230" w:type="pct"/>
            <w:shd w:val="clear" w:color="auto" w:fill="auto"/>
          </w:tcPr>
          <w:p w14:paraId="6907EF5E" w14:textId="77777777" w:rsidR="0041017E" w:rsidRPr="00AE1B80"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899" w:type="pct"/>
            <w:shd w:val="clear" w:color="auto" w:fill="auto"/>
          </w:tcPr>
          <w:p w14:paraId="7076EA52" w14:textId="77777777" w:rsidR="0041017E" w:rsidRPr="00AE1B80"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r>
      <w:tr w:rsidR="0041017E" w:rsidRPr="00452D62" w14:paraId="04350B8E" w14:textId="77777777" w:rsidTr="00913D02">
        <w:trPr>
          <w:trHeight w:val="505"/>
        </w:trPr>
        <w:tc>
          <w:tcPr>
            <w:tcW w:w="704" w:type="pct"/>
            <w:shd w:val="clear" w:color="auto" w:fill="auto"/>
          </w:tcPr>
          <w:p w14:paraId="63329731" w14:textId="77777777" w:rsidR="0041017E" w:rsidRPr="00AE1B80" w:rsidRDefault="0041017E" w:rsidP="00913D02">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E1B80">
              <w:rPr>
                <w:rFonts w:eastAsia="Calibri"/>
                <w:color w:val="auto"/>
                <w:sz w:val="22"/>
                <w:szCs w:val="22"/>
                <w:lang w:val="en-US" w:eastAsia="en-US"/>
              </w:rPr>
              <w:t>2,5-4 val. Po vartojimo</w:t>
            </w:r>
          </w:p>
        </w:tc>
        <w:tc>
          <w:tcPr>
            <w:tcW w:w="298" w:type="pct"/>
            <w:shd w:val="clear" w:color="auto" w:fill="auto"/>
          </w:tcPr>
          <w:p w14:paraId="26DF0CDE" w14:textId="77777777" w:rsidR="0041017E" w:rsidRPr="00AE1B80" w:rsidRDefault="0041017E" w:rsidP="00913D02">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E1B80">
              <w:rPr>
                <w:rFonts w:eastAsia="Calibri"/>
                <w:color w:val="auto"/>
                <w:sz w:val="22"/>
                <w:szCs w:val="22"/>
                <w:lang w:val="en-US" w:eastAsia="en-US"/>
              </w:rPr>
              <w:t>36</w:t>
            </w:r>
          </w:p>
        </w:tc>
        <w:tc>
          <w:tcPr>
            <w:tcW w:w="784" w:type="pct"/>
            <w:shd w:val="clear" w:color="auto" w:fill="auto"/>
          </w:tcPr>
          <w:p w14:paraId="55FD60DC" w14:textId="77777777" w:rsidR="0041017E" w:rsidRPr="00AE1B80" w:rsidRDefault="0041017E" w:rsidP="00913D02">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E1B80">
              <w:rPr>
                <w:rFonts w:eastAsia="Calibri"/>
                <w:color w:val="auto"/>
                <w:sz w:val="22"/>
                <w:szCs w:val="22"/>
                <w:lang w:val="en-US" w:eastAsia="en-US"/>
              </w:rPr>
              <w:t>145,4</w:t>
            </w:r>
          </w:p>
          <w:p w14:paraId="7479CB4F" w14:textId="77777777" w:rsidR="0041017E" w:rsidRPr="00AE1B80" w:rsidRDefault="0041017E" w:rsidP="00913D02">
            <w:pPr>
              <w:widowControl w:val="0"/>
              <w:tabs>
                <w:tab w:val="clear" w:pos="567"/>
              </w:tabs>
              <w:suppressAutoHyphens w:val="0"/>
              <w:autoSpaceDE w:val="0"/>
              <w:autoSpaceDN w:val="0"/>
              <w:spacing w:line="233" w:lineRule="exact"/>
              <w:ind w:left="107"/>
              <w:rPr>
                <w:rFonts w:eastAsia="Calibri"/>
                <w:color w:val="auto"/>
                <w:sz w:val="22"/>
                <w:szCs w:val="22"/>
                <w:lang w:val="en-US" w:eastAsia="en-US"/>
              </w:rPr>
            </w:pPr>
            <w:r w:rsidRPr="00AE1B80">
              <w:rPr>
                <w:rFonts w:eastAsia="Calibri"/>
                <w:color w:val="auto"/>
                <w:sz w:val="22"/>
                <w:szCs w:val="22"/>
                <w:lang w:val="en-US" w:eastAsia="en-US"/>
              </w:rPr>
              <w:t>(46,0-343)</w:t>
            </w:r>
          </w:p>
        </w:tc>
        <w:tc>
          <w:tcPr>
            <w:tcW w:w="297" w:type="pct"/>
            <w:shd w:val="clear" w:color="auto" w:fill="auto"/>
          </w:tcPr>
          <w:p w14:paraId="7F798B68" w14:textId="77777777" w:rsidR="0041017E" w:rsidRPr="00AE1B80" w:rsidRDefault="0041017E" w:rsidP="00913D02">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E1B80">
              <w:rPr>
                <w:rFonts w:eastAsia="Calibri"/>
                <w:color w:val="auto"/>
                <w:sz w:val="22"/>
                <w:szCs w:val="22"/>
                <w:lang w:val="en-US" w:eastAsia="en-US"/>
              </w:rPr>
              <w:t>38</w:t>
            </w:r>
          </w:p>
        </w:tc>
        <w:tc>
          <w:tcPr>
            <w:tcW w:w="768" w:type="pct"/>
            <w:shd w:val="clear" w:color="auto" w:fill="auto"/>
          </w:tcPr>
          <w:p w14:paraId="74E622C4" w14:textId="77777777" w:rsidR="0041017E" w:rsidRPr="00AE1B80" w:rsidRDefault="0041017E" w:rsidP="00913D02">
            <w:pPr>
              <w:widowControl w:val="0"/>
              <w:tabs>
                <w:tab w:val="clear" w:pos="567"/>
              </w:tabs>
              <w:suppressAutoHyphens w:val="0"/>
              <w:autoSpaceDE w:val="0"/>
              <w:autoSpaceDN w:val="0"/>
              <w:spacing w:line="253" w:lineRule="exact"/>
              <w:ind w:left="106"/>
              <w:rPr>
                <w:rFonts w:eastAsia="Calibri"/>
                <w:color w:val="auto"/>
                <w:sz w:val="22"/>
                <w:szCs w:val="22"/>
                <w:lang w:val="en-US" w:eastAsia="en-US"/>
              </w:rPr>
            </w:pPr>
            <w:r w:rsidRPr="00AE1B80">
              <w:rPr>
                <w:rFonts w:eastAsia="Calibri"/>
                <w:color w:val="auto"/>
                <w:sz w:val="22"/>
                <w:szCs w:val="22"/>
                <w:lang w:val="en-US" w:eastAsia="en-US"/>
              </w:rPr>
              <w:t>171,8</w:t>
            </w:r>
          </w:p>
          <w:p w14:paraId="3BD0C180" w14:textId="77777777" w:rsidR="0041017E" w:rsidRPr="00AE1B80" w:rsidRDefault="0041017E" w:rsidP="00913D02">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E1B80">
              <w:rPr>
                <w:rFonts w:eastAsia="Calibri"/>
                <w:color w:val="auto"/>
                <w:sz w:val="22"/>
                <w:szCs w:val="22"/>
                <w:lang w:val="en-US" w:eastAsia="en-US"/>
              </w:rPr>
              <w:t>(70,7-438)</w:t>
            </w:r>
          </w:p>
        </w:tc>
        <w:tc>
          <w:tcPr>
            <w:tcW w:w="233" w:type="pct"/>
            <w:shd w:val="clear" w:color="auto" w:fill="auto"/>
          </w:tcPr>
          <w:p w14:paraId="529C0E8F" w14:textId="77777777" w:rsidR="0041017E" w:rsidRPr="00AE1B80" w:rsidRDefault="0041017E" w:rsidP="00913D02">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E1B80">
              <w:rPr>
                <w:rFonts w:eastAsia="Calibri"/>
                <w:color w:val="auto"/>
                <w:w w:val="99"/>
                <w:sz w:val="22"/>
                <w:szCs w:val="22"/>
                <w:lang w:val="en-US" w:eastAsia="en-US"/>
              </w:rPr>
              <w:t>2</w:t>
            </w:r>
          </w:p>
        </w:tc>
        <w:tc>
          <w:tcPr>
            <w:tcW w:w="787" w:type="pct"/>
            <w:shd w:val="clear" w:color="auto" w:fill="auto"/>
          </w:tcPr>
          <w:p w14:paraId="47E77398" w14:textId="77777777" w:rsidR="0041017E" w:rsidRPr="00AE1B80" w:rsidRDefault="0041017E" w:rsidP="00913D02">
            <w:pPr>
              <w:widowControl w:val="0"/>
              <w:tabs>
                <w:tab w:val="clear" w:pos="567"/>
              </w:tabs>
              <w:suppressAutoHyphens w:val="0"/>
              <w:autoSpaceDE w:val="0"/>
              <w:autoSpaceDN w:val="0"/>
              <w:spacing w:line="253" w:lineRule="exact"/>
              <w:ind w:left="106"/>
              <w:rPr>
                <w:rFonts w:eastAsia="Calibri"/>
                <w:color w:val="auto"/>
                <w:sz w:val="22"/>
                <w:szCs w:val="22"/>
                <w:lang w:val="en-US" w:eastAsia="en-US"/>
              </w:rPr>
            </w:pPr>
            <w:r w:rsidRPr="00AE1B80">
              <w:rPr>
                <w:rFonts w:eastAsia="Calibri"/>
                <w:color w:val="auto"/>
                <w:sz w:val="22"/>
                <w:szCs w:val="22"/>
                <w:lang w:val="en-US" w:eastAsia="en-US"/>
              </w:rPr>
              <w:t>NA</w:t>
            </w:r>
          </w:p>
        </w:tc>
        <w:tc>
          <w:tcPr>
            <w:tcW w:w="230" w:type="pct"/>
            <w:shd w:val="clear" w:color="auto" w:fill="auto"/>
          </w:tcPr>
          <w:p w14:paraId="154A5A6C" w14:textId="77777777" w:rsidR="0041017E" w:rsidRPr="00AE1B80"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899" w:type="pct"/>
            <w:shd w:val="clear" w:color="auto" w:fill="auto"/>
          </w:tcPr>
          <w:p w14:paraId="607BB0A8" w14:textId="77777777" w:rsidR="0041017E" w:rsidRPr="00AE1B80"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r>
      <w:tr w:rsidR="0041017E" w:rsidRPr="00452D62" w14:paraId="7E6BEF41" w14:textId="77777777" w:rsidTr="00913D02">
        <w:trPr>
          <w:trHeight w:val="506"/>
        </w:trPr>
        <w:tc>
          <w:tcPr>
            <w:tcW w:w="704" w:type="pct"/>
            <w:shd w:val="clear" w:color="auto" w:fill="auto"/>
          </w:tcPr>
          <w:p w14:paraId="0208F6FE" w14:textId="77777777" w:rsidR="0041017E" w:rsidRPr="00AE1B80" w:rsidRDefault="0041017E" w:rsidP="00913D02">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E1B80">
              <w:rPr>
                <w:rFonts w:eastAsia="Calibri"/>
                <w:color w:val="auto"/>
                <w:sz w:val="22"/>
                <w:szCs w:val="22"/>
                <w:lang w:val="en-US" w:eastAsia="en-US"/>
              </w:rPr>
              <w:t>10-16 val. Po varojimo</w:t>
            </w:r>
          </w:p>
        </w:tc>
        <w:tc>
          <w:tcPr>
            <w:tcW w:w="298" w:type="pct"/>
            <w:shd w:val="clear" w:color="auto" w:fill="auto"/>
          </w:tcPr>
          <w:p w14:paraId="2CF82ECA" w14:textId="77777777" w:rsidR="0041017E" w:rsidRPr="00AE1B80" w:rsidRDefault="0041017E" w:rsidP="00913D02">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E1B80">
              <w:rPr>
                <w:rFonts w:eastAsia="Calibri"/>
                <w:color w:val="auto"/>
                <w:sz w:val="22"/>
                <w:szCs w:val="22"/>
                <w:lang w:val="en-US" w:eastAsia="en-US"/>
              </w:rPr>
              <w:t>33</w:t>
            </w:r>
          </w:p>
        </w:tc>
        <w:tc>
          <w:tcPr>
            <w:tcW w:w="784" w:type="pct"/>
            <w:shd w:val="clear" w:color="auto" w:fill="auto"/>
          </w:tcPr>
          <w:p w14:paraId="4827BDEC" w14:textId="77777777" w:rsidR="0041017E" w:rsidRPr="00AE1B80" w:rsidRDefault="0041017E" w:rsidP="00913D02">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E1B80">
              <w:rPr>
                <w:rFonts w:eastAsia="Calibri"/>
                <w:color w:val="auto"/>
                <w:sz w:val="22"/>
                <w:szCs w:val="22"/>
                <w:lang w:val="en-US" w:eastAsia="en-US"/>
              </w:rPr>
              <w:t>26,0</w:t>
            </w:r>
          </w:p>
          <w:p w14:paraId="37ADDC9A" w14:textId="77777777" w:rsidR="0041017E" w:rsidRPr="00AE1B80" w:rsidRDefault="0041017E" w:rsidP="00913D02">
            <w:pPr>
              <w:widowControl w:val="0"/>
              <w:tabs>
                <w:tab w:val="clear" w:pos="567"/>
              </w:tabs>
              <w:suppressAutoHyphens w:val="0"/>
              <w:autoSpaceDE w:val="0"/>
              <w:autoSpaceDN w:val="0"/>
              <w:spacing w:line="233" w:lineRule="exact"/>
              <w:ind w:left="107"/>
              <w:rPr>
                <w:rFonts w:eastAsia="Calibri"/>
                <w:color w:val="auto"/>
                <w:sz w:val="22"/>
                <w:szCs w:val="22"/>
                <w:lang w:val="en-US" w:eastAsia="en-US"/>
              </w:rPr>
            </w:pPr>
            <w:r w:rsidRPr="00AE1B80">
              <w:rPr>
                <w:rFonts w:eastAsia="Calibri"/>
                <w:color w:val="auto"/>
                <w:sz w:val="22"/>
                <w:szCs w:val="22"/>
                <w:lang w:val="en-US" w:eastAsia="en-US"/>
              </w:rPr>
              <w:t>(7,99-94,9)</w:t>
            </w:r>
          </w:p>
        </w:tc>
        <w:tc>
          <w:tcPr>
            <w:tcW w:w="297" w:type="pct"/>
            <w:shd w:val="clear" w:color="auto" w:fill="auto"/>
          </w:tcPr>
          <w:p w14:paraId="23F4DFEE" w14:textId="77777777" w:rsidR="0041017E" w:rsidRPr="00AE1B80" w:rsidRDefault="0041017E" w:rsidP="00913D02">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E1B80">
              <w:rPr>
                <w:rFonts w:eastAsia="Calibri"/>
                <w:color w:val="auto"/>
                <w:sz w:val="22"/>
                <w:szCs w:val="22"/>
                <w:lang w:val="en-US" w:eastAsia="en-US"/>
              </w:rPr>
              <w:t>37</w:t>
            </w:r>
          </w:p>
        </w:tc>
        <w:tc>
          <w:tcPr>
            <w:tcW w:w="768" w:type="pct"/>
            <w:shd w:val="clear" w:color="auto" w:fill="auto"/>
          </w:tcPr>
          <w:p w14:paraId="043F7B17" w14:textId="77777777" w:rsidR="0041017E" w:rsidRPr="00AE1B80" w:rsidRDefault="0041017E" w:rsidP="00913D02">
            <w:pPr>
              <w:widowControl w:val="0"/>
              <w:tabs>
                <w:tab w:val="clear" w:pos="567"/>
              </w:tabs>
              <w:suppressAutoHyphens w:val="0"/>
              <w:autoSpaceDE w:val="0"/>
              <w:autoSpaceDN w:val="0"/>
              <w:spacing w:line="253" w:lineRule="exact"/>
              <w:ind w:left="106"/>
              <w:rPr>
                <w:rFonts w:eastAsia="Calibri"/>
                <w:color w:val="auto"/>
                <w:sz w:val="22"/>
                <w:szCs w:val="22"/>
                <w:lang w:val="en-US" w:eastAsia="en-US"/>
              </w:rPr>
            </w:pPr>
            <w:r w:rsidRPr="00AE1B80">
              <w:rPr>
                <w:rFonts w:eastAsia="Calibri"/>
                <w:color w:val="auto"/>
                <w:sz w:val="22"/>
                <w:szCs w:val="22"/>
                <w:lang w:val="en-US" w:eastAsia="en-US"/>
              </w:rPr>
              <w:t>22,2</w:t>
            </w:r>
          </w:p>
          <w:p w14:paraId="1261DBBA" w14:textId="77777777" w:rsidR="0041017E" w:rsidRPr="00AE1B80" w:rsidRDefault="0041017E" w:rsidP="00913D02">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E1B80">
              <w:rPr>
                <w:rFonts w:eastAsia="Calibri"/>
                <w:color w:val="auto"/>
                <w:sz w:val="22"/>
                <w:szCs w:val="22"/>
                <w:lang w:val="en-US" w:eastAsia="en-US"/>
              </w:rPr>
              <w:t>(0,25-127)</w:t>
            </w:r>
          </w:p>
        </w:tc>
        <w:tc>
          <w:tcPr>
            <w:tcW w:w="233" w:type="pct"/>
            <w:shd w:val="clear" w:color="auto" w:fill="auto"/>
          </w:tcPr>
          <w:p w14:paraId="4F373527" w14:textId="77777777" w:rsidR="0041017E" w:rsidRPr="00AE1B80" w:rsidRDefault="0041017E" w:rsidP="00913D02">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E1B80">
              <w:rPr>
                <w:rFonts w:eastAsia="Calibri"/>
                <w:color w:val="auto"/>
                <w:w w:val="99"/>
                <w:sz w:val="22"/>
                <w:szCs w:val="22"/>
                <w:lang w:val="en-US" w:eastAsia="en-US"/>
              </w:rPr>
              <w:t>3</w:t>
            </w:r>
          </w:p>
        </w:tc>
        <w:tc>
          <w:tcPr>
            <w:tcW w:w="787" w:type="pct"/>
            <w:shd w:val="clear" w:color="auto" w:fill="auto"/>
          </w:tcPr>
          <w:p w14:paraId="13FEF70E" w14:textId="77777777" w:rsidR="0041017E" w:rsidRPr="00AE1B80" w:rsidRDefault="0041017E" w:rsidP="00913D02">
            <w:pPr>
              <w:widowControl w:val="0"/>
              <w:tabs>
                <w:tab w:val="clear" w:pos="567"/>
              </w:tabs>
              <w:suppressAutoHyphens w:val="0"/>
              <w:autoSpaceDE w:val="0"/>
              <w:autoSpaceDN w:val="0"/>
              <w:spacing w:line="253" w:lineRule="exact"/>
              <w:ind w:left="106"/>
              <w:rPr>
                <w:rFonts w:eastAsia="Calibri"/>
                <w:color w:val="auto"/>
                <w:sz w:val="22"/>
                <w:szCs w:val="22"/>
                <w:lang w:val="en-US" w:eastAsia="en-US"/>
              </w:rPr>
            </w:pPr>
            <w:r w:rsidRPr="00AE1B80">
              <w:rPr>
                <w:rFonts w:eastAsia="Calibri"/>
                <w:color w:val="auto"/>
                <w:sz w:val="22"/>
                <w:szCs w:val="22"/>
                <w:lang w:val="en-US" w:eastAsia="en-US"/>
              </w:rPr>
              <w:t>10,7</w:t>
            </w:r>
          </w:p>
          <w:p w14:paraId="37589E6A" w14:textId="77777777" w:rsidR="0041017E" w:rsidRPr="00AE1B80" w:rsidRDefault="0041017E" w:rsidP="00913D02">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E1B80">
              <w:rPr>
                <w:rFonts w:eastAsia="Calibri"/>
                <w:color w:val="auto"/>
                <w:sz w:val="22"/>
                <w:szCs w:val="22"/>
                <w:lang w:val="en-US" w:eastAsia="en-US"/>
              </w:rPr>
              <w:t>(NA-NA)</w:t>
            </w:r>
          </w:p>
        </w:tc>
        <w:tc>
          <w:tcPr>
            <w:tcW w:w="230" w:type="pct"/>
            <w:shd w:val="clear" w:color="auto" w:fill="auto"/>
          </w:tcPr>
          <w:p w14:paraId="5DC2298A" w14:textId="77777777" w:rsidR="0041017E" w:rsidRPr="00AE1B80"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899" w:type="pct"/>
            <w:shd w:val="clear" w:color="auto" w:fill="auto"/>
          </w:tcPr>
          <w:p w14:paraId="7CC07596" w14:textId="77777777" w:rsidR="0041017E" w:rsidRPr="00AE1B80"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r>
      <w:tr w:rsidR="0041017E" w:rsidRPr="00452D62" w14:paraId="5E2632F4" w14:textId="77777777" w:rsidTr="00913D02">
        <w:trPr>
          <w:trHeight w:val="505"/>
        </w:trPr>
        <w:tc>
          <w:tcPr>
            <w:tcW w:w="704" w:type="pct"/>
            <w:shd w:val="clear" w:color="auto" w:fill="auto"/>
          </w:tcPr>
          <w:p w14:paraId="0DC682E2" w14:textId="77777777" w:rsidR="0041017E" w:rsidRPr="00AE1B80" w:rsidRDefault="0041017E" w:rsidP="00913D02">
            <w:pPr>
              <w:widowControl w:val="0"/>
              <w:tabs>
                <w:tab w:val="clear" w:pos="567"/>
              </w:tabs>
              <w:suppressAutoHyphens w:val="0"/>
              <w:autoSpaceDE w:val="0"/>
              <w:autoSpaceDN w:val="0"/>
              <w:spacing w:line="253" w:lineRule="exact"/>
              <w:ind w:left="107"/>
              <w:rPr>
                <w:rFonts w:eastAsia="Calibri"/>
                <w:b/>
                <w:color w:val="auto"/>
                <w:sz w:val="22"/>
                <w:szCs w:val="22"/>
                <w:lang w:val="en-US" w:eastAsia="en-US"/>
              </w:rPr>
            </w:pPr>
            <w:r w:rsidRPr="00AE1B80">
              <w:rPr>
                <w:rFonts w:eastAsia="Calibri"/>
                <w:b/>
                <w:color w:val="auto"/>
                <w:sz w:val="22"/>
                <w:szCs w:val="22"/>
                <w:lang w:val="en-US" w:eastAsia="en-US"/>
              </w:rPr>
              <w:t>TKP</w:t>
            </w:r>
          </w:p>
        </w:tc>
        <w:tc>
          <w:tcPr>
            <w:tcW w:w="298" w:type="pct"/>
            <w:shd w:val="clear" w:color="auto" w:fill="auto"/>
          </w:tcPr>
          <w:p w14:paraId="1397CBBB" w14:textId="77777777" w:rsidR="0041017E" w:rsidRPr="00AE1B80" w:rsidRDefault="0041017E" w:rsidP="00913D02">
            <w:pPr>
              <w:widowControl w:val="0"/>
              <w:tabs>
                <w:tab w:val="clear" w:pos="567"/>
              </w:tabs>
              <w:suppressAutoHyphens w:val="0"/>
              <w:autoSpaceDE w:val="0"/>
              <w:autoSpaceDN w:val="0"/>
              <w:spacing w:line="253" w:lineRule="exact"/>
              <w:ind w:left="107"/>
              <w:rPr>
                <w:rFonts w:eastAsia="Calibri"/>
                <w:b/>
                <w:color w:val="auto"/>
                <w:sz w:val="22"/>
                <w:szCs w:val="22"/>
                <w:lang w:val="en-US" w:eastAsia="en-US"/>
              </w:rPr>
            </w:pPr>
            <w:r w:rsidRPr="00AE1B80">
              <w:rPr>
                <w:rFonts w:eastAsia="Calibri"/>
                <w:b/>
                <w:color w:val="auto"/>
                <w:w w:val="99"/>
                <w:sz w:val="22"/>
                <w:szCs w:val="22"/>
                <w:lang w:val="en-US" w:eastAsia="en-US"/>
              </w:rPr>
              <w:t>N</w:t>
            </w:r>
          </w:p>
        </w:tc>
        <w:tc>
          <w:tcPr>
            <w:tcW w:w="784" w:type="pct"/>
            <w:shd w:val="clear" w:color="auto" w:fill="auto"/>
          </w:tcPr>
          <w:p w14:paraId="416F7E2E" w14:textId="77777777" w:rsidR="0041017E" w:rsidRPr="00AE1B80" w:rsidRDefault="0041017E" w:rsidP="00913D02">
            <w:pPr>
              <w:widowControl w:val="0"/>
              <w:tabs>
                <w:tab w:val="clear" w:pos="567"/>
              </w:tabs>
              <w:suppressAutoHyphens w:val="0"/>
              <w:autoSpaceDE w:val="0"/>
              <w:autoSpaceDN w:val="0"/>
              <w:spacing w:line="253" w:lineRule="exact"/>
              <w:ind w:left="107"/>
              <w:rPr>
                <w:rFonts w:eastAsia="Calibri"/>
                <w:b/>
                <w:color w:val="auto"/>
                <w:sz w:val="22"/>
                <w:szCs w:val="22"/>
                <w:lang w:val="en-US" w:eastAsia="en-US"/>
              </w:rPr>
            </w:pPr>
            <w:r w:rsidRPr="00AE1B80">
              <w:rPr>
                <w:rFonts w:eastAsia="Calibri"/>
                <w:b/>
                <w:color w:val="auto"/>
                <w:sz w:val="22"/>
                <w:szCs w:val="22"/>
                <w:lang w:val="en-US" w:eastAsia="en-US"/>
              </w:rPr>
              <w:t>2 -&lt; 6 metai</w:t>
            </w:r>
          </w:p>
        </w:tc>
        <w:tc>
          <w:tcPr>
            <w:tcW w:w="297" w:type="pct"/>
            <w:shd w:val="clear" w:color="auto" w:fill="auto"/>
          </w:tcPr>
          <w:p w14:paraId="6D487BDB" w14:textId="77777777" w:rsidR="0041017E" w:rsidRPr="00AE1B80" w:rsidRDefault="0041017E" w:rsidP="00913D02">
            <w:pPr>
              <w:widowControl w:val="0"/>
              <w:tabs>
                <w:tab w:val="clear" w:pos="567"/>
              </w:tabs>
              <w:suppressAutoHyphens w:val="0"/>
              <w:autoSpaceDE w:val="0"/>
              <w:autoSpaceDN w:val="0"/>
              <w:spacing w:line="253" w:lineRule="exact"/>
              <w:ind w:left="107"/>
              <w:rPr>
                <w:rFonts w:eastAsia="Calibri"/>
                <w:b/>
                <w:color w:val="auto"/>
                <w:sz w:val="22"/>
                <w:szCs w:val="22"/>
                <w:lang w:val="en-US" w:eastAsia="en-US"/>
              </w:rPr>
            </w:pPr>
            <w:r w:rsidRPr="00AE1B80">
              <w:rPr>
                <w:rFonts w:eastAsia="Calibri"/>
                <w:b/>
                <w:color w:val="auto"/>
                <w:w w:val="99"/>
                <w:sz w:val="22"/>
                <w:szCs w:val="22"/>
                <w:lang w:val="en-US" w:eastAsia="en-US"/>
              </w:rPr>
              <w:t>N</w:t>
            </w:r>
          </w:p>
        </w:tc>
        <w:tc>
          <w:tcPr>
            <w:tcW w:w="768" w:type="pct"/>
            <w:shd w:val="clear" w:color="auto" w:fill="auto"/>
          </w:tcPr>
          <w:p w14:paraId="10C475E6" w14:textId="77777777" w:rsidR="0041017E" w:rsidRPr="00AE1B80" w:rsidRDefault="0041017E" w:rsidP="00913D02">
            <w:pPr>
              <w:widowControl w:val="0"/>
              <w:tabs>
                <w:tab w:val="clear" w:pos="567"/>
              </w:tabs>
              <w:suppressAutoHyphens w:val="0"/>
              <w:autoSpaceDE w:val="0"/>
              <w:autoSpaceDN w:val="0"/>
              <w:spacing w:line="253" w:lineRule="exact"/>
              <w:ind w:left="106"/>
              <w:rPr>
                <w:rFonts w:eastAsia="Calibri"/>
                <w:b/>
                <w:color w:val="auto"/>
                <w:sz w:val="22"/>
                <w:szCs w:val="22"/>
                <w:lang w:val="en-US" w:eastAsia="en-US"/>
              </w:rPr>
            </w:pPr>
            <w:r w:rsidRPr="00AE1B80">
              <w:rPr>
                <w:rFonts w:eastAsia="Calibri"/>
                <w:b/>
                <w:color w:val="auto"/>
                <w:sz w:val="22"/>
                <w:szCs w:val="22"/>
                <w:lang w:val="en-US" w:eastAsia="en-US"/>
              </w:rPr>
              <w:t>Nuo gimimo -</w:t>
            </w:r>
          </w:p>
          <w:p w14:paraId="5BEBBD6A" w14:textId="77777777" w:rsidR="0041017E" w:rsidRPr="00AE1B80" w:rsidRDefault="0041017E" w:rsidP="00913D02">
            <w:pPr>
              <w:widowControl w:val="0"/>
              <w:tabs>
                <w:tab w:val="clear" w:pos="567"/>
              </w:tabs>
              <w:suppressAutoHyphens w:val="0"/>
              <w:autoSpaceDE w:val="0"/>
              <w:autoSpaceDN w:val="0"/>
              <w:spacing w:line="233" w:lineRule="exact"/>
              <w:ind w:left="106"/>
              <w:rPr>
                <w:rFonts w:eastAsia="Calibri"/>
                <w:b/>
                <w:color w:val="auto"/>
                <w:sz w:val="22"/>
                <w:szCs w:val="22"/>
                <w:lang w:val="en-US" w:eastAsia="en-US"/>
              </w:rPr>
            </w:pPr>
            <w:r w:rsidRPr="00AE1B80">
              <w:rPr>
                <w:rFonts w:eastAsia="Calibri"/>
                <w:b/>
                <w:color w:val="auto"/>
                <w:sz w:val="22"/>
                <w:szCs w:val="22"/>
                <w:lang w:val="en-US" w:eastAsia="en-US"/>
              </w:rPr>
              <w:t>&lt; 2 metai</w:t>
            </w:r>
          </w:p>
        </w:tc>
        <w:tc>
          <w:tcPr>
            <w:tcW w:w="233" w:type="pct"/>
            <w:shd w:val="clear" w:color="auto" w:fill="auto"/>
          </w:tcPr>
          <w:p w14:paraId="7DCE6292" w14:textId="77777777" w:rsidR="0041017E" w:rsidRPr="00AE1B80" w:rsidRDefault="0041017E" w:rsidP="00913D02">
            <w:pPr>
              <w:widowControl w:val="0"/>
              <w:tabs>
                <w:tab w:val="clear" w:pos="567"/>
              </w:tabs>
              <w:suppressAutoHyphens w:val="0"/>
              <w:autoSpaceDE w:val="0"/>
              <w:autoSpaceDN w:val="0"/>
              <w:spacing w:line="253" w:lineRule="exact"/>
              <w:ind w:left="107"/>
              <w:rPr>
                <w:rFonts w:eastAsia="Calibri"/>
                <w:b/>
                <w:color w:val="auto"/>
                <w:sz w:val="22"/>
                <w:szCs w:val="22"/>
                <w:lang w:val="en-US" w:eastAsia="en-US"/>
              </w:rPr>
            </w:pPr>
            <w:r w:rsidRPr="00AE1B80">
              <w:rPr>
                <w:rFonts w:eastAsia="Calibri"/>
                <w:b/>
                <w:color w:val="auto"/>
                <w:w w:val="99"/>
                <w:sz w:val="22"/>
                <w:szCs w:val="22"/>
                <w:lang w:val="en-US" w:eastAsia="en-US"/>
              </w:rPr>
              <w:t>N</w:t>
            </w:r>
          </w:p>
        </w:tc>
        <w:tc>
          <w:tcPr>
            <w:tcW w:w="787" w:type="pct"/>
            <w:shd w:val="clear" w:color="auto" w:fill="auto"/>
          </w:tcPr>
          <w:p w14:paraId="71A87DC9" w14:textId="77777777" w:rsidR="0041017E" w:rsidRPr="00AE1B80" w:rsidRDefault="0041017E" w:rsidP="00913D02">
            <w:pPr>
              <w:widowControl w:val="0"/>
              <w:tabs>
                <w:tab w:val="clear" w:pos="567"/>
              </w:tabs>
              <w:suppressAutoHyphens w:val="0"/>
              <w:autoSpaceDE w:val="0"/>
              <w:autoSpaceDN w:val="0"/>
              <w:spacing w:line="253" w:lineRule="exact"/>
              <w:ind w:left="106"/>
              <w:rPr>
                <w:rFonts w:eastAsia="Calibri"/>
                <w:b/>
                <w:color w:val="auto"/>
                <w:sz w:val="22"/>
                <w:szCs w:val="22"/>
                <w:lang w:val="en-US" w:eastAsia="en-US"/>
              </w:rPr>
            </w:pPr>
            <w:r w:rsidRPr="00AE1B80">
              <w:rPr>
                <w:rFonts w:eastAsia="Calibri"/>
                <w:b/>
                <w:color w:val="auto"/>
                <w:sz w:val="22"/>
                <w:szCs w:val="22"/>
                <w:lang w:val="en-US" w:eastAsia="en-US"/>
              </w:rPr>
              <w:t>0,5 -&lt; 2 metai</w:t>
            </w:r>
          </w:p>
        </w:tc>
        <w:tc>
          <w:tcPr>
            <w:tcW w:w="230" w:type="pct"/>
            <w:shd w:val="clear" w:color="auto" w:fill="auto"/>
          </w:tcPr>
          <w:p w14:paraId="67EE86DF" w14:textId="77777777" w:rsidR="0041017E" w:rsidRPr="00AE1B80" w:rsidRDefault="0041017E" w:rsidP="00913D02">
            <w:pPr>
              <w:widowControl w:val="0"/>
              <w:tabs>
                <w:tab w:val="clear" w:pos="567"/>
              </w:tabs>
              <w:suppressAutoHyphens w:val="0"/>
              <w:autoSpaceDE w:val="0"/>
              <w:autoSpaceDN w:val="0"/>
              <w:spacing w:line="253" w:lineRule="exact"/>
              <w:jc w:val="center"/>
              <w:rPr>
                <w:rFonts w:eastAsia="Calibri"/>
                <w:b/>
                <w:color w:val="auto"/>
                <w:sz w:val="22"/>
                <w:szCs w:val="22"/>
                <w:lang w:val="en-US" w:eastAsia="en-US"/>
              </w:rPr>
            </w:pPr>
            <w:r w:rsidRPr="00AE1B80">
              <w:rPr>
                <w:rFonts w:eastAsia="Calibri"/>
                <w:b/>
                <w:color w:val="auto"/>
                <w:w w:val="99"/>
                <w:sz w:val="22"/>
                <w:szCs w:val="22"/>
                <w:lang w:val="en-US" w:eastAsia="en-US"/>
              </w:rPr>
              <w:t>N</w:t>
            </w:r>
          </w:p>
        </w:tc>
        <w:tc>
          <w:tcPr>
            <w:tcW w:w="899" w:type="pct"/>
            <w:shd w:val="clear" w:color="auto" w:fill="auto"/>
          </w:tcPr>
          <w:p w14:paraId="44B906C8" w14:textId="77777777" w:rsidR="0041017E" w:rsidRPr="00AE1B80" w:rsidRDefault="0041017E" w:rsidP="00913D02">
            <w:pPr>
              <w:widowControl w:val="0"/>
              <w:tabs>
                <w:tab w:val="clear" w:pos="567"/>
              </w:tabs>
              <w:suppressAutoHyphens w:val="0"/>
              <w:autoSpaceDE w:val="0"/>
              <w:autoSpaceDN w:val="0"/>
              <w:spacing w:line="253" w:lineRule="exact"/>
              <w:ind w:left="106"/>
              <w:rPr>
                <w:rFonts w:eastAsia="Calibri"/>
                <w:b/>
                <w:color w:val="auto"/>
                <w:sz w:val="22"/>
                <w:szCs w:val="22"/>
                <w:lang w:val="en-US" w:eastAsia="en-US"/>
              </w:rPr>
            </w:pPr>
            <w:r w:rsidRPr="00AE1B80">
              <w:rPr>
                <w:rFonts w:eastAsia="Calibri"/>
                <w:b/>
                <w:color w:val="auto"/>
                <w:sz w:val="22"/>
                <w:szCs w:val="22"/>
                <w:lang w:val="en-US" w:eastAsia="en-US"/>
              </w:rPr>
              <w:t>Nuo gimimo -</w:t>
            </w:r>
          </w:p>
          <w:p w14:paraId="09460478" w14:textId="77777777" w:rsidR="0041017E" w:rsidRPr="00AE1B80" w:rsidRDefault="0041017E" w:rsidP="00913D02">
            <w:pPr>
              <w:widowControl w:val="0"/>
              <w:tabs>
                <w:tab w:val="clear" w:pos="567"/>
              </w:tabs>
              <w:suppressAutoHyphens w:val="0"/>
              <w:autoSpaceDE w:val="0"/>
              <w:autoSpaceDN w:val="0"/>
              <w:spacing w:line="233" w:lineRule="exact"/>
              <w:ind w:left="106"/>
              <w:rPr>
                <w:rFonts w:eastAsia="Calibri"/>
                <w:b/>
                <w:color w:val="auto"/>
                <w:sz w:val="22"/>
                <w:szCs w:val="22"/>
                <w:lang w:val="en-US" w:eastAsia="en-US"/>
              </w:rPr>
            </w:pPr>
            <w:r w:rsidRPr="00AE1B80">
              <w:rPr>
                <w:rFonts w:eastAsia="Calibri"/>
                <w:b/>
                <w:color w:val="auto"/>
                <w:sz w:val="22"/>
                <w:szCs w:val="22"/>
                <w:lang w:val="en-US" w:eastAsia="en-US"/>
              </w:rPr>
              <w:t>&lt; 0,5 metų</w:t>
            </w:r>
          </w:p>
        </w:tc>
      </w:tr>
      <w:tr w:rsidR="0041017E" w:rsidRPr="00452D62" w14:paraId="23C19746" w14:textId="77777777" w:rsidTr="00913D02">
        <w:trPr>
          <w:trHeight w:val="504"/>
        </w:trPr>
        <w:tc>
          <w:tcPr>
            <w:tcW w:w="704" w:type="pct"/>
            <w:shd w:val="clear" w:color="auto" w:fill="auto"/>
          </w:tcPr>
          <w:p w14:paraId="7A7D9FCA" w14:textId="77777777" w:rsidR="0041017E" w:rsidRPr="00AE1B80" w:rsidRDefault="0041017E" w:rsidP="00913D02">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E1B80">
              <w:rPr>
                <w:rFonts w:eastAsia="Calibri"/>
                <w:color w:val="auto"/>
                <w:sz w:val="22"/>
                <w:szCs w:val="22"/>
                <w:lang w:val="en-US" w:eastAsia="en-US"/>
              </w:rPr>
              <w:t>0,5-3 val po vartojimo</w:t>
            </w:r>
          </w:p>
        </w:tc>
        <w:tc>
          <w:tcPr>
            <w:tcW w:w="298" w:type="pct"/>
            <w:shd w:val="clear" w:color="auto" w:fill="auto"/>
          </w:tcPr>
          <w:p w14:paraId="406810D4" w14:textId="77777777" w:rsidR="0041017E" w:rsidRPr="00AE1B80" w:rsidRDefault="0041017E" w:rsidP="00913D02">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E1B80">
              <w:rPr>
                <w:rFonts w:eastAsia="Calibri"/>
                <w:color w:val="auto"/>
                <w:w w:val="99"/>
                <w:sz w:val="22"/>
                <w:szCs w:val="22"/>
                <w:lang w:val="en-US" w:eastAsia="en-US"/>
              </w:rPr>
              <w:t>5</w:t>
            </w:r>
          </w:p>
        </w:tc>
        <w:tc>
          <w:tcPr>
            <w:tcW w:w="784" w:type="pct"/>
            <w:shd w:val="clear" w:color="auto" w:fill="auto"/>
          </w:tcPr>
          <w:p w14:paraId="735A6603" w14:textId="77777777" w:rsidR="0041017E" w:rsidRPr="00AE1B80" w:rsidRDefault="0041017E" w:rsidP="00913D02">
            <w:pPr>
              <w:widowControl w:val="0"/>
              <w:tabs>
                <w:tab w:val="clear" w:pos="567"/>
              </w:tabs>
              <w:suppressAutoHyphens w:val="0"/>
              <w:autoSpaceDE w:val="0"/>
              <w:autoSpaceDN w:val="0"/>
              <w:spacing w:line="252" w:lineRule="exact"/>
              <w:ind w:left="107"/>
              <w:rPr>
                <w:rFonts w:eastAsia="Calibri"/>
                <w:color w:val="auto"/>
                <w:sz w:val="22"/>
                <w:szCs w:val="22"/>
                <w:lang w:val="en-US" w:eastAsia="en-US"/>
              </w:rPr>
            </w:pPr>
            <w:r w:rsidRPr="00AE1B80">
              <w:rPr>
                <w:rFonts w:eastAsia="Calibri"/>
                <w:color w:val="auto"/>
                <w:sz w:val="22"/>
                <w:szCs w:val="22"/>
                <w:lang w:val="en-US" w:eastAsia="en-US"/>
              </w:rPr>
              <w:t>164,7</w:t>
            </w:r>
          </w:p>
          <w:p w14:paraId="6E08687D" w14:textId="77777777" w:rsidR="0041017E" w:rsidRPr="00AE1B80" w:rsidRDefault="0041017E" w:rsidP="00913D02">
            <w:pPr>
              <w:widowControl w:val="0"/>
              <w:tabs>
                <w:tab w:val="clear" w:pos="567"/>
              </w:tabs>
              <w:suppressAutoHyphens w:val="0"/>
              <w:autoSpaceDE w:val="0"/>
              <w:autoSpaceDN w:val="0"/>
              <w:spacing w:line="233" w:lineRule="exact"/>
              <w:ind w:left="107"/>
              <w:rPr>
                <w:rFonts w:eastAsia="Calibri"/>
                <w:color w:val="auto"/>
                <w:sz w:val="22"/>
                <w:szCs w:val="22"/>
                <w:lang w:val="en-US" w:eastAsia="en-US"/>
              </w:rPr>
            </w:pPr>
            <w:r w:rsidRPr="00AE1B80">
              <w:rPr>
                <w:rFonts w:eastAsia="Calibri"/>
                <w:color w:val="auto"/>
                <w:sz w:val="22"/>
                <w:szCs w:val="22"/>
                <w:lang w:val="en-US" w:eastAsia="en-US"/>
              </w:rPr>
              <w:t>(108-283)</w:t>
            </w:r>
          </w:p>
        </w:tc>
        <w:tc>
          <w:tcPr>
            <w:tcW w:w="297" w:type="pct"/>
            <w:shd w:val="clear" w:color="auto" w:fill="auto"/>
          </w:tcPr>
          <w:p w14:paraId="539D76B9" w14:textId="77777777" w:rsidR="0041017E" w:rsidRPr="00AE1B80" w:rsidRDefault="0041017E" w:rsidP="00913D02">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E1B80">
              <w:rPr>
                <w:rFonts w:eastAsia="Calibri"/>
                <w:color w:val="auto"/>
                <w:sz w:val="22"/>
                <w:szCs w:val="22"/>
                <w:lang w:val="en-US" w:eastAsia="en-US"/>
              </w:rPr>
              <w:t>25</w:t>
            </w:r>
          </w:p>
        </w:tc>
        <w:tc>
          <w:tcPr>
            <w:tcW w:w="768" w:type="pct"/>
            <w:shd w:val="clear" w:color="auto" w:fill="auto"/>
          </w:tcPr>
          <w:p w14:paraId="5AE08606" w14:textId="0CEDDB23" w:rsidR="0041017E" w:rsidRPr="00AE1B80" w:rsidRDefault="0041017E" w:rsidP="00913D02">
            <w:pPr>
              <w:widowControl w:val="0"/>
              <w:tabs>
                <w:tab w:val="clear" w:pos="567"/>
              </w:tabs>
              <w:suppressAutoHyphens w:val="0"/>
              <w:autoSpaceDE w:val="0"/>
              <w:autoSpaceDN w:val="0"/>
              <w:spacing w:line="252" w:lineRule="exact"/>
              <w:ind w:left="106"/>
              <w:rPr>
                <w:rFonts w:eastAsia="Calibri"/>
                <w:color w:val="auto"/>
                <w:sz w:val="22"/>
                <w:szCs w:val="22"/>
                <w:lang w:val="en-US" w:eastAsia="en-US"/>
              </w:rPr>
            </w:pPr>
            <w:r w:rsidRPr="00AE1B80">
              <w:rPr>
                <w:rFonts w:eastAsia="Calibri"/>
                <w:color w:val="auto"/>
                <w:sz w:val="22"/>
                <w:szCs w:val="22"/>
                <w:lang w:val="en-US" w:eastAsia="en-US"/>
              </w:rPr>
              <w:t>111,2</w:t>
            </w:r>
          </w:p>
          <w:p w14:paraId="728286D1" w14:textId="77777777" w:rsidR="0041017E" w:rsidRPr="00AE1B80" w:rsidRDefault="0041017E" w:rsidP="00913D02">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E1B80">
              <w:rPr>
                <w:rFonts w:eastAsia="Calibri"/>
                <w:color w:val="auto"/>
                <w:sz w:val="22"/>
                <w:szCs w:val="22"/>
                <w:lang w:val="en-US" w:eastAsia="en-US"/>
              </w:rPr>
              <w:t>(22,9-320)</w:t>
            </w:r>
          </w:p>
        </w:tc>
        <w:tc>
          <w:tcPr>
            <w:tcW w:w="233" w:type="pct"/>
            <w:shd w:val="clear" w:color="auto" w:fill="auto"/>
          </w:tcPr>
          <w:p w14:paraId="147AFCAF" w14:textId="77777777" w:rsidR="0041017E" w:rsidRPr="00AE1B80" w:rsidRDefault="0041017E" w:rsidP="00913D02">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E1B80">
              <w:rPr>
                <w:rFonts w:eastAsia="Calibri"/>
                <w:color w:val="auto"/>
                <w:sz w:val="22"/>
                <w:szCs w:val="22"/>
                <w:lang w:val="en-US" w:eastAsia="en-US"/>
              </w:rPr>
              <w:t>13</w:t>
            </w:r>
          </w:p>
        </w:tc>
        <w:tc>
          <w:tcPr>
            <w:tcW w:w="787" w:type="pct"/>
            <w:shd w:val="clear" w:color="auto" w:fill="auto"/>
          </w:tcPr>
          <w:p w14:paraId="4D3C89AF" w14:textId="77777777" w:rsidR="0041017E" w:rsidRPr="00AE1B80" w:rsidRDefault="0041017E" w:rsidP="00913D02">
            <w:pPr>
              <w:widowControl w:val="0"/>
              <w:tabs>
                <w:tab w:val="clear" w:pos="567"/>
              </w:tabs>
              <w:suppressAutoHyphens w:val="0"/>
              <w:autoSpaceDE w:val="0"/>
              <w:autoSpaceDN w:val="0"/>
              <w:spacing w:line="252" w:lineRule="exact"/>
              <w:ind w:left="106"/>
              <w:rPr>
                <w:rFonts w:eastAsia="Calibri"/>
                <w:color w:val="auto"/>
                <w:sz w:val="22"/>
                <w:szCs w:val="22"/>
                <w:lang w:val="en-US" w:eastAsia="en-US"/>
              </w:rPr>
            </w:pPr>
            <w:r w:rsidRPr="00AE1B80">
              <w:rPr>
                <w:rFonts w:eastAsia="Calibri"/>
                <w:color w:val="auto"/>
                <w:sz w:val="22"/>
                <w:szCs w:val="22"/>
                <w:lang w:val="en-US" w:eastAsia="en-US"/>
              </w:rPr>
              <w:t>114,3</w:t>
            </w:r>
          </w:p>
          <w:p w14:paraId="267ADCB0" w14:textId="77777777" w:rsidR="0041017E" w:rsidRPr="00AE1B80" w:rsidRDefault="0041017E" w:rsidP="00913D02">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E1B80">
              <w:rPr>
                <w:rFonts w:eastAsia="Calibri"/>
                <w:color w:val="auto"/>
                <w:sz w:val="22"/>
                <w:szCs w:val="22"/>
                <w:lang w:val="en-US" w:eastAsia="en-US"/>
              </w:rPr>
              <w:t>(22,9-346)</w:t>
            </w:r>
          </w:p>
        </w:tc>
        <w:tc>
          <w:tcPr>
            <w:tcW w:w="230" w:type="pct"/>
            <w:shd w:val="clear" w:color="auto" w:fill="auto"/>
          </w:tcPr>
          <w:p w14:paraId="527104CF" w14:textId="77777777" w:rsidR="0041017E" w:rsidRPr="00AE1B80" w:rsidRDefault="0041017E" w:rsidP="00913D02">
            <w:pPr>
              <w:widowControl w:val="0"/>
              <w:tabs>
                <w:tab w:val="clear" w:pos="567"/>
              </w:tabs>
              <w:suppressAutoHyphens w:val="0"/>
              <w:autoSpaceDE w:val="0"/>
              <w:autoSpaceDN w:val="0"/>
              <w:spacing w:line="253" w:lineRule="exact"/>
              <w:ind w:left="88"/>
              <w:jc w:val="center"/>
              <w:rPr>
                <w:rFonts w:eastAsia="Calibri"/>
                <w:color w:val="auto"/>
                <w:sz w:val="22"/>
                <w:szCs w:val="22"/>
                <w:lang w:val="en-US" w:eastAsia="en-US"/>
              </w:rPr>
            </w:pPr>
            <w:r w:rsidRPr="00AE1B80">
              <w:rPr>
                <w:rFonts w:eastAsia="Calibri"/>
                <w:color w:val="auto"/>
                <w:sz w:val="22"/>
                <w:szCs w:val="22"/>
                <w:lang w:val="en-US" w:eastAsia="en-US"/>
              </w:rPr>
              <w:t>12</w:t>
            </w:r>
          </w:p>
        </w:tc>
        <w:tc>
          <w:tcPr>
            <w:tcW w:w="899" w:type="pct"/>
            <w:shd w:val="clear" w:color="auto" w:fill="auto"/>
          </w:tcPr>
          <w:p w14:paraId="54D24DDE" w14:textId="77777777" w:rsidR="0041017E" w:rsidRPr="00AE1B80" w:rsidRDefault="0041017E" w:rsidP="00913D02">
            <w:pPr>
              <w:widowControl w:val="0"/>
              <w:tabs>
                <w:tab w:val="clear" w:pos="567"/>
              </w:tabs>
              <w:suppressAutoHyphens w:val="0"/>
              <w:autoSpaceDE w:val="0"/>
              <w:autoSpaceDN w:val="0"/>
              <w:spacing w:line="252" w:lineRule="exact"/>
              <w:ind w:left="106"/>
              <w:rPr>
                <w:rFonts w:eastAsia="Calibri"/>
                <w:color w:val="auto"/>
                <w:sz w:val="22"/>
                <w:szCs w:val="22"/>
                <w:lang w:val="en-US" w:eastAsia="en-US"/>
              </w:rPr>
            </w:pPr>
            <w:r w:rsidRPr="00AE1B80">
              <w:rPr>
                <w:rFonts w:eastAsia="Calibri"/>
                <w:color w:val="auto"/>
                <w:sz w:val="22"/>
                <w:szCs w:val="22"/>
                <w:lang w:val="en-US" w:eastAsia="en-US"/>
              </w:rPr>
              <w:t>108,0</w:t>
            </w:r>
          </w:p>
          <w:p w14:paraId="2302213B" w14:textId="77777777" w:rsidR="0041017E" w:rsidRPr="00AE1B80" w:rsidRDefault="0041017E" w:rsidP="00913D02">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E1B80">
              <w:rPr>
                <w:rFonts w:eastAsia="Calibri"/>
                <w:color w:val="auto"/>
                <w:sz w:val="22"/>
                <w:szCs w:val="22"/>
                <w:lang w:val="en-US" w:eastAsia="en-US"/>
              </w:rPr>
              <w:t>(19.2-320)</w:t>
            </w:r>
          </w:p>
        </w:tc>
      </w:tr>
      <w:tr w:rsidR="0041017E" w:rsidRPr="00452D62" w14:paraId="755F2807" w14:textId="77777777" w:rsidTr="00913D02">
        <w:trPr>
          <w:trHeight w:val="505"/>
        </w:trPr>
        <w:tc>
          <w:tcPr>
            <w:tcW w:w="704" w:type="pct"/>
            <w:shd w:val="clear" w:color="auto" w:fill="auto"/>
          </w:tcPr>
          <w:p w14:paraId="54D50CCE" w14:textId="77777777" w:rsidR="0041017E" w:rsidRPr="00AE1B80" w:rsidRDefault="0041017E" w:rsidP="00913D02">
            <w:pPr>
              <w:widowControl w:val="0"/>
              <w:tabs>
                <w:tab w:val="clear" w:pos="567"/>
              </w:tabs>
              <w:suppressAutoHyphens w:val="0"/>
              <w:autoSpaceDE w:val="0"/>
              <w:autoSpaceDN w:val="0"/>
              <w:spacing w:before="1" w:line="240" w:lineRule="auto"/>
              <w:ind w:left="107"/>
              <w:rPr>
                <w:rFonts w:eastAsia="Calibri"/>
                <w:color w:val="auto"/>
                <w:sz w:val="22"/>
                <w:szCs w:val="22"/>
                <w:lang w:val="en-US" w:eastAsia="en-US"/>
              </w:rPr>
            </w:pPr>
            <w:r w:rsidRPr="00AE1B80">
              <w:rPr>
                <w:rFonts w:eastAsia="Calibri"/>
                <w:color w:val="auto"/>
                <w:sz w:val="22"/>
                <w:szCs w:val="22"/>
                <w:lang w:val="en-US" w:eastAsia="en-US"/>
              </w:rPr>
              <w:t>7-8 val po vartojimo</w:t>
            </w:r>
          </w:p>
        </w:tc>
        <w:tc>
          <w:tcPr>
            <w:tcW w:w="298" w:type="pct"/>
            <w:shd w:val="clear" w:color="auto" w:fill="auto"/>
          </w:tcPr>
          <w:p w14:paraId="0C591368" w14:textId="77777777" w:rsidR="0041017E" w:rsidRPr="00AE1B80" w:rsidRDefault="0041017E" w:rsidP="00913D02">
            <w:pPr>
              <w:widowControl w:val="0"/>
              <w:tabs>
                <w:tab w:val="clear" w:pos="567"/>
              </w:tabs>
              <w:suppressAutoHyphens w:val="0"/>
              <w:autoSpaceDE w:val="0"/>
              <w:autoSpaceDN w:val="0"/>
              <w:spacing w:before="1" w:line="240" w:lineRule="auto"/>
              <w:ind w:left="107"/>
              <w:rPr>
                <w:rFonts w:eastAsia="Calibri"/>
                <w:color w:val="auto"/>
                <w:sz w:val="22"/>
                <w:szCs w:val="22"/>
                <w:lang w:val="en-US" w:eastAsia="en-US"/>
              </w:rPr>
            </w:pPr>
            <w:r w:rsidRPr="00AE1B80">
              <w:rPr>
                <w:rFonts w:eastAsia="Calibri"/>
                <w:color w:val="auto"/>
                <w:w w:val="99"/>
                <w:sz w:val="22"/>
                <w:szCs w:val="22"/>
                <w:lang w:val="en-US" w:eastAsia="en-US"/>
              </w:rPr>
              <w:t>5</w:t>
            </w:r>
          </w:p>
        </w:tc>
        <w:tc>
          <w:tcPr>
            <w:tcW w:w="784" w:type="pct"/>
            <w:shd w:val="clear" w:color="auto" w:fill="auto"/>
          </w:tcPr>
          <w:p w14:paraId="504A24B8" w14:textId="77777777" w:rsidR="0041017E" w:rsidRPr="00AE1B80" w:rsidRDefault="0041017E" w:rsidP="00913D02">
            <w:pPr>
              <w:widowControl w:val="0"/>
              <w:tabs>
                <w:tab w:val="clear" w:pos="567"/>
              </w:tabs>
              <w:suppressAutoHyphens w:val="0"/>
              <w:autoSpaceDE w:val="0"/>
              <w:autoSpaceDN w:val="0"/>
              <w:spacing w:before="1" w:line="252" w:lineRule="exact"/>
              <w:ind w:left="107"/>
              <w:rPr>
                <w:rFonts w:eastAsia="Calibri"/>
                <w:color w:val="auto"/>
                <w:sz w:val="22"/>
                <w:szCs w:val="22"/>
                <w:lang w:val="en-US" w:eastAsia="en-US"/>
              </w:rPr>
            </w:pPr>
            <w:r w:rsidRPr="00AE1B80">
              <w:rPr>
                <w:rFonts w:eastAsia="Calibri"/>
                <w:color w:val="auto"/>
                <w:sz w:val="22"/>
                <w:szCs w:val="22"/>
                <w:lang w:val="en-US" w:eastAsia="en-US"/>
              </w:rPr>
              <w:t>33,2</w:t>
            </w:r>
          </w:p>
          <w:p w14:paraId="476F7991" w14:textId="77777777" w:rsidR="0041017E" w:rsidRPr="00AE1B80" w:rsidRDefault="0041017E" w:rsidP="00913D02">
            <w:pPr>
              <w:widowControl w:val="0"/>
              <w:tabs>
                <w:tab w:val="clear" w:pos="567"/>
              </w:tabs>
              <w:suppressAutoHyphens w:val="0"/>
              <w:autoSpaceDE w:val="0"/>
              <w:autoSpaceDN w:val="0"/>
              <w:spacing w:line="233" w:lineRule="exact"/>
              <w:ind w:left="107"/>
              <w:rPr>
                <w:rFonts w:eastAsia="Calibri"/>
                <w:color w:val="auto"/>
                <w:sz w:val="22"/>
                <w:szCs w:val="22"/>
                <w:lang w:val="en-US" w:eastAsia="en-US"/>
              </w:rPr>
            </w:pPr>
            <w:r w:rsidRPr="00AE1B80">
              <w:rPr>
                <w:rFonts w:eastAsia="Calibri"/>
                <w:color w:val="auto"/>
                <w:sz w:val="22"/>
                <w:szCs w:val="22"/>
                <w:lang w:val="en-US" w:eastAsia="en-US"/>
              </w:rPr>
              <w:t>(18,7-99,7)</w:t>
            </w:r>
          </w:p>
        </w:tc>
        <w:tc>
          <w:tcPr>
            <w:tcW w:w="297" w:type="pct"/>
            <w:shd w:val="clear" w:color="auto" w:fill="auto"/>
          </w:tcPr>
          <w:p w14:paraId="1A977789" w14:textId="77777777" w:rsidR="0041017E" w:rsidRPr="00AE1B80" w:rsidRDefault="0041017E" w:rsidP="00913D02">
            <w:pPr>
              <w:widowControl w:val="0"/>
              <w:tabs>
                <w:tab w:val="clear" w:pos="567"/>
              </w:tabs>
              <w:suppressAutoHyphens w:val="0"/>
              <w:autoSpaceDE w:val="0"/>
              <w:autoSpaceDN w:val="0"/>
              <w:spacing w:before="1" w:line="240" w:lineRule="auto"/>
              <w:ind w:left="107"/>
              <w:rPr>
                <w:rFonts w:eastAsia="Calibri"/>
                <w:color w:val="auto"/>
                <w:sz w:val="22"/>
                <w:szCs w:val="22"/>
                <w:lang w:val="en-US" w:eastAsia="en-US"/>
              </w:rPr>
            </w:pPr>
            <w:r w:rsidRPr="00AE1B80">
              <w:rPr>
                <w:rFonts w:eastAsia="Calibri"/>
                <w:color w:val="auto"/>
                <w:sz w:val="22"/>
                <w:szCs w:val="22"/>
                <w:lang w:val="en-US" w:eastAsia="en-US"/>
              </w:rPr>
              <w:t>23</w:t>
            </w:r>
          </w:p>
        </w:tc>
        <w:tc>
          <w:tcPr>
            <w:tcW w:w="768" w:type="pct"/>
            <w:shd w:val="clear" w:color="auto" w:fill="auto"/>
          </w:tcPr>
          <w:p w14:paraId="3FD17DAA" w14:textId="77777777" w:rsidR="0041017E" w:rsidRPr="00AE1B80" w:rsidRDefault="0041017E" w:rsidP="00913D02">
            <w:pPr>
              <w:widowControl w:val="0"/>
              <w:tabs>
                <w:tab w:val="clear" w:pos="567"/>
              </w:tabs>
              <w:suppressAutoHyphens w:val="0"/>
              <w:autoSpaceDE w:val="0"/>
              <w:autoSpaceDN w:val="0"/>
              <w:spacing w:before="1" w:line="252" w:lineRule="exact"/>
              <w:ind w:left="106"/>
              <w:rPr>
                <w:rFonts w:eastAsia="Calibri"/>
                <w:color w:val="auto"/>
                <w:sz w:val="22"/>
                <w:szCs w:val="22"/>
                <w:lang w:val="en-US" w:eastAsia="en-US"/>
              </w:rPr>
            </w:pPr>
            <w:r w:rsidRPr="00AE1B80">
              <w:rPr>
                <w:rFonts w:eastAsia="Calibri"/>
                <w:color w:val="auto"/>
                <w:sz w:val="22"/>
                <w:szCs w:val="22"/>
                <w:lang w:val="en-US" w:eastAsia="en-US"/>
              </w:rPr>
              <w:t>18,7</w:t>
            </w:r>
          </w:p>
          <w:p w14:paraId="62CEB3C1" w14:textId="77777777" w:rsidR="0041017E" w:rsidRPr="00AE1B80" w:rsidRDefault="0041017E" w:rsidP="00913D02">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E1B80">
              <w:rPr>
                <w:rFonts w:eastAsia="Calibri"/>
                <w:color w:val="auto"/>
                <w:sz w:val="22"/>
                <w:szCs w:val="22"/>
                <w:lang w:val="en-US" w:eastAsia="en-US"/>
              </w:rPr>
              <w:t>(10,1-36,5)</w:t>
            </w:r>
          </w:p>
        </w:tc>
        <w:tc>
          <w:tcPr>
            <w:tcW w:w="233" w:type="pct"/>
            <w:shd w:val="clear" w:color="auto" w:fill="auto"/>
          </w:tcPr>
          <w:p w14:paraId="2ED2DA84" w14:textId="77777777" w:rsidR="0041017E" w:rsidRPr="00AE1B80" w:rsidRDefault="0041017E" w:rsidP="00913D02">
            <w:pPr>
              <w:widowControl w:val="0"/>
              <w:tabs>
                <w:tab w:val="clear" w:pos="567"/>
              </w:tabs>
              <w:suppressAutoHyphens w:val="0"/>
              <w:autoSpaceDE w:val="0"/>
              <w:autoSpaceDN w:val="0"/>
              <w:spacing w:before="1" w:line="240" w:lineRule="auto"/>
              <w:ind w:left="107"/>
              <w:rPr>
                <w:rFonts w:eastAsia="Calibri"/>
                <w:color w:val="auto"/>
                <w:sz w:val="22"/>
                <w:szCs w:val="22"/>
                <w:lang w:val="en-US" w:eastAsia="en-US"/>
              </w:rPr>
            </w:pPr>
            <w:r w:rsidRPr="00AE1B80">
              <w:rPr>
                <w:rFonts w:eastAsia="Calibri"/>
                <w:color w:val="auto"/>
                <w:sz w:val="22"/>
                <w:szCs w:val="22"/>
                <w:lang w:val="en-US" w:eastAsia="en-US"/>
              </w:rPr>
              <w:t>12</w:t>
            </w:r>
          </w:p>
        </w:tc>
        <w:tc>
          <w:tcPr>
            <w:tcW w:w="787" w:type="pct"/>
            <w:shd w:val="clear" w:color="auto" w:fill="auto"/>
          </w:tcPr>
          <w:p w14:paraId="6A15C6E7" w14:textId="77777777" w:rsidR="0041017E" w:rsidRPr="00AE1B80" w:rsidRDefault="0041017E" w:rsidP="00913D02">
            <w:pPr>
              <w:widowControl w:val="0"/>
              <w:tabs>
                <w:tab w:val="clear" w:pos="567"/>
              </w:tabs>
              <w:suppressAutoHyphens w:val="0"/>
              <w:autoSpaceDE w:val="0"/>
              <w:autoSpaceDN w:val="0"/>
              <w:spacing w:before="1" w:line="252" w:lineRule="exact"/>
              <w:ind w:left="106"/>
              <w:rPr>
                <w:rFonts w:eastAsia="Calibri"/>
                <w:color w:val="auto"/>
                <w:sz w:val="22"/>
                <w:szCs w:val="22"/>
                <w:lang w:val="en-US" w:eastAsia="en-US"/>
              </w:rPr>
            </w:pPr>
            <w:r w:rsidRPr="00AE1B80">
              <w:rPr>
                <w:rFonts w:eastAsia="Calibri"/>
                <w:color w:val="auto"/>
                <w:sz w:val="22"/>
                <w:szCs w:val="22"/>
                <w:lang w:val="en-US" w:eastAsia="en-US"/>
              </w:rPr>
              <w:t>21,4</w:t>
            </w:r>
          </w:p>
          <w:p w14:paraId="607C7AA9" w14:textId="77777777" w:rsidR="0041017E" w:rsidRPr="00AE1B80" w:rsidRDefault="0041017E" w:rsidP="00913D02">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E1B80">
              <w:rPr>
                <w:rFonts w:eastAsia="Calibri"/>
                <w:color w:val="auto"/>
                <w:sz w:val="22"/>
                <w:szCs w:val="22"/>
                <w:lang w:val="en-US" w:eastAsia="en-US"/>
              </w:rPr>
              <w:t>(10,5-65,6)</w:t>
            </w:r>
          </w:p>
        </w:tc>
        <w:tc>
          <w:tcPr>
            <w:tcW w:w="230" w:type="pct"/>
            <w:shd w:val="clear" w:color="auto" w:fill="auto"/>
          </w:tcPr>
          <w:p w14:paraId="227A9112" w14:textId="77777777" w:rsidR="0041017E" w:rsidRPr="00AE1B80" w:rsidRDefault="0041017E" w:rsidP="00913D02">
            <w:pPr>
              <w:widowControl w:val="0"/>
              <w:tabs>
                <w:tab w:val="clear" w:pos="567"/>
              </w:tabs>
              <w:suppressAutoHyphens w:val="0"/>
              <w:autoSpaceDE w:val="0"/>
              <w:autoSpaceDN w:val="0"/>
              <w:spacing w:before="1" w:line="240" w:lineRule="auto"/>
              <w:ind w:left="88"/>
              <w:jc w:val="center"/>
              <w:rPr>
                <w:rFonts w:eastAsia="Calibri"/>
                <w:color w:val="auto"/>
                <w:sz w:val="22"/>
                <w:szCs w:val="22"/>
                <w:lang w:val="en-US" w:eastAsia="en-US"/>
              </w:rPr>
            </w:pPr>
            <w:r w:rsidRPr="00AE1B80">
              <w:rPr>
                <w:rFonts w:eastAsia="Calibri"/>
                <w:color w:val="auto"/>
                <w:sz w:val="22"/>
                <w:szCs w:val="22"/>
                <w:lang w:val="en-US" w:eastAsia="en-US"/>
              </w:rPr>
              <w:t>11</w:t>
            </w:r>
          </w:p>
        </w:tc>
        <w:tc>
          <w:tcPr>
            <w:tcW w:w="899" w:type="pct"/>
            <w:shd w:val="clear" w:color="auto" w:fill="auto"/>
          </w:tcPr>
          <w:p w14:paraId="531C13B0" w14:textId="77777777" w:rsidR="0041017E" w:rsidRPr="00AE1B80" w:rsidRDefault="0041017E" w:rsidP="00913D02">
            <w:pPr>
              <w:widowControl w:val="0"/>
              <w:tabs>
                <w:tab w:val="clear" w:pos="567"/>
              </w:tabs>
              <w:suppressAutoHyphens w:val="0"/>
              <w:autoSpaceDE w:val="0"/>
              <w:autoSpaceDN w:val="0"/>
              <w:spacing w:before="1" w:line="252" w:lineRule="exact"/>
              <w:ind w:left="106"/>
              <w:rPr>
                <w:rFonts w:eastAsia="Calibri"/>
                <w:color w:val="auto"/>
                <w:sz w:val="22"/>
                <w:szCs w:val="22"/>
                <w:lang w:val="en-US" w:eastAsia="en-US"/>
              </w:rPr>
            </w:pPr>
            <w:r w:rsidRPr="00AE1B80">
              <w:rPr>
                <w:rFonts w:eastAsia="Calibri"/>
                <w:color w:val="auto"/>
                <w:sz w:val="22"/>
                <w:szCs w:val="22"/>
                <w:lang w:val="en-US" w:eastAsia="en-US"/>
              </w:rPr>
              <w:t>16,1</w:t>
            </w:r>
          </w:p>
          <w:p w14:paraId="772C30F5" w14:textId="77777777" w:rsidR="0041017E" w:rsidRPr="00AE1B80" w:rsidRDefault="0041017E" w:rsidP="00913D02">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E1B80">
              <w:rPr>
                <w:rFonts w:eastAsia="Calibri"/>
                <w:color w:val="auto"/>
                <w:sz w:val="22"/>
                <w:szCs w:val="22"/>
                <w:lang w:val="en-US" w:eastAsia="en-US"/>
              </w:rPr>
              <w:t>(1,03-33,6)</w:t>
            </w:r>
          </w:p>
        </w:tc>
      </w:tr>
    </w:tbl>
    <w:p w14:paraId="5E8F8CA7" w14:textId="77777777" w:rsidR="0041017E" w:rsidRPr="00452D62" w:rsidRDefault="0041017E" w:rsidP="0041017E">
      <w:pPr>
        <w:rPr>
          <w:sz w:val="22"/>
          <w:szCs w:val="22"/>
          <w:u w:val="single"/>
        </w:rPr>
      </w:pPr>
      <w:r w:rsidRPr="00452D62">
        <w:rPr>
          <w:sz w:val="22"/>
          <w:szCs w:val="22"/>
          <w:u w:val="single"/>
        </w:rPr>
        <w:t>VKP = vieną kartą per parą, DKP = du kartus per parą, TKP = tris kartus per parą, NA = neapskaičiuotas</w:t>
      </w:r>
    </w:p>
    <w:p w14:paraId="4413C31A" w14:textId="5FBBEBFB" w:rsidR="0041017E" w:rsidRPr="00452D62" w:rsidRDefault="0041017E" w:rsidP="0041017E">
      <w:pPr>
        <w:rPr>
          <w:sz w:val="22"/>
          <w:szCs w:val="22"/>
          <w:u w:val="single"/>
        </w:rPr>
      </w:pPr>
      <w:r w:rsidRPr="00452D62">
        <w:rPr>
          <w:sz w:val="22"/>
          <w:szCs w:val="22"/>
          <w:u w:val="single"/>
        </w:rPr>
        <w:t>Reikšmės, mažesnės už mažiausią kiekybinio nustatymo ribą (MKNR), buvo pakeistos 1/2 MKNR, kad būtų galima atlikti statistinius skaičiavimus (MKNR = 0,5</w:t>
      </w:r>
      <w:r w:rsidR="006D624E">
        <w:rPr>
          <w:sz w:val="22"/>
          <w:szCs w:val="22"/>
          <w:u w:val="single"/>
        </w:rPr>
        <w:t> </w:t>
      </w:r>
      <w:r w:rsidRPr="00452D62">
        <w:rPr>
          <w:sz w:val="22"/>
          <w:szCs w:val="22"/>
          <w:u w:val="single"/>
        </w:rPr>
        <w:t>μg/l).</w:t>
      </w:r>
    </w:p>
    <w:p w14:paraId="28BA0BA6" w14:textId="77777777" w:rsidR="00823785" w:rsidRPr="00452D62" w:rsidRDefault="00823785" w:rsidP="00823785">
      <w:pPr>
        <w:rPr>
          <w:sz w:val="22"/>
          <w:szCs w:val="22"/>
          <w:u w:val="single"/>
        </w:rPr>
      </w:pPr>
    </w:p>
    <w:p w14:paraId="045D9AF4" w14:textId="77777777" w:rsidR="00823785" w:rsidRPr="00452D62" w:rsidRDefault="00823785" w:rsidP="00823785">
      <w:pPr>
        <w:rPr>
          <w:sz w:val="22"/>
          <w:szCs w:val="22"/>
        </w:rPr>
      </w:pPr>
      <w:r w:rsidRPr="00452D62">
        <w:rPr>
          <w:sz w:val="22"/>
          <w:szCs w:val="22"/>
          <w:u w:val="single"/>
        </w:rPr>
        <w:t>Santykis tarp farmakokinetikos ir farmakodinamikos</w:t>
      </w:r>
    </w:p>
    <w:p w14:paraId="160E263C" w14:textId="77777777" w:rsidR="00823785" w:rsidRPr="00452D62" w:rsidRDefault="00823785" w:rsidP="00823785">
      <w:pPr>
        <w:rPr>
          <w:sz w:val="22"/>
          <w:szCs w:val="22"/>
          <w:u w:val="single"/>
        </w:rPr>
      </w:pPr>
      <w:r w:rsidRPr="00452D62">
        <w:rPr>
          <w:sz w:val="22"/>
          <w:szCs w:val="22"/>
        </w:rPr>
        <w:t xml:space="preserve">Santykis tarp farmakokinetikos ir farmakodinamikos (FK/FD) buvo vertinimas tiriant rivaroksabano koncentraciją kraujo plazmoje ir keletą farmakodinamikos rodmenų (Xa faktoriaus slopinimą, PT, DATL, </w:t>
      </w:r>
      <w:r w:rsidRPr="00452D62">
        <w:rPr>
          <w:i/>
          <w:sz w:val="22"/>
          <w:szCs w:val="22"/>
        </w:rPr>
        <w:t>Heptest</w:t>
      </w:r>
      <w:r w:rsidRPr="00452D62">
        <w:rPr>
          <w:sz w:val="22"/>
          <w:szCs w:val="22"/>
        </w:rPr>
        <w:t>), vartojant įvairias dozes (po 5</w:t>
      </w:r>
      <w:r w:rsidRPr="00452D62">
        <w:rPr>
          <w:sz w:val="22"/>
          <w:szCs w:val="22"/>
        </w:rPr>
        <w:noBreakHyphen/>
        <w:t>30 mg du kartus per parą). Rivaroksabano koncentracijos ir Xa faktoriaus aktyvumo santykį geriausiai apibūdina E</w:t>
      </w:r>
      <w:r w:rsidRPr="00452D62">
        <w:rPr>
          <w:sz w:val="22"/>
          <w:szCs w:val="22"/>
          <w:vertAlign w:val="subscript"/>
        </w:rPr>
        <w:t xml:space="preserve">max </w:t>
      </w:r>
      <w:r w:rsidRPr="00452D62">
        <w:rPr>
          <w:sz w:val="22"/>
          <w:szCs w:val="22"/>
        </w:rPr>
        <w:t xml:space="preserve">modelis. Vertinant PT, geriau duomenis apibūdino tiesinių atkarpų modelis. Priklausomai nuo naudotų skirtingų PT reagentų, pasvirimo reikšmės buvo labai skirtingos. PT tyrimui naudojant </w:t>
      </w:r>
      <w:r w:rsidRPr="00452D62">
        <w:rPr>
          <w:i/>
          <w:iCs/>
          <w:sz w:val="22"/>
          <w:szCs w:val="22"/>
        </w:rPr>
        <w:t>Neoplastin</w:t>
      </w:r>
      <w:r w:rsidRPr="00452D62">
        <w:rPr>
          <w:sz w:val="22"/>
          <w:szCs w:val="22"/>
        </w:rPr>
        <w:t>, bazinis PT buvo apie 13 sekundžių, o pasvirimas buvo apie 3</w:t>
      </w:r>
      <w:r w:rsidRPr="00452D62">
        <w:rPr>
          <w:sz w:val="22"/>
          <w:szCs w:val="22"/>
        </w:rPr>
        <w:noBreakHyphen/>
        <w:t xml:space="preserve">4 sekundžių/(100 μg/l). FK/FD tyrimų rezultatai II ir III fazės tyrimų metu atitiko duomenis, kurie buvo gauti su sveikais asmenimis. </w:t>
      </w:r>
    </w:p>
    <w:p w14:paraId="37DD89FD" w14:textId="77777777" w:rsidR="00823785" w:rsidRPr="00452D62" w:rsidRDefault="00823785" w:rsidP="00823785">
      <w:pPr>
        <w:rPr>
          <w:sz w:val="22"/>
          <w:szCs w:val="22"/>
          <w:u w:val="single"/>
        </w:rPr>
      </w:pPr>
    </w:p>
    <w:p w14:paraId="49037F9C" w14:textId="77777777" w:rsidR="00823785" w:rsidRPr="00452D62" w:rsidRDefault="00823785" w:rsidP="00823785">
      <w:pPr>
        <w:rPr>
          <w:sz w:val="22"/>
          <w:szCs w:val="22"/>
        </w:rPr>
      </w:pPr>
      <w:r w:rsidRPr="00452D62">
        <w:rPr>
          <w:sz w:val="22"/>
          <w:szCs w:val="22"/>
          <w:u w:val="single"/>
        </w:rPr>
        <w:t>Vaikų populiacija</w:t>
      </w:r>
    </w:p>
    <w:p w14:paraId="29F6AE9D" w14:textId="35F4F768" w:rsidR="00823785" w:rsidRPr="00452D62" w:rsidRDefault="00823785" w:rsidP="00AE1B80">
      <w:pPr>
        <w:rPr>
          <w:iCs/>
          <w:sz w:val="22"/>
          <w:szCs w:val="22"/>
        </w:rPr>
      </w:pPr>
      <w:r w:rsidRPr="00452D62">
        <w:rPr>
          <w:sz w:val="22"/>
          <w:szCs w:val="22"/>
        </w:rPr>
        <w:t xml:space="preserve">Saugumas ir veiksmingumas vaikams ir jaunesniems kaip 18 metų paaugliams </w:t>
      </w:r>
      <w:r w:rsidR="00F3711F" w:rsidRPr="00452D62">
        <w:rPr>
          <w:sz w:val="22"/>
          <w:szCs w:val="22"/>
        </w:rPr>
        <w:t>insulto ir sisteminės embolijos profilaktikos, kai pacientams yra su vožtuvų liga nesusijęs prieširdžių virpėjimas, indikacijai neištirti.</w:t>
      </w:r>
    </w:p>
    <w:p w14:paraId="77959094" w14:textId="77777777" w:rsidR="00823785" w:rsidRPr="00452D62" w:rsidRDefault="00823785" w:rsidP="00823785">
      <w:pPr>
        <w:ind w:right="-2"/>
        <w:rPr>
          <w:iCs/>
          <w:sz w:val="22"/>
          <w:szCs w:val="22"/>
        </w:rPr>
      </w:pPr>
    </w:p>
    <w:p w14:paraId="3FD86BE9" w14:textId="77777777" w:rsidR="00823785" w:rsidRPr="00452D62" w:rsidRDefault="00823785" w:rsidP="00823785">
      <w:pPr>
        <w:widowControl w:val="0"/>
        <w:suppressAutoHyphens w:val="0"/>
        <w:spacing w:line="240" w:lineRule="auto"/>
        <w:ind w:left="567" w:hanging="567"/>
        <w:outlineLvl w:val="2"/>
        <w:rPr>
          <w:sz w:val="22"/>
          <w:szCs w:val="22"/>
        </w:rPr>
      </w:pPr>
      <w:r w:rsidRPr="00452D62">
        <w:rPr>
          <w:b/>
          <w:color w:val="auto"/>
          <w:kern w:val="28"/>
          <w:sz w:val="22"/>
          <w:szCs w:val="22"/>
          <w:lang w:eastAsia="en-US"/>
        </w:rPr>
        <w:t>5.3</w:t>
      </w:r>
      <w:r w:rsidRPr="00452D62">
        <w:rPr>
          <w:b/>
          <w:color w:val="auto"/>
          <w:kern w:val="28"/>
          <w:sz w:val="22"/>
          <w:szCs w:val="22"/>
          <w:lang w:eastAsia="en-US"/>
        </w:rPr>
        <w:tab/>
        <w:t>Ikiklinikinių saugumo tyrimų duomenys</w:t>
      </w:r>
    </w:p>
    <w:p w14:paraId="6CB0A415" w14:textId="77777777" w:rsidR="00823785" w:rsidRPr="00452D62" w:rsidRDefault="00823785" w:rsidP="00823785">
      <w:pPr>
        <w:rPr>
          <w:sz w:val="22"/>
          <w:szCs w:val="22"/>
        </w:rPr>
      </w:pPr>
    </w:p>
    <w:p w14:paraId="4F939CAF" w14:textId="77777777" w:rsidR="00823785" w:rsidRPr="00452D62" w:rsidRDefault="00823785" w:rsidP="00823785">
      <w:pPr>
        <w:rPr>
          <w:sz w:val="22"/>
          <w:szCs w:val="22"/>
        </w:rPr>
      </w:pPr>
      <w:r w:rsidRPr="00452D62">
        <w:rPr>
          <w:sz w:val="22"/>
          <w:szCs w:val="22"/>
        </w:rPr>
        <w:t>Įprastų farmakologinio saugumo, vienkartinės dozės toksiškumo, fototoksiškumo, genotoksiškumo, galimo kancerogeniškumo ir toksinio poveikio jaunikliams ikiklinikinių tyrimų duomenys specifinio pavojaus žmogui nerodo.</w:t>
      </w:r>
    </w:p>
    <w:p w14:paraId="6CEEC482" w14:textId="77777777" w:rsidR="00823785" w:rsidRPr="00452D62" w:rsidRDefault="00823785" w:rsidP="00823785">
      <w:pPr>
        <w:rPr>
          <w:sz w:val="22"/>
          <w:szCs w:val="22"/>
        </w:rPr>
      </w:pPr>
      <w:r w:rsidRPr="00452D62">
        <w:rPr>
          <w:sz w:val="22"/>
          <w:szCs w:val="22"/>
        </w:rPr>
        <w:t>Poveikis, nustatytas kartotinių dozių toksiškumo tyrimų metu, daugiausia pasireiškė dėl nenormaliai stipraus farmakodinaminio rivaroksabano poveikio. Atliekant tyrimus su žiurkėmis, buvo nustatyti didesni IgG ir IgA kiekiai kraujo plazmoje, esant kliniškai reikšmingai ekspozicijai.</w:t>
      </w:r>
    </w:p>
    <w:p w14:paraId="738092D6" w14:textId="366952C3" w:rsidR="00823785" w:rsidRPr="00452D62" w:rsidRDefault="00823785" w:rsidP="00823785">
      <w:pPr>
        <w:rPr>
          <w:sz w:val="22"/>
          <w:szCs w:val="22"/>
        </w:rPr>
      </w:pPr>
      <w:r w:rsidRPr="00452D62">
        <w:rPr>
          <w:sz w:val="22"/>
          <w:szCs w:val="22"/>
        </w:rPr>
        <w:t>Poveikio žiurkių patinų arba patelių vaisingumui nepastebėta. Tyrimai su gyvūnais parodė toksinį poveikį reprodukcijai, jis buvo susijęs su farmakologiniu rivaroksabano veikimo mechanizmu (pvz., hemoraginės komplikacijos). Nustatytas toksinis poveikis embrionui ir vaisiui (vaisiaus žūtis po implantacijos, kaulėjimo proceso sulėtėjimas arba progresavimas, daugybinės šviesios dėmės kepenyse) ir didesnis bendrųjų sklaidos defektų dažnis bei pakitimai placentoje, esant kliniškai reikšmingoms koncentracijoms kraujo plazmoje. Prenatalinių ir postnatalinių tyrimų su žiurkėmis duomenimis, skiriant vaikingoms patelėms toksiškas dozes, nustatytas sumažėjęs atsivestų jauniklių išgyvenamumas.</w:t>
      </w:r>
    </w:p>
    <w:p w14:paraId="268E0BB0" w14:textId="77777777" w:rsidR="00823785" w:rsidRPr="00452D62" w:rsidRDefault="00823785" w:rsidP="00823785">
      <w:pPr>
        <w:rPr>
          <w:sz w:val="22"/>
          <w:szCs w:val="22"/>
        </w:rPr>
      </w:pPr>
    </w:p>
    <w:p w14:paraId="44E03913" w14:textId="77777777" w:rsidR="00A711FF" w:rsidRPr="00452D62" w:rsidRDefault="00A711FF" w:rsidP="00A711FF">
      <w:pPr>
        <w:rPr>
          <w:sz w:val="22"/>
          <w:szCs w:val="22"/>
        </w:rPr>
      </w:pPr>
      <w:r w:rsidRPr="00452D62">
        <w:rPr>
          <w:sz w:val="22"/>
          <w:szCs w:val="22"/>
        </w:rPr>
        <w:t>Rivaroksabanas buvo tiriamas su žiurkių jaunikliais, pradedant 4 diena po gimimo ir taikant gydymą ne ilgiau kaip 3 mėnesius. Tyrimas parodė, kad padidėja nuo dozės nepriklausomo kraujavimo atvejų periinsuliarinėje galvos smegenų dalyje. Akivaizdžių duomenų, rodančių specifinį toksinį poveikį tiksliniams organams, nenustatyta.</w:t>
      </w:r>
    </w:p>
    <w:p w14:paraId="326320CD" w14:textId="78BCD50B" w:rsidR="00823785" w:rsidRPr="00452D62" w:rsidRDefault="00823785" w:rsidP="00823785">
      <w:pPr>
        <w:rPr>
          <w:sz w:val="22"/>
          <w:szCs w:val="22"/>
        </w:rPr>
      </w:pPr>
    </w:p>
    <w:p w14:paraId="7F45F13E" w14:textId="77777777" w:rsidR="00E8643F" w:rsidRPr="00452D62" w:rsidRDefault="00E8643F" w:rsidP="00823785">
      <w:pPr>
        <w:rPr>
          <w:sz w:val="22"/>
          <w:szCs w:val="22"/>
        </w:rPr>
      </w:pPr>
    </w:p>
    <w:p w14:paraId="1FEE255A" w14:textId="77777777" w:rsidR="00823785" w:rsidRPr="00452D62" w:rsidRDefault="00823785" w:rsidP="00823785">
      <w:pPr>
        <w:widowControl w:val="0"/>
        <w:suppressAutoHyphens w:val="0"/>
        <w:spacing w:line="240" w:lineRule="auto"/>
        <w:ind w:left="567" w:hanging="567"/>
        <w:outlineLvl w:val="1"/>
        <w:rPr>
          <w:b/>
          <w:bCs/>
          <w:color w:val="auto"/>
          <w:sz w:val="22"/>
          <w:szCs w:val="22"/>
          <w:lang w:eastAsia="en-US"/>
        </w:rPr>
      </w:pPr>
      <w:r w:rsidRPr="00452D62">
        <w:rPr>
          <w:b/>
          <w:bCs/>
          <w:color w:val="auto"/>
          <w:sz w:val="22"/>
          <w:szCs w:val="22"/>
          <w:lang w:eastAsia="en-US"/>
        </w:rPr>
        <w:t>6.</w:t>
      </w:r>
      <w:r w:rsidRPr="00452D62">
        <w:rPr>
          <w:b/>
          <w:bCs/>
          <w:color w:val="auto"/>
          <w:sz w:val="22"/>
          <w:szCs w:val="22"/>
          <w:lang w:eastAsia="en-US"/>
        </w:rPr>
        <w:tab/>
        <w:t>FARMACINĖ INFORMACIJA</w:t>
      </w:r>
    </w:p>
    <w:p w14:paraId="0E1BAF1C" w14:textId="77777777" w:rsidR="00823785" w:rsidRPr="00452D62" w:rsidRDefault="00823785" w:rsidP="00823785">
      <w:pPr>
        <w:rPr>
          <w:sz w:val="22"/>
          <w:szCs w:val="22"/>
        </w:rPr>
      </w:pPr>
    </w:p>
    <w:p w14:paraId="57198E9A"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6.1</w:t>
      </w:r>
      <w:r w:rsidRPr="00452D62">
        <w:rPr>
          <w:b/>
          <w:color w:val="auto"/>
          <w:kern w:val="28"/>
          <w:sz w:val="22"/>
          <w:szCs w:val="22"/>
          <w:lang w:eastAsia="en-US"/>
        </w:rPr>
        <w:tab/>
        <w:t>Pagalbinių medžiagų sąrašas</w:t>
      </w:r>
    </w:p>
    <w:p w14:paraId="0A808416" w14:textId="77777777" w:rsidR="00823785" w:rsidRPr="00452D62" w:rsidRDefault="00823785" w:rsidP="00823785">
      <w:pPr>
        <w:rPr>
          <w:i/>
          <w:sz w:val="22"/>
          <w:szCs w:val="22"/>
        </w:rPr>
      </w:pPr>
    </w:p>
    <w:p w14:paraId="7F58072C" w14:textId="77777777" w:rsidR="00823785" w:rsidRPr="00452D62" w:rsidRDefault="00823785" w:rsidP="00823785">
      <w:pPr>
        <w:rPr>
          <w:sz w:val="22"/>
          <w:szCs w:val="22"/>
          <w:u w:val="single"/>
        </w:rPr>
      </w:pPr>
      <w:r w:rsidRPr="00452D62">
        <w:rPr>
          <w:sz w:val="22"/>
          <w:szCs w:val="22"/>
          <w:u w:val="single"/>
        </w:rPr>
        <w:t>Tabletės branduolys</w:t>
      </w:r>
    </w:p>
    <w:p w14:paraId="6F181240" w14:textId="77777777" w:rsidR="00823785" w:rsidRPr="00452D62" w:rsidRDefault="00823785" w:rsidP="00823785">
      <w:pPr>
        <w:rPr>
          <w:sz w:val="22"/>
          <w:szCs w:val="22"/>
        </w:rPr>
      </w:pPr>
      <w:r w:rsidRPr="00452D62">
        <w:rPr>
          <w:sz w:val="22"/>
          <w:szCs w:val="22"/>
        </w:rPr>
        <w:t>Manitolis</w:t>
      </w:r>
    </w:p>
    <w:p w14:paraId="0981176A" w14:textId="77777777" w:rsidR="00823785" w:rsidRPr="00452D62" w:rsidRDefault="00823785" w:rsidP="00823785">
      <w:pPr>
        <w:rPr>
          <w:sz w:val="22"/>
          <w:szCs w:val="22"/>
        </w:rPr>
      </w:pPr>
      <w:r w:rsidRPr="00452D62">
        <w:rPr>
          <w:sz w:val="22"/>
          <w:szCs w:val="22"/>
        </w:rPr>
        <w:t xml:space="preserve">Mikrokristalinė celiuliozė </w:t>
      </w:r>
    </w:p>
    <w:p w14:paraId="386C0238" w14:textId="77777777" w:rsidR="00823785" w:rsidRPr="00452D62" w:rsidRDefault="00823785" w:rsidP="00823785">
      <w:pPr>
        <w:rPr>
          <w:sz w:val="22"/>
          <w:szCs w:val="22"/>
        </w:rPr>
      </w:pPr>
      <w:r w:rsidRPr="00452D62">
        <w:rPr>
          <w:sz w:val="22"/>
          <w:szCs w:val="22"/>
        </w:rPr>
        <w:t>Makrogolis</w:t>
      </w:r>
    </w:p>
    <w:p w14:paraId="229DE77A" w14:textId="77777777" w:rsidR="00823785" w:rsidRPr="00452D62" w:rsidRDefault="00823785" w:rsidP="00823785">
      <w:pPr>
        <w:rPr>
          <w:sz w:val="22"/>
          <w:szCs w:val="22"/>
        </w:rPr>
      </w:pPr>
      <w:r w:rsidRPr="00452D62">
        <w:rPr>
          <w:sz w:val="22"/>
          <w:szCs w:val="22"/>
        </w:rPr>
        <w:t>Poloksameras</w:t>
      </w:r>
    </w:p>
    <w:p w14:paraId="1EC5F197" w14:textId="77777777" w:rsidR="00823785" w:rsidRPr="00452D62" w:rsidRDefault="00823785" w:rsidP="00823785">
      <w:pPr>
        <w:rPr>
          <w:sz w:val="22"/>
          <w:szCs w:val="22"/>
        </w:rPr>
      </w:pPr>
      <w:r w:rsidRPr="00452D62">
        <w:rPr>
          <w:sz w:val="22"/>
          <w:szCs w:val="22"/>
        </w:rPr>
        <w:t xml:space="preserve">Natrio laurilsulfatas </w:t>
      </w:r>
    </w:p>
    <w:p w14:paraId="2AD1DF29" w14:textId="77777777" w:rsidR="00823785" w:rsidRPr="00452D62" w:rsidRDefault="00823785" w:rsidP="00823785">
      <w:pPr>
        <w:rPr>
          <w:sz w:val="22"/>
          <w:szCs w:val="22"/>
        </w:rPr>
      </w:pPr>
      <w:r w:rsidRPr="00452D62">
        <w:rPr>
          <w:sz w:val="22"/>
          <w:szCs w:val="22"/>
        </w:rPr>
        <w:t xml:space="preserve">Kroskarmeliozės natrio druska </w:t>
      </w:r>
    </w:p>
    <w:p w14:paraId="506AEF4D" w14:textId="77777777" w:rsidR="00823785" w:rsidRPr="00452D62" w:rsidRDefault="00823785" w:rsidP="00823785">
      <w:pPr>
        <w:rPr>
          <w:sz w:val="22"/>
          <w:szCs w:val="22"/>
        </w:rPr>
      </w:pPr>
      <w:r w:rsidRPr="00452D62">
        <w:rPr>
          <w:sz w:val="22"/>
          <w:szCs w:val="22"/>
        </w:rPr>
        <w:t>Koloidinis bevandenis silicio dioksidas</w:t>
      </w:r>
    </w:p>
    <w:p w14:paraId="316B3AC9" w14:textId="77777777" w:rsidR="00823785" w:rsidRPr="00452D62" w:rsidRDefault="00823785" w:rsidP="00823785">
      <w:pPr>
        <w:rPr>
          <w:sz w:val="22"/>
          <w:szCs w:val="22"/>
        </w:rPr>
      </w:pPr>
      <w:r w:rsidRPr="00452D62">
        <w:rPr>
          <w:sz w:val="22"/>
          <w:szCs w:val="22"/>
        </w:rPr>
        <w:t>Natrio stearilfumaratas</w:t>
      </w:r>
    </w:p>
    <w:p w14:paraId="79BAF460" w14:textId="77777777" w:rsidR="00823785" w:rsidRPr="00452D62" w:rsidRDefault="00823785" w:rsidP="00823785">
      <w:pPr>
        <w:rPr>
          <w:sz w:val="22"/>
          <w:szCs w:val="22"/>
          <w:u w:val="single"/>
        </w:rPr>
      </w:pPr>
    </w:p>
    <w:p w14:paraId="143E1265" w14:textId="77777777" w:rsidR="00823785" w:rsidRPr="00452D62" w:rsidRDefault="00823785" w:rsidP="00823785">
      <w:pPr>
        <w:rPr>
          <w:sz w:val="22"/>
          <w:szCs w:val="22"/>
        </w:rPr>
      </w:pPr>
      <w:r w:rsidRPr="00452D62">
        <w:rPr>
          <w:sz w:val="22"/>
          <w:szCs w:val="22"/>
          <w:u w:val="single"/>
        </w:rPr>
        <w:t>Tabletės plėvelė</w:t>
      </w:r>
    </w:p>
    <w:p w14:paraId="2C546890" w14:textId="77777777" w:rsidR="00823785" w:rsidRPr="00452D62" w:rsidRDefault="00823785" w:rsidP="00823785">
      <w:pPr>
        <w:rPr>
          <w:sz w:val="22"/>
          <w:szCs w:val="22"/>
        </w:rPr>
      </w:pPr>
      <w:r w:rsidRPr="00452D62">
        <w:rPr>
          <w:sz w:val="22"/>
          <w:szCs w:val="22"/>
        </w:rPr>
        <w:t>Hipromeliozė</w:t>
      </w:r>
    </w:p>
    <w:p w14:paraId="3D3C14CF" w14:textId="77777777" w:rsidR="00823785" w:rsidRPr="00452D62" w:rsidRDefault="00823785" w:rsidP="00823785">
      <w:pPr>
        <w:rPr>
          <w:sz w:val="22"/>
          <w:szCs w:val="22"/>
        </w:rPr>
      </w:pPr>
      <w:r w:rsidRPr="00452D62">
        <w:rPr>
          <w:sz w:val="22"/>
          <w:szCs w:val="22"/>
        </w:rPr>
        <w:t>Makrogolis</w:t>
      </w:r>
    </w:p>
    <w:p w14:paraId="44F72164" w14:textId="77777777" w:rsidR="00823785" w:rsidRPr="00452D62" w:rsidRDefault="00823785" w:rsidP="00823785">
      <w:pPr>
        <w:rPr>
          <w:sz w:val="22"/>
          <w:szCs w:val="22"/>
        </w:rPr>
      </w:pPr>
      <w:r w:rsidRPr="00452D62">
        <w:rPr>
          <w:sz w:val="22"/>
          <w:szCs w:val="22"/>
        </w:rPr>
        <w:t>Titano dioksidas (E171)</w:t>
      </w:r>
    </w:p>
    <w:p w14:paraId="57C8CB26" w14:textId="77777777" w:rsidR="00823785" w:rsidRPr="00452D62" w:rsidRDefault="00823785" w:rsidP="00823785">
      <w:pPr>
        <w:rPr>
          <w:sz w:val="22"/>
          <w:szCs w:val="22"/>
        </w:rPr>
      </w:pPr>
      <w:r w:rsidRPr="00452D62">
        <w:rPr>
          <w:sz w:val="22"/>
          <w:szCs w:val="22"/>
        </w:rPr>
        <w:t>Raudonasis geležies oksidas (E172)</w:t>
      </w:r>
    </w:p>
    <w:p w14:paraId="4D265821" w14:textId="77777777" w:rsidR="00823785" w:rsidRPr="00452D62" w:rsidRDefault="00823785" w:rsidP="00823785">
      <w:pPr>
        <w:rPr>
          <w:sz w:val="22"/>
          <w:szCs w:val="22"/>
        </w:rPr>
      </w:pPr>
    </w:p>
    <w:p w14:paraId="530FD655"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6.2</w:t>
      </w:r>
      <w:r w:rsidRPr="00452D62">
        <w:rPr>
          <w:b/>
          <w:color w:val="auto"/>
          <w:kern w:val="28"/>
          <w:sz w:val="22"/>
          <w:szCs w:val="22"/>
          <w:lang w:eastAsia="en-US"/>
        </w:rPr>
        <w:tab/>
        <w:t>Nesuderinamumas</w:t>
      </w:r>
    </w:p>
    <w:p w14:paraId="219E6DBF" w14:textId="77777777" w:rsidR="00823785" w:rsidRPr="00452D62" w:rsidRDefault="00823785" w:rsidP="00823785">
      <w:pPr>
        <w:rPr>
          <w:sz w:val="22"/>
          <w:szCs w:val="22"/>
        </w:rPr>
      </w:pPr>
    </w:p>
    <w:p w14:paraId="55E4FD52" w14:textId="77777777" w:rsidR="00823785" w:rsidRPr="00452D62" w:rsidRDefault="00823785" w:rsidP="00823785">
      <w:pPr>
        <w:rPr>
          <w:sz w:val="22"/>
          <w:szCs w:val="22"/>
        </w:rPr>
      </w:pPr>
      <w:r w:rsidRPr="00452D62">
        <w:rPr>
          <w:sz w:val="22"/>
          <w:szCs w:val="22"/>
        </w:rPr>
        <w:t>Duomenys nebūtini.</w:t>
      </w:r>
    </w:p>
    <w:p w14:paraId="4CD710D3" w14:textId="77777777" w:rsidR="00823785" w:rsidRPr="00452D62" w:rsidRDefault="00823785" w:rsidP="00823785">
      <w:pPr>
        <w:rPr>
          <w:sz w:val="22"/>
          <w:szCs w:val="22"/>
        </w:rPr>
      </w:pPr>
    </w:p>
    <w:p w14:paraId="71AD46EA"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6.3</w:t>
      </w:r>
      <w:r w:rsidRPr="00452D62">
        <w:rPr>
          <w:b/>
          <w:color w:val="auto"/>
          <w:kern w:val="28"/>
          <w:sz w:val="22"/>
          <w:szCs w:val="22"/>
          <w:lang w:eastAsia="en-US"/>
        </w:rPr>
        <w:tab/>
        <w:t>Tinkamumo laikas</w:t>
      </w:r>
    </w:p>
    <w:p w14:paraId="1F867E2A" w14:textId="77777777" w:rsidR="00823785" w:rsidRPr="00452D62" w:rsidRDefault="00823785" w:rsidP="00823785">
      <w:pPr>
        <w:rPr>
          <w:sz w:val="22"/>
          <w:szCs w:val="22"/>
        </w:rPr>
      </w:pPr>
    </w:p>
    <w:p w14:paraId="05A2CE2E" w14:textId="30498760" w:rsidR="00823785" w:rsidRPr="000877E9" w:rsidRDefault="001270B2" w:rsidP="00823785">
      <w:pPr>
        <w:rPr>
          <w:sz w:val="22"/>
          <w:szCs w:val="22"/>
        </w:rPr>
      </w:pPr>
      <w:r w:rsidRPr="000877E9">
        <w:rPr>
          <w:sz w:val="22"/>
          <w:szCs w:val="22"/>
        </w:rPr>
        <w:t>3 metai</w:t>
      </w:r>
    </w:p>
    <w:p w14:paraId="51CC61AC" w14:textId="77777777" w:rsidR="00823785" w:rsidRPr="00452D62" w:rsidRDefault="00823785" w:rsidP="00823785">
      <w:pPr>
        <w:rPr>
          <w:sz w:val="22"/>
          <w:szCs w:val="22"/>
        </w:rPr>
      </w:pPr>
    </w:p>
    <w:p w14:paraId="28CBEEB5"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6.4</w:t>
      </w:r>
      <w:r w:rsidRPr="00452D62">
        <w:rPr>
          <w:b/>
          <w:color w:val="auto"/>
          <w:kern w:val="28"/>
          <w:sz w:val="22"/>
          <w:szCs w:val="22"/>
          <w:lang w:eastAsia="en-US"/>
        </w:rPr>
        <w:tab/>
        <w:t>Specialios laikymo sąlygos</w:t>
      </w:r>
    </w:p>
    <w:p w14:paraId="32916CD2" w14:textId="77777777" w:rsidR="00823785" w:rsidRPr="00452D62" w:rsidRDefault="00823785" w:rsidP="00823785">
      <w:pPr>
        <w:ind w:left="567" w:hanging="567"/>
        <w:rPr>
          <w:sz w:val="22"/>
          <w:szCs w:val="22"/>
        </w:rPr>
      </w:pPr>
    </w:p>
    <w:p w14:paraId="100890AE" w14:textId="77777777" w:rsidR="00823785" w:rsidRPr="00452D62" w:rsidRDefault="00823785" w:rsidP="00823785">
      <w:pPr>
        <w:rPr>
          <w:sz w:val="22"/>
          <w:szCs w:val="22"/>
        </w:rPr>
      </w:pPr>
      <w:r w:rsidRPr="00452D62">
        <w:rPr>
          <w:sz w:val="22"/>
          <w:szCs w:val="22"/>
        </w:rPr>
        <w:t>Šiam vaistiniam preparatui specialių laikymo sąlygų nereikia.</w:t>
      </w:r>
    </w:p>
    <w:p w14:paraId="33A31544" w14:textId="77777777" w:rsidR="00823785" w:rsidRPr="00452D62" w:rsidRDefault="00823785" w:rsidP="00823785">
      <w:pPr>
        <w:rPr>
          <w:sz w:val="22"/>
          <w:szCs w:val="22"/>
        </w:rPr>
      </w:pPr>
    </w:p>
    <w:p w14:paraId="12739212" w14:textId="77777777" w:rsidR="00823785" w:rsidRPr="00452D62" w:rsidRDefault="00823785" w:rsidP="00823785">
      <w:pPr>
        <w:widowControl w:val="0"/>
        <w:suppressAutoHyphens w:val="0"/>
        <w:spacing w:line="240" w:lineRule="auto"/>
        <w:ind w:left="567" w:hanging="567"/>
        <w:outlineLvl w:val="2"/>
        <w:rPr>
          <w:b/>
          <w:sz w:val="22"/>
          <w:szCs w:val="22"/>
        </w:rPr>
      </w:pPr>
      <w:r w:rsidRPr="00452D62">
        <w:rPr>
          <w:b/>
          <w:color w:val="auto"/>
          <w:kern w:val="28"/>
          <w:sz w:val="22"/>
          <w:szCs w:val="22"/>
          <w:lang w:eastAsia="en-US"/>
        </w:rPr>
        <w:t>6.5</w:t>
      </w:r>
      <w:r w:rsidRPr="00452D62">
        <w:rPr>
          <w:b/>
          <w:color w:val="auto"/>
          <w:kern w:val="28"/>
          <w:sz w:val="22"/>
          <w:szCs w:val="22"/>
          <w:lang w:eastAsia="en-US"/>
        </w:rPr>
        <w:tab/>
        <w:t>Talpyklės pobūdis ir jos turinys</w:t>
      </w:r>
    </w:p>
    <w:p w14:paraId="76B77123" w14:textId="77777777" w:rsidR="00823785" w:rsidRPr="00452D62" w:rsidRDefault="00823785" w:rsidP="00823785">
      <w:pPr>
        <w:rPr>
          <w:b/>
          <w:sz w:val="22"/>
          <w:szCs w:val="22"/>
        </w:rPr>
      </w:pPr>
    </w:p>
    <w:p w14:paraId="767C392F" w14:textId="77777777" w:rsidR="00823785" w:rsidRPr="00452D62" w:rsidRDefault="00823785" w:rsidP="00823785">
      <w:pPr>
        <w:rPr>
          <w:sz w:val="22"/>
          <w:szCs w:val="22"/>
        </w:rPr>
      </w:pPr>
      <w:r w:rsidRPr="00452D62">
        <w:rPr>
          <w:sz w:val="22"/>
          <w:szCs w:val="22"/>
        </w:rPr>
        <w:t>Lizdinė plokštelė (PVC/PVDC/PVC permatoma forminė folija//aliuminio folija): 10, 15, 30, 60, 90 ar 100 plėvele dengtų tablečių dėžutėje.</w:t>
      </w:r>
    </w:p>
    <w:p w14:paraId="16AAA874" w14:textId="77777777" w:rsidR="00823785" w:rsidRPr="00452D62" w:rsidRDefault="00823785" w:rsidP="00823785">
      <w:pPr>
        <w:rPr>
          <w:sz w:val="22"/>
          <w:szCs w:val="22"/>
        </w:rPr>
      </w:pPr>
      <w:r w:rsidRPr="00452D62">
        <w:rPr>
          <w:sz w:val="22"/>
          <w:szCs w:val="22"/>
        </w:rPr>
        <w:t>Perforuota dalomoji lizdinė plokštelė (PVC/PVDC/PVC permatoma forminė folija//aliuminio folija): 10 x 1, 30 x 1, 60 x 1, 90 x 1 ar 100 x 1 plėvele dengtų tablečių dėžutėje.</w:t>
      </w:r>
    </w:p>
    <w:p w14:paraId="2C0D1EAB" w14:textId="77777777" w:rsidR="00823785" w:rsidRPr="00452D62" w:rsidRDefault="00823785" w:rsidP="00823785">
      <w:pPr>
        <w:rPr>
          <w:sz w:val="22"/>
          <w:szCs w:val="22"/>
        </w:rPr>
      </w:pPr>
      <w:r w:rsidRPr="00452D62">
        <w:rPr>
          <w:sz w:val="22"/>
          <w:szCs w:val="22"/>
        </w:rPr>
        <w:t>Lizdinė plokštelė (PVC/PVDC/PVC permatoma forminė folija//aliuminio folija), kalendorinė pakuotė: 14, 28, 42, 56 ar 98 plėvele dengtos tabletės dėžutėje.</w:t>
      </w:r>
    </w:p>
    <w:p w14:paraId="0E5E4643" w14:textId="77777777" w:rsidR="00823785" w:rsidRPr="00452D62" w:rsidRDefault="00823785" w:rsidP="00823785">
      <w:pPr>
        <w:rPr>
          <w:sz w:val="22"/>
          <w:szCs w:val="22"/>
        </w:rPr>
      </w:pPr>
    </w:p>
    <w:p w14:paraId="51BA3E66" w14:textId="77777777" w:rsidR="00823785" w:rsidRPr="00452D62" w:rsidRDefault="00823785" w:rsidP="00823785">
      <w:pPr>
        <w:rPr>
          <w:sz w:val="22"/>
          <w:szCs w:val="22"/>
        </w:rPr>
      </w:pPr>
      <w:r w:rsidRPr="00452D62">
        <w:rPr>
          <w:sz w:val="22"/>
          <w:szCs w:val="22"/>
        </w:rPr>
        <w:t>Kiekvienoje vaistinio preparato pakuotėje yra paciento budrumo kortelė.</w:t>
      </w:r>
    </w:p>
    <w:p w14:paraId="70F8A286" w14:textId="77777777" w:rsidR="00823785" w:rsidRPr="00452D62" w:rsidRDefault="00823785" w:rsidP="00823785">
      <w:pPr>
        <w:rPr>
          <w:sz w:val="22"/>
          <w:szCs w:val="22"/>
        </w:rPr>
      </w:pPr>
    </w:p>
    <w:p w14:paraId="0D7FD5DC" w14:textId="77777777" w:rsidR="00823785" w:rsidRPr="00452D62" w:rsidRDefault="00823785" w:rsidP="00823785">
      <w:pPr>
        <w:rPr>
          <w:sz w:val="22"/>
          <w:szCs w:val="22"/>
        </w:rPr>
      </w:pPr>
      <w:r w:rsidRPr="00452D62">
        <w:rPr>
          <w:sz w:val="22"/>
          <w:szCs w:val="22"/>
        </w:rPr>
        <w:t>Gali būti tiekiamos ne visų dydžių pakuotės.</w:t>
      </w:r>
    </w:p>
    <w:p w14:paraId="7C3C110A" w14:textId="77777777" w:rsidR="00823785" w:rsidRPr="00452D62" w:rsidRDefault="00823785" w:rsidP="00823785">
      <w:pPr>
        <w:rPr>
          <w:sz w:val="22"/>
          <w:szCs w:val="22"/>
        </w:rPr>
      </w:pPr>
    </w:p>
    <w:p w14:paraId="2766AEB6" w14:textId="77777777" w:rsidR="00823785" w:rsidRPr="00452D62" w:rsidRDefault="00823785" w:rsidP="00823785">
      <w:pPr>
        <w:widowControl w:val="0"/>
        <w:suppressAutoHyphens w:val="0"/>
        <w:spacing w:line="240" w:lineRule="auto"/>
        <w:ind w:left="567" w:hanging="567"/>
        <w:outlineLvl w:val="2"/>
        <w:rPr>
          <w:b/>
          <w:color w:val="auto"/>
          <w:kern w:val="28"/>
          <w:sz w:val="22"/>
          <w:szCs w:val="22"/>
          <w:lang w:eastAsia="en-US"/>
        </w:rPr>
      </w:pPr>
      <w:r w:rsidRPr="00452D62">
        <w:rPr>
          <w:b/>
          <w:color w:val="auto"/>
          <w:kern w:val="28"/>
          <w:sz w:val="22"/>
          <w:szCs w:val="22"/>
          <w:lang w:eastAsia="en-US"/>
        </w:rPr>
        <w:t>6.6</w:t>
      </w:r>
      <w:r w:rsidRPr="00452D62">
        <w:rPr>
          <w:b/>
          <w:color w:val="auto"/>
          <w:kern w:val="28"/>
          <w:sz w:val="22"/>
          <w:szCs w:val="22"/>
          <w:lang w:eastAsia="en-US"/>
        </w:rPr>
        <w:tab/>
        <w:t>Specialūs reikalavimai atliekoms tvarkyti ir vaistiniam preparatui ruošti</w:t>
      </w:r>
    </w:p>
    <w:p w14:paraId="29493C2F" w14:textId="77777777" w:rsidR="00823785" w:rsidRPr="00452D62" w:rsidRDefault="00823785" w:rsidP="00823785">
      <w:pPr>
        <w:rPr>
          <w:sz w:val="22"/>
          <w:szCs w:val="22"/>
        </w:rPr>
      </w:pPr>
    </w:p>
    <w:p w14:paraId="79969629" w14:textId="77777777" w:rsidR="00823785" w:rsidRPr="00452D62" w:rsidRDefault="00823785" w:rsidP="00823785">
      <w:pPr>
        <w:rPr>
          <w:sz w:val="22"/>
          <w:szCs w:val="22"/>
        </w:rPr>
      </w:pPr>
      <w:r w:rsidRPr="00452D62">
        <w:rPr>
          <w:sz w:val="22"/>
          <w:szCs w:val="22"/>
        </w:rPr>
        <w:t>Specialių reikalavimų atliekoms tvarkyti nėra.</w:t>
      </w:r>
    </w:p>
    <w:p w14:paraId="210BA0DA" w14:textId="77777777" w:rsidR="00823785" w:rsidRPr="00452D62" w:rsidRDefault="00823785" w:rsidP="00823785">
      <w:pPr>
        <w:rPr>
          <w:sz w:val="22"/>
          <w:szCs w:val="22"/>
        </w:rPr>
      </w:pPr>
    </w:p>
    <w:p w14:paraId="56268BB5" w14:textId="77777777" w:rsidR="00823785" w:rsidRPr="00452D62" w:rsidRDefault="00823785" w:rsidP="00823785">
      <w:pPr>
        <w:rPr>
          <w:sz w:val="22"/>
          <w:szCs w:val="22"/>
          <w:u w:val="single"/>
        </w:rPr>
      </w:pPr>
      <w:r w:rsidRPr="00452D62">
        <w:rPr>
          <w:sz w:val="22"/>
          <w:szCs w:val="22"/>
          <w:u w:val="single"/>
        </w:rPr>
        <w:t>Tablečių smulkinimas</w:t>
      </w:r>
    </w:p>
    <w:p w14:paraId="1FCA87A8" w14:textId="77777777" w:rsidR="00823785" w:rsidRPr="00452D62" w:rsidRDefault="00823785" w:rsidP="00823785">
      <w:pPr>
        <w:rPr>
          <w:sz w:val="22"/>
          <w:szCs w:val="22"/>
        </w:rPr>
      </w:pPr>
      <w:r w:rsidRPr="00452D62">
        <w:rPr>
          <w:sz w:val="22"/>
          <w:szCs w:val="22"/>
        </w:rPr>
        <w:t>Rivaroksabano tabletes galima susmulkinti ir, sumaišius su 50 ml vandens, vartoti per nazogastrinį vamzdelį arba skrandžio maitinimo vamzdelį, įsitikinus, kad vamzdelis yra tinkamai įstatytas į skrandį. Po to vamzdelį reikia praskalauti vandeniu. Kadangi rivaroksabano absorbcija priklauso nuo veikliosios medžiagos atpalaidavimo vietos, reikia vengti rivaroksabaną skirti distaliau skrandžio, nes dėl to jis gali būti prasčiau absorbuojamas, ir dėl to gali sumažėti veikliosios medžiagos ekspozicija. Pavartojus 15 mg ar 20 mg</w:t>
      </w:r>
      <w:r w:rsidRPr="00452D62" w:rsidDel="00D92940">
        <w:rPr>
          <w:rStyle w:val="Komentaronuoroda"/>
          <w:sz w:val="22"/>
          <w:szCs w:val="22"/>
        </w:rPr>
        <w:t xml:space="preserve"> </w:t>
      </w:r>
      <w:r w:rsidRPr="00452D62">
        <w:rPr>
          <w:sz w:val="22"/>
          <w:szCs w:val="22"/>
        </w:rPr>
        <w:t>tablečių, enterinis maitinimas iškart nėra būtinas.</w:t>
      </w:r>
    </w:p>
    <w:p w14:paraId="37C2F6E6" w14:textId="77777777" w:rsidR="00823785" w:rsidRPr="00452D62" w:rsidRDefault="00823785" w:rsidP="00823785">
      <w:pPr>
        <w:rPr>
          <w:sz w:val="22"/>
          <w:szCs w:val="22"/>
        </w:rPr>
      </w:pPr>
    </w:p>
    <w:p w14:paraId="4D86983E" w14:textId="77777777" w:rsidR="00823785" w:rsidRPr="00452D62" w:rsidRDefault="00823785" w:rsidP="00823785">
      <w:pPr>
        <w:rPr>
          <w:sz w:val="22"/>
          <w:szCs w:val="22"/>
        </w:rPr>
      </w:pPr>
    </w:p>
    <w:p w14:paraId="3F8B4F53" w14:textId="77777777" w:rsidR="00823785" w:rsidRPr="00452D62" w:rsidRDefault="00823785" w:rsidP="00823785">
      <w:pPr>
        <w:widowControl w:val="0"/>
        <w:suppressAutoHyphens w:val="0"/>
        <w:spacing w:line="240" w:lineRule="auto"/>
        <w:ind w:left="567" w:hanging="567"/>
        <w:outlineLvl w:val="1"/>
        <w:rPr>
          <w:b/>
          <w:bCs/>
          <w:color w:val="auto"/>
          <w:sz w:val="22"/>
          <w:szCs w:val="22"/>
          <w:lang w:eastAsia="en-US"/>
        </w:rPr>
      </w:pPr>
      <w:r w:rsidRPr="00452D62">
        <w:rPr>
          <w:b/>
          <w:bCs/>
          <w:color w:val="auto"/>
          <w:sz w:val="22"/>
          <w:szCs w:val="22"/>
          <w:lang w:eastAsia="en-US"/>
        </w:rPr>
        <w:t>7.</w:t>
      </w:r>
      <w:r w:rsidRPr="00452D62">
        <w:rPr>
          <w:b/>
          <w:bCs/>
          <w:color w:val="auto"/>
          <w:sz w:val="22"/>
          <w:szCs w:val="22"/>
          <w:lang w:eastAsia="en-US"/>
        </w:rPr>
        <w:tab/>
        <w:t>REGISTRUOTOJAS</w:t>
      </w:r>
    </w:p>
    <w:p w14:paraId="5E6F03F5" w14:textId="77777777" w:rsidR="00823785" w:rsidRPr="00452D62" w:rsidRDefault="00823785" w:rsidP="00823785">
      <w:pPr>
        <w:rPr>
          <w:sz w:val="22"/>
          <w:szCs w:val="22"/>
        </w:rPr>
      </w:pPr>
    </w:p>
    <w:p w14:paraId="63F7C1EB" w14:textId="77777777" w:rsidR="00823785" w:rsidRPr="00452D62" w:rsidRDefault="00823785" w:rsidP="00823785">
      <w:pPr>
        <w:widowControl w:val="0"/>
        <w:tabs>
          <w:tab w:val="clear" w:pos="567"/>
          <w:tab w:val="left" w:pos="540"/>
        </w:tabs>
        <w:suppressAutoHyphens w:val="0"/>
        <w:spacing w:line="240" w:lineRule="auto"/>
        <w:rPr>
          <w:rFonts w:eastAsia="Calibri"/>
          <w:color w:val="auto"/>
          <w:sz w:val="22"/>
          <w:szCs w:val="22"/>
          <w:lang w:eastAsia="en-US"/>
        </w:rPr>
      </w:pPr>
      <w:r w:rsidRPr="00452D62">
        <w:rPr>
          <w:rFonts w:eastAsia="Calibri"/>
          <w:color w:val="auto"/>
          <w:sz w:val="22"/>
          <w:szCs w:val="22"/>
          <w:lang w:eastAsia="en-US"/>
        </w:rPr>
        <w:t xml:space="preserve">KRKA d.d. Novo mesto </w:t>
      </w:r>
    </w:p>
    <w:p w14:paraId="32D72E23" w14:textId="77777777" w:rsidR="00823785" w:rsidRPr="00452D62" w:rsidRDefault="00823785" w:rsidP="00823785">
      <w:pPr>
        <w:widowControl w:val="0"/>
        <w:tabs>
          <w:tab w:val="clear" w:pos="567"/>
          <w:tab w:val="left" w:pos="540"/>
        </w:tabs>
        <w:suppressAutoHyphens w:val="0"/>
        <w:spacing w:line="240" w:lineRule="auto"/>
        <w:rPr>
          <w:rFonts w:eastAsia="Calibri"/>
          <w:color w:val="auto"/>
          <w:sz w:val="22"/>
          <w:szCs w:val="22"/>
          <w:lang w:eastAsia="en-US"/>
        </w:rPr>
      </w:pPr>
      <w:r w:rsidRPr="00452D62">
        <w:rPr>
          <w:rFonts w:eastAsia="Calibri"/>
          <w:color w:val="auto"/>
          <w:sz w:val="22"/>
          <w:szCs w:val="22"/>
          <w:lang w:eastAsia="en-US"/>
        </w:rPr>
        <w:t>Šmarješka cesta 6</w:t>
      </w:r>
    </w:p>
    <w:p w14:paraId="0411BF6C" w14:textId="77777777" w:rsidR="00823785" w:rsidRPr="00452D62" w:rsidRDefault="00823785" w:rsidP="00823785">
      <w:pPr>
        <w:widowControl w:val="0"/>
        <w:tabs>
          <w:tab w:val="clear" w:pos="567"/>
          <w:tab w:val="left" w:pos="540"/>
        </w:tabs>
        <w:suppressAutoHyphens w:val="0"/>
        <w:spacing w:line="240" w:lineRule="auto"/>
        <w:rPr>
          <w:rFonts w:eastAsia="Calibri"/>
          <w:color w:val="auto"/>
          <w:sz w:val="22"/>
          <w:szCs w:val="22"/>
          <w:lang w:eastAsia="en-US"/>
        </w:rPr>
      </w:pPr>
      <w:r w:rsidRPr="00452D62">
        <w:rPr>
          <w:rFonts w:eastAsia="Calibri"/>
          <w:color w:val="auto"/>
          <w:sz w:val="22"/>
          <w:szCs w:val="22"/>
          <w:lang w:eastAsia="en-US"/>
        </w:rPr>
        <w:t>8501 Novo mesto</w:t>
      </w:r>
    </w:p>
    <w:p w14:paraId="37E94962" w14:textId="77777777" w:rsidR="00823785" w:rsidRPr="00452D62" w:rsidRDefault="00823785" w:rsidP="00823785">
      <w:pPr>
        <w:widowControl w:val="0"/>
        <w:tabs>
          <w:tab w:val="clear" w:pos="567"/>
          <w:tab w:val="left" w:pos="540"/>
        </w:tabs>
        <w:suppressAutoHyphens w:val="0"/>
        <w:spacing w:line="240" w:lineRule="auto"/>
        <w:rPr>
          <w:rFonts w:eastAsia="Calibri"/>
          <w:color w:val="auto"/>
          <w:sz w:val="22"/>
          <w:szCs w:val="22"/>
          <w:lang w:eastAsia="en-US"/>
        </w:rPr>
      </w:pPr>
      <w:r w:rsidRPr="00452D62">
        <w:rPr>
          <w:rFonts w:eastAsia="Calibri"/>
          <w:color w:val="auto"/>
          <w:sz w:val="22"/>
          <w:szCs w:val="22"/>
          <w:lang w:eastAsia="en-US"/>
        </w:rPr>
        <w:t>Slovėnija</w:t>
      </w:r>
    </w:p>
    <w:p w14:paraId="0BB10275" w14:textId="77777777" w:rsidR="00823785" w:rsidRPr="00452D62" w:rsidRDefault="00823785" w:rsidP="00823785">
      <w:pPr>
        <w:rPr>
          <w:sz w:val="22"/>
          <w:szCs w:val="22"/>
        </w:rPr>
      </w:pPr>
    </w:p>
    <w:p w14:paraId="20B7EB6B" w14:textId="77777777" w:rsidR="00823785" w:rsidRPr="00452D62" w:rsidRDefault="00823785" w:rsidP="00823785">
      <w:pPr>
        <w:rPr>
          <w:sz w:val="22"/>
          <w:szCs w:val="22"/>
        </w:rPr>
      </w:pPr>
    </w:p>
    <w:p w14:paraId="4ACF2217" w14:textId="77777777" w:rsidR="00823785" w:rsidRPr="00452D62" w:rsidRDefault="00823785" w:rsidP="00823785">
      <w:pPr>
        <w:widowControl w:val="0"/>
        <w:suppressAutoHyphens w:val="0"/>
        <w:spacing w:line="240" w:lineRule="auto"/>
        <w:ind w:left="567" w:hanging="567"/>
        <w:outlineLvl w:val="1"/>
        <w:rPr>
          <w:b/>
          <w:bCs/>
          <w:color w:val="auto"/>
          <w:sz w:val="22"/>
          <w:szCs w:val="22"/>
          <w:lang w:eastAsia="en-US"/>
        </w:rPr>
      </w:pPr>
      <w:r w:rsidRPr="00452D62">
        <w:rPr>
          <w:b/>
          <w:bCs/>
          <w:color w:val="auto"/>
          <w:sz w:val="22"/>
          <w:szCs w:val="22"/>
          <w:lang w:eastAsia="en-US"/>
        </w:rPr>
        <w:t>8.</w:t>
      </w:r>
      <w:r w:rsidRPr="00452D62">
        <w:rPr>
          <w:b/>
          <w:bCs/>
          <w:color w:val="auto"/>
          <w:sz w:val="22"/>
          <w:szCs w:val="22"/>
          <w:lang w:eastAsia="en-US"/>
        </w:rPr>
        <w:tab/>
        <w:t xml:space="preserve">REGISTRACIJOS PAŽYMĖJIMO NUMERIS (-IAI) </w:t>
      </w:r>
    </w:p>
    <w:p w14:paraId="075BAB5E" w14:textId="77777777" w:rsidR="00823785" w:rsidRPr="00452D62" w:rsidRDefault="00823785" w:rsidP="00823785">
      <w:pPr>
        <w:rPr>
          <w:sz w:val="22"/>
          <w:szCs w:val="22"/>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3020"/>
        <w:gridCol w:w="3020"/>
      </w:tblGrid>
      <w:tr w:rsidR="00823785" w:rsidRPr="00B13AD4" w14:paraId="6C59B364" w14:textId="77777777" w:rsidTr="006453B9">
        <w:tc>
          <w:tcPr>
            <w:tcW w:w="3020" w:type="dxa"/>
          </w:tcPr>
          <w:p w14:paraId="62C9F4E9" w14:textId="77777777" w:rsidR="00823785" w:rsidRPr="00B13AD4" w:rsidRDefault="00823785" w:rsidP="006453B9">
            <w:pPr>
              <w:rPr>
                <w:rFonts w:ascii="Times New Roman" w:hAnsi="Times New Roman"/>
                <w:b/>
                <w:color w:val="auto"/>
                <w:sz w:val="22"/>
                <w:szCs w:val="22"/>
                <w:u w:val="single"/>
              </w:rPr>
            </w:pPr>
            <w:r w:rsidRPr="00B13AD4">
              <w:rPr>
                <w:rFonts w:ascii="Times New Roman" w:hAnsi="Times New Roman"/>
                <w:sz w:val="22"/>
                <w:szCs w:val="22"/>
                <w:u w:val="single"/>
              </w:rPr>
              <w:t>lizdinė plokštelė</w:t>
            </w:r>
          </w:p>
          <w:p w14:paraId="78C57E96" w14:textId="77777777" w:rsidR="00823785" w:rsidRPr="00B13AD4" w:rsidRDefault="00823785" w:rsidP="006453B9">
            <w:pPr>
              <w:rPr>
                <w:rFonts w:ascii="Times New Roman" w:hAnsi="Times New Roman"/>
                <w:sz w:val="22"/>
                <w:szCs w:val="22"/>
              </w:rPr>
            </w:pPr>
            <w:r w:rsidRPr="00B13AD4">
              <w:rPr>
                <w:rFonts w:ascii="Times New Roman" w:hAnsi="Times New Roman"/>
                <w:sz w:val="22"/>
                <w:szCs w:val="22"/>
              </w:rPr>
              <w:t>LT/1/20/4561/001 – N10</w:t>
            </w:r>
          </w:p>
          <w:p w14:paraId="4B962891" w14:textId="77777777" w:rsidR="00823785" w:rsidRPr="00B13AD4" w:rsidRDefault="00823785" w:rsidP="006453B9">
            <w:pPr>
              <w:rPr>
                <w:rFonts w:ascii="Times New Roman" w:hAnsi="Times New Roman"/>
                <w:sz w:val="22"/>
                <w:szCs w:val="22"/>
              </w:rPr>
            </w:pPr>
            <w:r w:rsidRPr="00B13AD4">
              <w:rPr>
                <w:rFonts w:ascii="Times New Roman" w:hAnsi="Times New Roman"/>
                <w:sz w:val="22"/>
                <w:szCs w:val="22"/>
              </w:rPr>
              <w:t>LT/1/20/4561/002 – N15</w:t>
            </w:r>
          </w:p>
          <w:p w14:paraId="5A9F280D" w14:textId="77777777" w:rsidR="00823785" w:rsidRPr="00B13AD4" w:rsidRDefault="00823785" w:rsidP="006453B9">
            <w:pPr>
              <w:rPr>
                <w:rFonts w:ascii="Times New Roman" w:hAnsi="Times New Roman"/>
                <w:sz w:val="22"/>
                <w:szCs w:val="22"/>
              </w:rPr>
            </w:pPr>
            <w:r w:rsidRPr="00B13AD4">
              <w:rPr>
                <w:rFonts w:ascii="Times New Roman" w:hAnsi="Times New Roman"/>
                <w:sz w:val="22"/>
                <w:szCs w:val="22"/>
              </w:rPr>
              <w:t>LT/1/20/4561/003 – N30</w:t>
            </w:r>
          </w:p>
          <w:p w14:paraId="26D071B6" w14:textId="77777777" w:rsidR="00823785" w:rsidRPr="00B13AD4" w:rsidRDefault="00823785" w:rsidP="006453B9">
            <w:pPr>
              <w:rPr>
                <w:rFonts w:ascii="Times New Roman" w:hAnsi="Times New Roman"/>
                <w:sz w:val="22"/>
                <w:szCs w:val="22"/>
              </w:rPr>
            </w:pPr>
            <w:r w:rsidRPr="00B13AD4">
              <w:rPr>
                <w:rFonts w:ascii="Times New Roman" w:hAnsi="Times New Roman"/>
                <w:sz w:val="22"/>
                <w:szCs w:val="22"/>
              </w:rPr>
              <w:t>LT/1/20/4561/004 – N60</w:t>
            </w:r>
          </w:p>
          <w:p w14:paraId="25A717AE" w14:textId="77777777" w:rsidR="00823785" w:rsidRPr="00B13AD4" w:rsidRDefault="00823785" w:rsidP="006453B9">
            <w:pPr>
              <w:rPr>
                <w:rFonts w:ascii="Times New Roman" w:hAnsi="Times New Roman"/>
                <w:sz w:val="22"/>
                <w:szCs w:val="22"/>
              </w:rPr>
            </w:pPr>
            <w:r w:rsidRPr="00B13AD4">
              <w:rPr>
                <w:rFonts w:ascii="Times New Roman" w:hAnsi="Times New Roman"/>
                <w:sz w:val="22"/>
                <w:szCs w:val="22"/>
              </w:rPr>
              <w:t>LT/1/20/4561/005 – N90</w:t>
            </w:r>
          </w:p>
          <w:p w14:paraId="16442968" w14:textId="77777777" w:rsidR="00823785" w:rsidRPr="00B13AD4" w:rsidRDefault="00823785" w:rsidP="006453B9">
            <w:pPr>
              <w:rPr>
                <w:rFonts w:ascii="Times New Roman" w:hAnsi="Times New Roman"/>
                <w:b/>
                <w:color w:val="auto"/>
                <w:sz w:val="22"/>
                <w:szCs w:val="22"/>
              </w:rPr>
            </w:pPr>
            <w:r w:rsidRPr="00B13AD4">
              <w:rPr>
                <w:rFonts w:ascii="Times New Roman" w:hAnsi="Times New Roman"/>
                <w:sz w:val="22"/>
                <w:szCs w:val="22"/>
              </w:rPr>
              <w:t>LT/1/20/4561/006 – N100</w:t>
            </w:r>
          </w:p>
        </w:tc>
        <w:tc>
          <w:tcPr>
            <w:tcW w:w="3020" w:type="dxa"/>
          </w:tcPr>
          <w:p w14:paraId="4FF5414A" w14:textId="77777777" w:rsidR="00823785" w:rsidRPr="00B13AD4" w:rsidRDefault="00823785" w:rsidP="006453B9">
            <w:pPr>
              <w:rPr>
                <w:rFonts w:ascii="Times New Roman" w:hAnsi="Times New Roman"/>
                <w:b/>
                <w:color w:val="auto"/>
                <w:sz w:val="22"/>
                <w:szCs w:val="22"/>
                <w:u w:val="single"/>
              </w:rPr>
            </w:pPr>
            <w:r w:rsidRPr="00B13AD4">
              <w:rPr>
                <w:rFonts w:ascii="Times New Roman" w:hAnsi="Times New Roman"/>
                <w:sz w:val="22"/>
                <w:szCs w:val="22"/>
                <w:u w:val="single"/>
              </w:rPr>
              <w:t>dalomoji lizdinė plokštelė</w:t>
            </w:r>
          </w:p>
          <w:p w14:paraId="0ED68ACE" w14:textId="77777777" w:rsidR="00823785" w:rsidRPr="00B13AD4" w:rsidRDefault="00823785" w:rsidP="006453B9">
            <w:pPr>
              <w:rPr>
                <w:rFonts w:ascii="Times New Roman" w:hAnsi="Times New Roman"/>
                <w:sz w:val="22"/>
                <w:szCs w:val="22"/>
              </w:rPr>
            </w:pPr>
            <w:r w:rsidRPr="00B13AD4">
              <w:rPr>
                <w:rFonts w:ascii="Times New Roman" w:hAnsi="Times New Roman"/>
                <w:sz w:val="22"/>
                <w:szCs w:val="22"/>
              </w:rPr>
              <w:t>LT/1/20/4561/007 – N10x1</w:t>
            </w:r>
          </w:p>
          <w:p w14:paraId="5797A8EC" w14:textId="77777777" w:rsidR="00823785" w:rsidRPr="00B13AD4" w:rsidRDefault="00823785" w:rsidP="006453B9">
            <w:pPr>
              <w:rPr>
                <w:rFonts w:ascii="Times New Roman" w:hAnsi="Times New Roman"/>
                <w:sz w:val="22"/>
                <w:szCs w:val="22"/>
              </w:rPr>
            </w:pPr>
            <w:r w:rsidRPr="00B13AD4">
              <w:rPr>
                <w:rFonts w:ascii="Times New Roman" w:hAnsi="Times New Roman"/>
                <w:sz w:val="22"/>
                <w:szCs w:val="22"/>
              </w:rPr>
              <w:t>LT/1/20/4561/008 – N30x1</w:t>
            </w:r>
          </w:p>
          <w:p w14:paraId="70384664" w14:textId="77777777" w:rsidR="00823785" w:rsidRPr="00B13AD4" w:rsidRDefault="00823785" w:rsidP="006453B9">
            <w:pPr>
              <w:rPr>
                <w:rFonts w:ascii="Times New Roman" w:hAnsi="Times New Roman"/>
                <w:sz w:val="22"/>
                <w:szCs w:val="22"/>
              </w:rPr>
            </w:pPr>
            <w:r w:rsidRPr="00B13AD4">
              <w:rPr>
                <w:rFonts w:ascii="Times New Roman" w:hAnsi="Times New Roman"/>
                <w:sz w:val="22"/>
                <w:szCs w:val="22"/>
              </w:rPr>
              <w:t>LT/1/20/4561/009 – N60x1</w:t>
            </w:r>
          </w:p>
          <w:p w14:paraId="39F1504E" w14:textId="77777777" w:rsidR="00823785" w:rsidRPr="00B13AD4" w:rsidRDefault="00823785" w:rsidP="006453B9">
            <w:pPr>
              <w:rPr>
                <w:rFonts w:ascii="Times New Roman" w:hAnsi="Times New Roman"/>
                <w:sz w:val="22"/>
                <w:szCs w:val="22"/>
              </w:rPr>
            </w:pPr>
            <w:r w:rsidRPr="00B13AD4">
              <w:rPr>
                <w:rFonts w:ascii="Times New Roman" w:hAnsi="Times New Roman"/>
                <w:sz w:val="22"/>
                <w:szCs w:val="22"/>
              </w:rPr>
              <w:t>LT/1/20/4561/010 – N90x1</w:t>
            </w:r>
          </w:p>
          <w:p w14:paraId="79A2A26A" w14:textId="77777777" w:rsidR="00823785" w:rsidRPr="00B13AD4" w:rsidRDefault="00823785" w:rsidP="006453B9">
            <w:pPr>
              <w:rPr>
                <w:rFonts w:ascii="Times New Roman" w:hAnsi="Times New Roman"/>
                <w:b/>
                <w:color w:val="auto"/>
                <w:sz w:val="22"/>
                <w:szCs w:val="22"/>
              </w:rPr>
            </w:pPr>
            <w:r w:rsidRPr="00B13AD4">
              <w:rPr>
                <w:rFonts w:ascii="Times New Roman" w:hAnsi="Times New Roman"/>
                <w:sz w:val="22"/>
                <w:szCs w:val="22"/>
              </w:rPr>
              <w:t>LT/1/20/4561/011 – N100x1</w:t>
            </w:r>
          </w:p>
        </w:tc>
        <w:tc>
          <w:tcPr>
            <w:tcW w:w="3020" w:type="dxa"/>
          </w:tcPr>
          <w:p w14:paraId="6F3DB3CB" w14:textId="77777777" w:rsidR="00823785" w:rsidRPr="00B13AD4" w:rsidRDefault="00823785" w:rsidP="006453B9">
            <w:pPr>
              <w:rPr>
                <w:rFonts w:ascii="Times New Roman" w:hAnsi="Times New Roman"/>
                <w:sz w:val="22"/>
                <w:szCs w:val="22"/>
                <w:u w:val="single"/>
              </w:rPr>
            </w:pPr>
            <w:r w:rsidRPr="00B13AD4">
              <w:rPr>
                <w:rFonts w:ascii="Times New Roman" w:hAnsi="Times New Roman"/>
                <w:sz w:val="22"/>
                <w:szCs w:val="22"/>
                <w:u w:val="single"/>
              </w:rPr>
              <w:t>lizdinė plokštelė (kalendorinė)</w:t>
            </w:r>
          </w:p>
          <w:p w14:paraId="2D27532E" w14:textId="77777777" w:rsidR="00823785" w:rsidRPr="00B13AD4" w:rsidRDefault="00823785" w:rsidP="006453B9">
            <w:pPr>
              <w:rPr>
                <w:rFonts w:ascii="Times New Roman" w:hAnsi="Times New Roman"/>
                <w:sz w:val="22"/>
                <w:szCs w:val="22"/>
              </w:rPr>
            </w:pPr>
            <w:r w:rsidRPr="00B13AD4">
              <w:rPr>
                <w:rFonts w:ascii="Times New Roman" w:hAnsi="Times New Roman"/>
                <w:sz w:val="22"/>
                <w:szCs w:val="22"/>
              </w:rPr>
              <w:t>LT/1/20/4561/012 – N14</w:t>
            </w:r>
          </w:p>
          <w:p w14:paraId="58AEDCDB" w14:textId="77777777" w:rsidR="00823785" w:rsidRPr="00B13AD4" w:rsidRDefault="00823785" w:rsidP="006453B9">
            <w:pPr>
              <w:rPr>
                <w:rFonts w:ascii="Times New Roman" w:hAnsi="Times New Roman"/>
                <w:sz w:val="22"/>
                <w:szCs w:val="22"/>
              </w:rPr>
            </w:pPr>
            <w:r w:rsidRPr="00B13AD4">
              <w:rPr>
                <w:rFonts w:ascii="Times New Roman" w:hAnsi="Times New Roman"/>
                <w:sz w:val="22"/>
                <w:szCs w:val="22"/>
              </w:rPr>
              <w:t>LT/1/20/4561/013 – N28</w:t>
            </w:r>
          </w:p>
          <w:p w14:paraId="475BB2E5" w14:textId="77777777" w:rsidR="00823785" w:rsidRPr="00B13AD4" w:rsidRDefault="00823785" w:rsidP="006453B9">
            <w:pPr>
              <w:rPr>
                <w:rFonts w:ascii="Times New Roman" w:hAnsi="Times New Roman"/>
                <w:sz w:val="22"/>
                <w:szCs w:val="22"/>
              </w:rPr>
            </w:pPr>
            <w:r w:rsidRPr="00B13AD4">
              <w:rPr>
                <w:rFonts w:ascii="Times New Roman" w:hAnsi="Times New Roman"/>
                <w:sz w:val="22"/>
                <w:szCs w:val="22"/>
              </w:rPr>
              <w:t>LT/1/20/4561/014 – N42</w:t>
            </w:r>
          </w:p>
          <w:p w14:paraId="23EAE644" w14:textId="77777777" w:rsidR="00823785" w:rsidRPr="00B13AD4" w:rsidRDefault="00823785" w:rsidP="006453B9">
            <w:pPr>
              <w:rPr>
                <w:rFonts w:ascii="Times New Roman" w:hAnsi="Times New Roman"/>
                <w:sz w:val="22"/>
                <w:szCs w:val="22"/>
              </w:rPr>
            </w:pPr>
            <w:r w:rsidRPr="00B13AD4">
              <w:rPr>
                <w:rFonts w:ascii="Times New Roman" w:hAnsi="Times New Roman"/>
                <w:sz w:val="22"/>
                <w:szCs w:val="22"/>
              </w:rPr>
              <w:t xml:space="preserve">LT/1/20/4561/015 – N56 </w:t>
            </w:r>
          </w:p>
          <w:p w14:paraId="059087D6" w14:textId="77777777" w:rsidR="00823785" w:rsidRPr="00B13AD4" w:rsidRDefault="00823785" w:rsidP="006453B9">
            <w:pPr>
              <w:rPr>
                <w:rFonts w:ascii="Times New Roman" w:hAnsi="Times New Roman"/>
                <w:b/>
                <w:color w:val="auto"/>
                <w:sz w:val="22"/>
                <w:szCs w:val="22"/>
              </w:rPr>
            </w:pPr>
            <w:r w:rsidRPr="00B13AD4">
              <w:rPr>
                <w:rFonts w:ascii="Times New Roman" w:hAnsi="Times New Roman"/>
                <w:sz w:val="22"/>
                <w:szCs w:val="22"/>
              </w:rPr>
              <w:t>LT/1/20/4561/016 – N98</w:t>
            </w:r>
          </w:p>
          <w:p w14:paraId="14B7DB03" w14:textId="77777777" w:rsidR="00823785" w:rsidRPr="00B13AD4" w:rsidRDefault="00823785" w:rsidP="006453B9">
            <w:pPr>
              <w:rPr>
                <w:rFonts w:ascii="Times New Roman" w:hAnsi="Times New Roman"/>
                <w:b/>
                <w:color w:val="auto"/>
                <w:sz w:val="22"/>
                <w:szCs w:val="22"/>
              </w:rPr>
            </w:pPr>
          </w:p>
        </w:tc>
      </w:tr>
    </w:tbl>
    <w:p w14:paraId="4843F119" w14:textId="77777777" w:rsidR="00823785" w:rsidRPr="00452D62" w:rsidRDefault="00823785" w:rsidP="00823785">
      <w:pPr>
        <w:rPr>
          <w:b/>
          <w:bCs/>
          <w:color w:val="auto"/>
          <w:sz w:val="22"/>
          <w:szCs w:val="22"/>
          <w:lang w:eastAsia="en-US"/>
        </w:rPr>
      </w:pPr>
    </w:p>
    <w:p w14:paraId="718529F7" w14:textId="77777777" w:rsidR="00823785" w:rsidRPr="00452D62" w:rsidRDefault="00823785" w:rsidP="00823785">
      <w:pPr>
        <w:rPr>
          <w:b/>
          <w:bCs/>
          <w:color w:val="auto"/>
          <w:sz w:val="22"/>
          <w:szCs w:val="22"/>
          <w:lang w:eastAsia="en-US"/>
        </w:rPr>
      </w:pPr>
    </w:p>
    <w:p w14:paraId="1CA7D96D" w14:textId="77777777" w:rsidR="00823785" w:rsidRPr="00452D62" w:rsidRDefault="00823785" w:rsidP="00823785">
      <w:pPr>
        <w:widowControl w:val="0"/>
        <w:suppressAutoHyphens w:val="0"/>
        <w:spacing w:line="240" w:lineRule="auto"/>
        <w:ind w:left="567" w:hanging="567"/>
        <w:outlineLvl w:val="1"/>
        <w:rPr>
          <w:b/>
          <w:bCs/>
          <w:color w:val="auto"/>
          <w:sz w:val="22"/>
          <w:szCs w:val="22"/>
          <w:lang w:eastAsia="en-US"/>
        </w:rPr>
      </w:pPr>
      <w:r w:rsidRPr="00452D62">
        <w:rPr>
          <w:b/>
          <w:bCs/>
          <w:color w:val="auto"/>
          <w:sz w:val="22"/>
          <w:szCs w:val="22"/>
          <w:lang w:eastAsia="en-US"/>
        </w:rPr>
        <w:t>9.</w:t>
      </w:r>
      <w:r w:rsidRPr="00452D62">
        <w:rPr>
          <w:b/>
          <w:bCs/>
          <w:color w:val="auto"/>
          <w:sz w:val="22"/>
          <w:szCs w:val="22"/>
          <w:lang w:eastAsia="en-US"/>
        </w:rPr>
        <w:tab/>
        <w:t>REGISTRAVIMO/PERREGISTRAVIMO DATA</w:t>
      </w:r>
    </w:p>
    <w:p w14:paraId="6E4CE544" w14:textId="77777777" w:rsidR="00823785" w:rsidRPr="00452D62" w:rsidRDefault="00823785" w:rsidP="00823785">
      <w:pPr>
        <w:rPr>
          <w:i/>
          <w:sz w:val="22"/>
          <w:szCs w:val="22"/>
        </w:rPr>
      </w:pPr>
    </w:p>
    <w:p w14:paraId="17044429" w14:textId="77777777" w:rsidR="00823785" w:rsidRPr="00452D62" w:rsidRDefault="00823785" w:rsidP="00823785">
      <w:pPr>
        <w:spacing w:line="240" w:lineRule="auto"/>
        <w:rPr>
          <w:color w:val="auto"/>
          <w:sz w:val="22"/>
          <w:szCs w:val="22"/>
          <w:lang w:eastAsia="en-US"/>
        </w:rPr>
      </w:pPr>
      <w:r w:rsidRPr="00452D62">
        <w:rPr>
          <w:snapToGrid w:val="0"/>
          <w:sz w:val="22"/>
          <w:szCs w:val="22"/>
        </w:rPr>
        <w:t>Registravimo data 2020 m. balandžio 29 d.</w:t>
      </w:r>
    </w:p>
    <w:p w14:paraId="19B7A673" w14:textId="1AC85A6F" w:rsidR="00823785" w:rsidRDefault="005267BF" w:rsidP="00823785">
      <w:pPr>
        <w:spacing w:line="240" w:lineRule="auto"/>
        <w:rPr>
          <w:sz w:val="22"/>
          <w:szCs w:val="22"/>
        </w:rPr>
      </w:pPr>
      <w:r>
        <w:rPr>
          <w:sz w:val="22"/>
          <w:szCs w:val="22"/>
        </w:rPr>
        <w:t>Paskutinio perregistravimo data</w:t>
      </w:r>
      <w:r w:rsidR="00B13AD4">
        <w:rPr>
          <w:sz w:val="22"/>
          <w:szCs w:val="22"/>
        </w:rPr>
        <w:t xml:space="preserve"> </w:t>
      </w:r>
    </w:p>
    <w:p w14:paraId="26F4EF1F" w14:textId="77777777" w:rsidR="005267BF" w:rsidRPr="00AE1B80" w:rsidRDefault="005267BF" w:rsidP="00823785">
      <w:pPr>
        <w:spacing w:line="240" w:lineRule="auto"/>
        <w:rPr>
          <w:sz w:val="22"/>
          <w:szCs w:val="22"/>
        </w:rPr>
      </w:pPr>
    </w:p>
    <w:p w14:paraId="35793D2E" w14:textId="77777777" w:rsidR="00823785" w:rsidRPr="00452D62" w:rsidRDefault="00823785" w:rsidP="00823785">
      <w:pPr>
        <w:rPr>
          <w:sz w:val="22"/>
          <w:szCs w:val="22"/>
        </w:rPr>
      </w:pPr>
    </w:p>
    <w:p w14:paraId="072CD86B" w14:textId="77777777" w:rsidR="00823785" w:rsidRPr="000877E9" w:rsidRDefault="00823785" w:rsidP="00823785">
      <w:pPr>
        <w:widowControl w:val="0"/>
        <w:suppressAutoHyphens w:val="0"/>
        <w:spacing w:line="240" w:lineRule="auto"/>
        <w:ind w:left="567" w:hanging="567"/>
        <w:outlineLvl w:val="1"/>
        <w:rPr>
          <w:b/>
          <w:bCs/>
          <w:color w:val="auto"/>
          <w:sz w:val="22"/>
          <w:szCs w:val="22"/>
          <w:lang w:eastAsia="en-US"/>
        </w:rPr>
      </w:pPr>
      <w:r w:rsidRPr="000877E9">
        <w:rPr>
          <w:b/>
          <w:bCs/>
          <w:color w:val="auto"/>
          <w:sz w:val="22"/>
          <w:szCs w:val="22"/>
          <w:lang w:eastAsia="en-US"/>
        </w:rPr>
        <w:t>10.</w:t>
      </w:r>
      <w:r w:rsidRPr="000877E9">
        <w:rPr>
          <w:b/>
          <w:bCs/>
          <w:color w:val="auto"/>
          <w:sz w:val="22"/>
          <w:szCs w:val="22"/>
          <w:lang w:eastAsia="en-US"/>
        </w:rPr>
        <w:tab/>
        <w:t>TEKSTO PERŽIŪROS DATA</w:t>
      </w:r>
    </w:p>
    <w:p w14:paraId="5E773804" w14:textId="62A702CD" w:rsidR="00823785" w:rsidRDefault="00823785" w:rsidP="00823785">
      <w:pPr>
        <w:rPr>
          <w:sz w:val="22"/>
          <w:szCs w:val="22"/>
        </w:rPr>
      </w:pPr>
    </w:p>
    <w:p w14:paraId="3C23517B" w14:textId="13421092" w:rsidR="00B13AD4" w:rsidRPr="000877E9" w:rsidRDefault="00B13AD4" w:rsidP="00823785">
      <w:pPr>
        <w:rPr>
          <w:sz w:val="22"/>
          <w:szCs w:val="22"/>
        </w:rPr>
      </w:pPr>
      <w:r>
        <w:rPr>
          <w:sz w:val="22"/>
          <w:szCs w:val="22"/>
        </w:rPr>
        <w:t>2024 m. spalio 9 d.</w:t>
      </w:r>
    </w:p>
    <w:p w14:paraId="69F3A065" w14:textId="77777777" w:rsidR="00823785" w:rsidRPr="000877E9" w:rsidRDefault="00823785" w:rsidP="00823785">
      <w:pPr>
        <w:tabs>
          <w:tab w:val="clear" w:pos="567"/>
        </w:tabs>
        <w:spacing w:line="100" w:lineRule="atLeast"/>
        <w:rPr>
          <w:sz w:val="22"/>
          <w:szCs w:val="22"/>
        </w:rPr>
      </w:pPr>
    </w:p>
    <w:p w14:paraId="425D2346" w14:textId="09E3D44F" w:rsidR="00823785" w:rsidRPr="000877E9" w:rsidRDefault="00823785" w:rsidP="00823785">
      <w:pPr>
        <w:tabs>
          <w:tab w:val="clear" w:pos="567"/>
          <w:tab w:val="left" w:pos="5954"/>
          <w:tab w:val="left" w:pos="6237"/>
          <w:tab w:val="left" w:pos="6663"/>
          <w:tab w:val="left" w:pos="6946"/>
        </w:tabs>
        <w:spacing w:line="100" w:lineRule="atLeast"/>
        <w:rPr>
          <w:snapToGrid w:val="0"/>
          <w:color w:val="auto"/>
          <w:sz w:val="22"/>
          <w:szCs w:val="22"/>
          <w:lang w:eastAsia="en-US"/>
        </w:rPr>
      </w:pPr>
      <w:r w:rsidRPr="00452D62">
        <w:rPr>
          <w:rFonts w:eastAsia="SimSun"/>
          <w:sz w:val="22"/>
          <w:szCs w:val="22"/>
        </w:rPr>
        <w:t>Išsami informacija apie šį vaistinį preparatą pateikiama Valstybinės vaistų kontrolės tarnybos prie Lietuvos Respublikos sveikatos apsaugos ministerijos tinklalapyje</w:t>
      </w:r>
      <w:r w:rsidRPr="00452D62">
        <w:rPr>
          <w:rFonts w:eastAsia="SimSun"/>
          <w:i/>
          <w:sz w:val="22"/>
          <w:szCs w:val="22"/>
        </w:rPr>
        <w:t xml:space="preserve"> </w:t>
      </w:r>
      <w:r w:rsidR="000A3575" w:rsidRPr="000A3575">
        <w:rPr>
          <w:color w:val="0000EE"/>
          <w:sz w:val="22"/>
          <w:szCs w:val="22"/>
          <w:u w:val="single"/>
          <w:lang w:eastAsia="lt-LT"/>
        </w:rPr>
        <w:t>https://vvkt.lrv.lt/lt/.</w:t>
      </w:r>
      <w:r w:rsidRPr="00452D62">
        <w:rPr>
          <w:snapToGrid w:val="0"/>
          <w:color w:val="auto"/>
          <w:sz w:val="22"/>
          <w:szCs w:val="22"/>
          <w:lang w:eastAsia="en-US"/>
        </w:rPr>
        <w:br w:type="page"/>
      </w:r>
    </w:p>
    <w:p w14:paraId="0A1F1371" w14:textId="77777777" w:rsidR="00823785" w:rsidRPr="00452D62" w:rsidRDefault="00823785" w:rsidP="00823785">
      <w:pPr>
        <w:widowControl w:val="0"/>
        <w:suppressAutoHyphens w:val="0"/>
        <w:spacing w:line="240" w:lineRule="auto"/>
        <w:rPr>
          <w:snapToGrid w:val="0"/>
          <w:color w:val="auto"/>
          <w:sz w:val="22"/>
          <w:szCs w:val="22"/>
          <w:lang w:eastAsia="en-US"/>
        </w:rPr>
      </w:pPr>
    </w:p>
    <w:p w14:paraId="653995D0" w14:textId="77777777" w:rsidR="00823785" w:rsidRPr="00452D62" w:rsidRDefault="00823785" w:rsidP="00823785">
      <w:pPr>
        <w:widowControl w:val="0"/>
        <w:suppressAutoHyphens w:val="0"/>
        <w:spacing w:line="240" w:lineRule="auto"/>
        <w:rPr>
          <w:snapToGrid w:val="0"/>
          <w:color w:val="auto"/>
          <w:sz w:val="22"/>
          <w:szCs w:val="22"/>
          <w:lang w:eastAsia="en-US"/>
        </w:rPr>
      </w:pPr>
    </w:p>
    <w:p w14:paraId="6D353C81" w14:textId="77777777" w:rsidR="00823785" w:rsidRPr="00452D62" w:rsidRDefault="00823785" w:rsidP="00823785">
      <w:pPr>
        <w:widowControl w:val="0"/>
        <w:suppressAutoHyphens w:val="0"/>
        <w:spacing w:line="240" w:lineRule="auto"/>
        <w:rPr>
          <w:snapToGrid w:val="0"/>
          <w:color w:val="auto"/>
          <w:sz w:val="22"/>
          <w:szCs w:val="22"/>
          <w:lang w:eastAsia="en-US"/>
        </w:rPr>
      </w:pPr>
    </w:p>
    <w:p w14:paraId="2E5F08F1" w14:textId="77777777" w:rsidR="00823785" w:rsidRPr="00452D62" w:rsidRDefault="00823785" w:rsidP="00823785">
      <w:pPr>
        <w:widowControl w:val="0"/>
        <w:suppressAutoHyphens w:val="0"/>
        <w:spacing w:line="240" w:lineRule="auto"/>
        <w:rPr>
          <w:snapToGrid w:val="0"/>
          <w:color w:val="auto"/>
          <w:sz w:val="22"/>
          <w:szCs w:val="22"/>
          <w:lang w:eastAsia="en-US"/>
        </w:rPr>
      </w:pPr>
    </w:p>
    <w:p w14:paraId="0EE6C492" w14:textId="77777777" w:rsidR="00823785" w:rsidRPr="00452D62" w:rsidRDefault="00823785" w:rsidP="00823785">
      <w:pPr>
        <w:widowControl w:val="0"/>
        <w:suppressAutoHyphens w:val="0"/>
        <w:spacing w:line="240" w:lineRule="auto"/>
        <w:rPr>
          <w:snapToGrid w:val="0"/>
          <w:color w:val="auto"/>
          <w:sz w:val="22"/>
          <w:szCs w:val="22"/>
          <w:lang w:eastAsia="en-US"/>
        </w:rPr>
      </w:pPr>
    </w:p>
    <w:p w14:paraId="460FBF4C" w14:textId="77777777" w:rsidR="00823785" w:rsidRPr="00452D62" w:rsidRDefault="00823785" w:rsidP="00823785">
      <w:pPr>
        <w:widowControl w:val="0"/>
        <w:suppressAutoHyphens w:val="0"/>
        <w:spacing w:line="240" w:lineRule="auto"/>
        <w:rPr>
          <w:snapToGrid w:val="0"/>
          <w:color w:val="auto"/>
          <w:sz w:val="22"/>
          <w:szCs w:val="22"/>
          <w:lang w:eastAsia="en-US"/>
        </w:rPr>
      </w:pPr>
    </w:p>
    <w:p w14:paraId="652AB188" w14:textId="77777777" w:rsidR="00823785" w:rsidRPr="00452D62" w:rsidRDefault="00823785" w:rsidP="00823785">
      <w:pPr>
        <w:widowControl w:val="0"/>
        <w:suppressAutoHyphens w:val="0"/>
        <w:spacing w:line="240" w:lineRule="auto"/>
        <w:rPr>
          <w:snapToGrid w:val="0"/>
          <w:color w:val="auto"/>
          <w:sz w:val="22"/>
          <w:szCs w:val="22"/>
          <w:lang w:eastAsia="en-US"/>
        </w:rPr>
      </w:pPr>
    </w:p>
    <w:p w14:paraId="31E98FF7" w14:textId="77777777" w:rsidR="00823785" w:rsidRPr="00452D62" w:rsidRDefault="00823785" w:rsidP="00823785">
      <w:pPr>
        <w:widowControl w:val="0"/>
        <w:suppressAutoHyphens w:val="0"/>
        <w:spacing w:line="240" w:lineRule="auto"/>
        <w:rPr>
          <w:snapToGrid w:val="0"/>
          <w:color w:val="auto"/>
          <w:sz w:val="22"/>
          <w:szCs w:val="22"/>
          <w:lang w:eastAsia="en-US"/>
        </w:rPr>
      </w:pPr>
    </w:p>
    <w:p w14:paraId="6844BD3C" w14:textId="77777777" w:rsidR="00823785" w:rsidRPr="00452D62" w:rsidRDefault="00823785" w:rsidP="00823785">
      <w:pPr>
        <w:widowControl w:val="0"/>
        <w:suppressAutoHyphens w:val="0"/>
        <w:spacing w:line="240" w:lineRule="auto"/>
        <w:rPr>
          <w:snapToGrid w:val="0"/>
          <w:color w:val="auto"/>
          <w:sz w:val="22"/>
          <w:szCs w:val="22"/>
          <w:lang w:eastAsia="en-US"/>
        </w:rPr>
      </w:pPr>
    </w:p>
    <w:p w14:paraId="301CA414" w14:textId="77777777" w:rsidR="00823785" w:rsidRPr="00452D62" w:rsidRDefault="00823785" w:rsidP="00823785">
      <w:pPr>
        <w:widowControl w:val="0"/>
        <w:suppressAutoHyphens w:val="0"/>
        <w:spacing w:line="240" w:lineRule="auto"/>
        <w:rPr>
          <w:snapToGrid w:val="0"/>
          <w:color w:val="auto"/>
          <w:sz w:val="22"/>
          <w:szCs w:val="22"/>
          <w:lang w:eastAsia="en-US"/>
        </w:rPr>
      </w:pPr>
    </w:p>
    <w:p w14:paraId="55CF61B7" w14:textId="77777777" w:rsidR="00823785" w:rsidRPr="00452D62" w:rsidRDefault="00823785" w:rsidP="00823785">
      <w:pPr>
        <w:widowControl w:val="0"/>
        <w:suppressAutoHyphens w:val="0"/>
        <w:spacing w:line="240" w:lineRule="auto"/>
        <w:rPr>
          <w:snapToGrid w:val="0"/>
          <w:color w:val="auto"/>
          <w:sz w:val="22"/>
          <w:szCs w:val="22"/>
          <w:lang w:eastAsia="en-US"/>
        </w:rPr>
      </w:pPr>
    </w:p>
    <w:p w14:paraId="0FE48A24" w14:textId="77777777" w:rsidR="00823785" w:rsidRPr="00452D62" w:rsidRDefault="00823785" w:rsidP="00823785">
      <w:pPr>
        <w:widowControl w:val="0"/>
        <w:suppressAutoHyphens w:val="0"/>
        <w:spacing w:line="240" w:lineRule="auto"/>
        <w:rPr>
          <w:snapToGrid w:val="0"/>
          <w:color w:val="auto"/>
          <w:sz w:val="22"/>
          <w:szCs w:val="22"/>
          <w:lang w:eastAsia="en-US"/>
        </w:rPr>
      </w:pPr>
    </w:p>
    <w:p w14:paraId="4D9446B1" w14:textId="77777777" w:rsidR="00823785" w:rsidRPr="00452D62" w:rsidRDefault="00823785" w:rsidP="00823785">
      <w:pPr>
        <w:widowControl w:val="0"/>
        <w:suppressAutoHyphens w:val="0"/>
        <w:spacing w:line="240" w:lineRule="auto"/>
        <w:rPr>
          <w:snapToGrid w:val="0"/>
          <w:color w:val="auto"/>
          <w:sz w:val="22"/>
          <w:szCs w:val="22"/>
          <w:lang w:eastAsia="en-US"/>
        </w:rPr>
      </w:pPr>
    </w:p>
    <w:p w14:paraId="4C68D64E" w14:textId="77777777" w:rsidR="00823785" w:rsidRPr="00452D62" w:rsidRDefault="00823785" w:rsidP="00823785">
      <w:pPr>
        <w:widowControl w:val="0"/>
        <w:suppressAutoHyphens w:val="0"/>
        <w:spacing w:line="240" w:lineRule="auto"/>
        <w:jc w:val="center"/>
        <w:rPr>
          <w:b/>
          <w:snapToGrid w:val="0"/>
          <w:color w:val="auto"/>
          <w:sz w:val="22"/>
          <w:szCs w:val="22"/>
          <w:lang w:eastAsia="en-US"/>
        </w:rPr>
      </w:pPr>
    </w:p>
    <w:p w14:paraId="6CF25EA7" w14:textId="77777777" w:rsidR="00823785" w:rsidRPr="00452D62" w:rsidRDefault="00823785" w:rsidP="00823785">
      <w:pPr>
        <w:widowControl w:val="0"/>
        <w:suppressAutoHyphens w:val="0"/>
        <w:spacing w:line="240" w:lineRule="auto"/>
        <w:jc w:val="center"/>
        <w:rPr>
          <w:b/>
          <w:snapToGrid w:val="0"/>
          <w:color w:val="auto"/>
          <w:sz w:val="22"/>
          <w:szCs w:val="22"/>
          <w:lang w:eastAsia="en-US"/>
        </w:rPr>
      </w:pPr>
    </w:p>
    <w:p w14:paraId="29261139" w14:textId="77777777" w:rsidR="00823785" w:rsidRPr="00452D62" w:rsidRDefault="00823785" w:rsidP="00823785">
      <w:pPr>
        <w:widowControl w:val="0"/>
        <w:suppressAutoHyphens w:val="0"/>
        <w:spacing w:line="240" w:lineRule="auto"/>
        <w:jc w:val="center"/>
        <w:rPr>
          <w:b/>
          <w:snapToGrid w:val="0"/>
          <w:color w:val="auto"/>
          <w:sz w:val="22"/>
          <w:szCs w:val="22"/>
          <w:lang w:eastAsia="en-US"/>
        </w:rPr>
      </w:pPr>
    </w:p>
    <w:p w14:paraId="346F888E" w14:textId="77777777" w:rsidR="00823785" w:rsidRPr="00452D62" w:rsidRDefault="00823785" w:rsidP="00823785">
      <w:pPr>
        <w:widowControl w:val="0"/>
        <w:suppressAutoHyphens w:val="0"/>
        <w:spacing w:line="240" w:lineRule="auto"/>
        <w:jc w:val="center"/>
        <w:rPr>
          <w:b/>
          <w:snapToGrid w:val="0"/>
          <w:color w:val="auto"/>
          <w:sz w:val="22"/>
          <w:szCs w:val="22"/>
          <w:lang w:eastAsia="en-US"/>
        </w:rPr>
      </w:pPr>
    </w:p>
    <w:p w14:paraId="35D6890D" w14:textId="77777777" w:rsidR="00823785" w:rsidRPr="00452D62" w:rsidRDefault="00823785" w:rsidP="00823785">
      <w:pPr>
        <w:widowControl w:val="0"/>
        <w:suppressAutoHyphens w:val="0"/>
        <w:spacing w:line="240" w:lineRule="auto"/>
        <w:jc w:val="center"/>
        <w:rPr>
          <w:b/>
          <w:snapToGrid w:val="0"/>
          <w:color w:val="auto"/>
          <w:sz w:val="22"/>
          <w:szCs w:val="22"/>
          <w:lang w:eastAsia="en-US"/>
        </w:rPr>
      </w:pPr>
    </w:p>
    <w:p w14:paraId="02548CEC" w14:textId="77777777" w:rsidR="00823785" w:rsidRPr="00452D62" w:rsidRDefault="00823785" w:rsidP="00823785">
      <w:pPr>
        <w:widowControl w:val="0"/>
        <w:suppressAutoHyphens w:val="0"/>
        <w:spacing w:line="240" w:lineRule="auto"/>
        <w:jc w:val="center"/>
        <w:rPr>
          <w:b/>
          <w:snapToGrid w:val="0"/>
          <w:color w:val="auto"/>
          <w:sz w:val="22"/>
          <w:szCs w:val="22"/>
          <w:lang w:eastAsia="en-US"/>
        </w:rPr>
      </w:pPr>
    </w:p>
    <w:p w14:paraId="00AEDB02" w14:textId="77777777" w:rsidR="00823785" w:rsidRPr="00452D62" w:rsidRDefault="00823785" w:rsidP="00823785">
      <w:pPr>
        <w:widowControl w:val="0"/>
        <w:suppressAutoHyphens w:val="0"/>
        <w:spacing w:line="240" w:lineRule="auto"/>
        <w:jc w:val="center"/>
        <w:rPr>
          <w:b/>
          <w:snapToGrid w:val="0"/>
          <w:color w:val="auto"/>
          <w:sz w:val="22"/>
          <w:szCs w:val="22"/>
          <w:lang w:eastAsia="en-US"/>
        </w:rPr>
      </w:pPr>
    </w:p>
    <w:p w14:paraId="4F1481B8" w14:textId="77777777" w:rsidR="00823785" w:rsidRPr="00452D62" w:rsidRDefault="00823785" w:rsidP="00823785">
      <w:pPr>
        <w:widowControl w:val="0"/>
        <w:suppressAutoHyphens w:val="0"/>
        <w:spacing w:line="240" w:lineRule="auto"/>
        <w:jc w:val="center"/>
        <w:rPr>
          <w:b/>
          <w:snapToGrid w:val="0"/>
          <w:color w:val="auto"/>
          <w:sz w:val="22"/>
          <w:szCs w:val="22"/>
          <w:lang w:eastAsia="en-US"/>
        </w:rPr>
      </w:pPr>
    </w:p>
    <w:p w14:paraId="60C13DD6" w14:textId="77777777" w:rsidR="00823785" w:rsidRPr="00452D62" w:rsidRDefault="00823785" w:rsidP="00823785">
      <w:pPr>
        <w:widowControl w:val="0"/>
        <w:suppressAutoHyphens w:val="0"/>
        <w:spacing w:line="240" w:lineRule="auto"/>
        <w:jc w:val="center"/>
        <w:rPr>
          <w:b/>
          <w:snapToGrid w:val="0"/>
          <w:color w:val="auto"/>
          <w:sz w:val="22"/>
          <w:szCs w:val="22"/>
          <w:lang w:eastAsia="en-US"/>
        </w:rPr>
      </w:pPr>
    </w:p>
    <w:p w14:paraId="706E2B35" w14:textId="77777777" w:rsidR="00823785" w:rsidRPr="00452D62" w:rsidRDefault="00823785" w:rsidP="00823785">
      <w:pPr>
        <w:widowControl w:val="0"/>
        <w:suppressAutoHyphens w:val="0"/>
        <w:spacing w:line="240" w:lineRule="auto"/>
        <w:jc w:val="center"/>
        <w:rPr>
          <w:b/>
          <w:snapToGrid w:val="0"/>
          <w:color w:val="auto"/>
          <w:sz w:val="22"/>
          <w:szCs w:val="22"/>
          <w:lang w:eastAsia="en-US"/>
        </w:rPr>
      </w:pPr>
    </w:p>
    <w:p w14:paraId="4D7C82BE" w14:textId="77777777" w:rsidR="00823785" w:rsidRPr="00452D62" w:rsidRDefault="00823785" w:rsidP="00823785">
      <w:pPr>
        <w:widowControl w:val="0"/>
        <w:suppressAutoHyphens w:val="0"/>
        <w:spacing w:line="240" w:lineRule="auto"/>
        <w:jc w:val="center"/>
        <w:rPr>
          <w:b/>
          <w:snapToGrid w:val="0"/>
          <w:color w:val="auto"/>
          <w:sz w:val="22"/>
          <w:szCs w:val="22"/>
          <w:lang w:eastAsia="en-US"/>
        </w:rPr>
      </w:pPr>
      <w:r w:rsidRPr="00452D62">
        <w:rPr>
          <w:b/>
          <w:snapToGrid w:val="0"/>
          <w:color w:val="auto"/>
          <w:sz w:val="22"/>
          <w:szCs w:val="22"/>
          <w:lang w:eastAsia="en-US"/>
        </w:rPr>
        <w:t>II PRIEDAS</w:t>
      </w:r>
    </w:p>
    <w:p w14:paraId="3CB0A1D8" w14:textId="77777777" w:rsidR="00823785" w:rsidRPr="00452D62" w:rsidRDefault="00823785" w:rsidP="00823785">
      <w:pPr>
        <w:widowControl w:val="0"/>
        <w:suppressAutoHyphens w:val="0"/>
        <w:spacing w:line="240" w:lineRule="auto"/>
        <w:ind w:left="1701" w:hanging="567"/>
        <w:rPr>
          <w:snapToGrid w:val="0"/>
          <w:color w:val="auto"/>
          <w:sz w:val="22"/>
          <w:szCs w:val="22"/>
          <w:lang w:eastAsia="en-US"/>
        </w:rPr>
      </w:pPr>
    </w:p>
    <w:p w14:paraId="5F3DA7BF" w14:textId="77777777" w:rsidR="00823785" w:rsidRPr="00452D62" w:rsidRDefault="00823785" w:rsidP="00823785">
      <w:pPr>
        <w:widowControl w:val="0"/>
        <w:suppressAutoHyphens w:val="0"/>
        <w:spacing w:line="240" w:lineRule="auto"/>
        <w:jc w:val="center"/>
        <w:rPr>
          <w:i/>
          <w:snapToGrid w:val="0"/>
          <w:color w:val="auto"/>
          <w:sz w:val="22"/>
          <w:szCs w:val="22"/>
          <w:lang w:eastAsia="en-US"/>
        </w:rPr>
      </w:pPr>
      <w:r w:rsidRPr="00452D62">
        <w:rPr>
          <w:b/>
          <w:snapToGrid w:val="0"/>
          <w:color w:val="auto"/>
          <w:sz w:val="22"/>
          <w:szCs w:val="22"/>
          <w:lang w:eastAsia="en-US"/>
        </w:rPr>
        <w:t>REGISTRACIJOS SĄLYGOS</w:t>
      </w:r>
    </w:p>
    <w:p w14:paraId="5B5920C7" w14:textId="77777777" w:rsidR="00823785" w:rsidRPr="00452D62" w:rsidRDefault="00823785" w:rsidP="00823785">
      <w:pPr>
        <w:widowControl w:val="0"/>
        <w:suppressAutoHyphens w:val="0"/>
        <w:spacing w:line="240" w:lineRule="auto"/>
        <w:rPr>
          <w:snapToGrid w:val="0"/>
          <w:color w:val="auto"/>
          <w:sz w:val="22"/>
          <w:szCs w:val="22"/>
          <w:lang w:eastAsia="en-US"/>
        </w:rPr>
      </w:pPr>
    </w:p>
    <w:p w14:paraId="054B5CB2" w14:textId="77777777" w:rsidR="00823785" w:rsidRPr="00452D62" w:rsidRDefault="00823785" w:rsidP="00823785">
      <w:pPr>
        <w:widowControl w:val="0"/>
        <w:tabs>
          <w:tab w:val="clear" w:pos="567"/>
          <w:tab w:val="left" w:pos="1701"/>
        </w:tabs>
        <w:suppressAutoHyphens w:val="0"/>
        <w:spacing w:line="240" w:lineRule="auto"/>
        <w:ind w:left="1701" w:hanging="567"/>
        <w:rPr>
          <w:b/>
          <w:snapToGrid w:val="0"/>
          <w:color w:val="auto"/>
          <w:sz w:val="22"/>
          <w:szCs w:val="22"/>
          <w:lang w:eastAsia="en-US"/>
        </w:rPr>
      </w:pPr>
      <w:r w:rsidRPr="00452D62">
        <w:rPr>
          <w:b/>
          <w:snapToGrid w:val="0"/>
          <w:color w:val="auto"/>
          <w:sz w:val="22"/>
          <w:szCs w:val="22"/>
          <w:lang w:eastAsia="en-US"/>
        </w:rPr>
        <w:t>A.</w:t>
      </w:r>
      <w:r w:rsidRPr="00452D62">
        <w:rPr>
          <w:b/>
          <w:snapToGrid w:val="0"/>
          <w:color w:val="auto"/>
          <w:sz w:val="22"/>
          <w:szCs w:val="22"/>
          <w:lang w:eastAsia="en-US"/>
        </w:rPr>
        <w:tab/>
        <w:t>GAMINTOJAS (-AI), ATSAKINGAS (-I) UŽ SERIJŲ IŠLEIDIMĄ</w:t>
      </w:r>
    </w:p>
    <w:p w14:paraId="372FC971" w14:textId="77777777" w:rsidR="00823785" w:rsidRPr="00452D62" w:rsidRDefault="00823785" w:rsidP="00823785">
      <w:pPr>
        <w:widowControl w:val="0"/>
        <w:tabs>
          <w:tab w:val="clear" w:pos="567"/>
          <w:tab w:val="left" w:pos="1701"/>
        </w:tabs>
        <w:suppressAutoHyphens w:val="0"/>
        <w:spacing w:line="240" w:lineRule="auto"/>
        <w:ind w:left="567" w:hanging="567"/>
        <w:rPr>
          <w:snapToGrid w:val="0"/>
          <w:color w:val="auto"/>
          <w:sz w:val="22"/>
          <w:szCs w:val="22"/>
          <w:lang w:eastAsia="en-US"/>
        </w:rPr>
      </w:pPr>
    </w:p>
    <w:p w14:paraId="3F4FD768" w14:textId="77777777" w:rsidR="00823785" w:rsidRPr="00452D62" w:rsidRDefault="00823785" w:rsidP="00823785">
      <w:pPr>
        <w:widowControl w:val="0"/>
        <w:tabs>
          <w:tab w:val="clear" w:pos="567"/>
          <w:tab w:val="left" w:pos="1701"/>
        </w:tabs>
        <w:suppressAutoHyphens w:val="0"/>
        <w:spacing w:line="240" w:lineRule="auto"/>
        <w:ind w:left="1701" w:hanging="567"/>
        <w:rPr>
          <w:b/>
          <w:snapToGrid w:val="0"/>
          <w:color w:val="auto"/>
          <w:sz w:val="22"/>
          <w:szCs w:val="22"/>
          <w:lang w:eastAsia="en-US"/>
        </w:rPr>
      </w:pPr>
      <w:r w:rsidRPr="00452D62">
        <w:rPr>
          <w:b/>
          <w:snapToGrid w:val="0"/>
          <w:color w:val="auto"/>
          <w:sz w:val="22"/>
          <w:szCs w:val="22"/>
          <w:lang w:eastAsia="en-US"/>
        </w:rPr>
        <w:t>B.</w:t>
      </w:r>
      <w:r w:rsidRPr="00452D62">
        <w:rPr>
          <w:b/>
          <w:snapToGrid w:val="0"/>
          <w:color w:val="auto"/>
          <w:sz w:val="22"/>
          <w:szCs w:val="22"/>
          <w:lang w:eastAsia="en-US"/>
        </w:rPr>
        <w:tab/>
        <w:t>TIEKIMO IR VARTOJIMO SĄLYGOS AR APRIBOJIMAI</w:t>
      </w:r>
    </w:p>
    <w:p w14:paraId="75078513" w14:textId="77777777" w:rsidR="00823785" w:rsidRPr="00452D62" w:rsidRDefault="00823785" w:rsidP="00823785">
      <w:pPr>
        <w:widowControl w:val="0"/>
        <w:tabs>
          <w:tab w:val="clear" w:pos="567"/>
          <w:tab w:val="left" w:pos="1701"/>
        </w:tabs>
        <w:suppressAutoHyphens w:val="0"/>
        <w:spacing w:line="240" w:lineRule="auto"/>
        <w:ind w:left="1701" w:hanging="567"/>
        <w:rPr>
          <w:b/>
          <w:snapToGrid w:val="0"/>
          <w:color w:val="auto"/>
          <w:sz w:val="22"/>
          <w:szCs w:val="22"/>
          <w:lang w:eastAsia="en-US"/>
        </w:rPr>
      </w:pPr>
    </w:p>
    <w:p w14:paraId="3C891101" w14:textId="77777777" w:rsidR="00823785" w:rsidRPr="00452D62" w:rsidRDefault="00823785" w:rsidP="00823785">
      <w:pPr>
        <w:tabs>
          <w:tab w:val="clear" w:pos="567"/>
          <w:tab w:val="left" w:pos="1701"/>
        </w:tabs>
        <w:ind w:left="1701" w:right="567" w:hanging="567"/>
        <w:rPr>
          <w:b/>
          <w:sz w:val="22"/>
          <w:szCs w:val="22"/>
        </w:rPr>
      </w:pPr>
      <w:r w:rsidRPr="00452D62">
        <w:rPr>
          <w:b/>
          <w:sz w:val="22"/>
          <w:szCs w:val="22"/>
        </w:rPr>
        <w:t>C.</w:t>
      </w:r>
      <w:r w:rsidRPr="00452D62">
        <w:rPr>
          <w:b/>
          <w:sz w:val="22"/>
          <w:szCs w:val="22"/>
        </w:rPr>
        <w:tab/>
        <w:t xml:space="preserve">KITOS SĄLYGOS IR REIKALAVIMAI REGISTRUOTOJUI </w:t>
      </w:r>
    </w:p>
    <w:p w14:paraId="715E2ACD" w14:textId="77777777" w:rsidR="00823785" w:rsidRPr="00452D62" w:rsidRDefault="00823785" w:rsidP="00823785">
      <w:pPr>
        <w:tabs>
          <w:tab w:val="clear" w:pos="567"/>
          <w:tab w:val="left" w:pos="1701"/>
        </w:tabs>
        <w:ind w:left="1701" w:right="567" w:hanging="567"/>
        <w:rPr>
          <w:b/>
          <w:sz w:val="22"/>
          <w:szCs w:val="22"/>
        </w:rPr>
      </w:pPr>
    </w:p>
    <w:p w14:paraId="449CF9B3" w14:textId="77777777" w:rsidR="00823785" w:rsidRPr="00452D62" w:rsidRDefault="00823785" w:rsidP="00823785">
      <w:pPr>
        <w:tabs>
          <w:tab w:val="clear" w:pos="567"/>
          <w:tab w:val="left" w:pos="1701"/>
        </w:tabs>
        <w:ind w:left="1701" w:right="567" w:hanging="567"/>
        <w:rPr>
          <w:b/>
          <w:sz w:val="22"/>
          <w:szCs w:val="22"/>
        </w:rPr>
      </w:pPr>
      <w:r w:rsidRPr="00452D62">
        <w:rPr>
          <w:b/>
          <w:sz w:val="22"/>
          <w:szCs w:val="22"/>
        </w:rPr>
        <w:t>D.</w:t>
      </w:r>
      <w:r w:rsidRPr="00452D62">
        <w:rPr>
          <w:b/>
          <w:sz w:val="22"/>
          <w:szCs w:val="22"/>
        </w:rPr>
        <w:tab/>
      </w:r>
      <w:r w:rsidRPr="00452D62">
        <w:rPr>
          <w:b/>
          <w:caps/>
          <w:noProof/>
          <w:sz w:val="22"/>
          <w:szCs w:val="22"/>
        </w:rPr>
        <w:t>SĄLYGOS AR APRIBOJIMAI SAUGIAM IR VEIKSMINGAM VAISTINIO PREPARATO VARTOJIMUI UŽTIKRINTI</w:t>
      </w:r>
    </w:p>
    <w:p w14:paraId="5524325A" w14:textId="77777777" w:rsidR="00823785" w:rsidRPr="00452D62" w:rsidRDefault="00823785" w:rsidP="00823785">
      <w:pPr>
        <w:widowControl w:val="0"/>
        <w:tabs>
          <w:tab w:val="clear" w:pos="567"/>
          <w:tab w:val="left" w:pos="1701"/>
        </w:tabs>
        <w:suppressAutoHyphens w:val="0"/>
        <w:spacing w:line="240" w:lineRule="auto"/>
        <w:ind w:left="1701" w:hanging="567"/>
        <w:rPr>
          <w:b/>
          <w:snapToGrid w:val="0"/>
          <w:color w:val="auto"/>
          <w:sz w:val="22"/>
          <w:szCs w:val="22"/>
          <w:lang w:eastAsia="en-US"/>
        </w:rPr>
      </w:pPr>
    </w:p>
    <w:p w14:paraId="68AC76DE" w14:textId="77777777" w:rsidR="00823785" w:rsidRPr="00452D62" w:rsidRDefault="00823785" w:rsidP="00823785">
      <w:pPr>
        <w:widowControl w:val="0"/>
        <w:suppressAutoHyphens w:val="0"/>
        <w:spacing w:line="240" w:lineRule="auto"/>
        <w:rPr>
          <w:snapToGrid w:val="0"/>
          <w:color w:val="auto"/>
          <w:sz w:val="22"/>
          <w:szCs w:val="22"/>
          <w:lang w:eastAsia="en-US"/>
        </w:rPr>
      </w:pPr>
    </w:p>
    <w:p w14:paraId="3B590A20" w14:textId="77777777" w:rsidR="00823785" w:rsidRPr="00452D62" w:rsidRDefault="00823785" w:rsidP="00823785">
      <w:pPr>
        <w:widowControl w:val="0"/>
        <w:suppressAutoHyphens w:val="0"/>
        <w:spacing w:line="240" w:lineRule="auto"/>
        <w:ind w:left="567" w:hanging="567"/>
        <w:rPr>
          <w:b/>
          <w:snapToGrid w:val="0"/>
          <w:color w:val="auto"/>
          <w:sz w:val="22"/>
          <w:szCs w:val="22"/>
          <w:lang w:eastAsia="en-US"/>
        </w:rPr>
      </w:pPr>
      <w:r w:rsidRPr="00452D62">
        <w:rPr>
          <w:snapToGrid w:val="0"/>
          <w:color w:val="auto"/>
          <w:sz w:val="22"/>
          <w:szCs w:val="22"/>
          <w:lang w:eastAsia="en-US"/>
        </w:rPr>
        <w:br w:type="page"/>
      </w:r>
      <w:r w:rsidRPr="00452D62">
        <w:rPr>
          <w:b/>
          <w:snapToGrid w:val="0"/>
          <w:color w:val="auto"/>
          <w:sz w:val="22"/>
          <w:szCs w:val="22"/>
          <w:lang w:eastAsia="en-US"/>
        </w:rPr>
        <w:t>A.</w:t>
      </w:r>
      <w:r w:rsidRPr="00452D62">
        <w:rPr>
          <w:b/>
          <w:snapToGrid w:val="0"/>
          <w:color w:val="auto"/>
          <w:sz w:val="22"/>
          <w:szCs w:val="22"/>
          <w:lang w:eastAsia="en-US"/>
        </w:rPr>
        <w:tab/>
        <w:t>GAMINTOJAS (-AI), ATSAKINGAS (-I) UŽ SERIJŲ IŠLEIDIMĄ</w:t>
      </w:r>
    </w:p>
    <w:p w14:paraId="61E6418B" w14:textId="77777777" w:rsidR="00823785" w:rsidRPr="00452D62" w:rsidRDefault="00823785" w:rsidP="00823785">
      <w:pPr>
        <w:widowControl w:val="0"/>
        <w:suppressAutoHyphens w:val="0"/>
        <w:spacing w:line="240" w:lineRule="auto"/>
        <w:rPr>
          <w:snapToGrid w:val="0"/>
          <w:color w:val="auto"/>
          <w:sz w:val="22"/>
          <w:szCs w:val="22"/>
          <w:lang w:eastAsia="en-US"/>
        </w:rPr>
      </w:pPr>
    </w:p>
    <w:p w14:paraId="596D5C1E" w14:textId="77777777" w:rsidR="00823785" w:rsidRPr="00452D62" w:rsidRDefault="00823785" w:rsidP="00823785">
      <w:pPr>
        <w:widowControl w:val="0"/>
        <w:suppressAutoHyphens w:val="0"/>
        <w:spacing w:line="240" w:lineRule="auto"/>
        <w:jc w:val="both"/>
        <w:rPr>
          <w:snapToGrid w:val="0"/>
          <w:color w:val="auto"/>
          <w:sz w:val="22"/>
          <w:szCs w:val="22"/>
          <w:lang w:eastAsia="en-US"/>
        </w:rPr>
      </w:pPr>
      <w:r w:rsidRPr="00452D62">
        <w:rPr>
          <w:snapToGrid w:val="0"/>
          <w:color w:val="auto"/>
          <w:sz w:val="22"/>
          <w:szCs w:val="22"/>
          <w:u w:val="single"/>
          <w:lang w:eastAsia="en-US"/>
        </w:rPr>
        <w:t>Gamintojo (-ų), atsakingo (-ų) už serijų išleidimą, pavadinimas (-ai) ir adresas (-ai)</w:t>
      </w:r>
    </w:p>
    <w:p w14:paraId="5373D6F2" w14:textId="77777777" w:rsidR="00823785" w:rsidRPr="00452D62" w:rsidRDefault="00823785" w:rsidP="00823785">
      <w:pPr>
        <w:widowControl w:val="0"/>
        <w:suppressAutoHyphens w:val="0"/>
        <w:spacing w:line="240" w:lineRule="auto"/>
        <w:rPr>
          <w:snapToGrid w:val="0"/>
          <w:color w:val="auto"/>
          <w:sz w:val="22"/>
          <w:szCs w:val="22"/>
          <w:lang w:eastAsia="en-US"/>
        </w:rPr>
      </w:pPr>
    </w:p>
    <w:p w14:paraId="1E09D8E9" w14:textId="77777777" w:rsidR="00823785" w:rsidRPr="00452D62" w:rsidRDefault="00823785" w:rsidP="00823785">
      <w:pPr>
        <w:widowControl w:val="0"/>
        <w:suppressAutoHyphens w:val="0"/>
        <w:spacing w:line="240" w:lineRule="auto"/>
        <w:jc w:val="both"/>
        <w:rPr>
          <w:snapToGrid w:val="0"/>
          <w:color w:val="auto"/>
          <w:sz w:val="22"/>
          <w:szCs w:val="22"/>
          <w:lang w:eastAsia="en-US"/>
        </w:rPr>
      </w:pPr>
      <w:r w:rsidRPr="00452D62">
        <w:rPr>
          <w:snapToGrid w:val="0"/>
          <w:color w:val="auto"/>
          <w:sz w:val="22"/>
          <w:szCs w:val="22"/>
          <w:lang w:eastAsia="en-US"/>
        </w:rPr>
        <w:t>KRKA, d.d., Novo mesto</w:t>
      </w:r>
    </w:p>
    <w:p w14:paraId="7AD311B2" w14:textId="77777777" w:rsidR="00823785" w:rsidRPr="00452D62" w:rsidRDefault="00823785" w:rsidP="00823785">
      <w:pPr>
        <w:widowControl w:val="0"/>
        <w:suppressAutoHyphens w:val="0"/>
        <w:spacing w:line="240" w:lineRule="auto"/>
        <w:jc w:val="both"/>
        <w:rPr>
          <w:snapToGrid w:val="0"/>
          <w:color w:val="auto"/>
          <w:sz w:val="22"/>
          <w:szCs w:val="22"/>
          <w:lang w:eastAsia="en-US"/>
        </w:rPr>
      </w:pPr>
      <w:r w:rsidRPr="00452D62">
        <w:rPr>
          <w:snapToGrid w:val="0"/>
          <w:color w:val="auto"/>
          <w:sz w:val="22"/>
          <w:szCs w:val="22"/>
          <w:lang w:eastAsia="en-US"/>
        </w:rPr>
        <w:t>Šmarješka cesta 6</w:t>
      </w:r>
    </w:p>
    <w:p w14:paraId="0E5ADC91" w14:textId="77777777" w:rsidR="00823785" w:rsidRPr="00452D62" w:rsidRDefault="00823785" w:rsidP="00823785">
      <w:pPr>
        <w:widowControl w:val="0"/>
        <w:suppressAutoHyphens w:val="0"/>
        <w:spacing w:line="240" w:lineRule="auto"/>
        <w:jc w:val="both"/>
        <w:rPr>
          <w:snapToGrid w:val="0"/>
          <w:color w:val="auto"/>
          <w:sz w:val="22"/>
          <w:szCs w:val="22"/>
          <w:lang w:eastAsia="en-US"/>
        </w:rPr>
      </w:pPr>
      <w:r w:rsidRPr="00452D62">
        <w:rPr>
          <w:snapToGrid w:val="0"/>
          <w:color w:val="auto"/>
          <w:sz w:val="22"/>
          <w:szCs w:val="22"/>
          <w:lang w:eastAsia="en-US"/>
        </w:rPr>
        <w:t>8501 Novo mesto</w:t>
      </w:r>
    </w:p>
    <w:p w14:paraId="4ECC66BD" w14:textId="77777777" w:rsidR="00823785" w:rsidRPr="00452D62" w:rsidRDefault="00823785" w:rsidP="00823785">
      <w:pPr>
        <w:widowControl w:val="0"/>
        <w:suppressAutoHyphens w:val="0"/>
        <w:spacing w:line="240" w:lineRule="auto"/>
        <w:jc w:val="both"/>
        <w:rPr>
          <w:snapToGrid w:val="0"/>
          <w:color w:val="auto"/>
          <w:sz w:val="22"/>
          <w:szCs w:val="22"/>
          <w:lang w:eastAsia="en-US"/>
        </w:rPr>
      </w:pPr>
      <w:r w:rsidRPr="00452D62">
        <w:rPr>
          <w:snapToGrid w:val="0"/>
          <w:color w:val="auto"/>
          <w:sz w:val="22"/>
          <w:szCs w:val="22"/>
          <w:lang w:eastAsia="en-US"/>
        </w:rPr>
        <w:t>Slovėnija</w:t>
      </w:r>
    </w:p>
    <w:p w14:paraId="128E461E" w14:textId="77777777" w:rsidR="00823785" w:rsidRPr="00452D62" w:rsidRDefault="00823785" w:rsidP="00823785">
      <w:pPr>
        <w:widowControl w:val="0"/>
        <w:suppressAutoHyphens w:val="0"/>
        <w:spacing w:line="240" w:lineRule="auto"/>
        <w:jc w:val="both"/>
        <w:rPr>
          <w:snapToGrid w:val="0"/>
          <w:color w:val="auto"/>
          <w:sz w:val="22"/>
          <w:szCs w:val="22"/>
          <w:lang w:eastAsia="en-US"/>
        </w:rPr>
      </w:pPr>
    </w:p>
    <w:p w14:paraId="77249E20" w14:textId="77777777" w:rsidR="00823785" w:rsidRPr="00452D62" w:rsidRDefault="00823785" w:rsidP="00823785">
      <w:pPr>
        <w:widowControl w:val="0"/>
        <w:suppressAutoHyphens w:val="0"/>
        <w:spacing w:line="240" w:lineRule="auto"/>
        <w:jc w:val="both"/>
        <w:rPr>
          <w:snapToGrid w:val="0"/>
          <w:color w:val="auto"/>
          <w:sz w:val="22"/>
          <w:szCs w:val="22"/>
          <w:lang w:eastAsia="en-US"/>
        </w:rPr>
      </w:pPr>
      <w:r w:rsidRPr="00452D62">
        <w:rPr>
          <w:snapToGrid w:val="0"/>
          <w:color w:val="auto"/>
          <w:sz w:val="22"/>
          <w:szCs w:val="22"/>
          <w:lang w:eastAsia="en-US"/>
        </w:rPr>
        <w:t>arba</w:t>
      </w:r>
    </w:p>
    <w:p w14:paraId="52D3186D" w14:textId="77777777" w:rsidR="00823785" w:rsidRPr="00452D62" w:rsidRDefault="00823785" w:rsidP="00823785">
      <w:pPr>
        <w:widowControl w:val="0"/>
        <w:suppressAutoHyphens w:val="0"/>
        <w:spacing w:line="240" w:lineRule="auto"/>
        <w:jc w:val="both"/>
        <w:rPr>
          <w:snapToGrid w:val="0"/>
          <w:color w:val="auto"/>
          <w:sz w:val="22"/>
          <w:szCs w:val="22"/>
          <w:lang w:eastAsia="en-US"/>
        </w:rPr>
      </w:pPr>
    </w:p>
    <w:p w14:paraId="075CEF88" w14:textId="77777777" w:rsidR="00823785" w:rsidRPr="00AE1B80" w:rsidRDefault="00823785" w:rsidP="00823785">
      <w:pPr>
        <w:widowControl w:val="0"/>
        <w:suppressAutoHyphens w:val="0"/>
        <w:spacing w:line="240" w:lineRule="auto"/>
        <w:rPr>
          <w:rFonts w:eastAsia="Calibri"/>
          <w:sz w:val="22"/>
          <w:lang w:val="pt-PT"/>
        </w:rPr>
      </w:pPr>
      <w:r w:rsidRPr="00AE1B80">
        <w:rPr>
          <w:rFonts w:eastAsia="Calibri"/>
          <w:sz w:val="22"/>
          <w:lang w:val="pt-PT"/>
        </w:rPr>
        <w:t>TAD Pharma GmbH</w:t>
      </w:r>
    </w:p>
    <w:p w14:paraId="135DF765" w14:textId="77777777" w:rsidR="00823785" w:rsidRPr="00AE1B80" w:rsidRDefault="00823785" w:rsidP="00823785">
      <w:pPr>
        <w:widowControl w:val="0"/>
        <w:suppressAutoHyphens w:val="0"/>
        <w:spacing w:line="240" w:lineRule="auto"/>
        <w:rPr>
          <w:rFonts w:eastAsia="Calibri"/>
          <w:sz w:val="22"/>
          <w:lang w:val="pt-PT"/>
        </w:rPr>
      </w:pPr>
      <w:r w:rsidRPr="00AE1B80">
        <w:rPr>
          <w:rFonts w:eastAsia="Calibri"/>
          <w:sz w:val="22"/>
          <w:lang w:val="pt-PT"/>
        </w:rPr>
        <w:t>Heinz-Lohmann - Stra</w:t>
      </w:r>
      <w:r w:rsidRPr="00452D62">
        <w:rPr>
          <w:rFonts w:eastAsia="Calibri"/>
          <w:sz w:val="22"/>
          <w:szCs w:val="22"/>
          <w:lang w:val="en-GB" w:eastAsia="en-US"/>
        </w:rPr>
        <w:t>β</w:t>
      </w:r>
      <w:r w:rsidRPr="00AE1B80">
        <w:rPr>
          <w:rFonts w:eastAsia="Calibri"/>
          <w:sz w:val="22"/>
          <w:lang w:val="pt-PT"/>
        </w:rPr>
        <w:t>e 5</w:t>
      </w:r>
    </w:p>
    <w:p w14:paraId="16E8A001" w14:textId="77777777" w:rsidR="00823785" w:rsidRPr="00AE1B80" w:rsidRDefault="00823785" w:rsidP="00823785">
      <w:pPr>
        <w:widowControl w:val="0"/>
        <w:suppressAutoHyphens w:val="0"/>
        <w:spacing w:line="240" w:lineRule="auto"/>
        <w:rPr>
          <w:rFonts w:eastAsia="Calibri"/>
          <w:sz w:val="22"/>
          <w:lang w:val="pt-PT"/>
        </w:rPr>
      </w:pPr>
      <w:r w:rsidRPr="00AE1B80">
        <w:rPr>
          <w:rFonts w:eastAsia="Calibri"/>
          <w:sz w:val="22"/>
          <w:lang w:val="pt-PT"/>
        </w:rPr>
        <w:t>27472 Cuxhaven</w:t>
      </w:r>
    </w:p>
    <w:p w14:paraId="754F16AF" w14:textId="77777777" w:rsidR="00823785" w:rsidRPr="00AE1B80" w:rsidRDefault="00823785" w:rsidP="00823785">
      <w:pPr>
        <w:widowControl w:val="0"/>
        <w:suppressAutoHyphens w:val="0"/>
        <w:spacing w:line="240" w:lineRule="auto"/>
        <w:rPr>
          <w:rFonts w:eastAsia="Calibri"/>
          <w:sz w:val="22"/>
          <w:lang w:val="pt-PT"/>
        </w:rPr>
      </w:pPr>
      <w:r w:rsidRPr="00AE1B80">
        <w:rPr>
          <w:rFonts w:eastAsia="Calibri"/>
          <w:sz w:val="22"/>
          <w:lang w:val="pt-PT"/>
        </w:rPr>
        <w:t>Vokietija</w:t>
      </w:r>
    </w:p>
    <w:p w14:paraId="76262CFC" w14:textId="77777777" w:rsidR="00823785" w:rsidRPr="00452D62" w:rsidRDefault="00823785" w:rsidP="00823785">
      <w:pPr>
        <w:widowControl w:val="0"/>
        <w:suppressAutoHyphens w:val="0"/>
        <w:spacing w:line="240" w:lineRule="auto"/>
        <w:rPr>
          <w:snapToGrid w:val="0"/>
          <w:color w:val="auto"/>
          <w:sz w:val="22"/>
          <w:szCs w:val="22"/>
          <w:lang w:eastAsia="en-US"/>
        </w:rPr>
      </w:pPr>
    </w:p>
    <w:p w14:paraId="3198B1AA" w14:textId="77777777" w:rsidR="00823785" w:rsidRPr="00452D62" w:rsidRDefault="00823785" w:rsidP="00823785">
      <w:pPr>
        <w:widowControl w:val="0"/>
        <w:suppressAutoHyphens w:val="0"/>
        <w:spacing w:line="240" w:lineRule="auto"/>
        <w:rPr>
          <w:snapToGrid w:val="0"/>
          <w:color w:val="auto"/>
          <w:sz w:val="22"/>
          <w:szCs w:val="22"/>
          <w:lang w:eastAsia="en-US"/>
        </w:rPr>
      </w:pPr>
      <w:r w:rsidRPr="00452D62">
        <w:rPr>
          <w:snapToGrid w:val="0"/>
          <w:color w:val="auto"/>
          <w:sz w:val="22"/>
          <w:szCs w:val="22"/>
          <w:lang w:eastAsia="en-US"/>
        </w:rPr>
        <w:t>Su pakuote pateikiamame lapelyje nurodomas gamintojo, atsakingo už konkrečios serijos išleidimą, pavadinimas ir adresas.</w:t>
      </w:r>
    </w:p>
    <w:p w14:paraId="49E492CF" w14:textId="77777777" w:rsidR="00823785" w:rsidRPr="00452D62" w:rsidRDefault="00823785" w:rsidP="00823785">
      <w:pPr>
        <w:widowControl w:val="0"/>
        <w:suppressAutoHyphens w:val="0"/>
        <w:spacing w:line="240" w:lineRule="auto"/>
        <w:rPr>
          <w:snapToGrid w:val="0"/>
          <w:color w:val="auto"/>
          <w:sz w:val="22"/>
          <w:szCs w:val="22"/>
          <w:lang w:eastAsia="en-US"/>
        </w:rPr>
      </w:pPr>
    </w:p>
    <w:p w14:paraId="60E0F70C" w14:textId="77777777" w:rsidR="00823785" w:rsidRPr="00452D62" w:rsidRDefault="00823785" w:rsidP="00823785">
      <w:pPr>
        <w:widowControl w:val="0"/>
        <w:suppressAutoHyphens w:val="0"/>
        <w:spacing w:line="240" w:lineRule="auto"/>
        <w:rPr>
          <w:snapToGrid w:val="0"/>
          <w:color w:val="auto"/>
          <w:sz w:val="22"/>
          <w:szCs w:val="22"/>
          <w:lang w:eastAsia="en-US"/>
        </w:rPr>
      </w:pPr>
    </w:p>
    <w:p w14:paraId="31727E1F" w14:textId="77777777" w:rsidR="00823785" w:rsidRPr="00452D62" w:rsidRDefault="00823785" w:rsidP="00823785">
      <w:pPr>
        <w:widowControl w:val="0"/>
        <w:suppressAutoHyphens w:val="0"/>
        <w:spacing w:line="240" w:lineRule="auto"/>
        <w:ind w:left="567" w:hanging="567"/>
        <w:rPr>
          <w:snapToGrid w:val="0"/>
          <w:color w:val="auto"/>
          <w:sz w:val="22"/>
          <w:szCs w:val="22"/>
          <w:lang w:eastAsia="en-US"/>
        </w:rPr>
      </w:pPr>
      <w:r w:rsidRPr="00452D62">
        <w:rPr>
          <w:b/>
          <w:snapToGrid w:val="0"/>
          <w:color w:val="auto"/>
          <w:sz w:val="22"/>
          <w:szCs w:val="22"/>
          <w:lang w:eastAsia="en-US"/>
        </w:rPr>
        <w:t>B.</w:t>
      </w:r>
      <w:r w:rsidRPr="00452D62">
        <w:rPr>
          <w:b/>
          <w:snapToGrid w:val="0"/>
          <w:color w:val="auto"/>
          <w:sz w:val="22"/>
          <w:szCs w:val="22"/>
          <w:lang w:eastAsia="en-US"/>
        </w:rPr>
        <w:tab/>
        <w:t>TIEKIMO IR VARTOJIMO SĄLYGOS AR APRIBOJIMAI</w:t>
      </w:r>
    </w:p>
    <w:p w14:paraId="105D4148" w14:textId="77777777" w:rsidR="00823785" w:rsidRPr="00452D62" w:rsidRDefault="00823785" w:rsidP="00823785">
      <w:pPr>
        <w:widowControl w:val="0"/>
        <w:suppressAutoHyphens w:val="0"/>
        <w:spacing w:line="240" w:lineRule="auto"/>
        <w:rPr>
          <w:snapToGrid w:val="0"/>
          <w:color w:val="auto"/>
          <w:sz w:val="22"/>
          <w:szCs w:val="22"/>
          <w:lang w:eastAsia="en-US"/>
        </w:rPr>
      </w:pPr>
    </w:p>
    <w:p w14:paraId="649E2EB6" w14:textId="77777777" w:rsidR="00823785" w:rsidRPr="00452D62" w:rsidRDefault="00823785" w:rsidP="00823785">
      <w:pPr>
        <w:widowControl w:val="0"/>
        <w:suppressAutoHyphens w:val="0"/>
        <w:spacing w:line="240" w:lineRule="auto"/>
        <w:rPr>
          <w:snapToGrid w:val="0"/>
          <w:color w:val="auto"/>
          <w:sz w:val="22"/>
          <w:szCs w:val="22"/>
          <w:lang w:eastAsia="en-US"/>
        </w:rPr>
      </w:pPr>
      <w:r w:rsidRPr="00452D62">
        <w:rPr>
          <w:snapToGrid w:val="0"/>
          <w:color w:val="auto"/>
          <w:sz w:val="22"/>
          <w:szCs w:val="22"/>
          <w:lang w:eastAsia="en-US"/>
        </w:rPr>
        <w:t>Receptinis vaistinis preparatas.</w:t>
      </w:r>
    </w:p>
    <w:p w14:paraId="2372E7DE" w14:textId="77777777" w:rsidR="00823785" w:rsidRPr="00452D62" w:rsidRDefault="00823785" w:rsidP="00823785">
      <w:pPr>
        <w:widowControl w:val="0"/>
        <w:suppressAutoHyphens w:val="0"/>
        <w:spacing w:line="240" w:lineRule="auto"/>
        <w:rPr>
          <w:snapToGrid w:val="0"/>
          <w:color w:val="auto"/>
          <w:sz w:val="22"/>
          <w:szCs w:val="22"/>
          <w:lang w:eastAsia="en-US"/>
        </w:rPr>
      </w:pPr>
    </w:p>
    <w:p w14:paraId="0A35EAC5" w14:textId="77777777" w:rsidR="00823785" w:rsidRPr="00452D62" w:rsidRDefault="00823785" w:rsidP="00823785">
      <w:pPr>
        <w:widowControl w:val="0"/>
        <w:suppressAutoHyphens w:val="0"/>
        <w:spacing w:line="240" w:lineRule="auto"/>
        <w:rPr>
          <w:snapToGrid w:val="0"/>
          <w:color w:val="auto"/>
          <w:sz w:val="22"/>
          <w:szCs w:val="22"/>
          <w:lang w:eastAsia="en-US"/>
        </w:rPr>
      </w:pPr>
    </w:p>
    <w:p w14:paraId="517C471B" w14:textId="77777777" w:rsidR="00823785" w:rsidRPr="00452D62" w:rsidRDefault="00823785" w:rsidP="00823785">
      <w:pPr>
        <w:rPr>
          <w:b/>
          <w:sz w:val="22"/>
          <w:szCs w:val="22"/>
        </w:rPr>
      </w:pPr>
      <w:r w:rsidRPr="00452D62">
        <w:rPr>
          <w:b/>
          <w:sz w:val="22"/>
          <w:szCs w:val="22"/>
        </w:rPr>
        <w:t>C.</w:t>
      </w:r>
      <w:r w:rsidRPr="00452D62">
        <w:rPr>
          <w:b/>
          <w:sz w:val="22"/>
          <w:szCs w:val="22"/>
        </w:rPr>
        <w:tab/>
        <w:t>KITOS SĄLYGOS IR REIKALAVIMAI REGISTRUOTOJUI</w:t>
      </w:r>
    </w:p>
    <w:p w14:paraId="27C0B1D9" w14:textId="77777777" w:rsidR="00823785" w:rsidRPr="00452D62" w:rsidRDefault="00823785" w:rsidP="00823785">
      <w:pPr>
        <w:ind w:right="-1"/>
        <w:rPr>
          <w:i/>
          <w:sz w:val="22"/>
          <w:szCs w:val="22"/>
          <w:u w:val="single"/>
        </w:rPr>
      </w:pPr>
    </w:p>
    <w:p w14:paraId="26739FE9" w14:textId="77777777" w:rsidR="00823785" w:rsidRPr="00452D62" w:rsidRDefault="00823785" w:rsidP="00823785">
      <w:pPr>
        <w:numPr>
          <w:ilvl w:val="0"/>
          <w:numId w:val="24"/>
        </w:numPr>
        <w:suppressAutoHyphens w:val="0"/>
        <w:ind w:right="-1" w:hanging="720"/>
        <w:rPr>
          <w:b/>
          <w:sz w:val="22"/>
          <w:szCs w:val="22"/>
        </w:rPr>
      </w:pPr>
      <w:r w:rsidRPr="00452D62">
        <w:rPr>
          <w:b/>
          <w:sz w:val="22"/>
          <w:szCs w:val="22"/>
        </w:rPr>
        <w:t>Periodiškai atnaujinami saugumo protokolai (PASP)</w:t>
      </w:r>
    </w:p>
    <w:p w14:paraId="3CCA6B76" w14:textId="77777777" w:rsidR="00823785" w:rsidRPr="00452D62" w:rsidRDefault="00823785" w:rsidP="00823785">
      <w:pPr>
        <w:tabs>
          <w:tab w:val="left" w:pos="0"/>
        </w:tabs>
        <w:ind w:right="567"/>
        <w:rPr>
          <w:sz w:val="22"/>
          <w:szCs w:val="22"/>
        </w:rPr>
      </w:pPr>
    </w:p>
    <w:p w14:paraId="3C896216" w14:textId="77777777" w:rsidR="00823785" w:rsidRPr="00452D62" w:rsidRDefault="00823785" w:rsidP="00823785">
      <w:pPr>
        <w:tabs>
          <w:tab w:val="left" w:pos="0"/>
        </w:tabs>
        <w:rPr>
          <w:i/>
          <w:sz w:val="22"/>
          <w:szCs w:val="22"/>
        </w:rPr>
      </w:pPr>
      <w:r w:rsidRPr="00452D62">
        <w:rPr>
          <w:noProof/>
          <w:sz w:val="22"/>
          <w:szCs w:val="22"/>
        </w:rPr>
        <w:t xml:space="preserve">Registruotojas šio vaistinio preparato periodiškai atnaujinamus saugumo protokolus teikia remdamasis Direktyvos 2001/83/EB 107c straipsnio 7 dalyje numatytame Sąjungos </w:t>
      </w:r>
      <w:r w:rsidRPr="00452D62">
        <w:rPr>
          <w:sz w:val="22"/>
          <w:szCs w:val="22"/>
        </w:rPr>
        <w:t xml:space="preserve">referencinių </w:t>
      </w:r>
      <w:r w:rsidRPr="00452D62">
        <w:rPr>
          <w:noProof/>
          <w:sz w:val="22"/>
          <w:szCs w:val="22"/>
        </w:rPr>
        <w:t>datų sąraše (</w:t>
      </w:r>
      <w:r w:rsidRPr="00452D62">
        <w:rPr>
          <w:i/>
          <w:noProof/>
          <w:sz w:val="22"/>
          <w:szCs w:val="22"/>
        </w:rPr>
        <w:t>EURD</w:t>
      </w:r>
      <w:r w:rsidRPr="00452D62">
        <w:rPr>
          <w:noProof/>
          <w:sz w:val="22"/>
          <w:szCs w:val="22"/>
        </w:rPr>
        <w:t xml:space="preserve"> sąraše), kuris skelbiamas Europos vaistų </w:t>
      </w:r>
      <w:r w:rsidRPr="00452D62">
        <w:rPr>
          <w:sz w:val="22"/>
          <w:szCs w:val="22"/>
        </w:rPr>
        <w:t>tinklalapyje</w:t>
      </w:r>
      <w:r w:rsidRPr="00452D62">
        <w:rPr>
          <w:noProof/>
          <w:sz w:val="22"/>
          <w:szCs w:val="22"/>
        </w:rPr>
        <w:t>, nustatytais reikalavimais.</w:t>
      </w:r>
    </w:p>
    <w:p w14:paraId="7D84C61F" w14:textId="77777777" w:rsidR="00823785" w:rsidRPr="00452D62" w:rsidRDefault="00823785" w:rsidP="00823785">
      <w:pPr>
        <w:tabs>
          <w:tab w:val="left" w:pos="0"/>
        </w:tabs>
        <w:ind w:right="567"/>
        <w:rPr>
          <w:i/>
          <w:sz w:val="22"/>
          <w:szCs w:val="22"/>
        </w:rPr>
      </w:pPr>
    </w:p>
    <w:p w14:paraId="69B1952F" w14:textId="77777777" w:rsidR="00823785" w:rsidRPr="00452D62" w:rsidRDefault="00823785" w:rsidP="00823785">
      <w:pPr>
        <w:ind w:right="-1"/>
        <w:rPr>
          <w:i/>
          <w:noProof/>
          <w:sz w:val="22"/>
          <w:szCs w:val="22"/>
          <w:u w:val="single"/>
        </w:rPr>
      </w:pPr>
    </w:p>
    <w:p w14:paraId="5CB52B14" w14:textId="77777777" w:rsidR="00823785" w:rsidRPr="00452D62" w:rsidRDefault="00823785" w:rsidP="00823785">
      <w:pPr>
        <w:ind w:left="567" w:hanging="567"/>
        <w:rPr>
          <w:b/>
          <w:sz w:val="22"/>
          <w:szCs w:val="22"/>
        </w:rPr>
      </w:pPr>
      <w:r w:rsidRPr="00452D62">
        <w:rPr>
          <w:b/>
          <w:noProof/>
          <w:sz w:val="22"/>
          <w:szCs w:val="22"/>
        </w:rPr>
        <w:t>D.</w:t>
      </w:r>
      <w:r w:rsidRPr="00452D62">
        <w:rPr>
          <w:b/>
          <w:sz w:val="22"/>
          <w:szCs w:val="22"/>
        </w:rPr>
        <w:tab/>
      </w:r>
      <w:r w:rsidRPr="00452D62">
        <w:rPr>
          <w:b/>
          <w:noProof/>
          <w:sz w:val="22"/>
          <w:szCs w:val="22"/>
        </w:rPr>
        <w:t>SĄLYGOS AR APRIBOJIMAI, SKIRTI SAUGIAM IR VEIKSMINGAM VAISTINIO PREPARATO VARTOJIMUI UŽTIKRINTI</w:t>
      </w:r>
    </w:p>
    <w:p w14:paraId="2D427389" w14:textId="77777777" w:rsidR="00823785" w:rsidRPr="00452D62" w:rsidRDefault="00823785" w:rsidP="00823785">
      <w:pPr>
        <w:ind w:right="-1"/>
        <w:rPr>
          <w:i/>
          <w:noProof/>
          <w:sz w:val="22"/>
          <w:szCs w:val="22"/>
          <w:u w:val="single"/>
        </w:rPr>
      </w:pPr>
    </w:p>
    <w:p w14:paraId="69571D5E" w14:textId="77777777" w:rsidR="00823785" w:rsidRPr="00452D62" w:rsidRDefault="00823785" w:rsidP="00823785">
      <w:pPr>
        <w:numPr>
          <w:ilvl w:val="0"/>
          <w:numId w:val="24"/>
        </w:numPr>
        <w:suppressAutoHyphens w:val="0"/>
        <w:ind w:right="-1" w:hanging="720"/>
        <w:rPr>
          <w:b/>
          <w:sz w:val="22"/>
          <w:szCs w:val="22"/>
        </w:rPr>
      </w:pPr>
      <w:r w:rsidRPr="00452D62">
        <w:rPr>
          <w:b/>
          <w:sz w:val="22"/>
          <w:szCs w:val="22"/>
        </w:rPr>
        <w:t>Rizikos valdymo planas (RVP)</w:t>
      </w:r>
    </w:p>
    <w:p w14:paraId="4E0E8DBE" w14:textId="77777777" w:rsidR="00823785" w:rsidRPr="00452D62" w:rsidRDefault="00823785" w:rsidP="00823785">
      <w:pPr>
        <w:ind w:left="720" w:right="-1"/>
        <w:rPr>
          <w:b/>
          <w:sz w:val="22"/>
          <w:szCs w:val="22"/>
        </w:rPr>
      </w:pPr>
    </w:p>
    <w:p w14:paraId="1F608FC3" w14:textId="49B321F7" w:rsidR="00823785" w:rsidRPr="00452D62" w:rsidRDefault="00823785" w:rsidP="00823785">
      <w:pPr>
        <w:tabs>
          <w:tab w:val="left" w:pos="0"/>
        </w:tabs>
        <w:rPr>
          <w:sz w:val="22"/>
          <w:szCs w:val="22"/>
        </w:rPr>
      </w:pPr>
      <w:r w:rsidRPr="00452D62">
        <w:rPr>
          <w:sz w:val="22"/>
          <w:szCs w:val="22"/>
        </w:rPr>
        <w:t>Registruotojas atlieka reikalaujamą farmakologinio budrumo veiklą ir veiksmus, kurie išsamiai aprašyti registracijos bylos 1.8.2 modulyje pateiktame RVP ir suderintose tolesnėse jo versijose.</w:t>
      </w:r>
    </w:p>
    <w:p w14:paraId="5677E83B" w14:textId="77777777" w:rsidR="00823785" w:rsidRPr="00452D62" w:rsidRDefault="00823785" w:rsidP="00823785">
      <w:pPr>
        <w:rPr>
          <w:color w:val="008000"/>
          <w:sz w:val="22"/>
          <w:szCs w:val="22"/>
        </w:rPr>
      </w:pPr>
    </w:p>
    <w:p w14:paraId="511508B5" w14:textId="77777777" w:rsidR="00823785" w:rsidRPr="00452D62" w:rsidRDefault="00823785" w:rsidP="00823785">
      <w:pPr>
        <w:ind w:right="-1"/>
        <w:rPr>
          <w:i/>
          <w:sz w:val="22"/>
          <w:szCs w:val="22"/>
        </w:rPr>
      </w:pPr>
      <w:r w:rsidRPr="00452D62">
        <w:rPr>
          <w:sz w:val="22"/>
          <w:szCs w:val="22"/>
        </w:rPr>
        <w:t>Atnaujintas rizikos valdymo planas turi būti pateiktas:</w:t>
      </w:r>
    </w:p>
    <w:p w14:paraId="2EFBE976" w14:textId="77777777" w:rsidR="00823785" w:rsidRPr="00452D62" w:rsidRDefault="00823785" w:rsidP="00823785">
      <w:pPr>
        <w:numPr>
          <w:ilvl w:val="0"/>
          <w:numId w:val="23"/>
        </w:numPr>
        <w:tabs>
          <w:tab w:val="clear" w:pos="567"/>
          <w:tab w:val="clear" w:pos="720"/>
          <w:tab w:val="left" w:pos="1134"/>
        </w:tabs>
        <w:suppressAutoHyphens w:val="0"/>
        <w:ind w:left="1134" w:right="-1" w:hanging="567"/>
        <w:rPr>
          <w:i/>
          <w:noProof/>
          <w:sz w:val="22"/>
          <w:szCs w:val="22"/>
        </w:rPr>
      </w:pPr>
      <w:r w:rsidRPr="00452D62">
        <w:rPr>
          <w:sz w:val="22"/>
          <w:szCs w:val="22"/>
        </w:rPr>
        <w:t>pareikalavus Valstybinei vaistų kontrolės tarnybai prie Lietuvos Respublikos sveikatos apsaugos ministerijos</w:t>
      </w:r>
      <w:r w:rsidRPr="00452D62">
        <w:rPr>
          <w:i/>
          <w:noProof/>
          <w:sz w:val="22"/>
          <w:szCs w:val="22"/>
        </w:rPr>
        <w:t>;</w:t>
      </w:r>
    </w:p>
    <w:p w14:paraId="11382851" w14:textId="77777777" w:rsidR="00823785" w:rsidRPr="00452D62" w:rsidRDefault="00823785" w:rsidP="00823785">
      <w:pPr>
        <w:numPr>
          <w:ilvl w:val="0"/>
          <w:numId w:val="23"/>
        </w:numPr>
        <w:tabs>
          <w:tab w:val="clear" w:pos="567"/>
          <w:tab w:val="clear" w:pos="720"/>
          <w:tab w:val="num" w:pos="1134"/>
        </w:tabs>
        <w:suppressAutoHyphens w:val="0"/>
        <w:ind w:left="1134" w:right="-1" w:hanging="567"/>
        <w:rPr>
          <w:sz w:val="22"/>
          <w:szCs w:val="22"/>
        </w:rPr>
      </w:pPr>
      <w:r w:rsidRPr="00452D62">
        <w:rPr>
          <w:sz w:val="22"/>
          <w:szCs w:val="22"/>
        </w:rPr>
        <w:t>kai keičiama rizikos valdymo sistema, ypač gavus naujos informacijos, kuri gali lemti didelį naudos ir rizikos santykio pokytį arba pasiekus svarbų (farmakologinio budrumo ar rizikos mažinimo) etapą.</w:t>
      </w:r>
    </w:p>
    <w:p w14:paraId="326F53BD" w14:textId="77777777" w:rsidR="00823785" w:rsidRPr="00452D62" w:rsidRDefault="00823785" w:rsidP="00823785">
      <w:pPr>
        <w:ind w:right="-1"/>
        <w:rPr>
          <w:noProof/>
          <w:sz w:val="22"/>
          <w:szCs w:val="22"/>
        </w:rPr>
      </w:pPr>
    </w:p>
    <w:p w14:paraId="73EC48DB" w14:textId="77777777" w:rsidR="00823785" w:rsidRPr="00452D62" w:rsidRDefault="00823785" w:rsidP="00823785">
      <w:pPr>
        <w:widowControl w:val="0"/>
        <w:tabs>
          <w:tab w:val="center" w:pos="4535"/>
        </w:tabs>
        <w:suppressAutoHyphens w:val="0"/>
        <w:spacing w:line="240" w:lineRule="auto"/>
        <w:rPr>
          <w:snapToGrid w:val="0"/>
          <w:color w:val="auto"/>
          <w:sz w:val="22"/>
          <w:szCs w:val="22"/>
          <w:lang w:eastAsia="en-US"/>
        </w:rPr>
      </w:pPr>
      <w:r w:rsidRPr="00452D62">
        <w:rPr>
          <w:b/>
          <w:sz w:val="22"/>
          <w:szCs w:val="22"/>
        </w:rPr>
        <w:t>Papildomos rizikos mažinimo priemonės</w:t>
      </w:r>
      <w:r w:rsidRPr="00452D62">
        <w:rPr>
          <w:b/>
          <w:sz w:val="22"/>
          <w:szCs w:val="22"/>
        </w:rPr>
        <w:tab/>
        <w:t xml:space="preserve"> (įskaitant mokomąją medžiagą)</w:t>
      </w:r>
    </w:p>
    <w:p w14:paraId="4AB3F989" w14:textId="77777777" w:rsidR="00823785" w:rsidRPr="00452D62" w:rsidRDefault="00823785" w:rsidP="00823785">
      <w:pPr>
        <w:pStyle w:val="Default"/>
        <w:rPr>
          <w:sz w:val="22"/>
          <w:szCs w:val="22"/>
        </w:rPr>
      </w:pPr>
      <w:r w:rsidRPr="00452D62">
        <w:rPr>
          <w:sz w:val="22"/>
          <w:szCs w:val="22"/>
        </w:rPr>
        <w:t>Šios papildomos kraujavimo rizikos mažinimo priemonės yra būtinos saugiam ir veiksmingam vaistinio preparato vartojimui.</w:t>
      </w:r>
    </w:p>
    <w:p w14:paraId="7578DFE6" w14:textId="77777777" w:rsidR="00823785" w:rsidRPr="00452D62" w:rsidRDefault="00823785" w:rsidP="00823785">
      <w:pPr>
        <w:pStyle w:val="Default"/>
        <w:rPr>
          <w:sz w:val="22"/>
          <w:szCs w:val="22"/>
        </w:rPr>
      </w:pPr>
    </w:p>
    <w:p w14:paraId="3932604F" w14:textId="77777777" w:rsidR="00823785" w:rsidRPr="00452D62" w:rsidRDefault="00823785" w:rsidP="00823785">
      <w:pPr>
        <w:pStyle w:val="Default"/>
        <w:rPr>
          <w:sz w:val="22"/>
          <w:szCs w:val="22"/>
        </w:rPr>
      </w:pPr>
      <w:r w:rsidRPr="00452D62">
        <w:rPr>
          <w:sz w:val="22"/>
          <w:szCs w:val="22"/>
        </w:rPr>
        <w:t>Mokomąją medžiagą sudaro informacinis paketas, kuriame yra šie elementai:</w:t>
      </w:r>
    </w:p>
    <w:p w14:paraId="5CA583F3" w14:textId="77777777" w:rsidR="00823785" w:rsidRPr="00452D62" w:rsidRDefault="00823785" w:rsidP="00823785">
      <w:pPr>
        <w:pStyle w:val="Default"/>
        <w:numPr>
          <w:ilvl w:val="0"/>
          <w:numId w:val="25"/>
        </w:numPr>
        <w:ind w:left="567" w:hanging="567"/>
        <w:rPr>
          <w:sz w:val="22"/>
          <w:szCs w:val="22"/>
        </w:rPr>
      </w:pPr>
      <w:r w:rsidRPr="00452D62">
        <w:rPr>
          <w:sz w:val="22"/>
          <w:szCs w:val="22"/>
        </w:rPr>
        <w:t>preparato charakteristikų santrauka;</w:t>
      </w:r>
    </w:p>
    <w:p w14:paraId="54C3E588" w14:textId="77777777" w:rsidR="00823785" w:rsidRPr="00452D62" w:rsidRDefault="00823785" w:rsidP="00823785">
      <w:pPr>
        <w:pStyle w:val="Default"/>
        <w:numPr>
          <w:ilvl w:val="0"/>
          <w:numId w:val="25"/>
        </w:numPr>
        <w:ind w:left="567" w:hanging="567"/>
        <w:rPr>
          <w:sz w:val="22"/>
          <w:szCs w:val="22"/>
        </w:rPr>
      </w:pPr>
      <w:r w:rsidRPr="00452D62">
        <w:rPr>
          <w:sz w:val="22"/>
          <w:szCs w:val="22"/>
        </w:rPr>
        <w:t>vaistinį preparatą išrašančio gydytojo vadovas;</w:t>
      </w:r>
    </w:p>
    <w:p w14:paraId="7A496D97" w14:textId="77777777" w:rsidR="00823785" w:rsidRPr="00452D62" w:rsidRDefault="00823785" w:rsidP="00823785">
      <w:pPr>
        <w:pStyle w:val="Default"/>
        <w:numPr>
          <w:ilvl w:val="0"/>
          <w:numId w:val="25"/>
        </w:numPr>
        <w:ind w:left="567" w:hanging="567"/>
        <w:rPr>
          <w:sz w:val="22"/>
          <w:szCs w:val="22"/>
        </w:rPr>
      </w:pPr>
      <w:r w:rsidRPr="00452D62">
        <w:rPr>
          <w:sz w:val="22"/>
          <w:szCs w:val="22"/>
        </w:rPr>
        <w:t>paciento budrumo kortelė [tekstas pateikiamas III priede].</w:t>
      </w:r>
    </w:p>
    <w:p w14:paraId="6DFE3C3A" w14:textId="77777777" w:rsidR="00823785" w:rsidRPr="00452D62" w:rsidRDefault="00823785" w:rsidP="00823785">
      <w:pPr>
        <w:pStyle w:val="Default"/>
        <w:rPr>
          <w:sz w:val="22"/>
          <w:szCs w:val="22"/>
        </w:rPr>
      </w:pPr>
    </w:p>
    <w:p w14:paraId="4D597F5F" w14:textId="77777777" w:rsidR="00823785" w:rsidRPr="00452D62" w:rsidRDefault="00823785" w:rsidP="00823785">
      <w:pPr>
        <w:pStyle w:val="Default"/>
        <w:rPr>
          <w:sz w:val="22"/>
          <w:szCs w:val="22"/>
        </w:rPr>
      </w:pPr>
      <w:r w:rsidRPr="00452D62">
        <w:rPr>
          <w:sz w:val="22"/>
          <w:szCs w:val="22"/>
        </w:rPr>
        <w:t>Prieš išplatindamas mokomąjį paketą atitinkamoje teritorijoje, vaistinį preparatą išrašančio gydytojo vadovo turinį bei formatą ir kartu komunikacijos planą registruotojas turi suderinti su kiekvienos šalies narės nacionaline tam teisę turinčia institucija.</w:t>
      </w:r>
    </w:p>
    <w:p w14:paraId="7D78348D" w14:textId="77777777" w:rsidR="00823785" w:rsidRPr="00452D62" w:rsidRDefault="00823785" w:rsidP="00823785">
      <w:pPr>
        <w:pStyle w:val="Default"/>
        <w:rPr>
          <w:sz w:val="22"/>
          <w:szCs w:val="22"/>
        </w:rPr>
      </w:pPr>
    </w:p>
    <w:p w14:paraId="07850BA6" w14:textId="77777777" w:rsidR="00823785" w:rsidRPr="00452D62" w:rsidRDefault="00823785" w:rsidP="00823785">
      <w:pPr>
        <w:pStyle w:val="Default"/>
        <w:rPr>
          <w:sz w:val="22"/>
          <w:szCs w:val="22"/>
        </w:rPr>
      </w:pPr>
      <w:r w:rsidRPr="00452D62">
        <w:rPr>
          <w:sz w:val="22"/>
          <w:szCs w:val="22"/>
        </w:rPr>
        <w:t>Vaistinį preparatą išrašančio gydytojo vadove turi būti šios svarbiausios saugumo tezės:</w:t>
      </w:r>
    </w:p>
    <w:p w14:paraId="161C8DB0" w14:textId="77777777" w:rsidR="00823785" w:rsidRPr="00452D62" w:rsidRDefault="00823785" w:rsidP="00823785">
      <w:pPr>
        <w:pStyle w:val="Default"/>
        <w:rPr>
          <w:sz w:val="22"/>
          <w:szCs w:val="22"/>
        </w:rPr>
      </w:pPr>
    </w:p>
    <w:p w14:paraId="60745D1F" w14:textId="77777777" w:rsidR="00823785" w:rsidRPr="00452D62" w:rsidRDefault="00823785" w:rsidP="00823785">
      <w:pPr>
        <w:pStyle w:val="Default"/>
        <w:numPr>
          <w:ilvl w:val="0"/>
          <w:numId w:val="26"/>
        </w:numPr>
        <w:ind w:left="567" w:hanging="567"/>
        <w:rPr>
          <w:sz w:val="22"/>
          <w:szCs w:val="22"/>
        </w:rPr>
      </w:pPr>
      <w:r w:rsidRPr="00452D62">
        <w:rPr>
          <w:sz w:val="22"/>
          <w:szCs w:val="22"/>
        </w:rPr>
        <w:t>išsami informacija apie pacientų grupes, kurioms gali būti padidėjusi kraujavimo rizika;</w:t>
      </w:r>
    </w:p>
    <w:p w14:paraId="6B255356" w14:textId="77777777" w:rsidR="00823785" w:rsidRPr="00452D62" w:rsidRDefault="00823785" w:rsidP="00823785">
      <w:pPr>
        <w:pStyle w:val="Default"/>
        <w:numPr>
          <w:ilvl w:val="0"/>
          <w:numId w:val="26"/>
        </w:numPr>
        <w:ind w:left="567" w:hanging="567"/>
        <w:rPr>
          <w:sz w:val="22"/>
          <w:szCs w:val="22"/>
        </w:rPr>
      </w:pPr>
      <w:r w:rsidRPr="00452D62">
        <w:rPr>
          <w:sz w:val="22"/>
          <w:szCs w:val="22"/>
        </w:rPr>
        <w:t>rekomendacijos dozės sumažinimo rizikos grupių pacientams;</w:t>
      </w:r>
    </w:p>
    <w:p w14:paraId="11FB0BB9" w14:textId="77777777" w:rsidR="00823785" w:rsidRPr="00452D62" w:rsidRDefault="00823785" w:rsidP="00823785">
      <w:pPr>
        <w:pStyle w:val="Default"/>
        <w:numPr>
          <w:ilvl w:val="0"/>
          <w:numId w:val="26"/>
        </w:numPr>
        <w:ind w:left="567" w:hanging="567"/>
        <w:rPr>
          <w:sz w:val="22"/>
          <w:szCs w:val="22"/>
        </w:rPr>
      </w:pPr>
      <w:r w:rsidRPr="00452D62">
        <w:rPr>
          <w:sz w:val="22"/>
          <w:szCs w:val="22"/>
        </w:rPr>
        <w:t>rekomendacijos, kaip gydymą rivaroksabanu keisti kitokiu gydymu ir atvirkščiai;</w:t>
      </w:r>
    </w:p>
    <w:p w14:paraId="66FD66E3" w14:textId="77777777" w:rsidR="00823785" w:rsidRPr="000877E9" w:rsidRDefault="00823785" w:rsidP="00823785">
      <w:pPr>
        <w:pStyle w:val="Default"/>
        <w:numPr>
          <w:ilvl w:val="0"/>
          <w:numId w:val="26"/>
        </w:numPr>
        <w:ind w:left="567" w:hanging="567"/>
        <w:rPr>
          <w:sz w:val="22"/>
          <w:szCs w:val="22"/>
        </w:rPr>
      </w:pPr>
      <w:r w:rsidRPr="00452D62">
        <w:rPr>
          <w:sz w:val="22"/>
          <w:szCs w:val="22"/>
        </w:rPr>
        <w:t>būtinybė 15</w:t>
      </w:r>
      <w:r w:rsidRPr="00AE1B80">
        <w:rPr>
          <w:sz w:val="22"/>
          <w:szCs w:val="22"/>
        </w:rPr>
        <w:t> </w:t>
      </w:r>
      <w:r w:rsidRPr="00452D62">
        <w:rPr>
          <w:sz w:val="22"/>
          <w:szCs w:val="22"/>
        </w:rPr>
        <w:t>mg ir 2</w:t>
      </w:r>
      <w:r w:rsidRPr="000877E9">
        <w:rPr>
          <w:sz w:val="22"/>
          <w:szCs w:val="22"/>
        </w:rPr>
        <w:t>0</w:t>
      </w:r>
      <w:r w:rsidRPr="00AE1B80">
        <w:rPr>
          <w:sz w:val="22"/>
          <w:szCs w:val="22"/>
        </w:rPr>
        <w:t> </w:t>
      </w:r>
      <w:r w:rsidRPr="00452D62">
        <w:rPr>
          <w:sz w:val="22"/>
          <w:szCs w:val="22"/>
        </w:rPr>
        <w:t>mg tabletes vartoti valgio metu;</w:t>
      </w:r>
    </w:p>
    <w:p w14:paraId="2260F286" w14:textId="77777777" w:rsidR="00823785" w:rsidRPr="00452D62" w:rsidRDefault="00823785" w:rsidP="00823785">
      <w:pPr>
        <w:pStyle w:val="Default"/>
        <w:numPr>
          <w:ilvl w:val="0"/>
          <w:numId w:val="26"/>
        </w:numPr>
        <w:ind w:left="567" w:hanging="567"/>
        <w:rPr>
          <w:sz w:val="22"/>
          <w:szCs w:val="22"/>
        </w:rPr>
      </w:pPr>
      <w:r w:rsidRPr="00452D62">
        <w:rPr>
          <w:sz w:val="22"/>
          <w:szCs w:val="22"/>
        </w:rPr>
        <w:t>gydymas perdozavimo atveju;</w:t>
      </w:r>
    </w:p>
    <w:p w14:paraId="7C44D345" w14:textId="77777777" w:rsidR="00823785" w:rsidRPr="00452D62" w:rsidRDefault="00823785" w:rsidP="00823785">
      <w:pPr>
        <w:pStyle w:val="Default"/>
        <w:numPr>
          <w:ilvl w:val="0"/>
          <w:numId w:val="26"/>
        </w:numPr>
        <w:ind w:left="567" w:hanging="567"/>
        <w:rPr>
          <w:sz w:val="22"/>
          <w:szCs w:val="22"/>
        </w:rPr>
      </w:pPr>
      <w:r w:rsidRPr="00452D62">
        <w:rPr>
          <w:sz w:val="22"/>
          <w:szCs w:val="22"/>
        </w:rPr>
        <w:t>kraujo krešėjimo tyrimų atlikimas ir jų rezultatų vertinimas;</w:t>
      </w:r>
    </w:p>
    <w:p w14:paraId="776A010A" w14:textId="77777777" w:rsidR="00823785" w:rsidRPr="00452D62" w:rsidRDefault="00823785" w:rsidP="00823785">
      <w:pPr>
        <w:pStyle w:val="Default"/>
        <w:numPr>
          <w:ilvl w:val="0"/>
          <w:numId w:val="26"/>
        </w:numPr>
        <w:ind w:left="567" w:hanging="567"/>
        <w:rPr>
          <w:sz w:val="22"/>
          <w:szCs w:val="22"/>
        </w:rPr>
      </w:pPr>
      <w:r w:rsidRPr="00452D62">
        <w:rPr>
          <w:sz w:val="22"/>
          <w:szCs w:val="22"/>
        </w:rPr>
        <w:t>būtina visus pacientus reikia informuoti apie:</w:t>
      </w:r>
    </w:p>
    <w:p w14:paraId="38B6C9F4" w14:textId="77777777" w:rsidR="00823785" w:rsidRPr="00452D62" w:rsidRDefault="00823785" w:rsidP="00823785">
      <w:pPr>
        <w:pStyle w:val="Default"/>
        <w:numPr>
          <w:ilvl w:val="0"/>
          <w:numId w:val="27"/>
        </w:numPr>
        <w:ind w:left="1134" w:hanging="567"/>
        <w:rPr>
          <w:sz w:val="22"/>
          <w:szCs w:val="22"/>
        </w:rPr>
      </w:pPr>
      <w:r w:rsidRPr="00452D62">
        <w:rPr>
          <w:sz w:val="22"/>
          <w:szCs w:val="22"/>
        </w:rPr>
        <w:t>kraujavimo požymius bei simptomus ir kada reikia kreiptis į sveikatos priežiūros specialistą,</w:t>
      </w:r>
    </w:p>
    <w:p w14:paraId="576E7014" w14:textId="77777777" w:rsidR="00823785" w:rsidRPr="00452D62" w:rsidRDefault="00823785" w:rsidP="00823785">
      <w:pPr>
        <w:pStyle w:val="Default"/>
        <w:numPr>
          <w:ilvl w:val="0"/>
          <w:numId w:val="27"/>
        </w:numPr>
        <w:ind w:left="1134" w:hanging="567"/>
        <w:rPr>
          <w:sz w:val="22"/>
          <w:szCs w:val="22"/>
        </w:rPr>
      </w:pPr>
      <w:r w:rsidRPr="00452D62">
        <w:rPr>
          <w:sz w:val="22"/>
          <w:szCs w:val="22"/>
        </w:rPr>
        <w:t>gydymo nurodymų laikymosi svarbą,</w:t>
      </w:r>
    </w:p>
    <w:p w14:paraId="42CE9252" w14:textId="77777777" w:rsidR="00823785" w:rsidRPr="000877E9" w:rsidRDefault="00823785" w:rsidP="00823785">
      <w:pPr>
        <w:pStyle w:val="Default"/>
        <w:numPr>
          <w:ilvl w:val="0"/>
          <w:numId w:val="27"/>
        </w:numPr>
        <w:ind w:left="1134" w:hanging="567"/>
        <w:rPr>
          <w:sz w:val="22"/>
          <w:szCs w:val="22"/>
        </w:rPr>
      </w:pPr>
      <w:r w:rsidRPr="00452D62">
        <w:rPr>
          <w:sz w:val="22"/>
          <w:szCs w:val="22"/>
        </w:rPr>
        <w:t>būtinybę 15</w:t>
      </w:r>
      <w:r w:rsidRPr="00AE1B80">
        <w:rPr>
          <w:sz w:val="22"/>
          <w:szCs w:val="22"/>
        </w:rPr>
        <w:t> </w:t>
      </w:r>
      <w:r w:rsidRPr="00452D62">
        <w:rPr>
          <w:sz w:val="22"/>
          <w:szCs w:val="22"/>
        </w:rPr>
        <w:t>mg ir 20</w:t>
      </w:r>
      <w:r w:rsidRPr="00AE1B80">
        <w:rPr>
          <w:sz w:val="22"/>
          <w:szCs w:val="22"/>
        </w:rPr>
        <w:t> </w:t>
      </w:r>
      <w:r w:rsidRPr="00452D62">
        <w:rPr>
          <w:sz w:val="22"/>
          <w:szCs w:val="22"/>
        </w:rPr>
        <w:t>mg tabletes vartoti valgio metu;</w:t>
      </w:r>
    </w:p>
    <w:p w14:paraId="09D03294" w14:textId="77777777" w:rsidR="00823785" w:rsidRPr="00452D62" w:rsidRDefault="00823785" w:rsidP="00823785">
      <w:pPr>
        <w:pStyle w:val="Default"/>
        <w:numPr>
          <w:ilvl w:val="0"/>
          <w:numId w:val="27"/>
        </w:numPr>
        <w:ind w:left="1134" w:hanging="567"/>
        <w:rPr>
          <w:sz w:val="22"/>
          <w:szCs w:val="22"/>
        </w:rPr>
      </w:pPr>
      <w:r w:rsidRPr="00452D62">
        <w:rPr>
          <w:sz w:val="22"/>
          <w:szCs w:val="22"/>
        </w:rPr>
        <w:t>būtinybę visada nešiotis paciento budrumo kortelę, kuri pateikiama kiekvienoje pakuotėje;</w:t>
      </w:r>
    </w:p>
    <w:p w14:paraId="133102A1" w14:textId="77777777" w:rsidR="00823785" w:rsidRPr="00452D62" w:rsidRDefault="00823785" w:rsidP="00823785">
      <w:pPr>
        <w:pStyle w:val="Default"/>
        <w:numPr>
          <w:ilvl w:val="0"/>
          <w:numId w:val="27"/>
        </w:numPr>
        <w:ind w:left="1134" w:hanging="567"/>
        <w:rPr>
          <w:sz w:val="22"/>
          <w:szCs w:val="22"/>
        </w:rPr>
      </w:pPr>
      <w:r w:rsidRPr="00452D62">
        <w:rPr>
          <w:sz w:val="22"/>
          <w:szCs w:val="22"/>
        </w:rPr>
        <w:t xml:space="preserve">būtinybę informuoti sveikatos priežiūros specialistą apie Xerdoxo vartojimą, jei reikia atlikti bet kokią chirurginę ar invazinę procedūrą. </w:t>
      </w:r>
    </w:p>
    <w:p w14:paraId="5A3E8A11" w14:textId="77777777" w:rsidR="00823785" w:rsidRPr="00452D62" w:rsidRDefault="00823785" w:rsidP="00823785">
      <w:pPr>
        <w:pStyle w:val="Default"/>
        <w:rPr>
          <w:sz w:val="22"/>
          <w:szCs w:val="22"/>
        </w:rPr>
      </w:pPr>
    </w:p>
    <w:p w14:paraId="2C439521" w14:textId="77777777" w:rsidR="00823785" w:rsidRPr="00452D62" w:rsidRDefault="00823785" w:rsidP="00823785">
      <w:pPr>
        <w:widowControl w:val="0"/>
        <w:suppressAutoHyphens w:val="0"/>
        <w:spacing w:line="240" w:lineRule="auto"/>
        <w:rPr>
          <w:snapToGrid w:val="0"/>
          <w:color w:val="auto"/>
          <w:sz w:val="22"/>
          <w:szCs w:val="22"/>
          <w:lang w:eastAsia="en-US"/>
        </w:rPr>
      </w:pPr>
      <w:r w:rsidRPr="00452D62">
        <w:rPr>
          <w:sz w:val="22"/>
          <w:szCs w:val="22"/>
        </w:rPr>
        <w:t>Kiekvienoje vaistinio preparato pakuotėje registruotojas turi pateikti paciento budrumo kortelę, kurios tekstas nurodytas III priede.</w:t>
      </w:r>
    </w:p>
    <w:p w14:paraId="37BCDC7E" w14:textId="77777777" w:rsidR="00823785" w:rsidRPr="00452D62" w:rsidRDefault="00823785" w:rsidP="00823785">
      <w:pPr>
        <w:widowControl w:val="0"/>
        <w:tabs>
          <w:tab w:val="clear" w:pos="567"/>
          <w:tab w:val="left" w:pos="4962"/>
        </w:tabs>
        <w:suppressAutoHyphens w:val="0"/>
        <w:spacing w:line="240" w:lineRule="auto"/>
        <w:rPr>
          <w:rFonts w:eastAsia="SimSun"/>
          <w:sz w:val="22"/>
          <w:szCs w:val="22"/>
          <w:lang w:eastAsia="en-US"/>
        </w:rPr>
      </w:pPr>
      <w:r w:rsidRPr="00452D62">
        <w:rPr>
          <w:rFonts w:eastAsia="SimSun"/>
          <w:b/>
          <w:color w:val="auto"/>
          <w:sz w:val="22"/>
          <w:szCs w:val="22"/>
          <w:lang w:eastAsia="en-US"/>
        </w:rPr>
        <w:br w:type="page"/>
      </w:r>
    </w:p>
    <w:p w14:paraId="6363AEE1" w14:textId="77777777" w:rsidR="00823785" w:rsidRPr="00452D62" w:rsidRDefault="00823785" w:rsidP="00823785">
      <w:pPr>
        <w:widowControl w:val="0"/>
        <w:suppressAutoHyphens w:val="0"/>
        <w:spacing w:line="240" w:lineRule="auto"/>
        <w:rPr>
          <w:snapToGrid w:val="0"/>
          <w:color w:val="auto"/>
          <w:sz w:val="22"/>
          <w:szCs w:val="22"/>
          <w:lang w:eastAsia="en-US"/>
        </w:rPr>
      </w:pPr>
    </w:p>
    <w:p w14:paraId="0238D72B" w14:textId="77777777" w:rsidR="00823785" w:rsidRPr="00452D62" w:rsidRDefault="00823785" w:rsidP="00823785">
      <w:pPr>
        <w:widowControl w:val="0"/>
        <w:suppressAutoHyphens w:val="0"/>
        <w:spacing w:line="240" w:lineRule="auto"/>
        <w:rPr>
          <w:snapToGrid w:val="0"/>
          <w:color w:val="auto"/>
          <w:sz w:val="22"/>
          <w:szCs w:val="22"/>
          <w:lang w:eastAsia="en-US"/>
        </w:rPr>
      </w:pPr>
    </w:p>
    <w:p w14:paraId="59A32F89" w14:textId="77777777" w:rsidR="00823785" w:rsidRPr="00452D62" w:rsidRDefault="00823785" w:rsidP="00823785">
      <w:pPr>
        <w:widowControl w:val="0"/>
        <w:suppressAutoHyphens w:val="0"/>
        <w:spacing w:line="240" w:lineRule="auto"/>
        <w:rPr>
          <w:snapToGrid w:val="0"/>
          <w:color w:val="auto"/>
          <w:sz w:val="22"/>
          <w:szCs w:val="22"/>
          <w:lang w:eastAsia="en-US"/>
        </w:rPr>
      </w:pPr>
    </w:p>
    <w:p w14:paraId="64638D56" w14:textId="77777777" w:rsidR="00823785" w:rsidRPr="00452D62" w:rsidRDefault="00823785" w:rsidP="00823785">
      <w:pPr>
        <w:widowControl w:val="0"/>
        <w:suppressAutoHyphens w:val="0"/>
        <w:spacing w:line="240" w:lineRule="auto"/>
        <w:rPr>
          <w:snapToGrid w:val="0"/>
          <w:color w:val="auto"/>
          <w:sz w:val="22"/>
          <w:szCs w:val="22"/>
          <w:lang w:eastAsia="en-US"/>
        </w:rPr>
      </w:pPr>
    </w:p>
    <w:p w14:paraId="5A3202AB" w14:textId="77777777" w:rsidR="00823785" w:rsidRPr="00452D62" w:rsidRDefault="00823785" w:rsidP="00823785">
      <w:pPr>
        <w:widowControl w:val="0"/>
        <w:suppressAutoHyphens w:val="0"/>
        <w:spacing w:line="240" w:lineRule="auto"/>
        <w:rPr>
          <w:snapToGrid w:val="0"/>
          <w:color w:val="auto"/>
          <w:sz w:val="22"/>
          <w:szCs w:val="22"/>
          <w:lang w:eastAsia="en-US"/>
        </w:rPr>
      </w:pPr>
    </w:p>
    <w:p w14:paraId="4B9D3F93" w14:textId="77777777" w:rsidR="00823785" w:rsidRPr="00452D62" w:rsidRDefault="00823785" w:rsidP="00823785">
      <w:pPr>
        <w:widowControl w:val="0"/>
        <w:suppressAutoHyphens w:val="0"/>
        <w:spacing w:line="240" w:lineRule="auto"/>
        <w:rPr>
          <w:snapToGrid w:val="0"/>
          <w:color w:val="auto"/>
          <w:sz w:val="22"/>
          <w:szCs w:val="22"/>
          <w:lang w:eastAsia="en-US"/>
        </w:rPr>
      </w:pPr>
    </w:p>
    <w:p w14:paraId="6A9CC1FE" w14:textId="77777777" w:rsidR="00823785" w:rsidRPr="00452D62" w:rsidRDefault="00823785" w:rsidP="00823785">
      <w:pPr>
        <w:widowControl w:val="0"/>
        <w:suppressAutoHyphens w:val="0"/>
        <w:spacing w:line="240" w:lineRule="auto"/>
        <w:rPr>
          <w:snapToGrid w:val="0"/>
          <w:color w:val="auto"/>
          <w:sz w:val="22"/>
          <w:szCs w:val="22"/>
          <w:lang w:eastAsia="en-US"/>
        </w:rPr>
      </w:pPr>
    </w:p>
    <w:p w14:paraId="1ACB1414" w14:textId="77777777" w:rsidR="00823785" w:rsidRPr="00452D62" w:rsidRDefault="00823785" w:rsidP="00823785">
      <w:pPr>
        <w:widowControl w:val="0"/>
        <w:suppressAutoHyphens w:val="0"/>
        <w:spacing w:line="240" w:lineRule="auto"/>
        <w:rPr>
          <w:snapToGrid w:val="0"/>
          <w:color w:val="auto"/>
          <w:sz w:val="22"/>
          <w:szCs w:val="22"/>
          <w:lang w:eastAsia="en-US"/>
        </w:rPr>
      </w:pPr>
    </w:p>
    <w:p w14:paraId="7BCDFED5" w14:textId="77777777" w:rsidR="00823785" w:rsidRPr="00452D62" w:rsidRDefault="00823785" w:rsidP="00823785">
      <w:pPr>
        <w:widowControl w:val="0"/>
        <w:suppressAutoHyphens w:val="0"/>
        <w:spacing w:line="240" w:lineRule="auto"/>
        <w:rPr>
          <w:snapToGrid w:val="0"/>
          <w:color w:val="auto"/>
          <w:sz w:val="22"/>
          <w:szCs w:val="22"/>
          <w:lang w:eastAsia="en-US"/>
        </w:rPr>
      </w:pPr>
    </w:p>
    <w:p w14:paraId="28B61ABB" w14:textId="77777777" w:rsidR="00823785" w:rsidRPr="00452D62" w:rsidRDefault="00823785" w:rsidP="00823785">
      <w:pPr>
        <w:widowControl w:val="0"/>
        <w:suppressAutoHyphens w:val="0"/>
        <w:spacing w:line="240" w:lineRule="auto"/>
        <w:rPr>
          <w:snapToGrid w:val="0"/>
          <w:color w:val="auto"/>
          <w:sz w:val="22"/>
          <w:szCs w:val="22"/>
          <w:lang w:eastAsia="en-US"/>
        </w:rPr>
      </w:pPr>
    </w:p>
    <w:p w14:paraId="6D2C3A64" w14:textId="77777777" w:rsidR="00823785" w:rsidRPr="00452D62" w:rsidRDefault="00823785" w:rsidP="00823785">
      <w:pPr>
        <w:widowControl w:val="0"/>
        <w:suppressAutoHyphens w:val="0"/>
        <w:spacing w:line="240" w:lineRule="auto"/>
        <w:rPr>
          <w:snapToGrid w:val="0"/>
          <w:color w:val="auto"/>
          <w:sz w:val="22"/>
          <w:szCs w:val="22"/>
          <w:lang w:eastAsia="en-US"/>
        </w:rPr>
      </w:pPr>
    </w:p>
    <w:p w14:paraId="54C912F3" w14:textId="77777777" w:rsidR="00823785" w:rsidRPr="00452D62" w:rsidRDefault="00823785" w:rsidP="00823785">
      <w:pPr>
        <w:widowControl w:val="0"/>
        <w:suppressAutoHyphens w:val="0"/>
        <w:spacing w:line="240" w:lineRule="auto"/>
        <w:rPr>
          <w:snapToGrid w:val="0"/>
          <w:color w:val="auto"/>
          <w:sz w:val="22"/>
          <w:szCs w:val="22"/>
          <w:lang w:eastAsia="en-US"/>
        </w:rPr>
      </w:pPr>
    </w:p>
    <w:p w14:paraId="40E8E199" w14:textId="77777777" w:rsidR="00823785" w:rsidRPr="00452D62" w:rsidRDefault="00823785" w:rsidP="00823785">
      <w:pPr>
        <w:widowControl w:val="0"/>
        <w:suppressAutoHyphens w:val="0"/>
        <w:spacing w:line="240" w:lineRule="auto"/>
        <w:rPr>
          <w:snapToGrid w:val="0"/>
          <w:color w:val="auto"/>
          <w:sz w:val="22"/>
          <w:szCs w:val="22"/>
          <w:lang w:eastAsia="en-US"/>
        </w:rPr>
      </w:pPr>
    </w:p>
    <w:p w14:paraId="412384F2" w14:textId="77777777" w:rsidR="00823785" w:rsidRPr="00452D62" w:rsidRDefault="00823785" w:rsidP="00823785">
      <w:pPr>
        <w:widowControl w:val="0"/>
        <w:suppressAutoHyphens w:val="0"/>
        <w:spacing w:line="240" w:lineRule="auto"/>
        <w:rPr>
          <w:snapToGrid w:val="0"/>
          <w:color w:val="auto"/>
          <w:sz w:val="22"/>
          <w:szCs w:val="22"/>
          <w:lang w:eastAsia="en-US"/>
        </w:rPr>
      </w:pPr>
    </w:p>
    <w:p w14:paraId="0AB01401" w14:textId="77777777" w:rsidR="00823785" w:rsidRPr="00452D62" w:rsidRDefault="00823785" w:rsidP="00823785">
      <w:pPr>
        <w:widowControl w:val="0"/>
        <w:suppressAutoHyphens w:val="0"/>
        <w:spacing w:line="240" w:lineRule="auto"/>
        <w:rPr>
          <w:snapToGrid w:val="0"/>
          <w:color w:val="auto"/>
          <w:sz w:val="22"/>
          <w:szCs w:val="22"/>
          <w:lang w:eastAsia="en-US"/>
        </w:rPr>
      </w:pPr>
    </w:p>
    <w:p w14:paraId="1FFC26E8" w14:textId="77777777" w:rsidR="00823785" w:rsidRPr="00452D62" w:rsidRDefault="00823785" w:rsidP="00823785">
      <w:pPr>
        <w:widowControl w:val="0"/>
        <w:suppressAutoHyphens w:val="0"/>
        <w:spacing w:line="240" w:lineRule="auto"/>
        <w:rPr>
          <w:snapToGrid w:val="0"/>
          <w:color w:val="auto"/>
          <w:sz w:val="22"/>
          <w:szCs w:val="22"/>
          <w:lang w:eastAsia="en-US"/>
        </w:rPr>
      </w:pPr>
    </w:p>
    <w:p w14:paraId="276D6321" w14:textId="77777777" w:rsidR="00823785" w:rsidRPr="00452D62" w:rsidRDefault="00823785" w:rsidP="00823785">
      <w:pPr>
        <w:widowControl w:val="0"/>
        <w:suppressAutoHyphens w:val="0"/>
        <w:spacing w:line="240" w:lineRule="auto"/>
        <w:outlineLvl w:val="0"/>
        <w:rPr>
          <w:b/>
          <w:snapToGrid w:val="0"/>
          <w:color w:val="auto"/>
          <w:sz w:val="22"/>
          <w:szCs w:val="22"/>
          <w:lang w:eastAsia="en-US"/>
        </w:rPr>
      </w:pPr>
    </w:p>
    <w:p w14:paraId="2A80C274" w14:textId="77777777" w:rsidR="00823785" w:rsidRPr="00452D62" w:rsidRDefault="00823785" w:rsidP="00823785">
      <w:pPr>
        <w:widowControl w:val="0"/>
        <w:suppressAutoHyphens w:val="0"/>
        <w:spacing w:line="240" w:lineRule="auto"/>
        <w:outlineLvl w:val="0"/>
        <w:rPr>
          <w:b/>
          <w:snapToGrid w:val="0"/>
          <w:color w:val="auto"/>
          <w:sz w:val="22"/>
          <w:szCs w:val="22"/>
          <w:lang w:eastAsia="en-US"/>
        </w:rPr>
      </w:pPr>
    </w:p>
    <w:p w14:paraId="28B0B156" w14:textId="77777777" w:rsidR="00823785" w:rsidRPr="00452D62" w:rsidRDefault="00823785" w:rsidP="00823785">
      <w:pPr>
        <w:widowControl w:val="0"/>
        <w:suppressAutoHyphens w:val="0"/>
        <w:spacing w:line="240" w:lineRule="auto"/>
        <w:outlineLvl w:val="0"/>
        <w:rPr>
          <w:b/>
          <w:snapToGrid w:val="0"/>
          <w:color w:val="auto"/>
          <w:sz w:val="22"/>
          <w:szCs w:val="22"/>
          <w:lang w:eastAsia="en-US"/>
        </w:rPr>
      </w:pPr>
    </w:p>
    <w:p w14:paraId="1D8FF7E0" w14:textId="77777777" w:rsidR="00823785" w:rsidRPr="00452D62" w:rsidRDefault="00823785" w:rsidP="00823785">
      <w:pPr>
        <w:widowControl w:val="0"/>
        <w:suppressAutoHyphens w:val="0"/>
        <w:spacing w:line="240" w:lineRule="auto"/>
        <w:outlineLvl w:val="0"/>
        <w:rPr>
          <w:b/>
          <w:snapToGrid w:val="0"/>
          <w:color w:val="auto"/>
          <w:sz w:val="22"/>
          <w:szCs w:val="22"/>
          <w:lang w:eastAsia="en-US"/>
        </w:rPr>
      </w:pPr>
    </w:p>
    <w:p w14:paraId="372518BA" w14:textId="77777777" w:rsidR="00823785" w:rsidRPr="00452D62" w:rsidRDefault="00823785" w:rsidP="00823785">
      <w:pPr>
        <w:widowControl w:val="0"/>
        <w:suppressAutoHyphens w:val="0"/>
        <w:spacing w:line="240" w:lineRule="auto"/>
        <w:outlineLvl w:val="0"/>
        <w:rPr>
          <w:b/>
          <w:snapToGrid w:val="0"/>
          <w:color w:val="auto"/>
          <w:sz w:val="22"/>
          <w:szCs w:val="22"/>
          <w:lang w:eastAsia="en-US"/>
        </w:rPr>
      </w:pPr>
    </w:p>
    <w:p w14:paraId="253274EF" w14:textId="77777777" w:rsidR="00823785" w:rsidRPr="00452D62" w:rsidRDefault="00823785" w:rsidP="00823785">
      <w:pPr>
        <w:widowControl w:val="0"/>
        <w:suppressAutoHyphens w:val="0"/>
        <w:spacing w:line="240" w:lineRule="auto"/>
        <w:outlineLvl w:val="0"/>
        <w:rPr>
          <w:b/>
          <w:snapToGrid w:val="0"/>
          <w:color w:val="auto"/>
          <w:sz w:val="22"/>
          <w:szCs w:val="22"/>
          <w:lang w:eastAsia="en-US"/>
        </w:rPr>
      </w:pPr>
    </w:p>
    <w:p w14:paraId="1BBCB4BE" w14:textId="77777777" w:rsidR="00823785" w:rsidRPr="00452D62" w:rsidRDefault="00823785" w:rsidP="00823785">
      <w:pPr>
        <w:widowControl w:val="0"/>
        <w:suppressAutoHyphens w:val="0"/>
        <w:spacing w:line="240" w:lineRule="auto"/>
        <w:jc w:val="center"/>
        <w:outlineLvl w:val="1"/>
        <w:rPr>
          <w:b/>
          <w:bCs/>
          <w:iCs/>
          <w:snapToGrid w:val="0"/>
          <w:color w:val="auto"/>
          <w:sz w:val="22"/>
          <w:szCs w:val="22"/>
          <w:lang w:eastAsia="x-none"/>
        </w:rPr>
      </w:pPr>
    </w:p>
    <w:p w14:paraId="316E8E2D" w14:textId="77777777" w:rsidR="00823785" w:rsidRPr="00452D62" w:rsidRDefault="00823785" w:rsidP="00823785">
      <w:pPr>
        <w:widowControl w:val="0"/>
        <w:suppressAutoHyphens w:val="0"/>
        <w:spacing w:line="240" w:lineRule="auto"/>
        <w:jc w:val="center"/>
        <w:outlineLvl w:val="1"/>
        <w:rPr>
          <w:b/>
          <w:snapToGrid w:val="0"/>
          <w:color w:val="auto"/>
          <w:sz w:val="22"/>
          <w:szCs w:val="22"/>
          <w:lang w:eastAsia="x-none"/>
        </w:rPr>
      </w:pPr>
      <w:r w:rsidRPr="00452D62">
        <w:rPr>
          <w:b/>
          <w:bCs/>
          <w:iCs/>
          <w:snapToGrid w:val="0"/>
          <w:color w:val="auto"/>
          <w:sz w:val="22"/>
          <w:szCs w:val="22"/>
          <w:lang w:eastAsia="x-none"/>
        </w:rPr>
        <w:t>III PRIEDAS</w:t>
      </w:r>
    </w:p>
    <w:p w14:paraId="7951342E" w14:textId="77777777" w:rsidR="00823785" w:rsidRPr="00452D62" w:rsidRDefault="00823785" w:rsidP="00823785">
      <w:pPr>
        <w:widowControl w:val="0"/>
        <w:suppressAutoHyphens w:val="0"/>
        <w:spacing w:line="240" w:lineRule="auto"/>
        <w:rPr>
          <w:snapToGrid w:val="0"/>
          <w:color w:val="auto"/>
          <w:sz w:val="22"/>
          <w:szCs w:val="22"/>
          <w:lang w:eastAsia="en-US"/>
        </w:rPr>
      </w:pPr>
    </w:p>
    <w:p w14:paraId="3B4BAEC4" w14:textId="77777777" w:rsidR="00823785" w:rsidRPr="00452D62" w:rsidRDefault="00823785" w:rsidP="00823785">
      <w:pPr>
        <w:widowControl w:val="0"/>
        <w:suppressAutoHyphens w:val="0"/>
        <w:spacing w:line="240" w:lineRule="auto"/>
        <w:jc w:val="center"/>
        <w:outlineLvl w:val="1"/>
        <w:rPr>
          <w:b/>
          <w:bCs/>
          <w:iCs/>
          <w:snapToGrid w:val="0"/>
          <w:color w:val="auto"/>
          <w:sz w:val="22"/>
          <w:szCs w:val="22"/>
          <w:lang w:eastAsia="x-none"/>
        </w:rPr>
      </w:pPr>
      <w:r w:rsidRPr="00452D62">
        <w:rPr>
          <w:b/>
          <w:bCs/>
          <w:iCs/>
          <w:snapToGrid w:val="0"/>
          <w:color w:val="auto"/>
          <w:sz w:val="22"/>
          <w:szCs w:val="22"/>
          <w:lang w:eastAsia="x-none"/>
        </w:rPr>
        <w:t>ŽENKLINIMAS IR PAKUOTĖS LAPELIS</w:t>
      </w:r>
    </w:p>
    <w:p w14:paraId="617C57F6" w14:textId="77777777" w:rsidR="00823785" w:rsidRPr="00452D62" w:rsidRDefault="00823785" w:rsidP="00823785">
      <w:pPr>
        <w:widowControl w:val="0"/>
        <w:suppressAutoHyphens w:val="0"/>
        <w:spacing w:line="240" w:lineRule="auto"/>
        <w:jc w:val="center"/>
        <w:outlineLvl w:val="1"/>
        <w:rPr>
          <w:b/>
          <w:snapToGrid w:val="0"/>
          <w:color w:val="auto"/>
          <w:sz w:val="22"/>
          <w:szCs w:val="22"/>
          <w:lang w:eastAsia="x-none"/>
        </w:rPr>
      </w:pPr>
      <w:r w:rsidRPr="00452D62">
        <w:rPr>
          <w:b/>
          <w:snapToGrid w:val="0"/>
          <w:color w:val="auto"/>
          <w:sz w:val="22"/>
          <w:szCs w:val="22"/>
          <w:lang w:eastAsia="x-none"/>
        </w:rPr>
        <w:br w:type="page"/>
      </w:r>
    </w:p>
    <w:p w14:paraId="7A47727F" w14:textId="77777777" w:rsidR="00823785" w:rsidRPr="00452D62" w:rsidRDefault="00823785" w:rsidP="00823785">
      <w:pPr>
        <w:widowControl w:val="0"/>
        <w:suppressAutoHyphens w:val="0"/>
        <w:spacing w:line="240" w:lineRule="auto"/>
        <w:jc w:val="center"/>
        <w:outlineLvl w:val="1"/>
        <w:rPr>
          <w:b/>
          <w:snapToGrid w:val="0"/>
          <w:color w:val="auto"/>
          <w:sz w:val="22"/>
          <w:szCs w:val="22"/>
          <w:lang w:eastAsia="x-none"/>
        </w:rPr>
      </w:pPr>
    </w:p>
    <w:p w14:paraId="22007530" w14:textId="77777777" w:rsidR="00823785" w:rsidRPr="00452D62" w:rsidRDefault="00823785" w:rsidP="00823785">
      <w:pPr>
        <w:widowControl w:val="0"/>
        <w:suppressAutoHyphens w:val="0"/>
        <w:spacing w:line="240" w:lineRule="auto"/>
        <w:jc w:val="center"/>
        <w:outlineLvl w:val="1"/>
        <w:rPr>
          <w:b/>
          <w:snapToGrid w:val="0"/>
          <w:color w:val="auto"/>
          <w:sz w:val="22"/>
          <w:szCs w:val="22"/>
          <w:lang w:eastAsia="x-none"/>
        </w:rPr>
      </w:pPr>
    </w:p>
    <w:p w14:paraId="069C8071" w14:textId="77777777" w:rsidR="00823785" w:rsidRPr="00452D62" w:rsidRDefault="00823785" w:rsidP="00823785">
      <w:pPr>
        <w:widowControl w:val="0"/>
        <w:suppressAutoHyphens w:val="0"/>
        <w:spacing w:line="240" w:lineRule="auto"/>
        <w:jc w:val="center"/>
        <w:outlineLvl w:val="1"/>
        <w:rPr>
          <w:b/>
          <w:snapToGrid w:val="0"/>
          <w:color w:val="auto"/>
          <w:sz w:val="22"/>
          <w:szCs w:val="22"/>
          <w:lang w:eastAsia="x-none"/>
        </w:rPr>
      </w:pPr>
    </w:p>
    <w:p w14:paraId="3CF825E6" w14:textId="77777777" w:rsidR="00823785" w:rsidRPr="00452D62" w:rsidRDefault="00823785" w:rsidP="00823785">
      <w:pPr>
        <w:widowControl w:val="0"/>
        <w:suppressAutoHyphens w:val="0"/>
        <w:spacing w:line="240" w:lineRule="auto"/>
        <w:jc w:val="center"/>
        <w:outlineLvl w:val="1"/>
        <w:rPr>
          <w:b/>
          <w:snapToGrid w:val="0"/>
          <w:color w:val="auto"/>
          <w:sz w:val="22"/>
          <w:szCs w:val="22"/>
          <w:lang w:eastAsia="x-none"/>
        </w:rPr>
      </w:pPr>
    </w:p>
    <w:p w14:paraId="16D2C0E6" w14:textId="77777777" w:rsidR="00823785" w:rsidRPr="00452D62" w:rsidRDefault="00823785" w:rsidP="00823785">
      <w:pPr>
        <w:widowControl w:val="0"/>
        <w:suppressAutoHyphens w:val="0"/>
        <w:spacing w:line="240" w:lineRule="auto"/>
        <w:jc w:val="center"/>
        <w:outlineLvl w:val="1"/>
        <w:rPr>
          <w:b/>
          <w:snapToGrid w:val="0"/>
          <w:color w:val="auto"/>
          <w:sz w:val="22"/>
          <w:szCs w:val="22"/>
          <w:lang w:eastAsia="x-none"/>
        </w:rPr>
      </w:pPr>
    </w:p>
    <w:p w14:paraId="2E3EF0F4" w14:textId="77777777" w:rsidR="00823785" w:rsidRPr="00452D62" w:rsidRDefault="00823785" w:rsidP="00823785">
      <w:pPr>
        <w:widowControl w:val="0"/>
        <w:suppressAutoHyphens w:val="0"/>
        <w:spacing w:line="240" w:lineRule="auto"/>
        <w:jc w:val="center"/>
        <w:outlineLvl w:val="1"/>
        <w:rPr>
          <w:b/>
          <w:snapToGrid w:val="0"/>
          <w:color w:val="auto"/>
          <w:sz w:val="22"/>
          <w:szCs w:val="22"/>
          <w:lang w:eastAsia="x-none"/>
        </w:rPr>
      </w:pPr>
    </w:p>
    <w:p w14:paraId="3FAE795D" w14:textId="77777777" w:rsidR="00823785" w:rsidRPr="00452D62" w:rsidRDefault="00823785" w:rsidP="00823785">
      <w:pPr>
        <w:widowControl w:val="0"/>
        <w:suppressAutoHyphens w:val="0"/>
        <w:spacing w:line="240" w:lineRule="auto"/>
        <w:jc w:val="center"/>
        <w:outlineLvl w:val="1"/>
        <w:rPr>
          <w:b/>
          <w:snapToGrid w:val="0"/>
          <w:color w:val="auto"/>
          <w:sz w:val="22"/>
          <w:szCs w:val="22"/>
          <w:lang w:eastAsia="x-none"/>
        </w:rPr>
      </w:pPr>
    </w:p>
    <w:p w14:paraId="2372AB85" w14:textId="77777777" w:rsidR="00823785" w:rsidRPr="00452D62" w:rsidRDefault="00823785" w:rsidP="00823785">
      <w:pPr>
        <w:widowControl w:val="0"/>
        <w:suppressAutoHyphens w:val="0"/>
        <w:spacing w:line="240" w:lineRule="auto"/>
        <w:jc w:val="center"/>
        <w:outlineLvl w:val="1"/>
        <w:rPr>
          <w:b/>
          <w:snapToGrid w:val="0"/>
          <w:color w:val="auto"/>
          <w:sz w:val="22"/>
          <w:szCs w:val="22"/>
          <w:lang w:eastAsia="x-none"/>
        </w:rPr>
      </w:pPr>
    </w:p>
    <w:p w14:paraId="012AD2C7" w14:textId="77777777" w:rsidR="00823785" w:rsidRPr="00452D62" w:rsidRDefault="00823785" w:rsidP="00823785">
      <w:pPr>
        <w:widowControl w:val="0"/>
        <w:suppressAutoHyphens w:val="0"/>
        <w:spacing w:line="240" w:lineRule="auto"/>
        <w:jc w:val="center"/>
        <w:outlineLvl w:val="1"/>
        <w:rPr>
          <w:b/>
          <w:snapToGrid w:val="0"/>
          <w:color w:val="auto"/>
          <w:sz w:val="22"/>
          <w:szCs w:val="22"/>
          <w:lang w:eastAsia="x-none"/>
        </w:rPr>
      </w:pPr>
    </w:p>
    <w:p w14:paraId="62E4DE61" w14:textId="77777777" w:rsidR="00823785" w:rsidRPr="00452D62" w:rsidRDefault="00823785" w:rsidP="00823785">
      <w:pPr>
        <w:widowControl w:val="0"/>
        <w:suppressAutoHyphens w:val="0"/>
        <w:spacing w:line="240" w:lineRule="auto"/>
        <w:jc w:val="center"/>
        <w:outlineLvl w:val="1"/>
        <w:rPr>
          <w:b/>
          <w:snapToGrid w:val="0"/>
          <w:color w:val="auto"/>
          <w:sz w:val="22"/>
          <w:szCs w:val="22"/>
          <w:lang w:eastAsia="x-none"/>
        </w:rPr>
      </w:pPr>
    </w:p>
    <w:p w14:paraId="01341106" w14:textId="77777777" w:rsidR="00823785" w:rsidRPr="00452D62" w:rsidRDefault="00823785" w:rsidP="00823785">
      <w:pPr>
        <w:widowControl w:val="0"/>
        <w:suppressAutoHyphens w:val="0"/>
        <w:spacing w:line="240" w:lineRule="auto"/>
        <w:jc w:val="center"/>
        <w:outlineLvl w:val="1"/>
        <w:rPr>
          <w:b/>
          <w:snapToGrid w:val="0"/>
          <w:color w:val="auto"/>
          <w:sz w:val="22"/>
          <w:szCs w:val="22"/>
          <w:lang w:eastAsia="x-none"/>
        </w:rPr>
      </w:pPr>
    </w:p>
    <w:p w14:paraId="457DD3B1" w14:textId="77777777" w:rsidR="00823785" w:rsidRPr="00452D62" w:rsidRDefault="00823785" w:rsidP="00823785">
      <w:pPr>
        <w:widowControl w:val="0"/>
        <w:suppressAutoHyphens w:val="0"/>
        <w:spacing w:line="240" w:lineRule="auto"/>
        <w:jc w:val="center"/>
        <w:outlineLvl w:val="1"/>
        <w:rPr>
          <w:b/>
          <w:snapToGrid w:val="0"/>
          <w:color w:val="auto"/>
          <w:sz w:val="22"/>
          <w:szCs w:val="22"/>
          <w:lang w:eastAsia="x-none"/>
        </w:rPr>
      </w:pPr>
    </w:p>
    <w:p w14:paraId="072F1635" w14:textId="77777777" w:rsidR="00823785" w:rsidRPr="00452D62" w:rsidRDefault="00823785" w:rsidP="00823785">
      <w:pPr>
        <w:widowControl w:val="0"/>
        <w:suppressAutoHyphens w:val="0"/>
        <w:spacing w:line="240" w:lineRule="auto"/>
        <w:jc w:val="center"/>
        <w:outlineLvl w:val="1"/>
        <w:rPr>
          <w:b/>
          <w:snapToGrid w:val="0"/>
          <w:color w:val="auto"/>
          <w:sz w:val="22"/>
          <w:szCs w:val="22"/>
          <w:lang w:eastAsia="x-none"/>
        </w:rPr>
      </w:pPr>
    </w:p>
    <w:p w14:paraId="34739338" w14:textId="77777777" w:rsidR="00823785" w:rsidRPr="00452D62" w:rsidRDefault="00823785" w:rsidP="00823785">
      <w:pPr>
        <w:widowControl w:val="0"/>
        <w:suppressAutoHyphens w:val="0"/>
        <w:spacing w:line="240" w:lineRule="auto"/>
        <w:jc w:val="center"/>
        <w:outlineLvl w:val="1"/>
        <w:rPr>
          <w:b/>
          <w:snapToGrid w:val="0"/>
          <w:color w:val="auto"/>
          <w:sz w:val="22"/>
          <w:szCs w:val="22"/>
          <w:lang w:eastAsia="x-none"/>
        </w:rPr>
      </w:pPr>
    </w:p>
    <w:p w14:paraId="50E3AC60" w14:textId="77777777" w:rsidR="00823785" w:rsidRPr="00452D62" w:rsidRDefault="00823785" w:rsidP="00823785">
      <w:pPr>
        <w:widowControl w:val="0"/>
        <w:suppressAutoHyphens w:val="0"/>
        <w:spacing w:line="240" w:lineRule="auto"/>
        <w:jc w:val="center"/>
        <w:outlineLvl w:val="1"/>
        <w:rPr>
          <w:b/>
          <w:snapToGrid w:val="0"/>
          <w:color w:val="auto"/>
          <w:sz w:val="22"/>
          <w:szCs w:val="22"/>
          <w:lang w:eastAsia="x-none"/>
        </w:rPr>
      </w:pPr>
    </w:p>
    <w:p w14:paraId="4958C155" w14:textId="77777777" w:rsidR="00823785" w:rsidRPr="00452D62" w:rsidRDefault="00823785" w:rsidP="00823785">
      <w:pPr>
        <w:widowControl w:val="0"/>
        <w:suppressAutoHyphens w:val="0"/>
        <w:spacing w:line="240" w:lineRule="auto"/>
        <w:jc w:val="center"/>
        <w:outlineLvl w:val="1"/>
        <w:rPr>
          <w:b/>
          <w:snapToGrid w:val="0"/>
          <w:color w:val="auto"/>
          <w:sz w:val="22"/>
          <w:szCs w:val="22"/>
          <w:lang w:eastAsia="x-none"/>
        </w:rPr>
      </w:pPr>
    </w:p>
    <w:p w14:paraId="6CFDA747" w14:textId="77777777" w:rsidR="00823785" w:rsidRPr="00452D62" w:rsidRDefault="00823785" w:rsidP="00823785">
      <w:pPr>
        <w:widowControl w:val="0"/>
        <w:suppressAutoHyphens w:val="0"/>
        <w:spacing w:line="240" w:lineRule="auto"/>
        <w:jc w:val="center"/>
        <w:outlineLvl w:val="1"/>
        <w:rPr>
          <w:b/>
          <w:snapToGrid w:val="0"/>
          <w:color w:val="auto"/>
          <w:sz w:val="22"/>
          <w:szCs w:val="22"/>
          <w:lang w:eastAsia="x-none"/>
        </w:rPr>
      </w:pPr>
    </w:p>
    <w:p w14:paraId="5A0740FB" w14:textId="77777777" w:rsidR="00823785" w:rsidRPr="00452D62" w:rsidRDefault="00823785" w:rsidP="00823785">
      <w:pPr>
        <w:widowControl w:val="0"/>
        <w:suppressAutoHyphens w:val="0"/>
        <w:spacing w:line="240" w:lineRule="auto"/>
        <w:jc w:val="center"/>
        <w:outlineLvl w:val="1"/>
        <w:rPr>
          <w:b/>
          <w:snapToGrid w:val="0"/>
          <w:color w:val="auto"/>
          <w:sz w:val="22"/>
          <w:szCs w:val="22"/>
          <w:lang w:eastAsia="x-none"/>
        </w:rPr>
      </w:pPr>
    </w:p>
    <w:p w14:paraId="6354D67E" w14:textId="77777777" w:rsidR="00823785" w:rsidRPr="00452D62" w:rsidRDefault="00823785" w:rsidP="00823785">
      <w:pPr>
        <w:widowControl w:val="0"/>
        <w:suppressAutoHyphens w:val="0"/>
        <w:spacing w:line="240" w:lineRule="auto"/>
        <w:jc w:val="center"/>
        <w:outlineLvl w:val="1"/>
        <w:rPr>
          <w:b/>
          <w:snapToGrid w:val="0"/>
          <w:color w:val="auto"/>
          <w:sz w:val="22"/>
          <w:szCs w:val="22"/>
          <w:lang w:eastAsia="x-none"/>
        </w:rPr>
      </w:pPr>
    </w:p>
    <w:p w14:paraId="48B57C89" w14:textId="77777777" w:rsidR="00823785" w:rsidRPr="00452D62" w:rsidRDefault="00823785" w:rsidP="00823785">
      <w:pPr>
        <w:widowControl w:val="0"/>
        <w:suppressAutoHyphens w:val="0"/>
        <w:spacing w:line="240" w:lineRule="auto"/>
        <w:jc w:val="center"/>
        <w:outlineLvl w:val="1"/>
        <w:rPr>
          <w:b/>
          <w:snapToGrid w:val="0"/>
          <w:color w:val="auto"/>
          <w:sz w:val="22"/>
          <w:szCs w:val="22"/>
          <w:lang w:eastAsia="x-none"/>
        </w:rPr>
      </w:pPr>
    </w:p>
    <w:p w14:paraId="757768A9" w14:textId="77777777" w:rsidR="00823785" w:rsidRPr="00452D62" w:rsidRDefault="00823785" w:rsidP="00823785">
      <w:pPr>
        <w:widowControl w:val="0"/>
        <w:suppressAutoHyphens w:val="0"/>
        <w:spacing w:line="240" w:lineRule="auto"/>
        <w:jc w:val="center"/>
        <w:outlineLvl w:val="1"/>
        <w:rPr>
          <w:b/>
          <w:snapToGrid w:val="0"/>
          <w:color w:val="auto"/>
          <w:sz w:val="22"/>
          <w:szCs w:val="22"/>
          <w:lang w:eastAsia="x-none"/>
        </w:rPr>
      </w:pPr>
    </w:p>
    <w:p w14:paraId="00F713E2" w14:textId="77777777" w:rsidR="00823785" w:rsidRPr="00452D62" w:rsidRDefault="00823785" w:rsidP="00823785">
      <w:pPr>
        <w:widowControl w:val="0"/>
        <w:suppressAutoHyphens w:val="0"/>
        <w:spacing w:line="240" w:lineRule="auto"/>
        <w:jc w:val="center"/>
        <w:outlineLvl w:val="1"/>
        <w:rPr>
          <w:b/>
          <w:snapToGrid w:val="0"/>
          <w:color w:val="auto"/>
          <w:sz w:val="22"/>
          <w:szCs w:val="22"/>
          <w:lang w:eastAsia="x-none"/>
        </w:rPr>
      </w:pPr>
    </w:p>
    <w:p w14:paraId="21C27B94" w14:textId="77777777" w:rsidR="00823785" w:rsidRPr="00452D62" w:rsidRDefault="00823785" w:rsidP="00823785">
      <w:pPr>
        <w:widowControl w:val="0"/>
        <w:suppressAutoHyphens w:val="0"/>
        <w:spacing w:line="240" w:lineRule="auto"/>
        <w:jc w:val="center"/>
        <w:outlineLvl w:val="1"/>
        <w:rPr>
          <w:b/>
          <w:snapToGrid w:val="0"/>
          <w:color w:val="auto"/>
          <w:sz w:val="22"/>
          <w:szCs w:val="22"/>
          <w:lang w:eastAsia="x-none"/>
        </w:rPr>
      </w:pPr>
    </w:p>
    <w:p w14:paraId="3D0B9244" w14:textId="77777777" w:rsidR="00823785" w:rsidRPr="00452D62" w:rsidRDefault="00823785" w:rsidP="00823785">
      <w:pPr>
        <w:widowControl w:val="0"/>
        <w:suppressAutoHyphens w:val="0"/>
        <w:spacing w:line="240" w:lineRule="auto"/>
        <w:jc w:val="center"/>
        <w:outlineLvl w:val="1"/>
        <w:rPr>
          <w:b/>
          <w:snapToGrid w:val="0"/>
          <w:color w:val="auto"/>
          <w:sz w:val="22"/>
          <w:szCs w:val="22"/>
          <w:lang w:eastAsia="x-none"/>
        </w:rPr>
      </w:pPr>
      <w:r w:rsidRPr="00452D62">
        <w:rPr>
          <w:b/>
          <w:snapToGrid w:val="0"/>
          <w:color w:val="auto"/>
          <w:sz w:val="22"/>
          <w:szCs w:val="22"/>
          <w:lang w:eastAsia="x-none"/>
        </w:rPr>
        <w:t>A. ŽENKLINIMAS</w:t>
      </w:r>
    </w:p>
    <w:p w14:paraId="7FF71434" w14:textId="77777777" w:rsidR="00823785" w:rsidRPr="00452D62" w:rsidRDefault="00823785" w:rsidP="00823785">
      <w:pPr>
        <w:widowControl w:val="0"/>
        <w:suppressAutoHyphens w:val="0"/>
        <w:spacing w:line="240" w:lineRule="auto"/>
        <w:jc w:val="center"/>
        <w:outlineLvl w:val="1"/>
        <w:rPr>
          <w:b/>
          <w:snapToGrid w:val="0"/>
          <w:color w:val="auto"/>
          <w:sz w:val="22"/>
          <w:szCs w:val="22"/>
          <w:lang w:eastAsia="x-none"/>
        </w:rPr>
      </w:pPr>
    </w:p>
    <w:p w14:paraId="44CEFACA" w14:textId="77777777" w:rsidR="00823785" w:rsidRPr="00452D62" w:rsidRDefault="00823785" w:rsidP="00823785">
      <w:pPr>
        <w:widowControl w:val="0"/>
        <w:suppressAutoHyphens w:val="0"/>
        <w:spacing w:line="240" w:lineRule="auto"/>
        <w:rPr>
          <w:snapToGrid w:val="0"/>
          <w:color w:val="auto"/>
          <w:sz w:val="22"/>
          <w:szCs w:val="22"/>
          <w:lang w:eastAsia="en-US"/>
        </w:rPr>
      </w:pPr>
      <w:r w:rsidRPr="00452D62">
        <w:rPr>
          <w:snapToGrid w:val="0"/>
          <w:color w:val="auto"/>
          <w:sz w:val="22"/>
          <w:szCs w:val="22"/>
          <w:lang w:eastAsia="en-US"/>
        </w:rPr>
        <w:br w:type="page"/>
      </w:r>
    </w:p>
    <w:p w14:paraId="5377E070" w14:textId="77777777" w:rsidR="00823785" w:rsidRPr="00452D62" w:rsidRDefault="00823785" w:rsidP="00823785">
      <w:pPr>
        <w:widowControl w:val="0"/>
        <w:pBdr>
          <w:top w:val="single" w:sz="4" w:space="1" w:color="auto"/>
          <w:left w:val="single" w:sz="4" w:space="1" w:color="auto"/>
          <w:bottom w:val="single" w:sz="4" w:space="1" w:color="auto"/>
          <w:right w:val="single" w:sz="4" w:space="1" w:color="auto"/>
        </w:pBdr>
        <w:tabs>
          <w:tab w:val="clear" w:pos="567"/>
          <w:tab w:val="left" w:pos="1296"/>
        </w:tabs>
        <w:spacing w:line="240" w:lineRule="auto"/>
        <w:outlineLvl w:val="0"/>
        <w:rPr>
          <w:b/>
          <w:color w:val="auto"/>
          <w:sz w:val="22"/>
          <w:szCs w:val="22"/>
          <w:lang w:eastAsia="en-US"/>
        </w:rPr>
      </w:pPr>
      <w:r w:rsidRPr="00452D62">
        <w:rPr>
          <w:b/>
          <w:color w:val="auto"/>
          <w:sz w:val="22"/>
          <w:szCs w:val="22"/>
          <w:lang w:eastAsia="en-US"/>
        </w:rPr>
        <w:t>INFORMACIJA ANT IŠORINĖS PAKUOTĖS</w:t>
      </w:r>
    </w:p>
    <w:p w14:paraId="38EA0659" w14:textId="77777777" w:rsidR="00823785" w:rsidRPr="00452D62" w:rsidRDefault="00823785" w:rsidP="00823785">
      <w:pPr>
        <w:widowControl w:val="0"/>
        <w:pBdr>
          <w:top w:val="single" w:sz="4" w:space="1" w:color="auto"/>
          <w:left w:val="single" w:sz="4" w:space="1" w:color="auto"/>
          <w:bottom w:val="single" w:sz="4" w:space="1" w:color="auto"/>
          <w:right w:val="single" w:sz="4" w:space="1" w:color="auto"/>
        </w:pBdr>
        <w:tabs>
          <w:tab w:val="clear" w:pos="567"/>
          <w:tab w:val="left" w:pos="1296"/>
        </w:tabs>
        <w:suppressAutoHyphens w:val="0"/>
        <w:snapToGrid w:val="0"/>
        <w:spacing w:line="240" w:lineRule="auto"/>
        <w:ind w:left="567" w:hanging="567"/>
        <w:rPr>
          <w:bCs/>
          <w:color w:val="auto"/>
          <w:sz w:val="22"/>
          <w:szCs w:val="22"/>
          <w:lang w:eastAsia="en-US"/>
        </w:rPr>
      </w:pPr>
    </w:p>
    <w:p w14:paraId="05026020" w14:textId="77777777" w:rsidR="00823785" w:rsidRPr="00452D62" w:rsidRDefault="00823785" w:rsidP="00823785">
      <w:pPr>
        <w:widowControl w:val="0"/>
        <w:pBdr>
          <w:top w:val="single" w:sz="4" w:space="1" w:color="auto"/>
          <w:left w:val="single" w:sz="4" w:space="1" w:color="auto"/>
          <w:bottom w:val="single" w:sz="4" w:space="1" w:color="auto"/>
          <w:right w:val="single" w:sz="4" w:space="1" w:color="auto"/>
        </w:pBdr>
        <w:tabs>
          <w:tab w:val="clear" w:pos="567"/>
          <w:tab w:val="left" w:pos="1296"/>
        </w:tabs>
        <w:suppressAutoHyphens w:val="0"/>
        <w:snapToGrid w:val="0"/>
        <w:spacing w:line="240" w:lineRule="auto"/>
        <w:rPr>
          <w:b/>
          <w:color w:val="auto"/>
          <w:sz w:val="22"/>
          <w:szCs w:val="22"/>
          <w:lang w:eastAsia="en-US"/>
        </w:rPr>
      </w:pPr>
      <w:r w:rsidRPr="00452D62">
        <w:rPr>
          <w:b/>
          <w:color w:val="auto"/>
          <w:sz w:val="22"/>
          <w:szCs w:val="22"/>
          <w:lang w:eastAsia="en-US"/>
        </w:rPr>
        <w:t>KARTONO DĖŽUTĖ</w:t>
      </w:r>
    </w:p>
    <w:p w14:paraId="472E4C4B"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5631BA94"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4CCF97BB" w14:textId="77777777" w:rsidR="00823785" w:rsidRPr="00452D62" w:rsidRDefault="00823785" w:rsidP="00823785">
      <w:pPr>
        <w:widowControl w:val="0"/>
        <w:pBdr>
          <w:top w:val="single" w:sz="4" w:space="1" w:color="auto"/>
          <w:left w:val="single" w:sz="4" w:space="4" w:color="auto"/>
          <w:bottom w:val="single" w:sz="4" w:space="1" w:color="auto"/>
          <w:right w:val="single" w:sz="4" w:space="4" w:color="auto"/>
        </w:pBdr>
        <w:tabs>
          <w:tab w:val="clear" w:pos="567"/>
          <w:tab w:val="left" w:pos="1296"/>
        </w:tabs>
        <w:suppressAutoHyphens w:val="0"/>
        <w:snapToGrid w:val="0"/>
        <w:spacing w:line="240" w:lineRule="auto"/>
        <w:ind w:left="567" w:hanging="567"/>
        <w:outlineLvl w:val="0"/>
        <w:rPr>
          <w:color w:val="auto"/>
          <w:sz w:val="22"/>
          <w:szCs w:val="22"/>
          <w:lang w:eastAsia="en-US"/>
        </w:rPr>
      </w:pPr>
      <w:r w:rsidRPr="00452D62">
        <w:rPr>
          <w:b/>
          <w:color w:val="auto"/>
          <w:sz w:val="22"/>
          <w:szCs w:val="22"/>
          <w:lang w:eastAsia="en-US"/>
        </w:rPr>
        <w:t>1.</w:t>
      </w:r>
      <w:r w:rsidRPr="00452D62">
        <w:rPr>
          <w:b/>
          <w:color w:val="auto"/>
          <w:sz w:val="22"/>
          <w:szCs w:val="22"/>
          <w:lang w:eastAsia="en-US"/>
        </w:rPr>
        <w:tab/>
        <w:t>VAISTINIO PREPARATO PAVADINIMAS</w:t>
      </w:r>
    </w:p>
    <w:p w14:paraId="52FCC436"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46003F4E"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sz w:val="22"/>
          <w:szCs w:val="22"/>
          <w:lang w:eastAsia="en-US"/>
        </w:rPr>
      </w:pPr>
      <w:r w:rsidRPr="00452D62">
        <w:rPr>
          <w:sz w:val="22"/>
          <w:szCs w:val="22"/>
          <w:lang w:eastAsia="en-US"/>
        </w:rPr>
        <w:t>Xerdoxo 2,5 mg plėvele dengtos tabletės</w:t>
      </w:r>
    </w:p>
    <w:p w14:paraId="12897E90"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sz w:val="22"/>
          <w:szCs w:val="22"/>
          <w:highlight w:val="lightGray"/>
          <w:lang w:eastAsia="en-US"/>
        </w:rPr>
      </w:pPr>
      <w:r w:rsidRPr="00452D62">
        <w:rPr>
          <w:sz w:val="22"/>
          <w:szCs w:val="22"/>
          <w:highlight w:val="lightGray"/>
          <w:lang w:eastAsia="en-US"/>
        </w:rPr>
        <w:t>Xerdoxo 10 mg plėvele dengtos tabletės</w:t>
      </w:r>
    </w:p>
    <w:p w14:paraId="3FC90B04"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sz w:val="22"/>
          <w:szCs w:val="22"/>
          <w:lang w:eastAsia="en-US"/>
        </w:rPr>
      </w:pPr>
      <w:r w:rsidRPr="00452D62">
        <w:rPr>
          <w:sz w:val="22"/>
          <w:szCs w:val="22"/>
          <w:highlight w:val="lightGray"/>
          <w:lang w:eastAsia="en-US"/>
        </w:rPr>
        <w:t>Xerdoxo 15 mg plėvele dengtos tabletės</w:t>
      </w:r>
    </w:p>
    <w:p w14:paraId="1EB874D8"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sz w:val="22"/>
          <w:szCs w:val="22"/>
          <w:lang w:eastAsia="en-US"/>
        </w:rPr>
      </w:pPr>
      <w:r w:rsidRPr="00452D62">
        <w:rPr>
          <w:sz w:val="22"/>
          <w:szCs w:val="22"/>
          <w:highlight w:val="lightGray"/>
          <w:lang w:eastAsia="en-US"/>
        </w:rPr>
        <w:t>Xerdoxo 20 mg plėvele dengtos tabletės</w:t>
      </w:r>
    </w:p>
    <w:p w14:paraId="25673486" w14:textId="77777777" w:rsidR="00823785" w:rsidRPr="00452D62" w:rsidRDefault="00823785" w:rsidP="00823785">
      <w:pPr>
        <w:widowControl w:val="0"/>
        <w:tabs>
          <w:tab w:val="clear" w:pos="567"/>
          <w:tab w:val="left" w:pos="1296"/>
        </w:tabs>
        <w:suppressAutoHyphens w:val="0"/>
        <w:snapToGrid w:val="0"/>
        <w:spacing w:line="240" w:lineRule="auto"/>
        <w:ind w:left="567" w:hanging="567"/>
        <w:rPr>
          <w:color w:val="auto"/>
          <w:sz w:val="22"/>
          <w:szCs w:val="22"/>
          <w:lang w:eastAsia="en-US"/>
        </w:rPr>
      </w:pPr>
    </w:p>
    <w:p w14:paraId="0356B90C" w14:textId="77777777" w:rsidR="00823785" w:rsidRPr="00452D62" w:rsidRDefault="00823785" w:rsidP="00823785">
      <w:pPr>
        <w:widowControl w:val="0"/>
        <w:tabs>
          <w:tab w:val="clear" w:pos="567"/>
          <w:tab w:val="left" w:pos="1296"/>
        </w:tabs>
        <w:suppressAutoHyphens w:val="0"/>
        <w:snapToGrid w:val="0"/>
        <w:spacing w:line="240" w:lineRule="auto"/>
        <w:ind w:left="567" w:hanging="567"/>
        <w:rPr>
          <w:color w:val="auto"/>
          <w:sz w:val="22"/>
          <w:szCs w:val="22"/>
          <w:lang w:eastAsia="en-US"/>
        </w:rPr>
      </w:pPr>
      <w:r w:rsidRPr="00452D62">
        <w:rPr>
          <w:color w:val="auto"/>
          <w:sz w:val="22"/>
          <w:szCs w:val="22"/>
          <w:lang w:eastAsia="en-US"/>
        </w:rPr>
        <w:t>rivaroksabanas</w:t>
      </w:r>
    </w:p>
    <w:p w14:paraId="3105B5F6"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43226579"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199BBB43" w14:textId="77777777" w:rsidR="00823785" w:rsidRPr="00452D62" w:rsidRDefault="00823785" w:rsidP="00823785">
      <w:pPr>
        <w:widowControl w:val="0"/>
        <w:pBdr>
          <w:top w:val="single" w:sz="4" w:space="1" w:color="auto"/>
          <w:left w:val="single" w:sz="4" w:space="4" w:color="auto"/>
          <w:bottom w:val="single" w:sz="4" w:space="1" w:color="auto"/>
          <w:right w:val="single" w:sz="4" w:space="4" w:color="auto"/>
        </w:pBdr>
        <w:tabs>
          <w:tab w:val="clear" w:pos="567"/>
          <w:tab w:val="left" w:pos="1296"/>
        </w:tabs>
        <w:suppressAutoHyphens w:val="0"/>
        <w:snapToGrid w:val="0"/>
        <w:spacing w:line="240" w:lineRule="auto"/>
        <w:ind w:left="567" w:hanging="567"/>
        <w:outlineLvl w:val="0"/>
        <w:rPr>
          <w:b/>
          <w:color w:val="auto"/>
          <w:sz w:val="22"/>
          <w:szCs w:val="22"/>
          <w:lang w:eastAsia="en-US"/>
        </w:rPr>
      </w:pPr>
      <w:r w:rsidRPr="00452D62">
        <w:rPr>
          <w:b/>
          <w:color w:val="auto"/>
          <w:sz w:val="22"/>
          <w:szCs w:val="22"/>
          <w:lang w:eastAsia="en-US"/>
        </w:rPr>
        <w:t>2.</w:t>
      </w:r>
      <w:r w:rsidRPr="00452D62">
        <w:rPr>
          <w:b/>
          <w:color w:val="auto"/>
          <w:sz w:val="22"/>
          <w:szCs w:val="22"/>
          <w:lang w:eastAsia="en-US"/>
        </w:rPr>
        <w:tab/>
        <w:t>VEIKLIOJI (</w:t>
      </w:r>
      <w:r w:rsidRPr="00452D62">
        <w:rPr>
          <w:b/>
          <w:color w:val="auto"/>
          <w:sz w:val="22"/>
          <w:szCs w:val="22"/>
          <w:lang w:eastAsia="en-US"/>
        </w:rPr>
        <w:noBreakHyphen/>
        <w:t>IOS) MEDŽIAGA (</w:t>
      </w:r>
      <w:r w:rsidRPr="00452D62">
        <w:rPr>
          <w:b/>
          <w:color w:val="auto"/>
          <w:sz w:val="22"/>
          <w:szCs w:val="22"/>
          <w:lang w:eastAsia="en-US"/>
        </w:rPr>
        <w:noBreakHyphen/>
        <w:t>OS) IR JOS (</w:t>
      </w:r>
      <w:r w:rsidRPr="00452D62">
        <w:rPr>
          <w:b/>
          <w:color w:val="auto"/>
          <w:sz w:val="22"/>
          <w:szCs w:val="22"/>
          <w:lang w:eastAsia="en-US"/>
        </w:rPr>
        <w:noBreakHyphen/>
        <w:t>Ų) KIEKIS (</w:t>
      </w:r>
      <w:r w:rsidRPr="00452D62">
        <w:rPr>
          <w:b/>
          <w:color w:val="auto"/>
          <w:sz w:val="22"/>
          <w:szCs w:val="22"/>
          <w:lang w:eastAsia="en-US"/>
        </w:rPr>
        <w:noBreakHyphen/>
        <w:t>IAI)</w:t>
      </w:r>
    </w:p>
    <w:p w14:paraId="066BA6D3"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6AEBA9F1"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lang w:eastAsia="en-US"/>
        </w:rPr>
      </w:pPr>
      <w:r w:rsidRPr="00452D62">
        <w:rPr>
          <w:rFonts w:eastAsia="TimesNewRoman"/>
          <w:color w:val="auto"/>
          <w:sz w:val="22"/>
          <w:szCs w:val="22"/>
          <w:lang w:eastAsia="en-US"/>
        </w:rPr>
        <w:t>Kiekvienoje plėvele dengtoje tabletėje yra 2,5 mg rivaroksabano.</w:t>
      </w:r>
    </w:p>
    <w:p w14:paraId="6DE372B7"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Kiekvienoje plėvele dengtoje tabletėje yra 10 mg rivaroksabano.</w:t>
      </w:r>
    </w:p>
    <w:p w14:paraId="49B4D389"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lang w:eastAsia="en-US"/>
        </w:rPr>
      </w:pPr>
      <w:r w:rsidRPr="00452D62">
        <w:rPr>
          <w:rFonts w:eastAsia="TimesNewRoman"/>
          <w:color w:val="auto"/>
          <w:sz w:val="22"/>
          <w:szCs w:val="22"/>
          <w:highlight w:val="lightGray"/>
          <w:lang w:eastAsia="en-US"/>
        </w:rPr>
        <w:t>Kiekvienoje plėvele dengtoje tabletėje yra 15 mg rivaroksabano.</w:t>
      </w:r>
    </w:p>
    <w:p w14:paraId="39240EC1"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lang w:eastAsia="en-US"/>
        </w:rPr>
      </w:pPr>
      <w:r w:rsidRPr="00452D62">
        <w:rPr>
          <w:rFonts w:eastAsia="TimesNewRoman"/>
          <w:color w:val="auto"/>
          <w:sz w:val="22"/>
          <w:szCs w:val="22"/>
          <w:highlight w:val="lightGray"/>
          <w:lang w:eastAsia="en-US"/>
        </w:rPr>
        <w:t>Kiekvienoje plėvele dengtoje tabletėje yra 20 mg rivaroksabano.</w:t>
      </w:r>
    </w:p>
    <w:p w14:paraId="3756CFBD"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186C6665"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11A0F747" w14:textId="77777777" w:rsidR="00823785" w:rsidRPr="00452D62" w:rsidRDefault="00823785" w:rsidP="00823785">
      <w:pPr>
        <w:widowControl w:val="0"/>
        <w:pBdr>
          <w:top w:val="single" w:sz="4" w:space="1" w:color="auto"/>
          <w:left w:val="single" w:sz="4" w:space="4" w:color="auto"/>
          <w:bottom w:val="single" w:sz="4" w:space="1" w:color="auto"/>
          <w:right w:val="single" w:sz="4" w:space="4" w:color="auto"/>
        </w:pBdr>
        <w:tabs>
          <w:tab w:val="clear" w:pos="567"/>
          <w:tab w:val="left" w:pos="1296"/>
        </w:tabs>
        <w:suppressAutoHyphens w:val="0"/>
        <w:snapToGrid w:val="0"/>
        <w:spacing w:line="240" w:lineRule="auto"/>
        <w:ind w:left="567" w:hanging="567"/>
        <w:outlineLvl w:val="0"/>
        <w:rPr>
          <w:color w:val="auto"/>
          <w:sz w:val="22"/>
          <w:szCs w:val="22"/>
          <w:highlight w:val="lightGray"/>
          <w:lang w:eastAsia="en-US"/>
        </w:rPr>
      </w:pPr>
      <w:r w:rsidRPr="00452D62">
        <w:rPr>
          <w:b/>
          <w:color w:val="auto"/>
          <w:sz w:val="22"/>
          <w:szCs w:val="22"/>
          <w:lang w:eastAsia="en-US"/>
        </w:rPr>
        <w:t>3.</w:t>
      </w:r>
      <w:r w:rsidRPr="00452D62">
        <w:rPr>
          <w:b/>
          <w:color w:val="auto"/>
          <w:sz w:val="22"/>
          <w:szCs w:val="22"/>
          <w:lang w:eastAsia="en-US"/>
        </w:rPr>
        <w:tab/>
        <w:t>PAGALBINIŲ MEDŽIAGŲ SĄRAŠAS</w:t>
      </w:r>
    </w:p>
    <w:p w14:paraId="673B1650"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60D3EBC1"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3D082C25" w14:textId="77777777" w:rsidR="00823785" w:rsidRPr="00452D62" w:rsidRDefault="00823785" w:rsidP="00823785">
      <w:pPr>
        <w:widowControl w:val="0"/>
        <w:pBdr>
          <w:top w:val="single" w:sz="4" w:space="1" w:color="auto"/>
          <w:left w:val="single" w:sz="4" w:space="4" w:color="auto"/>
          <w:bottom w:val="single" w:sz="4" w:space="1" w:color="auto"/>
          <w:right w:val="single" w:sz="4" w:space="4" w:color="auto"/>
        </w:pBdr>
        <w:tabs>
          <w:tab w:val="clear" w:pos="567"/>
          <w:tab w:val="left" w:pos="1296"/>
        </w:tabs>
        <w:suppressAutoHyphens w:val="0"/>
        <w:snapToGrid w:val="0"/>
        <w:spacing w:line="240" w:lineRule="auto"/>
        <w:ind w:left="567" w:hanging="567"/>
        <w:outlineLvl w:val="0"/>
        <w:rPr>
          <w:color w:val="auto"/>
          <w:sz w:val="22"/>
          <w:szCs w:val="22"/>
          <w:lang w:eastAsia="en-US"/>
        </w:rPr>
      </w:pPr>
      <w:r w:rsidRPr="00452D62">
        <w:rPr>
          <w:b/>
          <w:color w:val="auto"/>
          <w:sz w:val="22"/>
          <w:szCs w:val="22"/>
          <w:lang w:eastAsia="en-US"/>
        </w:rPr>
        <w:t>4.</w:t>
      </w:r>
      <w:r w:rsidRPr="00452D62">
        <w:rPr>
          <w:b/>
          <w:color w:val="auto"/>
          <w:sz w:val="22"/>
          <w:szCs w:val="22"/>
          <w:lang w:eastAsia="en-US"/>
        </w:rPr>
        <w:tab/>
        <w:t>FARMACINĖ FORMA IR KIEKIS PAKUOTĖJE</w:t>
      </w:r>
    </w:p>
    <w:p w14:paraId="7D9269E5"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74F569F4" w14:textId="77777777" w:rsidR="00823785" w:rsidRPr="00452D62" w:rsidRDefault="00823785" w:rsidP="00823785">
      <w:pPr>
        <w:widowControl w:val="0"/>
        <w:tabs>
          <w:tab w:val="clear" w:pos="567"/>
          <w:tab w:val="left" w:pos="1296"/>
        </w:tabs>
        <w:suppressAutoHyphens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plėvele dengta tabletė</w:t>
      </w:r>
    </w:p>
    <w:p w14:paraId="05EEA7E9" w14:textId="77777777" w:rsidR="00823785" w:rsidRPr="00452D62" w:rsidRDefault="00823785" w:rsidP="00823785">
      <w:pPr>
        <w:widowControl w:val="0"/>
        <w:tabs>
          <w:tab w:val="clear" w:pos="567"/>
          <w:tab w:val="left" w:pos="1296"/>
        </w:tabs>
        <w:suppressAutoHyphens w:val="0"/>
        <w:snapToGrid w:val="0"/>
        <w:spacing w:line="240" w:lineRule="auto"/>
        <w:rPr>
          <w:rFonts w:eastAsia="TimesNewRoman"/>
          <w:color w:val="auto"/>
          <w:sz w:val="22"/>
          <w:szCs w:val="22"/>
          <w:highlight w:val="lightGray"/>
          <w:lang w:eastAsia="en-US"/>
        </w:rPr>
      </w:pPr>
    </w:p>
    <w:p w14:paraId="2FAC4945"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lang w:eastAsia="en-US"/>
        </w:rPr>
      </w:pPr>
      <w:r w:rsidRPr="00452D62">
        <w:rPr>
          <w:rFonts w:eastAsia="TimesNewRoman"/>
          <w:color w:val="auto"/>
          <w:sz w:val="22"/>
          <w:szCs w:val="22"/>
          <w:lang w:eastAsia="en-US"/>
        </w:rPr>
        <w:t>10 plėvele dengtų tablečių</w:t>
      </w:r>
    </w:p>
    <w:p w14:paraId="7F83BBAC"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14 plėvele dengtų tablečių</w:t>
      </w:r>
    </w:p>
    <w:p w14:paraId="7BC3ACFE"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15 plėvele dengtų tablečių</w:t>
      </w:r>
    </w:p>
    <w:p w14:paraId="1CD081B0"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28 plėvele dengtos tabletės</w:t>
      </w:r>
    </w:p>
    <w:p w14:paraId="060C08B2"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30 plėvele dengtų tablečių</w:t>
      </w:r>
    </w:p>
    <w:p w14:paraId="16B63A48"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42 plėvele dengtos tabletės</w:t>
      </w:r>
    </w:p>
    <w:p w14:paraId="67E696AC"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56 plėvele dengtos tabletės</w:t>
      </w:r>
    </w:p>
    <w:p w14:paraId="142F3F5F"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60 plėvele dengtų tablečių</w:t>
      </w:r>
    </w:p>
    <w:p w14:paraId="739ECECA"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90 plėvele dengtų tablečių</w:t>
      </w:r>
    </w:p>
    <w:p w14:paraId="2E700CD3"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98 plėvele dengtos tabletės</w:t>
      </w:r>
    </w:p>
    <w:p w14:paraId="1BA8D4CB"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100 plėvele dengtų tablečių</w:t>
      </w:r>
    </w:p>
    <w:p w14:paraId="36F836EE"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10 x 1 plėvele dengta tabletė</w:t>
      </w:r>
    </w:p>
    <w:p w14:paraId="6B60115D"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30 x 1 plėvele dengta tabletė</w:t>
      </w:r>
    </w:p>
    <w:p w14:paraId="5F8712DF"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60 x 1 plėvele dengta tabletė</w:t>
      </w:r>
    </w:p>
    <w:p w14:paraId="5BEBD90A"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90 x 1 plėvele dengta tabletė</w:t>
      </w:r>
    </w:p>
    <w:p w14:paraId="01F24148"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100 x 1 plėvele dengta tabletė</w:t>
      </w:r>
    </w:p>
    <w:p w14:paraId="45BF292B"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519B3170"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49C465DC" w14:textId="77777777" w:rsidR="00823785" w:rsidRPr="00452D62" w:rsidRDefault="00823785" w:rsidP="00823785">
      <w:pPr>
        <w:widowControl w:val="0"/>
        <w:pBdr>
          <w:top w:val="single" w:sz="4" w:space="1" w:color="auto"/>
          <w:left w:val="single" w:sz="4" w:space="4" w:color="auto"/>
          <w:bottom w:val="single" w:sz="4" w:space="1" w:color="auto"/>
          <w:right w:val="single" w:sz="4" w:space="4" w:color="auto"/>
        </w:pBdr>
        <w:tabs>
          <w:tab w:val="clear" w:pos="567"/>
          <w:tab w:val="left" w:pos="1296"/>
        </w:tabs>
        <w:suppressAutoHyphens w:val="0"/>
        <w:snapToGrid w:val="0"/>
        <w:spacing w:line="240" w:lineRule="auto"/>
        <w:ind w:left="567" w:hanging="567"/>
        <w:outlineLvl w:val="0"/>
        <w:rPr>
          <w:color w:val="auto"/>
          <w:sz w:val="22"/>
          <w:szCs w:val="22"/>
          <w:highlight w:val="lightGray"/>
          <w:lang w:eastAsia="en-US"/>
        </w:rPr>
      </w:pPr>
      <w:r w:rsidRPr="00452D62">
        <w:rPr>
          <w:b/>
          <w:color w:val="auto"/>
          <w:sz w:val="22"/>
          <w:szCs w:val="22"/>
          <w:lang w:eastAsia="en-US"/>
        </w:rPr>
        <w:t>5.</w:t>
      </w:r>
      <w:r w:rsidRPr="00452D62">
        <w:rPr>
          <w:b/>
          <w:color w:val="auto"/>
          <w:sz w:val="22"/>
          <w:szCs w:val="22"/>
          <w:lang w:eastAsia="en-US"/>
        </w:rPr>
        <w:tab/>
        <w:t>VARTOJIMO METODAS IR BŪDAS (</w:t>
      </w:r>
      <w:r w:rsidRPr="00452D62">
        <w:rPr>
          <w:b/>
          <w:color w:val="auto"/>
          <w:sz w:val="22"/>
          <w:szCs w:val="22"/>
          <w:lang w:eastAsia="en-US"/>
        </w:rPr>
        <w:noBreakHyphen/>
        <w:t>AI)</w:t>
      </w:r>
    </w:p>
    <w:p w14:paraId="0E849067" w14:textId="77777777" w:rsidR="00823785" w:rsidRPr="00452D62" w:rsidRDefault="00823785" w:rsidP="00823785">
      <w:pPr>
        <w:widowControl w:val="0"/>
        <w:tabs>
          <w:tab w:val="clear" w:pos="567"/>
          <w:tab w:val="left" w:pos="1296"/>
        </w:tabs>
        <w:suppressAutoHyphens w:val="0"/>
        <w:snapToGrid w:val="0"/>
        <w:spacing w:line="240" w:lineRule="auto"/>
        <w:rPr>
          <w:i/>
          <w:color w:val="auto"/>
          <w:sz w:val="22"/>
          <w:szCs w:val="22"/>
          <w:lang w:eastAsia="en-US"/>
        </w:rPr>
      </w:pPr>
    </w:p>
    <w:p w14:paraId="0EA46CFA"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r w:rsidRPr="00452D62">
        <w:rPr>
          <w:color w:val="auto"/>
          <w:sz w:val="22"/>
          <w:szCs w:val="22"/>
          <w:lang w:eastAsia="en-US"/>
        </w:rPr>
        <w:t>Prieš vartojimą perskaitykite pakuotės lapelį.</w:t>
      </w:r>
    </w:p>
    <w:p w14:paraId="54F57714"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r w:rsidRPr="00452D62">
        <w:rPr>
          <w:rFonts w:eastAsia="TimesNewRoman"/>
          <w:color w:val="auto"/>
          <w:sz w:val="22"/>
          <w:szCs w:val="22"/>
          <w:lang w:eastAsia="en-US"/>
        </w:rPr>
        <w:t>Vartoti per burną</w:t>
      </w:r>
    </w:p>
    <w:p w14:paraId="67E6264F"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0358A20F"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7A4DC880" w14:textId="77777777" w:rsidR="00823785" w:rsidRPr="00452D62" w:rsidRDefault="00823785" w:rsidP="00823785">
      <w:pPr>
        <w:widowControl w:val="0"/>
        <w:pBdr>
          <w:top w:val="single" w:sz="4" w:space="0" w:color="auto"/>
          <w:left w:val="single" w:sz="4" w:space="4" w:color="auto"/>
          <w:bottom w:val="single" w:sz="4" w:space="1" w:color="auto"/>
          <w:right w:val="single" w:sz="4" w:space="4" w:color="auto"/>
        </w:pBdr>
        <w:tabs>
          <w:tab w:val="clear" w:pos="567"/>
          <w:tab w:val="left" w:pos="1296"/>
        </w:tabs>
        <w:suppressAutoHyphens w:val="0"/>
        <w:snapToGrid w:val="0"/>
        <w:spacing w:line="240" w:lineRule="auto"/>
        <w:ind w:left="567" w:hanging="567"/>
        <w:outlineLvl w:val="0"/>
        <w:rPr>
          <w:color w:val="auto"/>
          <w:sz w:val="22"/>
          <w:szCs w:val="22"/>
          <w:lang w:eastAsia="en-US"/>
        </w:rPr>
      </w:pPr>
      <w:r w:rsidRPr="00452D62">
        <w:rPr>
          <w:b/>
          <w:color w:val="auto"/>
          <w:sz w:val="22"/>
          <w:szCs w:val="22"/>
          <w:lang w:eastAsia="en-US"/>
        </w:rPr>
        <w:t>6.</w:t>
      </w:r>
      <w:r w:rsidRPr="00452D62">
        <w:rPr>
          <w:b/>
          <w:color w:val="auto"/>
          <w:sz w:val="22"/>
          <w:szCs w:val="22"/>
          <w:lang w:eastAsia="en-US"/>
        </w:rPr>
        <w:tab/>
      </w:r>
      <w:r w:rsidRPr="00452D62">
        <w:rPr>
          <w:b/>
          <w:bCs/>
          <w:color w:val="auto"/>
          <w:sz w:val="22"/>
          <w:szCs w:val="22"/>
          <w:lang w:eastAsia="en-US"/>
        </w:rPr>
        <w:t>SPECIALUS ĮSPĖJIMAS, KAD VAISTINĮ PREPARATĄ BŪTINA LAIKYTI VAIKAMS NEPASTEBIMOJE IR NEPASIEKIAMOJE VIETOJE</w:t>
      </w:r>
    </w:p>
    <w:p w14:paraId="1511D967"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68CE047B" w14:textId="77777777" w:rsidR="00823785" w:rsidRPr="00452D62" w:rsidRDefault="00823785" w:rsidP="00823785">
      <w:pPr>
        <w:widowControl w:val="0"/>
        <w:tabs>
          <w:tab w:val="clear" w:pos="567"/>
          <w:tab w:val="left" w:pos="1296"/>
        </w:tabs>
        <w:suppressAutoHyphens w:val="0"/>
        <w:snapToGrid w:val="0"/>
        <w:spacing w:line="240" w:lineRule="auto"/>
        <w:rPr>
          <w:iCs/>
          <w:color w:val="auto"/>
          <w:sz w:val="22"/>
          <w:szCs w:val="22"/>
          <w:lang w:eastAsia="en-US"/>
        </w:rPr>
      </w:pPr>
      <w:r w:rsidRPr="00452D62">
        <w:rPr>
          <w:iCs/>
          <w:color w:val="auto"/>
          <w:sz w:val="22"/>
          <w:szCs w:val="22"/>
          <w:lang w:eastAsia="en-US"/>
        </w:rPr>
        <w:t>Laikyti vaikams nepastebimoje ir nepasiekiamoje vietoje.</w:t>
      </w:r>
    </w:p>
    <w:p w14:paraId="428EC823"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7AA0BE4E"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03B19D24" w14:textId="77777777" w:rsidR="00823785" w:rsidRPr="00452D62" w:rsidRDefault="00823785" w:rsidP="00823785">
      <w:pPr>
        <w:widowControl w:val="0"/>
        <w:pBdr>
          <w:top w:val="single" w:sz="4" w:space="1" w:color="auto"/>
          <w:left w:val="single" w:sz="4" w:space="4" w:color="auto"/>
          <w:bottom w:val="single" w:sz="4" w:space="1" w:color="auto"/>
          <w:right w:val="single" w:sz="4" w:space="4" w:color="auto"/>
        </w:pBdr>
        <w:tabs>
          <w:tab w:val="clear" w:pos="567"/>
          <w:tab w:val="left" w:pos="1296"/>
        </w:tabs>
        <w:suppressAutoHyphens w:val="0"/>
        <w:snapToGrid w:val="0"/>
        <w:spacing w:line="240" w:lineRule="auto"/>
        <w:ind w:left="567" w:hanging="567"/>
        <w:outlineLvl w:val="0"/>
        <w:rPr>
          <w:color w:val="auto"/>
          <w:sz w:val="22"/>
          <w:szCs w:val="22"/>
          <w:highlight w:val="lightGray"/>
          <w:lang w:eastAsia="en-US"/>
        </w:rPr>
      </w:pPr>
      <w:r w:rsidRPr="00452D62">
        <w:rPr>
          <w:b/>
          <w:color w:val="auto"/>
          <w:sz w:val="22"/>
          <w:szCs w:val="22"/>
          <w:lang w:eastAsia="en-US"/>
        </w:rPr>
        <w:t>7.</w:t>
      </w:r>
      <w:r w:rsidRPr="00452D62">
        <w:rPr>
          <w:b/>
          <w:color w:val="auto"/>
          <w:sz w:val="22"/>
          <w:szCs w:val="22"/>
          <w:lang w:eastAsia="en-US"/>
        </w:rPr>
        <w:tab/>
      </w:r>
      <w:r w:rsidRPr="00452D62">
        <w:rPr>
          <w:b/>
          <w:bCs/>
          <w:color w:val="auto"/>
          <w:sz w:val="22"/>
          <w:szCs w:val="22"/>
          <w:lang w:eastAsia="en-US"/>
        </w:rPr>
        <w:t>KITAS (</w:t>
      </w:r>
      <w:r w:rsidRPr="00452D62">
        <w:rPr>
          <w:b/>
          <w:bCs/>
          <w:color w:val="auto"/>
          <w:sz w:val="22"/>
          <w:szCs w:val="22"/>
          <w:lang w:eastAsia="en-US"/>
        </w:rPr>
        <w:noBreakHyphen/>
        <w:t>I) SPECIALUS (</w:t>
      </w:r>
      <w:r w:rsidRPr="00452D62">
        <w:rPr>
          <w:b/>
          <w:bCs/>
          <w:color w:val="auto"/>
          <w:sz w:val="22"/>
          <w:szCs w:val="22"/>
          <w:lang w:eastAsia="en-US"/>
        </w:rPr>
        <w:noBreakHyphen/>
        <w:t>ŪS) ĮSPĖJIMAS (</w:t>
      </w:r>
      <w:r w:rsidRPr="00452D62">
        <w:rPr>
          <w:b/>
          <w:bCs/>
          <w:color w:val="auto"/>
          <w:sz w:val="22"/>
          <w:szCs w:val="22"/>
          <w:lang w:eastAsia="en-US"/>
        </w:rPr>
        <w:noBreakHyphen/>
        <w:t>AI) (JEI REIKIA)</w:t>
      </w:r>
    </w:p>
    <w:p w14:paraId="4FE629A5"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4BD8884A"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4CF1678F" w14:textId="77777777" w:rsidR="00823785" w:rsidRPr="00452D62" w:rsidRDefault="00823785" w:rsidP="00823785">
      <w:pPr>
        <w:widowControl w:val="0"/>
        <w:pBdr>
          <w:top w:val="single" w:sz="4" w:space="1" w:color="auto"/>
          <w:left w:val="single" w:sz="4" w:space="4" w:color="auto"/>
          <w:bottom w:val="single" w:sz="4" w:space="1" w:color="auto"/>
          <w:right w:val="single" w:sz="4" w:space="4" w:color="auto"/>
        </w:pBdr>
        <w:tabs>
          <w:tab w:val="clear" w:pos="567"/>
          <w:tab w:val="left" w:pos="1296"/>
        </w:tabs>
        <w:suppressAutoHyphens w:val="0"/>
        <w:snapToGrid w:val="0"/>
        <w:spacing w:line="240" w:lineRule="auto"/>
        <w:ind w:left="567" w:hanging="567"/>
        <w:outlineLvl w:val="0"/>
        <w:rPr>
          <w:color w:val="auto"/>
          <w:sz w:val="22"/>
          <w:szCs w:val="22"/>
          <w:highlight w:val="lightGray"/>
          <w:lang w:eastAsia="en-US"/>
        </w:rPr>
      </w:pPr>
      <w:r w:rsidRPr="00452D62">
        <w:rPr>
          <w:b/>
          <w:color w:val="auto"/>
          <w:sz w:val="22"/>
          <w:szCs w:val="22"/>
          <w:lang w:eastAsia="en-US"/>
        </w:rPr>
        <w:t>8.</w:t>
      </w:r>
      <w:r w:rsidRPr="00452D62">
        <w:rPr>
          <w:b/>
          <w:color w:val="auto"/>
          <w:sz w:val="22"/>
          <w:szCs w:val="22"/>
          <w:lang w:eastAsia="en-US"/>
        </w:rPr>
        <w:tab/>
      </w:r>
      <w:r w:rsidRPr="00452D62">
        <w:rPr>
          <w:b/>
          <w:bCs/>
          <w:color w:val="auto"/>
          <w:sz w:val="22"/>
          <w:szCs w:val="22"/>
          <w:lang w:eastAsia="en-US"/>
        </w:rPr>
        <w:t>TINKAMUMO LAIKAS</w:t>
      </w:r>
    </w:p>
    <w:p w14:paraId="641EA945" w14:textId="77777777" w:rsidR="00823785" w:rsidRPr="00452D62" w:rsidRDefault="00823785" w:rsidP="00823785">
      <w:pPr>
        <w:widowControl w:val="0"/>
        <w:tabs>
          <w:tab w:val="clear" w:pos="567"/>
          <w:tab w:val="left" w:pos="1296"/>
        </w:tabs>
        <w:suppressAutoHyphens w:val="0"/>
        <w:snapToGrid w:val="0"/>
        <w:spacing w:line="240" w:lineRule="auto"/>
        <w:rPr>
          <w:i/>
          <w:color w:val="auto"/>
          <w:sz w:val="22"/>
          <w:szCs w:val="22"/>
          <w:lang w:eastAsia="en-US"/>
        </w:rPr>
      </w:pPr>
    </w:p>
    <w:p w14:paraId="0750B17C"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r w:rsidRPr="00452D62">
        <w:rPr>
          <w:color w:val="auto"/>
          <w:sz w:val="22"/>
          <w:szCs w:val="22"/>
          <w:lang w:eastAsia="en-US"/>
        </w:rPr>
        <w:t>EXP (mm/MMMM)</w:t>
      </w:r>
    </w:p>
    <w:p w14:paraId="3DB5875D"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7816BFCB"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1BC8B3C1" w14:textId="77777777" w:rsidR="00823785" w:rsidRPr="00452D62" w:rsidRDefault="00823785" w:rsidP="00823785">
      <w:pPr>
        <w:widowControl w:val="0"/>
        <w:pBdr>
          <w:top w:val="single" w:sz="4" w:space="1" w:color="auto"/>
          <w:left w:val="single" w:sz="4" w:space="4" w:color="auto"/>
          <w:bottom w:val="single" w:sz="4" w:space="1" w:color="auto"/>
          <w:right w:val="single" w:sz="4" w:space="4" w:color="auto"/>
        </w:pBdr>
        <w:tabs>
          <w:tab w:val="clear" w:pos="567"/>
          <w:tab w:val="left" w:pos="1296"/>
        </w:tabs>
        <w:suppressAutoHyphens w:val="0"/>
        <w:snapToGrid w:val="0"/>
        <w:spacing w:line="240" w:lineRule="auto"/>
        <w:ind w:left="567" w:hanging="567"/>
        <w:outlineLvl w:val="0"/>
        <w:rPr>
          <w:color w:val="auto"/>
          <w:sz w:val="22"/>
          <w:szCs w:val="22"/>
          <w:lang w:eastAsia="en-US"/>
        </w:rPr>
      </w:pPr>
      <w:r w:rsidRPr="00452D62">
        <w:rPr>
          <w:b/>
          <w:color w:val="auto"/>
          <w:sz w:val="22"/>
          <w:szCs w:val="22"/>
          <w:lang w:eastAsia="en-US"/>
        </w:rPr>
        <w:t>9.</w:t>
      </w:r>
      <w:r w:rsidRPr="00452D62">
        <w:rPr>
          <w:b/>
          <w:color w:val="auto"/>
          <w:sz w:val="22"/>
          <w:szCs w:val="22"/>
          <w:lang w:eastAsia="en-US"/>
        </w:rPr>
        <w:tab/>
        <w:t>SPECIALIOS LAIKYMO SĄLYGOS</w:t>
      </w:r>
    </w:p>
    <w:p w14:paraId="7DA4A0E4" w14:textId="77777777" w:rsidR="00823785" w:rsidRPr="00452D62" w:rsidRDefault="00823785" w:rsidP="00823785">
      <w:pPr>
        <w:widowControl w:val="0"/>
        <w:tabs>
          <w:tab w:val="clear" w:pos="567"/>
          <w:tab w:val="left" w:pos="1296"/>
        </w:tabs>
        <w:suppressAutoHyphens w:val="0"/>
        <w:snapToGrid w:val="0"/>
        <w:spacing w:line="240" w:lineRule="auto"/>
        <w:ind w:left="567" w:hanging="567"/>
        <w:rPr>
          <w:i/>
          <w:iCs/>
          <w:color w:val="auto"/>
          <w:sz w:val="22"/>
          <w:szCs w:val="22"/>
          <w:lang w:eastAsia="en-US"/>
        </w:rPr>
      </w:pPr>
    </w:p>
    <w:p w14:paraId="2FBD4A5B" w14:textId="77777777" w:rsidR="00823785" w:rsidRPr="00452D62" w:rsidRDefault="00823785" w:rsidP="00823785">
      <w:pPr>
        <w:widowControl w:val="0"/>
        <w:tabs>
          <w:tab w:val="clear" w:pos="567"/>
          <w:tab w:val="left" w:pos="1296"/>
        </w:tabs>
        <w:suppressAutoHyphens w:val="0"/>
        <w:snapToGrid w:val="0"/>
        <w:spacing w:line="240" w:lineRule="auto"/>
        <w:ind w:left="567" w:hanging="567"/>
        <w:rPr>
          <w:color w:val="auto"/>
          <w:sz w:val="22"/>
          <w:szCs w:val="22"/>
          <w:lang w:eastAsia="en-US"/>
        </w:rPr>
      </w:pPr>
    </w:p>
    <w:p w14:paraId="0BDA64E5" w14:textId="77777777" w:rsidR="00823785" w:rsidRPr="00452D62" w:rsidRDefault="00823785" w:rsidP="00823785">
      <w:pPr>
        <w:widowControl w:val="0"/>
        <w:pBdr>
          <w:top w:val="single" w:sz="4" w:space="1" w:color="auto"/>
          <w:left w:val="single" w:sz="4" w:space="4" w:color="auto"/>
          <w:bottom w:val="single" w:sz="4" w:space="1" w:color="auto"/>
          <w:right w:val="single" w:sz="4" w:space="4" w:color="auto"/>
        </w:pBdr>
        <w:tabs>
          <w:tab w:val="clear" w:pos="567"/>
          <w:tab w:val="left" w:pos="1296"/>
        </w:tabs>
        <w:suppressAutoHyphens w:val="0"/>
        <w:snapToGrid w:val="0"/>
        <w:spacing w:line="240" w:lineRule="auto"/>
        <w:ind w:left="567" w:hanging="567"/>
        <w:outlineLvl w:val="0"/>
        <w:rPr>
          <w:b/>
          <w:color w:val="auto"/>
          <w:sz w:val="22"/>
          <w:szCs w:val="22"/>
          <w:lang w:eastAsia="en-US"/>
        </w:rPr>
      </w:pPr>
      <w:r w:rsidRPr="00452D62">
        <w:rPr>
          <w:b/>
          <w:color w:val="auto"/>
          <w:sz w:val="22"/>
          <w:szCs w:val="22"/>
          <w:lang w:eastAsia="en-US"/>
        </w:rPr>
        <w:t>10.</w:t>
      </w:r>
      <w:r w:rsidRPr="00452D62">
        <w:rPr>
          <w:b/>
          <w:color w:val="auto"/>
          <w:sz w:val="22"/>
          <w:szCs w:val="22"/>
          <w:lang w:eastAsia="en-US"/>
        </w:rPr>
        <w:tab/>
        <w:t>SPECIALIOS ATSARGUMO PRIEMONĖS DĖL NESUVARTOTO</w:t>
      </w:r>
      <w:r w:rsidRPr="00452D62">
        <w:rPr>
          <w:b/>
          <w:bCs/>
          <w:color w:val="auto"/>
          <w:sz w:val="22"/>
          <w:szCs w:val="22"/>
          <w:lang w:eastAsia="en-US"/>
        </w:rPr>
        <w:t xml:space="preserve"> VAISTINIO PREPARATO AR JO ATLIEKŲ</w:t>
      </w:r>
      <w:r w:rsidRPr="00452D62">
        <w:rPr>
          <w:color w:val="auto"/>
          <w:sz w:val="22"/>
          <w:szCs w:val="22"/>
          <w:lang w:eastAsia="en-US"/>
        </w:rPr>
        <w:t xml:space="preserve"> </w:t>
      </w:r>
      <w:r w:rsidRPr="00452D62">
        <w:rPr>
          <w:b/>
          <w:bCs/>
          <w:color w:val="auto"/>
          <w:sz w:val="22"/>
          <w:szCs w:val="22"/>
          <w:lang w:eastAsia="en-US"/>
        </w:rPr>
        <w:t>TVARKYMO</w:t>
      </w:r>
      <w:r w:rsidRPr="00452D62">
        <w:rPr>
          <w:b/>
          <w:color w:val="auto"/>
          <w:sz w:val="22"/>
          <w:szCs w:val="22"/>
          <w:lang w:eastAsia="en-US"/>
        </w:rPr>
        <w:t xml:space="preserve"> (JEI REIKIA)</w:t>
      </w:r>
    </w:p>
    <w:p w14:paraId="545D64E1"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1DF3F4B7"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32FFD651" w14:textId="77777777" w:rsidR="00823785" w:rsidRPr="00452D62" w:rsidRDefault="00823785" w:rsidP="00823785">
      <w:pPr>
        <w:widowControl w:val="0"/>
        <w:pBdr>
          <w:top w:val="single" w:sz="4" w:space="1" w:color="auto"/>
          <w:left w:val="single" w:sz="4" w:space="4" w:color="auto"/>
          <w:bottom w:val="single" w:sz="4" w:space="1" w:color="auto"/>
          <w:right w:val="single" w:sz="4" w:space="4" w:color="auto"/>
        </w:pBdr>
        <w:suppressAutoHyphens w:val="0"/>
        <w:snapToGrid w:val="0"/>
        <w:spacing w:line="240" w:lineRule="auto"/>
        <w:outlineLvl w:val="0"/>
        <w:rPr>
          <w:b/>
          <w:color w:val="auto"/>
          <w:sz w:val="22"/>
          <w:szCs w:val="22"/>
          <w:lang w:eastAsia="en-US"/>
        </w:rPr>
      </w:pPr>
      <w:r w:rsidRPr="00452D62">
        <w:rPr>
          <w:b/>
          <w:color w:val="auto"/>
          <w:sz w:val="22"/>
          <w:szCs w:val="22"/>
          <w:lang w:eastAsia="en-US"/>
        </w:rPr>
        <w:t>11.</w:t>
      </w:r>
      <w:r w:rsidRPr="00452D62">
        <w:rPr>
          <w:b/>
          <w:color w:val="auto"/>
          <w:sz w:val="22"/>
          <w:szCs w:val="22"/>
          <w:lang w:eastAsia="en-US"/>
        </w:rPr>
        <w:tab/>
        <w:t>REGISTRUOTOJO PAVADINIMAS IR ADRESAS</w:t>
      </w:r>
    </w:p>
    <w:p w14:paraId="1BCD9FFE"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3A7FA073" w14:textId="77777777" w:rsidR="00823785" w:rsidRPr="00452D62" w:rsidRDefault="00823785" w:rsidP="00823785">
      <w:pPr>
        <w:widowControl w:val="0"/>
        <w:tabs>
          <w:tab w:val="clear" w:pos="567"/>
          <w:tab w:val="left" w:pos="1296"/>
        </w:tabs>
        <w:suppressAutoHyphens w:val="0"/>
        <w:snapToGrid w:val="0"/>
        <w:spacing w:line="240" w:lineRule="auto"/>
        <w:jc w:val="both"/>
        <w:rPr>
          <w:color w:val="auto"/>
          <w:sz w:val="22"/>
          <w:szCs w:val="22"/>
          <w:lang w:eastAsia="en-US"/>
        </w:rPr>
      </w:pPr>
      <w:r w:rsidRPr="00452D62">
        <w:rPr>
          <w:color w:val="auto"/>
          <w:sz w:val="22"/>
          <w:szCs w:val="22"/>
          <w:lang w:eastAsia="en-US"/>
        </w:rPr>
        <w:t>KRKA, d.d. Novo mesto, Šmarješka cesta 6,8501 Novo mesto, Slovėnija</w:t>
      </w:r>
    </w:p>
    <w:p w14:paraId="4D3B3910"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7408FA1E"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177052E7" w14:textId="77777777" w:rsidR="00823785" w:rsidRPr="00452D62" w:rsidRDefault="00823785" w:rsidP="00823785">
      <w:pPr>
        <w:widowControl w:val="0"/>
        <w:pBdr>
          <w:top w:val="single" w:sz="4" w:space="1" w:color="auto"/>
          <w:left w:val="single" w:sz="4" w:space="4" w:color="auto"/>
          <w:bottom w:val="single" w:sz="4" w:space="1" w:color="auto"/>
          <w:right w:val="single" w:sz="4" w:space="4" w:color="auto"/>
        </w:pBdr>
        <w:suppressAutoHyphens w:val="0"/>
        <w:snapToGrid w:val="0"/>
        <w:spacing w:line="240" w:lineRule="auto"/>
        <w:outlineLvl w:val="0"/>
        <w:rPr>
          <w:color w:val="auto"/>
          <w:sz w:val="22"/>
          <w:szCs w:val="22"/>
          <w:lang w:eastAsia="en-US"/>
        </w:rPr>
      </w:pPr>
      <w:r w:rsidRPr="00452D62">
        <w:rPr>
          <w:b/>
          <w:color w:val="auto"/>
          <w:sz w:val="22"/>
          <w:szCs w:val="22"/>
          <w:lang w:eastAsia="en-US"/>
        </w:rPr>
        <w:t>12.</w:t>
      </w:r>
      <w:r w:rsidRPr="00452D62">
        <w:rPr>
          <w:b/>
          <w:color w:val="auto"/>
          <w:sz w:val="22"/>
          <w:szCs w:val="22"/>
          <w:lang w:eastAsia="en-US"/>
        </w:rPr>
        <w:tab/>
        <w:t>REGISTRACIJOS PAŽYMĖJIMO NUMERIS (</w:t>
      </w:r>
      <w:r w:rsidRPr="00452D62">
        <w:rPr>
          <w:b/>
          <w:color w:val="auto"/>
          <w:sz w:val="22"/>
          <w:szCs w:val="22"/>
          <w:lang w:eastAsia="en-US"/>
        </w:rPr>
        <w:noBreakHyphen/>
        <w:t>IAI)</w:t>
      </w:r>
    </w:p>
    <w:p w14:paraId="4B292117"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03E7398A" w14:textId="2A71F128" w:rsidR="00823785" w:rsidRPr="00452D62" w:rsidRDefault="00A448E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Pr>
          <w:rFonts w:eastAsia="TimesNewRoman"/>
          <w:color w:val="auto"/>
          <w:sz w:val="22"/>
          <w:szCs w:val="22"/>
          <w:highlight w:val="lightGray"/>
          <w:lang w:eastAsia="en-US"/>
        </w:rPr>
        <w:t>&lt;</w:t>
      </w:r>
      <w:r w:rsidR="00823785" w:rsidRPr="00452D62">
        <w:rPr>
          <w:rFonts w:eastAsia="TimesNewRoman"/>
          <w:color w:val="auto"/>
          <w:sz w:val="22"/>
          <w:szCs w:val="22"/>
          <w:highlight w:val="lightGray"/>
          <w:lang w:eastAsia="en-US"/>
        </w:rPr>
        <w:t>2,5 mg</w:t>
      </w:r>
      <w:r>
        <w:rPr>
          <w:rFonts w:eastAsia="TimesNewRoman"/>
          <w:color w:val="auto"/>
          <w:sz w:val="22"/>
          <w:szCs w:val="22"/>
          <w:highlight w:val="lightGray"/>
          <w:lang w:eastAsia="en-US"/>
        </w:rPr>
        <w:t>&gt;</w:t>
      </w:r>
    </w:p>
    <w:p w14:paraId="58970FDD" w14:textId="77777777" w:rsidR="00823785" w:rsidRPr="00A448E5"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u w:val="single"/>
          <w:lang w:eastAsia="en-US"/>
        </w:rPr>
      </w:pPr>
      <w:r w:rsidRPr="00A448E5">
        <w:rPr>
          <w:rFonts w:eastAsia="TimesNewRoman"/>
          <w:color w:val="auto"/>
          <w:sz w:val="22"/>
          <w:szCs w:val="22"/>
          <w:highlight w:val="lightGray"/>
          <w:u w:val="single"/>
          <w:lang w:eastAsia="en-US"/>
        </w:rPr>
        <w:t>lizdinė plokštelė</w:t>
      </w:r>
    </w:p>
    <w:p w14:paraId="36487BFC"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color w:val="auto"/>
          <w:sz w:val="22"/>
          <w:szCs w:val="22"/>
          <w:lang w:eastAsia="en-US"/>
        </w:rPr>
        <w:t xml:space="preserve">LT/1/20/4558/001 </w:t>
      </w:r>
      <w:r w:rsidRPr="00452D62">
        <w:rPr>
          <w:rFonts w:eastAsia="TimesNewRoman"/>
          <w:color w:val="auto"/>
          <w:sz w:val="22"/>
          <w:szCs w:val="22"/>
          <w:highlight w:val="lightGray"/>
          <w:lang w:eastAsia="en-US"/>
        </w:rPr>
        <w:t>– N10</w:t>
      </w:r>
    </w:p>
    <w:p w14:paraId="15C93F34"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LT/1/20/4558/002 – N15</w:t>
      </w:r>
    </w:p>
    <w:p w14:paraId="648A5A65"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LT/1/20/4558/003 – N30</w:t>
      </w:r>
    </w:p>
    <w:p w14:paraId="2ABAD0D9"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LT/1/20/4558/004 – N60</w:t>
      </w:r>
    </w:p>
    <w:p w14:paraId="5BEAEDD8"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LT/1/20/4558/005 – N90</w:t>
      </w:r>
    </w:p>
    <w:p w14:paraId="5EB36F94"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LT/1/20/4558/006 – N100</w:t>
      </w:r>
    </w:p>
    <w:p w14:paraId="24CC6120" w14:textId="77777777" w:rsidR="00823785" w:rsidRPr="00A448E5"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u w:val="single"/>
          <w:lang w:eastAsia="en-US"/>
        </w:rPr>
      </w:pPr>
      <w:r w:rsidRPr="00A448E5">
        <w:rPr>
          <w:rFonts w:eastAsia="TimesNewRoman"/>
          <w:color w:val="auto"/>
          <w:sz w:val="22"/>
          <w:szCs w:val="22"/>
          <w:highlight w:val="lightGray"/>
          <w:u w:val="single"/>
          <w:lang w:eastAsia="en-US"/>
        </w:rPr>
        <w:t>dalomoji lizdinė plokštelė</w:t>
      </w:r>
    </w:p>
    <w:p w14:paraId="4FB6D2BA"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LT/1/20/4558/007 – N10x1</w:t>
      </w:r>
    </w:p>
    <w:p w14:paraId="33BF1C10"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LT/1/20/4558/008 – N30x1</w:t>
      </w:r>
    </w:p>
    <w:p w14:paraId="45A45A45"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LT/1/20/4558/009 – N60x1</w:t>
      </w:r>
    </w:p>
    <w:p w14:paraId="4D27D558"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LT/1/20/4558/010 – N90x1</w:t>
      </w:r>
    </w:p>
    <w:p w14:paraId="0C30675D"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LT/1/20/4558/011 – N100x1</w:t>
      </w:r>
    </w:p>
    <w:p w14:paraId="37FA1ED2" w14:textId="77777777" w:rsidR="00823785" w:rsidRPr="00A448E5"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u w:val="single"/>
          <w:lang w:eastAsia="en-US"/>
        </w:rPr>
      </w:pPr>
      <w:r w:rsidRPr="00A448E5">
        <w:rPr>
          <w:rFonts w:eastAsia="TimesNewRoman"/>
          <w:color w:val="auto"/>
          <w:sz w:val="22"/>
          <w:szCs w:val="22"/>
          <w:highlight w:val="lightGray"/>
          <w:u w:val="single"/>
          <w:lang w:eastAsia="en-US"/>
        </w:rPr>
        <w:t>lizdinė plokštelė (kalendorinė pakuotė)</w:t>
      </w:r>
    </w:p>
    <w:p w14:paraId="117D356F"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LT/1/20/4558/012 – N14</w:t>
      </w:r>
    </w:p>
    <w:p w14:paraId="0B77A052"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 xml:space="preserve">LT/1/20/4558/013 – N28 </w:t>
      </w:r>
    </w:p>
    <w:p w14:paraId="074E17B9"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 xml:space="preserve">LT/1/20/4558/014 – N42 </w:t>
      </w:r>
    </w:p>
    <w:p w14:paraId="59F0D4F2"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 xml:space="preserve">LT/1/20/4558/015 – N56 </w:t>
      </w:r>
    </w:p>
    <w:p w14:paraId="07261F5C"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color w:val="auto"/>
          <w:sz w:val="22"/>
          <w:szCs w:val="22"/>
          <w:lang w:eastAsia="en-US"/>
        </w:rPr>
      </w:pPr>
      <w:r w:rsidRPr="00452D62">
        <w:rPr>
          <w:rFonts w:eastAsia="TimesNewRoman"/>
          <w:color w:val="auto"/>
          <w:sz w:val="22"/>
          <w:szCs w:val="22"/>
          <w:highlight w:val="lightGray"/>
          <w:lang w:eastAsia="en-US"/>
        </w:rPr>
        <w:t>LT/1/20/4558/016 – N98</w:t>
      </w:r>
    </w:p>
    <w:p w14:paraId="5C8DBEEC" w14:textId="77777777" w:rsidR="00823785" w:rsidRPr="00327CDB" w:rsidRDefault="00823785" w:rsidP="00823785">
      <w:pPr>
        <w:widowControl w:val="0"/>
        <w:tabs>
          <w:tab w:val="clear" w:pos="567"/>
          <w:tab w:val="left" w:pos="1296"/>
        </w:tabs>
        <w:suppressAutoHyphens w:val="0"/>
        <w:snapToGrid w:val="0"/>
        <w:spacing w:line="240" w:lineRule="auto"/>
        <w:rPr>
          <w:color w:val="auto"/>
          <w:sz w:val="16"/>
          <w:szCs w:val="16"/>
          <w:lang w:eastAsia="en-US"/>
        </w:rPr>
      </w:pPr>
    </w:p>
    <w:p w14:paraId="44E24DE8" w14:textId="495E5239" w:rsidR="00823785" w:rsidRPr="00452D62" w:rsidRDefault="00A448E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Pr>
          <w:rFonts w:eastAsia="TimesNewRoman"/>
          <w:color w:val="auto"/>
          <w:sz w:val="22"/>
          <w:szCs w:val="22"/>
          <w:highlight w:val="lightGray"/>
          <w:lang w:eastAsia="en-US"/>
        </w:rPr>
        <w:t>&lt;</w:t>
      </w:r>
      <w:r w:rsidR="00823785" w:rsidRPr="00452D62">
        <w:rPr>
          <w:rFonts w:eastAsia="TimesNewRoman"/>
          <w:color w:val="auto"/>
          <w:sz w:val="22"/>
          <w:szCs w:val="22"/>
          <w:highlight w:val="lightGray"/>
          <w:lang w:eastAsia="en-US"/>
        </w:rPr>
        <w:t>10 mg</w:t>
      </w:r>
      <w:r>
        <w:rPr>
          <w:rFonts w:eastAsia="TimesNewRoman"/>
          <w:color w:val="auto"/>
          <w:sz w:val="22"/>
          <w:szCs w:val="22"/>
          <w:highlight w:val="lightGray"/>
          <w:lang w:eastAsia="en-US"/>
        </w:rPr>
        <w:t>&gt;</w:t>
      </w:r>
      <w:r w:rsidR="00823785" w:rsidRPr="00452D62">
        <w:rPr>
          <w:rFonts w:eastAsia="TimesNewRoman"/>
          <w:color w:val="auto"/>
          <w:sz w:val="22"/>
          <w:szCs w:val="22"/>
          <w:highlight w:val="lightGray"/>
          <w:lang w:eastAsia="en-US"/>
        </w:rPr>
        <w:t xml:space="preserve"> </w:t>
      </w:r>
    </w:p>
    <w:p w14:paraId="38D3A5E2" w14:textId="77777777" w:rsidR="00823785" w:rsidRPr="00A448E5"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u w:val="single"/>
          <w:lang w:eastAsia="en-US"/>
        </w:rPr>
      </w:pPr>
      <w:r w:rsidRPr="00A448E5">
        <w:rPr>
          <w:rFonts w:eastAsia="TimesNewRoman"/>
          <w:color w:val="auto"/>
          <w:sz w:val="22"/>
          <w:szCs w:val="22"/>
          <w:highlight w:val="lightGray"/>
          <w:u w:val="single"/>
          <w:lang w:eastAsia="en-US"/>
        </w:rPr>
        <w:t>lizdinė plokštelė</w:t>
      </w:r>
    </w:p>
    <w:p w14:paraId="2A8F9875"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color w:val="auto"/>
          <w:sz w:val="22"/>
          <w:szCs w:val="22"/>
          <w:lang w:eastAsia="en-US"/>
        </w:rPr>
        <w:t xml:space="preserve">LT/1/20/4559/001 </w:t>
      </w:r>
      <w:r w:rsidRPr="00452D62">
        <w:rPr>
          <w:rFonts w:eastAsia="TimesNewRoman"/>
          <w:color w:val="auto"/>
          <w:sz w:val="22"/>
          <w:szCs w:val="22"/>
          <w:highlight w:val="lightGray"/>
          <w:lang w:eastAsia="en-US"/>
        </w:rPr>
        <w:t>– N10</w:t>
      </w:r>
    </w:p>
    <w:p w14:paraId="61D893AC"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LT/1/20/4559/002 – N15</w:t>
      </w:r>
    </w:p>
    <w:p w14:paraId="4CA61F26"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LT/1/20/4559/003 – N30</w:t>
      </w:r>
    </w:p>
    <w:p w14:paraId="1C05E3B3"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LT/1/20/4559/004 – N60</w:t>
      </w:r>
    </w:p>
    <w:p w14:paraId="28FD1D46"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LT/1/20/4559/005 – N90</w:t>
      </w:r>
    </w:p>
    <w:p w14:paraId="1158D8B4"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LT/1/20/4559/006 – N100</w:t>
      </w:r>
    </w:p>
    <w:p w14:paraId="187E35CE" w14:textId="77777777" w:rsidR="00823785" w:rsidRPr="00A448E5" w:rsidRDefault="00823785" w:rsidP="00823785">
      <w:pPr>
        <w:widowControl w:val="0"/>
        <w:tabs>
          <w:tab w:val="clear" w:pos="567"/>
          <w:tab w:val="left" w:pos="1296"/>
        </w:tabs>
        <w:suppressAutoHyphens w:val="0"/>
        <w:autoSpaceDE w:val="0"/>
        <w:autoSpaceDN w:val="0"/>
        <w:adjustRightInd w:val="0"/>
        <w:snapToGrid w:val="0"/>
        <w:spacing w:line="240" w:lineRule="auto"/>
        <w:rPr>
          <w:color w:val="auto"/>
          <w:sz w:val="22"/>
          <w:szCs w:val="22"/>
          <w:u w:val="single"/>
          <w:lang w:eastAsia="en-US"/>
        </w:rPr>
      </w:pPr>
      <w:r w:rsidRPr="00A448E5">
        <w:rPr>
          <w:rFonts w:eastAsia="TimesNewRoman"/>
          <w:color w:val="auto"/>
          <w:sz w:val="22"/>
          <w:szCs w:val="22"/>
          <w:highlight w:val="lightGray"/>
          <w:u w:val="single"/>
          <w:lang w:eastAsia="en-US"/>
        </w:rPr>
        <w:t>dalomoji lizdinė plokštelė</w:t>
      </w:r>
      <w:r w:rsidRPr="00A448E5">
        <w:rPr>
          <w:color w:val="auto"/>
          <w:sz w:val="22"/>
          <w:szCs w:val="22"/>
          <w:u w:val="single"/>
          <w:lang w:eastAsia="en-US"/>
        </w:rPr>
        <w:t xml:space="preserve"> </w:t>
      </w:r>
    </w:p>
    <w:p w14:paraId="3CE2CD18"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LT/1/20/4559/007 – N10x1</w:t>
      </w:r>
    </w:p>
    <w:p w14:paraId="63E2E077"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LT/1/20/4559/008 – N30x1</w:t>
      </w:r>
    </w:p>
    <w:p w14:paraId="11CA31C4"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LT/1/20/4559/009 – N60x1</w:t>
      </w:r>
    </w:p>
    <w:p w14:paraId="14E3DB56"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LT/1/20/4559/010 – N90x1</w:t>
      </w:r>
    </w:p>
    <w:p w14:paraId="04622F63"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LT/1/20/4559/011 – N100x1</w:t>
      </w:r>
    </w:p>
    <w:p w14:paraId="45C0A4D5"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A448E5">
        <w:rPr>
          <w:rFonts w:eastAsia="TimesNewRoman"/>
          <w:color w:val="auto"/>
          <w:sz w:val="22"/>
          <w:szCs w:val="22"/>
          <w:highlight w:val="lightGray"/>
          <w:u w:val="single"/>
          <w:lang w:eastAsia="en-US"/>
        </w:rPr>
        <w:t>lizdinė plokštelė (kalendorinė pakuotė</w:t>
      </w:r>
      <w:r w:rsidRPr="00452D62">
        <w:rPr>
          <w:rFonts w:eastAsia="TimesNewRoman"/>
          <w:color w:val="auto"/>
          <w:sz w:val="22"/>
          <w:szCs w:val="22"/>
          <w:highlight w:val="lightGray"/>
          <w:lang w:eastAsia="en-US"/>
        </w:rPr>
        <w:t xml:space="preserve">) </w:t>
      </w:r>
    </w:p>
    <w:p w14:paraId="0A805E3E"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LT/1/20/4559/012 –N14</w:t>
      </w:r>
    </w:p>
    <w:p w14:paraId="79AC2259"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 xml:space="preserve">LT/1/20/4559/013 – N28 </w:t>
      </w:r>
    </w:p>
    <w:p w14:paraId="5BAEA884"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 xml:space="preserve">LT/1/20/4559/014 – N42 </w:t>
      </w:r>
    </w:p>
    <w:p w14:paraId="5683B747"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 xml:space="preserve">LT/1/20/4559/015 – N56 </w:t>
      </w:r>
    </w:p>
    <w:p w14:paraId="161B0B24"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 xml:space="preserve">LT/1/20/4559/016 – N98 </w:t>
      </w:r>
    </w:p>
    <w:p w14:paraId="26873095" w14:textId="77777777" w:rsidR="00823785" w:rsidRPr="00327CDB" w:rsidRDefault="00823785" w:rsidP="00823785">
      <w:pPr>
        <w:widowControl w:val="0"/>
        <w:tabs>
          <w:tab w:val="clear" w:pos="567"/>
          <w:tab w:val="left" w:pos="1296"/>
        </w:tabs>
        <w:suppressAutoHyphens w:val="0"/>
        <w:snapToGrid w:val="0"/>
        <w:spacing w:line="240" w:lineRule="auto"/>
        <w:rPr>
          <w:color w:val="auto"/>
          <w:sz w:val="16"/>
          <w:szCs w:val="16"/>
          <w:lang w:eastAsia="en-US"/>
        </w:rPr>
      </w:pPr>
    </w:p>
    <w:p w14:paraId="2B5F8911" w14:textId="1EE4BCCF" w:rsidR="00823785" w:rsidRPr="00452D62" w:rsidRDefault="00A448E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Pr>
          <w:rFonts w:eastAsia="TimesNewRoman"/>
          <w:color w:val="auto"/>
          <w:sz w:val="22"/>
          <w:szCs w:val="22"/>
          <w:highlight w:val="lightGray"/>
          <w:lang w:eastAsia="en-US"/>
        </w:rPr>
        <w:t>&lt;</w:t>
      </w:r>
      <w:r w:rsidR="00823785" w:rsidRPr="00452D62">
        <w:rPr>
          <w:rFonts w:eastAsia="TimesNewRoman"/>
          <w:color w:val="auto"/>
          <w:sz w:val="22"/>
          <w:szCs w:val="22"/>
          <w:highlight w:val="lightGray"/>
          <w:lang w:eastAsia="en-US"/>
        </w:rPr>
        <w:t>15 mg</w:t>
      </w:r>
      <w:r>
        <w:rPr>
          <w:rFonts w:eastAsia="TimesNewRoman"/>
          <w:color w:val="auto"/>
          <w:sz w:val="22"/>
          <w:szCs w:val="22"/>
          <w:highlight w:val="lightGray"/>
          <w:lang w:eastAsia="en-US"/>
        </w:rPr>
        <w:t>&gt;</w:t>
      </w:r>
    </w:p>
    <w:p w14:paraId="0B1A08DA" w14:textId="77777777" w:rsidR="00823785" w:rsidRPr="00327CDB"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u w:val="single"/>
          <w:lang w:eastAsia="en-US"/>
        </w:rPr>
      </w:pPr>
      <w:r w:rsidRPr="00327CDB">
        <w:rPr>
          <w:rFonts w:eastAsia="TimesNewRoman"/>
          <w:color w:val="auto"/>
          <w:sz w:val="22"/>
          <w:szCs w:val="22"/>
          <w:highlight w:val="lightGray"/>
          <w:u w:val="single"/>
          <w:lang w:eastAsia="en-US"/>
        </w:rPr>
        <w:t>lizdinė plokštelė</w:t>
      </w:r>
    </w:p>
    <w:p w14:paraId="00D2451A"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color w:val="auto"/>
          <w:sz w:val="22"/>
          <w:szCs w:val="22"/>
          <w:lang w:eastAsia="en-US"/>
        </w:rPr>
        <w:t xml:space="preserve">LT/1/20/4560/001 </w:t>
      </w:r>
      <w:r w:rsidRPr="00452D62">
        <w:rPr>
          <w:rFonts w:eastAsia="TimesNewRoman"/>
          <w:color w:val="auto"/>
          <w:sz w:val="22"/>
          <w:szCs w:val="22"/>
          <w:highlight w:val="lightGray"/>
          <w:lang w:eastAsia="en-US"/>
        </w:rPr>
        <w:t>– N10</w:t>
      </w:r>
    </w:p>
    <w:p w14:paraId="1DB1A8E0"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LT/1/20/4560/002 – N15</w:t>
      </w:r>
    </w:p>
    <w:p w14:paraId="43A85638"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LT/1/20/4560/003 – N30</w:t>
      </w:r>
    </w:p>
    <w:p w14:paraId="2C007434"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LT/1/20/4560/004 – N60</w:t>
      </w:r>
    </w:p>
    <w:p w14:paraId="2876C68F"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LT/1/20/4560/005 – N90</w:t>
      </w:r>
    </w:p>
    <w:p w14:paraId="6FAC235A"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LT/1/20/4560/006 – N100</w:t>
      </w:r>
    </w:p>
    <w:p w14:paraId="39D537DF" w14:textId="77777777" w:rsidR="00823785" w:rsidRPr="00327CDB"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u w:val="single"/>
          <w:lang w:eastAsia="en-US"/>
        </w:rPr>
      </w:pPr>
      <w:r w:rsidRPr="00327CDB">
        <w:rPr>
          <w:rFonts w:eastAsia="TimesNewRoman"/>
          <w:color w:val="auto"/>
          <w:sz w:val="22"/>
          <w:szCs w:val="22"/>
          <w:highlight w:val="lightGray"/>
          <w:u w:val="single"/>
          <w:lang w:eastAsia="en-US"/>
        </w:rPr>
        <w:t>dalomoji lizdinė plokštelė</w:t>
      </w:r>
    </w:p>
    <w:p w14:paraId="43CD295F"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LT/1/20/4560/007 – N10x1</w:t>
      </w:r>
    </w:p>
    <w:p w14:paraId="30B906AB"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LT/1/20/4560/008 – N30x1</w:t>
      </w:r>
    </w:p>
    <w:p w14:paraId="454189D7"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LT/1/20/4560/009 – N60x1</w:t>
      </w:r>
    </w:p>
    <w:p w14:paraId="7E51CE06"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LT/1/20/4560/010 – N90x1</w:t>
      </w:r>
    </w:p>
    <w:p w14:paraId="2359C2FA"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LT/1/20/4560/011 – N100x1</w:t>
      </w:r>
    </w:p>
    <w:p w14:paraId="4599C1F8"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327CDB">
        <w:rPr>
          <w:rFonts w:eastAsia="TimesNewRoman"/>
          <w:color w:val="auto"/>
          <w:sz w:val="22"/>
          <w:szCs w:val="22"/>
          <w:highlight w:val="lightGray"/>
          <w:u w:val="single"/>
          <w:lang w:eastAsia="en-US"/>
        </w:rPr>
        <w:t>lizdinė plokštelė (kalendorinė pakuotė</w:t>
      </w:r>
      <w:r w:rsidRPr="00452D62">
        <w:rPr>
          <w:rFonts w:eastAsia="TimesNewRoman"/>
          <w:color w:val="auto"/>
          <w:sz w:val="22"/>
          <w:szCs w:val="22"/>
          <w:highlight w:val="lightGray"/>
          <w:lang w:eastAsia="en-US"/>
        </w:rPr>
        <w:t xml:space="preserve"> )</w:t>
      </w:r>
    </w:p>
    <w:p w14:paraId="36B31612"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LT/1/20/4560/012 – N14</w:t>
      </w:r>
    </w:p>
    <w:p w14:paraId="0F627540"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 xml:space="preserve">LT/1/20/4560/013 – N28 </w:t>
      </w:r>
    </w:p>
    <w:p w14:paraId="4F38E161"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LT/1/20/4560/014 – N42</w:t>
      </w:r>
    </w:p>
    <w:p w14:paraId="542B2ADE"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 xml:space="preserve">LT/1/20/4560/015 – N56 </w:t>
      </w:r>
    </w:p>
    <w:p w14:paraId="17185E51"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LT/1/20/4560/016 – N98</w:t>
      </w:r>
    </w:p>
    <w:p w14:paraId="1CE710D6" w14:textId="77777777" w:rsidR="00823785" w:rsidRPr="00327CDB" w:rsidRDefault="00823785" w:rsidP="00823785">
      <w:pPr>
        <w:widowControl w:val="0"/>
        <w:tabs>
          <w:tab w:val="clear" w:pos="567"/>
          <w:tab w:val="left" w:pos="1296"/>
        </w:tabs>
        <w:suppressAutoHyphens w:val="0"/>
        <w:snapToGrid w:val="0"/>
        <w:spacing w:line="240" w:lineRule="auto"/>
        <w:rPr>
          <w:color w:val="auto"/>
          <w:sz w:val="16"/>
          <w:szCs w:val="16"/>
          <w:lang w:eastAsia="en-US"/>
        </w:rPr>
      </w:pPr>
    </w:p>
    <w:p w14:paraId="677D9930" w14:textId="7F6C343C" w:rsidR="00823785" w:rsidRPr="00452D62" w:rsidRDefault="00327CDB"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Pr>
          <w:rFonts w:eastAsia="TimesNewRoman"/>
          <w:color w:val="auto"/>
          <w:sz w:val="22"/>
          <w:szCs w:val="22"/>
          <w:highlight w:val="lightGray"/>
          <w:lang w:eastAsia="en-US"/>
        </w:rPr>
        <w:t>&lt;</w:t>
      </w:r>
      <w:r w:rsidR="00823785" w:rsidRPr="00452D62">
        <w:rPr>
          <w:rFonts w:eastAsia="TimesNewRoman"/>
          <w:color w:val="auto"/>
          <w:sz w:val="22"/>
          <w:szCs w:val="22"/>
          <w:highlight w:val="lightGray"/>
          <w:lang w:eastAsia="en-US"/>
        </w:rPr>
        <w:t>20 mg</w:t>
      </w:r>
      <w:r>
        <w:rPr>
          <w:rFonts w:eastAsia="TimesNewRoman"/>
          <w:color w:val="auto"/>
          <w:sz w:val="22"/>
          <w:szCs w:val="22"/>
          <w:highlight w:val="lightGray"/>
          <w:lang w:eastAsia="en-US"/>
        </w:rPr>
        <w:t>&gt;</w:t>
      </w:r>
    </w:p>
    <w:p w14:paraId="586AB029" w14:textId="77777777" w:rsidR="00823785" w:rsidRPr="00327CDB"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u w:val="single"/>
          <w:lang w:eastAsia="en-US"/>
        </w:rPr>
      </w:pPr>
      <w:r w:rsidRPr="00327CDB">
        <w:rPr>
          <w:rFonts w:eastAsia="TimesNewRoman"/>
          <w:color w:val="auto"/>
          <w:sz w:val="22"/>
          <w:szCs w:val="22"/>
          <w:highlight w:val="lightGray"/>
          <w:u w:val="single"/>
          <w:lang w:eastAsia="en-US"/>
        </w:rPr>
        <w:t>lizdinė plokštelė</w:t>
      </w:r>
    </w:p>
    <w:p w14:paraId="0FF4FA0D"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color w:val="auto"/>
          <w:sz w:val="22"/>
          <w:szCs w:val="22"/>
          <w:lang w:eastAsia="en-US"/>
        </w:rPr>
        <w:t xml:space="preserve">LT/1/20/4561/001 </w:t>
      </w:r>
      <w:r w:rsidRPr="00452D62">
        <w:rPr>
          <w:rFonts w:eastAsia="TimesNewRoman"/>
          <w:color w:val="auto"/>
          <w:sz w:val="22"/>
          <w:szCs w:val="22"/>
          <w:highlight w:val="lightGray"/>
          <w:lang w:eastAsia="en-US"/>
        </w:rPr>
        <w:t>– N10</w:t>
      </w:r>
    </w:p>
    <w:p w14:paraId="44298071"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LT/1/20/4561/002 – N15</w:t>
      </w:r>
    </w:p>
    <w:p w14:paraId="07313FFA"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LT/1/20/4561/003 – N30</w:t>
      </w:r>
    </w:p>
    <w:p w14:paraId="077013E5"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LT/1/20/4561/004 – N60</w:t>
      </w:r>
    </w:p>
    <w:p w14:paraId="71B7E2E6"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LT/1/20/4561/005 – N90</w:t>
      </w:r>
    </w:p>
    <w:p w14:paraId="36887FED"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LT/1/20/4561/006 – N100</w:t>
      </w:r>
    </w:p>
    <w:p w14:paraId="2DA07001" w14:textId="77777777" w:rsidR="00823785" w:rsidRPr="00327CDB"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u w:val="single"/>
          <w:lang w:eastAsia="en-US"/>
        </w:rPr>
      </w:pPr>
      <w:r w:rsidRPr="00327CDB">
        <w:rPr>
          <w:rFonts w:eastAsia="TimesNewRoman"/>
          <w:color w:val="auto"/>
          <w:sz w:val="22"/>
          <w:szCs w:val="22"/>
          <w:highlight w:val="lightGray"/>
          <w:u w:val="single"/>
          <w:lang w:eastAsia="en-US"/>
        </w:rPr>
        <w:t>dalomoji lizdinė plokštelė</w:t>
      </w:r>
    </w:p>
    <w:p w14:paraId="7EF5A615"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LT/1/20/4561/007 – N10x1</w:t>
      </w:r>
    </w:p>
    <w:p w14:paraId="30F17E06"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LT/1/20/4561/008 – N30x1</w:t>
      </w:r>
    </w:p>
    <w:p w14:paraId="3B7C728A"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LT/1/20/4561/009 – N60x1</w:t>
      </w:r>
    </w:p>
    <w:p w14:paraId="3042E11D"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LT/1/20/4561/010 – N90x1</w:t>
      </w:r>
    </w:p>
    <w:p w14:paraId="10C2EC3B"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LT/1/20/4561/011 – N100x1</w:t>
      </w:r>
    </w:p>
    <w:p w14:paraId="20ED4CFB"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327CDB">
        <w:rPr>
          <w:rFonts w:eastAsia="TimesNewRoman"/>
          <w:color w:val="auto"/>
          <w:sz w:val="22"/>
          <w:szCs w:val="22"/>
          <w:highlight w:val="lightGray"/>
          <w:u w:val="single"/>
          <w:lang w:eastAsia="en-US"/>
        </w:rPr>
        <w:t>lizdinė plokštelė (kalendorinė pakuotė</w:t>
      </w:r>
      <w:r w:rsidRPr="00452D62">
        <w:rPr>
          <w:rFonts w:eastAsia="TimesNewRoman"/>
          <w:color w:val="auto"/>
          <w:sz w:val="22"/>
          <w:szCs w:val="22"/>
          <w:highlight w:val="lightGray"/>
          <w:lang w:eastAsia="en-US"/>
        </w:rPr>
        <w:t>)</w:t>
      </w:r>
    </w:p>
    <w:p w14:paraId="4AAEFFD7"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LT/1/20/4561/012 – N14</w:t>
      </w:r>
    </w:p>
    <w:p w14:paraId="3699BFF6"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LT/1/20/4561/013 – N28</w:t>
      </w:r>
    </w:p>
    <w:p w14:paraId="43660693"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LT/1/20/4561/014 – N42</w:t>
      </w:r>
    </w:p>
    <w:p w14:paraId="3C1716CF"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452D62">
        <w:rPr>
          <w:rFonts w:eastAsia="TimesNewRoman"/>
          <w:color w:val="auto"/>
          <w:sz w:val="22"/>
          <w:szCs w:val="22"/>
          <w:highlight w:val="lightGray"/>
          <w:lang w:eastAsia="en-US"/>
        </w:rPr>
        <w:t xml:space="preserve">LT/1/20/4561/015 – N56 </w:t>
      </w:r>
    </w:p>
    <w:p w14:paraId="5CD2E222"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color w:val="auto"/>
          <w:sz w:val="22"/>
          <w:szCs w:val="22"/>
          <w:lang w:eastAsia="en-US"/>
        </w:rPr>
      </w:pPr>
      <w:r w:rsidRPr="00452D62">
        <w:rPr>
          <w:rFonts w:eastAsia="TimesNewRoman"/>
          <w:color w:val="auto"/>
          <w:sz w:val="22"/>
          <w:szCs w:val="22"/>
          <w:highlight w:val="lightGray"/>
          <w:lang w:eastAsia="en-US"/>
        </w:rPr>
        <w:t>LT/1/20/4561/016 – N98</w:t>
      </w:r>
    </w:p>
    <w:p w14:paraId="213A1183" w14:textId="77777777" w:rsidR="00823785" w:rsidRPr="00327CDB" w:rsidRDefault="00823785" w:rsidP="00823785">
      <w:pPr>
        <w:widowControl w:val="0"/>
        <w:tabs>
          <w:tab w:val="clear" w:pos="567"/>
          <w:tab w:val="left" w:pos="1296"/>
        </w:tabs>
        <w:suppressAutoHyphens w:val="0"/>
        <w:snapToGrid w:val="0"/>
        <w:spacing w:line="240" w:lineRule="auto"/>
        <w:rPr>
          <w:color w:val="auto"/>
          <w:sz w:val="16"/>
          <w:szCs w:val="16"/>
          <w:lang w:eastAsia="en-US"/>
        </w:rPr>
      </w:pPr>
    </w:p>
    <w:p w14:paraId="4BBE9C4A"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6A7EAA95" w14:textId="77777777" w:rsidR="00823785" w:rsidRPr="00452D62" w:rsidRDefault="00823785" w:rsidP="00823785">
      <w:pPr>
        <w:widowControl w:val="0"/>
        <w:pBdr>
          <w:top w:val="single" w:sz="4" w:space="1" w:color="auto"/>
          <w:left w:val="single" w:sz="4" w:space="4" w:color="auto"/>
          <w:bottom w:val="single" w:sz="4" w:space="1" w:color="auto"/>
          <w:right w:val="single" w:sz="4" w:space="4" w:color="auto"/>
        </w:pBdr>
        <w:suppressAutoHyphens w:val="0"/>
        <w:snapToGrid w:val="0"/>
        <w:spacing w:line="240" w:lineRule="auto"/>
        <w:outlineLvl w:val="0"/>
        <w:rPr>
          <w:color w:val="auto"/>
          <w:sz w:val="22"/>
          <w:szCs w:val="22"/>
          <w:lang w:eastAsia="en-US"/>
        </w:rPr>
      </w:pPr>
      <w:r w:rsidRPr="00452D62">
        <w:rPr>
          <w:b/>
          <w:color w:val="auto"/>
          <w:sz w:val="22"/>
          <w:szCs w:val="22"/>
          <w:lang w:eastAsia="en-US"/>
        </w:rPr>
        <w:t>13.</w:t>
      </w:r>
      <w:r w:rsidRPr="00452D62">
        <w:rPr>
          <w:b/>
          <w:color w:val="auto"/>
          <w:sz w:val="22"/>
          <w:szCs w:val="22"/>
          <w:lang w:eastAsia="en-US"/>
        </w:rPr>
        <w:tab/>
        <w:t>SERIJOS NUMERIS</w:t>
      </w:r>
    </w:p>
    <w:p w14:paraId="1862FEF5" w14:textId="77777777" w:rsidR="00823785" w:rsidRPr="00452D62" w:rsidRDefault="00823785" w:rsidP="00823785">
      <w:pPr>
        <w:widowControl w:val="0"/>
        <w:tabs>
          <w:tab w:val="clear" w:pos="567"/>
          <w:tab w:val="left" w:pos="1296"/>
        </w:tabs>
        <w:suppressAutoHyphens w:val="0"/>
        <w:snapToGrid w:val="0"/>
        <w:spacing w:line="240" w:lineRule="auto"/>
        <w:rPr>
          <w:i/>
          <w:color w:val="auto"/>
          <w:sz w:val="22"/>
          <w:szCs w:val="22"/>
          <w:lang w:eastAsia="en-US"/>
        </w:rPr>
      </w:pPr>
    </w:p>
    <w:p w14:paraId="28DBB4E7"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r w:rsidRPr="00452D62">
        <w:rPr>
          <w:color w:val="auto"/>
          <w:sz w:val="22"/>
          <w:szCs w:val="22"/>
          <w:lang w:eastAsia="en-US"/>
        </w:rPr>
        <w:t>Lot</w:t>
      </w:r>
    </w:p>
    <w:p w14:paraId="0FB7C8BA"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189C5400"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404F41F7" w14:textId="77777777" w:rsidR="00823785" w:rsidRPr="00452D62" w:rsidRDefault="00823785" w:rsidP="00823785">
      <w:pPr>
        <w:widowControl w:val="0"/>
        <w:pBdr>
          <w:top w:val="single" w:sz="4" w:space="1" w:color="auto"/>
          <w:left w:val="single" w:sz="4" w:space="4" w:color="auto"/>
          <w:bottom w:val="single" w:sz="4" w:space="1" w:color="auto"/>
          <w:right w:val="single" w:sz="4" w:space="4" w:color="auto"/>
        </w:pBdr>
        <w:suppressAutoHyphens w:val="0"/>
        <w:snapToGrid w:val="0"/>
        <w:spacing w:line="240" w:lineRule="auto"/>
        <w:outlineLvl w:val="0"/>
        <w:rPr>
          <w:color w:val="auto"/>
          <w:sz w:val="22"/>
          <w:szCs w:val="22"/>
          <w:lang w:eastAsia="en-US"/>
        </w:rPr>
      </w:pPr>
      <w:r w:rsidRPr="00452D62">
        <w:rPr>
          <w:b/>
          <w:color w:val="auto"/>
          <w:sz w:val="22"/>
          <w:szCs w:val="22"/>
          <w:lang w:eastAsia="en-US"/>
        </w:rPr>
        <w:t>14.</w:t>
      </w:r>
      <w:r w:rsidRPr="00452D62">
        <w:rPr>
          <w:b/>
          <w:color w:val="auto"/>
          <w:sz w:val="22"/>
          <w:szCs w:val="22"/>
          <w:lang w:eastAsia="en-US"/>
        </w:rPr>
        <w:tab/>
        <w:t>PARDAVIMO (IŠDAVIMO) TVARKA</w:t>
      </w:r>
    </w:p>
    <w:p w14:paraId="3BA282E3"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6484165B" w14:textId="77777777" w:rsidR="00823785" w:rsidRPr="00452D62" w:rsidRDefault="00823785" w:rsidP="00823785">
      <w:pPr>
        <w:widowControl w:val="0"/>
        <w:tabs>
          <w:tab w:val="left" w:pos="360"/>
        </w:tabs>
        <w:suppressAutoHyphens w:val="0"/>
        <w:snapToGrid w:val="0"/>
        <w:spacing w:line="240" w:lineRule="auto"/>
        <w:rPr>
          <w:color w:val="auto"/>
          <w:sz w:val="22"/>
          <w:szCs w:val="22"/>
          <w:lang w:eastAsia="en-US"/>
        </w:rPr>
      </w:pPr>
      <w:r w:rsidRPr="00452D62">
        <w:rPr>
          <w:color w:val="auto"/>
          <w:sz w:val="22"/>
          <w:szCs w:val="22"/>
          <w:lang w:eastAsia="en-US"/>
        </w:rPr>
        <w:t>Receptinis vaistas.</w:t>
      </w:r>
    </w:p>
    <w:p w14:paraId="3A5A7D5F"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3C8876F6"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5A487FDA" w14:textId="77777777" w:rsidR="00823785" w:rsidRPr="00452D62" w:rsidRDefault="00823785" w:rsidP="00823785">
      <w:pPr>
        <w:widowControl w:val="0"/>
        <w:pBdr>
          <w:top w:val="single" w:sz="4" w:space="1" w:color="auto"/>
          <w:left w:val="single" w:sz="4" w:space="4" w:color="auto"/>
          <w:bottom w:val="single" w:sz="4" w:space="1" w:color="auto"/>
          <w:right w:val="single" w:sz="4" w:space="4" w:color="auto"/>
        </w:pBdr>
        <w:suppressAutoHyphens w:val="0"/>
        <w:snapToGrid w:val="0"/>
        <w:spacing w:line="240" w:lineRule="auto"/>
        <w:outlineLvl w:val="0"/>
        <w:rPr>
          <w:color w:val="auto"/>
          <w:sz w:val="22"/>
          <w:szCs w:val="22"/>
          <w:lang w:eastAsia="en-US"/>
        </w:rPr>
      </w:pPr>
      <w:r w:rsidRPr="00452D62">
        <w:rPr>
          <w:b/>
          <w:color w:val="auto"/>
          <w:sz w:val="22"/>
          <w:szCs w:val="22"/>
          <w:lang w:eastAsia="en-US"/>
        </w:rPr>
        <w:t>15.</w:t>
      </w:r>
      <w:r w:rsidRPr="00452D62">
        <w:rPr>
          <w:b/>
          <w:color w:val="auto"/>
          <w:sz w:val="22"/>
          <w:szCs w:val="22"/>
          <w:lang w:eastAsia="en-US"/>
        </w:rPr>
        <w:tab/>
        <w:t>VARTOJIMO INSTRUKCIJA</w:t>
      </w:r>
    </w:p>
    <w:p w14:paraId="2A5DA8C9"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6620F1A5"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18E343D9" w14:textId="77777777" w:rsidR="00823785" w:rsidRPr="00452D62" w:rsidRDefault="00823785" w:rsidP="00823785">
      <w:pPr>
        <w:widowControl w:val="0"/>
        <w:pBdr>
          <w:top w:val="single" w:sz="4" w:space="1" w:color="auto"/>
          <w:left w:val="single" w:sz="4" w:space="4" w:color="auto"/>
          <w:bottom w:val="single" w:sz="4" w:space="1" w:color="auto"/>
          <w:right w:val="single" w:sz="4" w:space="4" w:color="auto"/>
        </w:pBdr>
        <w:suppressAutoHyphens w:val="0"/>
        <w:snapToGrid w:val="0"/>
        <w:spacing w:line="240" w:lineRule="auto"/>
        <w:outlineLvl w:val="0"/>
        <w:rPr>
          <w:color w:val="auto"/>
          <w:sz w:val="22"/>
          <w:szCs w:val="22"/>
          <w:lang w:eastAsia="en-US"/>
        </w:rPr>
      </w:pPr>
      <w:r w:rsidRPr="00452D62">
        <w:rPr>
          <w:b/>
          <w:color w:val="auto"/>
          <w:sz w:val="22"/>
          <w:szCs w:val="22"/>
          <w:lang w:eastAsia="en-US"/>
        </w:rPr>
        <w:t>16.</w:t>
      </w:r>
      <w:r w:rsidRPr="00452D62">
        <w:rPr>
          <w:b/>
          <w:color w:val="auto"/>
          <w:sz w:val="22"/>
          <w:szCs w:val="22"/>
          <w:lang w:eastAsia="en-US"/>
        </w:rPr>
        <w:tab/>
        <w:t>INFORMACIJA BRAILIO RAŠTU</w:t>
      </w:r>
    </w:p>
    <w:p w14:paraId="61AEADCD"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054E86BD"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sz w:val="22"/>
          <w:szCs w:val="22"/>
          <w:lang w:eastAsia="en-US"/>
        </w:rPr>
      </w:pPr>
      <w:r w:rsidRPr="00452D62">
        <w:rPr>
          <w:sz w:val="22"/>
          <w:szCs w:val="22"/>
          <w:lang w:eastAsia="en-US"/>
        </w:rPr>
        <w:t>Xerdoxo 2,5 mg</w:t>
      </w:r>
    </w:p>
    <w:p w14:paraId="3093BE67"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sz w:val="22"/>
          <w:szCs w:val="22"/>
          <w:highlight w:val="lightGray"/>
          <w:lang w:eastAsia="en-US"/>
        </w:rPr>
      </w:pPr>
      <w:r w:rsidRPr="00452D62">
        <w:rPr>
          <w:sz w:val="22"/>
          <w:szCs w:val="22"/>
          <w:highlight w:val="lightGray"/>
          <w:lang w:eastAsia="en-US"/>
        </w:rPr>
        <w:t>Xerdoxo 10 mg</w:t>
      </w:r>
    </w:p>
    <w:p w14:paraId="2EFC42AC"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sz w:val="22"/>
          <w:szCs w:val="22"/>
          <w:lang w:eastAsia="en-US"/>
        </w:rPr>
      </w:pPr>
      <w:r w:rsidRPr="00452D62">
        <w:rPr>
          <w:sz w:val="22"/>
          <w:szCs w:val="22"/>
          <w:highlight w:val="lightGray"/>
          <w:lang w:eastAsia="en-US"/>
        </w:rPr>
        <w:t>Xerdoxo 15 mg</w:t>
      </w:r>
    </w:p>
    <w:p w14:paraId="1E967E61"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sz w:val="22"/>
          <w:szCs w:val="22"/>
          <w:lang w:eastAsia="en-US"/>
        </w:rPr>
      </w:pPr>
      <w:r w:rsidRPr="00452D62">
        <w:rPr>
          <w:sz w:val="22"/>
          <w:szCs w:val="22"/>
          <w:highlight w:val="lightGray"/>
          <w:lang w:eastAsia="en-US"/>
        </w:rPr>
        <w:t>Xerdoxo 20 mg</w:t>
      </w:r>
    </w:p>
    <w:p w14:paraId="0E7B0411"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shd w:val="clear" w:color="auto" w:fill="CCCCCC"/>
          <w:lang w:eastAsia="en-US"/>
        </w:rPr>
      </w:pPr>
    </w:p>
    <w:p w14:paraId="2057B5D4"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shd w:val="clear" w:color="auto" w:fill="CCCCCC"/>
          <w:lang w:eastAsia="en-US"/>
        </w:rPr>
      </w:pPr>
    </w:p>
    <w:p w14:paraId="5FE73B96" w14:textId="77777777" w:rsidR="00823785" w:rsidRPr="00452D62" w:rsidRDefault="00823785" w:rsidP="00823785">
      <w:pPr>
        <w:widowControl w:val="0"/>
        <w:pBdr>
          <w:top w:val="single" w:sz="4" w:space="1" w:color="auto"/>
          <w:left w:val="single" w:sz="4" w:space="4" w:color="auto"/>
          <w:bottom w:val="single" w:sz="4" w:space="1" w:color="auto"/>
          <w:right w:val="single" w:sz="4" w:space="4" w:color="auto"/>
        </w:pBdr>
        <w:tabs>
          <w:tab w:val="left" w:pos="0"/>
        </w:tabs>
        <w:suppressAutoHyphens w:val="0"/>
        <w:snapToGrid w:val="0"/>
        <w:spacing w:line="240" w:lineRule="auto"/>
        <w:outlineLvl w:val="0"/>
        <w:rPr>
          <w:i/>
          <w:color w:val="auto"/>
          <w:sz w:val="22"/>
          <w:szCs w:val="22"/>
          <w:lang w:eastAsia="en-US"/>
        </w:rPr>
      </w:pPr>
      <w:r w:rsidRPr="00452D62">
        <w:rPr>
          <w:b/>
          <w:color w:val="auto"/>
          <w:sz w:val="22"/>
          <w:szCs w:val="22"/>
          <w:lang w:eastAsia="en-US"/>
        </w:rPr>
        <w:t>17.</w:t>
      </w:r>
      <w:r w:rsidRPr="00452D62">
        <w:rPr>
          <w:b/>
          <w:color w:val="auto"/>
          <w:sz w:val="22"/>
          <w:szCs w:val="22"/>
          <w:lang w:eastAsia="en-US"/>
        </w:rPr>
        <w:tab/>
        <w:t>UNIKALUS IDENTIFIKATORIUS – 2D BRŪKŠNINIS KODAS</w:t>
      </w:r>
    </w:p>
    <w:p w14:paraId="44E5E4D3"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42884BBE"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shd w:val="clear" w:color="auto" w:fill="CCCCCC"/>
          <w:lang w:eastAsia="en-US"/>
        </w:rPr>
      </w:pPr>
      <w:r w:rsidRPr="00452D62">
        <w:rPr>
          <w:color w:val="auto"/>
          <w:sz w:val="22"/>
          <w:szCs w:val="22"/>
          <w:highlight w:val="lightGray"/>
          <w:lang w:eastAsia="en-US"/>
        </w:rPr>
        <w:t>2D brūkšninis kodas su nurodytu unikaliu identifikatoriumi.</w:t>
      </w:r>
    </w:p>
    <w:p w14:paraId="01CE90BE"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6C937EE5"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71780808" w14:textId="77777777" w:rsidR="00823785" w:rsidRPr="00452D62" w:rsidRDefault="00823785" w:rsidP="00823785">
      <w:pPr>
        <w:widowControl w:val="0"/>
        <w:pBdr>
          <w:top w:val="single" w:sz="4" w:space="1" w:color="auto"/>
          <w:left w:val="single" w:sz="4" w:space="4" w:color="auto"/>
          <w:bottom w:val="single" w:sz="4" w:space="1" w:color="auto"/>
          <w:right w:val="single" w:sz="4" w:space="4" w:color="auto"/>
        </w:pBdr>
        <w:tabs>
          <w:tab w:val="left" w:pos="0"/>
        </w:tabs>
        <w:suppressAutoHyphens w:val="0"/>
        <w:snapToGrid w:val="0"/>
        <w:spacing w:line="240" w:lineRule="auto"/>
        <w:outlineLvl w:val="0"/>
        <w:rPr>
          <w:i/>
          <w:color w:val="auto"/>
          <w:sz w:val="22"/>
          <w:szCs w:val="22"/>
          <w:lang w:eastAsia="en-US"/>
        </w:rPr>
      </w:pPr>
      <w:r w:rsidRPr="00452D62">
        <w:rPr>
          <w:b/>
          <w:color w:val="auto"/>
          <w:sz w:val="22"/>
          <w:szCs w:val="22"/>
          <w:lang w:eastAsia="en-US"/>
        </w:rPr>
        <w:t>18.</w:t>
      </w:r>
      <w:r w:rsidRPr="00452D62">
        <w:rPr>
          <w:b/>
          <w:color w:val="auto"/>
          <w:sz w:val="22"/>
          <w:szCs w:val="22"/>
          <w:lang w:eastAsia="en-US"/>
        </w:rPr>
        <w:tab/>
        <w:t>UNIKALUS IDENTIFIKATORIUS – ŽMONĖMS SUPRANTAMI DUOMENYS</w:t>
      </w:r>
    </w:p>
    <w:p w14:paraId="24D920F4"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38D208D5"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r w:rsidRPr="00452D62">
        <w:rPr>
          <w:color w:val="auto"/>
          <w:sz w:val="22"/>
          <w:szCs w:val="22"/>
          <w:lang w:eastAsia="en-US"/>
        </w:rPr>
        <w:t>PC</w:t>
      </w:r>
    </w:p>
    <w:p w14:paraId="6CA9A533"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r w:rsidRPr="00452D62">
        <w:rPr>
          <w:color w:val="auto"/>
          <w:sz w:val="22"/>
          <w:szCs w:val="22"/>
          <w:lang w:eastAsia="en-US"/>
        </w:rPr>
        <w:t>SN</w:t>
      </w:r>
    </w:p>
    <w:p w14:paraId="43337CDB" w14:textId="77777777" w:rsidR="00823785" w:rsidRPr="00452D62" w:rsidRDefault="00823785" w:rsidP="00823785">
      <w:pPr>
        <w:widowControl w:val="0"/>
        <w:tabs>
          <w:tab w:val="clear" w:pos="567"/>
          <w:tab w:val="left" w:pos="1296"/>
        </w:tabs>
        <w:suppressAutoHyphens w:val="0"/>
        <w:snapToGrid w:val="0"/>
        <w:spacing w:line="240" w:lineRule="auto"/>
        <w:rPr>
          <w:b/>
          <w:color w:val="auto"/>
          <w:sz w:val="22"/>
          <w:szCs w:val="22"/>
          <w:lang w:eastAsia="en-US"/>
        </w:rPr>
      </w:pPr>
      <w:r w:rsidRPr="00452D62">
        <w:rPr>
          <w:color w:val="auto"/>
          <w:sz w:val="22"/>
          <w:szCs w:val="22"/>
          <w:lang w:eastAsia="en-US"/>
        </w:rPr>
        <w:t>NN</w:t>
      </w:r>
    </w:p>
    <w:p w14:paraId="2949A39E" w14:textId="77777777" w:rsidR="00823785" w:rsidRPr="00452D62" w:rsidRDefault="00823785" w:rsidP="00823785">
      <w:pPr>
        <w:widowControl w:val="0"/>
        <w:tabs>
          <w:tab w:val="clear" w:pos="567"/>
          <w:tab w:val="left" w:pos="1296"/>
        </w:tabs>
        <w:suppressAutoHyphens w:val="0"/>
        <w:snapToGrid w:val="0"/>
        <w:spacing w:line="240" w:lineRule="auto"/>
        <w:rPr>
          <w:b/>
          <w:color w:val="auto"/>
          <w:sz w:val="22"/>
          <w:szCs w:val="22"/>
          <w:lang w:eastAsia="en-US"/>
        </w:rPr>
      </w:pPr>
      <w:r w:rsidRPr="00452D62">
        <w:rPr>
          <w:b/>
          <w:color w:val="auto"/>
          <w:sz w:val="22"/>
          <w:szCs w:val="22"/>
          <w:lang w:eastAsia="en-US"/>
        </w:rPr>
        <w:br w:type="page"/>
      </w:r>
    </w:p>
    <w:p w14:paraId="0916B7DF" w14:textId="77777777" w:rsidR="00823785" w:rsidRPr="00452D62" w:rsidRDefault="00823785" w:rsidP="00823785">
      <w:pPr>
        <w:widowControl w:val="0"/>
        <w:pBdr>
          <w:top w:val="single" w:sz="4" w:space="1" w:color="auto"/>
          <w:left w:val="single" w:sz="4" w:space="4" w:color="auto"/>
          <w:bottom w:val="single" w:sz="4" w:space="1" w:color="auto"/>
          <w:right w:val="single" w:sz="4" w:space="4" w:color="auto"/>
        </w:pBdr>
        <w:tabs>
          <w:tab w:val="left" w:pos="0"/>
        </w:tabs>
        <w:suppressAutoHyphens w:val="0"/>
        <w:snapToGrid w:val="0"/>
        <w:spacing w:line="240" w:lineRule="auto"/>
        <w:outlineLvl w:val="0"/>
        <w:rPr>
          <w:b/>
          <w:color w:val="auto"/>
          <w:sz w:val="22"/>
          <w:szCs w:val="22"/>
          <w:lang w:eastAsia="en-US"/>
        </w:rPr>
      </w:pPr>
      <w:r w:rsidRPr="00452D62">
        <w:rPr>
          <w:b/>
          <w:color w:val="auto"/>
          <w:sz w:val="22"/>
          <w:szCs w:val="22"/>
          <w:lang w:eastAsia="en-US"/>
        </w:rPr>
        <w:t>MINIMALI INFORMACIJA ANT LIZDINIŲ PLOKŠTELIŲ ARBA DVISLUOKSNIŲ JUOSTELIŲ</w:t>
      </w:r>
    </w:p>
    <w:p w14:paraId="4798A6D3" w14:textId="77777777" w:rsidR="00823785" w:rsidRPr="00452D62" w:rsidRDefault="00823785" w:rsidP="00823785">
      <w:pPr>
        <w:widowControl w:val="0"/>
        <w:pBdr>
          <w:top w:val="single" w:sz="4" w:space="1" w:color="auto"/>
          <w:left w:val="single" w:sz="4" w:space="4" w:color="auto"/>
          <w:bottom w:val="single" w:sz="4" w:space="1" w:color="auto"/>
          <w:right w:val="single" w:sz="4" w:space="4" w:color="auto"/>
        </w:pBdr>
        <w:tabs>
          <w:tab w:val="clear" w:pos="567"/>
          <w:tab w:val="left" w:pos="1296"/>
        </w:tabs>
        <w:suppressAutoHyphens w:val="0"/>
        <w:snapToGrid w:val="0"/>
        <w:spacing w:line="240" w:lineRule="auto"/>
        <w:rPr>
          <w:b/>
          <w:color w:val="auto"/>
          <w:sz w:val="22"/>
          <w:szCs w:val="22"/>
          <w:lang w:eastAsia="en-US"/>
        </w:rPr>
      </w:pPr>
    </w:p>
    <w:p w14:paraId="4644CB10" w14:textId="77777777" w:rsidR="00823785" w:rsidRPr="00452D62" w:rsidRDefault="00823785" w:rsidP="00823785">
      <w:pPr>
        <w:widowControl w:val="0"/>
        <w:pBdr>
          <w:top w:val="single" w:sz="4" w:space="1" w:color="auto"/>
          <w:left w:val="single" w:sz="4" w:space="4" w:color="auto"/>
          <w:bottom w:val="single" w:sz="4" w:space="1" w:color="auto"/>
          <w:right w:val="single" w:sz="4" w:space="4" w:color="auto"/>
        </w:pBdr>
        <w:tabs>
          <w:tab w:val="clear" w:pos="567"/>
          <w:tab w:val="left" w:pos="1296"/>
        </w:tabs>
        <w:suppressAutoHyphens w:val="0"/>
        <w:snapToGrid w:val="0"/>
        <w:spacing w:line="240" w:lineRule="auto"/>
        <w:rPr>
          <w:b/>
          <w:color w:val="auto"/>
          <w:sz w:val="22"/>
          <w:szCs w:val="22"/>
          <w:lang w:eastAsia="en-US"/>
        </w:rPr>
      </w:pPr>
      <w:r w:rsidRPr="00452D62">
        <w:rPr>
          <w:b/>
          <w:color w:val="auto"/>
          <w:sz w:val="22"/>
          <w:szCs w:val="22"/>
          <w:lang w:eastAsia="en-US"/>
        </w:rPr>
        <w:t>LIZDINĖ PLOKŠTELĖ</w:t>
      </w:r>
    </w:p>
    <w:p w14:paraId="582EF98E" w14:textId="77777777" w:rsidR="00823785" w:rsidRPr="00452D62" w:rsidRDefault="00823785" w:rsidP="00823785">
      <w:pPr>
        <w:widowControl w:val="0"/>
        <w:tabs>
          <w:tab w:val="clear" w:pos="567"/>
          <w:tab w:val="left" w:pos="1296"/>
        </w:tabs>
        <w:suppressAutoHyphens w:val="0"/>
        <w:snapToGrid w:val="0"/>
        <w:spacing w:line="240" w:lineRule="auto"/>
        <w:rPr>
          <w:bCs/>
          <w:color w:val="auto"/>
          <w:sz w:val="22"/>
          <w:szCs w:val="22"/>
          <w:lang w:eastAsia="en-US"/>
        </w:rPr>
      </w:pPr>
    </w:p>
    <w:p w14:paraId="1D28A723" w14:textId="77777777" w:rsidR="00823785" w:rsidRPr="00452D62" w:rsidRDefault="00823785" w:rsidP="00823785">
      <w:pPr>
        <w:widowControl w:val="0"/>
        <w:tabs>
          <w:tab w:val="clear" w:pos="567"/>
          <w:tab w:val="left" w:pos="1296"/>
        </w:tabs>
        <w:suppressAutoHyphens w:val="0"/>
        <w:snapToGrid w:val="0"/>
        <w:spacing w:line="240" w:lineRule="auto"/>
        <w:rPr>
          <w:bCs/>
          <w:color w:val="auto"/>
          <w:sz w:val="22"/>
          <w:szCs w:val="22"/>
          <w:lang w:eastAsia="en-US"/>
        </w:rPr>
      </w:pPr>
    </w:p>
    <w:p w14:paraId="3BA0A86E" w14:textId="77777777" w:rsidR="00823785" w:rsidRPr="00452D62" w:rsidRDefault="00823785" w:rsidP="00823785">
      <w:pPr>
        <w:widowControl w:val="0"/>
        <w:pBdr>
          <w:top w:val="single" w:sz="4" w:space="1" w:color="auto"/>
          <w:left w:val="single" w:sz="4" w:space="4" w:color="auto"/>
          <w:bottom w:val="single" w:sz="4" w:space="1" w:color="auto"/>
          <w:right w:val="single" w:sz="4" w:space="4" w:color="auto"/>
        </w:pBdr>
        <w:tabs>
          <w:tab w:val="left" w:pos="0"/>
        </w:tabs>
        <w:suppressAutoHyphens w:val="0"/>
        <w:snapToGrid w:val="0"/>
        <w:spacing w:line="240" w:lineRule="auto"/>
        <w:outlineLvl w:val="0"/>
        <w:rPr>
          <w:b/>
          <w:color w:val="auto"/>
          <w:sz w:val="22"/>
          <w:szCs w:val="22"/>
          <w:lang w:eastAsia="en-US"/>
        </w:rPr>
      </w:pPr>
      <w:r w:rsidRPr="00452D62">
        <w:rPr>
          <w:b/>
          <w:color w:val="auto"/>
          <w:sz w:val="22"/>
          <w:szCs w:val="22"/>
          <w:lang w:eastAsia="en-US"/>
        </w:rPr>
        <w:t>1.</w:t>
      </w:r>
      <w:r w:rsidRPr="00452D62">
        <w:rPr>
          <w:b/>
          <w:color w:val="auto"/>
          <w:sz w:val="22"/>
          <w:szCs w:val="22"/>
          <w:lang w:eastAsia="en-US"/>
        </w:rPr>
        <w:tab/>
        <w:t>VAISTINIO PREPARATO PAVADINIMAS</w:t>
      </w:r>
    </w:p>
    <w:p w14:paraId="1D6A5F14" w14:textId="77777777" w:rsidR="00823785" w:rsidRPr="00452D62" w:rsidRDefault="00823785" w:rsidP="00823785">
      <w:pPr>
        <w:widowControl w:val="0"/>
        <w:tabs>
          <w:tab w:val="clear" w:pos="567"/>
          <w:tab w:val="left" w:pos="1296"/>
        </w:tabs>
        <w:suppressAutoHyphens w:val="0"/>
        <w:snapToGrid w:val="0"/>
        <w:spacing w:line="240" w:lineRule="auto"/>
        <w:ind w:left="567" w:hanging="567"/>
        <w:rPr>
          <w:color w:val="auto"/>
          <w:sz w:val="22"/>
          <w:szCs w:val="22"/>
          <w:lang w:eastAsia="en-US"/>
        </w:rPr>
      </w:pPr>
    </w:p>
    <w:p w14:paraId="14CE30F3"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sz w:val="22"/>
          <w:szCs w:val="22"/>
          <w:lang w:eastAsia="en-US"/>
        </w:rPr>
      </w:pPr>
      <w:r w:rsidRPr="00452D62">
        <w:rPr>
          <w:sz w:val="22"/>
          <w:szCs w:val="22"/>
          <w:lang w:eastAsia="en-US"/>
        </w:rPr>
        <w:t xml:space="preserve">Xerdoxo 2,5 mg </w:t>
      </w:r>
      <w:r w:rsidRPr="00452D62">
        <w:rPr>
          <w:sz w:val="22"/>
          <w:szCs w:val="22"/>
          <w:highlight w:val="lightGray"/>
          <w:lang w:eastAsia="en-US"/>
        </w:rPr>
        <w:t>plėvele dengtos</w:t>
      </w:r>
      <w:r w:rsidRPr="00452D62">
        <w:rPr>
          <w:sz w:val="22"/>
          <w:szCs w:val="22"/>
          <w:lang w:eastAsia="en-US"/>
        </w:rPr>
        <w:t xml:space="preserve"> tabletės</w:t>
      </w:r>
    </w:p>
    <w:p w14:paraId="453893F9"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sz w:val="22"/>
          <w:szCs w:val="22"/>
          <w:highlight w:val="lightGray"/>
          <w:lang w:eastAsia="en-US"/>
        </w:rPr>
      </w:pPr>
      <w:r w:rsidRPr="00452D62">
        <w:rPr>
          <w:sz w:val="22"/>
          <w:szCs w:val="22"/>
          <w:highlight w:val="lightGray"/>
          <w:lang w:eastAsia="en-US"/>
        </w:rPr>
        <w:t>Xerdoxo 10 mg plėvele dengtos tabletės</w:t>
      </w:r>
    </w:p>
    <w:p w14:paraId="26918C0E"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sz w:val="22"/>
          <w:szCs w:val="22"/>
          <w:lang w:eastAsia="en-US"/>
        </w:rPr>
      </w:pPr>
      <w:r w:rsidRPr="00452D62">
        <w:rPr>
          <w:sz w:val="22"/>
          <w:szCs w:val="22"/>
          <w:highlight w:val="lightGray"/>
          <w:lang w:eastAsia="en-US"/>
        </w:rPr>
        <w:t>Xerdoxo 15 mg plėvele dengtos tabletės</w:t>
      </w:r>
    </w:p>
    <w:p w14:paraId="38B6AB56" w14:textId="77777777" w:rsidR="00823785" w:rsidRPr="00452D62" w:rsidRDefault="00823785" w:rsidP="00823785">
      <w:pPr>
        <w:widowControl w:val="0"/>
        <w:tabs>
          <w:tab w:val="clear" w:pos="567"/>
          <w:tab w:val="left" w:pos="1296"/>
        </w:tabs>
        <w:suppressAutoHyphens w:val="0"/>
        <w:autoSpaceDE w:val="0"/>
        <w:autoSpaceDN w:val="0"/>
        <w:adjustRightInd w:val="0"/>
        <w:snapToGrid w:val="0"/>
        <w:spacing w:line="240" w:lineRule="auto"/>
        <w:rPr>
          <w:sz w:val="22"/>
          <w:szCs w:val="22"/>
          <w:lang w:eastAsia="en-US"/>
        </w:rPr>
      </w:pPr>
      <w:r w:rsidRPr="00452D62">
        <w:rPr>
          <w:sz w:val="22"/>
          <w:szCs w:val="22"/>
          <w:highlight w:val="lightGray"/>
          <w:lang w:eastAsia="en-US"/>
        </w:rPr>
        <w:t>Xerdoxo 20 mg plėvele dengtos tabletės</w:t>
      </w:r>
    </w:p>
    <w:p w14:paraId="52D7C933" w14:textId="77777777" w:rsidR="00823785" w:rsidRPr="00452D62" w:rsidRDefault="00823785" w:rsidP="00823785">
      <w:pPr>
        <w:widowControl w:val="0"/>
        <w:tabs>
          <w:tab w:val="clear" w:pos="567"/>
          <w:tab w:val="left" w:pos="1296"/>
        </w:tabs>
        <w:suppressAutoHyphens w:val="0"/>
        <w:snapToGrid w:val="0"/>
        <w:spacing w:line="240" w:lineRule="auto"/>
        <w:ind w:left="567" w:hanging="567"/>
        <w:rPr>
          <w:color w:val="auto"/>
          <w:sz w:val="22"/>
          <w:szCs w:val="22"/>
          <w:lang w:eastAsia="en-US"/>
        </w:rPr>
      </w:pPr>
    </w:p>
    <w:p w14:paraId="3B4E83E4" w14:textId="77777777" w:rsidR="00823785" w:rsidRPr="00AE1B80" w:rsidRDefault="00823785" w:rsidP="00823785">
      <w:pPr>
        <w:widowControl w:val="0"/>
        <w:suppressAutoHyphens w:val="0"/>
        <w:spacing w:line="240" w:lineRule="auto"/>
        <w:rPr>
          <w:i/>
          <w:noProof/>
          <w:color w:val="auto"/>
          <w:sz w:val="22"/>
          <w:szCs w:val="22"/>
          <w:highlight w:val="lightGray"/>
          <w:u w:val="single"/>
          <w:lang w:val="sl-SI" w:eastAsia="en-US"/>
        </w:rPr>
      </w:pPr>
      <w:r w:rsidRPr="00AE1B80">
        <w:rPr>
          <w:i/>
          <w:noProof/>
          <w:color w:val="auto"/>
          <w:sz w:val="22"/>
          <w:szCs w:val="22"/>
          <w:highlight w:val="lightGray"/>
          <w:u w:val="single"/>
          <w:lang w:val="sl-SI" w:eastAsia="en-US"/>
        </w:rPr>
        <w:t>Daugiakalb</w:t>
      </w:r>
      <w:r w:rsidRPr="00AE1B80">
        <w:rPr>
          <w:i/>
          <w:noProof/>
          <w:color w:val="auto"/>
          <w:sz w:val="22"/>
          <w:szCs w:val="22"/>
          <w:highlight w:val="lightGray"/>
          <w:u w:val="single"/>
          <w:lang w:eastAsia="en-US"/>
        </w:rPr>
        <w:t>ė lizdinė plokštelė</w:t>
      </w:r>
      <w:r w:rsidRPr="00AE1B80">
        <w:rPr>
          <w:i/>
          <w:noProof/>
          <w:color w:val="auto"/>
          <w:sz w:val="22"/>
          <w:szCs w:val="22"/>
          <w:highlight w:val="lightGray"/>
          <w:u w:val="single"/>
          <w:lang w:val="sl-SI" w:eastAsia="en-US"/>
        </w:rPr>
        <w:t>:</w:t>
      </w:r>
    </w:p>
    <w:p w14:paraId="4E269DEA" w14:textId="0D20E086" w:rsidR="00823785" w:rsidRPr="00AE1B80" w:rsidRDefault="00823785" w:rsidP="00823785">
      <w:pPr>
        <w:widowControl w:val="0"/>
        <w:tabs>
          <w:tab w:val="clear" w:pos="567"/>
        </w:tabs>
        <w:suppressAutoHyphens w:val="0"/>
        <w:spacing w:line="240" w:lineRule="auto"/>
        <w:rPr>
          <w:color w:val="auto"/>
          <w:sz w:val="22"/>
          <w:lang w:val="sl-SI"/>
        </w:rPr>
      </w:pPr>
      <w:r w:rsidRPr="00452D62">
        <w:rPr>
          <w:sz w:val="22"/>
          <w:szCs w:val="22"/>
          <w:lang w:eastAsia="en-US"/>
        </w:rPr>
        <w:t>Xerdoxo</w:t>
      </w:r>
      <w:r w:rsidRPr="00AE1B80">
        <w:rPr>
          <w:color w:val="auto"/>
          <w:sz w:val="22"/>
          <w:lang w:val="sl-SI"/>
        </w:rPr>
        <w:t xml:space="preserve"> 2</w:t>
      </w:r>
      <w:r w:rsidR="000E0975" w:rsidRPr="00AE1B80">
        <w:rPr>
          <w:color w:val="auto"/>
          <w:sz w:val="22"/>
          <w:lang w:val="sl-SI"/>
        </w:rPr>
        <w:t>,</w:t>
      </w:r>
      <w:r w:rsidRPr="00AE1B80">
        <w:rPr>
          <w:color w:val="auto"/>
          <w:sz w:val="22"/>
          <w:lang w:val="sl-SI"/>
        </w:rPr>
        <w:t>5 mg tabletės</w:t>
      </w:r>
    </w:p>
    <w:p w14:paraId="3A84FCEA" w14:textId="77777777" w:rsidR="00823785" w:rsidRPr="00AE1B80" w:rsidRDefault="00823785" w:rsidP="00823785">
      <w:pPr>
        <w:widowControl w:val="0"/>
        <w:tabs>
          <w:tab w:val="clear" w:pos="567"/>
        </w:tabs>
        <w:suppressAutoHyphens w:val="0"/>
        <w:spacing w:line="240" w:lineRule="auto"/>
        <w:rPr>
          <w:color w:val="auto"/>
          <w:sz w:val="22"/>
          <w:highlight w:val="lightGray"/>
          <w:lang w:val="sl-SI"/>
        </w:rPr>
      </w:pPr>
      <w:r w:rsidRPr="00452D62">
        <w:rPr>
          <w:sz w:val="22"/>
          <w:szCs w:val="22"/>
          <w:highlight w:val="lightGray"/>
          <w:lang w:eastAsia="en-US"/>
        </w:rPr>
        <w:t>Xerdoxo</w:t>
      </w:r>
      <w:r w:rsidRPr="00AE1B80">
        <w:rPr>
          <w:color w:val="auto"/>
          <w:sz w:val="22"/>
          <w:highlight w:val="lightGray"/>
          <w:lang w:val="sl-SI"/>
        </w:rPr>
        <w:t xml:space="preserve"> 10 mg tabletės</w:t>
      </w:r>
    </w:p>
    <w:p w14:paraId="1AE76DDC" w14:textId="77777777" w:rsidR="00823785" w:rsidRPr="00AE1B80" w:rsidRDefault="00823785" w:rsidP="00823785">
      <w:pPr>
        <w:widowControl w:val="0"/>
        <w:tabs>
          <w:tab w:val="clear" w:pos="567"/>
        </w:tabs>
        <w:suppressAutoHyphens w:val="0"/>
        <w:spacing w:line="240" w:lineRule="auto"/>
        <w:rPr>
          <w:color w:val="auto"/>
          <w:sz w:val="22"/>
          <w:highlight w:val="lightGray"/>
          <w:lang w:val="sl-SI"/>
        </w:rPr>
      </w:pPr>
      <w:r w:rsidRPr="00452D62">
        <w:rPr>
          <w:sz w:val="22"/>
          <w:szCs w:val="22"/>
          <w:highlight w:val="lightGray"/>
          <w:lang w:eastAsia="en-US"/>
        </w:rPr>
        <w:t>Xerdoxo</w:t>
      </w:r>
      <w:r w:rsidRPr="00AE1B80">
        <w:rPr>
          <w:color w:val="auto"/>
          <w:sz w:val="22"/>
          <w:highlight w:val="lightGray"/>
          <w:lang w:val="sl-SI"/>
        </w:rPr>
        <w:t xml:space="preserve"> 15 mg tabletės</w:t>
      </w:r>
    </w:p>
    <w:p w14:paraId="3B6E4406" w14:textId="77777777" w:rsidR="00823785" w:rsidRPr="00AE1B80" w:rsidRDefault="00823785" w:rsidP="00823785">
      <w:pPr>
        <w:widowControl w:val="0"/>
        <w:tabs>
          <w:tab w:val="clear" w:pos="567"/>
        </w:tabs>
        <w:suppressAutoHyphens w:val="0"/>
        <w:spacing w:line="240" w:lineRule="auto"/>
        <w:rPr>
          <w:color w:val="auto"/>
          <w:sz w:val="22"/>
          <w:lang w:val="sl-SI"/>
        </w:rPr>
      </w:pPr>
      <w:r w:rsidRPr="00452D62">
        <w:rPr>
          <w:sz w:val="22"/>
          <w:szCs w:val="22"/>
          <w:highlight w:val="lightGray"/>
          <w:lang w:eastAsia="en-US"/>
        </w:rPr>
        <w:t>Xerdoxo</w:t>
      </w:r>
      <w:r w:rsidRPr="00AE1B80">
        <w:rPr>
          <w:color w:val="auto"/>
          <w:sz w:val="22"/>
          <w:highlight w:val="lightGray"/>
          <w:lang w:val="sl-SI"/>
        </w:rPr>
        <w:t xml:space="preserve"> 20 mg tabletės</w:t>
      </w:r>
    </w:p>
    <w:p w14:paraId="10346F60" w14:textId="77777777" w:rsidR="00823785" w:rsidRPr="00452D62" w:rsidRDefault="00823785" w:rsidP="00823785">
      <w:pPr>
        <w:widowControl w:val="0"/>
        <w:tabs>
          <w:tab w:val="clear" w:pos="567"/>
          <w:tab w:val="left" w:pos="1296"/>
        </w:tabs>
        <w:suppressAutoHyphens w:val="0"/>
        <w:snapToGrid w:val="0"/>
        <w:spacing w:line="240" w:lineRule="auto"/>
        <w:ind w:left="567" w:hanging="567"/>
        <w:rPr>
          <w:color w:val="auto"/>
          <w:sz w:val="22"/>
          <w:szCs w:val="22"/>
          <w:lang w:eastAsia="en-US"/>
        </w:rPr>
      </w:pPr>
    </w:p>
    <w:p w14:paraId="46A17D82" w14:textId="77777777" w:rsidR="00823785" w:rsidRPr="00452D62" w:rsidRDefault="00823785" w:rsidP="00823785">
      <w:pPr>
        <w:widowControl w:val="0"/>
        <w:tabs>
          <w:tab w:val="clear" w:pos="567"/>
          <w:tab w:val="left" w:pos="1296"/>
        </w:tabs>
        <w:suppressAutoHyphens w:val="0"/>
        <w:snapToGrid w:val="0"/>
        <w:spacing w:line="240" w:lineRule="auto"/>
        <w:ind w:left="567" w:hanging="567"/>
        <w:rPr>
          <w:color w:val="auto"/>
          <w:sz w:val="22"/>
          <w:szCs w:val="22"/>
          <w:lang w:eastAsia="en-US"/>
        </w:rPr>
      </w:pPr>
      <w:r w:rsidRPr="00452D62">
        <w:rPr>
          <w:color w:val="auto"/>
          <w:sz w:val="22"/>
          <w:szCs w:val="22"/>
          <w:lang w:eastAsia="en-US"/>
        </w:rPr>
        <w:t>rivaroksabanas</w:t>
      </w:r>
    </w:p>
    <w:p w14:paraId="3C58B094" w14:textId="77777777" w:rsidR="00823785" w:rsidRPr="00452D62" w:rsidRDefault="00823785" w:rsidP="00823785">
      <w:pPr>
        <w:widowControl w:val="0"/>
        <w:tabs>
          <w:tab w:val="clear" w:pos="567"/>
          <w:tab w:val="left" w:pos="1296"/>
        </w:tabs>
        <w:suppressAutoHyphens w:val="0"/>
        <w:snapToGrid w:val="0"/>
        <w:spacing w:line="240" w:lineRule="auto"/>
        <w:rPr>
          <w:bCs/>
          <w:color w:val="auto"/>
          <w:sz w:val="22"/>
          <w:szCs w:val="22"/>
          <w:lang w:eastAsia="en-US"/>
        </w:rPr>
      </w:pPr>
    </w:p>
    <w:p w14:paraId="317AFB21" w14:textId="77777777" w:rsidR="00823785" w:rsidRPr="00452D62" w:rsidRDefault="00823785" w:rsidP="00823785">
      <w:pPr>
        <w:widowControl w:val="0"/>
        <w:tabs>
          <w:tab w:val="clear" w:pos="567"/>
          <w:tab w:val="left" w:pos="1296"/>
        </w:tabs>
        <w:suppressAutoHyphens w:val="0"/>
        <w:snapToGrid w:val="0"/>
        <w:spacing w:line="240" w:lineRule="auto"/>
        <w:rPr>
          <w:bCs/>
          <w:color w:val="auto"/>
          <w:sz w:val="22"/>
          <w:szCs w:val="22"/>
          <w:lang w:eastAsia="en-US"/>
        </w:rPr>
      </w:pPr>
    </w:p>
    <w:p w14:paraId="5600E0E7" w14:textId="77777777" w:rsidR="00823785" w:rsidRPr="00452D62" w:rsidRDefault="00823785" w:rsidP="00823785">
      <w:pPr>
        <w:widowControl w:val="0"/>
        <w:pBdr>
          <w:top w:val="single" w:sz="4" w:space="1" w:color="auto"/>
          <w:left w:val="single" w:sz="4" w:space="4" w:color="auto"/>
          <w:bottom w:val="single" w:sz="4" w:space="1" w:color="auto"/>
          <w:right w:val="single" w:sz="4" w:space="4" w:color="auto"/>
        </w:pBdr>
        <w:tabs>
          <w:tab w:val="left" w:pos="0"/>
        </w:tabs>
        <w:suppressAutoHyphens w:val="0"/>
        <w:snapToGrid w:val="0"/>
        <w:spacing w:line="240" w:lineRule="auto"/>
        <w:outlineLvl w:val="0"/>
        <w:rPr>
          <w:b/>
          <w:color w:val="auto"/>
          <w:sz w:val="22"/>
          <w:szCs w:val="22"/>
          <w:lang w:eastAsia="en-US"/>
        </w:rPr>
      </w:pPr>
      <w:r w:rsidRPr="00452D62">
        <w:rPr>
          <w:b/>
          <w:color w:val="auto"/>
          <w:sz w:val="22"/>
          <w:szCs w:val="22"/>
          <w:lang w:eastAsia="en-US"/>
        </w:rPr>
        <w:t>2.</w:t>
      </w:r>
      <w:r w:rsidRPr="00452D62">
        <w:rPr>
          <w:b/>
          <w:color w:val="auto"/>
          <w:sz w:val="22"/>
          <w:szCs w:val="22"/>
          <w:lang w:eastAsia="en-US"/>
        </w:rPr>
        <w:tab/>
        <w:t>REGISTRUOTOJO PAVADINIMAS</w:t>
      </w:r>
    </w:p>
    <w:p w14:paraId="7AC0D56E" w14:textId="77777777" w:rsidR="00823785" w:rsidRPr="00452D62" w:rsidRDefault="00823785" w:rsidP="00823785">
      <w:pPr>
        <w:widowControl w:val="0"/>
        <w:tabs>
          <w:tab w:val="clear" w:pos="567"/>
          <w:tab w:val="left" w:pos="1296"/>
        </w:tabs>
        <w:suppressAutoHyphens w:val="0"/>
        <w:snapToGrid w:val="0"/>
        <w:spacing w:line="240" w:lineRule="auto"/>
        <w:jc w:val="both"/>
        <w:rPr>
          <w:color w:val="auto"/>
          <w:sz w:val="22"/>
          <w:szCs w:val="22"/>
          <w:lang w:eastAsia="en-US"/>
        </w:rPr>
      </w:pPr>
    </w:p>
    <w:p w14:paraId="52C8E328" w14:textId="77777777" w:rsidR="00823785" w:rsidRPr="00452D62" w:rsidRDefault="00823785" w:rsidP="00823785">
      <w:pPr>
        <w:widowControl w:val="0"/>
        <w:tabs>
          <w:tab w:val="clear" w:pos="567"/>
          <w:tab w:val="left" w:pos="1296"/>
        </w:tabs>
        <w:suppressAutoHyphens w:val="0"/>
        <w:snapToGrid w:val="0"/>
        <w:spacing w:line="240" w:lineRule="auto"/>
        <w:jc w:val="both"/>
        <w:rPr>
          <w:color w:val="auto"/>
          <w:sz w:val="22"/>
          <w:szCs w:val="22"/>
          <w:lang w:eastAsia="en-US"/>
        </w:rPr>
      </w:pPr>
      <w:r w:rsidRPr="00452D62">
        <w:rPr>
          <w:color w:val="auto"/>
          <w:sz w:val="22"/>
          <w:szCs w:val="22"/>
          <w:lang w:eastAsia="en-US"/>
        </w:rPr>
        <w:t>KRKA</w:t>
      </w:r>
    </w:p>
    <w:p w14:paraId="7FBF5BA8" w14:textId="77777777" w:rsidR="00823785" w:rsidRPr="00452D62" w:rsidRDefault="00823785" w:rsidP="00823785">
      <w:pPr>
        <w:widowControl w:val="0"/>
        <w:tabs>
          <w:tab w:val="clear" w:pos="567"/>
          <w:tab w:val="left" w:pos="1296"/>
        </w:tabs>
        <w:suppressAutoHyphens w:val="0"/>
        <w:snapToGrid w:val="0"/>
        <w:spacing w:line="240" w:lineRule="auto"/>
        <w:rPr>
          <w:bCs/>
          <w:color w:val="auto"/>
          <w:sz w:val="22"/>
          <w:szCs w:val="22"/>
          <w:lang w:eastAsia="en-US"/>
        </w:rPr>
      </w:pPr>
    </w:p>
    <w:p w14:paraId="6B2C2BF9" w14:textId="77777777" w:rsidR="00823785" w:rsidRPr="00452D62" w:rsidRDefault="00823785" w:rsidP="00823785">
      <w:pPr>
        <w:widowControl w:val="0"/>
        <w:tabs>
          <w:tab w:val="clear" w:pos="567"/>
          <w:tab w:val="left" w:pos="1296"/>
        </w:tabs>
        <w:suppressAutoHyphens w:val="0"/>
        <w:snapToGrid w:val="0"/>
        <w:spacing w:line="240" w:lineRule="auto"/>
        <w:rPr>
          <w:bCs/>
          <w:color w:val="auto"/>
          <w:sz w:val="22"/>
          <w:szCs w:val="22"/>
          <w:lang w:eastAsia="en-US"/>
        </w:rPr>
      </w:pPr>
    </w:p>
    <w:p w14:paraId="189FD7AF" w14:textId="77777777" w:rsidR="00823785" w:rsidRPr="00452D62" w:rsidRDefault="00823785" w:rsidP="00823785">
      <w:pPr>
        <w:widowControl w:val="0"/>
        <w:pBdr>
          <w:top w:val="single" w:sz="4" w:space="1" w:color="auto"/>
          <w:left w:val="single" w:sz="4" w:space="4" w:color="auto"/>
          <w:bottom w:val="single" w:sz="4" w:space="1" w:color="auto"/>
          <w:right w:val="single" w:sz="4" w:space="4" w:color="auto"/>
        </w:pBdr>
        <w:tabs>
          <w:tab w:val="left" w:pos="0"/>
        </w:tabs>
        <w:suppressAutoHyphens w:val="0"/>
        <w:snapToGrid w:val="0"/>
        <w:spacing w:line="240" w:lineRule="auto"/>
        <w:outlineLvl w:val="0"/>
        <w:rPr>
          <w:b/>
          <w:color w:val="auto"/>
          <w:sz w:val="22"/>
          <w:szCs w:val="22"/>
          <w:lang w:eastAsia="en-US"/>
        </w:rPr>
      </w:pPr>
      <w:r w:rsidRPr="00452D62">
        <w:rPr>
          <w:b/>
          <w:color w:val="auto"/>
          <w:sz w:val="22"/>
          <w:szCs w:val="22"/>
          <w:lang w:eastAsia="en-US"/>
        </w:rPr>
        <w:t>3.</w:t>
      </w:r>
      <w:r w:rsidRPr="00452D62">
        <w:rPr>
          <w:b/>
          <w:color w:val="auto"/>
          <w:sz w:val="22"/>
          <w:szCs w:val="22"/>
          <w:lang w:eastAsia="en-US"/>
        </w:rPr>
        <w:tab/>
        <w:t>TINKAMUMO LAIKAS</w:t>
      </w:r>
    </w:p>
    <w:p w14:paraId="47222187" w14:textId="77777777" w:rsidR="00823785" w:rsidRPr="00452D62" w:rsidRDefault="00823785" w:rsidP="00823785">
      <w:pPr>
        <w:widowControl w:val="0"/>
        <w:tabs>
          <w:tab w:val="clear" w:pos="567"/>
          <w:tab w:val="left" w:pos="1296"/>
        </w:tabs>
        <w:suppressAutoHyphens w:val="0"/>
        <w:snapToGrid w:val="0"/>
        <w:spacing w:line="240" w:lineRule="auto"/>
        <w:rPr>
          <w:bCs/>
          <w:color w:val="auto"/>
          <w:sz w:val="22"/>
          <w:szCs w:val="22"/>
          <w:lang w:eastAsia="en-US"/>
        </w:rPr>
      </w:pPr>
    </w:p>
    <w:p w14:paraId="036D006D"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r w:rsidRPr="00452D62">
        <w:rPr>
          <w:color w:val="auto"/>
          <w:sz w:val="22"/>
          <w:szCs w:val="22"/>
          <w:lang w:eastAsia="en-US"/>
        </w:rPr>
        <w:t>EXP (mm/MMMM)</w:t>
      </w:r>
    </w:p>
    <w:p w14:paraId="07B61AE9"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703310CB" w14:textId="77777777" w:rsidR="00823785" w:rsidRPr="00452D62"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721825C4" w14:textId="77777777" w:rsidR="00823785" w:rsidRPr="00452D62" w:rsidRDefault="00823785" w:rsidP="00823785">
      <w:pPr>
        <w:widowControl w:val="0"/>
        <w:pBdr>
          <w:top w:val="single" w:sz="4" w:space="1" w:color="auto"/>
          <w:left w:val="single" w:sz="4" w:space="4" w:color="auto"/>
          <w:bottom w:val="single" w:sz="4" w:space="1" w:color="auto"/>
          <w:right w:val="single" w:sz="4" w:space="4" w:color="auto"/>
        </w:pBdr>
        <w:tabs>
          <w:tab w:val="left" w:pos="0"/>
        </w:tabs>
        <w:suppressAutoHyphens w:val="0"/>
        <w:snapToGrid w:val="0"/>
        <w:spacing w:line="240" w:lineRule="auto"/>
        <w:outlineLvl w:val="0"/>
        <w:rPr>
          <w:b/>
          <w:caps/>
          <w:color w:val="auto"/>
          <w:sz w:val="22"/>
          <w:szCs w:val="22"/>
          <w:lang w:eastAsia="en-US"/>
        </w:rPr>
      </w:pPr>
      <w:r w:rsidRPr="00452D62">
        <w:rPr>
          <w:b/>
          <w:color w:val="auto"/>
          <w:sz w:val="22"/>
          <w:szCs w:val="22"/>
          <w:lang w:eastAsia="en-US"/>
        </w:rPr>
        <w:t>4.</w:t>
      </w:r>
      <w:r w:rsidRPr="00452D62">
        <w:rPr>
          <w:b/>
          <w:color w:val="auto"/>
          <w:sz w:val="22"/>
          <w:szCs w:val="22"/>
          <w:lang w:eastAsia="en-US"/>
        </w:rPr>
        <w:tab/>
        <w:t>SERIJOS NUMERIS</w:t>
      </w:r>
    </w:p>
    <w:p w14:paraId="236DD14F" w14:textId="77777777" w:rsidR="00823785" w:rsidRPr="00452D62" w:rsidRDefault="00823785" w:rsidP="00823785">
      <w:pPr>
        <w:widowControl w:val="0"/>
        <w:tabs>
          <w:tab w:val="clear" w:pos="567"/>
          <w:tab w:val="left" w:pos="1296"/>
        </w:tabs>
        <w:suppressAutoHyphens w:val="0"/>
        <w:snapToGrid w:val="0"/>
        <w:spacing w:line="240" w:lineRule="auto"/>
        <w:ind w:right="113"/>
        <w:rPr>
          <w:i/>
          <w:color w:val="auto"/>
          <w:sz w:val="22"/>
          <w:szCs w:val="22"/>
          <w:highlight w:val="yellow"/>
          <w:lang w:eastAsia="en-US"/>
        </w:rPr>
      </w:pPr>
    </w:p>
    <w:p w14:paraId="470375FA" w14:textId="77777777" w:rsidR="00823785" w:rsidRPr="00452D62" w:rsidRDefault="00823785" w:rsidP="00823785">
      <w:pPr>
        <w:widowControl w:val="0"/>
        <w:tabs>
          <w:tab w:val="clear" w:pos="567"/>
          <w:tab w:val="left" w:pos="1296"/>
        </w:tabs>
        <w:suppressAutoHyphens w:val="0"/>
        <w:snapToGrid w:val="0"/>
        <w:spacing w:line="240" w:lineRule="auto"/>
        <w:ind w:right="113"/>
        <w:rPr>
          <w:color w:val="auto"/>
          <w:sz w:val="22"/>
          <w:szCs w:val="22"/>
          <w:lang w:eastAsia="en-US"/>
        </w:rPr>
      </w:pPr>
      <w:r w:rsidRPr="00452D62">
        <w:rPr>
          <w:color w:val="auto"/>
          <w:sz w:val="22"/>
          <w:szCs w:val="22"/>
          <w:lang w:eastAsia="en-US"/>
        </w:rPr>
        <w:t>Lot</w:t>
      </w:r>
    </w:p>
    <w:p w14:paraId="6AD1CD16" w14:textId="77777777" w:rsidR="00823785" w:rsidRPr="00452D62" w:rsidRDefault="00823785" w:rsidP="00823785">
      <w:pPr>
        <w:widowControl w:val="0"/>
        <w:tabs>
          <w:tab w:val="clear" w:pos="567"/>
          <w:tab w:val="left" w:pos="1296"/>
        </w:tabs>
        <w:suppressAutoHyphens w:val="0"/>
        <w:snapToGrid w:val="0"/>
        <w:spacing w:line="240" w:lineRule="auto"/>
        <w:ind w:right="113"/>
        <w:rPr>
          <w:color w:val="auto"/>
          <w:sz w:val="22"/>
          <w:szCs w:val="22"/>
          <w:lang w:eastAsia="en-US"/>
        </w:rPr>
      </w:pPr>
    </w:p>
    <w:p w14:paraId="0DB5B9F5" w14:textId="77777777" w:rsidR="00823785" w:rsidRPr="00452D62" w:rsidRDefault="00823785" w:rsidP="00823785">
      <w:pPr>
        <w:widowControl w:val="0"/>
        <w:tabs>
          <w:tab w:val="clear" w:pos="567"/>
          <w:tab w:val="left" w:pos="1296"/>
        </w:tabs>
        <w:suppressAutoHyphens w:val="0"/>
        <w:snapToGrid w:val="0"/>
        <w:spacing w:line="240" w:lineRule="auto"/>
        <w:ind w:right="113"/>
        <w:rPr>
          <w:color w:val="auto"/>
          <w:sz w:val="22"/>
          <w:szCs w:val="22"/>
          <w:lang w:eastAsia="en-US"/>
        </w:rPr>
      </w:pPr>
    </w:p>
    <w:p w14:paraId="0FABB450" w14:textId="77777777" w:rsidR="00823785" w:rsidRPr="00452D62" w:rsidRDefault="00823785" w:rsidP="00823785">
      <w:pPr>
        <w:widowControl w:val="0"/>
        <w:pBdr>
          <w:top w:val="single" w:sz="4" w:space="1" w:color="auto"/>
          <w:left w:val="single" w:sz="4" w:space="4" w:color="auto"/>
          <w:bottom w:val="single" w:sz="4" w:space="1" w:color="auto"/>
          <w:right w:val="single" w:sz="4" w:space="4" w:color="auto"/>
        </w:pBdr>
        <w:tabs>
          <w:tab w:val="left" w:pos="0"/>
        </w:tabs>
        <w:suppressAutoHyphens w:val="0"/>
        <w:snapToGrid w:val="0"/>
        <w:spacing w:line="240" w:lineRule="auto"/>
        <w:outlineLvl w:val="0"/>
        <w:rPr>
          <w:b/>
          <w:color w:val="auto"/>
          <w:sz w:val="22"/>
          <w:szCs w:val="22"/>
          <w:lang w:eastAsia="en-US"/>
        </w:rPr>
      </w:pPr>
      <w:r w:rsidRPr="00452D62">
        <w:rPr>
          <w:b/>
          <w:color w:val="auto"/>
          <w:sz w:val="22"/>
          <w:szCs w:val="22"/>
          <w:lang w:eastAsia="en-US"/>
        </w:rPr>
        <w:t>5.</w:t>
      </w:r>
      <w:r w:rsidRPr="00452D62">
        <w:rPr>
          <w:b/>
          <w:color w:val="auto"/>
          <w:sz w:val="22"/>
          <w:szCs w:val="22"/>
          <w:lang w:eastAsia="en-US"/>
        </w:rPr>
        <w:tab/>
        <w:t>KITA</w:t>
      </w:r>
    </w:p>
    <w:p w14:paraId="49311F67" w14:textId="77777777" w:rsidR="00823785" w:rsidRPr="008C3DF7" w:rsidRDefault="00823785" w:rsidP="00823785">
      <w:pPr>
        <w:suppressAutoHyphens w:val="0"/>
        <w:snapToGrid w:val="0"/>
        <w:rPr>
          <w:color w:val="auto"/>
          <w:sz w:val="22"/>
          <w:szCs w:val="22"/>
          <w:lang w:eastAsia="en-US"/>
        </w:rPr>
      </w:pPr>
    </w:p>
    <w:p w14:paraId="7C8E910D" w14:textId="77777777" w:rsidR="00823785" w:rsidRPr="008C3DF7" w:rsidRDefault="00823785" w:rsidP="00823785">
      <w:pPr>
        <w:suppressAutoHyphens w:val="0"/>
        <w:snapToGrid w:val="0"/>
        <w:rPr>
          <w:i/>
          <w:color w:val="auto"/>
          <w:sz w:val="22"/>
          <w:szCs w:val="22"/>
          <w:highlight w:val="lightGray"/>
          <w:lang w:eastAsia="en-US"/>
        </w:rPr>
      </w:pPr>
      <w:r w:rsidRPr="008C3DF7">
        <w:rPr>
          <w:i/>
          <w:color w:val="auto"/>
          <w:sz w:val="22"/>
          <w:szCs w:val="22"/>
          <w:highlight w:val="lightGray"/>
          <w:lang w:eastAsia="en-US"/>
        </w:rPr>
        <w:t>Kalendorinė pakuotė tik neperforuotoms lizdinėms plokštelėms, kuriose yra 14 tablečių (10 mg, 15 mg, 20 mg stiprumai):</w:t>
      </w:r>
    </w:p>
    <w:p w14:paraId="045F8960" w14:textId="77777777" w:rsidR="00823785" w:rsidRPr="008C3DF7" w:rsidRDefault="00823785" w:rsidP="00823785">
      <w:pPr>
        <w:suppressAutoHyphens w:val="0"/>
        <w:snapToGrid w:val="0"/>
        <w:rPr>
          <w:color w:val="auto"/>
          <w:sz w:val="22"/>
          <w:szCs w:val="22"/>
          <w:highlight w:val="lightGray"/>
          <w:lang w:eastAsia="en-US"/>
        </w:rPr>
      </w:pPr>
      <w:r w:rsidRPr="008C3DF7">
        <w:rPr>
          <w:color w:val="auto"/>
          <w:sz w:val="22"/>
          <w:szCs w:val="22"/>
          <w:highlight w:val="lightGray"/>
          <w:lang w:eastAsia="en-US"/>
        </w:rPr>
        <w:t>P.</w:t>
      </w:r>
    </w:p>
    <w:p w14:paraId="6025DFD8" w14:textId="77777777" w:rsidR="00823785" w:rsidRPr="001216D5" w:rsidRDefault="00823785" w:rsidP="00823785">
      <w:pPr>
        <w:suppressAutoHyphens w:val="0"/>
        <w:snapToGrid w:val="0"/>
        <w:rPr>
          <w:color w:val="auto"/>
          <w:sz w:val="22"/>
          <w:szCs w:val="22"/>
          <w:highlight w:val="lightGray"/>
          <w:lang w:eastAsia="en-US"/>
        </w:rPr>
      </w:pPr>
      <w:r w:rsidRPr="0016516E">
        <w:rPr>
          <w:color w:val="auto"/>
          <w:sz w:val="22"/>
          <w:szCs w:val="22"/>
          <w:highlight w:val="lightGray"/>
          <w:lang w:eastAsia="en-US"/>
        </w:rPr>
        <w:t>A.</w:t>
      </w:r>
    </w:p>
    <w:p w14:paraId="2809559C" w14:textId="77777777" w:rsidR="00823785" w:rsidRPr="00FA3252" w:rsidRDefault="00823785" w:rsidP="00823785">
      <w:pPr>
        <w:suppressAutoHyphens w:val="0"/>
        <w:snapToGrid w:val="0"/>
        <w:rPr>
          <w:color w:val="auto"/>
          <w:sz w:val="22"/>
          <w:szCs w:val="22"/>
          <w:highlight w:val="lightGray"/>
          <w:lang w:eastAsia="en-US"/>
        </w:rPr>
      </w:pPr>
      <w:r w:rsidRPr="00FA3252">
        <w:rPr>
          <w:color w:val="auto"/>
          <w:sz w:val="22"/>
          <w:szCs w:val="22"/>
          <w:highlight w:val="lightGray"/>
          <w:lang w:eastAsia="en-US"/>
        </w:rPr>
        <w:t>T.</w:t>
      </w:r>
    </w:p>
    <w:p w14:paraId="092609FB" w14:textId="77777777" w:rsidR="00823785" w:rsidRPr="00D71A7A" w:rsidRDefault="00823785" w:rsidP="00823785">
      <w:pPr>
        <w:suppressAutoHyphens w:val="0"/>
        <w:snapToGrid w:val="0"/>
        <w:rPr>
          <w:color w:val="auto"/>
          <w:sz w:val="22"/>
          <w:szCs w:val="22"/>
          <w:highlight w:val="lightGray"/>
          <w:lang w:eastAsia="en-US"/>
        </w:rPr>
      </w:pPr>
      <w:r w:rsidRPr="00FA3252">
        <w:rPr>
          <w:color w:val="auto"/>
          <w:sz w:val="22"/>
          <w:szCs w:val="22"/>
          <w:highlight w:val="lightGray"/>
          <w:lang w:eastAsia="en-US"/>
        </w:rPr>
        <w:t>K.</w:t>
      </w:r>
    </w:p>
    <w:p w14:paraId="1359A087" w14:textId="77777777" w:rsidR="00823785" w:rsidRPr="005B7B93" w:rsidRDefault="00823785" w:rsidP="00823785">
      <w:pPr>
        <w:suppressAutoHyphens w:val="0"/>
        <w:snapToGrid w:val="0"/>
        <w:rPr>
          <w:color w:val="auto"/>
          <w:sz w:val="22"/>
          <w:szCs w:val="22"/>
          <w:highlight w:val="lightGray"/>
          <w:lang w:eastAsia="en-US"/>
        </w:rPr>
      </w:pPr>
      <w:r w:rsidRPr="005B7B93">
        <w:rPr>
          <w:color w:val="auto"/>
          <w:sz w:val="22"/>
          <w:szCs w:val="22"/>
          <w:highlight w:val="lightGray"/>
          <w:lang w:eastAsia="en-US"/>
        </w:rPr>
        <w:t>Pn.</w:t>
      </w:r>
    </w:p>
    <w:p w14:paraId="70701350" w14:textId="77777777" w:rsidR="00823785" w:rsidRPr="00F6625D" w:rsidRDefault="00823785" w:rsidP="00823785">
      <w:pPr>
        <w:suppressAutoHyphens w:val="0"/>
        <w:snapToGrid w:val="0"/>
        <w:rPr>
          <w:color w:val="auto"/>
          <w:sz w:val="22"/>
          <w:szCs w:val="22"/>
          <w:highlight w:val="lightGray"/>
          <w:lang w:eastAsia="en-US"/>
        </w:rPr>
      </w:pPr>
      <w:r w:rsidRPr="00F6625D">
        <w:rPr>
          <w:color w:val="auto"/>
          <w:sz w:val="22"/>
          <w:szCs w:val="22"/>
          <w:highlight w:val="lightGray"/>
          <w:lang w:eastAsia="en-US"/>
        </w:rPr>
        <w:t>Š.</w:t>
      </w:r>
    </w:p>
    <w:p w14:paraId="16A1CDB7" w14:textId="77777777" w:rsidR="00823785" w:rsidRPr="00AE1B80" w:rsidRDefault="00823785" w:rsidP="00823785">
      <w:pPr>
        <w:suppressAutoHyphens w:val="0"/>
        <w:snapToGrid w:val="0"/>
        <w:rPr>
          <w:color w:val="auto"/>
          <w:sz w:val="22"/>
          <w:szCs w:val="22"/>
          <w:highlight w:val="lightGray"/>
          <w:lang w:eastAsia="en-US"/>
        </w:rPr>
      </w:pPr>
      <w:r w:rsidRPr="00AE1B80">
        <w:rPr>
          <w:color w:val="auto"/>
          <w:sz w:val="22"/>
          <w:szCs w:val="22"/>
          <w:highlight w:val="lightGray"/>
          <w:lang w:eastAsia="en-US"/>
        </w:rPr>
        <w:t>S.</w:t>
      </w:r>
    </w:p>
    <w:p w14:paraId="585D9D73" w14:textId="77777777" w:rsidR="00823785" w:rsidRPr="00AE1B80" w:rsidRDefault="00823785" w:rsidP="00823785">
      <w:pPr>
        <w:suppressAutoHyphens w:val="0"/>
        <w:snapToGrid w:val="0"/>
        <w:rPr>
          <w:color w:val="auto"/>
          <w:sz w:val="22"/>
          <w:szCs w:val="22"/>
          <w:highlight w:val="lightGray"/>
          <w:lang w:eastAsia="en-US"/>
        </w:rPr>
      </w:pPr>
    </w:p>
    <w:p w14:paraId="1A6E38EB" w14:textId="77777777" w:rsidR="00823785" w:rsidRPr="00AE1B80" w:rsidRDefault="00823785" w:rsidP="00823785">
      <w:pPr>
        <w:suppressAutoHyphens w:val="0"/>
        <w:snapToGrid w:val="0"/>
        <w:rPr>
          <w:i/>
          <w:color w:val="auto"/>
          <w:sz w:val="22"/>
          <w:szCs w:val="22"/>
          <w:lang w:eastAsia="en-US"/>
        </w:rPr>
      </w:pPr>
      <w:r w:rsidRPr="00AE1B80">
        <w:rPr>
          <w:i/>
          <w:color w:val="auto"/>
          <w:sz w:val="22"/>
          <w:szCs w:val="22"/>
          <w:highlight w:val="lightGray"/>
          <w:lang w:eastAsia="en-US"/>
        </w:rPr>
        <w:t>Kalendorinė pakuotė tik neperforuotoms lizdinėms plokštelėms, kuriose yra 14 tablečių (2,5 mg stiprumas):</w:t>
      </w:r>
    </w:p>
    <w:tbl>
      <w:tblPr>
        <w:tblW w:w="0" w:type="auto"/>
        <w:tblInd w:w="108" w:type="dxa"/>
        <w:shd w:val="clear" w:color="auto" w:fill="D9D9D9"/>
        <w:tblLook w:val="04A0" w:firstRow="1" w:lastRow="0" w:firstColumn="1" w:lastColumn="0" w:noHBand="0" w:noVBand="1"/>
      </w:tblPr>
      <w:tblGrid>
        <w:gridCol w:w="617"/>
        <w:gridCol w:w="709"/>
      </w:tblGrid>
      <w:tr w:rsidR="00823785" w:rsidRPr="00452D62" w14:paraId="0C1B3BDC" w14:textId="77777777" w:rsidTr="006453B9">
        <w:tc>
          <w:tcPr>
            <w:tcW w:w="617" w:type="dxa"/>
            <w:shd w:val="clear" w:color="auto" w:fill="BFBFBF"/>
          </w:tcPr>
          <w:p w14:paraId="118A57AE" w14:textId="77777777" w:rsidR="00823785" w:rsidRPr="00452D62" w:rsidRDefault="00823785" w:rsidP="006453B9">
            <w:pPr>
              <w:widowControl w:val="0"/>
              <w:suppressAutoHyphens w:val="0"/>
              <w:spacing w:line="240" w:lineRule="auto"/>
              <w:rPr>
                <w:iCs/>
                <w:color w:val="auto"/>
                <w:sz w:val="22"/>
                <w:szCs w:val="22"/>
                <w:highlight w:val="lightGray"/>
                <w:lang w:eastAsia="sl-SI"/>
              </w:rPr>
            </w:pPr>
            <w:r w:rsidRPr="00452D62">
              <w:rPr>
                <w:noProof/>
                <w:color w:val="auto"/>
                <w:sz w:val="22"/>
                <w:szCs w:val="22"/>
                <w:lang w:eastAsia="lt-LT"/>
              </w:rPr>
              <w:drawing>
                <wp:inline distT="0" distB="0" distL="0" distR="0" wp14:anchorId="3179362D" wp14:editId="12201DD7">
                  <wp:extent cx="254635" cy="222885"/>
                  <wp:effectExtent l="0" t="0" r="0" b="0"/>
                  <wp:docPr id="2"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4635" cy="222885"/>
                          </a:xfrm>
                          <a:prstGeom prst="rect">
                            <a:avLst/>
                          </a:prstGeom>
                          <a:noFill/>
                          <a:ln>
                            <a:noFill/>
                          </a:ln>
                        </pic:spPr>
                      </pic:pic>
                    </a:graphicData>
                  </a:graphic>
                </wp:inline>
              </w:drawing>
            </w:r>
          </w:p>
        </w:tc>
        <w:tc>
          <w:tcPr>
            <w:tcW w:w="709" w:type="dxa"/>
            <w:shd w:val="clear" w:color="auto" w:fill="BFBFBF"/>
          </w:tcPr>
          <w:p w14:paraId="03526C8E" w14:textId="77777777" w:rsidR="00823785" w:rsidRPr="00452D62" w:rsidRDefault="00823785" w:rsidP="006453B9">
            <w:pPr>
              <w:widowControl w:val="0"/>
              <w:suppressAutoHyphens w:val="0"/>
              <w:spacing w:line="240" w:lineRule="auto"/>
              <w:rPr>
                <w:iCs/>
                <w:color w:val="auto"/>
                <w:sz w:val="22"/>
                <w:szCs w:val="22"/>
                <w:highlight w:val="lightGray"/>
                <w:lang w:eastAsia="sl-SI"/>
              </w:rPr>
            </w:pPr>
            <w:r w:rsidRPr="00452D62">
              <w:rPr>
                <w:noProof/>
                <w:color w:val="auto"/>
                <w:sz w:val="22"/>
                <w:szCs w:val="22"/>
                <w:lang w:eastAsia="lt-LT"/>
              </w:rPr>
              <w:drawing>
                <wp:inline distT="0" distB="0" distL="0" distR="0" wp14:anchorId="75256B23" wp14:editId="378C1A19">
                  <wp:extent cx="278130" cy="207010"/>
                  <wp:effectExtent l="0" t="0" r="0" b="0"/>
                  <wp:docPr id="3"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8130" cy="207010"/>
                          </a:xfrm>
                          <a:prstGeom prst="rect">
                            <a:avLst/>
                          </a:prstGeom>
                          <a:noFill/>
                          <a:ln>
                            <a:noFill/>
                          </a:ln>
                        </pic:spPr>
                      </pic:pic>
                    </a:graphicData>
                  </a:graphic>
                </wp:inline>
              </w:drawing>
            </w:r>
          </w:p>
        </w:tc>
      </w:tr>
      <w:tr w:rsidR="00823785" w:rsidRPr="00452D62" w14:paraId="2434080F" w14:textId="77777777" w:rsidTr="006453B9">
        <w:tc>
          <w:tcPr>
            <w:tcW w:w="1326" w:type="dxa"/>
            <w:gridSpan w:val="2"/>
            <w:shd w:val="clear" w:color="auto" w:fill="BFBFBF"/>
          </w:tcPr>
          <w:p w14:paraId="0BD42A37" w14:textId="77777777" w:rsidR="00823785" w:rsidRPr="00452D62" w:rsidRDefault="00823785" w:rsidP="006453B9">
            <w:pPr>
              <w:widowControl w:val="0"/>
              <w:tabs>
                <w:tab w:val="clear" w:pos="567"/>
              </w:tabs>
              <w:suppressAutoHyphens w:val="0"/>
              <w:spacing w:line="240" w:lineRule="auto"/>
              <w:ind w:left="142" w:hanging="142"/>
              <w:rPr>
                <w:iCs/>
                <w:color w:val="auto"/>
                <w:sz w:val="22"/>
                <w:szCs w:val="22"/>
                <w:highlight w:val="lightGray"/>
                <w:lang w:eastAsia="sl-SI"/>
              </w:rPr>
            </w:pPr>
          </w:p>
          <w:p w14:paraId="6564286E" w14:textId="77777777" w:rsidR="00823785" w:rsidRPr="008C3DF7" w:rsidRDefault="00823785" w:rsidP="006453B9">
            <w:pPr>
              <w:suppressAutoHyphens w:val="0"/>
              <w:snapToGrid w:val="0"/>
              <w:rPr>
                <w:color w:val="auto"/>
                <w:sz w:val="22"/>
                <w:szCs w:val="22"/>
                <w:lang w:eastAsia="en-US"/>
              </w:rPr>
            </w:pPr>
            <w:r w:rsidRPr="00452D62">
              <w:rPr>
                <w:iCs/>
                <w:color w:val="auto"/>
                <w:sz w:val="22"/>
                <w:szCs w:val="22"/>
                <w:highlight w:val="lightGray"/>
                <w:lang w:eastAsia="sl-SI"/>
              </w:rPr>
              <w:t>*</w:t>
            </w:r>
            <w:r w:rsidRPr="008C3DF7">
              <w:rPr>
                <w:color w:val="auto"/>
                <w:sz w:val="22"/>
                <w:szCs w:val="22"/>
                <w:lang w:eastAsia="en-US"/>
              </w:rPr>
              <w:t>P.</w:t>
            </w:r>
          </w:p>
          <w:p w14:paraId="4E6FF834" w14:textId="77777777" w:rsidR="00823785" w:rsidRPr="008C3DF7" w:rsidRDefault="00823785" w:rsidP="006453B9">
            <w:pPr>
              <w:suppressAutoHyphens w:val="0"/>
              <w:snapToGrid w:val="0"/>
              <w:rPr>
                <w:color w:val="auto"/>
                <w:sz w:val="22"/>
                <w:szCs w:val="22"/>
                <w:lang w:eastAsia="en-US"/>
              </w:rPr>
            </w:pPr>
            <w:r w:rsidRPr="008C3DF7">
              <w:rPr>
                <w:color w:val="auto"/>
                <w:sz w:val="22"/>
                <w:szCs w:val="22"/>
                <w:lang w:eastAsia="en-US"/>
              </w:rPr>
              <w:t>A.</w:t>
            </w:r>
          </w:p>
          <w:p w14:paraId="3891B995" w14:textId="77777777" w:rsidR="00823785" w:rsidRPr="008C3DF7" w:rsidRDefault="00823785" w:rsidP="006453B9">
            <w:pPr>
              <w:suppressAutoHyphens w:val="0"/>
              <w:snapToGrid w:val="0"/>
              <w:rPr>
                <w:color w:val="auto"/>
                <w:sz w:val="22"/>
                <w:szCs w:val="22"/>
                <w:lang w:eastAsia="en-US"/>
              </w:rPr>
            </w:pPr>
            <w:r w:rsidRPr="008C3DF7">
              <w:rPr>
                <w:color w:val="auto"/>
                <w:sz w:val="22"/>
                <w:szCs w:val="22"/>
                <w:lang w:eastAsia="en-US"/>
              </w:rPr>
              <w:t>T.</w:t>
            </w:r>
          </w:p>
          <w:p w14:paraId="49896909" w14:textId="77777777" w:rsidR="00823785" w:rsidRPr="001216D5" w:rsidRDefault="00823785" w:rsidP="006453B9">
            <w:pPr>
              <w:suppressAutoHyphens w:val="0"/>
              <w:snapToGrid w:val="0"/>
              <w:rPr>
                <w:color w:val="auto"/>
                <w:sz w:val="22"/>
                <w:szCs w:val="22"/>
                <w:lang w:eastAsia="en-US"/>
              </w:rPr>
            </w:pPr>
            <w:r w:rsidRPr="0016516E">
              <w:rPr>
                <w:color w:val="auto"/>
                <w:sz w:val="22"/>
                <w:szCs w:val="22"/>
                <w:lang w:eastAsia="en-US"/>
              </w:rPr>
              <w:t>K.</w:t>
            </w:r>
          </w:p>
          <w:p w14:paraId="378F6B4B" w14:textId="77777777" w:rsidR="00823785" w:rsidRPr="00FA3252" w:rsidRDefault="00823785" w:rsidP="006453B9">
            <w:pPr>
              <w:suppressAutoHyphens w:val="0"/>
              <w:snapToGrid w:val="0"/>
              <w:rPr>
                <w:color w:val="auto"/>
                <w:sz w:val="22"/>
                <w:szCs w:val="22"/>
                <w:lang w:eastAsia="en-US"/>
              </w:rPr>
            </w:pPr>
            <w:r w:rsidRPr="00FA3252">
              <w:rPr>
                <w:color w:val="auto"/>
                <w:sz w:val="22"/>
                <w:szCs w:val="22"/>
                <w:lang w:eastAsia="en-US"/>
              </w:rPr>
              <w:t>Pn.</w:t>
            </w:r>
          </w:p>
          <w:p w14:paraId="1413DABD" w14:textId="77777777" w:rsidR="00823785" w:rsidRPr="00D71A7A" w:rsidRDefault="00823785" w:rsidP="006453B9">
            <w:pPr>
              <w:suppressAutoHyphens w:val="0"/>
              <w:snapToGrid w:val="0"/>
              <w:rPr>
                <w:color w:val="auto"/>
                <w:sz w:val="22"/>
                <w:szCs w:val="22"/>
                <w:lang w:eastAsia="en-US"/>
              </w:rPr>
            </w:pPr>
            <w:r w:rsidRPr="00FA3252">
              <w:rPr>
                <w:color w:val="auto"/>
                <w:sz w:val="22"/>
                <w:szCs w:val="22"/>
                <w:lang w:eastAsia="en-US"/>
              </w:rPr>
              <w:t>Š.</w:t>
            </w:r>
          </w:p>
          <w:p w14:paraId="58BB4ADE" w14:textId="77777777" w:rsidR="00823785" w:rsidRPr="00452D62" w:rsidRDefault="00823785" w:rsidP="006453B9">
            <w:pPr>
              <w:widowControl w:val="0"/>
              <w:suppressAutoHyphens w:val="0"/>
              <w:spacing w:line="240" w:lineRule="auto"/>
              <w:rPr>
                <w:noProof/>
                <w:color w:val="auto"/>
                <w:sz w:val="22"/>
                <w:szCs w:val="22"/>
                <w:lang w:eastAsia="sl-SI"/>
              </w:rPr>
            </w:pPr>
            <w:r w:rsidRPr="005B7B93">
              <w:rPr>
                <w:color w:val="auto"/>
                <w:sz w:val="22"/>
                <w:szCs w:val="22"/>
                <w:lang w:eastAsia="en-US"/>
              </w:rPr>
              <w:t>S.</w:t>
            </w:r>
          </w:p>
        </w:tc>
      </w:tr>
    </w:tbl>
    <w:p w14:paraId="7B25E004" w14:textId="77777777" w:rsidR="00823785" w:rsidRPr="00AE1B80" w:rsidRDefault="00823785" w:rsidP="00823785">
      <w:pPr>
        <w:widowControl w:val="0"/>
        <w:pBdr>
          <w:top w:val="single" w:sz="4" w:space="1" w:color="auto"/>
          <w:left w:val="single" w:sz="4" w:space="4" w:color="auto"/>
          <w:bottom w:val="single" w:sz="4" w:space="1" w:color="auto"/>
          <w:right w:val="single" w:sz="4" w:space="4" w:color="auto"/>
        </w:pBdr>
        <w:tabs>
          <w:tab w:val="clear" w:pos="567"/>
        </w:tabs>
        <w:suppressAutoHyphens w:val="0"/>
        <w:autoSpaceDE w:val="0"/>
        <w:autoSpaceDN w:val="0"/>
        <w:adjustRightInd w:val="0"/>
        <w:spacing w:line="240" w:lineRule="auto"/>
        <w:rPr>
          <w:rFonts w:eastAsia="Calibri"/>
          <w:sz w:val="22"/>
          <w:szCs w:val="22"/>
          <w:lang w:eastAsia="sl-SI"/>
        </w:rPr>
      </w:pPr>
      <w:r w:rsidRPr="00AE1B80">
        <w:rPr>
          <w:i/>
          <w:iCs/>
          <w:color w:val="008000"/>
          <w:sz w:val="22"/>
          <w:szCs w:val="22"/>
          <w:lang w:eastAsia="sl-SI"/>
        </w:rPr>
        <w:br w:type="page"/>
      </w:r>
      <w:r w:rsidRPr="00AE1B80">
        <w:rPr>
          <w:rFonts w:eastAsia="Calibri"/>
          <w:b/>
          <w:bCs/>
          <w:sz w:val="22"/>
          <w:szCs w:val="22"/>
          <w:lang w:eastAsia="sl-SI"/>
        </w:rPr>
        <w:t>Paciento budrumo kortelė</w:t>
      </w:r>
    </w:p>
    <w:p w14:paraId="770FFEF9" w14:textId="77777777" w:rsidR="00823785" w:rsidRPr="00452D62"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p>
    <w:p w14:paraId="3BB58AAC" w14:textId="77777777" w:rsidR="00823785" w:rsidRPr="00452D62" w:rsidRDefault="00823785" w:rsidP="00823785">
      <w:pPr>
        <w:widowControl w:val="0"/>
        <w:tabs>
          <w:tab w:val="clear" w:pos="567"/>
        </w:tabs>
        <w:suppressAutoHyphens w:val="0"/>
        <w:autoSpaceDE w:val="0"/>
        <w:autoSpaceDN w:val="0"/>
        <w:adjustRightInd w:val="0"/>
        <w:spacing w:line="240" w:lineRule="auto"/>
        <w:rPr>
          <w:rFonts w:eastAsia="Calibri"/>
          <w:b/>
          <w:sz w:val="22"/>
          <w:szCs w:val="22"/>
          <w:lang w:eastAsia="en-US"/>
        </w:rPr>
      </w:pPr>
      <w:r w:rsidRPr="00452D62">
        <w:rPr>
          <w:rFonts w:eastAsia="Calibri"/>
          <w:b/>
          <w:sz w:val="22"/>
          <w:szCs w:val="22"/>
          <w:lang w:eastAsia="en-US"/>
        </w:rPr>
        <w:t>Paciento budrumo kortelė</w:t>
      </w:r>
    </w:p>
    <w:p w14:paraId="3E95B7D5" w14:textId="77777777" w:rsidR="00823785" w:rsidRPr="00452D62"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452D62">
        <w:rPr>
          <w:rFonts w:eastAsia="Calibri"/>
          <w:sz w:val="22"/>
          <w:szCs w:val="22"/>
          <w:lang w:eastAsia="en-US"/>
        </w:rPr>
        <w:t>Krka (logotipas)</w:t>
      </w:r>
    </w:p>
    <w:p w14:paraId="10BA4DEF" w14:textId="77777777" w:rsidR="00823785" w:rsidRPr="00452D62" w:rsidRDefault="00823785" w:rsidP="00823785">
      <w:pPr>
        <w:widowControl w:val="0"/>
        <w:tabs>
          <w:tab w:val="clear" w:pos="567"/>
        </w:tabs>
        <w:suppressAutoHyphens w:val="0"/>
        <w:autoSpaceDE w:val="0"/>
        <w:autoSpaceDN w:val="0"/>
        <w:adjustRightInd w:val="0"/>
        <w:spacing w:line="240" w:lineRule="auto"/>
        <w:rPr>
          <w:rFonts w:eastAsia="Calibri"/>
          <w:b/>
          <w:bCs/>
          <w:sz w:val="22"/>
          <w:szCs w:val="22"/>
          <w:lang w:eastAsia="en-US"/>
        </w:rPr>
      </w:pPr>
    </w:p>
    <w:p w14:paraId="564C7E59" w14:textId="77777777" w:rsidR="00823785" w:rsidRPr="00452D62"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452D62">
        <w:rPr>
          <w:rFonts w:eastAsia="Calibri"/>
          <w:b/>
          <w:bCs/>
          <w:sz w:val="22"/>
          <w:szCs w:val="22"/>
          <w:lang w:eastAsia="en-US"/>
        </w:rPr>
        <w:t xml:space="preserve">Xerdoxo 2,5 mg </w:t>
      </w:r>
      <w:r w:rsidRPr="00452D62">
        <w:rPr>
          <w:rFonts w:eastAsia="Calibri"/>
          <w:sz w:val="22"/>
          <w:szCs w:val="22"/>
          <w:lang w:eastAsia="en-US"/>
        </w:rPr>
        <w:t>(Varnele pažymėkite paskirtos dozės langelį)</w:t>
      </w:r>
    </w:p>
    <w:p w14:paraId="4F9802D5" w14:textId="77777777" w:rsidR="00823785" w:rsidRPr="00452D62"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452D62">
        <w:rPr>
          <w:rFonts w:eastAsia="Calibri"/>
          <w:b/>
          <w:bCs/>
          <w:sz w:val="22"/>
          <w:szCs w:val="22"/>
          <w:lang w:eastAsia="en-US"/>
        </w:rPr>
        <w:t xml:space="preserve">Xerdoxo 10 mg </w:t>
      </w:r>
      <w:r w:rsidRPr="00452D62">
        <w:rPr>
          <w:rFonts w:eastAsia="Calibri"/>
          <w:sz w:val="22"/>
          <w:szCs w:val="22"/>
          <w:lang w:eastAsia="en-US"/>
        </w:rPr>
        <w:t>(Varnele pažymėkite paskirtos dozės langelį)</w:t>
      </w:r>
    </w:p>
    <w:p w14:paraId="15B191CE" w14:textId="77777777" w:rsidR="00823785" w:rsidRPr="00452D62"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452D62">
        <w:rPr>
          <w:rFonts w:eastAsia="Calibri"/>
          <w:b/>
          <w:bCs/>
          <w:sz w:val="22"/>
          <w:szCs w:val="22"/>
          <w:lang w:eastAsia="en-US"/>
        </w:rPr>
        <w:t xml:space="preserve">Xerdoxo 15 mg </w:t>
      </w:r>
      <w:r w:rsidRPr="00452D62">
        <w:rPr>
          <w:rFonts w:eastAsia="Calibri"/>
          <w:sz w:val="22"/>
          <w:szCs w:val="22"/>
          <w:lang w:eastAsia="en-US"/>
        </w:rPr>
        <w:t>(Varnele pažymėkite paskirtos dozės langelį)</w:t>
      </w:r>
    </w:p>
    <w:p w14:paraId="583338F1" w14:textId="77777777" w:rsidR="00823785" w:rsidRPr="00452D62"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452D62">
        <w:rPr>
          <w:rFonts w:eastAsia="Calibri"/>
          <w:b/>
          <w:bCs/>
          <w:sz w:val="22"/>
          <w:szCs w:val="22"/>
          <w:lang w:eastAsia="en-US"/>
        </w:rPr>
        <w:t xml:space="preserve">Xerdoxo 20 mg </w:t>
      </w:r>
      <w:r w:rsidRPr="00452D62">
        <w:rPr>
          <w:rFonts w:eastAsia="Calibri"/>
          <w:sz w:val="22"/>
          <w:szCs w:val="22"/>
          <w:lang w:eastAsia="en-US"/>
        </w:rPr>
        <w:t>(Varnele pažymėkite paskirtos dozės langelį)</w:t>
      </w:r>
    </w:p>
    <w:p w14:paraId="401C5CBA" w14:textId="77777777" w:rsidR="00823785" w:rsidRPr="00452D62" w:rsidRDefault="00823785" w:rsidP="00823785">
      <w:pPr>
        <w:widowControl w:val="0"/>
        <w:tabs>
          <w:tab w:val="clear" w:pos="567"/>
        </w:tabs>
        <w:suppressAutoHyphens w:val="0"/>
        <w:autoSpaceDE w:val="0"/>
        <w:autoSpaceDN w:val="0"/>
        <w:adjustRightInd w:val="0"/>
        <w:spacing w:line="240" w:lineRule="auto"/>
        <w:rPr>
          <w:rFonts w:eastAsia="Calibri"/>
          <w:b/>
          <w:bCs/>
          <w:sz w:val="22"/>
          <w:szCs w:val="22"/>
          <w:lang w:eastAsia="en-US"/>
        </w:rPr>
      </w:pPr>
    </w:p>
    <w:p w14:paraId="1B1E29FC" w14:textId="77777777" w:rsidR="00823785" w:rsidRPr="00452D62"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452D62">
        <w:rPr>
          <w:rFonts w:eastAsia="Calibri"/>
          <w:b/>
          <w:bCs/>
          <w:sz w:val="22"/>
          <w:szCs w:val="22"/>
          <w:lang w:eastAsia="en-US"/>
        </w:rPr>
        <w:t>♦ Visada turėkite šią kortelę</w:t>
      </w:r>
    </w:p>
    <w:p w14:paraId="6F3D56ED" w14:textId="77777777" w:rsidR="00823785" w:rsidRPr="00452D62"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452D62">
        <w:rPr>
          <w:rFonts w:eastAsia="Calibri"/>
          <w:b/>
          <w:bCs/>
          <w:sz w:val="22"/>
          <w:szCs w:val="22"/>
          <w:lang w:eastAsia="en-US"/>
        </w:rPr>
        <w:t>♦ Parodykite šią kortelę kiekvienam gydytojui arba odontologui prieš paskiriant Jums gydymą.</w:t>
      </w:r>
    </w:p>
    <w:p w14:paraId="1F3CACA6" w14:textId="77777777" w:rsidR="00823785" w:rsidRPr="00452D62" w:rsidRDefault="00823785" w:rsidP="00823785">
      <w:pPr>
        <w:widowControl w:val="0"/>
        <w:tabs>
          <w:tab w:val="clear" w:pos="567"/>
        </w:tabs>
        <w:suppressAutoHyphens w:val="0"/>
        <w:autoSpaceDE w:val="0"/>
        <w:autoSpaceDN w:val="0"/>
        <w:adjustRightInd w:val="0"/>
        <w:spacing w:line="240" w:lineRule="auto"/>
        <w:rPr>
          <w:rFonts w:eastAsia="Calibri"/>
          <w:b/>
          <w:bCs/>
          <w:sz w:val="22"/>
          <w:szCs w:val="22"/>
          <w:lang w:eastAsia="en-US"/>
        </w:rPr>
      </w:pPr>
    </w:p>
    <w:p w14:paraId="75B81B2B" w14:textId="77777777" w:rsidR="00823785" w:rsidRPr="00452D62"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452D62">
        <w:rPr>
          <w:rFonts w:eastAsia="Calibri"/>
          <w:b/>
          <w:bCs/>
          <w:sz w:val="22"/>
          <w:szCs w:val="22"/>
          <w:lang w:eastAsia="en-US"/>
        </w:rPr>
        <w:t>Aš vartoju antikoaguliantą Xerdoxo (rivaroksabaną)</w:t>
      </w:r>
    </w:p>
    <w:p w14:paraId="32F729AC" w14:textId="77777777" w:rsidR="00823785" w:rsidRPr="00452D62"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452D62">
        <w:rPr>
          <w:rFonts w:eastAsia="Calibri"/>
          <w:sz w:val="22"/>
          <w:szCs w:val="22"/>
          <w:lang w:eastAsia="en-US"/>
        </w:rPr>
        <w:t>Vardas, pavardė:</w:t>
      </w:r>
    </w:p>
    <w:p w14:paraId="4F06786F" w14:textId="77777777" w:rsidR="00823785" w:rsidRPr="00452D62"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452D62">
        <w:rPr>
          <w:rFonts w:eastAsia="Calibri"/>
          <w:sz w:val="22"/>
          <w:szCs w:val="22"/>
          <w:lang w:eastAsia="en-US"/>
        </w:rPr>
        <w:t>Adresas:</w:t>
      </w:r>
    </w:p>
    <w:p w14:paraId="46472911" w14:textId="77777777" w:rsidR="00823785" w:rsidRPr="00452D62"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452D62">
        <w:rPr>
          <w:rFonts w:eastAsia="Calibri"/>
          <w:sz w:val="22"/>
          <w:szCs w:val="22"/>
          <w:lang w:eastAsia="en-US"/>
        </w:rPr>
        <w:t>Gim. data:</w:t>
      </w:r>
    </w:p>
    <w:p w14:paraId="32FF5CD9" w14:textId="77777777" w:rsidR="00823785" w:rsidRPr="00452D62"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452D62">
        <w:rPr>
          <w:rFonts w:eastAsia="Calibri"/>
          <w:sz w:val="22"/>
          <w:szCs w:val="22"/>
          <w:lang w:eastAsia="en-US"/>
        </w:rPr>
        <w:t>Svoris:</w:t>
      </w:r>
    </w:p>
    <w:p w14:paraId="0999CB59" w14:textId="77777777" w:rsidR="00823785" w:rsidRPr="00452D62"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452D62">
        <w:rPr>
          <w:rFonts w:eastAsia="Calibri"/>
          <w:sz w:val="22"/>
          <w:szCs w:val="22"/>
          <w:lang w:eastAsia="en-US"/>
        </w:rPr>
        <w:t>Kiti vaistai / būklės:</w:t>
      </w:r>
    </w:p>
    <w:p w14:paraId="6C1AD8FD" w14:textId="77777777" w:rsidR="00823785" w:rsidRPr="00452D62" w:rsidRDefault="00823785" w:rsidP="00823785">
      <w:pPr>
        <w:widowControl w:val="0"/>
        <w:tabs>
          <w:tab w:val="clear" w:pos="567"/>
        </w:tabs>
        <w:suppressAutoHyphens w:val="0"/>
        <w:autoSpaceDE w:val="0"/>
        <w:autoSpaceDN w:val="0"/>
        <w:adjustRightInd w:val="0"/>
        <w:spacing w:line="240" w:lineRule="auto"/>
        <w:rPr>
          <w:rFonts w:eastAsia="Calibri"/>
          <w:b/>
          <w:bCs/>
          <w:sz w:val="22"/>
          <w:szCs w:val="22"/>
          <w:lang w:eastAsia="en-US"/>
        </w:rPr>
      </w:pPr>
    </w:p>
    <w:p w14:paraId="5D0362EF" w14:textId="77777777" w:rsidR="00823785" w:rsidRPr="00452D62"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452D62">
        <w:rPr>
          <w:rFonts w:eastAsia="Calibri"/>
          <w:b/>
          <w:bCs/>
          <w:sz w:val="22"/>
          <w:szCs w:val="22"/>
          <w:lang w:eastAsia="en-US"/>
        </w:rPr>
        <w:t>Skubos atveju praneškite:</w:t>
      </w:r>
    </w:p>
    <w:p w14:paraId="65F762EF" w14:textId="77777777" w:rsidR="00823785" w:rsidRPr="00452D62"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452D62">
        <w:rPr>
          <w:rFonts w:eastAsia="Calibri"/>
          <w:sz w:val="22"/>
          <w:szCs w:val="22"/>
          <w:lang w:eastAsia="en-US"/>
        </w:rPr>
        <w:t>Gydytojo v., pavardė:</w:t>
      </w:r>
    </w:p>
    <w:p w14:paraId="5E9B4B2E" w14:textId="77777777" w:rsidR="00823785" w:rsidRPr="00452D62"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452D62">
        <w:rPr>
          <w:rFonts w:eastAsia="Calibri"/>
          <w:sz w:val="22"/>
          <w:szCs w:val="22"/>
          <w:lang w:eastAsia="en-US"/>
        </w:rPr>
        <w:t>Gydytojo tel.:</w:t>
      </w:r>
    </w:p>
    <w:p w14:paraId="06A0142F" w14:textId="77777777" w:rsidR="00823785" w:rsidRPr="00452D62"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452D62">
        <w:rPr>
          <w:rFonts w:eastAsia="Calibri"/>
          <w:sz w:val="22"/>
          <w:szCs w:val="22"/>
          <w:lang w:eastAsia="en-US"/>
        </w:rPr>
        <w:t>Gydytojo antspaudas:</w:t>
      </w:r>
    </w:p>
    <w:p w14:paraId="4632F4D7" w14:textId="77777777" w:rsidR="00823785" w:rsidRPr="00452D62" w:rsidRDefault="00823785" w:rsidP="00823785">
      <w:pPr>
        <w:widowControl w:val="0"/>
        <w:tabs>
          <w:tab w:val="clear" w:pos="567"/>
        </w:tabs>
        <w:suppressAutoHyphens w:val="0"/>
        <w:autoSpaceDE w:val="0"/>
        <w:autoSpaceDN w:val="0"/>
        <w:adjustRightInd w:val="0"/>
        <w:spacing w:line="240" w:lineRule="auto"/>
        <w:rPr>
          <w:rFonts w:eastAsia="Calibri"/>
          <w:b/>
          <w:bCs/>
          <w:sz w:val="22"/>
          <w:szCs w:val="22"/>
          <w:lang w:eastAsia="en-US"/>
        </w:rPr>
      </w:pPr>
    </w:p>
    <w:p w14:paraId="2BE7A490" w14:textId="77777777" w:rsidR="00823785" w:rsidRPr="00452D62"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452D62">
        <w:rPr>
          <w:rFonts w:eastAsia="Calibri"/>
          <w:b/>
          <w:bCs/>
          <w:sz w:val="22"/>
          <w:szCs w:val="22"/>
          <w:lang w:eastAsia="en-US"/>
        </w:rPr>
        <w:t>Taip pat praneškite:</w:t>
      </w:r>
    </w:p>
    <w:p w14:paraId="70A0F496" w14:textId="77777777" w:rsidR="00823785" w:rsidRPr="00452D62"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452D62">
        <w:rPr>
          <w:rFonts w:eastAsia="Calibri"/>
          <w:sz w:val="22"/>
          <w:szCs w:val="22"/>
          <w:lang w:eastAsia="en-US"/>
        </w:rPr>
        <w:t>Vardas, pavardė:</w:t>
      </w:r>
    </w:p>
    <w:p w14:paraId="69D41B3F" w14:textId="77777777" w:rsidR="00823785" w:rsidRPr="00452D62"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452D62">
        <w:rPr>
          <w:rFonts w:eastAsia="Calibri"/>
          <w:sz w:val="22"/>
          <w:szCs w:val="22"/>
          <w:lang w:eastAsia="en-US"/>
        </w:rPr>
        <w:t>Telefonas:</w:t>
      </w:r>
    </w:p>
    <w:p w14:paraId="09262A5D" w14:textId="77777777" w:rsidR="00823785" w:rsidRPr="00452D62"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452D62">
        <w:rPr>
          <w:rFonts w:eastAsia="Calibri"/>
          <w:sz w:val="22"/>
          <w:szCs w:val="22"/>
          <w:lang w:eastAsia="en-US"/>
        </w:rPr>
        <w:t>Giminystės ryšys:</w:t>
      </w:r>
    </w:p>
    <w:p w14:paraId="1833E989" w14:textId="77777777" w:rsidR="00823785" w:rsidRPr="00452D62" w:rsidRDefault="00823785" w:rsidP="00823785">
      <w:pPr>
        <w:widowControl w:val="0"/>
        <w:tabs>
          <w:tab w:val="clear" w:pos="567"/>
        </w:tabs>
        <w:suppressAutoHyphens w:val="0"/>
        <w:autoSpaceDE w:val="0"/>
        <w:autoSpaceDN w:val="0"/>
        <w:adjustRightInd w:val="0"/>
        <w:spacing w:line="240" w:lineRule="auto"/>
        <w:rPr>
          <w:rFonts w:eastAsia="Calibri"/>
          <w:b/>
          <w:bCs/>
          <w:sz w:val="22"/>
          <w:szCs w:val="22"/>
          <w:lang w:eastAsia="en-US"/>
        </w:rPr>
      </w:pPr>
    </w:p>
    <w:p w14:paraId="1A92E5A5" w14:textId="77777777" w:rsidR="00823785" w:rsidRPr="00452D62" w:rsidRDefault="00823785" w:rsidP="00823785">
      <w:pPr>
        <w:widowControl w:val="0"/>
        <w:tabs>
          <w:tab w:val="clear" w:pos="567"/>
        </w:tabs>
        <w:suppressAutoHyphens w:val="0"/>
        <w:autoSpaceDE w:val="0"/>
        <w:autoSpaceDN w:val="0"/>
        <w:adjustRightInd w:val="0"/>
        <w:spacing w:line="240" w:lineRule="auto"/>
        <w:rPr>
          <w:rFonts w:eastAsia="Calibri"/>
          <w:color w:val="auto"/>
          <w:sz w:val="22"/>
          <w:szCs w:val="22"/>
          <w:lang w:eastAsia="en-US"/>
        </w:rPr>
      </w:pPr>
      <w:r w:rsidRPr="00452D62">
        <w:rPr>
          <w:rFonts w:eastAsia="Calibri"/>
          <w:b/>
          <w:bCs/>
          <w:sz w:val="22"/>
          <w:szCs w:val="22"/>
          <w:lang w:eastAsia="en-US"/>
        </w:rPr>
        <w:t>Informacija sveikatos priežiūros specialistams:</w:t>
      </w:r>
    </w:p>
    <w:p w14:paraId="10809940" w14:textId="77777777" w:rsidR="00823785" w:rsidRPr="00452D62"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452D62">
        <w:rPr>
          <w:rFonts w:eastAsia="Calibri"/>
          <w:sz w:val="22"/>
          <w:szCs w:val="22"/>
          <w:lang w:eastAsia="en-US"/>
        </w:rPr>
        <w:t>♦ TNS reikšmių nustatyti nereikia, nes tai nėra patikimas tyrimo metodas Xerdoxo antikoaguliaciniam aktyvumui įvertinti.</w:t>
      </w:r>
    </w:p>
    <w:p w14:paraId="3083E978" w14:textId="77777777" w:rsidR="00823785" w:rsidRPr="00452D62" w:rsidRDefault="00823785" w:rsidP="00823785">
      <w:pPr>
        <w:widowControl w:val="0"/>
        <w:tabs>
          <w:tab w:val="clear" w:pos="567"/>
        </w:tabs>
        <w:suppressAutoHyphens w:val="0"/>
        <w:autoSpaceDE w:val="0"/>
        <w:autoSpaceDN w:val="0"/>
        <w:adjustRightInd w:val="0"/>
        <w:spacing w:line="240" w:lineRule="auto"/>
        <w:rPr>
          <w:rFonts w:eastAsia="Calibri"/>
          <w:b/>
          <w:bCs/>
          <w:sz w:val="22"/>
          <w:szCs w:val="22"/>
          <w:lang w:eastAsia="en-US"/>
        </w:rPr>
      </w:pPr>
    </w:p>
    <w:p w14:paraId="4FA0636E" w14:textId="77777777" w:rsidR="00823785" w:rsidRPr="00452D62"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452D62">
        <w:rPr>
          <w:rFonts w:eastAsia="Calibri"/>
          <w:b/>
          <w:bCs/>
          <w:sz w:val="22"/>
          <w:szCs w:val="22"/>
          <w:lang w:eastAsia="en-US"/>
        </w:rPr>
        <w:t>Ką turėčiau žinoti apie Xerdoxo?</w:t>
      </w:r>
    </w:p>
    <w:p w14:paraId="57134DB3" w14:textId="77777777" w:rsidR="00823785" w:rsidRPr="00452D62"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452D62">
        <w:rPr>
          <w:rFonts w:eastAsia="Calibri"/>
          <w:sz w:val="22"/>
          <w:szCs w:val="22"/>
          <w:lang w:eastAsia="en-US"/>
        </w:rPr>
        <w:t>♦ Xerdoxo skystina kraują, o tai apsaugo nuo pavojingų kraujo krešulių susidarymo.</w:t>
      </w:r>
    </w:p>
    <w:p w14:paraId="1A98A498" w14:textId="77777777" w:rsidR="00823785" w:rsidRPr="00452D62"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452D62">
        <w:rPr>
          <w:rFonts w:eastAsia="Calibri"/>
          <w:sz w:val="22"/>
          <w:szCs w:val="22"/>
          <w:lang w:eastAsia="en-US"/>
        </w:rPr>
        <w:t xml:space="preserve">♦ Xerdoxo reikia vartoti tiksliai kaip nurodė gydytojas. Kad geriausiai apsisaugotumėte nuo kraujo krešulių susidarymo, </w:t>
      </w:r>
      <w:r w:rsidRPr="00452D62">
        <w:rPr>
          <w:rFonts w:eastAsia="Calibri"/>
          <w:b/>
          <w:sz w:val="22"/>
          <w:szCs w:val="22"/>
          <w:lang w:eastAsia="en-US"/>
        </w:rPr>
        <w:t>niekada nepraleiskite dozės.</w:t>
      </w:r>
    </w:p>
    <w:p w14:paraId="6CEF2984" w14:textId="77777777" w:rsidR="00823785" w:rsidRPr="00452D62"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452D62">
        <w:rPr>
          <w:rFonts w:eastAsia="Calibri"/>
          <w:sz w:val="22"/>
          <w:szCs w:val="22"/>
          <w:lang w:eastAsia="en-US"/>
        </w:rPr>
        <w:t>♦ negalima nustoti vartoti Xerdoxo prieš tai nepasitarus su gydytoju, nes gali padidėti kraujo krešulių rizika.</w:t>
      </w:r>
    </w:p>
    <w:p w14:paraId="2E18A60A" w14:textId="77777777" w:rsidR="00823785" w:rsidRPr="008C3DF7" w:rsidRDefault="00823785" w:rsidP="00823785">
      <w:pPr>
        <w:widowControl w:val="0"/>
        <w:tabs>
          <w:tab w:val="clear" w:pos="567"/>
        </w:tabs>
        <w:suppressAutoHyphens w:val="0"/>
        <w:autoSpaceDE w:val="0"/>
        <w:autoSpaceDN w:val="0"/>
        <w:adjustRightInd w:val="0"/>
        <w:spacing w:line="240" w:lineRule="auto"/>
        <w:rPr>
          <w:color w:val="auto"/>
          <w:sz w:val="22"/>
          <w:szCs w:val="22"/>
          <w:lang w:eastAsia="en-US"/>
        </w:rPr>
      </w:pPr>
      <w:r w:rsidRPr="00452D62">
        <w:rPr>
          <w:rFonts w:eastAsia="Calibri"/>
          <w:sz w:val="22"/>
          <w:szCs w:val="22"/>
          <w:lang w:eastAsia="en-US"/>
        </w:rPr>
        <w:t xml:space="preserve">♦ </w:t>
      </w:r>
      <w:r w:rsidRPr="008C3DF7">
        <w:rPr>
          <w:color w:val="auto"/>
          <w:sz w:val="22"/>
          <w:szCs w:val="22"/>
          <w:lang w:eastAsia="en-US"/>
        </w:rPr>
        <w:t>Jeigu vartojate, neseniai vartojote ar ketinate pradėti vartoti kitų vaistų, prieš pradėdami vartoti Xerdoxo apie tai pasakykite savo sveikatos priežiūros specialistui.</w:t>
      </w:r>
    </w:p>
    <w:p w14:paraId="02A6957E" w14:textId="77777777" w:rsidR="00823785" w:rsidRPr="00452D62"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452D62">
        <w:rPr>
          <w:rFonts w:eastAsia="Calibri"/>
          <w:sz w:val="22"/>
          <w:szCs w:val="22"/>
          <w:lang w:eastAsia="en-US"/>
        </w:rPr>
        <w:t xml:space="preserve">♦ </w:t>
      </w:r>
      <w:r w:rsidRPr="008C3DF7">
        <w:rPr>
          <w:color w:val="auto"/>
          <w:sz w:val="22"/>
          <w:szCs w:val="22"/>
          <w:lang w:eastAsia="en-US"/>
        </w:rPr>
        <w:t>Prieš atliekant bet kokią chirurginę ar invazinę procedūrą, savo sveikatos priežiūros specialistui pasakykite, kad vartojate Xerdoxo.</w:t>
      </w:r>
    </w:p>
    <w:p w14:paraId="4BC1BDAB" w14:textId="77777777" w:rsidR="00823785" w:rsidRPr="00452D62" w:rsidRDefault="00823785" w:rsidP="00823785">
      <w:pPr>
        <w:widowControl w:val="0"/>
        <w:tabs>
          <w:tab w:val="clear" w:pos="567"/>
        </w:tabs>
        <w:suppressAutoHyphens w:val="0"/>
        <w:autoSpaceDE w:val="0"/>
        <w:autoSpaceDN w:val="0"/>
        <w:adjustRightInd w:val="0"/>
        <w:spacing w:line="240" w:lineRule="auto"/>
        <w:rPr>
          <w:rFonts w:eastAsia="Calibri"/>
          <w:b/>
          <w:bCs/>
          <w:sz w:val="22"/>
          <w:szCs w:val="22"/>
          <w:lang w:eastAsia="en-US"/>
        </w:rPr>
      </w:pPr>
    </w:p>
    <w:p w14:paraId="62961A1E" w14:textId="77777777" w:rsidR="00823785" w:rsidRPr="008C3DF7" w:rsidRDefault="00823785" w:rsidP="00823785">
      <w:pPr>
        <w:widowControl w:val="0"/>
        <w:tabs>
          <w:tab w:val="clear" w:pos="567"/>
        </w:tabs>
        <w:suppressAutoHyphens w:val="0"/>
        <w:autoSpaceDE w:val="0"/>
        <w:autoSpaceDN w:val="0"/>
        <w:adjustRightInd w:val="0"/>
        <w:spacing w:line="240" w:lineRule="auto"/>
        <w:rPr>
          <w:b/>
          <w:color w:val="auto"/>
          <w:sz w:val="22"/>
          <w:szCs w:val="22"/>
          <w:lang w:eastAsia="en-US"/>
        </w:rPr>
      </w:pPr>
      <w:r w:rsidRPr="008C3DF7">
        <w:rPr>
          <w:b/>
          <w:color w:val="auto"/>
          <w:sz w:val="22"/>
          <w:szCs w:val="22"/>
          <w:lang w:eastAsia="en-US"/>
        </w:rPr>
        <w:t>Kada turėčiau kreiptis į savo sveikatos priežiūros specialistą?</w:t>
      </w:r>
    </w:p>
    <w:p w14:paraId="3374EF4E" w14:textId="77777777" w:rsidR="00823785" w:rsidRPr="008C3DF7" w:rsidRDefault="00823785" w:rsidP="00823785">
      <w:pPr>
        <w:widowControl w:val="0"/>
        <w:tabs>
          <w:tab w:val="clear" w:pos="567"/>
        </w:tabs>
        <w:suppressAutoHyphens w:val="0"/>
        <w:autoSpaceDE w:val="0"/>
        <w:autoSpaceDN w:val="0"/>
        <w:adjustRightInd w:val="0"/>
        <w:spacing w:line="240" w:lineRule="auto"/>
        <w:rPr>
          <w:color w:val="auto"/>
          <w:sz w:val="22"/>
          <w:szCs w:val="22"/>
          <w:lang w:eastAsia="en-US"/>
        </w:rPr>
      </w:pPr>
      <w:r w:rsidRPr="008C3DF7">
        <w:rPr>
          <w:color w:val="auto"/>
          <w:sz w:val="22"/>
          <w:szCs w:val="22"/>
          <w:lang w:eastAsia="en-US"/>
        </w:rPr>
        <w:t>Vartojant kraują skystinantį vaistą Xerdoxo, svarbu žinoti, koks yra jo šalutinis poveikis. Dažniausias šalutinis poveikis yra kraujavimas. Jei žinote, kad Jums yra kraujavimo rizika, negalima pradėti vartoti Xerdoxo, prieš tai nepasitarus su gydytoju. Nedelsdami pasakykite savo sveikatos priežiūros specialistui, jeigu pasireiškia tokie kraujavimo požymiai arba simptomai:</w:t>
      </w:r>
    </w:p>
    <w:p w14:paraId="280D4739" w14:textId="77777777" w:rsidR="00823785" w:rsidRPr="008C3DF7" w:rsidRDefault="00823785" w:rsidP="00823785">
      <w:pPr>
        <w:widowControl w:val="0"/>
        <w:tabs>
          <w:tab w:val="clear" w:pos="567"/>
        </w:tabs>
        <w:suppressAutoHyphens w:val="0"/>
        <w:autoSpaceDE w:val="0"/>
        <w:autoSpaceDN w:val="0"/>
        <w:adjustRightInd w:val="0"/>
        <w:spacing w:line="240" w:lineRule="auto"/>
        <w:rPr>
          <w:color w:val="auto"/>
          <w:sz w:val="22"/>
          <w:szCs w:val="22"/>
          <w:lang w:eastAsia="en-US"/>
        </w:rPr>
      </w:pPr>
      <w:r w:rsidRPr="008C3DF7">
        <w:rPr>
          <w:color w:val="auto"/>
          <w:sz w:val="22"/>
          <w:szCs w:val="22"/>
          <w:lang w:eastAsia="en-US"/>
        </w:rPr>
        <w:t>♦ skausmas,</w:t>
      </w:r>
    </w:p>
    <w:p w14:paraId="20721EEA" w14:textId="77777777" w:rsidR="00823785" w:rsidRPr="00FA3252" w:rsidRDefault="00823785" w:rsidP="00823785">
      <w:pPr>
        <w:widowControl w:val="0"/>
        <w:tabs>
          <w:tab w:val="clear" w:pos="567"/>
        </w:tabs>
        <w:suppressAutoHyphens w:val="0"/>
        <w:autoSpaceDE w:val="0"/>
        <w:autoSpaceDN w:val="0"/>
        <w:adjustRightInd w:val="0"/>
        <w:spacing w:line="240" w:lineRule="auto"/>
        <w:rPr>
          <w:color w:val="auto"/>
          <w:sz w:val="22"/>
          <w:szCs w:val="22"/>
          <w:lang w:eastAsia="en-US"/>
        </w:rPr>
      </w:pPr>
      <w:r w:rsidRPr="0016516E">
        <w:rPr>
          <w:color w:val="auto"/>
          <w:sz w:val="22"/>
          <w:szCs w:val="22"/>
          <w:lang w:eastAsia="en-US"/>
        </w:rPr>
        <w:t>♦ tinimas arb</w:t>
      </w:r>
      <w:r w:rsidRPr="001216D5">
        <w:rPr>
          <w:color w:val="auto"/>
          <w:sz w:val="22"/>
          <w:szCs w:val="22"/>
          <w:lang w:eastAsia="en-US"/>
        </w:rPr>
        <w:t>a nemalonus jausmas,</w:t>
      </w:r>
    </w:p>
    <w:p w14:paraId="5518BC3E" w14:textId="77777777" w:rsidR="00823785" w:rsidRPr="00FA3252" w:rsidRDefault="00823785" w:rsidP="00823785">
      <w:pPr>
        <w:widowControl w:val="0"/>
        <w:tabs>
          <w:tab w:val="clear" w:pos="567"/>
        </w:tabs>
        <w:suppressAutoHyphens w:val="0"/>
        <w:autoSpaceDE w:val="0"/>
        <w:autoSpaceDN w:val="0"/>
        <w:adjustRightInd w:val="0"/>
        <w:spacing w:line="240" w:lineRule="auto"/>
        <w:rPr>
          <w:color w:val="auto"/>
          <w:sz w:val="22"/>
          <w:szCs w:val="22"/>
          <w:lang w:eastAsia="en-US"/>
        </w:rPr>
      </w:pPr>
      <w:r w:rsidRPr="00FA3252">
        <w:rPr>
          <w:color w:val="auto"/>
          <w:sz w:val="22"/>
          <w:szCs w:val="22"/>
          <w:lang w:eastAsia="en-US"/>
        </w:rPr>
        <w:t>♦ galvos skausmas, svaigulys arba silpnumas,</w:t>
      </w:r>
    </w:p>
    <w:p w14:paraId="30FA6A12" w14:textId="77777777" w:rsidR="00823785" w:rsidRPr="005B7B93" w:rsidRDefault="00823785" w:rsidP="00823785">
      <w:pPr>
        <w:widowControl w:val="0"/>
        <w:tabs>
          <w:tab w:val="clear" w:pos="567"/>
        </w:tabs>
        <w:suppressAutoHyphens w:val="0"/>
        <w:autoSpaceDE w:val="0"/>
        <w:autoSpaceDN w:val="0"/>
        <w:adjustRightInd w:val="0"/>
        <w:spacing w:line="240" w:lineRule="auto"/>
        <w:rPr>
          <w:color w:val="auto"/>
          <w:sz w:val="22"/>
          <w:szCs w:val="22"/>
          <w:lang w:eastAsia="en-US"/>
        </w:rPr>
      </w:pPr>
      <w:r w:rsidRPr="005B7B93">
        <w:rPr>
          <w:color w:val="auto"/>
          <w:sz w:val="22"/>
          <w:szCs w:val="22"/>
          <w:lang w:eastAsia="en-US"/>
        </w:rPr>
        <w:t>♦ neįprastos mėlynės, kraujavimas iš nosies, kraujavimas iš dantenų, ilgai nepraeinantis kraujavimas įsipjovus,</w:t>
      </w:r>
    </w:p>
    <w:p w14:paraId="11C3FC53" w14:textId="77777777" w:rsidR="00823785" w:rsidRPr="00F6625D" w:rsidRDefault="00823785" w:rsidP="00823785">
      <w:pPr>
        <w:widowControl w:val="0"/>
        <w:tabs>
          <w:tab w:val="clear" w:pos="567"/>
        </w:tabs>
        <w:suppressAutoHyphens w:val="0"/>
        <w:autoSpaceDE w:val="0"/>
        <w:autoSpaceDN w:val="0"/>
        <w:adjustRightInd w:val="0"/>
        <w:spacing w:line="240" w:lineRule="auto"/>
        <w:rPr>
          <w:color w:val="auto"/>
          <w:sz w:val="22"/>
          <w:szCs w:val="22"/>
          <w:lang w:eastAsia="en-US"/>
        </w:rPr>
      </w:pPr>
      <w:r w:rsidRPr="00F6625D">
        <w:rPr>
          <w:color w:val="auto"/>
          <w:sz w:val="22"/>
          <w:szCs w:val="22"/>
          <w:lang w:eastAsia="en-US"/>
        </w:rPr>
        <w:t>♦ gausesnis nei įprastai mėnesinių kraujavimas arba kraujavimas iš makšties,</w:t>
      </w:r>
    </w:p>
    <w:p w14:paraId="26B3B014" w14:textId="77777777" w:rsidR="00823785" w:rsidRPr="00AE1B80" w:rsidRDefault="00823785" w:rsidP="00823785">
      <w:pPr>
        <w:widowControl w:val="0"/>
        <w:tabs>
          <w:tab w:val="clear" w:pos="567"/>
        </w:tabs>
        <w:suppressAutoHyphens w:val="0"/>
        <w:autoSpaceDE w:val="0"/>
        <w:autoSpaceDN w:val="0"/>
        <w:adjustRightInd w:val="0"/>
        <w:spacing w:line="240" w:lineRule="auto"/>
        <w:rPr>
          <w:color w:val="auto"/>
          <w:sz w:val="22"/>
          <w:szCs w:val="22"/>
          <w:lang w:eastAsia="en-US"/>
        </w:rPr>
      </w:pPr>
      <w:r w:rsidRPr="00AE1B80">
        <w:rPr>
          <w:color w:val="auto"/>
          <w:sz w:val="22"/>
          <w:szCs w:val="22"/>
          <w:lang w:eastAsia="en-US"/>
        </w:rPr>
        <w:t>♦ kraujas šlapime, kuris gali būti rausvos arba rudos spalvos, raudonos arba juodos spalvos išmatos,</w:t>
      </w:r>
    </w:p>
    <w:p w14:paraId="5676C462" w14:textId="77777777" w:rsidR="00823785" w:rsidRPr="00452D62"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AE1B80">
        <w:rPr>
          <w:color w:val="auto"/>
          <w:sz w:val="22"/>
          <w:szCs w:val="22"/>
          <w:lang w:eastAsia="en-US"/>
        </w:rPr>
        <w:t>♦ kraujo atkosėjimas arba vėmimas krauju ar į kavos tirščius panašiu skrandžio turiniu.</w:t>
      </w:r>
    </w:p>
    <w:p w14:paraId="2558CAA1" w14:textId="77777777" w:rsidR="00823785" w:rsidRPr="00452D62" w:rsidRDefault="00823785" w:rsidP="00823785">
      <w:pPr>
        <w:widowControl w:val="0"/>
        <w:tabs>
          <w:tab w:val="clear" w:pos="567"/>
        </w:tabs>
        <w:suppressAutoHyphens w:val="0"/>
        <w:autoSpaceDE w:val="0"/>
        <w:autoSpaceDN w:val="0"/>
        <w:adjustRightInd w:val="0"/>
        <w:spacing w:line="240" w:lineRule="auto"/>
        <w:rPr>
          <w:rFonts w:eastAsia="Calibri"/>
          <w:b/>
          <w:bCs/>
          <w:sz w:val="22"/>
          <w:szCs w:val="22"/>
          <w:lang w:eastAsia="en-US"/>
        </w:rPr>
      </w:pPr>
    </w:p>
    <w:p w14:paraId="5A6252F6" w14:textId="77777777" w:rsidR="00823785" w:rsidRPr="008C3DF7" w:rsidRDefault="00823785" w:rsidP="00823785">
      <w:pPr>
        <w:widowControl w:val="0"/>
        <w:tabs>
          <w:tab w:val="clear" w:pos="567"/>
        </w:tabs>
        <w:suppressAutoHyphens w:val="0"/>
        <w:spacing w:line="240" w:lineRule="auto"/>
        <w:rPr>
          <w:b/>
          <w:color w:val="auto"/>
          <w:sz w:val="22"/>
          <w:szCs w:val="22"/>
          <w:lang w:eastAsia="en-US"/>
        </w:rPr>
      </w:pPr>
      <w:r w:rsidRPr="008C3DF7">
        <w:rPr>
          <w:b/>
          <w:color w:val="auto"/>
          <w:sz w:val="22"/>
          <w:szCs w:val="22"/>
          <w:lang w:eastAsia="en-US"/>
        </w:rPr>
        <w:t>Kaip vartoti Xerdoxo?</w:t>
      </w:r>
    </w:p>
    <w:p w14:paraId="0915845B" w14:textId="77777777" w:rsidR="00823785" w:rsidRPr="008C3DF7" w:rsidRDefault="00823785" w:rsidP="00823785">
      <w:pPr>
        <w:widowControl w:val="0"/>
        <w:tabs>
          <w:tab w:val="clear" w:pos="567"/>
        </w:tabs>
        <w:suppressAutoHyphens w:val="0"/>
        <w:spacing w:line="240" w:lineRule="auto"/>
        <w:rPr>
          <w:color w:val="auto"/>
          <w:sz w:val="22"/>
          <w:szCs w:val="22"/>
          <w:lang w:eastAsia="en-US"/>
        </w:rPr>
      </w:pPr>
      <w:r w:rsidRPr="008C3DF7">
        <w:rPr>
          <w:color w:val="auto"/>
          <w:sz w:val="22"/>
          <w:szCs w:val="22"/>
          <w:lang w:eastAsia="en-US"/>
        </w:rPr>
        <w:t>♦ Norint užtikrinti optimalią apsaugą, Xerdoxo</w:t>
      </w:r>
    </w:p>
    <w:p w14:paraId="19835A7F" w14:textId="77777777" w:rsidR="00823785" w:rsidRPr="008C3DF7" w:rsidRDefault="00823785" w:rsidP="00823785">
      <w:pPr>
        <w:widowControl w:val="0"/>
        <w:numPr>
          <w:ilvl w:val="0"/>
          <w:numId w:val="22"/>
        </w:numPr>
        <w:tabs>
          <w:tab w:val="clear" w:pos="567"/>
        </w:tabs>
        <w:suppressAutoHyphens w:val="0"/>
        <w:snapToGrid w:val="0"/>
        <w:spacing w:line="240" w:lineRule="auto"/>
        <w:ind w:left="567" w:hanging="567"/>
        <w:contextualSpacing/>
        <w:rPr>
          <w:color w:val="auto"/>
          <w:sz w:val="22"/>
          <w:szCs w:val="22"/>
          <w:lang w:eastAsia="en-US"/>
        </w:rPr>
      </w:pPr>
      <w:r w:rsidRPr="008C3DF7">
        <w:rPr>
          <w:color w:val="auto"/>
          <w:sz w:val="22"/>
          <w:szCs w:val="22"/>
          <w:lang w:eastAsia="en-US"/>
        </w:rPr>
        <w:t>2,5 mg tabletes galima vartoti valgio metu arba nevalgius;</w:t>
      </w:r>
    </w:p>
    <w:p w14:paraId="5F337FE5" w14:textId="77777777" w:rsidR="00823785" w:rsidRPr="001216D5" w:rsidRDefault="00823785" w:rsidP="00823785">
      <w:pPr>
        <w:widowControl w:val="0"/>
        <w:numPr>
          <w:ilvl w:val="0"/>
          <w:numId w:val="22"/>
        </w:numPr>
        <w:tabs>
          <w:tab w:val="clear" w:pos="567"/>
        </w:tabs>
        <w:suppressAutoHyphens w:val="0"/>
        <w:snapToGrid w:val="0"/>
        <w:spacing w:line="240" w:lineRule="auto"/>
        <w:ind w:left="567" w:hanging="567"/>
        <w:contextualSpacing/>
        <w:rPr>
          <w:color w:val="auto"/>
          <w:sz w:val="22"/>
          <w:szCs w:val="22"/>
          <w:lang w:eastAsia="en-US"/>
        </w:rPr>
      </w:pPr>
      <w:r w:rsidRPr="0016516E">
        <w:rPr>
          <w:color w:val="auto"/>
          <w:sz w:val="22"/>
          <w:szCs w:val="22"/>
          <w:lang w:eastAsia="en-US"/>
        </w:rPr>
        <w:t>10 mg tabletes galima vartoti valgio metu arba nevalgius;</w:t>
      </w:r>
    </w:p>
    <w:p w14:paraId="55BE5227" w14:textId="77777777" w:rsidR="00823785" w:rsidRPr="00FA3252" w:rsidRDefault="00823785" w:rsidP="00823785">
      <w:pPr>
        <w:widowControl w:val="0"/>
        <w:numPr>
          <w:ilvl w:val="0"/>
          <w:numId w:val="22"/>
        </w:numPr>
        <w:tabs>
          <w:tab w:val="clear" w:pos="567"/>
        </w:tabs>
        <w:suppressAutoHyphens w:val="0"/>
        <w:snapToGrid w:val="0"/>
        <w:spacing w:line="240" w:lineRule="auto"/>
        <w:ind w:left="567" w:hanging="567"/>
        <w:contextualSpacing/>
        <w:rPr>
          <w:color w:val="auto"/>
          <w:sz w:val="22"/>
          <w:szCs w:val="22"/>
          <w:lang w:eastAsia="en-US"/>
        </w:rPr>
      </w:pPr>
      <w:r w:rsidRPr="00FA3252">
        <w:rPr>
          <w:color w:val="auto"/>
          <w:sz w:val="22"/>
          <w:szCs w:val="22"/>
          <w:lang w:eastAsia="en-US"/>
        </w:rPr>
        <w:t>15 mg tabletes reikia vartoti valgio metu;</w:t>
      </w:r>
    </w:p>
    <w:p w14:paraId="01627378" w14:textId="77777777" w:rsidR="00823785" w:rsidRPr="00452D62" w:rsidRDefault="00823785" w:rsidP="00823785">
      <w:pPr>
        <w:widowControl w:val="0"/>
        <w:numPr>
          <w:ilvl w:val="0"/>
          <w:numId w:val="22"/>
        </w:numPr>
        <w:tabs>
          <w:tab w:val="clear" w:pos="567"/>
        </w:tabs>
        <w:suppressAutoHyphens w:val="0"/>
        <w:snapToGrid w:val="0"/>
        <w:spacing w:line="240" w:lineRule="auto"/>
        <w:ind w:left="567" w:hanging="567"/>
        <w:contextualSpacing/>
        <w:rPr>
          <w:rFonts w:eastAsia="Calibri"/>
          <w:color w:val="auto"/>
          <w:sz w:val="22"/>
          <w:szCs w:val="22"/>
          <w:lang w:eastAsia="en-US"/>
        </w:rPr>
      </w:pPr>
      <w:r w:rsidRPr="00FA3252">
        <w:rPr>
          <w:color w:val="auto"/>
          <w:sz w:val="22"/>
          <w:szCs w:val="22"/>
          <w:lang w:eastAsia="en-US"/>
        </w:rPr>
        <w:t>20 mg tabletes reikia vartoti valgio metu.</w:t>
      </w:r>
    </w:p>
    <w:p w14:paraId="38F47924" w14:textId="77777777" w:rsidR="00823785" w:rsidRPr="00AE1B80" w:rsidRDefault="00823785" w:rsidP="00823785">
      <w:pPr>
        <w:widowControl w:val="0"/>
        <w:tabs>
          <w:tab w:val="clear" w:pos="567"/>
        </w:tabs>
        <w:suppressAutoHyphens w:val="0"/>
        <w:spacing w:line="240" w:lineRule="auto"/>
        <w:jc w:val="center"/>
        <w:rPr>
          <w:i/>
          <w:color w:val="auto"/>
          <w:sz w:val="22"/>
          <w:lang w:val="pt-PT"/>
        </w:rPr>
      </w:pPr>
    </w:p>
    <w:p w14:paraId="15D83CEA" w14:textId="77777777" w:rsidR="00823785" w:rsidRPr="00AE1B80" w:rsidRDefault="00823785" w:rsidP="00823785">
      <w:pPr>
        <w:widowControl w:val="0"/>
        <w:tabs>
          <w:tab w:val="clear" w:pos="567"/>
        </w:tabs>
        <w:suppressAutoHyphens w:val="0"/>
        <w:spacing w:line="240" w:lineRule="auto"/>
        <w:rPr>
          <w:i/>
          <w:color w:val="auto"/>
          <w:sz w:val="22"/>
          <w:lang w:val="pt-PT"/>
        </w:rPr>
      </w:pPr>
    </w:p>
    <w:p w14:paraId="23A58BFD" w14:textId="77777777" w:rsidR="00823785" w:rsidRPr="00452D62" w:rsidRDefault="00823785" w:rsidP="00823785">
      <w:pPr>
        <w:widowControl w:val="0"/>
        <w:tabs>
          <w:tab w:val="clear" w:pos="567"/>
          <w:tab w:val="left" w:pos="1296"/>
        </w:tabs>
        <w:suppressAutoHyphens w:val="0"/>
        <w:snapToGrid w:val="0"/>
        <w:spacing w:line="240" w:lineRule="auto"/>
        <w:rPr>
          <w:b/>
          <w:color w:val="auto"/>
          <w:sz w:val="22"/>
          <w:szCs w:val="22"/>
          <w:lang w:eastAsia="en-US"/>
        </w:rPr>
      </w:pPr>
      <w:r w:rsidRPr="00452D62">
        <w:rPr>
          <w:b/>
          <w:color w:val="auto"/>
          <w:sz w:val="22"/>
          <w:szCs w:val="22"/>
          <w:lang w:eastAsia="en-US"/>
        </w:rPr>
        <w:br w:type="page"/>
      </w:r>
    </w:p>
    <w:p w14:paraId="20F83E7B" w14:textId="77777777" w:rsidR="00823785" w:rsidRPr="00452D62" w:rsidRDefault="00823785" w:rsidP="00823785">
      <w:pPr>
        <w:rPr>
          <w:b/>
          <w:sz w:val="22"/>
          <w:szCs w:val="22"/>
        </w:rPr>
      </w:pPr>
    </w:p>
    <w:p w14:paraId="6E81B8CA" w14:textId="77777777" w:rsidR="00823785" w:rsidRPr="00452D62" w:rsidRDefault="00823785" w:rsidP="00823785">
      <w:pPr>
        <w:rPr>
          <w:b/>
          <w:sz w:val="22"/>
          <w:szCs w:val="22"/>
        </w:rPr>
      </w:pPr>
    </w:p>
    <w:p w14:paraId="019B21DC" w14:textId="77777777" w:rsidR="00823785" w:rsidRPr="00452D62" w:rsidRDefault="00823785" w:rsidP="00823785">
      <w:pPr>
        <w:rPr>
          <w:b/>
          <w:sz w:val="22"/>
          <w:szCs w:val="22"/>
        </w:rPr>
      </w:pPr>
    </w:p>
    <w:p w14:paraId="376EADCB" w14:textId="77777777" w:rsidR="00823785" w:rsidRPr="00452D62" w:rsidRDefault="00823785" w:rsidP="00823785">
      <w:pPr>
        <w:rPr>
          <w:b/>
          <w:sz w:val="22"/>
          <w:szCs w:val="22"/>
        </w:rPr>
      </w:pPr>
    </w:p>
    <w:p w14:paraId="2C0E196B" w14:textId="77777777" w:rsidR="00823785" w:rsidRPr="00452D62" w:rsidRDefault="00823785" w:rsidP="00823785">
      <w:pPr>
        <w:rPr>
          <w:b/>
          <w:sz w:val="22"/>
          <w:szCs w:val="22"/>
        </w:rPr>
      </w:pPr>
    </w:p>
    <w:p w14:paraId="33F1E68D" w14:textId="77777777" w:rsidR="00823785" w:rsidRPr="00452D62" w:rsidRDefault="00823785" w:rsidP="00823785">
      <w:pPr>
        <w:rPr>
          <w:b/>
          <w:sz w:val="22"/>
          <w:szCs w:val="22"/>
        </w:rPr>
      </w:pPr>
    </w:p>
    <w:p w14:paraId="62269067" w14:textId="77777777" w:rsidR="00823785" w:rsidRPr="00452D62" w:rsidRDefault="00823785" w:rsidP="00823785">
      <w:pPr>
        <w:rPr>
          <w:b/>
          <w:sz w:val="22"/>
          <w:szCs w:val="22"/>
        </w:rPr>
      </w:pPr>
    </w:p>
    <w:p w14:paraId="7C7EAFCF" w14:textId="77777777" w:rsidR="00823785" w:rsidRPr="00452D62" w:rsidRDefault="00823785" w:rsidP="00823785">
      <w:pPr>
        <w:rPr>
          <w:b/>
          <w:sz w:val="22"/>
          <w:szCs w:val="22"/>
        </w:rPr>
      </w:pPr>
    </w:p>
    <w:p w14:paraId="232B83B9" w14:textId="77777777" w:rsidR="00823785" w:rsidRPr="00452D62" w:rsidRDefault="00823785" w:rsidP="00823785">
      <w:pPr>
        <w:rPr>
          <w:b/>
          <w:sz w:val="22"/>
          <w:szCs w:val="22"/>
        </w:rPr>
      </w:pPr>
    </w:p>
    <w:p w14:paraId="57691CDC" w14:textId="77777777" w:rsidR="00823785" w:rsidRPr="00452D62" w:rsidRDefault="00823785" w:rsidP="00823785">
      <w:pPr>
        <w:rPr>
          <w:b/>
          <w:sz w:val="22"/>
          <w:szCs w:val="22"/>
        </w:rPr>
      </w:pPr>
    </w:p>
    <w:p w14:paraId="7684F6CA" w14:textId="77777777" w:rsidR="00823785" w:rsidRPr="00452D62" w:rsidRDefault="00823785" w:rsidP="00823785">
      <w:pPr>
        <w:rPr>
          <w:b/>
          <w:sz w:val="22"/>
          <w:szCs w:val="22"/>
        </w:rPr>
      </w:pPr>
    </w:p>
    <w:p w14:paraId="65FC9F89" w14:textId="77777777" w:rsidR="00823785" w:rsidRPr="00452D62" w:rsidRDefault="00823785" w:rsidP="00823785">
      <w:pPr>
        <w:rPr>
          <w:b/>
          <w:sz w:val="22"/>
          <w:szCs w:val="22"/>
        </w:rPr>
      </w:pPr>
    </w:p>
    <w:p w14:paraId="27814A39" w14:textId="77777777" w:rsidR="00823785" w:rsidRPr="00452D62" w:rsidRDefault="00823785" w:rsidP="00823785">
      <w:pPr>
        <w:rPr>
          <w:b/>
          <w:sz w:val="22"/>
          <w:szCs w:val="22"/>
        </w:rPr>
      </w:pPr>
    </w:p>
    <w:p w14:paraId="2609456D" w14:textId="77777777" w:rsidR="00823785" w:rsidRPr="00452D62" w:rsidRDefault="00823785" w:rsidP="00823785">
      <w:pPr>
        <w:rPr>
          <w:b/>
          <w:sz w:val="22"/>
          <w:szCs w:val="22"/>
        </w:rPr>
      </w:pPr>
    </w:p>
    <w:p w14:paraId="4CB91C78" w14:textId="77777777" w:rsidR="00823785" w:rsidRPr="00452D62" w:rsidRDefault="00823785" w:rsidP="00823785">
      <w:pPr>
        <w:rPr>
          <w:b/>
          <w:sz w:val="22"/>
          <w:szCs w:val="22"/>
        </w:rPr>
      </w:pPr>
    </w:p>
    <w:p w14:paraId="7486186F" w14:textId="77777777" w:rsidR="00823785" w:rsidRPr="00452D62" w:rsidRDefault="00823785" w:rsidP="00823785">
      <w:pPr>
        <w:rPr>
          <w:b/>
          <w:sz w:val="22"/>
          <w:szCs w:val="22"/>
        </w:rPr>
      </w:pPr>
    </w:p>
    <w:p w14:paraId="5764494B" w14:textId="77777777" w:rsidR="00823785" w:rsidRPr="00452D62" w:rsidRDefault="00823785" w:rsidP="00823785">
      <w:pPr>
        <w:rPr>
          <w:b/>
          <w:sz w:val="22"/>
          <w:szCs w:val="22"/>
        </w:rPr>
      </w:pPr>
    </w:p>
    <w:p w14:paraId="3D5C9C89" w14:textId="77777777" w:rsidR="00823785" w:rsidRPr="00452D62" w:rsidRDefault="00823785" w:rsidP="00823785">
      <w:pPr>
        <w:rPr>
          <w:b/>
          <w:sz w:val="22"/>
          <w:szCs w:val="22"/>
        </w:rPr>
      </w:pPr>
    </w:p>
    <w:p w14:paraId="24EE08E4" w14:textId="77777777" w:rsidR="00823785" w:rsidRPr="00452D62" w:rsidRDefault="00823785" w:rsidP="00823785">
      <w:pPr>
        <w:rPr>
          <w:b/>
          <w:sz w:val="22"/>
          <w:szCs w:val="22"/>
        </w:rPr>
      </w:pPr>
    </w:p>
    <w:p w14:paraId="5AD7D37D" w14:textId="77777777" w:rsidR="00823785" w:rsidRPr="00452D62" w:rsidRDefault="00823785" w:rsidP="00823785">
      <w:pPr>
        <w:rPr>
          <w:b/>
          <w:sz w:val="22"/>
          <w:szCs w:val="22"/>
        </w:rPr>
      </w:pPr>
    </w:p>
    <w:p w14:paraId="24D95940" w14:textId="77777777" w:rsidR="00823785" w:rsidRPr="00452D62" w:rsidRDefault="00823785" w:rsidP="00823785">
      <w:pPr>
        <w:rPr>
          <w:b/>
          <w:sz w:val="22"/>
          <w:szCs w:val="22"/>
        </w:rPr>
      </w:pPr>
    </w:p>
    <w:p w14:paraId="4141A2DF" w14:textId="77777777" w:rsidR="00823785" w:rsidRPr="00452D62" w:rsidRDefault="00823785" w:rsidP="00823785">
      <w:pPr>
        <w:rPr>
          <w:b/>
          <w:sz w:val="22"/>
          <w:szCs w:val="22"/>
        </w:rPr>
      </w:pPr>
    </w:p>
    <w:p w14:paraId="0E122ED0" w14:textId="77777777" w:rsidR="00823785" w:rsidRPr="00452D62" w:rsidRDefault="00823785" w:rsidP="00823785">
      <w:pPr>
        <w:rPr>
          <w:b/>
          <w:sz w:val="22"/>
          <w:szCs w:val="22"/>
        </w:rPr>
      </w:pPr>
    </w:p>
    <w:p w14:paraId="6A9AA752" w14:textId="77777777" w:rsidR="00823785" w:rsidRPr="00452D62" w:rsidRDefault="00823785" w:rsidP="00823785">
      <w:pPr>
        <w:widowControl w:val="0"/>
        <w:suppressAutoHyphens w:val="0"/>
        <w:spacing w:line="240" w:lineRule="auto"/>
        <w:ind w:left="567" w:hanging="567"/>
        <w:jc w:val="center"/>
        <w:outlineLvl w:val="0"/>
        <w:rPr>
          <w:b/>
          <w:color w:val="auto"/>
          <w:sz w:val="22"/>
          <w:szCs w:val="22"/>
          <w:lang w:eastAsia="en-US"/>
        </w:rPr>
      </w:pPr>
      <w:r w:rsidRPr="00452D62">
        <w:rPr>
          <w:b/>
          <w:color w:val="auto"/>
          <w:sz w:val="22"/>
          <w:szCs w:val="22"/>
          <w:lang w:eastAsia="en-US"/>
        </w:rPr>
        <w:t>B. PAKUOTĖS LAPELIS</w:t>
      </w:r>
    </w:p>
    <w:p w14:paraId="4A11D2C0" w14:textId="77777777" w:rsidR="00823785" w:rsidRPr="00452D62" w:rsidRDefault="00823785" w:rsidP="00823785">
      <w:pPr>
        <w:pageBreakBefore/>
        <w:tabs>
          <w:tab w:val="clear" w:pos="567"/>
          <w:tab w:val="center" w:pos="4536"/>
          <w:tab w:val="right" w:pos="8306"/>
        </w:tabs>
        <w:spacing w:line="100" w:lineRule="atLeast"/>
        <w:jc w:val="center"/>
        <w:rPr>
          <w:sz w:val="22"/>
          <w:szCs w:val="22"/>
        </w:rPr>
      </w:pPr>
      <w:r w:rsidRPr="00452D62">
        <w:rPr>
          <w:b/>
          <w:sz w:val="22"/>
          <w:szCs w:val="22"/>
        </w:rPr>
        <w:t>Pakuotės lapelis: informacija pacientui</w:t>
      </w:r>
    </w:p>
    <w:p w14:paraId="28CEE10D" w14:textId="77777777" w:rsidR="00823785" w:rsidRPr="00452D62" w:rsidRDefault="00823785" w:rsidP="00823785">
      <w:pPr>
        <w:shd w:val="clear" w:color="auto" w:fill="FFFFFF"/>
        <w:tabs>
          <w:tab w:val="clear" w:pos="567"/>
          <w:tab w:val="center" w:pos="4536"/>
          <w:tab w:val="right" w:pos="8306"/>
        </w:tabs>
        <w:spacing w:line="100" w:lineRule="atLeast"/>
        <w:jc w:val="center"/>
        <w:rPr>
          <w:sz w:val="22"/>
          <w:szCs w:val="22"/>
        </w:rPr>
      </w:pPr>
    </w:p>
    <w:p w14:paraId="239C6646" w14:textId="77777777" w:rsidR="00823785" w:rsidRPr="00452D62" w:rsidRDefault="00823785" w:rsidP="00823785">
      <w:pPr>
        <w:tabs>
          <w:tab w:val="clear" w:pos="567"/>
          <w:tab w:val="left" w:pos="993"/>
          <w:tab w:val="center" w:pos="4536"/>
          <w:tab w:val="right" w:pos="8306"/>
        </w:tabs>
        <w:spacing w:line="100" w:lineRule="atLeast"/>
        <w:jc w:val="center"/>
        <w:rPr>
          <w:sz w:val="22"/>
          <w:szCs w:val="22"/>
        </w:rPr>
      </w:pPr>
      <w:r w:rsidRPr="00452D62">
        <w:rPr>
          <w:b/>
          <w:sz w:val="22"/>
          <w:szCs w:val="22"/>
        </w:rPr>
        <w:t>Xerdoxo 2,5 mg plėvele dengtos tabletės</w:t>
      </w:r>
    </w:p>
    <w:p w14:paraId="420C47E6" w14:textId="77777777" w:rsidR="00823785" w:rsidRPr="00452D62" w:rsidRDefault="00823785" w:rsidP="00823785">
      <w:pPr>
        <w:tabs>
          <w:tab w:val="clear" w:pos="567"/>
          <w:tab w:val="center" w:pos="4536"/>
          <w:tab w:val="right" w:pos="8306"/>
        </w:tabs>
        <w:spacing w:line="100" w:lineRule="atLeast"/>
        <w:jc w:val="center"/>
        <w:rPr>
          <w:b/>
          <w:sz w:val="22"/>
          <w:szCs w:val="22"/>
        </w:rPr>
      </w:pPr>
      <w:r w:rsidRPr="00452D62">
        <w:rPr>
          <w:sz w:val="22"/>
          <w:szCs w:val="22"/>
        </w:rPr>
        <w:t>rivaroksabanas</w:t>
      </w:r>
    </w:p>
    <w:p w14:paraId="6C2F0C6E" w14:textId="77777777" w:rsidR="00823785" w:rsidRPr="00452D62" w:rsidRDefault="00823785" w:rsidP="00823785">
      <w:pPr>
        <w:tabs>
          <w:tab w:val="clear" w:pos="567"/>
          <w:tab w:val="center" w:pos="4536"/>
          <w:tab w:val="right" w:pos="8306"/>
        </w:tabs>
        <w:spacing w:line="100" w:lineRule="atLeast"/>
        <w:ind w:left="142" w:hanging="142"/>
        <w:rPr>
          <w:sz w:val="22"/>
          <w:szCs w:val="22"/>
        </w:rPr>
      </w:pPr>
    </w:p>
    <w:p w14:paraId="63FCDBE8" w14:textId="77777777" w:rsidR="00823785" w:rsidRPr="00452D62" w:rsidRDefault="00823785" w:rsidP="00823785">
      <w:pPr>
        <w:tabs>
          <w:tab w:val="clear" w:pos="567"/>
          <w:tab w:val="center" w:pos="4536"/>
          <w:tab w:val="right" w:pos="8306"/>
        </w:tabs>
        <w:spacing w:line="100" w:lineRule="atLeast"/>
        <w:ind w:left="142" w:hanging="142"/>
        <w:rPr>
          <w:sz w:val="22"/>
          <w:szCs w:val="22"/>
        </w:rPr>
      </w:pPr>
    </w:p>
    <w:p w14:paraId="768D4E89" w14:textId="77777777" w:rsidR="00823785" w:rsidRPr="00452D62" w:rsidRDefault="00823785" w:rsidP="00823785">
      <w:pPr>
        <w:tabs>
          <w:tab w:val="clear" w:pos="567"/>
          <w:tab w:val="center" w:pos="4536"/>
          <w:tab w:val="right" w:pos="8306"/>
        </w:tabs>
        <w:spacing w:line="100" w:lineRule="atLeast"/>
        <w:rPr>
          <w:sz w:val="22"/>
          <w:szCs w:val="22"/>
        </w:rPr>
      </w:pPr>
      <w:r w:rsidRPr="00452D62">
        <w:rPr>
          <w:b/>
          <w:sz w:val="22"/>
          <w:szCs w:val="22"/>
        </w:rPr>
        <w:t>Atidžiai perskaitykite visą šį lapelį, prieš pradėdami vartoti vaistą, nes jame pateikiama Jums svarbi informacija.</w:t>
      </w:r>
    </w:p>
    <w:p w14:paraId="260AD642" w14:textId="77777777" w:rsidR="00823785" w:rsidRPr="00452D62" w:rsidRDefault="00823785" w:rsidP="00823785">
      <w:pPr>
        <w:numPr>
          <w:ilvl w:val="0"/>
          <w:numId w:val="5"/>
        </w:numPr>
        <w:tabs>
          <w:tab w:val="center" w:pos="4536"/>
          <w:tab w:val="right" w:pos="8306"/>
        </w:tabs>
        <w:spacing w:line="100" w:lineRule="atLeast"/>
        <w:ind w:left="567" w:right="-2" w:hanging="567"/>
        <w:rPr>
          <w:sz w:val="22"/>
          <w:szCs w:val="22"/>
        </w:rPr>
      </w:pPr>
      <w:r w:rsidRPr="00452D62">
        <w:rPr>
          <w:sz w:val="22"/>
          <w:szCs w:val="22"/>
        </w:rPr>
        <w:t>Neišmeskite šio lapelio, nes vėl gali prireikti jį perskaityti.</w:t>
      </w:r>
    </w:p>
    <w:p w14:paraId="08CA5874" w14:textId="77777777" w:rsidR="00823785" w:rsidRPr="00452D62" w:rsidRDefault="00823785" w:rsidP="00823785">
      <w:pPr>
        <w:numPr>
          <w:ilvl w:val="0"/>
          <w:numId w:val="5"/>
        </w:numPr>
        <w:tabs>
          <w:tab w:val="center" w:pos="4536"/>
          <w:tab w:val="right" w:pos="8306"/>
        </w:tabs>
        <w:spacing w:line="100" w:lineRule="atLeast"/>
        <w:ind w:left="567" w:right="-2" w:hanging="567"/>
        <w:rPr>
          <w:sz w:val="22"/>
          <w:szCs w:val="22"/>
        </w:rPr>
      </w:pPr>
      <w:r w:rsidRPr="00452D62">
        <w:rPr>
          <w:sz w:val="22"/>
          <w:szCs w:val="22"/>
        </w:rPr>
        <w:t>Jeigu kiltų daugiau klausimų, kreipkitės į gydytoją arba vaistininką.</w:t>
      </w:r>
    </w:p>
    <w:p w14:paraId="55B00FA3" w14:textId="77777777" w:rsidR="00823785" w:rsidRPr="00452D62" w:rsidRDefault="00823785" w:rsidP="00823785">
      <w:pPr>
        <w:numPr>
          <w:ilvl w:val="0"/>
          <w:numId w:val="5"/>
        </w:numPr>
        <w:spacing w:line="100" w:lineRule="atLeast"/>
        <w:ind w:left="567" w:right="-2" w:hanging="567"/>
        <w:rPr>
          <w:sz w:val="22"/>
          <w:szCs w:val="22"/>
        </w:rPr>
      </w:pPr>
      <w:r w:rsidRPr="00452D62">
        <w:rPr>
          <w:sz w:val="22"/>
          <w:szCs w:val="22"/>
        </w:rPr>
        <w:t>Šis vaistas skirtas tik Jums, todėl kitiems žmonėms jo duoti negalima. Vaistas gali jiems pakenkti (net tiems, kurių ligos požymiai yra tokie patys kaip Jūsų).</w:t>
      </w:r>
      <w:r w:rsidRPr="00452D62">
        <w:rPr>
          <w:color w:val="008000"/>
          <w:sz w:val="22"/>
          <w:szCs w:val="22"/>
        </w:rPr>
        <w:t xml:space="preserve"> </w:t>
      </w:r>
    </w:p>
    <w:p w14:paraId="5E54D494" w14:textId="77777777" w:rsidR="00823785" w:rsidRPr="00452D62" w:rsidRDefault="00823785" w:rsidP="00823785">
      <w:pPr>
        <w:numPr>
          <w:ilvl w:val="0"/>
          <w:numId w:val="5"/>
        </w:numPr>
        <w:ind w:left="567" w:hanging="567"/>
        <w:rPr>
          <w:sz w:val="22"/>
          <w:szCs w:val="22"/>
        </w:rPr>
      </w:pPr>
      <w:r w:rsidRPr="00452D62">
        <w:rPr>
          <w:sz w:val="22"/>
          <w:szCs w:val="22"/>
        </w:rPr>
        <w:t>Jeigu pasireiškė šalutinis poveikis (net jeigu jis šiame lapelyje nenurodytas),</w:t>
      </w:r>
      <w:r w:rsidRPr="00452D62">
        <w:rPr>
          <w:color w:val="FF0000"/>
          <w:sz w:val="22"/>
          <w:szCs w:val="22"/>
        </w:rPr>
        <w:t xml:space="preserve"> </w:t>
      </w:r>
      <w:r w:rsidRPr="00452D62">
        <w:rPr>
          <w:sz w:val="22"/>
          <w:szCs w:val="22"/>
        </w:rPr>
        <w:t>kreipkitės į gydytoją arba vaistininką. Žr. 4 skyrių.</w:t>
      </w:r>
    </w:p>
    <w:p w14:paraId="776C0EF9" w14:textId="77777777" w:rsidR="00823785" w:rsidRPr="00452D62" w:rsidRDefault="00823785" w:rsidP="00823785">
      <w:pPr>
        <w:tabs>
          <w:tab w:val="clear" w:pos="567"/>
          <w:tab w:val="center" w:pos="4536"/>
          <w:tab w:val="right" w:pos="8306"/>
        </w:tabs>
        <w:spacing w:line="100" w:lineRule="atLeast"/>
        <w:ind w:right="-2"/>
        <w:rPr>
          <w:sz w:val="22"/>
          <w:szCs w:val="22"/>
        </w:rPr>
      </w:pPr>
    </w:p>
    <w:p w14:paraId="0787652A" w14:textId="77777777" w:rsidR="00823785" w:rsidRPr="00452D62" w:rsidRDefault="00823785" w:rsidP="00823785">
      <w:pPr>
        <w:widowControl w:val="0"/>
        <w:tabs>
          <w:tab w:val="clear" w:pos="567"/>
          <w:tab w:val="center" w:pos="4536"/>
          <w:tab w:val="right" w:pos="8306"/>
        </w:tabs>
        <w:spacing w:line="100" w:lineRule="atLeast"/>
        <w:rPr>
          <w:sz w:val="22"/>
          <w:szCs w:val="22"/>
        </w:rPr>
      </w:pPr>
      <w:r w:rsidRPr="00452D62">
        <w:rPr>
          <w:b/>
          <w:sz w:val="22"/>
          <w:szCs w:val="22"/>
        </w:rPr>
        <w:t>Apie ką rašoma šiame lapelyje?</w:t>
      </w:r>
    </w:p>
    <w:p w14:paraId="7040B5BA" w14:textId="77777777" w:rsidR="00823785" w:rsidRPr="00452D62" w:rsidRDefault="00823785" w:rsidP="00823785">
      <w:pPr>
        <w:tabs>
          <w:tab w:val="clear" w:pos="567"/>
          <w:tab w:val="center" w:pos="4536"/>
          <w:tab w:val="right" w:pos="8306"/>
        </w:tabs>
        <w:spacing w:line="100" w:lineRule="atLeast"/>
        <w:ind w:left="567" w:right="-29" w:hanging="567"/>
        <w:rPr>
          <w:sz w:val="22"/>
          <w:szCs w:val="22"/>
        </w:rPr>
      </w:pPr>
      <w:r w:rsidRPr="00452D62">
        <w:rPr>
          <w:sz w:val="22"/>
          <w:szCs w:val="22"/>
        </w:rPr>
        <w:t>1.</w:t>
      </w:r>
      <w:r w:rsidRPr="00452D62">
        <w:rPr>
          <w:sz w:val="22"/>
          <w:szCs w:val="22"/>
        </w:rPr>
        <w:tab/>
        <w:t>Kas yra Xerdoxo ir kam jis vartojamas</w:t>
      </w:r>
    </w:p>
    <w:p w14:paraId="7D88869F" w14:textId="77777777" w:rsidR="00823785" w:rsidRPr="00452D62" w:rsidRDefault="00823785" w:rsidP="00823785">
      <w:pPr>
        <w:tabs>
          <w:tab w:val="clear" w:pos="567"/>
          <w:tab w:val="center" w:pos="4536"/>
          <w:tab w:val="right" w:pos="8306"/>
        </w:tabs>
        <w:spacing w:line="100" w:lineRule="atLeast"/>
        <w:ind w:left="567" w:right="-29" w:hanging="567"/>
        <w:rPr>
          <w:sz w:val="22"/>
          <w:szCs w:val="22"/>
        </w:rPr>
      </w:pPr>
      <w:r w:rsidRPr="00452D62">
        <w:rPr>
          <w:sz w:val="22"/>
          <w:szCs w:val="22"/>
        </w:rPr>
        <w:t>2.</w:t>
      </w:r>
      <w:r w:rsidRPr="00452D62">
        <w:rPr>
          <w:sz w:val="22"/>
          <w:szCs w:val="22"/>
        </w:rPr>
        <w:tab/>
        <w:t>Kas žinotina prieš vartojant Xerdoxo</w:t>
      </w:r>
    </w:p>
    <w:p w14:paraId="79A16AE2" w14:textId="77777777" w:rsidR="00823785" w:rsidRPr="00452D62" w:rsidRDefault="00823785" w:rsidP="00823785">
      <w:pPr>
        <w:tabs>
          <w:tab w:val="clear" w:pos="567"/>
          <w:tab w:val="center" w:pos="4536"/>
          <w:tab w:val="right" w:pos="8306"/>
        </w:tabs>
        <w:spacing w:line="100" w:lineRule="atLeast"/>
        <w:ind w:left="567" w:right="-29" w:hanging="567"/>
        <w:rPr>
          <w:sz w:val="22"/>
          <w:szCs w:val="22"/>
        </w:rPr>
      </w:pPr>
      <w:r w:rsidRPr="00452D62">
        <w:rPr>
          <w:sz w:val="22"/>
          <w:szCs w:val="22"/>
        </w:rPr>
        <w:t>3.</w:t>
      </w:r>
      <w:r w:rsidRPr="00452D62">
        <w:rPr>
          <w:sz w:val="22"/>
          <w:szCs w:val="22"/>
        </w:rPr>
        <w:tab/>
        <w:t>Kaip vartoti Xerdoxo</w:t>
      </w:r>
    </w:p>
    <w:p w14:paraId="408E5A4F" w14:textId="77777777" w:rsidR="00823785" w:rsidRPr="00452D62" w:rsidRDefault="00823785" w:rsidP="00823785">
      <w:pPr>
        <w:tabs>
          <w:tab w:val="clear" w:pos="567"/>
          <w:tab w:val="center" w:pos="4536"/>
          <w:tab w:val="right" w:pos="8306"/>
        </w:tabs>
        <w:spacing w:line="100" w:lineRule="atLeast"/>
        <w:ind w:left="567" w:right="-29" w:hanging="567"/>
        <w:rPr>
          <w:sz w:val="22"/>
          <w:szCs w:val="22"/>
        </w:rPr>
      </w:pPr>
      <w:r w:rsidRPr="00452D62">
        <w:rPr>
          <w:sz w:val="22"/>
          <w:szCs w:val="22"/>
        </w:rPr>
        <w:t>4.</w:t>
      </w:r>
      <w:r w:rsidRPr="00452D62">
        <w:rPr>
          <w:sz w:val="22"/>
          <w:szCs w:val="22"/>
        </w:rPr>
        <w:tab/>
        <w:t>Galimas šalutinis poveikis</w:t>
      </w:r>
    </w:p>
    <w:p w14:paraId="302B6C6E" w14:textId="77777777" w:rsidR="00823785" w:rsidRPr="00452D62" w:rsidRDefault="00823785" w:rsidP="00823785">
      <w:pPr>
        <w:tabs>
          <w:tab w:val="clear" w:pos="567"/>
          <w:tab w:val="center" w:pos="4536"/>
          <w:tab w:val="right" w:pos="8306"/>
        </w:tabs>
        <w:spacing w:line="100" w:lineRule="atLeast"/>
        <w:ind w:left="567" w:right="-29" w:hanging="567"/>
        <w:rPr>
          <w:sz w:val="22"/>
          <w:szCs w:val="22"/>
        </w:rPr>
      </w:pPr>
      <w:r w:rsidRPr="00452D62">
        <w:rPr>
          <w:sz w:val="22"/>
          <w:szCs w:val="22"/>
        </w:rPr>
        <w:t>5.</w:t>
      </w:r>
      <w:r w:rsidRPr="00452D62">
        <w:rPr>
          <w:sz w:val="22"/>
          <w:szCs w:val="22"/>
        </w:rPr>
        <w:tab/>
        <w:t>Kaip laikyti Xerdoxo</w:t>
      </w:r>
    </w:p>
    <w:p w14:paraId="0CEB88BD" w14:textId="77777777" w:rsidR="00823785" w:rsidRPr="00452D62" w:rsidRDefault="00823785" w:rsidP="00823785">
      <w:pPr>
        <w:tabs>
          <w:tab w:val="clear" w:pos="567"/>
          <w:tab w:val="center" w:pos="4536"/>
          <w:tab w:val="right" w:pos="8306"/>
        </w:tabs>
        <w:spacing w:line="100" w:lineRule="atLeast"/>
        <w:ind w:left="567" w:right="-29" w:hanging="567"/>
        <w:rPr>
          <w:sz w:val="22"/>
          <w:szCs w:val="22"/>
        </w:rPr>
      </w:pPr>
      <w:r w:rsidRPr="00452D62">
        <w:rPr>
          <w:sz w:val="22"/>
          <w:szCs w:val="22"/>
        </w:rPr>
        <w:t>6.</w:t>
      </w:r>
      <w:r w:rsidRPr="00452D62">
        <w:rPr>
          <w:sz w:val="22"/>
          <w:szCs w:val="22"/>
        </w:rPr>
        <w:tab/>
        <w:t>Pakuotės turinys ir kita informacija</w:t>
      </w:r>
    </w:p>
    <w:p w14:paraId="42E966CB" w14:textId="77777777" w:rsidR="00823785" w:rsidRPr="00452D62" w:rsidRDefault="00823785" w:rsidP="00823785">
      <w:pPr>
        <w:tabs>
          <w:tab w:val="clear" w:pos="567"/>
          <w:tab w:val="center" w:pos="4536"/>
          <w:tab w:val="right" w:pos="8306"/>
        </w:tabs>
        <w:spacing w:line="100" w:lineRule="atLeast"/>
        <w:ind w:left="567" w:right="-2" w:hanging="567"/>
        <w:rPr>
          <w:sz w:val="22"/>
          <w:szCs w:val="22"/>
        </w:rPr>
      </w:pPr>
    </w:p>
    <w:p w14:paraId="0F195310" w14:textId="77777777" w:rsidR="00823785" w:rsidRPr="00452D62" w:rsidRDefault="00823785" w:rsidP="00823785">
      <w:pPr>
        <w:tabs>
          <w:tab w:val="clear" w:pos="567"/>
          <w:tab w:val="center" w:pos="4536"/>
          <w:tab w:val="right" w:pos="8306"/>
        </w:tabs>
        <w:spacing w:line="100" w:lineRule="atLeast"/>
        <w:rPr>
          <w:sz w:val="22"/>
          <w:szCs w:val="22"/>
        </w:rPr>
      </w:pPr>
    </w:p>
    <w:p w14:paraId="59945411" w14:textId="77777777" w:rsidR="00823785" w:rsidRPr="00452D62" w:rsidRDefault="00823785" w:rsidP="00823785">
      <w:pPr>
        <w:widowControl w:val="0"/>
        <w:tabs>
          <w:tab w:val="clear" w:pos="567"/>
        </w:tabs>
        <w:suppressAutoHyphens w:val="0"/>
        <w:spacing w:line="240" w:lineRule="auto"/>
        <w:ind w:left="567" w:hanging="567"/>
        <w:outlineLvl w:val="0"/>
        <w:rPr>
          <w:b/>
          <w:color w:val="auto"/>
          <w:sz w:val="22"/>
          <w:szCs w:val="22"/>
          <w:lang w:eastAsia="en-US"/>
        </w:rPr>
      </w:pPr>
      <w:r w:rsidRPr="00452D62">
        <w:rPr>
          <w:b/>
          <w:color w:val="auto"/>
          <w:sz w:val="22"/>
          <w:szCs w:val="22"/>
          <w:lang w:eastAsia="en-US"/>
        </w:rPr>
        <w:t>1.</w:t>
      </w:r>
      <w:r w:rsidRPr="00452D62">
        <w:rPr>
          <w:b/>
          <w:color w:val="auto"/>
          <w:sz w:val="22"/>
          <w:szCs w:val="22"/>
          <w:lang w:eastAsia="en-US"/>
        </w:rPr>
        <w:tab/>
        <w:t>Kas yra Xerdoxo ir kam jis vartojamas</w:t>
      </w:r>
    </w:p>
    <w:p w14:paraId="2A6A066A" w14:textId="77777777" w:rsidR="00823785" w:rsidRPr="00452D62" w:rsidRDefault="00823785" w:rsidP="00823785">
      <w:pPr>
        <w:tabs>
          <w:tab w:val="clear" w:pos="567"/>
          <w:tab w:val="center" w:pos="4536"/>
          <w:tab w:val="right" w:pos="8306"/>
        </w:tabs>
        <w:spacing w:line="100" w:lineRule="atLeast"/>
        <w:rPr>
          <w:sz w:val="22"/>
          <w:szCs w:val="22"/>
        </w:rPr>
      </w:pPr>
    </w:p>
    <w:p w14:paraId="4084DC1C" w14:textId="77777777" w:rsidR="00823785" w:rsidRPr="00452D62" w:rsidRDefault="00823785" w:rsidP="00823785">
      <w:pPr>
        <w:tabs>
          <w:tab w:val="clear" w:pos="567"/>
          <w:tab w:val="center" w:pos="4536"/>
          <w:tab w:val="right" w:pos="8306"/>
        </w:tabs>
        <w:spacing w:line="100" w:lineRule="atLeast"/>
        <w:rPr>
          <w:sz w:val="22"/>
          <w:szCs w:val="22"/>
        </w:rPr>
      </w:pPr>
      <w:r w:rsidRPr="00452D62">
        <w:rPr>
          <w:sz w:val="22"/>
          <w:szCs w:val="22"/>
        </w:rPr>
        <w:t>Jums yra paskirtas Xerdoxo, nes</w:t>
      </w:r>
    </w:p>
    <w:p w14:paraId="43FD0293" w14:textId="77777777" w:rsidR="00823785" w:rsidRPr="00452D62" w:rsidRDefault="00823785" w:rsidP="00823785">
      <w:pPr>
        <w:numPr>
          <w:ilvl w:val="0"/>
          <w:numId w:val="5"/>
        </w:numPr>
        <w:tabs>
          <w:tab w:val="center" w:pos="567"/>
          <w:tab w:val="right" w:pos="8306"/>
        </w:tabs>
        <w:spacing w:line="100" w:lineRule="atLeast"/>
        <w:ind w:left="567" w:hanging="567"/>
        <w:rPr>
          <w:sz w:val="22"/>
          <w:szCs w:val="22"/>
        </w:rPr>
      </w:pPr>
      <w:r w:rsidRPr="00452D62">
        <w:rPr>
          <w:sz w:val="22"/>
          <w:szCs w:val="22"/>
        </w:rPr>
        <w:t>Jums diagnozuotas ūminis koronarinis (širdies vainikinių arterijų) sindromas (būklių grupė, kuriai priskiriamas miokardo infarktas ir nestabilioji krūtinės angina, t. y. stiprus krūtinės skausmas) ir nustatyta, kad Jums buvo padidėję tam tikri širdies sutrikimus rodantys kraujo tyrimų rodmenys.</w:t>
      </w:r>
    </w:p>
    <w:p w14:paraId="5C58AA86" w14:textId="77777777" w:rsidR="00823785" w:rsidRPr="00452D62" w:rsidRDefault="00823785" w:rsidP="00823785">
      <w:pPr>
        <w:tabs>
          <w:tab w:val="center" w:pos="567"/>
          <w:tab w:val="right" w:pos="8306"/>
        </w:tabs>
        <w:spacing w:line="100" w:lineRule="atLeast"/>
        <w:ind w:left="567"/>
        <w:rPr>
          <w:sz w:val="22"/>
          <w:szCs w:val="22"/>
        </w:rPr>
      </w:pPr>
      <w:r w:rsidRPr="00452D62">
        <w:rPr>
          <w:sz w:val="22"/>
          <w:szCs w:val="22"/>
        </w:rPr>
        <w:t>Suaugusiems pacientams Xerdoxo sumažina kito miokardo infarkto arba mirties nuo širdies ar kraujagyslių ligos riziką.</w:t>
      </w:r>
    </w:p>
    <w:p w14:paraId="5092D0D0" w14:textId="77777777" w:rsidR="00823785" w:rsidRPr="00452D62" w:rsidRDefault="00823785" w:rsidP="00823785">
      <w:pPr>
        <w:tabs>
          <w:tab w:val="center" w:pos="567"/>
          <w:tab w:val="right" w:pos="8306"/>
        </w:tabs>
        <w:spacing w:line="100" w:lineRule="atLeast"/>
        <w:ind w:left="567"/>
        <w:rPr>
          <w:sz w:val="22"/>
          <w:szCs w:val="22"/>
        </w:rPr>
      </w:pPr>
      <w:r w:rsidRPr="00452D62">
        <w:rPr>
          <w:sz w:val="22"/>
          <w:szCs w:val="22"/>
        </w:rPr>
        <w:t>Jums nebus skiriama vien tik Xerdoxo. Gydytojas Jums taip pat paskirs:</w:t>
      </w:r>
    </w:p>
    <w:p w14:paraId="2B619840" w14:textId="77777777" w:rsidR="00823785" w:rsidRPr="00452D62" w:rsidRDefault="00823785" w:rsidP="00823785">
      <w:pPr>
        <w:numPr>
          <w:ilvl w:val="0"/>
          <w:numId w:val="11"/>
        </w:numPr>
        <w:tabs>
          <w:tab w:val="clear" w:pos="567"/>
          <w:tab w:val="right" w:pos="1134"/>
        </w:tabs>
        <w:spacing w:line="100" w:lineRule="atLeast"/>
        <w:ind w:left="1134" w:hanging="567"/>
        <w:rPr>
          <w:sz w:val="22"/>
          <w:szCs w:val="22"/>
        </w:rPr>
      </w:pPr>
      <w:r w:rsidRPr="00452D62">
        <w:rPr>
          <w:sz w:val="22"/>
          <w:szCs w:val="22"/>
        </w:rPr>
        <w:t>acetilsalicilo rūgšties arba;</w:t>
      </w:r>
    </w:p>
    <w:p w14:paraId="5A1A9D2D" w14:textId="77777777" w:rsidR="00823785" w:rsidRPr="00452D62" w:rsidRDefault="00823785" w:rsidP="00823785">
      <w:pPr>
        <w:numPr>
          <w:ilvl w:val="0"/>
          <w:numId w:val="11"/>
        </w:numPr>
        <w:tabs>
          <w:tab w:val="clear" w:pos="567"/>
          <w:tab w:val="right" w:pos="1134"/>
        </w:tabs>
        <w:spacing w:line="100" w:lineRule="atLeast"/>
        <w:ind w:left="1134" w:hanging="567"/>
        <w:rPr>
          <w:sz w:val="22"/>
          <w:szCs w:val="22"/>
        </w:rPr>
      </w:pPr>
      <w:r w:rsidRPr="00452D62">
        <w:rPr>
          <w:sz w:val="22"/>
          <w:szCs w:val="22"/>
        </w:rPr>
        <w:t>acetilsalicilo rūgšties kartu su klopidogreliu arba tiklopidinu;</w:t>
      </w:r>
    </w:p>
    <w:p w14:paraId="4A0C9D97" w14:textId="77777777" w:rsidR="00823785" w:rsidRPr="00452D62" w:rsidRDefault="00823785" w:rsidP="00823785">
      <w:pPr>
        <w:tabs>
          <w:tab w:val="center" w:pos="567"/>
          <w:tab w:val="right" w:pos="8306"/>
        </w:tabs>
        <w:spacing w:line="100" w:lineRule="atLeast"/>
        <w:ind w:left="567"/>
        <w:rPr>
          <w:sz w:val="22"/>
          <w:szCs w:val="22"/>
        </w:rPr>
      </w:pPr>
    </w:p>
    <w:p w14:paraId="61068651" w14:textId="77777777" w:rsidR="00823785" w:rsidRPr="00452D62" w:rsidRDefault="00823785" w:rsidP="00823785">
      <w:pPr>
        <w:tabs>
          <w:tab w:val="center" w:pos="567"/>
          <w:tab w:val="right" w:pos="8306"/>
        </w:tabs>
        <w:spacing w:line="100" w:lineRule="atLeast"/>
        <w:ind w:left="567"/>
        <w:rPr>
          <w:sz w:val="22"/>
          <w:szCs w:val="22"/>
        </w:rPr>
      </w:pPr>
      <w:r w:rsidRPr="00452D62">
        <w:rPr>
          <w:sz w:val="22"/>
          <w:szCs w:val="22"/>
        </w:rPr>
        <w:t>arba</w:t>
      </w:r>
    </w:p>
    <w:p w14:paraId="525BB0CF" w14:textId="77777777" w:rsidR="00823785" w:rsidRPr="00452D62" w:rsidRDefault="00823785" w:rsidP="00823785">
      <w:pPr>
        <w:tabs>
          <w:tab w:val="center" w:pos="567"/>
          <w:tab w:val="right" w:pos="8306"/>
        </w:tabs>
        <w:spacing w:line="100" w:lineRule="atLeast"/>
        <w:rPr>
          <w:sz w:val="22"/>
          <w:szCs w:val="22"/>
        </w:rPr>
      </w:pPr>
    </w:p>
    <w:p w14:paraId="229AD7CF" w14:textId="77777777" w:rsidR="00823785" w:rsidRPr="00452D62" w:rsidRDefault="00823785" w:rsidP="00823785">
      <w:pPr>
        <w:numPr>
          <w:ilvl w:val="0"/>
          <w:numId w:val="5"/>
        </w:numPr>
        <w:tabs>
          <w:tab w:val="center" w:pos="567"/>
          <w:tab w:val="right" w:pos="8306"/>
        </w:tabs>
        <w:spacing w:line="100" w:lineRule="atLeast"/>
        <w:ind w:left="567" w:hanging="567"/>
        <w:rPr>
          <w:sz w:val="22"/>
          <w:szCs w:val="22"/>
        </w:rPr>
      </w:pPr>
      <w:r w:rsidRPr="00452D62">
        <w:rPr>
          <w:sz w:val="22"/>
          <w:szCs w:val="22"/>
        </w:rPr>
        <w:t>Jums diagnozuota didelė kraujo krešulio susidarymo rizika dėl vainikinių arterijų ligos arba periferinių arterijų ligos, kuri sukelia simptomus.</w:t>
      </w:r>
    </w:p>
    <w:p w14:paraId="2955D52D" w14:textId="77777777" w:rsidR="00823785" w:rsidRPr="00452D62" w:rsidRDefault="00823785" w:rsidP="00823785">
      <w:pPr>
        <w:tabs>
          <w:tab w:val="center" w:pos="567"/>
          <w:tab w:val="right" w:pos="8306"/>
        </w:tabs>
        <w:spacing w:line="100" w:lineRule="atLeast"/>
        <w:ind w:left="567"/>
        <w:rPr>
          <w:sz w:val="22"/>
          <w:szCs w:val="22"/>
        </w:rPr>
      </w:pPr>
      <w:r w:rsidRPr="00452D62">
        <w:rPr>
          <w:sz w:val="22"/>
          <w:szCs w:val="22"/>
        </w:rPr>
        <w:t>Xerdoxo mažina kraujo krešulių susidarymo (aterotrombozinių reiškinių) riziką suaugusiesiems. Jums nebus skiriama vien tik Xerdoxo. Gydytojas Jums nurodys vartoti ir acetilsalicilo rūgšties.</w:t>
      </w:r>
    </w:p>
    <w:p w14:paraId="5CDFE2EE" w14:textId="77777777" w:rsidR="00823785" w:rsidRPr="00452D62" w:rsidRDefault="00823785" w:rsidP="00823785">
      <w:pPr>
        <w:tabs>
          <w:tab w:val="center" w:pos="567"/>
          <w:tab w:val="right" w:pos="8306"/>
        </w:tabs>
        <w:spacing w:line="100" w:lineRule="atLeast"/>
        <w:ind w:left="567"/>
        <w:rPr>
          <w:sz w:val="22"/>
          <w:szCs w:val="22"/>
        </w:rPr>
      </w:pPr>
      <w:r w:rsidRPr="00452D62">
        <w:rPr>
          <w:sz w:val="22"/>
          <w:szCs w:val="22"/>
        </w:rPr>
        <w:t>Kai kuriais atvejais, jeigu Xerdoxo Jums skiriamas po procedūros, kai reikia atverti susiaurėjusią arba užsikimšusią kojos arteriją kraujotakai atkurti, gydytojas gali Jums išrašyti ir klopidogrelį, kurį trumpai reikės vartoti kartu su acetilsalicilo rūgštimi.</w:t>
      </w:r>
    </w:p>
    <w:p w14:paraId="1411BE86" w14:textId="77777777" w:rsidR="00823785" w:rsidRPr="00452D62" w:rsidRDefault="00823785" w:rsidP="00823785">
      <w:pPr>
        <w:tabs>
          <w:tab w:val="center" w:pos="567"/>
          <w:tab w:val="right" w:pos="8306"/>
        </w:tabs>
        <w:spacing w:line="100" w:lineRule="atLeast"/>
        <w:rPr>
          <w:sz w:val="22"/>
          <w:szCs w:val="22"/>
        </w:rPr>
      </w:pPr>
    </w:p>
    <w:p w14:paraId="07C6CA0A" w14:textId="77777777" w:rsidR="00823785" w:rsidRPr="00452D62" w:rsidRDefault="00823785" w:rsidP="00823785">
      <w:pPr>
        <w:tabs>
          <w:tab w:val="center" w:pos="567"/>
          <w:tab w:val="right" w:pos="8306"/>
        </w:tabs>
        <w:spacing w:line="100" w:lineRule="atLeast"/>
        <w:rPr>
          <w:sz w:val="22"/>
          <w:szCs w:val="22"/>
        </w:rPr>
      </w:pPr>
      <w:r w:rsidRPr="00452D62">
        <w:rPr>
          <w:sz w:val="22"/>
          <w:szCs w:val="22"/>
        </w:rPr>
        <w:t>Xerdoxo sudėtyje yra veikliosios medžiagos rivaroksabano, kuris priklauso vadinamųjų antitrombozinių vaistų grupei. Jis veikia blokuodamas kraujo krešėjimo faktorių (Xa faktorių), taip sumažindamas polinkį formuotis kraujo krešuliams.</w:t>
      </w:r>
    </w:p>
    <w:p w14:paraId="70418D50" w14:textId="77777777" w:rsidR="00823785" w:rsidRPr="00452D62" w:rsidRDefault="00823785" w:rsidP="00823785">
      <w:pPr>
        <w:spacing w:line="100" w:lineRule="atLeast"/>
        <w:ind w:right="-2"/>
        <w:rPr>
          <w:sz w:val="22"/>
          <w:szCs w:val="22"/>
        </w:rPr>
      </w:pPr>
    </w:p>
    <w:p w14:paraId="1DD7324C" w14:textId="77777777" w:rsidR="00823785" w:rsidRPr="00452D62" w:rsidRDefault="00823785" w:rsidP="00823785">
      <w:pPr>
        <w:spacing w:line="100" w:lineRule="atLeast"/>
        <w:ind w:right="-2"/>
        <w:rPr>
          <w:sz w:val="22"/>
          <w:szCs w:val="22"/>
        </w:rPr>
      </w:pPr>
    </w:p>
    <w:p w14:paraId="63B14761" w14:textId="77777777" w:rsidR="00823785" w:rsidRPr="00452D62" w:rsidRDefault="00823785" w:rsidP="00823785">
      <w:pPr>
        <w:widowControl w:val="0"/>
        <w:tabs>
          <w:tab w:val="clear" w:pos="567"/>
        </w:tabs>
        <w:suppressAutoHyphens w:val="0"/>
        <w:spacing w:line="240" w:lineRule="auto"/>
        <w:ind w:left="567" w:hanging="567"/>
        <w:outlineLvl w:val="0"/>
        <w:rPr>
          <w:i/>
          <w:sz w:val="22"/>
          <w:szCs w:val="22"/>
        </w:rPr>
      </w:pPr>
      <w:r w:rsidRPr="00452D62">
        <w:rPr>
          <w:b/>
          <w:color w:val="auto"/>
          <w:sz w:val="22"/>
          <w:szCs w:val="22"/>
          <w:lang w:eastAsia="en-US"/>
        </w:rPr>
        <w:t>2.</w:t>
      </w:r>
      <w:r w:rsidRPr="00452D62">
        <w:rPr>
          <w:b/>
          <w:color w:val="auto"/>
          <w:sz w:val="22"/>
          <w:szCs w:val="22"/>
          <w:lang w:eastAsia="en-US"/>
        </w:rPr>
        <w:tab/>
        <w:t>Kas žinotina prieš vartojant Xerdoxo</w:t>
      </w:r>
    </w:p>
    <w:p w14:paraId="230C2FCE" w14:textId="77777777" w:rsidR="00823785" w:rsidRPr="00452D62" w:rsidRDefault="00823785" w:rsidP="00823785">
      <w:pPr>
        <w:tabs>
          <w:tab w:val="clear" w:pos="567"/>
        </w:tabs>
        <w:spacing w:line="100" w:lineRule="atLeast"/>
        <w:rPr>
          <w:i/>
          <w:sz w:val="22"/>
          <w:szCs w:val="22"/>
        </w:rPr>
      </w:pPr>
    </w:p>
    <w:p w14:paraId="2592A3F7" w14:textId="1D581880" w:rsidR="00823785" w:rsidRPr="00452D62" w:rsidRDefault="00823785" w:rsidP="00823785">
      <w:pPr>
        <w:tabs>
          <w:tab w:val="clear" w:pos="567"/>
        </w:tabs>
        <w:spacing w:line="100" w:lineRule="atLeast"/>
        <w:rPr>
          <w:sz w:val="22"/>
          <w:szCs w:val="22"/>
        </w:rPr>
      </w:pPr>
      <w:r w:rsidRPr="00452D62">
        <w:rPr>
          <w:b/>
          <w:sz w:val="22"/>
          <w:szCs w:val="22"/>
        </w:rPr>
        <w:t>Xerdoxo vartoti draudžiama</w:t>
      </w:r>
    </w:p>
    <w:p w14:paraId="05A90211" w14:textId="77777777" w:rsidR="00823785" w:rsidRPr="00452D62" w:rsidRDefault="00823785" w:rsidP="00823785">
      <w:pPr>
        <w:tabs>
          <w:tab w:val="clear" w:pos="567"/>
        </w:tabs>
        <w:spacing w:line="100" w:lineRule="atLeast"/>
        <w:ind w:left="567" w:hanging="567"/>
        <w:rPr>
          <w:sz w:val="22"/>
          <w:szCs w:val="22"/>
        </w:rPr>
      </w:pPr>
      <w:r w:rsidRPr="00452D62">
        <w:rPr>
          <w:sz w:val="22"/>
          <w:szCs w:val="22"/>
        </w:rPr>
        <w:t>-</w:t>
      </w:r>
      <w:r w:rsidRPr="00452D62">
        <w:rPr>
          <w:sz w:val="22"/>
          <w:szCs w:val="22"/>
        </w:rPr>
        <w:tab/>
        <w:t xml:space="preserve">jeigu yra </w:t>
      </w:r>
      <w:r w:rsidRPr="00452D62">
        <w:rPr>
          <w:bCs/>
          <w:sz w:val="22"/>
          <w:szCs w:val="22"/>
        </w:rPr>
        <w:t>alergija</w:t>
      </w:r>
      <w:r w:rsidRPr="00452D62">
        <w:rPr>
          <w:sz w:val="22"/>
          <w:szCs w:val="22"/>
        </w:rPr>
        <w:t xml:space="preserve"> rivaroksabanui arba bet kuriai pagalbinei šio vaisto medžiagai (jos išvardytos 6 skyriuje); </w:t>
      </w:r>
    </w:p>
    <w:p w14:paraId="3FC0F6A8" w14:textId="77777777" w:rsidR="00823785" w:rsidRPr="00452D62" w:rsidRDefault="00823785" w:rsidP="00823785">
      <w:pPr>
        <w:numPr>
          <w:ilvl w:val="0"/>
          <w:numId w:val="1"/>
        </w:numPr>
        <w:tabs>
          <w:tab w:val="clear" w:pos="208"/>
          <w:tab w:val="num" w:pos="567"/>
        </w:tabs>
        <w:spacing w:line="100" w:lineRule="atLeast"/>
        <w:ind w:left="567" w:hanging="567"/>
        <w:rPr>
          <w:sz w:val="22"/>
          <w:szCs w:val="22"/>
        </w:rPr>
      </w:pPr>
      <w:r w:rsidRPr="00452D62">
        <w:rPr>
          <w:sz w:val="22"/>
          <w:szCs w:val="22"/>
        </w:rPr>
        <w:t>jeigu stipriai kraujuojate;</w:t>
      </w:r>
    </w:p>
    <w:p w14:paraId="68C35283" w14:textId="77777777" w:rsidR="00823785" w:rsidRPr="00452D62" w:rsidRDefault="00823785" w:rsidP="00823785">
      <w:pPr>
        <w:tabs>
          <w:tab w:val="clear" w:pos="567"/>
        </w:tabs>
        <w:spacing w:line="100" w:lineRule="atLeast"/>
        <w:ind w:left="567" w:hanging="567"/>
        <w:rPr>
          <w:sz w:val="22"/>
          <w:szCs w:val="22"/>
        </w:rPr>
      </w:pPr>
      <w:r w:rsidRPr="00452D62">
        <w:rPr>
          <w:sz w:val="22"/>
          <w:szCs w:val="22"/>
        </w:rPr>
        <w:t>-</w:t>
      </w:r>
      <w:r w:rsidRPr="00452D62">
        <w:rPr>
          <w:sz w:val="22"/>
          <w:szCs w:val="22"/>
        </w:rPr>
        <w:tab/>
        <w:t>jeigu Jums yra liga arba kūno organo būklė, dėl kurios padidėja stipraus kraujavimo rizika (pvz., skrandžio opa, galvos smegenų pažeidimas arba kraujavimas į smegenis, neseniai atlikta chirurginė galvos smegenų arba akių operacija);</w:t>
      </w:r>
    </w:p>
    <w:p w14:paraId="2841505F" w14:textId="77777777" w:rsidR="00823785" w:rsidRPr="00452D62" w:rsidRDefault="00823785" w:rsidP="00823785">
      <w:pPr>
        <w:tabs>
          <w:tab w:val="clear" w:pos="567"/>
        </w:tabs>
        <w:spacing w:line="100" w:lineRule="atLeast"/>
        <w:ind w:left="567" w:hanging="567"/>
        <w:rPr>
          <w:sz w:val="22"/>
          <w:szCs w:val="22"/>
        </w:rPr>
      </w:pPr>
      <w:r w:rsidRPr="00452D62">
        <w:rPr>
          <w:sz w:val="22"/>
          <w:szCs w:val="22"/>
        </w:rPr>
        <w:t>-</w:t>
      </w:r>
      <w:r w:rsidRPr="00452D62">
        <w:rPr>
          <w:sz w:val="22"/>
          <w:szCs w:val="22"/>
        </w:rPr>
        <w:tab/>
        <w:t>jeigu vartojate vaistų, apsaugančių nuo kraujo krešulių formavimosi (pvz., varfarino, dabigatrano, apiksabano arba heparino), išskyrus atvejus, kai keičiamas nuo kraujo krešulių apsaugantis gydymas arba kai per venos ar arterijos kateterį Jums leidžiama heparino, kad šis kateteris išliktų pralaidus;</w:t>
      </w:r>
    </w:p>
    <w:p w14:paraId="6CB50BC0" w14:textId="77777777" w:rsidR="00823785" w:rsidRPr="00452D62" w:rsidRDefault="00823785" w:rsidP="00823785">
      <w:pPr>
        <w:tabs>
          <w:tab w:val="clear" w:pos="567"/>
        </w:tabs>
        <w:spacing w:line="100" w:lineRule="atLeast"/>
        <w:ind w:left="567" w:hanging="567"/>
        <w:rPr>
          <w:sz w:val="22"/>
          <w:szCs w:val="22"/>
        </w:rPr>
      </w:pPr>
      <w:r w:rsidRPr="00452D62">
        <w:rPr>
          <w:sz w:val="22"/>
          <w:szCs w:val="22"/>
        </w:rPr>
        <w:t>-</w:t>
      </w:r>
      <w:r w:rsidRPr="00452D62">
        <w:rPr>
          <w:sz w:val="22"/>
          <w:szCs w:val="22"/>
        </w:rPr>
        <w:tab/>
        <w:t>jeigu Jums nustatytas ūminis vainikinis sindromas ir anksčiau buvo kraujavimas į smegenis arba kraujo krešulys smegenyse (insultas);</w:t>
      </w:r>
    </w:p>
    <w:p w14:paraId="7890AA46" w14:textId="77777777" w:rsidR="00823785" w:rsidRPr="00452D62" w:rsidRDefault="00823785" w:rsidP="00823785">
      <w:pPr>
        <w:tabs>
          <w:tab w:val="clear" w:pos="567"/>
        </w:tabs>
        <w:spacing w:line="100" w:lineRule="atLeast"/>
        <w:ind w:left="567" w:hanging="567"/>
        <w:rPr>
          <w:sz w:val="22"/>
          <w:szCs w:val="22"/>
        </w:rPr>
      </w:pPr>
      <w:r w:rsidRPr="00452D62">
        <w:rPr>
          <w:sz w:val="22"/>
          <w:szCs w:val="22"/>
        </w:rPr>
        <w:t>-</w:t>
      </w:r>
      <w:r w:rsidRPr="00452D62">
        <w:rPr>
          <w:sz w:val="22"/>
          <w:szCs w:val="22"/>
        </w:rPr>
        <w:tab/>
        <w:t>jeigu sergate vainikinių arterijų liga arba periferinių arterijų liga ir anksčiau esate patyrę kraujavimą į galvos smegenis (insultą) arba per paskutinį mėnesį Jums buvo užsikimšusios smulkios arterijos, kurios aprūpina krauju giliuosius galvos smegenų audinius (lakūninis insultas), arba galvos smegenyse buvo krešulys (išeminis, nelakūninis insultas);</w:t>
      </w:r>
    </w:p>
    <w:p w14:paraId="60E1446D" w14:textId="77777777" w:rsidR="00823785" w:rsidRPr="000877E9" w:rsidRDefault="00823785" w:rsidP="00823785">
      <w:pPr>
        <w:tabs>
          <w:tab w:val="clear" w:pos="567"/>
        </w:tabs>
        <w:spacing w:line="100" w:lineRule="atLeast"/>
        <w:ind w:left="567" w:hanging="567"/>
        <w:rPr>
          <w:sz w:val="22"/>
          <w:szCs w:val="22"/>
        </w:rPr>
      </w:pPr>
      <w:r w:rsidRPr="00AE1B80">
        <w:rPr>
          <w:sz w:val="22"/>
          <w:szCs w:val="22"/>
        </w:rPr>
        <w:t>-</w:t>
      </w:r>
      <w:r w:rsidRPr="00AE1B80">
        <w:rPr>
          <w:sz w:val="22"/>
          <w:szCs w:val="22"/>
        </w:rPr>
        <w:tab/>
      </w:r>
      <w:r w:rsidRPr="00452D62">
        <w:rPr>
          <w:sz w:val="22"/>
          <w:szCs w:val="22"/>
        </w:rPr>
        <w:t>jeigu sergate kepenų liga ir todėl gali būti padidėjusi kraujavimo rizika;</w:t>
      </w:r>
    </w:p>
    <w:p w14:paraId="3D0AF352" w14:textId="77777777" w:rsidR="00823785" w:rsidRPr="00452D62" w:rsidRDefault="00823785" w:rsidP="00823785">
      <w:pPr>
        <w:tabs>
          <w:tab w:val="clear" w:pos="567"/>
        </w:tabs>
        <w:spacing w:line="100" w:lineRule="atLeast"/>
        <w:ind w:left="567" w:hanging="567"/>
        <w:rPr>
          <w:sz w:val="22"/>
          <w:szCs w:val="22"/>
        </w:rPr>
      </w:pPr>
      <w:r w:rsidRPr="00452D62">
        <w:rPr>
          <w:sz w:val="22"/>
          <w:szCs w:val="22"/>
        </w:rPr>
        <w:t>-</w:t>
      </w:r>
      <w:r w:rsidRPr="00452D62">
        <w:rPr>
          <w:sz w:val="22"/>
          <w:szCs w:val="22"/>
        </w:rPr>
        <w:tab/>
        <w:t>jeigu esate nėščia arba maitinate krūtimi.</w:t>
      </w:r>
    </w:p>
    <w:p w14:paraId="682575F1" w14:textId="77777777" w:rsidR="00823785" w:rsidRPr="00452D62" w:rsidRDefault="00823785" w:rsidP="00823785">
      <w:pPr>
        <w:tabs>
          <w:tab w:val="clear" w:pos="567"/>
        </w:tabs>
        <w:spacing w:line="100" w:lineRule="atLeast"/>
        <w:ind w:left="567" w:hanging="567"/>
        <w:rPr>
          <w:sz w:val="22"/>
          <w:szCs w:val="22"/>
          <w:shd w:val="clear" w:color="auto" w:fill="FFFF00"/>
        </w:rPr>
      </w:pPr>
      <w:r w:rsidRPr="00452D62">
        <w:rPr>
          <w:b/>
          <w:sz w:val="22"/>
          <w:szCs w:val="22"/>
        </w:rPr>
        <w:t>Nevartokite Xerdoxo ir pasakykite gydytojui</w:t>
      </w:r>
      <w:r w:rsidRPr="00452D62">
        <w:rPr>
          <w:sz w:val="22"/>
          <w:szCs w:val="22"/>
        </w:rPr>
        <w:t>, jeigu Jums tinka bet kuri iš paminėtų būklių.</w:t>
      </w:r>
    </w:p>
    <w:p w14:paraId="002A80A3" w14:textId="77777777" w:rsidR="00823785" w:rsidRPr="00452D62" w:rsidRDefault="00823785" w:rsidP="00823785">
      <w:pPr>
        <w:tabs>
          <w:tab w:val="clear" w:pos="567"/>
        </w:tabs>
        <w:spacing w:line="100" w:lineRule="atLeast"/>
        <w:rPr>
          <w:sz w:val="22"/>
          <w:szCs w:val="22"/>
          <w:shd w:val="clear" w:color="auto" w:fill="FFFF00"/>
        </w:rPr>
      </w:pPr>
    </w:p>
    <w:p w14:paraId="799597C5" w14:textId="77777777" w:rsidR="00823785" w:rsidRPr="00452D62" w:rsidRDefault="00823785" w:rsidP="00823785">
      <w:pPr>
        <w:tabs>
          <w:tab w:val="clear" w:pos="567"/>
        </w:tabs>
        <w:spacing w:line="100" w:lineRule="atLeast"/>
        <w:rPr>
          <w:sz w:val="22"/>
          <w:szCs w:val="22"/>
        </w:rPr>
      </w:pPr>
      <w:r w:rsidRPr="00452D62">
        <w:rPr>
          <w:b/>
          <w:sz w:val="22"/>
          <w:szCs w:val="22"/>
        </w:rPr>
        <w:t>Įspėjimai ir atsargumo priemonės</w:t>
      </w:r>
    </w:p>
    <w:p w14:paraId="7AEC675C" w14:textId="77777777" w:rsidR="00823785" w:rsidRPr="00452D62" w:rsidRDefault="00823785" w:rsidP="00823785">
      <w:pPr>
        <w:rPr>
          <w:b/>
          <w:bCs/>
          <w:sz w:val="22"/>
          <w:szCs w:val="22"/>
        </w:rPr>
      </w:pPr>
      <w:r w:rsidRPr="00452D62">
        <w:rPr>
          <w:sz w:val="22"/>
          <w:szCs w:val="22"/>
        </w:rPr>
        <w:t>Pasitarkite su gydytoju arba vaistininku, prieš pradėdami vartoti Xerdoxo.</w:t>
      </w:r>
    </w:p>
    <w:p w14:paraId="5A463A51" w14:textId="77777777" w:rsidR="00823785" w:rsidRPr="00452D62" w:rsidRDefault="00823785" w:rsidP="00823785">
      <w:pPr>
        <w:rPr>
          <w:sz w:val="22"/>
          <w:szCs w:val="22"/>
        </w:rPr>
      </w:pPr>
      <w:r w:rsidRPr="00452D62">
        <w:rPr>
          <w:sz w:val="22"/>
          <w:szCs w:val="22"/>
        </w:rPr>
        <w:t>Xerdoxo negalima vartoti kartu su kitais kraujo krešėjimą slopinančiais vaistais, tokiais kaip prazugrelis arba tikagreloras, išskyrus acetilsalicilo rūgštį ir klopidogrelį ar tiklopidiną.</w:t>
      </w:r>
    </w:p>
    <w:p w14:paraId="5338260B" w14:textId="77777777" w:rsidR="00823785" w:rsidRPr="00452D62" w:rsidRDefault="00823785" w:rsidP="00823785">
      <w:pPr>
        <w:rPr>
          <w:sz w:val="22"/>
          <w:szCs w:val="22"/>
        </w:rPr>
      </w:pPr>
    </w:p>
    <w:p w14:paraId="2C184E10" w14:textId="77777777" w:rsidR="00823785" w:rsidRPr="00452D62" w:rsidRDefault="00823785" w:rsidP="00823785">
      <w:pPr>
        <w:rPr>
          <w:sz w:val="22"/>
          <w:szCs w:val="22"/>
        </w:rPr>
      </w:pPr>
      <w:r w:rsidRPr="00452D62">
        <w:rPr>
          <w:b/>
          <w:bCs/>
          <w:sz w:val="22"/>
          <w:szCs w:val="22"/>
        </w:rPr>
        <w:t>Vartodami Xerdoxo laikykitės tam tikrų atsargumo priemonių</w:t>
      </w:r>
    </w:p>
    <w:p w14:paraId="3B777C07" w14:textId="77777777" w:rsidR="00823785" w:rsidRPr="00452D62" w:rsidRDefault="00823785" w:rsidP="00823785">
      <w:pPr>
        <w:numPr>
          <w:ilvl w:val="0"/>
          <w:numId w:val="8"/>
        </w:numPr>
        <w:ind w:left="567" w:hanging="567"/>
        <w:rPr>
          <w:sz w:val="22"/>
          <w:szCs w:val="22"/>
        </w:rPr>
      </w:pPr>
      <w:r w:rsidRPr="00452D62">
        <w:rPr>
          <w:sz w:val="22"/>
          <w:szCs w:val="22"/>
        </w:rPr>
        <w:t>jeigu Jums yra padidėjusi kraujavimo rizika, kuri gali būti tokiose situacijose:</w:t>
      </w:r>
    </w:p>
    <w:p w14:paraId="71DDE591" w14:textId="77777777" w:rsidR="00823785" w:rsidRPr="00452D62" w:rsidRDefault="00823785" w:rsidP="00823785">
      <w:pPr>
        <w:numPr>
          <w:ilvl w:val="0"/>
          <w:numId w:val="21"/>
        </w:numPr>
        <w:ind w:left="1134" w:hanging="567"/>
        <w:rPr>
          <w:sz w:val="22"/>
          <w:szCs w:val="22"/>
        </w:rPr>
      </w:pPr>
      <w:r w:rsidRPr="00452D62">
        <w:rPr>
          <w:sz w:val="22"/>
          <w:szCs w:val="22"/>
        </w:rPr>
        <w:t>yra sunki inkstų liga, nes inkstų funkcija gali turėti įtakos Jūsų organizmą veikiančio vaisto kiekiui;</w:t>
      </w:r>
    </w:p>
    <w:p w14:paraId="68BCE163" w14:textId="77777777" w:rsidR="00823785" w:rsidRPr="00452D62" w:rsidRDefault="00823785" w:rsidP="00823785">
      <w:pPr>
        <w:numPr>
          <w:ilvl w:val="0"/>
          <w:numId w:val="21"/>
        </w:numPr>
        <w:ind w:left="1134" w:hanging="567"/>
        <w:rPr>
          <w:sz w:val="22"/>
          <w:szCs w:val="22"/>
        </w:rPr>
      </w:pPr>
      <w:r w:rsidRPr="00452D62">
        <w:rPr>
          <w:sz w:val="22"/>
          <w:szCs w:val="22"/>
        </w:rPr>
        <w:t>vartojama kitų vaistų, apsaugančių nuo kraujo krešulių formavimosi (pvz., varfarino, dabigatrano, apiksabano arba heparino), keičiamas nuo kraujo krešulių apsaugantis gydymas arba per venos ar arterijos kateterį Jums leidžiama heparino, kad šis kateteris išliktų pralaidus (žr. poskyrį „Kiti vaistai ir Xerdoxo“);</w:t>
      </w:r>
    </w:p>
    <w:p w14:paraId="311F7A98" w14:textId="77777777" w:rsidR="00823785" w:rsidRPr="00452D62" w:rsidRDefault="00823785" w:rsidP="00823785">
      <w:pPr>
        <w:numPr>
          <w:ilvl w:val="0"/>
          <w:numId w:val="21"/>
        </w:numPr>
        <w:ind w:left="1134" w:hanging="567"/>
        <w:rPr>
          <w:sz w:val="22"/>
          <w:szCs w:val="22"/>
        </w:rPr>
      </w:pPr>
      <w:r w:rsidRPr="00452D62">
        <w:rPr>
          <w:sz w:val="22"/>
          <w:szCs w:val="22"/>
        </w:rPr>
        <w:t>yra kraujavimo sutrikimų;</w:t>
      </w:r>
    </w:p>
    <w:p w14:paraId="1FAED4B7" w14:textId="77777777" w:rsidR="00823785" w:rsidRPr="00452D62" w:rsidRDefault="00823785" w:rsidP="00823785">
      <w:pPr>
        <w:numPr>
          <w:ilvl w:val="0"/>
          <w:numId w:val="21"/>
        </w:numPr>
        <w:ind w:left="1134" w:hanging="567"/>
        <w:rPr>
          <w:sz w:val="22"/>
          <w:szCs w:val="22"/>
        </w:rPr>
      </w:pPr>
      <w:r w:rsidRPr="00452D62">
        <w:rPr>
          <w:sz w:val="22"/>
          <w:szCs w:val="22"/>
        </w:rPr>
        <w:t>yra labai didelis kraujospūdis, nekontroliuojamas vaistais;</w:t>
      </w:r>
    </w:p>
    <w:p w14:paraId="11232C80" w14:textId="77777777" w:rsidR="00823785" w:rsidRPr="00452D62" w:rsidRDefault="00823785" w:rsidP="00823785">
      <w:pPr>
        <w:numPr>
          <w:ilvl w:val="0"/>
          <w:numId w:val="21"/>
        </w:numPr>
        <w:tabs>
          <w:tab w:val="clear" w:pos="567"/>
          <w:tab w:val="left" w:pos="1134"/>
        </w:tabs>
        <w:ind w:left="1134" w:hanging="567"/>
        <w:rPr>
          <w:sz w:val="22"/>
          <w:szCs w:val="22"/>
        </w:rPr>
      </w:pPr>
      <w:r w:rsidRPr="00452D62">
        <w:rPr>
          <w:sz w:val="22"/>
          <w:szCs w:val="22"/>
        </w:rPr>
        <w:t>yra skrandžio arba žarnyno ligų, galinčių sukelti kraujavimą, pvz., žarnyno arba skrandžio uždegimas, arba stemplės uždegimas, pvz., dėl gastroezofaginio refliukso ligos (ligos, kai skrandžio rūgštis atpilama į stemplę) arba navikai, esantys skrandyje, žarnyne, lytiniuose takuose ar šlapimo takuose;</w:t>
      </w:r>
    </w:p>
    <w:p w14:paraId="0D6EF0F0" w14:textId="77777777" w:rsidR="00823785" w:rsidRPr="00452D62" w:rsidRDefault="00823785" w:rsidP="00823785">
      <w:pPr>
        <w:numPr>
          <w:ilvl w:val="0"/>
          <w:numId w:val="21"/>
        </w:numPr>
        <w:ind w:left="1134" w:hanging="567"/>
        <w:rPr>
          <w:sz w:val="22"/>
          <w:szCs w:val="22"/>
        </w:rPr>
      </w:pPr>
      <w:r w:rsidRPr="00452D62">
        <w:rPr>
          <w:sz w:val="22"/>
          <w:szCs w:val="22"/>
        </w:rPr>
        <w:t>yra akių užpakalinės dalies kraujagyslių sutrikimų (retinopatija);</w:t>
      </w:r>
    </w:p>
    <w:p w14:paraId="741DD0C5" w14:textId="77777777" w:rsidR="00823785" w:rsidRPr="00452D62" w:rsidRDefault="00823785" w:rsidP="00823785">
      <w:pPr>
        <w:numPr>
          <w:ilvl w:val="0"/>
          <w:numId w:val="21"/>
        </w:numPr>
        <w:ind w:left="1134" w:hanging="567"/>
        <w:rPr>
          <w:sz w:val="22"/>
          <w:szCs w:val="22"/>
        </w:rPr>
      </w:pPr>
      <w:r w:rsidRPr="00452D62">
        <w:rPr>
          <w:sz w:val="22"/>
          <w:szCs w:val="22"/>
        </w:rPr>
        <w:t>yra plaučių liga, kuria sergant bronchai būna išsiplėtę ir prisipildę pūlių (bronchektazės), arba anksčiau yra buvęs kraujavimas iš plaučių;</w:t>
      </w:r>
    </w:p>
    <w:p w14:paraId="36DF0E80" w14:textId="77777777" w:rsidR="00823785" w:rsidRPr="00452D62" w:rsidRDefault="00823785" w:rsidP="00823785">
      <w:pPr>
        <w:numPr>
          <w:ilvl w:val="0"/>
          <w:numId w:val="21"/>
        </w:numPr>
        <w:ind w:left="1134" w:hanging="567"/>
        <w:rPr>
          <w:sz w:val="22"/>
          <w:szCs w:val="22"/>
        </w:rPr>
      </w:pPr>
      <w:r w:rsidRPr="00452D62">
        <w:rPr>
          <w:sz w:val="22"/>
          <w:szCs w:val="22"/>
        </w:rPr>
        <w:t>esate vyresni nei 75 metų;</w:t>
      </w:r>
    </w:p>
    <w:p w14:paraId="263C24EF" w14:textId="57B0AA4F" w:rsidR="00823785" w:rsidRPr="00452D62" w:rsidRDefault="00823785" w:rsidP="00823785">
      <w:pPr>
        <w:numPr>
          <w:ilvl w:val="0"/>
          <w:numId w:val="21"/>
        </w:numPr>
        <w:ind w:left="1134" w:hanging="567"/>
        <w:rPr>
          <w:sz w:val="22"/>
          <w:szCs w:val="22"/>
        </w:rPr>
      </w:pPr>
      <w:r w:rsidRPr="00452D62">
        <w:rPr>
          <w:sz w:val="22"/>
          <w:szCs w:val="22"/>
        </w:rPr>
        <w:t>sveriate mažiau nei 60 kg;</w:t>
      </w:r>
    </w:p>
    <w:p w14:paraId="6C61B5E5" w14:textId="77777777" w:rsidR="00823785" w:rsidRPr="00452D62" w:rsidRDefault="00823785" w:rsidP="00823785">
      <w:pPr>
        <w:numPr>
          <w:ilvl w:val="0"/>
          <w:numId w:val="21"/>
        </w:numPr>
        <w:ind w:left="1134" w:hanging="567"/>
        <w:rPr>
          <w:sz w:val="22"/>
          <w:szCs w:val="22"/>
        </w:rPr>
      </w:pPr>
      <w:r w:rsidRPr="00452D62">
        <w:rPr>
          <w:sz w:val="22"/>
          <w:szCs w:val="22"/>
        </w:rPr>
        <w:t>sergate vainikinių arterijų liga su sunkiu simptominiu širdies nepakankamumu;</w:t>
      </w:r>
    </w:p>
    <w:p w14:paraId="7B8C008F" w14:textId="77777777" w:rsidR="00823785" w:rsidRPr="00452D62" w:rsidRDefault="00823785" w:rsidP="00823785">
      <w:pPr>
        <w:pStyle w:val="Default"/>
        <w:numPr>
          <w:ilvl w:val="0"/>
          <w:numId w:val="6"/>
        </w:numPr>
        <w:ind w:left="567" w:hanging="567"/>
        <w:rPr>
          <w:sz w:val="22"/>
          <w:szCs w:val="22"/>
        </w:rPr>
      </w:pPr>
      <w:r w:rsidRPr="00452D62">
        <w:rPr>
          <w:sz w:val="22"/>
          <w:szCs w:val="22"/>
        </w:rPr>
        <w:t>jeigu Jums protezuoti širdies vožtuvai;</w:t>
      </w:r>
    </w:p>
    <w:p w14:paraId="44FE5D38" w14:textId="77777777" w:rsidR="00823785" w:rsidRPr="00452D62" w:rsidRDefault="00823785" w:rsidP="00823785">
      <w:pPr>
        <w:numPr>
          <w:ilvl w:val="0"/>
          <w:numId w:val="6"/>
        </w:numPr>
        <w:ind w:left="567" w:hanging="567"/>
        <w:rPr>
          <w:sz w:val="22"/>
          <w:szCs w:val="22"/>
          <w:lang w:eastAsia="lt-LT"/>
        </w:rPr>
      </w:pPr>
      <w:r w:rsidRPr="00452D62">
        <w:rPr>
          <w:sz w:val="22"/>
          <w:szCs w:val="22"/>
          <w:lang w:eastAsia="lt-LT"/>
        </w:rPr>
        <w:t>jeigu žinote, kad sergate liga, vadinama antifosfolipidiniu sindromu (imuninės sistemos sutrikimu, dėl kurio padidėja kraujo krešulių susidarymo rizika), pasakykite apie tai gydytojui, kuris nuspręs, ar reikės keisti Jums taikomą gydymą.</w:t>
      </w:r>
    </w:p>
    <w:p w14:paraId="6D4AFD24" w14:textId="77777777" w:rsidR="00823785" w:rsidRPr="00452D62" w:rsidRDefault="00823785" w:rsidP="00823785">
      <w:pPr>
        <w:rPr>
          <w:sz w:val="22"/>
          <w:szCs w:val="22"/>
        </w:rPr>
      </w:pPr>
    </w:p>
    <w:p w14:paraId="70DE3913" w14:textId="77777777" w:rsidR="00823785" w:rsidRPr="00452D62" w:rsidRDefault="00823785" w:rsidP="00823785">
      <w:pPr>
        <w:rPr>
          <w:sz w:val="22"/>
          <w:szCs w:val="22"/>
        </w:rPr>
      </w:pPr>
      <w:r w:rsidRPr="00452D62">
        <w:rPr>
          <w:b/>
          <w:bCs/>
          <w:sz w:val="22"/>
          <w:szCs w:val="22"/>
        </w:rPr>
        <w:t xml:space="preserve">Jeigu Jums tinka bet kuri iš paminėtų būklių, </w:t>
      </w:r>
      <w:r w:rsidRPr="00452D62">
        <w:rPr>
          <w:sz w:val="22"/>
          <w:szCs w:val="22"/>
        </w:rPr>
        <w:t xml:space="preserve">prieš pradėdami vartoti Xerdoxo, </w:t>
      </w:r>
      <w:r w:rsidRPr="00452D62">
        <w:rPr>
          <w:b/>
          <w:bCs/>
          <w:sz w:val="22"/>
          <w:szCs w:val="22"/>
        </w:rPr>
        <w:t>apie tai pasakykite gydytojui</w:t>
      </w:r>
      <w:r w:rsidRPr="00452D62">
        <w:rPr>
          <w:sz w:val="22"/>
          <w:szCs w:val="22"/>
        </w:rPr>
        <w:t>. Gydytojas nuspręs, ar skirti Jums šio vaisto ir ar reikia atidžiau Jus stebėti.</w:t>
      </w:r>
    </w:p>
    <w:p w14:paraId="1840766E" w14:textId="77777777" w:rsidR="00823785" w:rsidRPr="00452D62" w:rsidRDefault="00823785" w:rsidP="00823785">
      <w:pPr>
        <w:rPr>
          <w:sz w:val="22"/>
          <w:szCs w:val="22"/>
        </w:rPr>
      </w:pPr>
    </w:p>
    <w:p w14:paraId="7C0C1C6B" w14:textId="77777777" w:rsidR="00823785" w:rsidRPr="00452D62" w:rsidRDefault="00823785" w:rsidP="00823785">
      <w:pPr>
        <w:rPr>
          <w:b/>
          <w:sz w:val="22"/>
          <w:szCs w:val="22"/>
        </w:rPr>
      </w:pPr>
      <w:r w:rsidRPr="00452D62">
        <w:rPr>
          <w:b/>
          <w:sz w:val="22"/>
          <w:szCs w:val="22"/>
        </w:rPr>
        <w:t>Jeigu Jums reikia atlikti operaciją</w:t>
      </w:r>
    </w:p>
    <w:p w14:paraId="77AB397E" w14:textId="77777777" w:rsidR="00823785" w:rsidRPr="00452D62" w:rsidRDefault="00823785" w:rsidP="00823785">
      <w:pPr>
        <w:numPr>
          <w:ilvl w:val="0"/>
          <w:numId w:val="6"/>
        </w:numPr>
        <w:ind w:left="567" w:hanging="567"/>
        <w:rPr>
          <w:sz w:val="22"/>
          <w:szCs w:val="22"/>
        </w:rPr>
      </w:pPr>
      <w:r w:rsidRPr="00452D62">
        <w:rPr>
          <w:sz w:val="22"/>
          <w:szCs w:val="22"/>
        </w:rPr>
        <w:t>Labai svarbu prieš operaciją ir po jos Xerdoxo vartoti tiksliai tuo laiku, kaip pasakė gydytojas.</w:t>
      </w:r>
    </w:p>
    <w:p w14:paraId="7EC98417" w14:textId="77777777" w:rsidR="00823785" w:rsidRPr="00452D62" w:rsidRDefault="00823785" w:rsidP="00823785">
      <w:pPr>
        <w:numPr>
          <w:ilvl w:val="0"/>
          <w:numId w:val="6"/>
        </w:numPr>
        <w:ind w:left="567" w:hanging="567"/>
        <w:rPr>
          <w:sz w:val="22"/>
          <w:szCs w:val="22"/>
        </w:rPr>
      </w:pPr>
      <w:r w:rsidRPr="00452D62">
        <w:rPr>
          <w:sz w:val="22"/>
          <w:szCs w:val="22"/>
        </w:rPr>
        <w:t>Jeigu Jūsų operacijos metu bus įterpiamas kateteris arba leidžiami vaistai į stuburo kanalą (pvz., taikoma epidurinė ar spinalinė anestezija arba skausmo slopinimas):</w:t>
      </w:r>
    </w:p>
    <w:p w14:paraId="13DD6729" w14:textId="77777777" w:rsidR="00823785" w:rsidRPr="00452D62" w:rsidRDefault="00823785" w:rsidP="00823785">
      <w:pPr>
        <w:numPr>
          <w:ilvl w:val="0"/>
          <w:numId w:val="13"/>
        </w:numPr>
        <w:ind w:left="1134" w:hanging="567"/>
        <w:rPr>
          <w:sz w:val="22"/>
          <w:szCs w:val="22"/>
        </w:rPr>
      </w:pPr>
      <w:r w:rsidRPr="00452D62">
        <w:rPr>
          <w:sz w:val="22"/>
          <w:szCs w:val="22"/>
        </w:rPr>
        <w:t>labai svarbu prieš nurodytas procedūras ar kateterio išėmimą ir po jų Xerdoxo vartoti tiksliai tuo laiku, kaip nurodė gydytojas;</w:t>
      </w:r>
    </w:p>
    <w:p w14:paraId="2FCB4CAA" w14:textId="77777777" w:rsidR="00823785" w:rsidRPr="00452D62" w:rsidRDefault="00823785" w:rsidP="00823785">
      <w:pPr>
        <w:numPr>
          <w:ilvl w:val="0"/>
          <w:numId w:val="13"/>
        </w:numPr>
        <w:ind w:left="1134" w:hanging="567"/>
        <w:rPr>
          <w:sz w:val="22"/>
          <w:szCs w:val="22"/>
        </w:rPr>
      </w:pPr>
      <w:r w:rsidRPr="00452D62">
        <w:rPr>
          <w:sz w:val="22"/>
          <w:szCs w:val="22"/>
        </w:rPr>
        <w:t>nedelsdami pasakykite gydytojui, jei po anestezijos pajusite kojų tirpimą ar silpnumą arba žarnyno ar šlapimo pūslės veiklos sutrikimą, nes gali prireikti skubios pagalbos.</w:t>
      </w:r>
    </w:p>
    <w:p w14:paraId="2548D526" w14:textId="77777777" w:rsidR="00823785" w:rsidRPr="00452D62" w:rsidRDefault="00823785" w:rsidP="00823785">
      <w:pPr>
        <w:tabs>
          <w:tab w:val="clear" w:pos="567"/>
        </w:tabs>
        <w:spacing w:line="100" w:lineRule="atLeast"/>
        <w:ind w:left="360"/>
        <w:rPr>
          <w:bCs/>
          <w:sz w:val="22"/>
          <w:szCs w:val="22"/>
        </w:rPr>
      </w:pPr>
    </w:p>
    <w:p w14:paraId="7625DFE7" w14:textId="77777777" w:rsidR="00823785" w:rsidRPr="00452D62" w:rsidRDefault="00823785" w:rsidP="00823785">
      <w:pPr>
        <w:tabs>
          <w:tab w:val="clear" w:pos="567"/>
        </w:tabs>
        <w:spacing w:line="100" w:lineRule="atLeast"/>
        <w:rPr>
          <w:sz w:val="22"/>
          <w:szCs w:val="22"/>
        </w:rPr>
      </w:pPr>
      <w:r w:rsidRPr="00452D62">
        <w:rPr>
          <w:b/>
          <w:sz w:val="22"/>
          <w:szCs w:val="22"/>
        </w:rPr>
        <w:t>Vaikams ir paaugliams</w:t>
      </w:r>
    </w:p>
    <w:p w14:paraId="260B9D9A" w14:textId="2F82814D" w:rsidR="00823785" w:rsidRPr="00452D62" w:rsidRDefault="00823785" w:rsidP="00823785">
      <w:pPr>
        <w:rPr>
          <w:b/>
          <w:bCs/>
          <w:sz w:val="22"/>
          <w:szCs w:val="22"/>
        </w:rPr>
      </w:pPr>
      <w:r w:rsidRPr="00452D62">
        <w:rPr>
          <w:sz w:val="22"/>
          <w:szCs w:val="22"/>
        </w:rPr>
        <w:t xml:space="preserve">Xerdoxo </w:t>
      </w:r>
      <w:r w:rsidRPr="00AE1B80">
        <w:rPr>
          <w:sz w:val="22"/>
        </w:rPr>
        <w:t>2,5 mg table</w:t>
      </w:r>
      <w:r w:rsidRPr="00452D62">
        <w:rPr>
          <w:sz w:val="22"/>
          <w:szCs w:val="22"/>
        </w:rPr>
        <w:t xml:space="preserve">čių vartojimas yra </w:t>
      </w:r>
      <w:r w:rsidRPr="00452D62">
        <w:rPr>
          <w:b/>
          <w:bCs/>
          <w:sz w:val="22"/>
          <w:szCs w:val="22"/>
        </w:rPr>
        <w:t>nerekomenduojamas jaunesniems kaip 18 metų amžiaus žmonėms</w:t>
      </w:r>
      <w:r w:rsidRPr="00452D62">
        <w:rPr>
          <w:sz w:val="22"/>
          <w:szCs w:val="22"/>
        </w:rPr>
        <w:t>. Nėra pakankamai informacijos apie jų vartojimą vaikams ir paaugliams.</w:t>
      </w:r>
    </w:p>
    <w:p w14:paraId="26A9DA04" w14:textId="77777777" w:rsidR="00823785" w:rsidRPr="00452D62" w:rsidRDefault="00823785" w:rsidP="00823785">
      <w:pPr>
        <w:rPr>
          <w:b/>
          <w:bCs/>
          <w:sz w:val="22"/>
          <w:szCs w:val="22"/>
        </w:rPr>
      </w:pPr>
    </w:p>
    <w:p w14:paraId="5D1D805A" w14:textId="77777777" w:rsidR="00823785" w:rsidRPr="00452D62" w:rsidRDefault="00823785" w:rsidP="00823785">
      <w:pPr>
        <w:rPr>
          <w:sz w:val="22"/>
          <w:szCs w:val="22"/>
        </w:rPr>
      </w:pPr>
      <w:r w:rsidRPr="00452D62">
        <w:rPr>
          <w:b/>
          <w:bCs/>
          <w:sz w:val="22"/>
          <w:szCs w:val="22"/>
        </w:rPr>
        <w:t>Kiti vaistai ir Xerdoxo</w:t>
      </w:r>
    </w:p>
    <w:p w14:paraId="4FD1DFAD" w14:textId="77777777" w:rsidR="00823785" w:rsidRPr="00452D62" w:rsidRDefault="00823785" w:rsidP="00823785">
      <w:pPr>
        <w:rPr>
          <w:sz w:val="22"/>
          <w:szCs w:val="22"/>
        </w:rPr>
      </w:pPr>
      <w:r w:rsidRPr="00452D62">
        <w:rPr>
          <w:sz w:val="22"/>
          <w:szCs w:val="22"/>
        </w:rPr>
        <w:t>Jeigu vartojate ar neseniai vartojote kitų vaistų, įskaitant vaistus įsigytus be recepto, arba dėl to nesate tikri, apie tai pasakykite gydytojui arba vaistininkui.</w:t>
      </w:r>
    </w:p>
    <w:p w14:paraId="417EC7AA" w14:textId="77777777" w:rsidR="00823785" w:rsidRPr="00452D62" w:rsidRDefault="00823785" w:rsidP="00823785">
      <w:pPr>
        <w:numPr>
          <w:ilvl w:val="0"/>
          <w:numId w:val="6"/>
        </w:numPr>
        <w:ind w:left="567" w:hanging="567"/>
        <w:rPr>
          <w:sz w:val="22"/>
          <w:szCs w:val="22"/>
        </w:rPr>
      </w:pPr>
      <w:r w:rsidRPr="00452D62">
        <w:rPr>
          <w:b/>
          <w:sz w:val="22"/>
          <w:szCs w:val="22"/>
        </w:rPr>
        <w:t>Jeigu vartojate</w:t>
      </w:r>
    </w:p>
    <w:p w14:paraId="37BE9A1A" w14:textId="77777777" w:rsidR="00823785" w:rsidRPr="00452D62" w:rsidRDefault="00823785" w:rsidP="00823785">
      <w:pPr>
        <w:numPr>
          <w:ilvl w:val="0"/>
          <w:numId w:val="13"/>
        </w:numPr>
        <w:ind w:left="1134" w:hanging="567"/>
        <w:rPr>
          <w:sz w:val="22"/>
          <w:szCs w:val="22"/>
        </w:rPr>
      </w:pPr>
      <w:r w:rsidRPr="00452D62">
        <w:rPr>
          <w:sz w:val="22"/>
          <w:szCs w:val="22"/>
        </w:rPr>
        <w:t>kai kurių kitų vaistų nuo grybelinės infekcijos (pvz., flukonazolo, itrakonazolo, vorikonazolo, pozakonazolo), nebent jie būtų vartojami tik ant odos;</w:t>
      </w:r>
    </w:p>
    <w:p w14:paraId="262AAD04" w14:textId="77777777" w:rsidR="00823785" w:rsidRPr="00452D62" w:rsidRDefault="00823785" w:rsidP="00823785">
      <w:pPr>
        <w:numPr>
          <w:ilvl w:val="0"/>
          <w:numId w:val="13"/>
        </w:numPr>
        <w:ind w:left="1134" w:hanging="567"/>
        <w:rPr>
          <w:sz w:val="22"/>
          <w:szCs w:val="22"/>
        </w:rPr>
      </w:pPr>
      <w:r w:rsidRPr="00452D62">
        <w:rPr>
          <w:sz w:val="22"/>
          <w:szCs w:val="22"/>
        </w:rPr>
        <w:t>ketokonazolo tablečių (vartojamų gydyti Kušingo sindromą, kai organizmas gamina per daug kortizolio);</w:t>
      </w:r>
    </w:p>
    <w:p w14:paraId="4E3C3690" w14:textId="77777777" w:rsidR="00823785" w:rsidRPr="00452D62" w:rsidRDefault="00823785" w:rsidP="00823785">
      <w:pPr>
        <w:numPr>
          <w:ilvl w:val="0"/>
          <w:numId w:val="13"/>
        </w:numPr>
        <w:ind w:left="1134" w:hanging="567"/>
        <w:rPr>
          <w:sz w:val="22"/>
          <w:szCs w:val="22"/>
        </w:rPr>
      </w:pPr>
      <w:r w:rsidRPr="00452D62">
        <w:rPr>
          <w:sz w:val="22"/>
          <w:szCs w:val="22"/>
        </w:rPr>
        <w:t>kai kurių vaistų nuo bakterinių infekcijų (pvz., klaritromicino, eritromicino);</w:t>
      </w:r>
    </w:p>
    <w:p w14:paraId="7706106B" w14:textId="77777777" w:rsidR="00823785" w:rsidRPr="00452D62" w:rsidRDefault="00823785" w:rsidP="00823785">
      <w:pPr>
        <w:numPr>
          <w:ilvl w:val="0"/>
          <w:numId w:val="13"/>
        </w:numPr>
        <w:ind w:left="1134" w:hanging="567"/>
        <w:rPr>
          <w:sz w:val="22"/>
          <w:szCs w:val="22"/>
        </w:rPr>
      </w:pPr>
      <w:r w:rsidRPr="00452D62">
        <w:rPr>
          <w:sz w:val="22"/>
          <w:szCs w:val="22"/>
        </w:rPr>
        <w:t>kai kurių antivirusinių vaistų nuo ŽIV/AIDS (pvz., ritonaviro);</w:t>
      </w:r>
    </w:p>
    <w:p w14:paraId="3EB0DE78" w14:textId="77777777" w:rsidR="00823785" w:rsidRPr="00452D62" w:rsidRDefault="00823785" w:rsidP="00823785">
      <w:pPr>
        <w:numPr>
          <w:ilvl w:val="0"/>
          <w:numId w:val="13"/>
        </w:numPr>
        <w:ind w:left="1134" w:hanging="567"/>
        <w:rPr>
          <w:sz w:val="22"/>
          <w:szCs w:val="22"/>
        </w:rPr>
      </w:pPr>
      <w:r w:rsidRPr="00452D62">
        <w:rPr>
          <w:sz w:val="22"/>
          <w:szCs w:val="22"/>
        </w:rPr>
        <w:t>kitų vaistų, skirtų krešėjimui mažinti (pvz., enoksaparino, klopidogrelio ar vitamino K antagonistų, tokių kaip varfarinas ar acenokumarolis, prazugrelio ir tikagreloro (žr. skyrių „Įspėjimai ir atsargumo priemonės“));</w:t>
      </w:r>
    </w:p>
    <w:p w14:paraId="22537657" w14:textId="77777777" w:rsidR="00823785" w:rsidRPr="00452D62" w:rsidRDefault="00823785" w:rsidP="00823785">
      <w:pPr>
        <w:numPr>
          <w:ilvl w:val="0"/>
          <w:numId w:val="13"/>
        </w:numPr>
        <w:ind w:left="1134" w:hanging="567"/>
        <w:rPr>
          <w:sz w:val="22"/>
          <w:szCs w:val="22"/>
        </w:rPr>
      </w:pPr>
      <w:r w:rsidRPr="00452D62">
        <w:rPr>
          <w:sz w:val="22"/>
          <w:szCs w:val="22"/>
        </w:rPr>
        <w:t>vaistų nuo uždegimo ir skausmą malšinančių vaistų (pvz., naprokseno arba acetilsalicilo rūgšties);</w:t>
      </w:r>
    </w:p>
    <w:p w14:paraId="76EFABCA" w14:textId="77777777" w:rsidR="00823785" w:rsidRPr="00452D62" w:rsidRDefault="00823785" w:rsidP="00823785">
      <w:pPr>
        <w:numPr>
          <w:ilvl w:val="0"/>
          <w:numId w:val="13"/>
        </w:numPr>
        <w:ind w:left="1134" w:hanging="567"/>
        <w:rPr>
          <w:sz w:val="22"/>
          <w:szCs w:val="22"/>
        </w:rPr>
      </w:pPr>
      <w:r w:rsidRPr="00452D62">
        <w:rPr>
          <w:sz w:val="22"/>
          <w:szCs w:val="22"/>
        </w:rPr>
        <w:t>dronedarono (vaisto nuo nenormalaus širdies plakimo);</w:t>
      </w:r>
    </w:p>
    <w:p w14:paraId="639E4976" w14:textId="77777777" w:rsidR="00823785" w:rsidRPr="00452D62" w:rsidRDefault="00823785" w:rsidP="00823785">
      <w:pPr>
        <w:numPr>
          <w:ilvl w:val="0"/>
          <w:numId w:val="13"/>
        </w:numPr>
        <w:ind w:left="1134" w:hanging="567"/>
        <w:rPr>
          <w:sz w:val="22"/>
          <w:szCs w:val="22"/>
        </w:rPr>
      </w:pPr>
      <w:r w:rsidRPr="00452D62">
        <w:rPr>
          <w:sz w:val="22"/>
          <w:szCs w:val="22"/>
        </w:rPr>
        <w:t>kai kurių vaistų nuo depresijos (selektyvių serotonino reabsorbcijos inhibitorių (SSRI) arba serotonino-norepinefrino reabsorbcijos inhibitorių (SNRI)).</w:t>
      </w:r>
    </w:p>
    <w:p w14:paraId="4A750F0E" w14:textId="77777777" w:rsidR="00823785" w:rsidRPr="00452D62" w:rsidRDefault="00823785" w:rsidP="00823785">
      <w:pPr>
        <w:rPr>
          <w:b/>
          <w:bCs/>
          <w:sz w:val="22"/>
          <w:szCs w:val="22"/>
        </w:rPr>
      </w:pPr>
    </w:p>
    <w:p w14:paraId="07CF681A" w14:textId="77777777" w:rsidR="00823785" w:rsidRPr="00452D62" w:rsidRDefault="00823785" w:rsidP="00823785">
      <w:pPr>
        <w:rPr>
          <w:sz w:val="22"/>
          <w:szCs w:val="22"/>
        </w:rPr>
      </w:pPr>
      <w:r w:rsidRPr="00452D62">
        <w:rPr>
          <w:b/>
          <w:bCs/>
          <w:sz w:val="22"/>
          <w:szCs w:val="22"/>
        </w:rPr>
        <w:t xml:space="preserve">Jeigu Jums tinka bet kuri iš paminėtų būklių, </w:t>
      </w:r>
      <w:r w:rsidRPr="00452D62">
        <w:rPr>
          <w:sz w:val="22"/>
          <w:szCs w:val="22"/>
        </w:rPr>
        <w:t xml:space="preserve">prieš pradedant vartoti Xerdoxo apie tai </w:t>
      </w:r>
      <w:r w:rsidRPr="00452D62">
        <w:rPr>
          <w:b/>
          <w:bCs/>
          <w:sz w:val="22"/>
          <w:szCs w:val="22"/>
        </w:rPr>
        <w:t>pasakykite gydytojui</w:t>
      </w:r>
      <w:r w:rsidRPr="00452D62">
        <w:rPr>
          <w:sz w:val="22"/>
          <w:szCs w:val="22"/>
        </w:rPr>
        <w:t>, nes Xerdoxo poveikis gali sustiprėti. Gydytojas nuspręs, ar skirti Jums šio vaisto ir ar Jus atidžiau stebėti.</w:t>
      </w:r>
    </w:p>
    <w:p w14:paraId="3AD96305" w14:textId="77777777" w:rsidR="00823785" w:rsidRPr="00452D62" w:rsidRDefault="00823785" w:rsidP="00823785">
      <w:pPr>
        <w:tabs>
          <w:tab w:val="clear" w:pos="567"/>
        </w:tabs>
        <w:spacing w:line="100" w:lineRule="atLeast"/>
        <w:ind w:right="-2"/>
        <w:rPr>
          <w:bCs/>
          <w:sz w:val="22"/>
          <w:szCs w:val="22"/>
        </w:rPr>
      </w:pPr>
      <w:r w:rsidRPr="00452D62">
        <w:rPr>
          <w:sz w:val="22"/>
          <w:szCs w:val="22"/>
        </w:rPr>
        <w:t>Jeigu gydytojas mano, kad Jums yra padidėjusi skrandžio ar žarnyno opų atsiradimo rizika, jis taip pat gali skirti profilaktinį gydymą nuo opų.</w:t>
      </w:r>
    </w:p>
    <w:p w14:paraId="40B88BC9" w14:textId="77777777" w:rsidR="00823785" w:rsidRPr="00452D62" w:rsidRDefault="00823785" w:rsidP="00823785">
      <w:pPr>
        <w:tabs>
          <w:tab w:val="clear" w:pos="567"/>
        </w:tabs>
        <w:spacing w:line="100" w:lineRule="atLeast"/>
        <w:ind w:right="-2"/>
        <w:rPr>
          <w:bCs/>
          <w:sz w:val="22"/>
          <w:szCs w:val="22"/>
        </w:rPr>
      </w:pPr>
    </w:p>
    <w:p w14:paraId="02D7771D" w14:textId="77777777" w:rsidR="00823785" w:rsidRPr="00452D62" w:rsidRDefault="00823785" w:rsidP="00823785">
      <w:pPr>
        <w:numPr>
          <w:ilvl w:val="0"/>
          <w:numId w:val="6"/>
        </w:numPr>
        <w:ind w:left="567" w:hanging="567"/>
        <w:rPr>
          <w:sz w:val="22"/>
          <w:szCs w:val="22"/>
        </w:rPr>
      </w:pPr>
      <w:r w:rsidRPr="00452D62">
        <w:rPr>
          <w:b/>
          <w:sz w:val="22"/>
          <w:szCs w:val="22"/>
        </w:rPr>
        <w:t>Jeigu vartojate</w:t>
      </w:r>
    </w:p>
    <w:p w14:paraId="1F0145E4" w14:textId="77777777" w:rsidR="00823785" w:rsidRPr="00452D62" w:rsidRDefault="00823785" w:rsidP="00823785">
      <w:pPr>
        <w:numPr>
          <w:ilvl w:val="0"/>
          <w:numId w:val="13"/>
        </w:numPr>
        <w:ind w:left="1134" w:hanging="567"/>
        <w:rPr>
          <w:sz w:val="22"/>
          <w:szCs w:val="22"/>
        </w:rPr>
      </w:pPr>
      <w:r w:rsidRPr="00452D62">
        <w:rPr>
          <w:sz w:val="22"/>
          <w:szCs w:val="22"/>
        </w:rPr>
        <w:t>kai kurių vaistų nuo epilepsijos (fenitoino, karbamazepino, fenobarbitalio);</w:t>
      </w:r>
    </w:p>
    <w:p w14:paraId="0EE2F1B5" w14:textId="77777777" w:rsidR="00823785" w:rsidRPr="00452D62" w:rsidRDefault="00823785" w:rsidP="00823785">
      <w:pPr>
        <w:numPr>
          <w:ilvl w:val="0"/>
          <w:numId w:val="13"/>
        </w:numPr>
        <w:ind w:left="1134" w:hanging="567"/>
        <w:rPr>
          <w:sz w:val="22"/>
          <w:szCs w:val="22"/>
        </w:rPr>
      </w:pPr>
      <w:r w:rsidRPr="00452D62">
        <w:rPr>
          <w:sz w:val="22"/>
          <w:szCs w:val="22"/>
        </w:rPr>
        <w:t>paprastųjų jonažolių (</w:t>
      </w:r>
      <w:r w:rsidRPr="00452D62">
        <w:rPr>
          <w:i/>
          <w:iCs/>
          <w:sz w:val="22"/>
          <w:szCs w:val="22"/>
        </w:rPr>
        <w:t>Hypericum perforatum</w:t>
      </w:r>
      <w:r w:rsidRPr="00452D62">
        <w:rPr>
          <w:sz w:val="22"/>
          <w:szCs w:val="22"/>
        </w:rPr>
        <w:t>) augalinio vaisto nuo depresijos;</w:t>
      </w:r>
    </w:p>
    <w:p w14:paraId="335F67E0" w14:textId="77777777" w:rsidR="00823785" w:rsidRPr="00452D62" w:rsidRDefault="00823785" w:rsidP="00823785">
      <w:pPr>
        <w:numPr>
          <w:ilvl w:val="0"/>
          <w:numId w:val="13"/>
        </w:numPr>
        <w:ind w:left="1134" w:hanging="567"/>
        <w:rPr>
          <w:sz w:val="22"/>
          <w:szCs w:val="22"/>
        </w:rPr>
      </w:pPr>
      <w:r w:rsidRPr="00452D62">
        <w:rPr>
          <w:sz w:val="22"/>
          <w:szCs w:val="22"/>
        </w:rPr>
        <w:t>antibiotiko rifampicino.</w:t>
      </w:r>
    </w:p>
    <w:p w14:paraId="6E20BBE9" w14:textId="77777777" w:rsidR="00823785" w:rsidRPr="00452D62" w:rsidRDefault="00823785" w:rsidP="00823785">
      <w:pPr>
        <w:rPr>
          <w:b/>
          <w:bCs/>
          <w:sz w:val="22"/>
          <w:szCs w:val="22"/>
        </w:rPr>
      </w:pPr>
    </w:p>
    <w:p w14:paraId="78D5DB0B" w14:textId="77777777" w:rsidR="00823785" w:rsidRPr="00452D62" w:rsidRDefault="00823785" w:rsidP="00823785">
      <w:pPr>
        <w:rPr>
          <w:b/>
          <w:bCs/>
          <w:sz w:val="22"/>
          <w:szCs w:val="22"/>
        </w:rPr>
      </w:pPr>
      <w:r w:rsidRPr="00452D62">
        <w:rPr>
          <w:b/>
          <w:bCs/>
          <w:sz w:val="22"/>
          <w:szCs w:val="22"/>
        </w:rPr>
        <w:t xml:space="preserve">Jeigu Jums tinka bet kuri iš paminėtų būklių, </w:t>
      </w:r>
      <w:r w:rsidRPr="00452D62">
        <w:rPr>
          <w:bCs/>
          <w:sz w:val="22"/>
          <w:szCs w:val="22"/>
        </w:rPr>
        <w:t>prieš pradedant vartoti Xerdoxo</w:t>
      </w:r>
      <w:r w:rsidRPr="00452D62">
        <w:rPr>
          <w:b/>
          <w:bCs/>
          <w:sz w:val="22"/>
          <w:szCs w:val="22"/>
        </w:rPr>
        <w:t xml:space="preserve"> </w:t>
      </w:r>
      <w:r w:rsidRPr="00452D62">
        <w:rPr>
          <w:sz w:val="22"/>
          <w:szCs w:val="22"/>
        </w:rPr>
        <w:t xml:space="preserve">apie tai </w:t>
      </w:r>
      <w:r w:rsidRPr="00452D62">
        <w:rPr>
          <w:b/>
          <w:bCs/>
          <w:sz w:val="22"/>
          <w:szCs w:val="22"/>
        </w:rPr>
        <w:t xml:space="preserve">pasakykite gydytojui, </w:t>
      </w:r>
      <w:r w:rsidRPr="00452D62">
        <w:rPr>
          <w:bCs/>
          <w:sz w:val="22"/>
          <w:szCs w:val="22"/>
        </w:rPr>
        <w:t>nes Xerdoxo poveikis gali susilpnėti. Gydytojas nuspręs, ar skirti Jums šio vaisto ir ar Jus atidžiau stebėti.</w:t>
      </w:r>
    </w:p>
    <w:p w14:paraId="3F412983" w14:textId="77777777" w:rsidR="00823785" w:rsidRPr="00452D62" w:rsidRDefault="00823785" w:rsidP="00823785">
      <w:pPr>
        <w:rPr>
          <w:b/>
          <w:bCs/>
          <w:sz w:val="22"/>
          <w:szCs w:val="22"/>
        </w:rPr>
      </w:pPr>
    </w:p>
    <w:p w14:paraId="41E24B73" w14:textId="77777777" w:rsidR="00823785" w:rsidRPr="00452D62" w:rsidRDefault="00823785" w:rsidP="00823785">
      <w:pPr>
        <w:rPr>
          <w:sz w:val="22"/>
          <w:szCs w:val="22"/>
        </w:rPr>
      </w:pPr>
      <w:r w:rsidRPr="00452D62">
        <w:rPr>
          <w:b/>
          <w:bCs/>
          <w:sz w:val="22"/>
          <w:szCs w:val="22"/>
        </w:rPr>
        <w:t>Nėštumas, žindymo laikotarpis ir vaisingumas</w:t>
      </w:r>
    </w:p>
    <w:p w14:paraId="217551D9" w14:textId="77777777" w:rsidR="00823785" w:rsidRPr="00452D62" w:rsidRDefault="00823785" w:rsidP="00823785">
      <w:pPr>
        <w:rPr>
          <w:sz w:val="22"/>
          <w:szCs w:val="22"/>
        </w:rPr>
      </w:pPr>
      <w:r w:rsidRPr="00452D62">
        <w:rPr>
          <w:sz w:val="22"/>
          <w:szCs w:val="22"/>
        </w:rPr>
        <w:t>Jeigu esate nėščia, žindote kūdikį, manote, kad galbūt esate nėščia, arba planuojate pastoti, tai prieš vartodama šį vaistą, pasitarkite su gydytoju arba vaistininku.</w:t>
      </w:r>
    </w:p>
    <w:p w14:paraId="2CD1A7DB" w14:textId="77777777" w:rsidR="00823785" w:rsidRPr="00452D62" w:rsidRDefault="00823785" w:rsidP="00823785">
      <w:pPr>
        <w:rPr>
          <w:sz w:val="22"/>
          <w:szCs w:val="22"/>
        </w:rPr>
      </w:pPr>
    </w:p>
    <w:p w14:paraId="022154FA" w14:textId="3CA73054" w:rsidR="00823785" w:rsidRPr="00452D62" w:rsidRDefault="00823785" w:rsidP="00823785">
      <w:pPr>
        <w:rPr>
          <w:b/>
          <w:bCs/>
          <w:sz w:val="22"/>
          <w:szCs w:val="22"/>
        </w:rPr>
      </w:pPr>
      <w:r w:rsidRPr="00452D62">
        <w:rPr>
          <w:sz w:val="22"/>
          <w:szCs w:val="22"/>
        </w:rPr>
        <w:t>Jei esate nėščia arba maitinate krūtimi, Xerdoxo vartoti draudžiama. Jei yra galimybė pastoti, Xerdoxo vartojimo laikotarpiu naudokite patikimą kontracepcijos metodą. Jei vartodama šio vaisto pastojote, nedelsdama apie tai pasakykite gydytojui, kuris nuspręs, kaip turėsite būti gydoma.</w:t>
      </w:r>
    </w:p>
    <w:p w14:paraId="53C5BB2F" w14:textId="77777777" w:rsidR="00823785" w:rsidRPr="00452D62" w:rsidRDefault="00823785" w:rsidP="00823785">
      <w:pPr>
        <w:rPr>
          <w:b/>
          <w:bCs/>
          <w:sz w:val="22"/>
          <w:szCs w:val="22"/>
        </w:rPr>
      </w:pPr>
    </w:p>
    <w:p w14:paraId="63AAD50A" w14:textId="77777777" w:rsidR="00823785" w:rsidRPr="00452D62" w:rsidRDefault="00823785" w:rsidP="00823785">
      <w:pPr>
        <w:rPr>
          <w:sz w:val="22"/>
          <w:szCs w:val="22"/>
        </w:rPr>
      </w:pPr>
      <w:r w:rsidRPr="00452D62">
        <w:rPr>
          <w:b/>
          <w:bCs/>
          <w:sz w:val="22"/>
          <w:szCs w:val="22"/>
        </w:rPr>
        <w:t>Vairavimas ir mechanizmų valdymas</w:t>
      </w:r>
    </w:p>
    <w:p w14:paraId="2BBBBEBF" w14:textId="77777777" w:rsidR="00823785" w:rsidRPr="00452D62" w:rsidRDefault="00823785" w:rsidP="00823785">
      <w:pPr>
        <w:rPr>
          <w:b/>
          <w:bCs/>
          <w:sz w:val="22"/>
          <w:szCs w:val="22"/>
        </w:rPr>
      </w:pPr>
      <w:r w:rsidRPr="00452D62">
        <w:rPr>
          <w:sz w:val="22"/>
          <w:szCs w:val="22"/>
        </w:rPr>
        <w:t>Vartojant Xerdoxo gali pasireikšti svaigulys (dažnas šalutinis poveikis) arba apalpimas (nedažnas šalutinis poveikis) (žr. 4 skyrių „Galimas šalutinis poveikis“). Jeigu atsiranda tokių simptomų, vairuoti, važiuoti dviračiu arba naudoti bet kokių įrankių ar valdyti mechanizmų negalima.</w:t>
      </w:r>
    </w:p>
    <w:p w14:paraId="5C915E42" w14:textId="77777777" w:rsidR="00823785" w:rsidRPr="00452D62" w:rsidRDefault="00823785" w:rsidP="00823785">
      <w:pPr>
        <w:rPr>
          <w:b/>
          <w:bCs/>
          <w:sz w:val="22"/>
          <w:szCs w:val="22"/>
        </w:rPr>
      </w:pPr>
    </w:p>
    <w:p w14:paraId="4FD9DEA5" w14:textId="77777777" w:rsidR="00823785" w:rsidRPr="00452D62" w:rsidRDefault="00823785" w:rsidP="00823785">
      <w:pPr>
        <w:rPr>
          <w:sz w:val="22"/>
          <w:szCs w:val="22"/>
        </w:rPr>
      </w:pPr>
      <w:r w:rsidRPr="00452D62">
        <w:rPr>
          <w:b/>
          <w:bCs/>
          <w:sz w:val="22"/>
          <w:szCs w:val="22"/>
        </w:rPr>
        <w:t>Xerdoxo sudėtyje yra natrio</w:t>
      </w:r>
    </w:p>
    <w:p w14:paraId="743F4385" w14:textId="77777777" w:rsidR="00823785" w:rsidRPr="00452D62" w:rsidRDefault="00823785" w:rsidP="00823785">
      <w:pPr>
        <w:tabs>
          <w:tab w:val="clear" w:pos="567"/>
        </w:tabs>
        <w:spacing w:line="100" w:lineRule="atLeast"/>
        <w:ind w:right="-2"/>
        <w:rPr>
          <w:sz w:val="22"/>
          <w:szCs w:val="22"/>
        </w:rPr>
      </w:pPr>
      <w:r w:rsidRPr="00452D62">
        <w:rPr>
          <w:sz w:val="22"/>
          <w:szCs w:val="22"/>
        </w:rPr>
        <w:t>Šio vaisto vienoje tabletėje yra mažiau kaip 1 mmol (23 mg) natrio, t. y. jis beveik neturi reikšmės.</w:t>
      </w:r>
    </w:p>
    <w:p w14:paraId="3A0E2E84" w14:textId="77777777" w:rsidR="00823785" w:rsidRPr="00452D62" w:rsidRDefault="00823785" w:rsidP="00823785">
      <w:pPr>
        <w:tabs>
          <w:tab w:val="clear" w:pos="567"/>
        </w:tabs>
        <w:spacing w:line="100" w:lineRule="atLeast"/>
        <w:ind w:right="-2"/>
        <w:rPr>
          <w:sz w:val="22"/>
          <w:szCs w:val="22"/>
        </w:rPr>
      </w:pPr>
    </w:p>
    <w:p w14:paraId="4D1B58B1" w14:textId="77777777" w:rsidR="00823785" w:rsidRPr="00452D62" w:rsidRDefault="00823785" w:rsidP="00823785">
      <w:pPr>
        <w:tabs>
          <w:tab w:val="clear" w:pos="567"/>
        </w:tabs>
        <w:spacing w:line="100" w:lineRule="atLeast"/>
        <w:ind w:right="-2"/>
        <w:rPr>
          <w:sz w:val="22"/>
          <w:szCs w:val="22"/>
        </w:rPr>
      </w:pPr>
    </w:p>
    <w:p w14:paraId="2D2656DE" w14:textId="77777777" w:rsidR="00823785" w:rsidRPr="00452D62" w:rsidRDefault="00823785" w:rsidP="00823785">
      <w:pPr>
        <w:widowControl w:val="0"/>
        <w:tabs>
          <w:tab w:val="clear" w:pos="567"/>
        </w:tabs>
        <w:suppressAutoHyphens w:val="0"/>
        <w:spacing w:line="240" w:lineRule="auto"/>
        <w:ind w:left="567" w:hanging="567"/>
        <w:outlineLvl w:val="0"/>
        <w:rPr>
          <w:b/>
          <w:color w:val="auto"/>
          <w:sz w:val="22"/>
          <w:szCs w:val="22"/>
          <w:lang w:eastAsia="en-US"/>
        </w:rPr>
      </w:pPr>
      <w:r w:rsidRPr="00452D62">
        <w:rPr>
          <w:b/>
          <w:color w:val="auto"/>
          <w:sz w:val="22"/>
          <w:szCs w:val="22"/>
          <w:lang w:eastAsia="en-US"/>
        </w:rPr>
        <w:t>3.</w:t>
      </w:r>
      <w:r w:rsidRPr="00452D62">
        <w:rPr>
          <w:b/>
          <w:color w:val="auto"/>
          <w:sz w:val="22"/>
          <w:szCs w:val="22"/>
          <w:lang w:eastAsia="en-US"/>
        </w:rPr>
        <w:tab/>
        <w:t>Kaip vartoti Xerdoxo</w:t>
      </w:r>
    </w:p>
    <w:p w14:paraId="32DF50F3" w14:textId="77777777" w:rsidR="00823785" w:rsidRPr="00452D62" w:rsidRDefault="00823785" w:rsidP="00823785">
      <w:pPr>
        <w:tabs>
          <w:tab w:val="clear" w:pos="567"/>
        </w:tabs>
        <w:spacing w:line="100" w:lineRule="atLeast"/>
        <w:ind w:right="-2"/>
        <w:rPr>
          <w:sz w:val="22"/>
          <w:szCs w:val="22"/>
        </w:rPr>
      </w:pPr>
    </w:p>
    <w:p w14:paraId="3C314D00" w14:textId="77777777" w:rsidR="00823785" w:rsidRPr="00452D62" w:rsidRDefault="00823785" w:rsidP="00823785">
      <w:pPr>
        <w:tabs>
          <w:tab w:val="clear" w:pos="567"/>
        </w:tabs>
        <w:spacing w:line="100" w:lineRule="atLeast"/>
        <w:ind w:right="-2"/>
        <w:rPr>
          <w:sz w:val="22"/>
          <w:szCs w:val="22"/>
        </w:rPr>
      </w:pPr>
      <w:r w:rsidRPr="00452D62">
        <w:rPr>
          <w:sz w:val="22"/>
          <w:szCs w:val="22"/>
        </w:rPr>
        <w:t>Visada vartokite šį vaistą tiksliai kaip nurodė gydytojas. Jeigu abejojate, kreipkitės į gydytoją arba vaistininką.</w:t>
      </w:r>
    </w:p>
    <w:p w14:paraId="4A63C0DB" w14:textId="77777777" w:rsidR="00823785" w:rsidRPr="00452D62" w:rsidRDefault="00823785" w:rsidP="00823785">
      <w:pPr>
        <w:tabs>
          <w:tab w:val="clear" w:pos="567"/>
        </w:tabs>
        <w:spacing w:line="100" w:lineRule="atLeast"/>
        <w:ind w:right="-2"/>
        <w:rPr>
          <w:sz w:val="22"/>
          <w:szCs w:val="22"/>
        </w:rPr>
      </w:pPr>
    </w:p>
    <w:p w14:paraId="6FEA72D0" w14:textId="77777777" w:rsidR="00823785" w:rsidRPr="00452D62" w:rsidRDefault="00823785" w:rsidP="00823785">
      <w:pPr>
        <w:rPr>
          <w:sz w:val="22"/>
          <w:szCs w:val="22"/>
        </w:rPr>
      </w:pPr>
      <w:r w:rsidRPr="00452D62">
        <w:rPr>
          <w:b/>
          <w:bCs/>
          <w:sz w:val="22"/>
          <w:szCs w:val="22"/>
        </w:rPr>
        <w:t>Kiek vartoti</w:t>
      </w:r>
    </w:p>
    <w:p w14:paraId="10438CED" w14:textId="77777777" w:rsidR="00823785" w:rsidRPr="00452D62" w:rsidRDefault="00823785" w:rsidP="00823785">
      <w:pPr>
        <w:rPr>
          <w:sz w:val="22"/>
          <w:szCs w:val="22"/>
        </w:rPr>
      </w:pPr>
      <w:r w:rsidRPr="00452D62">
        <w:rPr>
          <w:sz w:val="22"/>
          <w:szCs w:val="22"/>
        </w:rPr>
        <w:t>Rekomenduojama dozė yra viena 2,5 mg tabletė du kartus per parą. Xerdoxo vartokite kasdien maždaug tuo pačiu metu (pvz., vieną tabletę ryte ir vieną tabletę vakare). Šį vaistą galima vartoti valgio metu arba nevalgius.</w:t>
      </w:r>
    </w:p>
    <w:p w14:paraId="0A822137" w14:textId="77777777" w:rsidR="00823785" w:rsidRPr="00452D62" w:rsidRDefault="00823785" w:rsidP="00823785">
      <w:pPr>
        <w:rPr>
          <w:sz w:val="22"/>
          <w:szCs w:val="22"/>
        </w:rPr>
      </w:pPr>
    </w:p>
    <w:p w14:paraId="3D40E88A" w14:textId="77777777" w:rsidR="00823785" w:rsidRPr="00452D62" w:rsidRDefault="00823785" w:rsidP="00823785">
      <w:pPr>
        <w:rPr>
          <w:sz w:val="22"/>
          <w:szCs w:val="22"/>
        </w:rPr>
      </w:pPr>
      <w:r w:rsidRPr="00452D62">
        <w:rPr>
          <w:sz w:val="22"/>
          <w:szCs w:val="22"/>
        </w:rPr>
        <w:t>Jeigu sunku nuryti visą tabletę, pasikalbėkite su gydytoju apie kitus Xerdoxo vartojimo būdus. Prieš pat vartojimą tabletę galima susmulkinti ir sumaišyti su vandeniu arba obuolių tyre.</w:t>
      </w:r>
    </w:p>
    <w:p w14:paraId="7E25BA64" w14:textId="77777777" w:rsidR="00823785" w:rsidRPr="00452D62" w:rsidRDefault="00823785" w:rsidP="00823785">
      <w:pPr>
        <w:rPr>
          <w:sz w:val="22"/>
          <w:szCs w:val="22"/>
        </w:rPr>
      </w:pPr>
      <w:r w:rsidRPr="00452D62">
        <w:rPr>
          <w:sz w:val="22"/>
          <w:szCs w:val="22"/>
        </w:rPr>
        <w:t>Jeigu būtina, gydytojas gali Jums paskirti vartoti susmulkintą Xerdoxo tabletę ir per skrandžio vamzdelį.</w:t>
      </w:r>
    </w:p>
    <w:p w14:paraId="086C7A61" w14:textId="77777777" w:rsidR="00823785" w:rsidRPr="00452D62" w:rsidRDefault="00823785" w:rsidP="00823785">
      <w:pPr>
        <w:rPr>
          <w:sz w:val="22"/>
          <w:szCs w:val="22"/>
        </w:rPr>
      </w:pPr>
    </w:p>
    <w:p w14:paraId="449F8C04" w14:textId="77777777" w:rsidR="00823785" w:rsidRPr="00452D62" w:rsidRDefault="00823785" w:rsidP="00823785">
      <w:pPr>
        <w:rPr>
          <w:sz w:val="22"/>
          <w:szCs w:val="22"/>
        </w:rPr>
      </w:pPr>
      <w:r w:rsidRPr="00452D62">
        <w:rPr>
          <w:sz w:val="22"/>
          <w:szCs w:val="22"/>
        </w:rPr>
        <w:t>Jums nebus paskirta vien tik Xerdoxo.</w:t>
      </w:r>
    </w:p>
    <w:p w14:paraId="37CB58CF" w14:textId="77777777" w:rsidR="00823785" w:rsidRPr="00452D62" w:rsidRDefault="00823785" w:rsidP="00823785">
      <w:pPr>
        <w:rPr>
          <w:sz w:val="22"/>
          <w:szCs w:val="22"/>
        </w:rPr>
      </w:pPr>
      <w:r w:rsidRPr="00452D62">
        <w:rPr>
          <w:sz w:val="22"/>
          <w:szCs w:val="22"/>
        </w:rPr>
        <w:t>Gydytojas Jums pasakys, kad vartotumėte ir acetilsalicilo rūgšties. Jeigu Xerdoxo Jums skiriamas po ūminio koronarinio sindromo, gydytojas gali nurodyti vartoti ir klopidogrelio arba tiklopidino.</w:t>
      </w:r>
    </w:p>
    <w:p w14:paraId="0F1AD17F" w14:textId="77777777" w:rsidR="00823785" w:rsidRPr="00452D62" w:rsidRDefault="00823785" w:rsidP="00823785">
      <w:pPr>
        <w:rPr>
          <w:sz w:val="22"/>
          <w:szCs w:val="22"/>
        </w:rPr>
      </w:pPr>
      <w:r w:rsidRPr="00452D62">
        <w:rPr>
          <w:sz w:val="22"/>
          <w:szCs w:val="22"/>
        </w:rPr>
        <w:t>Jeigu Xerdoxo Jums skiriamas po procedūros, kai reikia atverti susiaurėjusią arba užsikimšusią kojos arteriją kraujotakai atkurti, gydytojas gali Jums išrašyti ir klopidogrelį, kurį trumpai reikės vartoti kartu su acetilsalicilo rūgštimi.</w:t>
      </w:r>
    </w:p>
    <w:p w14:paraId="12E3B5E1" w14:textId="77777777" w:rsidR="00823785" w:rsidRPr="00452D62" w:rsidRDefault="00823785" w:rsidP="00823785">
      <w:pPr>
        <w:rPr>
          <w:sz w:val="22"/>
          <w:szCs w:val="22"/>
        </w:rPr>
      </w:pPr>
    </w:p>
    <w:p w14:paraId="5AE20FCA" w14:textId="74F5D9AF" w:rsidR="00823785" w:rsidRPr="00452D62" w:rsidRDefault="00823785" w:rsidP="00823785">
      <w:pPr>
        <w:rPr>
          <w:b/>
          <w:bCs/>
          <w:sz w:val="22"/>
          <w:szCs w:val="22"/>
        </w:rPr>
      </w:pPr>
      <w:r w:rsidRPr="00452D62">
        <w:rPr>
          <w:sz w:val="22"/>
          <w:szCs w:val="22"/>
        </w:rPr>
        <w:t>Gydytojas pasakys, kokią šių vaistų dozę vartoti (paprastai per parą reikia vartoti 75-100 mg acetilsalicilo rūgšties arba 75-100 mg acetilsalicilo rūgšties kartu su 75 mg klopidogrelio arba standartine tiklopidino paros doze).</w:t>
      </w:r>
    </w:p>
    <w:p w14:paraId="2D84A28F" w14:textId="77777777" w:rsidR="00823785" w:rsidRPr="00452D62" w:rsidRDefault="00823785" w:rsidP="00823785">
      <w:pPr>
        <w:rPr>
          <w:sz w:val="22"/>
          <w:szCs w:val="22"/>
        </w:rPr>
      </w:pPr>
      <w:r w:rsidRPr="00452D62">
        <w:rPr>
          <w:b/>
          <w:bCs/>
          <w:sz w:val="22"/>
          <w:szCs w:val="22"/>
        </w:rPr>
        <w:t>Kada pradėti vartoti Xerdoxo</w:t>
      </w:r>
    </w:p>
    <w:p w14:paraId="545D0A2F" w14:textId="77777777" w:rsidR="00823785" w:rsidRPr="00452D62" w:rsidRDefault="00823785" w:rsidP="00823785">
      <w:pPr>
        <w:rPr>
          <w:sz w:val="22"/>
          <w:szCs w:val="22"/>
        </w:rPr>
      </w:pPr>
      <w:r w:rsidRPr="00452D62">
        <w:rPr>
          <w:sz w:val="22"/>
          <w:szCs w:val="22"/>
        </w:rPr>
        <w:t>Po ūminio koronarinio sindromo gydymą Xerdoxo reikia pradėti kuo anksčiau, stabilizavus ūminį koronarinį sindromą: per pirmąsias 24 valandas Jus paguldžius į ligoninę ir kai įprastai nutraukiamas parenteralinis (skiriamas injekcijomis) nuo krešulių apsaugantis gydymas.</w:t>
      </w:r>
    </w:p>
    <w:p w14:paraId="105C9CCC" w14:textId="77777777" w:rsidR="00823785" w:rsidRPr="00452D62" w:rsidRDefault="00823785" w:rsidP="00823785">
      <w:pPr>
        <w:rPr>
          <w:sz w:val="22"/>
          <w:szCs w:val="22"/>
        </w:rPr>
      </w:pPr>
      <w:r w:rsidRPr="00452D62">
        <w:rPr>
          <w:sz w:val="22"/>
          <w:szCs w:val="22"/>
        </w:rPr>
        <w:t>Jeigu Jums diagnozuota vainikinių arterijų liga arba periferinių arterijų liga, gydytojas Jums nurodys, kada pradėti gydymą Xerdoxo.</w:t>
      </w:r>
    </w:p>
    <w:p w14:paraId="4BF7EAEB" w14:textId="77777777" w:rsidR="00823785" w:rsidRPr="00452D62" w:rsidRDefault="00823785" w:rsidP="00823785">
      <w:pPr>
        <w:rPr>
          <w:sz w:val="22"/>
          <w:szCs w:val="22"/>
        </w:rPr>
      </w:pPr>
      <w:r w:rsidRPr="00452D62">
        <w:rPr>
          <w:sz w:val="22"/>
          <w:szCs w:val="22"/>
        </w:rPr>
        <w:t>Jūsų gydytojas nuspręs, kiek laiko reikės tęsti gydymą.</w:t>
      </w:r>
    </w:p>
    <w:p w14:paraId="00FC04AE" w14:textId="77777777" w:rsidR="00823785" w:rsidRPr="00452D62" w:rsidRDefault="00823785" w:rsidP="00823785">
      <w:pPr>
        <w:rPr>
          <w:b/>
          <w:bCs/>
          <w:sz w:val="22"/>
          <w:szCs w:val="22"/>
        </w:rPr>
      </w:pPr>
    </w:p>
    <w:p w14:paraId="5F4C2960" w14:textId="16AD003E" w:rsidR="00823785" w:rsidRPr="00452D62" w:rsidRDefault="00823785" w:rsidP="00823785">
      <w:pPr>
        <w:rPr>
          <w:sz w:val="22"/>
          <w:szCs w:val="22"/>
        </w:rPr>
      </w:pPr>
      <w:r w:rsidRPr="00452D62">
        <w:rPr>
          <w:b/>
          <w:bCs/>
          <w:sz w:val="22"/>
          <w:szCs w:val="22"/>
        </w:rPr>
        <w:t>Ką daryti pavartojus per didelę Xerdoxo dozę</w:t>
      </w:r>
    </w:p>
    <w:p w14:paraId="07DC417D" w14:textId="77777777" w:rsidR="00823785" w:rsidRPr="00452D62" w:rsidRDefault="00823785" w:rsidP="00823785">
      <w:pPr>
        <w:rPr>
          <w:b/>
          <w:bCs/>
          <w:sz w:val="22"/>
          <w:szCs w:val="22"/>
        </w:rPr>
      </w:pPr>
      <w:r w:rsidRPr="00452D62">
        <w:rPr>
          <w:sz w:val="22"/>
          <w:szCs w:val="22"/>
        </w:rPr>
        <w:t>Nedelsdami kreipkitės į gydytoją, jei išgėrėte per daug Xerdoxo tablečių. Pavartojus per daug Xerdoxo, didėja kraujavimo rizika.</w:t>
      </w:r>
    </w:p>
    <w:p w14:paraId="27C90FC9" w14:textId="77777777" w:rsidR="00823785" w:rsidRPr="00452D62" w:rsidRDefault="00823785" w:rsidP="00823785">
      <w:pPr>
        <w:rPr>
          <w:b/>
          <w:bCs/>
          <w:sz w:val="22"/>
          <w:szCs w:val="22"/>
        </w:rPr>
      </w:pPr>
    </w:p>
    <w:p w14:paraId="676F4E69" w14:textId="77777777" w:rsidR="00823785" w:rsidRPr="00452D62" w:rsidRDefault="00823785" w:rsidP="00823785">
      <w:pPr>
        <w:rPr>
          <w:sz w:val="22"/>
          <w:szCs w:val="22"/>
        </w:rPr>
      </w:pPr>
      <w:r w:rsidRPr="00452D62">
        <w:rPr>
          <w:b/>
          <w:bCs/>
          <w:sz w:val="22"/>
          <w:szCs w:val="22"/>
        </w:rPr>
        <w:t>Pamiršus pavartoti Xerdoxo</w:t>
      </w:r>
    </w:p>
    <w:p w14:paraId="341FFB6B" w14:textId="77777777" w:rsidR="00823785" w:rsidRPr="00452D62" w:rsidRDefault="00823785" w:rsidP="00823785">
      <w:pPr>
        <w:rPr>
          <w:sz w:val="22"/>
          <w:szCs w:val="22"/>
        </w:rPr>
      </w:pPr>
      <w:r w:rsidRPr="00452D62">
        <w:rPr>
          <w:sz w:val="22"/>
          <w:szCs w:val="22"/>
        </w:rPr>
        <w:t>Negalima vartoti dvigubos dozės norint kompensuoti praleistą dozę. Jeigu praleidote dozę, kitą dozę vartokite įprastu metu.</w:t>
      </w:r>
    </w:p>
    <w:p w14:paraId="49FD1994" w14:textId="77777777" w:rsidR="00823785" w:rsidRPr="00452D62" w:rsidRDefault="00823785" w:rsidP="00823785">
      <w:pPr>
        <w:tabs>
          <w:tab w:val="clear" w:pos="567"/>
        </w:tabs>
        <w:spacing w:line="100" w:lineRule="atLeast"/>
        <w:ind w:right="-2"/>
        <w:rPr>
          <w:sz w:val="22"/>
          <w:szCs w:val="22"/>
        </w:rPr>
      </w:pPr>
    </w:p>
    <w:p w14:paraId="0DCB1737" w14:textId="77777777" w:rsidR="00823785" w:rsidRPr="00452D62" w:rsidRDefault="00823785" w:rsidP="00823785">
      <w:pPr>
        <w:tabs>
          <w:tab w:val="clear" w:pos="567"/>
        </w:tabs>
        <w:spacing w:line="100" w:lineRule="atLeast"/>
        <w:ind w:right="-2"/>
        <w:rPr>
          <w:sz w:val="22"/>
          <w:szCs w:val="22"/>
        </w:rPr>
      </w:pPr>
      <w:r w:rsidRPr="00452D62">
        <w:rPr>
          <w:b/>
          <w:sz w:val="22"/>
          <w:szCs w:val="22"/>
        </w:rPr>
        <w:t>Nustojus vartoti Xerdoxo</w:t>
      </w:r>
    </w:p>
    <w:p w14:paraId="4346414B" w14:textId="77777777" w:rsidR="00823785" w:rsidRPr="00452D62" w:rsidRDefault="00823785" w:rsidP="00823785">
      <w:pPr>
        <w:tabs>
          <w:tab w:val="clear" w:pos="567"/>
        </w:tabs>
        <w:spacing w:line="100" w:lineRule="atLeast"/>
        <w:ind w:right="-2"/>
        <w:rPr>
          <w:sz w:val="22"/>
          <w:szCs w:val="22"/>
        </w:rPr>
      </w:pPr>
      <w:r w:rsidRPr="00452D62">
        <w:rPr>
          <w:sz w:val="22"/>
          <w:szCs w:val="22"/>
        </w:rPr>
        <w:t>Xerdoxo vartokite nuolat ir tiek laiko, kiek Jums paskyrė gydytojas.</w:t>
      </w:r>
    </w:p>
    <w:p w14:paraId="7943A971" w14:textId="77777777" w:rsidR="00823785" w:rsidRPr="00452D62" w:rsidRDefault="00823785" w:rsidP="00823785">
      <w:pPr>
        <w:tabs>
          <w:tab w:val="clear" w:pos="567"/>
        </w:tabs>
        <w:spacing w:line="100" w:lineRule="atLeast"/>
        <w:ind w:right="-2"/>
        <w:rPr>
          <w:sz w:val="22"/>
          <w:szCs w:val="22"/>
        </w:rPr>
      </w:pPr>
    </w:p>
    <w:p w14:paraId="33C85408" w14:textId="77777777" w:rsidR="00823785" w:rsidRPr="00452D62" w:rsidRDefault="00823785" w:rsidP="00823785">
      <w:pPr>
        <w:tabs>
          <w:tab w:val="clear" w:pos="567"/>
        </w:tabs>
        <w:spacing w:line="100" w:lineRule="atLeast"/>
        <w:ind w:right="-2"/>
        <w:rPr>
          <w:sz w:val="22"/>
          <w:szCs w:val="22"/>
        </w:rPr>
      </w:pPr>
      <w:r w:rsidRPr="00452D62">
        <w:rPr>
          <w:sz w:val="22"/>
          <w:szCs w:val="22"/>
        </w:rPr>
        <w:t>Nenutraukite Xerdoxo vartojimo prieš tai nepasitarę su gydytoju. Jeigu nustosite vartoti šį vaistą, gali padidėti kito miokardo infarkto, insulto arba mirties nuo širdies ar kraujagyslių sutrikimo rizika.</w:t>
      </w:r>
    </w:p>
    <w:p w14:paraId="274C73AD" w14:textId="77777777" w:rsidR="00823785" w:rsidRPr="00452D62" w:rsidRDefault="00823785" w:rsidP="00823785">
      <w:pPr>
        <w:tabs>
          <w:tab w:val="clear" w:pos="567"/>
        </w:tabs>
        <w:spacing w:line="100" w:lineRule="atLeast"/>
        <w:ind w:right="-2"/>
        <w:rPr>
          <w:sz w:val="22"/>
          <w:szCs w:val="22"/>
        </w:rPr>
      </w:pPr>
    </w:p>
    <w:p w14:paraId="3AFE733D" w14:textId="77777777" w:rsidR="00823785" w:rsidRPr="00452D62" w:rsidRDefault="00823785" w:rsidP="00823785">
      <w:pPr>
        <w:tabs>
          <w:tab w:val="clear" w:pos="567"/>
        </w:tabs>
        <w:spacing w:line="100" w:lineRule="atLeast"/>
        <w:ind w:right="-29"/>
        <w:rPr>
          <w:sz w:val="22"/>
          <w:szCs w:val="22"/>
        </w:rPr>
      </w:pPr>
      <w:r w:rsidRPr="00452D62">
        <w:rPr>
          <w:sz w:val="22"/>
          <w:szCs w:val="22"/>
        </w:rPr>
        <w:t>Jeigu kiltų daugiau klausimų dėl šio vaisto vartojimo, kreipkitės į gydytoją arba vaistininką.</w:t>
      </w:r>
    </w:p>
    <w:p w14:paraId="4E97B843" w14:textId="77777777" w:rsidR="00823785" w:rsidRPr="00452D62" w:rsidRDefault="00823785" w:rsidP="00823785">
      <w:pPr>
        <w:tabs>
          <w:tab w:val="clear" w:pos="567"/>
        </w:tabs>
        <w:spacing w:line="100" w:lineRule="atLeast"/>
        <w:rPr>
          <w:sz w:val="22"/>
          <w:szCs w:val="22"/>
        </w:rPr>
      </w:pPr>
    </w:p>
    <w:p w14:paraId="2D84B8A9" w14:textId="77777777" w:rsidR="00823785" w:rsidRPr="00452D62" w:rsidRDefault="00823785" w:rsidP="00823785">
      <w:pPr>
        <w:tabs>
          <w:tab w:val="clear" w:pos="567"/>
        </w:tabs>
        <w:spacing w:line="100" w:lineRule="atLeast"/>
        <w:rPr>
          <w:sz w:val="22"/>
          <w:szCs w:val="22"/>
        </w:rPr>
      </w:pPr>
    </w:p>
    <w:p w14:paraId="57ACE876" w14:textId="77777777" w:rsidR="00823785" w:rsidRPr="00452D62" w:rsidRDefault="00823785" w:rsidP="00823785">
      <w:pPr>
        <w:widowControl w:val="0"/>
        <w:tabs>
          <w:tab w:val="clear" w:pos="567"/>
        </w:tabs>
        <w:suppressAutoHyphens w:val="0"/>
        <w:spacing w:line="240" w:lineRule="auto"/>
        <w:ind w:left="567" w:hanging="567"/>
        <w:outlineLvl w:val="0"/>
        <w:rPr>
          <w:b/>
          <w:color w:val="auto"/>
          <w:sz w:val="22"/>
          <w:szCs w:val="22"/>
          <w:lang w:eastAsia="en-US"/>
        </w:rPr>
      </w:pPr>
      <w:r w:rsidRPr="00452D62">
        <w:rPr>
          <w:b/>
          <w:color w:val="auto"/>
          <w:sz w:val="22"/>
          <w:szCs w:val="22"/>
          <w:lang w:eastAsia="en-US"/>
        </w:rPr>
        <w:t>4.</w:t>
      </w:r>
      <w:r w:rsidRPr="00452D62">
        <w:rPr>
          <w:b/>
          <w:color w:val="auto"/>
          <w:sz w:val="22"/>
          <w:szCs w:val="22"/>
          <w:lang w:eastAsia="en-US"/>
        </w:rPr>
        <w:tab/>
        <w:t>Galimas šalutinis poveikis</w:t>
      </w:r>
    </w:p>
    <w:p w14:paraId="1F5ED222" w14:textId="77777777" w:rsidR="00823785" w:rsidRPr="00452D62" w:rsidRDefault="00823785" w:rsidP="00823785">
      <w:pPr>
        <w:tabs>
          <w:tab w:val="clear" w:pos="567"/>
        </w:tabs>
        <w:spacing w:line="100" w:lineRule="atLeast"/>
        <w:rPr>
          <w:sz w:val="22"/>
          <w:szCs w:val="22"/>
        </w:rPr>
      </w:pPr>
    </w:p>
    <w:p w14:paraId="13B01EF9" w14:textId="77777777" w:rsidR="00823785" w:rsidRPr="00452D62" w:rsidRDefault="00823785" w:rsidP="00823785">
      <w:pPr>
        <w:tabs>
          <w:tab w:val="clear" w:pos="567"/>
        </w:tabs>
        <w:spacing w:line="100" w:lineRule="atLeast"/>
        <w:ind w:right="-29"/>
        <w:rPr>
          <w:sz w:val="22"/>
          <w:szCs w:val="22"/>
        </w:rPr>
      </w:pPr>
      <w:r w:rsidRPr="00452D62">
        <w:rPr>
          <w:sz w:val="22"/>
          <w:szCs w:val="22"/>
        </w:rPr>
        <w:t>Šis vaistas, kaip ir visi kiti, gali sukelti šalutinį poveikį, nors jis pasireiškia ne visiems žmonėms.</w:t>
      </w:r>
    </w:p>
    <w:p w14:paraId="66A0E7E8" w14:textId="77777777" w:rsidR="00823785" w:rsidRPr="00452D62" w:rsidRDefault="00823785" w:rsidP="00823785">
      <w:pPr>
        <w:ind w:right="-29"/>
        <w:rPr>
          <w:sz w:val="22"/>
          <w:szCs w:val="22"/>
        </w:rPr>
      </w:pPr>
    </w:p>
    <w:p w14:paraId="45EDAAFD" w14:textId="05EF1322" w:rsidR="00823785" w:rsidRPr="00452D62" w:rsidRDefault="00823785" w:rsidP="00823785">
      <w:pPr>
        <w:rPr>
          <w:b/>
          <w:bCs/>
          <w:sz w:val="22"/>
          <w:szCs w:val="22"/>
        </w:rPr>
      </w:pPr>
      <w:r w:rsidRPr="00452D62">
        <w:rPr>
          <w:sz w:val="22"/>
          <w:szCs w:val="22"/>
        </w:rPr>
        <w:t>Kaip ir kiti panašūs vaistai, mažinantys kraujo krešulių susidarymą, Xerdoxo gali sukelti kraujavimą, kuris gali būti pavojingas gyvybei. Per didelis kraujavimas gali sukelti staigų kraujospūdžio sumažėjimą (šoką). Kai kuriais atvejais kraujavimas gali nebūti akivaizdus.</w:t>
      </w:r>
    </w:p>
    <w:p w14:paraId="49C5817A" w14:textId="77777777" w:rsidR="00823785" w:rsidRPr="00452D62" w:rsidRDefault="00823785" w:rsidP="00823785">
      <w:pPr>
        <w:rPr>
          <w:b/>
          <w:bCs/>
          <w:sz w:val="22"/>
          <w:szCs w:val="22"/>
        </w:rPr>
      </w:pPr>
    </w:p>
    <w:p w14:paraId="39050FCB" w14:textId="77777777" w:rsidR="00823785" w:rsidRPr="00452D62" w:rsidRDefault="00823785" w:rsidP="00823785">
      <w:pPr>
        <w:rPr>
          <w:b/>
          <w:bCs/>
          <w:sz w:val="22"/>
          <w:szCs w:val="22"/>
        </w:rPr>
      </w:pPr>
      <w:r w:rsidRPr="00452D62">
        <w:rPr>
          <w:b/>
          <w:bCs/>
          <w:sz w:val="22"/>
          <w:szCs w:val="22"/>
        </w:rPr>
        <w:t xml:space="preserve">Nedelsdami pasakykite savo gydytojui, </w:t>
      </w:r>
      <w:r w:rsidRPr="00452D62">
        <w:rPr>
          <w:bCs/>
          <w:sz w:val="22"/>
          <w:szCs w:val="22"/>
        </w:rPr>
        <w:t>jei pasireiškia bet kuris iš šių šalutinių poveikių:</w:t>
      </w:r>
    </w:p>
    <w:p w14:paraId="123BBCDC" w14:textId="77777777" w:rsidR="00823785" w:rsidRPr="00452D62" w:rsidRDefault="00823785" w:rsidP="00823785">
      <w:pPr>
        <w:rPr>
          <w:b/>
          <w:bCs/>
          <w:sz w:val="22"/>
          <w:szCs w:val="22"/>
        </w:rPr>
      </w:pPr>
    </w:p>
    <w:p w14:paraId="7196CC6A" w14:textId="42D08E5D" w:rsidR="00823785" w:rsidRPr="00452D62" w:rsidRDefault="00823785" w:rsidP="00823785">
      <w:pPr>
        <w:rPr>
          <w:sz w:val="22"/>
          <w:szCs w:val="22"/>
        </w:rPr>
      </w:pPr>
      <w:r w:rsidRPr="00452D62">
        <w:rPr>
          <w:b/>
          <w:bCs/>
          <w:sz w:val="22"/>
          <w:szCs w:val="22"/>
        </w:rPr>
        <w:t>Kraujavimo požymiai</w:t>
      </w:r>
    </w:p>
    <w:p w14:paraId="412CE216" w14:textId="77777777" w:rsidR="00823785" w:rsidRPr="00452D62" w:rsidRDefault="00823785" w:rsidP="00823785">
      <w:pPr>
        <w:numPr>
          <w:ilvl w:val="0"/>
          <w:numId w:val="7"/>
        </w:numPr>
        <w:ind w:left="567" w:hanging="567"/>
        <w:rPr>
          <w:sz w:val="22"/>
          <w:szCs w:val="22"/>
        </w:rPr>
      </w:pPr>
      <w:r w:rsidRPr="00452D62">
        <w:rPr>
          <w:sz w:val="22"/>
          <w:szCs w:val="22"/>
        </w:rPr>
        <w:t>kraujavimas į smegenis ar į kaukolės vidų (simptomams priskiriama galvos skausmas, silpnumas vienoje kūno pusėje, vėmimas, traukuliai, sumažėjęs sąmonės lygis ir sprando sąstingis. Tai sunki, neatidėliotina medicininė būklė. Nedelsdami kreipkitės medicinos pagalbos!);</w:t>
      </w:r>
    </w:p>
    <w:p w14:paraId="71EA4F44" w14:textId="77777777" w:rsidR="00823785" w:rsidRPr="00452D62" w:rsidRDefault="00823785" w:rsidP="00823785">
      <w:pPr>
        <w:numPr>
          <w:ilvl w:val="0"/>
          <w:numId w:val="7"/>
        </w:numPr>
        <w:ind w:left="567" w:hanging="567"/>
        <w:rPr>
          <w:sz w:val="22"/>
          <w:szCs w:val="22"/>
        </w:rPr>
      </w:pPr>
      <w:r w:rsidRPr="00452D62">
        <w:rPr>
          <w:sz w:val="22"/>
          <w:szCs w:val="22"/>
        </w:rPr>
        <w:t>ilgai trunkantis ar stiprus kraujavimas;</w:t>
      </w:r>
    </w:p>
    <w:p w14:paraId="44EFC569" w14:textId="55F25595" w:rsidR="00823785" w:rsidRPr="00452D62" w:rsidRDefault="00823785" w:rsidP="00823785">
      <w:pPr>
        <w:numPr>
          <w:ilvl w:val="0"/>
          <w:numId w:val="7"/>
        </w:numPr>
        <w:ind w:left="567" w:hanging="567"/>
        <w:rPr>
          <w:sz w:val="22"/>
          <w:szCs w:val="22"/>
        </w:rPr>
      </w:pPr>
      <w:r w:rsidRPr="00452D62">
        <w:rPr>
          <w:sz w:val="22"/>
          <w:szCs w:val="22"/>
        </w:rPr>
        <w:t>neįprastas silpnumas, nuovargis, blyškumas, svaigulys, galvos skausmas, nepaaiškinamas patinimas, dusulys, krūtinės skausmas arba krūtinės angina.</w:t>
      </w:r>
    </w:p>
    <w:p w14:paraId="3D752197" w14:textId="77777777" w:rsidR="00823785" w:rsidRPr="00452D62" w:rsidRDefault="00823785" w:rsidP="00823785">
      <w:pPr>
        <w:rPr>
          <w:b/>
          <w:bCs/>
          <w:sz w:val="22"/>
          <w:szCs w:val="22"/>
        </w:rPr>
      </w:pPr>
      <w:r w:rsidRPr="00452D62">
        <w:rPr>
          <w:sz w:val="22"/>
          <w:szCs w:val="22"/>
        </w:rPr>
        <w:t>Gydytojas gali nuspręsti Jus atidžiau stebėti arba pakeisti gydymą.</w:t>
      </w:r>
    </w:p>
    <w:p w14:paraId="51966C88" w14:textId="77777777" w:rsidR="00823785" w:rsidRPr="00452D62" w:rsidRDefault="00823785" w:rsidP="00823785">
      <w:pPr>
        <w:rPr>
          <w:b/>
          <w:bCs/>
          <w:sz w:val="22"/>
          <w:szCs w:val="22"/>
        </w:rPr>
      </w:pPr>
    </w:p>
    <w:p w14:paraId="14294FED" w14:textId="1CC1FEE4" w:rsidR="00823785" w:rsidRPr="00452D62" w:rsidRDefault="00823785" w:rsidP="00C815AC">
      <w:pPr>
        <w:rPr>
          <w:b/>
          <w:bCs/>
          <w:sz w:val="22"/>
          <w:szCs w:val="22"/>
        </w:rPr>
      </w:pPr>
      <w:r w:rsidRPr="00452D62">
        <w:rPr>
          <w:b/>
          <w:bCs/>
          <w:sz w:val="22"/>
          <w:szCs w:val="22"/>
        </w:rPr>
        <w:t>Sunkių odos reakcijų požymiai</w:t>
      </w:r>
    </w:p>
    <w:p w14:paraId="0FEBF3DE" w14:textId="25DB4F24" w:rsidR="00823785" w:rsidRPr="00452D62" w:rsidRDefault="00823785" w:rsidP="00823785">
      <w:pPr>
        <w:numPr>
          <w:ilvl w:val="0"/>
          <w:numId w:val="7"/>
        </w:numPr>
        <w:ind w:left="567" w:hanging="567"/>
        <w:rPr>
          <w:b/>
          <w:bCs/>
          <w:sz w:val="22"/>
          <w:szCs w:val="22"/>
        </w:rPr>
      </w:pPr>
      <w:r w:rsidRPr="00452D62">
        <w:rPr>
          <w:sz w:val="22"/>
          <w:szCs w:val="22"/>
        </w:rPr>
        <w:t>plintantis intensyvus odos išbėrimas, pūslės arba gleivinių pažeidimai, pvz., burnos arba akių (Stivenso-Džonsono [</w:t>
      </w:r>
      <w:r w:rsidRPr="00452D62">
        <w:rPr>
          <w:i/>
          <w:sz w:val="22"/>
          <w:szCs w:val="22"/>
        </w:rPr>
        <w:t>Stevens-Johnson</w:t>
      </w:r>
      <w:r w:rsidRPr="00452D62">
        <w:rPr>
          <w:sz w:val="22"/>
          <w:szCs w:val="22"/>
        </w:rPr>
        <w:t>] sindromas, toksinė epidermio nekrolizė);</w:t>
      </w:r>
    </w:p>
    <w:p w14:paraId="69F74B09" w14:textId="6977CCE6" w:rsidR="00823785" w:rsidRPr="00452D62" w:rsidRDefault="00823785" w:rsidP="00823785">
      <w:pPr>
        <w:numPr>
          <w:ilvl w:val="0"/>
          <w:numId w:val="7"/>
        </w:numPr>
        <w:ind w:left="567" w:hanging="567"/>
        <w:rPr>
          <w:b/>
          <w:bCs/>
          <w:sz w:val="22"/>
          <w:szCs w:val="22"/>
        </w:rPr>
      </w:pPr>
      <w:r w:rsidRPr="00452D62">
        <w:rPr>
          <w:sz w:val="22"/>
          <w:szCs w:val="22"/>
        </w:rPr>
        <w:t>vaisto sukelti išbėrimas, karščiavimas, vidaus organų uždegimas, nenormalūs kraujo rodiklių pokyčiai ir sisteminiai simptomai (</w:t>
      </w:r>
      <w:r w:rsidRPr="00452D62">
        <w:rPr>
          <w:i/>
          <w:iCs/>
          <w:sz w:val="22"/>
          <w:szCs w:val="22"/>
        </w:rPr>
        <w:t>DRESS</w:t>
      </w:r>
      <w:r w:rsidRPr="00452D62">
        <w:rPr>
          <w:sz w:val="22"/>
          <w:szCs w:val="22"/>
        </w:rPr>
        <w:t xml:space="preserve"> sindromas). </w:t>
      </w:r>
    </w:p>
    <w:p w14:paraId="4F068BBC" w14:textId="7A7A2385" w:rsidR="00823785" w:rsidRPr="00452D62" w:rsidRDefault="00823785" w:rsidP="00C815AC">
      <w:pPr>
        <w:tabs>
          <w:tab w:val="clear" w:pos="567"/>
          <w:tab w:val="left" w:pos="1276"/>
        </w:tabs>
        <w:rPr>
          <w:b/>
          <w:bCs/>
          <w:sz w:val="22"/>
          <w:szCs w:val="22"/>
        </w:rPr>
      </w:pPr>
      <w:r w:rsidRPr="00452D62">
        <w:rPr>
          <w:sz w:val="22"/>
          <w:szCs w:val="22"/>
        </w:rPr>
        <w:t>Šie šalutinio poveikio reiškiniai yra labai reti (gali pasireikšti rečiau kaip 1 iš 10 000 asmenų).</w:t>
      </w:r>
    </w:p>
    <w:p w14:paraId="492B819D" w14:textId="77777777" w:rsidR="00823785" w:rsidRPr="00452D62" w:rsidRDefault="00823785" w:rsidP="00823785">
      <w:pPr>
        <w:rPr>
          <w:b/>
          <w:bCs/>
          <w:sz w:val="22"/>
          <w:szCs w:val="22"/>
        </w:rPr>
      </w:pPr>
    </w:p>
    <w:p w14:paraId="25184778" w14:textId="6132F9AD" w:rsidR="00823785" w:rsidRPr="00452D62" w:rsidRDefault="00823785" w:rsidP="00823785">
      <w:pPr>
        <w:rPr>
          <w:b/>
          <w:bCs/>
          <w:sz w:val="22"/>
          <w:szCs w:val="22"/>
        </w:rPr>
      </w:pPr>
      <w:r w:rsidRPr="00452D62">
        <w:rPr>
          <w:b/>
          <w:bCs/>
          <w:sz w:val="22"/>
          <w:szCs w:val="22"/>
        </w:rPr>
        <w:t>Alerginių reakcijų požymiai</w:t>
      </w:r>
    </w:p>
    <w:p w14:paraId="08E073C2" w14:textId="77777777" w:rsidR="00823785" w:rsidRPr="00452D62" w:rsidRDefault="00823785" w:rsidP="00823785">
      <w:pPr>
        <w:numPr>
          <w:ilvl w:val="0"/>
          <w:numId w:val="7"/>
        </w:numPr>
        <w:ind w:left="567" w:hanging="567"/>
        <w:rPr>
          <w:sz w:val="22"/>
          <w:szCs w:val="22"/>
        </w:rPr>
      </w:pPr>
      <w:r w:rsidRPr="00452D62">
        <w:rPr>
          <w:sz w:val="22"/>
          <w:szCs w:val="22"/>
        </w:rPr>
        <w:t xml:space="preserve">veido, lūpų, burnos, liežuvio ir ryklės patinimas, apsunkintas rijimas, dilgėlinė ir apsunkintas kvėpavimas, staigus kraujospūdžio sumažėjimas. </w:t>
      </w:r>
    </w:p>
    <w:p w14:paraId="25C58AEE" w14:textId="5565C09A" w:rsidR="00823785" w:rsidRPr="00452D62" w:rsidRDefault="00823785" w:rsidP="00C815AC">
      <w:pPr>
        <w:tabs>
          <w:tab w:val="clear" w:pos="567"/>
          <w:tab w:val="left" w:pos="709"/>
        </w:tabs>
        <w:rPr>
          <w:sz w:val="22"/>
          <w:szCs w:val="22"/>
        </w:rPr>
      </w:pPr>
      <w:r w:rsidRPr="00452D62">
        <w:rPr>
          <w:sz w:val="22"/>
          <w:szCs w:val="22"/>
        </w:rPr>
        <w:t>Sunkios alerginės reakcijos yra labai retos (anafilaksinės reakcijos, įskaitant anafilaksinį šoką; gali pasireikšti rečiau kaip 1 iš 10 000 asmenų) ir nedažnos (angioneurozinė ir alerginė edema; gali pasireikšti rečiau kaip 1 iš 100 asmenų).</w:t>
      </w:r>
    </w:p>
    <w:p w14:paraId="266FA1CE" w14:textId="77777777" w:rsidR="00823785" w:rsidRPr="00452D62" w:rsidRDefault="00823785" w:rsidP="00823785">
      <w:pPr>
        <w:rPr>
          <w:b/>
          <w:bCs/>
          <w:sz w:val="22"/>
          <w:szCs w:val="22"/>
        </w:rPr>
      </w:pPr>
    </w:p>
    <w:p w14:paraId="239F3168" w14:textId="77777777" w:rsidR="00823785" w:rsidRPr="00452D62" w:rsidRDefault="00823785" w:rsidP="00823785">
      <w:pPr>
        <w:rPr>
          <w:b/>
          <w:bCs/>
          <w:sz w:val="22"/>
          <w:szCs w:val="22"/>
        </w:rPr>
      </w:pPr>
      <w:r w:rsidRPr="00452D62">
        <w:rPr>
          <w:b/>
          <w:bCs/>
          <w:sz w:val="22"/>
          <w:szCs w:val="22"/>
        </w:rPr>
        <w:t>Bendras galimo šalutinio poveikio sąrašas</w:t>
      </w:r>
    </w:p>
    <w:p w14:paraId="2D3726E4" w14:textId="77777777" w:rsidR="00823785" w:rsidRPr="00452D62" w:rsidRDefault="00823785" w:rsidP="00823785">
      <w:pPr>
        <w:rPr>
          <w:b/>
          <w:bCs/>
          <w:sz w:val="22"/>
          <w:szCs w:val="22"/>
        </w:rPr>
      </w:pPr>
    </w:p>
    <w:p w14:paraId="37DBD6F0" w14:textId="37BC2D2F" w:rsidR="00823785" w:rsidRPr="00452D62" w:rsidRDefault="00823785" w:rsidP="00823785">
      <w:pPr>
        <w:rPr>
          <w:sz w:val="22"/>
          <w:szCs w:val="22"/>
        </w:rPr>
      </w:pPr>
      <w:r w:rsidRPr="00452D62">
        <w:rPr>
          <w:b/>
          <w:bCs/>
          <w:sz w:val="22"/>
          <w:szCs w:val="22"/>
        </w:rPr>
        <w:t xml:space="preserve">Dažni šalutinio poveikio reiškiniai </w:t>
      </w:r>
      <w:r w:rsidRPr="00452D62">
        <w:rPr>
          <w:sz w:val="22"/>
          <w:szCs w:val="22"/>
        </w:rPr>
        <w:t>(gali pasireikšti rečiau kaip 1 iš 10 asmenų):</w:t>
      </w:r>
    </w:p>
    <w:p w14:paraId="07D1946D" w14:textId="77777777" w:rsidR="00823785" w:rsidRPr="00452D62" w:rsidRDefault="00823785" w:rsidP="00823785">
      <w:pPr>
        <w:numPr>
          <w:ilvl w:val="0"/>
          <w:numId w:val="7"/>
        </w:numPr>
        <w:ind w:left="567" w:hanging="567"/>
        <w:rPr>
          <w:sz w:val="22"/>
          <w:szCs w:val="22"/>
        </w:rPr>
      </w:pPr>
      <w:r w:rsidRPr="00452D62">
        <w:rPr>
          <w:sz w:val="22"/>
          <w:szCs w:val="22"/>
        </w:rPr>
        <w:t>raudonųjų kraujo ląstelių kiekio sumažėjimas, galintis sukelti blyškumą, silpnumą ar dusulį;</w:t>
      </w:r>
    </w:p>
    <w:p w14:paraId="0E37C7E8" w14:textId="77777777" w:rsidR="00823785" w:rsidRPr="00452D62" w:rsidRDefault="00823785" w:rsidP="00823785">
      <w:pPr>
        <w:numPr>
          <w:ilvl w:val="0"/>
          <w:numId w:val="7"/>
        </w:numPr>
        <w:ind w:left="567" w:hanging="567"/>
        <w:rPr>
          <w:sz w:val="22"/>
          <w:szCs w:val="22"/>
        </w:rPr>
      </w:pPr>
      <w:r w:rsidRPr="00452D62">
        <w:rPr>
          <w:sz w:val="22"/>
          <w:szCs w:val="22"/>
        </w:rPr>
        <w:t>kraujavimas iš skrandžio ar žarnyno, kraujavimas iš šlapimo ir lytinių organų (įskaitant kraują šlapime ir gausų menstruacinį kraujavimą), kraujavimas iš nosies, kraujavimas iš dantenų;</w:t>
      </w:r>
    </w:p>
    <w:p w14:paraId="0CFCCC80" w14:textId="77777777" w:rsidR="00823785" w:rsidRPr="00452D62" w:rsidRDefault="00823785" w:rsidP="00823785">
      <w:pPr>
        <w:numPr>
          <w:ilvl w:val="0"/>
          <w:numId w:val="7"/>
        </w:numPr>
        <w:ind w:left="567" w:hanging="567"/>
        <w:rPr>
          <w:sz w:val="22"/>
          <w:szCs w:val="22"/>
        </w:rPr>
      </w:pPr>
      <w:r w:rsidRPr="00452D62">
        <w:rPr>
          <w:sz w:val="22"/>
          <w:szCs w:val="22"/>
        </w:rPr>
        <w:t>kraujavimas į akį (įskaitant kraujavimą iš akių baltymo);</w:t>
      </w:r>
    </w:p>
    <w:p w14:paraId="593E0D56" w14:textId="77777777" w:rsidR="00823785" w:rsidRPr="00452D62" w:rsidRDefault="00823785" w:rsidP="00823785">
      <w:pPr>
        <w:numPr>
          <w:ilvl w:val="0"/>
          <w:numId w:val="7"/>
        </w:numPr>
        <w:ind w:left="567" w:hanging="567"/>
        <w:rPr>
          <w:sz w:val="22"/>
          <w:szCs w:val="22"/>
        </w:rPr>
      </w:pPr>
      <w:r w:rsidRPr="00452D62">
        <w:rPr>
          <w:sz w:val="22"/>
          <w:szCs w:val="22"/>
        </w:rPr>
        <w:t>kraujavimas į audinius arba kūno ertmes (kraujosruvos, mėlynės);</w:t>
      </w:r>
    </w:p>
    <w:p w14:paraId="3C9276FB" w14:textId="77777777" w:rsidR="00823785" w:rsidRPr="00452D62" w:rsidRDefault="00823785" w:rsidP="00823785">
      <w:pPr>
        <w:numPr>
          <w:ilvl w:val="0"/>
          <w:numId w:val="7"/>
        </w:numPr>
        <w:ind w:left="567" w:hanging="567"/>
        <w:rPr>
          <w:sz w:val="22"/>
          <w:szCs w:val="22"/>
        </w:rPr>
      </w:pPr>
      <w:r w:rsidRPr="00452D62">
        <w:rPr>
          <w:sz w:val="22"/>
          <w:szCs w:val="22"/>
        </w:rPr>
        <w:t>kraujo atkosėjimas;</w:t>
      </w:r>
    </w:p>
    <w:p w14:paraId="59EB53BF" w14:textId="77777777" w:rsidR="00823785" w:rsidRPr="00452D62" w:rsidRDefault="00823785" w:rsidP="00823785">
      <w:pPr>
        <w:numPr>
          <w:ilvl w:val="0"/>
          <w:numId w:val="7"/>
        </w:numPr>
        <w:ind w:left="567" w:hanging="567"/>
        <w:rPr>
          <w:sz w:val="22"/>
          <w:szCs w:val="22"/>
        </w:rPr>
      </w:pPr>
      <w:r w:rsidRPr="00452D62">
        <w:rPr>
          <w:sz w:val="22"/>
          <w:szCs w:val="22"/>
        </w:rPr>
        <w:t>kraujavimas iš odos arba po oda;</w:t>
      </w:r>
    </w:p>
    <w:p w14:paraId="33F8BB0D" w14:textId="77777777" w:rsidR="00823785" w:rsidRPr="00452D62" w:rsidRDefault="00823785" w:rsidP="00823785">
      <w:pPr>
        <w:numPr>
          <w:ilvl w:val="0"/>
          <w:numId w:val="7"/>
        </w:numPr>
        <w:ind w:left="567" w:hanging="567"/>
        <w:rPr>
          <w:sz w:val="22"/>
          <w:szCs w:val="22"/>
        </w:rPr>
      </w:pPr>
      <w:r w:rsidRPr="00452D62">
        <w:rPr>
          <w:sz w:val="22"/>
          <w:szCs w:val="22"/>
        </w:rPr>
        <w:t>kraujavimas po operacijos;</w:t>
      </w:r>
    </w:p>
    <w:p w14:paraId="682CB471" w14:textId="77777777" w:rsidR="00823785" w:rsidRPr="00452D62" w:rsidRDefault="00823785" w:rsidP="00823785">
      <w:pPr>
        <w:numPr>
          <w:ilvl w:val="0"/>
          <w:numId w:val="7"/>
        </w:numPr>
        <w:ind w:left="567" w:hanging="567"/>
        <w:rPr>
          <w:sz w:val="22"/>
          <w:szCs w:val="22"/>
        </w:rPr>
      </w:pPr>
      <w:r w:rsidRPr="00452D62">
        <w:rPr>
          <w:sz w:val="22"/>
          <w:szCs w:val="22"/>
        </w:rPr>
        <w:t>kraujo ar skysčio sunkimasis iš chirurginės žaizdos;</w:t>
      </w:r>
    </w:p>
    <w:p w14:paraId="16134146" w14:textId="77777777" w:rsidR="00823785" w:rsidRPr="00452D62" w:rsidRDefault="00823785" w:rsidP="00823785">
      <w:pPr>
        <w:numPr>
          <w:ilvl w:val="0"/>
          <w:numId w:val="7"/>
        </w:numPr>
        <w:ind w:left="567" w:hanging="567"/>
        <w:rPr>
          <w:sz w:val="22"/>
          <w:szCs w:val="22"/>
        </w:rPr>
      </w:pPr>
      <w:r w:rsidRPr="00452D62">
        <w:rPr>
          <w:sz w:val="22"/>
          <w:szCs w:val="22"/>
        </w:rPr>
        <w:t>galūnių patinimas;</w:t>
      </w:r>
    </w:p>
    <w:p w14:paraId="7BBBD552" w14:textId="77777777" w:rsidR="00823785" w:rsidRPr="00452D62" w:rsidRDefault="00823785" w:rsidP="00823785">
      <w:pPr>
        <w:numPr>
          <w:ilvl w:val="0"/>
          <w:numId w:val="7"/>
        </w:numPr>
        <w:ind w:left="567" w:hanging="567"/>
        <w:rPr>
          <w:sz w:val="22"/>
          <w:szCs w:val="22"/>
        </w:rPr>
      </w:pPr>
      <w:r w:rsidRPr="00452D62">
        <w:rPr>
          <w:sz w:val="22"/>
          <w:szCs w:val="22"/>
        </w:rPr>
        <w:t>galūnių skausmas;</w:t>
      </w:r>
    </w:p>
    <w:p w14:paraId="6FF3A226" w14:textId="77777777" w:rsidR="00823785" w:rsidRPr="00452D62" w:rsidRDefault="00823785" w:rsidP="00823785">
      <w:pPr>
        <w:numPr>
          <w:ilvl w:val="0"/>
          <w:numId w:val="7"/>
        </w:numPr>
        <w:ind w:left="567" w:hanging="567"/>
        <w:rPr>
          <w:sz w:val="22"/>
          <w:szCs w:val="22"/>
        </w:rPr>
      </w:pPr>
      <w:r w:rsidRPr="00452D62">
        <w:rPr>
          <w:sz w:val="22"/>
          <w:szCs w:val="22"/>
        </w:rPr>
        <w:t>sutrikusi inkstų funkcija (gali būti nustatyta gydytojo atliktais tyrimais);</w:t>
      </w:r>
    </w:p>
    <w:p w14:paraId="70A07347" w14:textId="77777777" w:rsidR="00823785" w:rsidRPr="00452D62" w:rsidRDefault="00823785" w:rsidP="00823785">
      <w:pPr>
        <w:numPr>
          <w:ilvl w:val="0"/>
          <w:numId w:val="7"/>
        </w:numPr>
        <w:ind w:left="567" w:hanging="567"/>
        <w:rPr>
          <w:sz w:val="22"/>
          <w:szCs w:val="22"/>
        </w:rPr>
      </w:pPr>
      <w:r w:rsidRPr="00452D62">
        <w:rPr>
          <w:sz w:val="22"/>
          <w:szCs w:val="22"/>
        </w:rPr>
        <w:t>karščiavimas;</w:t>
      </w:r>
    </w:p>
    <w:p w14:paraId="56736526" w14:textId="77777777" w:rsidR="00823785" w:rsidRPr="00452D62" w:rsidRDefault="00823785" w:rsidP="00823785">
      <w:pPr>
        <w:numPr>
          <w:ilvl w:val="0"/>
          <w:numId w:val="7"/>
        </w:numPr>
        <w:ind w:left="567" w:hanging="567"/>
        <w:rPr>
          <w:sz w:val="22"/>
          <w:szCs w:val="22"/>
        </w:rPr>
      </w:pPr>
      <w:r w:rsidRPr="00452D62">
        <w:rPr>
          <w:sz w:val="22"/>
          <w:szCs w:val="22"/>
        </w:rPr>
        <w:t>pilvo skausmas, nevirškinimas, pykinimas arba vėmimas, vidurių užkietėjimas, viduriavimas;</w:t>
      </w:r>
    </w:p>
    <w:p w14:paraId="23FC5479" w14:textId="77777777" w:rsidR="00823785" w:rsidRPr="00452D62" w:rsidRDefault="00823785" w:rsidP="00823785">
      <w:pPr>
        <w:numPr>
          <w:ilvl w:val="0"/>
          <w:numId w:val="7"/>
        </w:numPr>
        <w:ind w:left="567" w:hanging="567"/>
        <w:rPr>
          <w:sz w:val="22"/>
          <w:szCs w:val="22"/>
        </w:rPr>
      </w:pPr>
      <w:r w:rsidRPr="00452D62">
        <w:rPr>
          <w:sz w:val="22"/>
          <w:szCs w:val="22"/>
        </w:rPr>
        <w:t>sumažėjęs kraujospūdis (simptomai gali būti svaigulys ar alpimas stojantis);</w:t>
      </w:r>
    </w:p>
    <w:p w14:paraId="22416E7D" w14:textId="77777777" w:rsidR="00823785" w:rsidRPr="00452D62" w:rsidRDefault="00823785" w:rsidP="00823785">
      <w:pPr>
        <w:numPr>
          <w:ilvl w:val="0"/>
          <w:numId w:val="7"/>
        </w:numPr>
        <w:ind w:left="567" w:hanging="567"/>
        <w:rPr>
          <w:sz w:val="22"/>
          <w:szCs w:val="22"/>
        </w:rPr>
      </w:pPr>
      <w:r w:rsidRPr="00452D62">
        <w:rPr>
          <w:sz w:val="22"/>
          <w:szCs w:val="22"/>
        </w:rPr>
        <w:t>bendrasis jėgos ir energijos sumažėjimas (silpnumas, nuovargis), galvos skausmas, svaigulys;</w:t>
      </w:r>
    </w:p>
    <w:p w14:paraId="433884A8" w14:textId="77777777" w:rsidR="00823785" w:rsidRPr="00452D62" w:rsidRDefault="00823785" w:rsidP="00823785">
      <w:pPr>
        <w:numPr>
          <w:ilvl w:val="0"/>
          <w:numId w:val="7"/>
        </w:numPr>
        <w:ind w:left="567" w:hanging="567"/>
        <w:rPr>
          <w:sz w:val="22"/>
          <w:szCs w:val="22"/>
        </w:rPr>
      </w:pPr>
      <w:r w:rsidRPr="00452D62">
        <w:rPr>
          <w:sz w:val="22"/>
          <w:szCs w:val="22"/>
        </w:rPr>
        <w:t>išbėrimas, odos niežulys;</w:t>
      </w:r>
    </w:p>
    <w:p w14:paraId="6A45F34D" w14:textId="77777777" w:rsidR="00823785" w:rsidRPr="00452D62" w:rsidRDefault="00823785" w:rsidP="00823785">
      <w:pPr>
        <w:numPr>
          <w:ilvl w:val="0"/>
          <w:numId w:val="7"/>
        </w:numPr>
        <w:ind w:left="567" w:hanging="567"/>
        <w:rPr>
          <w:sz w:val="22"/>
          <w:szCs w:val="22"/>
        </w:rPr>
      </w:pPr>
      <w:r w:rsidRPr="00452D62">
        <w:rPr>
          <w:sz w:val="22"/>
          <w:szCs w:val="22"/>
        </w:rPr>
        <w:t>kraujo tyrimai gali rodyti kai kurių kepenų fermentų aktyvumo padidėjimą.</w:t>
      </w:r>
    </w:p>
    <w:p w14:paraId="1893BBC0" w14:textId="77777777" w:rsidR="00823785" w:rsidRPr="00452D62" w:rsidRDefault="00823785" w:rsidP="00823785">
      <w:pPr>
        <w:rPr>
          <w:sz w:val="22"/>
          <w:szCs w:val="22"/>
        </w:rPr>
      </w:pPr>
    </w:p>
    <w:p w14:paraId="76966201" w14:textId="2796330E" w:rsidR="00823785" w:rsidRPr="00452D62" w:rsidRDefault="00823785" w:rsidP="00823785">
      <w:pPr>
        <w:rPr>
          <w:sz w:val="22"/>
          <w:szCs w:val="22"/>
        </w:rPr>
      </w:pPr>
      <w:r w:rsidRPr="00452D62">
        <w:rPr>
          <w:b/>
          <w:sz w:val="22"/>
          <w:szCs w:val="22"/>
        </w:rPr>
        <w:t xml:space="preserve">Nedažni šalutinio poveikio reiškiniai </w:t>
      </w:r>
      <w:r w:rsidRPr="00452D62">
        <w:rPr>
          <w:sz w:val="22"/>
          <w:szCs w:val="22"/>
        </w:rPr>
        <w:t>(gali pasireikšti rečiau kaip 1 iš 100 asmenų):</w:t>
      </w:r>
    </w:p>
    <w:p w14:paraId="023AB57B" w14:textId="77777777" w:rsidR="00823785" w:rsidRPr="00452D62" w:rsidRDefault="00823785" w:rsidP="00823785">
      <w:pPr>
        <w:numPr>
          <w:ilvl w:val="0"/>
          <w:numId w:val="7"/>
        </w:numPr>
        <w:rPr>
          <w:sz w:val="22"/>
          <w:szCs w:val="22"/>
        </w:rPr>
      </w:pPr>
      <w:r w:rsidRPr="00452D62">
        <w:rPr>
          <w:sz w:val="22"/>
          <w:szCs w:val="22"/>
        </w:rPr>
        <w:t>kraujavimas į smegenis ar į kaukolės vidų (žr. aukščiau, „Kraujavimo požymiai“);</w:t>
      </w:r>
    </w:p>
    <w:p w14:paraId="2150DF91" w14:textId="77777777" w:rsidR="00823785" w:rsidRPr="00452D62" w:rsidRDefault="00823785" w:rsidP="00823785">
      <w:pPr>
        <w:numPr>
          <w:ilvl w:val="0"/>
          <w:numId w:val="7"/>
        </w:numPr>
        <w:ind w:left="567" w:hanging="567"/>
        <w:rPr>
          <w:sz w:val="22"/>
          <w:szCs w:val="22"/>
        </w:rPr>
      </w:pPr>
      <w:r w:rsidRPr="00452D62">
        <w:rPr>
          <w:sz w:val="22"/>
          <w:szCs w:val="22"/>
        </w:rPr>
        <w:t>kraujavimas į sąnarį, sukeliantis skausmą ir patinimą;</w:t>
      </w:r>
    </w:p>
    <w:p w14:paraId="369D73C7" w14:textId="77777777" w:rsidR="00823785" w:rsidRPr="00452D62" w:rsidRDefault="00823785" w:rsidP="00823785">
      <w:pPr>
        <w:numPr>
          <w:ilvl w:val="0"/>
          <w:numId w:val="7"/>
        </w:numPr>
        <w:ind w:left="567" w:hanging="567"/>
        <w:rPr>
          <w:sz w:val="22"/>
          <w:szCs w:val="22"/>
        </w:rPr>
      </w:pPr>
      <w:r w:rsidRPr="00452D62">
        <w:rPr>
          <w:sz w:val="22"/>
          <w:szCs w:val="22"/>
        </w:rPr>
        <w:t>trombocitopenija (sumažėjęs kraujo plokštelių, kurios padeda kraujyje susidaryti krešuliui, skaičius);</w:t>
      </w:r>
    </w:p>
    <w:p w14:paraId="516F6951" w14:textId="77777777" w:rsidR="00823785" w:rsidRPr="00452D62" w:rsidRDefault="00823785" w:rsidP="00823785">
      <w:pPr>
        <w:numPr>
          <w:ilvl w:val="0"/>
          <w:numId w:val="7"/>
        </w:numPr>
        <w:ind w:left="567" w:hanging="567"/>
        <w:rPr>
          <w:sz w:val="22"/>
          <w:szCs w:val="22"/>
        </w:rPr>
      </w:pPr>
      <w:r w:rsidRPr="00452D62">
        <w:rPr>
          <w:sz w:val="22"/>
          <w:szCs w:val="22"/>
        </w:rPr>
        <w:t>alerginės reakcijos, įskaitant alergines odos reakcijas;</w:t>
      </w:r>
    </w:p>
    <w:p w14:paraId="3A2821F7" w14:textId="77777777" w:rsidR="00823785" w:rsidRPr="00452D62" w:rsidRDefault="00823785" w:rsidP="00823785">
      <w:pPr>
        <w:numPr>
          <w:ilvl w:val="0"/>
          <w:numId w:val="7"/>
        </w:numPr>
        <w:ind w:left="567" w:hanging="567"/>
        <w:rPr>
          <w:sz w:val="22"/>
          <w:szCs w:val="22"/>
        </w:rPr>
      </w:pPr>
      <w:r w:rsidRPr="00452D62">
        <w:rPr>
          <w:sz w:val="22"/>
          <w:szCs w:val="22"/>
        </w:rPr>
        <w:t>sutrikusi kepenų funkcija (gali būti nustatyta gydytojo atliktais tyrimais);</w:t>
      </w:r>
    </w:p>
    <w:p w14:paraId="30ABDCE5" w14:textId="77777777" w:rsidR="00823785" w:rsidRPr="00452D62" w:rsidRDefault="00823785" w:rsidP="00823785">
      <w:pPr>
        <w:numPr>
          <w:ilvl w:val="0"/>
          <w:numId w:val="7"/>
        </w:numPr>
        <w:ind w:left="567" w:hanging="567"/>
        <w:rPr>
          <w:sz w:val="22"/>
          <w:szCs w:val="22"/>
        </w:rPr>
      </w:pPr>
      <w:r w:rsidRPr="00452D62">
        <w:rPr>
          <w:sz w:val="22"/>
          <w:szCs w:val="22"/>
        </w:rPr>
        <w:t>kraujo tyrimai gali rodyti bilirubino kiekio, kai kurių kasos ar kepenų fermentų aktyvumo arba trombocitų skaičiaus padidėjimą;</w:t>
      </w:r>
    </w:p>
    <w:p w14:paraId="4C4600B4" w14:textId="77777777" w:rsidR="00823785" w:rsidRPr="00452D62" w:rsidRDefault="00823785" w:rsidP="00823785">
      <w:pPr>
        <w:numPr>
          <w:ilvl w:val="0"/>
          <w:numId w:val="7"/>
        </w:numPr>
        <w:ind w:left="567" w:hanging="567"/>
        <w:rPr>
          <w:sz w:val="22"/>
          <w:szCs w:val="22"/>
        </w:rPr>
      </w:pPr>
      <w:r w:rsidRPr="00452D62">
        <w:rPr>
          <w:sz w:val="22"/>
          <w:szCs w:val="22"/>
        </w:rPr>
        <w:t>apalpimas;</w:t>
      </w:r>
    </w:p>
    <w:p w14:paraId="3495C61E" w14:textId="77777777" w:rsidR="00823785" w:rsidRPr="00452D62" w:rsidRDefault="00823785" w:rsidP="00823785">
      <w:pPr>
        <w:numPr>
          <w:ilvl w:val="0"/>
          <w:numId w:val="7"/>
        </w:numPr>
        <w:ind w:left="567" w:hanging="567"/>
        <w:rPr>
          <w:sz w:val="22"/>
          <w:szCs w:val="22"/>
        </w:rPr>
      </w:pPr>
      <w:r w:rsidRPr="00452D62">
        <w:rPr>
          <w:sz w:val="22"/>
          <w:szCs w:val="22"/>
        </w:rPr>
        <w:t>bloga savijauta;</w:t>
      </w:r>
    </w:p>
    <w:p w14:paraId="70DE46BC" w14:textId="77777777" w:rsidR="00823785" w:rsidRPr="00452D62" w:rsidRDefault="00823785" w:rsidP="00823785">
      <w:pPr>
        <w:numPr>
          <w:ilvl w:val="0"/>
          <w:numId w:val="7"/>
        </w:numPr>
        <w:ind w:left="567" w:hanging="567"/>
        <w:rPr>
          <w:sz w:val="22"/>
          <w:szCs w:val="22"/>
        </w:rPr>
      </w:pPr>
      <w:r w:rsidRPr="00452D62">
        <w:rPr>
          <w:sz w:val="22"/>
          <w:szCs w:val="22"/>
        </w:rPr>
        <w:t>dažnesnis širdies plakimas;</w:t>
      </w:r>
    </w:p>
    <w:p w14:paraId="1A4C9256" w14:textId="77777777" w:rsidR="00823785" w:rsidRPr="00452D62" w:rsidRDefault="00823785" w:rsidP="00823785">
      <w:pPr>
        <w:numPr>
          <w:ilvl w:val="0"/>
          <w:numId w:val="7"/>
        </w:numPr>
        <w:ind w:left="567" w:hanging="567"/>
        <w:rPr>
          <w:sz w:val="22"/>
          <w:szCs w:val="22"/>
        </w:rPr>
      </w:pPr>
      <w:r w:rsidRPr="00452D62">
        <w:rPr>
          <w:sz w:val="22"/>
          <w:szCs w:val="22"/>
        </w:rPr>
        <w:t>burnos džiūvimas;</w:t>
      </w:r>
    </w:p>
    <w:p w14:paraId="0696A06C" w14:textId="77777777" w:rsidR="00823785" w:rsidRPr="00452D62" w:rsidRDefault="00823785" w:rsidP="00823785">
      <w:pPr>
        <w:numPr>
          <w:ilvl w:val="0"/>
          <w:numId w:val="7"/>
        </w:numPr>
        <w:ind w:left="567" w:hanging="567"/>
        <w:rPr>
          <w:sz w:val="22"/>
          <w:szCs w:val="22"/>
        </w:rPr>
      </w:pPr>
      <w:r w:rsidRPr="00452D62">
        <w:rPr>
          <w:sz w:val="22"/>
          <w:szCs w:val="22"/>
        </w:rPr>
        <w:t>dilgėlinė.</w:t>
      </w:r>
    </w:p>
    <w:p w14:paraId="5B950508" w14:textId="77777777" w:rsidR="00823785" w:rsidRPr="00452D62" w:rsidRDefault="00823785" w:rsidP="00823785">
      <w:pPr>
        <w:ind w:left="567" w:right="-29" w:hanging="567"/>
        <w:rPr>
          <w:sz w:val="22"/>
          <w:szCs w:val="22"/>
        </w:rPr>
      </w:pPr>
    </w:p>
    <w:p w14:paraId="7EEEEDC7" w14:textId="2803659D" w:rsidR="00823785" w:rsidRPr="00452D62" w:rsidRDefault="00823785" w:rsidP="00823785">
      <w:pPr>
        <w:ind w:left="567" w:right="-29" w:hanging="567"/>
        <w:rPr>
          <w:sz w:val="22"/>
          <w:szCs w:val="22"/>
        </w:rPr>
      </w:pPr>
      <w:r w:rsidRPr="00452D62">
        <w:rPr>
          <w:b/>
          <w:sz w:val="22"/>
          <w:szCs w:val="22"/>
        </w:rPr>
        <w:t xml:space="preserve">Reti šalutinio poveikio reiškiniai </w:t>
      </w:r>
      <w:r w:rsidRPr="00452D62">
        <w:rPr>
          <w:sz w:val="22"/>
          <w:szCs w:val="22"/>
        </w:rPr>
        <w:t>(gali pasireikšti rečiau kaip 1 iš 1 000 asmenų):</w:t>
      </w:r>
    </w:p>
    <w:p w14:paraId="2F24DE62" w14:textId="77777777" w:rsidR="00823785" w:rsidRPr="00452D62" w:rsidRDefault="00823785" w:rsidP="00823785">
      <w:pPr>
        <w:ind w:left="567" w:right="-29" w:hanging="567"/>
        <w:rPr>
          <w:sz w:val="22"/>
          <w:szCs w:val="22"/>
        </w:rPr>
      </w:pPr>
      <w:r w:rsidRPr="00452D62">
        <w:rPr>
          <w:sz w:val="22"/>
          <w:szCs w:val="22"/>
        </w:rPr>
        <w:t>-</w:t>
      </w:r>
      <w:r w:rsidRPr="00452D62">
        <w:rPr>
          <w:sz w:val="22"/>
          <w:szCs w:val="22"/>
        </w:rPr>
        <w:tab/>
        <w:t>kraujavimas į raumenį;</w:t>
      </w:r>
    </w:p>
    <w:p w14:paraId="34742F71" w14:textId="77777777" w:rsidR="00823785" w:rsidRPr="00452D62" w:rsidRDefault="00823785" w:rsidP="00823785">
      <w:pPr>
        <w:numPr>
          <w:ilvl w:val="0"/>
          <w:numId w:val="7"/>
        </w:numPr>
        <w:ind w:left="567" w:hanging="567"/>
        <w:rPr>
          <w:sz w:val="22"/>
          <w:szCs w:val="22"/>
        </w:rPr>
      </w:pPr>
      <w:r w:rsidRPr="00452D62">
        <w:rPr>
          <w:sz w:val="22"/>
          <w:szCs w:val="22"/>
        </w:rPr>
        <w:t>cholestazė (sumažėjęs tulžies nutekėjimas), hepatitas, įskaitant kepenų ląstelių pažaidą (kepenų uždegimas, įskaitant kepenų pakenkimą);</w:t>
      </w:r>
    </w:p>
    <w:p w14:paraId="684CD3B8" w14:textId="77777777" w:rsidR="00823785" w:rsidRPr="00452D62" w:rsidRDefault="00823785" w:rsidP="00823785">
      <w:pPr>
        <w:ind w:left="567" w:right="-29" w:hanging="567"/>
        <w:rPr>
          <w:sz w:val="22"/>
          <w:szCs w:val="22"/>
        </w:rPr>
      </w:pPr>
      <w:r w:rsidRPr="00452D62">
        <w:rPr>
          <w:sz w:val="22"/>
          <w:szCs w:val="22"/>
        </w:rPr>
        <w:t>-</w:t>
      </w:r>
      <w:r w:rsidRPr="00452D62">
        <w:rPr>
          <w:sz w:val="22"/>
          <w:szCs w:val="22"/>
        </w:rPr>
        <w:tab/>
        <w:t>odos ir akių pageltimas (gelta);</w:t>
      </w:r>
    </w:p>
    <w:p w14:paraId="66633998" w14:textId="77777777" w:rsidR="00823785" w:rsidRPr="00452D62" w:rsidRDefault="00823785" w:rsidP="00823785">
      <w:pPr>
        <w:ind w:left="567" w:right="-29" w:hanging="567"/>
        <w:rPr>
          <w:sz w:val="22"/>
          <w:szCs w:val="22"/>
        </w:rPr>
      </w:pPr>
      <w:r w:rsidRPr="00452D62">
        <w:rPr>
          <w:sz w:val="22"/>
          <w:szCs w:val="22"/>
        </w:rPr>
        <w:t>-</w:t>
      </w:r>
      <w:r w:rsidRPr="00452D62">
        <w:rPr>
          <w:sz w:val="22"/>
          <w:szCs w:val="22"/>
        </w:rPr>
        <w:tab/>
        <w:t>lokalus patinimas;</w:t>
      </w:r>
    </w:p>
    <w:p w14:paraId="07A570D0" w14:textId="77777777" w:rsidR="00823785" w:rsidRPr="00452D62" w:rsidRDefault="00823785" w:rsidP="00823785">
      <w:pPr>
        <w:ind w:left="567" w:right="-29" w:hanging="567"/>
        <w:rPr>
          <w:sz w:val="22"/>
          <w:szCs w:val="22"/>
        </w:rPr>
      </w:pPr>
      <w:r w:rsidRPr="00452D62">
        <w:rPr>
          <w:sz w:val="22"/>
          <w:szCs w:val="22"/>
        </w:rPr>
        <w:t>-</w:t>
      </w:r>
      <w:r w:rsidRPr="00452D62">
        <w:rPr>
          <w:sz w:val="22"/>
          <w:szCs w:val="22"/>
        </w:rPr>
        <w:tab/>
        <w:t>kraujo susikaupimas (hematoma) kirkšnyje kaip širdies procedūros, kai į kojos arteriją įstatomas kateteris, komplikacija (pseudoaneurizma).</w:t>
      </w:r>
    </w:p>
    <w:p w14:paraId="284ED56D" w14:textId="77777777" w:rsidR="00DE6F8E" w:rsidRPr="00452D62" w:rsidRDefault="00DE6F8E" w:rsidP="00DE6F8E">
      <w:pPr>
        <w:pStyle w:val="Default"/>
        <w:rPr>
          <w:b/>
          <w:bCs/>
          <w:sz w:val="22"/>
          <w:szCs w:val="22"/>
        </w:rPr>
      </w:pPr>
    </w:p>
    <w:p w14:paraId="4302EADE" w14:textId="410F5DAF" w:rsidR="00DE6F8E" w:rsidRPr="00452D62" w:rsidRDefault="00DE6F8E" w:rsidP="00DE6F8E">
      <w:pPr>
        <w:pStyle w:val="Default"/>
        <w:rPr>
          <w:sz w:val="22"/>
          <w:szCs w:val="22"/>
        </w:rPr>
      </w:pPr>
      <w:r w:rsidRPr="00452D62">
        <w:rPr>
          <w:b/>
          <w:bCs/>
          <w:sz w:val="22"/>
          <w:szCs w:val="22"/>
        </w:rPr>
        <w:t>Labai ret</w:t>
      </w:r>
      <w:r w:rsidR="00D71A7A">
        <w:rPr>
          <w:b/>
          <w:bCs/>
          <w:sz w:val="22"/>
          <w:szCs w:val="22"/>
        </w:rPr>
        <w:t>i šalutinio poveikio reiškiniai</w:t>
      </w:r>
      <w:r w:rsidRPr="00452D62">
        <w:rPr>
          <w:b/>
          <w:bCs/>
          <w:sz w:val="22"/>
          <w:szCs w:val="22"/>
        </w:rPr>
        <w:t xml:space="preserve"> </w:t>
      </w:r>
      <w:r w:rsidRPr="00452D62">
        <w:rPr>
          <w:sz w:val="22"/>
          <w:szCs w:val="22"/>
        </w:rPr>
        <w:t>(gali pasireikšti rečiau kaip 1 iš 10 000 asmenų):</w:t>
      </w:r>
    </w:p>
    <w:p w14:paraId="61F92E33" w14:textId="033637C3" w:rsidR="00DE6F8E" w:rsidRPr="008C3DF7" w:rsidRDefault="00DE6F8E" w:rsidP="00AE1B80">
      <w:pPr>
        <w:ind w:left="567" w:right="-29" w:hanging="567"/>
        <w:rPr>
          <w:sz w:val="22"/>
          <w:szCs w:val="22"/>
        </w:rPr>
      </w:pPr>
      <w:r w:rsidRPr="008C3DF7">
        <w:rPr>
          <w:sz w:val="22"/>
          <w:szCs w:val="22"/>
        </w:rPr>
        <w:t>-</w:t>
      </w:r>
      <w:r w:rsidRPr="008C3DF7">
        <w:rPr>
          <w:sz w:val="22"/>
          <w:szCs w:val="22"/>
        </w:rPr>
        <w:tab/>
        <w:t>eozinofilų, tam tikros rūšies baltųjų granulocitinių kraujo kūnelių sankaupos, kurios sukelia uždegimą plauči</w:t>
      </w:r>
      <w:r w:rsidR="00153FA2" w:rsidRPr="008C3DF7">
        <w:rPr>
          <w:sz w:val="22"/>
          <w:szCs w:val="22"/>
        </w:rPr>
        <w:t>uose (eozinofilinė pneumonija).</w:t>
      </w:r>
    </w:p>
    <w:p w14:paraId="70E580F3" w14:textId="77777777" w:rsidR="00823785" w:rsidRPr="00452D62" w:rsidRDefault="00823785" w:rsidP="00823785">
      <w:pPr>
        <w:ind w:left="567" w:right="-29" w:hanging="567"/>
        <w:rPr>
          <w:sz w:val="22"/>
          <w:szCs w:val="22"/>
        </w:rPr>
      </w:pPr>
    </w:p>
    <w:p w14:paraId="2F90DC9F" w14:textId="77777777" w:rsidR="00823785" w:rsidRPr="00452D62" w:rsidRDefault="00823785" w:rsidP="00823785">
      <w:pPr>
        <w:ind w:left="567" w:right="-29" w:hanging="567"/>
        <w:rPr>
          <w:sz w:val="22"/>
          <w:szCs w:val="22"/>
        </w:rPr>
      </w:pPr>
      <w:r w:rsidRPr="00452D62">
        <w:rPr>
          <w:b/>
          <w:sz w:val="22"/>
          <w:szCs w:val="22"/>
        </w:rPr>
        <w:t>Dažnis nežinomas</w:t>
      </w:r>
      <w:r w:rsidRPr="00452D62">
        <w:rPr>
          <w:sz w:val="22"/>
          <w:szCs w:val="22"/>
        </w:rPr>
        <w:t xml:space="preserve"> (negali būti apskaičiuotas pagal turimus duomenis):</w:t>
      </w:r>
    </w:p>
    <w:p w14:paraId="636C7A6E" w14:textId="2727BB8E" w:rsidR="00823785" w:rsidRPr="00452D62" w:rsidRDefault="00823785" w:rsidP="00823785">
      <w:pPr>
        <w:ind w:left="567" w:right="-29" w:hanging="567"/>
        <w:rPr>
          <w:sz w:val="22"/>
          <w:szCs w:val="22"/>
        </w:rPr>
      </w:pPr>
      <w:r w:rsidRPr="00452D62">
        <w:rPr>
          <w:sz w:val="22"/>
          <w:szCs w:val="22"/>
        </w:rPr>
        <w:t>-</w:t>
      </w:r>
      <w:r w:rsidRPr="00452D62">
        <w:rPr>
          <w:sz w:val="22"/>
          <w:szCs w:val="22"/>
        </w:rPr>
        <w:tab/>
        <w:t>inkstų nepakankamumas po stipraus kraujavimo;</w:t>
      </w:r>
    </w:p>
    <w:p w14:paraId="3A52F2D2" w14:textId="79F5017C" w:rsidR="00DE6F8E" w:rsidRPr="00452D62" w:rsidRDefault="00DE6F8E" w:rsidP="00DE6F8E">
      <w:pPr>
        <w:ind w:left="567" w:right="-29" w:hanging="567"/>
        <w:rPr>
          <w:sz w:val="22"/>
          <w:szCs w:val="22"/>
        </w:rPr>
      </w:pPr>
      <w:r w:rsidRPr="00452D62">
        <w:rPr>
          <w:sz w:val="22"/>
          <w:szCs w:val="22"/>
        </w:rPr>
        <w:t>-</w:t>
      </w:r>
      <w:r w:rsidRPr="00452D62">
        <w:rPr>
          <w:sz w:val="22"/>
          <w:szCs w:val="22"/>
        </w:rPr>
        <w:tab/>
        <w:t>kraujavimas iš inkstų, kartais su krauju šlapime, dėl kurio sutrinka normali insktų veikla (su antikoaguliantais susijusi nefropatija);</w:t>
      </w:r>
    </w:p>
    <w:p w14:paraId="53A1B06A" w14:textId="77777777" w:rsidR="00823785" w:rsidRPr="00452D62" w:rsidRDefault="00823785" w:rsidP="00823785">
      <w:pPr>
        <w:ind w:left="567" w:right="-29" w:hanging="567"/>
        <w:rPr>
          <w:sz w:val="22"/>
          <w:szCs w:val="22"/>
        </w:rPr>
      </w:pPr>
      <w:r w:rsidRPr="00452D62">
        <w:rPr>
          <w:sz w:val="22"/>
          <w:szCs w:val="22"/>
        </w:rPr>
        <w:t>-</w:t>
      </w:r>
      <w:r w:rsidRPr="00452D62">
        <w:rPr>
          <w:sz w:val="22"/>
          <w:szCs w:val="22"/>
        </w:rPr>
        <w:tab/>
        <w:t>padidėjęs spaudimas kojų ar rankų raumenyse po kraujavimo, dėl ko gali skaudėti, tinti, sutrikti jutimas, pasireikšti tirpimas ar paralyžius (suspaudimo sindromas po kraujavimo).</w:t>
      </w:r>
    </w:p>
    <w:p w14:paraId="7CF9C645" w14:textId="77777777" w:rsidR="00823785" w:rsidRPr="00452D62" w:rsidRDefault="00823785" w:rsidP="00823785">
      <w:pPr>
        <w:ind w:right="-29"/>
        <w:rPr>
          <w:sz w:val="22"/>
          <w:szCs w:val="22"/>
        </w:rPr>
      </w:pPr>
    </w:p>
    <w:p w14:paraId="15383743" w14:textId="77777777" w:rsidR="00823785" w:rsidRPr="00452D62" w:rsidRDefault="00823785" w:rsidP="00823785">
      <w:pPr>
        <w:rPr>
          <w:rFonts w:eastAsia="SimSun"/>
          <w:sz w:val="22"/>
          <w:szCs w:val="22"/>
        </w:rPr>
      </w:pPr>
      <w:r w:rsidRPr="00452D62">
        <w:rPr>
          <w:b/>
          <w:sz w:val="22"/>
          <w:szCs w:val="22"/>
        </w:rPr>
        <w:t>Pranešimas apie šalutinį poveikį</w:t>
      </w:r>
    </w:p>
    <w:p w14:paraId="6FF2E192" w14:textId="444F7A0F" w:rsidR="00CB25DC" w:rsidRPr="00701AC2" w:rsidRDefault="00CB25DC" w:rsidP="00701AC2">
      <w:pPr>
        <w:suppressAutoHyphens w:val="0"/>
        <w:ind w:right="-1"/>
        <w:rPr>
          <w:color w:val="auto"/>
          <w:sz w:val="22"/>
        </w:rPr>
      </w:pPr>
      <w:r w:rsidRPr="00CB25DC">
        <w:rPr>
          <w:color w:val="auto"/>
          <w:sz w:val="22"/>
          <w:szCs w:val="22"/>
          <w:lang w:eastAsia="lt-LT"/>
        </w:rPr>
        <w:t xml:space="preserve">Jeigu pasireiškė šalutinis poveikis, įskaitant šiame lapelyje nenurodytą, pasakykite gydytojui, vaistininkui arba slaugytojui. </w:t>
      </w:r>
      <w:r w:rsidRPr="00701AC2">
        <w:rPr>
          <w:color w:val="auto"/>
          <w:sz w:val="22"/>
        </w:rPr>
        <w:t xml:space="preserve">Pranešimą apie šalutinį poveikį galite </w:t>
      </w:r>
      <w:r w:rsidRPr="00CB25DC">
        <w:rPr>
          <w:color w:val="auto"/>
          <w:sz w:val="22"/>
          <w:szCs w:val="22"/>
          <w:lang w:eastAsia="lt-LT"/>
        </w:rPr>
        <w:t xml:space="preserve">užpildyti ir </w:t>
      </w:r>
      <w:r w:rsidRPr="00701AC2">
        <w:rPr>
          <w:color w:val="auto"/>
          <w:sz w:val="22"/>
        </w:rPr>
        <w:t xml:space="preserve">pateikti Valstybinės vaistų kontrolės tarnybos prie Lietuvos Respublikos sveikatos apsaugos ministerijos </w:t>
      </w:r>
      <w:r w:rsidRPr="00CB25DC">
        <w:rPr>
          <w:color w:val="auto"/>
          <w:sz w:val="22"/>
          <w:szCs w:val="22"/>
          <w:lang w:eastAsia="lt-LT"/>
        </w:rPr>
        <w:t xml:space="preserve">tinklalapyje </w:t>
      </w:r>
      <w:r w:rsidRPr="00CB25DC">
        <w:rPr>
          <w:color w:val="0000EE"/>
          <w:sz w:val="22"/>
          <w:szCs w:val="22"/>
          <w:u w:val="single"/>
          <w:lang w:eastAsia="lt-LT"/>
        </w:rPr>
        <w:t>https://vvkt.lrv.lt/lt/</w:t>
      </w:r>
      <w:r w:rsidRPr="00CB25DC">
        <w:rPr>
          <w:color w:val="auto"/>
          <w:sz w:val="22"/>
          <w:szCs w:val="22"/>
          <w:lang w:eastAsia="lt-LT"/>
        </w:rPr>
        <w:t xml:space="preserve"> nurodytais būdais</w:t>
      </w:r>
      <w:r w:rsidRPr="00701AC2">
        <w:rPr>
          <w:color w:val="auto"/>
          <w:sz w:val="22"/>
        </w:rPr>
        <w:t xml:space="preserve"> arba </w:t>
      </w:r>
      <w:r w:rsidRPr="00CB25DC">
        <w:rPr>
          <w:color w:val="auto"/>
          <w:sz w:val="22"/>
          <w:szCs w:val="22"/>
          <w:lang w:eastAsia="lt-LT"/>
        </w:rPr>
        <w:t>paskambinti</w:t>
      </w:r>
      <w:r w:rsidRPr="00701AC2">
        <w:rPr>
          <w:color w:val="auto"/>
          <w:sz w:val="22"/>
        </w:rPr>
        <w:t xml:space="preserve"> nemokamu telefonu 8 800 73 568. Pranešdami apie šalutinį poveikį galite mums padėti gauti daugiau informacijos apie šio vaisto saugumą.</w:t>
      </w:r>
    </w:p>
    <w:p w14:paraId="04328780" w14:textId="38577657" w:rsidR="00823785" w:rsidRPr="00452D62" w:rsidRDefault="00823785" w:rsidP="00823785">
      <w:pPr>
        <w:tabs>
          <w:tab w:val="clear" w:pos="567"/>
        </w:tabs>
        <w:suppressAutoHyphens w:val="0"/>
        <w:spacing w:line="240" w:lineRule="auto"/>
        <w:rPr>
          <w:rFonts w:eastAsia="Calibri"/>
          <w:color w:val="auto"/>
          <w:sz w:val="22"/>
          <w:szCs w:val="22"/>
          <w:lang w:eastAsia="en-US"/>
        </w:rPr>
      </w:pPr>
    </w:p>
    <w:p w14:paraId="2184E808" w14:textId="77777777" w:rsidR="00823785" w:rsidRPr="00452D62" w:rsidRDefault="00823785" w:rsidP="00823785">
      <w:pPr>
        <w:rPr>
          <w:sz w:val="22"/>
          <w:szCs w:val="22"/>
        </w:rPr>
      </w:pPr>
    </w:p>
    <w:p w14:paraId="02C64D08" w14:textId="77777777" w:rsidR="00823785" w:rsidRPr="00452D62" w:rsidRDefault="00823785" w:rsidP="00823785">
      <w:pPr>
        <w:rPr>
          <w:sz w:val="22"/>
          <w:szCs w:val="22"/>
        </w:rPr>
      </w:pPr>
    </w:p>
    <w:p w14:paraId="0C85E262" w14:textId="77777777" w:rsidR="00823785" w:rsidRPr="00452D62" w:rsidRDefault="00823785" w:rsidP="00823785">
      <w:pPr>
        <w:widowControl w:val="0"/>
        <w:tabs>
          <w:tab w:val="clear" w:pos="567"/>
        </w:tabs>
        <w:suppressAutoHyphens w:val="0"/>
        <w:spacing w:line="240" w:lineRule="auto"/>
        <w:ind w:left="567" w:hanging="567"/>
        <w:outlineLvl w:val="0"/>
        <w:rPr>
          <w:b/>
          <w:color w:val="auto"/>
          <w:sz w:val="22"/>
          <w:szCs w:val="22"/>
          <w:lang w:eastAsia="en-US"/>
        </w:rPr>
      </w:pPr>
      <w:r w:rsidRPr="00452D62">
        <w:rPr>
          <w:b/>
          <w:color w:val="auto"/>
          <w:sz w:val="22"/>
          <w:szCs w:val="22"/>
          <w:lang w:eastAsia="en-US"/>
        </w:rPr>
        <w:t>5.</w:t>
      </w:r>
      <w:r w:rsidRPr="00452D62">
        <w:rPr>
          <w:b/>
          <w:color w:val="auto"/>
          <w:sz w:val="22"/>
          <w:szCs w:val="22"/>
          <w:lang w:eastAsia="en-US"/>
        </w:rPr>
        <w:tab/>
        <w:t>Kaip laikyti Xerdoxo</w:t>
      </w:r>
    </w:p>
    <w:p w14:paraId="074A7F1B" w14:textId="77777777" w:rsidR="00823785" w:rsidRPr="00452D62" w:rsidRDefault="00823785" w:rsidP="00823785">
      <w:pPr>
        <w:tabs>
          <w:tab w:val="clear" w:pos="567"/>
        </w:tabs>
        <w:spacing w:line="100" w:lineRule="atLeast"/>
        <w:ind w:right="-2"/>
        <w:rPr>
          <w:sz w:val="22"/>
          <w:szCs w:val="22"/>
        </w:rPr>
      </w:pPr>
    </w:p>
    <w:p w14:paraId="4FFAED70" w14:textId="77777777" w:rsidR="00823785" w:rsidRPr="00452D62" w:rsidRDefault="00823785" w:rsidP="00823785">
      <w:pPr>
        <w:tabs>
          <w:tab w:val="clear" w:pos="567"/>
        </w:tabs>
        <w:spacing w:line="100" w:lineRule="atLeast"/>
        <w:ind w:right="-2"/>
        <w:rPr>
          <w:sz w:val="22"/>
          <w:szCs w:val="22"/>
        </w:rPr>
      </w:pPr>
      <w:r w:rsidRPr="00452D62">
        <w:rPr>
          <w:sz w:val="22"/>
          <w:szCs w:val="22"/>
        </w:rPr>
        <w:t>Šį vaistą laikykite vaikams nepastebimoje ir nepasiekiamoje vietoje.</w:t>
      </w:r>
    </w:p>
    <w:p w14:paraId="6873CCF0" w14:textId="77777777" w:rsidR="00823785" w:rsidRPr="00452D62" w:rsidRDefault="00823785" w:rsidP="00823785">
      <w:pPr>
        <w:tabs>
          <w:tab w:val="clear" w:pos="567"/>
        </w:tabs>
        <w:spacing w:line="100" w:lineRule="atLeast"/>
        <w:ind w:right="-2"/>
        <w:rPr>
          <w:sz w:val="22"/>
          <w:szCs w:val="22"/>
        </w:rPr>
      </w:pPr>
    </w:p>
    <w:p w14:paraId="3D89F1AC" w14:textId="0E63AB45" w:rsidR="00823785" w:rsidRPr="00452D62" w:rsidRDefault="00823785" w:rsidP="00823785">
      <w:pPr>
        <w:tabs>
          <w:tab w:val="clear" w:pos="567"/>
        </w:tabs>
        <w:spacing w:line="100" w:lineRule="atLeast"/>
        <w:ind w:right="-2"/>
        <w:rPr>
          <w:sz w:val="22"/>
          <w:szCs w:val="22"/>
        </w:rPr>
      </w:pPr>
      <w:r w:rsidRPr="00452D62">
        <w:rPr>
          <w:sz w:val="22"/>
          <w:szCs w:val="22"/>
        </w:rPr>
        <w:t>Ant dėžutės ir lizdinės plokštelės po „EXP“ nurodytam tinkamumo laikui pasibaigus, šio vaisto vartoti draudžiama. Vaistas tinkamas vartoti iki paskutinės nurodyto mėnesio dienos.</w:t>
      </w:r>
    </w:p>
    <w:p w14:paraId="70092F32" w14:textId="77777777" w:rsidR="00823785" w:rsidRPr="00452D62" w:rsidRDefault="00823785" w:rsidP="00823785">
      <w:pPr>
        <w:tabs>
          <w:tab w:val="clear" w:pos="567"/>
        </w:tabs>
        <w:spacing w:line="100" w:lineRule="atLeast"/>
        <w:ind w:right="-2"/>
        <w:rPr>
          <w:sz w:val="22"/>
          <w:szCs w:val="22"/>
        </w:rPr>
      </w:pPr>
    </w:p>
    <w:p w14:paraId="2B647798" w14:textId="77777777" w:rsidR="00823785" w:rsidRPr="00452D62" w:rsidRDefault="00823785" w:rsidP="00823785">
      <w:pPr>
        <w:tabs>
          <w:tab w:val="clear" w:pos="567"/>
        </w:tabs>
        <w:spacing w:line="100" w:lineRule="atLeast"/>
        <w:ind w:right="-2"/>
        <w:rPr>
          <w:sz w:val="22"/>
          <w:szCs w:val="22"/>
        </w:rPr>
      </w:pPr>
      <w:r w:rsidRPr="00452D62">
        <w:rPr>
          <w:sz w:val="22"/>
          <w:szCs w:val="22"/>
        </w:rPr>
        <w:t>Šiam vaistui specialių laikymo sąlygų nereikia.</w:t>
      </w:r>
    </w:p>
    <w:p w14:paraId="484CC162" w14:textId="77777777" w:rsidR="00823785" w:rsidRPr="00452D62" w:rsidRDefault="00823785" w:rsidP="00823785">
      <w:pPr>
        <w:tabs>
          <w:tab w:val="clear" w:pos="567"/>
        </w:tabs>
        <w:spacing w:line="100" w:lineRule="atLeast"/>
        <w:ind w:right="-2"/>
        <w:rPr>
          <w:sz w:val="22"/>
          <w:szCs w:val="22"/>
        </w:rPr>
      </w:pPr>
    </w:p>
    <w:p w14:paraId="43A3AB29" w14:textId="77777777" w:rsidR="00823785" w:rsidRPr="00452D62" w:rsidRDefault="00823785" w:rsidP="00823785">
      <w:pPr>
        <w:tabs>
          <w:tab w:val="clear" w:pos="567"/>
        </w:tabs>
        <w:spacing w:line="100" w:lineRule="atLeast"/>
        <w:ind w:right="-2"/>
        <w:rPr>
          <w:sz w:val="22"/>
          <w:szCs w:val="22"/>
        </w:rPr>
      </w:pPr>
      <w:r w:rsidRPr="00452D62">
        <w:rPr>
          <w:sz w:val="22"/>
          <w:szCs w:val="22"/>
        </w:rPr>
        <w:t>Vaistų negalima išmesti į kanalizaciją arba su buitinėmis atliekomis. Kaip išmesti nereikalingus vaistus, klauskite vaistininko. Šios priemonės padės apsaugoti aplinką.</w:t>
      </w:r>
    </w:p>
    <w:p w14:paraId="78EA2692" w14:textId="77777777" w:rsidR="00823785" w:rsidRPr="00452D62" w:rsidRDefault="00823785" w:rsidP="00823785">
      <w:pPr>
        <w:tabs>
          <w:tab w:val="clear" w:pos="567"/>
        </w:tabs>
        <w:spacing w:line="100" w:lineRule="atLeast"/>
        <w:ind w:right="-2"/>
        <w:rPr>
          <w:sz w:val="22"/>
          <w:szCs w:val="22"/>
        </w:rPr>
      </w:pPr>
    </w:p>
    <w:p w14:paraId="49D6B7B5" w14:textId="77777777" w:rsidR="00823785" w:rsidRPr="00452D62" w:rsidRDefault="00823785" w:rsidP="00823785">
      <w:pPr>
        <w:tabs>
          <w:tab w:val="clear" w:pos="567"/>
        </w:tabs>
        <w:spacing w:line="100" w:lineRule="atLeast"/>
        <w:ind w:right="-2"/>
        <w:rPr>
          <w:sz w:val="22"/>
          <w:szCs w:val="22"/>
        </w:rPr>
      </w:pPr>
    </w:p>
    <w:p w14:paraId="4D528095" w14:textId="77777777" w:rsidR="00823785" w:rsidRPr="00452D62" w:rsidRDefault="00823785" w:rsidP="00823785">
      <w:pPr>
        <w:widowControl w:val="0"/>
        <w:tabs>
          <w:tab w:val="clear" w:pos="567"/>
        </w:tabs>
        <w:suppressAutoHyphens w:val="0"/>
        <w:spacing w:line="240" w:lineRule="auto"/>
        <w:ind w:left="567" w:hanging="567"/>
        <w:outlineLvl w:val="0"/>
        <w:rPr>
          <w:b/>
          <w:color w:val="auto"/>
          <w:sz w:val="22"/>
          <w:szCs w:val="22"/>
          <w:lang w:eastAsia="en-US"/>
        </w:rPr>
      </w:pPr>
      <w:r w:rsidRPr="00452D62">
        <w:rPr>
          <w:b/>
          <w:color w:val="auto"/>
          <w:sz w:val="22"/>
          <w:szCs w:val="22"/>
          <w:lang w:eastAsia="en-US"/>
        </w:rPr>
        <w:t>6.</w:t>
      </w:r>
      <w:r w:rsidRPr="00452D62">
        <w:rPr>
          <w:b/>
          <w:color w:val="auto"/>
          <w:sz w:val="22"/>
          <w:szCs w:val="22"/>
          <w:lang w:eastAsia="en-US"/>
        </w:rPr>
        <w:tab/>
        <w:t>Pakuotės turinys ir kita informacija</w:t>
      </w:r>
    </w:p>
    <w:p w14:paraId="711BA832" w14:textId="77777777" w:rsidR="00823785" w:rsidRPr="00452D62" w:rsidRDefault="00823785" w:rsidP="00823785">
      <w:pPr>
        <w:tabs>
          <w:tab w:val="clear" w:pos="567"/>
        </w:tabs>
        <w:spacing w:line="100" w:lineRule="atLeast"/>
        <w:rPr>
          <w:sz w:val="22"/>
          <w:szCs w:val="22"/>
        </w:rPr>
      </w:pPr>
    </w:p>
    <w:p w14:paraId="4D107EB9" w14:textId="77777777" w:rsidR="00823785" w:rsidRPr="00452D62" w:rsidRDefault="00823785" w:rsidP="00823785">
      <w:pPr>
        <w:tabs>
          <w:tab w:val="clear" w:pos="567"/>
        </w:tabs>
        <w:spacing w:line="100" w:lineRule="atLeast"/>
        <w:ind w:right="-2"/>
        <w:rPr>
          <w:sz w:val="22"/>
          <w:szCs w:val="22"/>
        </w:rPr>
      </w:pPr>
      <w:r w:rsidRPr="00452D62">
        <w:rPr>
          <w:b/>
          <w:sz w:val="22"/>
          <w:szCs w:val="22"/>
        </w:rPr>
        <w:t xml:space="preserve">Xerdoxo sudėtis </w:t>
      </w:r>
    </w:p>
    <w:p w14:paraId="0CDA6317" w14:textId="77777777" w:rsidR="00823785" w:rsidRPr="00452D62" w:rsidRDefault="00823785" w:rsidP="00823785">
      <w:pPr>
        <w:widowControl w:val="0"/>
        <w:numPr>
          <w:ilvl w:val="0"/>
          <w:numId w:val="1"/>
        </w:numPr>
        <w:tabs>
          <w:tab w:val="clear" w:pos="208"/>
          <w:tab w:val="num" w:pos="567"/>
        </w:tabs>
        <w:spacing w:line="100" w:lineRule="atLeast"/>
        <w:ind w:left="567" w:right="-2" w:hanging="567"/>
        <w:rPr>
          <w:sz w:val="22"/>
          <w:szCs w:val="22"/>
        </w:rPr>
      </w:pPr>
      <w:r w:rsidRPr="00452D62">
        <w:rPr>
          <w:sz w:val="22"/>
          <w:szCs w:val="22"/>
        </w:rPr>
        <w:t>Veiklioji medžiaga yra rivaroksabanas. Kiekvienoje plėvele dengtoje tabletėje yra 2,5 mg rivaroksabano.</w:t>
      </w:r>
    </w:p>
    <w:p w14:paraId="311821B4" w14:textId="20AE2A5E" w:rsidR="00823785" w:rsidRPr="00452D62" w:rsidRDefault="00823785" w:rsidP="00823785">
      <w:pPr>
        <w:widowControl w:val="0"/>
        <w:numPr>
          <w:ilvl w:val="0"/>
          <w:numId w:val="1"/>
        </w:numPr>
        <w:tabs>
          <w:tab w:val="clear" w:pos="208"/>
          <w:tab w:val="num" w:pos="567"/>
        </w:tabs>
        <w:spacing w:line="100" w:lineRule="atLeast"/>
        <w:ind w:left="567" w:right="-2" w:hanging="567"/>
        <w:rPr>
          <w:iCs/>
          <w:sz w:val="22"/>
          <w:szCs w:val="22"/>
        </w:rPr>
      </w:pPr>
      <w:r w:rsidRPr="00452D62">
        <w:rPr>
          <w:sz w:val="22"/>
          <w:szCs w:val="22"/>
        </w:rPr>
        <w:t>Pagalbinės medžiagos. Tabletės branduolys: m</w:t>
      </w:r>
      <w:r w:rsidRPr="00452D62">
        <w:rPr>
          <w:iCs/>
          <w:sz w:val="22"/>
          <w:szCs w:val="22"/>
        </w:rPr>
        <w:t>anitolis, mikrokristalinė celiuliozė, makrogolis, poloksameras, natrio laurilsulfatas, kroskarmeliozės natrio druska, bevandenis koloidinis silicio dioksidas ir natrio stearilfumaratas. Tabletės plėvelė: hipromeliozė, makrogolis, titano dioksidas (E171) ir geltonasis geležies oksidas (E172). Žr. 2 skyrių „Xerdoxo sudėtyje yra natrio“.</w:t>
      </w:r>
    </w:p>
    <w:p w14:paraId="05D1C0A6" w14:textId="77777777" w:rsidR="00823785" w:rsidRPr="00452D62" w:rsidRDefault="00823785" w:rsidP="00823785">
      <w:pPr>
        <w:widowControl w:val="0"/>
        <w:tabs>
          <w:tab w:val="clear" w:pos="567"/>
        </w:tabs>
        <w:spacing w:line="100" w:lineRule="atLeast"/>
        <w:ind w:right="-2"/>
        <w:rPr>
          <w:iCs/>
          <w:sz w:val="22"/>
          <w:szCs w:val="22"/>
        </w:rPr>
      </w:pPr>
    </w:p>
    <w:p w14:paraId="5AD85401" w14:textId="77777777" w:rsidR="00823785" w:rsidRPr="00452D62" w:rsidRDefault="00823785" w:rsidP="00823785">
      <w:pPr>
        <w:tabs>
          <w:tab w:val="clear" w:pos="567"/>
        </w:tabs>
        <w:spacing w:line="100" w:lineRule="atLeast"/>
        <w:ind w:right="-2"/>
        <w:rPr>
          <w:sz w:val="22"/>
          <w:szCs w:val="22"/>
        </w:rPr>
      </w:pPr>
      <w:r w:rsidRPr="00452D62">
        <w:rPr>
          <w:b/>
          <w:sz w:val="22"/>
          <w:szCs w:val="22"/>
        </w:rPr>
        <w:t>Xerdoxo išvaizda ir kiekis pakuotėje</w:t>
      </w:r>
    </w:p>
    <w:p w14:paraId="381B90F1" w14:textId="77777777" w:rsidR="00823785" w:rsidRPr="00452D62" w:rsidRDefault="00823785" w:rsidP="00823785">
      <w:pPr>
        <w:rPr>
          <w:sz w:val="22"/>
          <w:szCs w:val="22"/>
        </w:rPr>
      </w:pPr>
      <w:r w:rsidRPr="00452D62">
        <w:rPr>
          <w:sz w:val="22"/>
          <w:szCs w:val="22"/>
        </w:rPr>
        <w:t>Xerdoxo plėvele dengta tabletė (tabletė) yra šviesiai rusvai geltona arba rusvai geltona, apvali, šiek tiek abipus išgaubta, vienoje pusėje įspausta „2.5“.</w:t>
      </w:r>
    </w:p>
    <w:p w14:paraId="14943A94" w14:textId="549C29BF" w:rsidR="00823785" w:rsidRPr="00452D62" w:rsidRDefault="00823785" w:rsidP="00823785">
      <w:pPr>
        <w:rPr>
          <w:sz w:val="22"/>
          <w:szCs w:val="22"/>
        </w:rPr>
      </w:pPr>
      <w:r w:rsidRPr="00452D62">
        <w:rPr>
          <w:sz w:val="22"/>
          <w:szCs w:val="22"/>
        </w:rPr>
        <w:t>Išmatavimai: skersmuo − apytiksliai 6,5 mm.</w:t>
      </w:r>
    </w:p>
    <w:p w14:paraId="15980F1E" w14:textId="77777777" w:rsidR="00823785" w:rsidRPr="00452D62" w:rsidRDefault="00823785" w:rsidP="00823785">
      <w:pPr>
        <w:rPr>
          <w:sz w:val="22"/>
          <w:szCs w:val="22"/>
        </w:rPr>
      </w:pPr>
    </w:p>
    <w:p w14:paraId="0588B317" w14:textId="77777777" w:rsidR="00823785" w:rsidRPr="00452D62" w:rsidRDefault="00823785" w:rsidP="00823785">
      <w:pPr>
        <w:rPr>
          <w:sz w:val="22"/>
          <w:szCs w:val="22"/>
        </w:rPr>
      </w:pPr>
      <w:r w:rsidRPr="00452D62">
        <w:rPr>
          <w:sz w:val="22"/>
          <w:szCs w:val="22"/>
        </w:rPr>
        <w:t>Xerdoxo tiekiamas kartono dėžutėse, kuriose yra:</w:t>
      </w:r>
    </w:p>
    <w:p w14:paraId="684B2DE1" w14:textId="77777777" w:rsidR="00823785" w:rsidRPr="00452D62" w:rsidRDefault="00823785" w:rsidP="00823785">
      <w:pPr>
        <w:numPr>
          <w:ilvl w:val="0"/>
          <w:numId w:val="14"/>
        </w:numPr>
        <w:ind w:left="567" w:hanging="567"/>
        <w:rPr>
          <w:sz w:val="22"/>
          <w:szCs w:val="22"/>
        </w:rPr>
      </w:pPr>
      <w:r w:rsidRPr="00452D62">
        <w:rPr>
          <w:sz w:val="22"/>
          <w:szCs w:val="22"/>
        </w:rPr>
        <w:t>10, 15, 30, 60, 90 ar 100 plėvele dengtų tablečių neperforuotose lizdinėse plokštelėse.</w:t>
      </w:r>
    </w:p>
    <w:p w14:paraId="272BF73E" w14:textId="77777777" w:rsidR="00823785" w:rsidRPr="00452D62" w:rsidRDefault="00823785" w:rsidP="00823785">
      <w:pPr>
        <w:numPr>
          <w:ilvl w:val="0"/>
          <w:numId w:val="14"/>
        </w:numPr>
        <w:ind w:left="567" w:hanging="567"/>
        <w:rPr>
          <w:sz w:val="22"/>
          <w:szCs w:val="22"/>
        </w:rPr>
      </w:pPr>
      <w:r w:rsidRPr="00452D62">
        <w:rPr>
          <w:sz w:val="22"/>
          <w:szCs w:val="22"/>
        </w:rPr>
        <w:t>10 x 1, 30 x 1, 60 x 1, 90 x 1 ar 100 x 1 plėvele dengtų tablečių perforuotose dalomosiose lizdinėse plokštelėse.</w:t>
      </w:r>
    </w:p>
    <w:p w14:paraId="5CB8CB94" w14:textId="77777777" w:rsidR="00823785" w:rsidRPr="00452D62" w:rsidRDefault="00823785" w:rsidP="00823785">
      <w:pPr>
        <w:numPr>
          <w:ilvl w:val="0"/>
          <w:numId w:val="14"/>
        </w:numPr>
        <w:ind w:left="567" w:hanging="567"/>
        <w:rPr>
          <w:sz w:val="22"/>
          <w:szCs w:val="22"/>
        </w:rPr>
      </w:pPr>
      <w:r w:rsidRPr="00452D62">
        <w:rPr>
          <w:sz w:val="22"/>
          <w:szCs w:val="22"/>
        </w:rPr>
        <w:t>14, 28, 42, 56 ar 98 plėvele dengtos tabletės kalendorinėse neperforuotose lizdinėse plokštelėse.</w:t>
      </w:r>
    </w:p>
    <w:p w14:paraId="3866E69A" w14:textId="77777777" w:rsidR="00823785" w:rsidRPr="00452D62" w:rsidRDefault="00823785" w:rsidP="00823785">
      <w:pPr>
        <w:rPr>
          <w:sz w:val="22"/>
          <w:szCs w:val="22"/>
        </w:rPr>
      </w:pPr>
    </w:p>
    <w:p w14:paraId="5EA962C2" w14:textId="77777777" w:rsidR="00823785" w:rsidRPr="00452D62" w:rsidRDefault="00823785" w:rsidP="00823785">
      <w:pPr>
        <w:rPr>
          <w:sz w:val="22"/>
          <w:szCs w:val="22"/>
        </w:rPr>
      </w:pPr>
      <w:r w:rsidRPr="00452D62">
        <w:rPr>
          <w:sz w:val="22"/>
          <w:szCs w:val="22"/>
        </w:rPr>
        <w:t>Kiekvienoje vaisto pakuotėje yra paciento budrumo kortelė.</w:t>
      </w:r>
    </w:p>
    <w:p w14:paraId="233E8AE3" w14:textId="77777777" w:rsidR="00823785" w:rsidRPr="00452D62" w:rsidRDefault="00823785" w:rsidP="00823785">
      <w:pPr>
        <w:rPr>
          <w:sz w:val="22"/>
          <w:szCs w:val="22"/>
        </w:rPr>
      </w:pPr>
    </w:p>
    <w:p w14:paraId="3162FB36" w14:textId="77777777" w:rsidR="00823785" w:rsidRPr="00452D62" w:rsidRDefault="00823785" w:rsidP="00823785">
      <w:pPr>
        <w:rPr>
          <w:b/>
          <w:sz w:val="22"/>
          <w:szCs w:val="22"/>
        </w:rPr>
      </w:pPr>
      <w:r w:rsidRPr="00452D62">
        <w:rPr>
          <w:sz w:val="22"/>
          <w:szCs w:val="22"/>
        </w:rPr>
        <w:t>Gali būti tiekiamos ne visų dydžių pakuotės.</w:t>
      </w:r>
    </w:p>
    <w:p w14:paraId="3D4C0ACD" w14:textId="77777777" w:rsidR="00823785" w:rsidRPr="00452D62" w:rsidRDefault="00823785" w:rsidP="00823785">
      <w:pPr>
        <w:tabs>
          <w:tab w:val="clear" w:pos="567"/>
        </w:tabs>
        <w:spacing w:line="100" w:lineRule="atLeast"/>
        <w:ind w:right="-2"/>
        <w:rPr>
          <w:b/>
          <w:sz w:val="22"/>
          <w:szCs w:val="22"/>
        </w:rPr>
      </w:pPr>
    </w:p>
    <w:p w14:paraId="29473F8D" w14:textId="77777777" w:rsidR="00823785" w:rsidRPr="00452D62" w:rsidRDefault="00823785" w:rsidP="00823785">
      <w:pPr>
        <w:tabs>
          <w:tab w:val="clear" w:pos="567"/>
        </w:tabs>
        <w:spacing w:line="100" w:lineRule="atLeast"/>
        <w:ind w:right="-2"/>
        <w:rPr>
          <w:sz w:val="22"/>
          <w:szCs w:val="22"/>
        </w:rPr>
      </w:pPr>
      <w:r w:rsidRPr="00452D62">
        <w:rPr>
          <w:b/>
          <w:sz w:val="22"/>
          <w:szCs w:val="22"/>
        </w:rPr>
        <w:t>Registruotojas ir gamintojas</w:t>
      </w:r>
    </w:p>
    <w:p w14:paraId="2D5DDF56" w14:textId="77777777" w:rsidR="00823785" w:rsidRPr="00452D62" w:rsidRDefault="00823785" w:rsidP="00823785">
      <w:pPr>
        <w:tabs>
          <w:tab w:val="clear" w:pos="567"/>
        </w:tabs>
        <w:spacing w:line="100" w:lineRule="atLeast"/>
        <w:ind w:right="-2"/>
        <w:rPr>
          <w:sz w:val="22"/>
          <w:szCs w:val="22"/>
        </w:rPr>
      </w:pPr>
    </w:p>
    <w:p w14:paraId="054DBB4A" w14:textId="77777777" w:rsidR="00823785" w:rsidRPr="00452D62" w:rsidRDefault="00823785" w:rsidP="00823785">
      <w:pPr>
        <w:widowControl w:val="0"/>
        <w:numPr>
          <w:ilvl w:val="12"/>
          <w:numId w:val="0"/>
        </w:numPr>
        <w:tabs>
          <w:tab w:val="clear" w:pos="567"/>
        </w:tabs>
        <w:suppressAutoHyphens w:val="0"/>
        <w:spacing w:line="240" w:lineRule="auto"/>
        <w:rPr>
          <w:bCs/>
          <w:i/>
          <w:color w:val="auto"/>
          <w:sz w:val="22"/>
          <w:szCs w:val="22"/>
          <w:lang w:eastAsia="en-US"/>
        </w:rPr>
      </w:pPr>
      <w:r w:rsidRPr="00452D62">
        <w:rPr>
          <w:bCs/>
          <w:i/>
          <w:color w:val="auto"/>
          <w:sz w:val="22"/>
          <w:szCs w:val="22"/>
          <w:lang w:eastAsia="en-US"/>
        </w:rPr>
        <w:t>Registruotojas</w:t>
      </w:r>
    </w:p>
    <w:p w14:paraId="1216BF95" w14:textId="77777777" w:rsidR="00823785" w:rsidRPr="00452D62" w:rsidRDefault="00823785" w:rsidP="00823785">
      <w:pPr>
        <w:widowControl w:val="0"/>
        <w:tabs>
          <w:tab w:val="clear" w:pos="567"/>
          <w:tab w:val="left" w:pos="540"/>
        </w:tabs>
        <w:suppressAutoHyphens w:val="0"/>
        <w:spacing w:line="240" w:lineRule="auto"/>
        <w:rPr>
          <w:rFonts w:eastAsia="Calibri"/>
          <w:color w:val="auto"/>
          <w:sz w:val="22"/>
          <w:szCs w:val="22"/>
          <w:lang w:eastAsia="en-US"/>
        </w:rPr>
      </w:pPr>
      <w:r w:rsidRPr="00452D62">
        <w:rPr>
          <w:rFonts w:eastAsia="Calibri"/>
          <w:color w:val="auto"/>
          <w:sz w:val="22"/>
          <w:szCs w:val="22"/>
          <w:lang w:eastAsia="en-US"/>
        </w:rPr>
        <w:t>KRKA d.d. Novo mesto</w:t>
      </w:r>
    </w:p>
    <w:p w14:paraId="0DC0655D" w14:textId="77777777" w:rsidR="00823785" w:rsidRPr="00452D62" w:rsidRDefault="00823785" w:rsidP="00823785">
      <w:pPr>
        <w:widowControl w:val="0"/>
        <w:tabs>
          <w:tab w:val="clear" w:pos="567"/>
          <w:tab w:val="left" w:pos="540"/>
        </w:tabs>
        <w:suppressAutoHyphens w:val="0"/>
        <w:spacing w:line="240" w:lineRule="auto"/>
        <w:rPr>
          <w:rFonts w:eastAsia="Calibri"/>
          <w:color w:val="auto"/>
          <w:sz w:val="22"/>
          <w:szCs w:val="22"/>
          <w:lang w:eastAsia="en-US"/>
        </w:rPr>
      </w:pPr>
      <w:r w:rsidRPr="00452D62">
        <w:rPr>
          <w:rFonts w:eastAsia="Calibri"/>
          <w:color w:val="auto"/>
          <w:sz w:val="22"/>
          <w:szCs w:val="22"/>
          <w:lang w:eastAsia="en-US"/>
        </w:rPr>
        <w:t>Šmarješka cesta 6</w:t>
      </w:r>
    </w:p>
    <w:p w14:paraId="28FD5709" w14:textId="77777777" w:rsidR="00823785" w:rsidRPr="00452D62" w:rsidRDefault="00823785" w:rsidP="00823785">
      <w:pPr>
        <w:widowControl w:val="0"/>
        <w:tabs>
          <w:tab w:val="clear" w:pos="567"/>
          <w:tab w:val="left" w:pos="540"/>
        </w:tabs>
        <w:suppressAutoHyphens w:val="0"/>
        <w:spacing w:line="240" w:lineRule="auto"/>
        <w:rPr>
          <w:rFonts w:eastAsia="Calibri"/>
          <w:color w:val="auto"/>
          <w:sz w:val="22"/>
          <w:szCs w:val="22"/>
          <w:lang w:eastAsia="en-US"/>
        </w:rPr>
      </w:pPr>
      <w:r w:rsidRPr="00452D62">
        <w:rPr>
          <w:rFonts w:eastAsia="Calibri"/>
          <w:color w:val="auto"/>
          <w:sz w:val="22"/>
          <w:szCs w:val="22"/>
          <w:lang w:eastAsia="en-US"/>
        </w:rPr>
        <w:t>8501 Novo mesto</w:t>
      </w:r>
    </w:p>
    <w:p w14:paraId="1A00BB3B" w14:textId="77777777" w:rsidR="00823785" w:rsidRPr="00452D62" w:rsidRDefault="00823785" w:rsidP="00823785">
      <w:pPr>
        <w:widowControl w:val="0"/>
        <w:tabs>
          <w:tab w:val="clear" w:pos="567"/>
          <w:tab w:val="left" w:pos="540"/>
        </w:tabs>
        <w:suppressAutoHyphens w:val="0"/>
        <w:spacing w:line="240" w:lineRule="auto"/>
        <w:rPr>
          <w:rFonts w:eastAsia="Calibri"/>
          <w:color w:val="auto"/>
          <w:sz w:val="22"/>
          <w:szCs w:val="22"/>
          <w:lang w:eastAsia="en-US"/>
        </w:rPr>
      </w:pPr>
      <w:r w:rsidRPr="00452D62">
        <w:rPr>
          <w:rFonts w:eastAsia="Calibri"/>
          <w:color w:val="auto"/>
          <w:sz w:val="22"/>
          <w:szCs w:val="22"/>
          <w:lang w:eastAsia="en-US"/>
        </w:rPr>
        <w:t>Slovėnija</w:t>
      </w:r>
    </w:p>
    <w:p w14:paraId="291B7A70" w14:textId="77777777" w:rsidR="00823785" w:rsidRPr="00452D62" w:rsidRDefault="00823785" w:rsidP="00823785">
      <w:pPr>
        <w:widowControl w:val="0"/>
        <w:numPr>
          <w:ilvl w:val="12"/>
          <w:numId w:val="0"/>
        </w:numPr>
        <w:tabs>
          <w:tab w:val="clear" w:pos="567"/>
        </w:tabs>
        <w:suppressAutoHyphens w:val="0"/>
        <w:spacing w:line="240" w:lineRule="auto"/>
        <w:ind w:right="-2"/>
        <w:rPr>
          <w:color w:val="auto"/>
          <w:sz w:val="22"/>
          <w:szCs w:val="22"/>
          <w:lang w:eastAsia="en-US"/>
        </w:rPr>
      </w:pPr>
    </w:p>
    <w:p w14:paraId="1E34D06A" w14:textId="77777777" w:rsidR="00823785" w:rsidRPr="00452D62" w:rsidRDefault="00823785" w:rsidP="00823785">
      <w:pPr>
        <w:widowControl w:val="0"/>
        <w:tabs>
          <w:tab w:val="clear" w:pos="567"/>
        </w:tabs>
        <w:suppressAutoHyphens w:val="0"/>
        <w:spacing w:line="240" w:lineRule="auto"/>
        <w:ind w:left="142" w:hanging="142"/>
        <w:rPr>
          <w:i/>
          <w:color w:val="auto"/>
          <w:sz w:val="22"/>
          <w:szCs w:val="22"/>
          <w:lang w:eastAsia="en-US"/>
        </w:rPr>
      </w:pPr>
      <w:r w:rsidRPr="00452D62">
        <w:rPr>
          <w:bCs/>
          <w:i/>
          <w:color w:val="auto"/>
          <w:sz w:val="22"/>
          <w:szCs w:val="22"/>
          <w:lang w:eastAsia="en-US"/>
        </w:rPr>
        <w:t>Gamintojas</w:t>
      </w:r>
    </w:p>
    <w:p w14:paraId="6B2C2F0C" w14:textId="77777777" w:rsidR="00823785" w:rsidRPr="00452D62" w:rsidRDefault="00823785" w:rsidP="00823785">
      <w:pPr>
        <w:widowControl w:val="0"/>
        <w:suppressAutoHyphens w:val="0"/>
        <w:spacing w:line="240" w:lineRule="auto"/>
        <w:jc w:val="both"/>
        <w:rPr>
          <w:snapToGrid w:val="0"/>
          <w:color w:val="auto"/>
          <w:sz w:val="22"/>
          <w:szCs w:val="22"/>
          <w:lang w:eastAsia="en-US"/>
        </w:rPr>
      </w:pPr>
      <w:r w:rsidRPr="00452D62">
        <w:rPr>
          <w:snapToGrid w:val="0"/>
          <w:color w:val="auto"/>
          <w:sz w:val="22"/>
          <w:szCs w:val="22"/>
          <w:lang w:eastAsia="en-US"/>
        </w:rPr>
        <w:t>KRKA, d.d., Novo mesto</w:t>
      </w:r>
    </w:p>
    <w:p w14:paraId="1915D693" w14:textId="77777777" w:rsidR="00823785" w:rsidRPr="00452D62" w:rsidRDefault="00823785" w:rsidP="00823785">
      <w:pPr>
        <w:widowControl w:val="0"/>
        <w:suppressAutoHyphens w:val="0"/>
        <w:spacing w:line="240" w:lineRule="auto"/>
        <w:jc w:val="both"/>
        <w:rPr>
          <w:snapToGrid w:val="0"/>
          <w:color w:val="auto"/>
          <w:sz w:val="22"/>
          <w:szCs w:val="22"/>
          <w:lang w:eastAsia="en-US"/>
        </w:rPr>
      </w:pPr>
      <w:r w:rsidRPr="00452D62">
        <w:rPr>
          <w:snapToGrid w:val="0"/>
          <w:color w:val="auto"/>
          <w:sz w:val="22"/>
          <w:szCs w:val="22"/>
          <w:lang w:eastAsia="en-US"/>
        </w:rPr>
        <w:t>Šmarješka cesta 6</w:t>
      </w:r>
    </w:p>
    <w:p w14:paraId="75D57893" w14:textId="77777777" w:rsidR="00823785" w:rsidRPr="00452D62" w:rsidRDefault="00823785" w:rsidP="00823785">
      <w:pPr>
        <w:widowControl w:val="0"/>
        <w:suppressAutoHyphens w:val="0"/>
        <w:spacing w:line="240" w:lineRule="auto"/>
        <w:jc w:val="both"/>
        <w:rPr>
          <w:snapToGrid w:val="0"/>
          <w:color w:val="auto"/>
          <w:sz w:val="22"/>
          <w:szCs w:val="22"/>
          <w:lang w:eastAsia="en-US"/>
        </w:rPr>
      </w:pPr>
      <w:r w:rsidRPr="00452D62">
        <w:rPr>
          <w:snapToGrid w:val="0"/>
          <w:color w:val="auto"/>
          <w:sz w:val="22"/>
          <w:szCs w:val="22"/>
          <w:lang w:eastAsia="en-US"/>
        </w:rPr>
        <w:t>8501 Novo mesto</w:t>
      </w:r>
    </w:p>
    <w:p w14:paraId="197FA1EE" w14:textId="77777777" w:rsidR="00823785" w:rsidRPr="00452D62" w:rsidRDefault="00823785" w:rsidP="00823785">
      <w:pPr>
        <w:widowControl w:val="0"/>
        <w:suppressAutoHyphens w:val="0"/>
        <w:spacing w:line="240" w:lineRule="auto"/>
        <w:jc w:val="both"/>
        <w:rPr>
          <w:snapToGrid w:val="0"/>
          <w:color w:val="auto"/>
          <w:sz w:val="22"/>
          <w:szCs w:val="22"/>
          <w:lang w:eastAsia="en-US"/>
        </w:rPr>
      </w:pPr>
      <w:r w:rsidRPr="00452D62">
        <w:rPr>
          <w:snapToGrid w:val="0"/>
          <w:color w:val="auto"/>
          <w:sz w:val="22"/>
          <w:szCs w:val="22"/>
          <w:lang w:eastAsia="en-US"/>
        </w:rPr>
        <w:t>Slovėnija</w:t>
      </w:r>
    </w:p>
    <w:p w14:paraId="5073EB1F" w14:textId="77777777" w:rsidR="00823785" w:rsidRPr="00AE1B80" w:rsidRDefault="00823785" w:rsidP="00823785">
      <w:pPr>
        <w:widowControl w:val="0"/>
        <w:suppressAutoHyphens w:val="0"/>
        <w:spacing w:line="240" w:lineRule="auto"/>
        <w:rPr>
          <w:rFonts w:eastAsia="Calibri"/>
          <w:sz w:val="22"/>
          <w:lang w:val="pt-PT"/>
        </w:rPr>
      </w:pPr>
    </w:p>
    <w:p w14:paraId="0A0FDEEE" w14:textId="77777777" w:rsidR="00823785" w:rsidRPr="00AE1B80" w:rsidRDefault="00823785" w:rsidP="00823785">
      <w:pPr>
        <w:widowControl w:val="0"/>
        <w:suppressAutoHyphens w:val="0"/>
        <w:spacing w:line="240" w:lineRule="auto"/>
        <w:rPr>
          <w:rFonts w:eastAsia="Calibri"/>
          <w:sz w:val="22"/>
          <w:lang w:val="pt-PT"/>
        </w:rPr>
      </w:pPr>
      <w:r w:rsidRPr="00AE1B80">
        <w:rPr>
          <w:rFonts w:eastAsia="Calibri"/>
          <w:sz w:val="22"/>
          <w:lang w:val="pt-PT"/>
        </w:rPr>
        <w:t>arba</w:t>
      </w:r>
    </w:p>
    <w:p w14:paraId="1DE7FBB2" w14:textId="77777777" w:rsidR="00823785" w:rsidRPr="00AE1B80" w:rsidRDefault="00823785" w:rsidP="00823785">
      <w:pPr>
        <w:widowControl w:val="0"/>
        <w:suppressAutoHyphens w:val="0"/>
        <w:spacing w:line="240" w:lineRule="auto"/>
        <w:rPr>
          <w:rFonts w:eastAsia="Calibri"/>
          <w:sz w:val="22"/>
          <w:lang w:val="pt-PT"/>
        </w:rPr>
      </w:pPr>
    </w:p>
    <w:p w14:paraId="67AFAE15" w14:textId="77777777" w:rsidR="00823785" w:rsidRPr="00AE1B80" w:rsidRDefault="00823785" w:rsidP="00823785">
      <w:pPr>
        <w:widowControl w:val="0"/>
        <w:suppressAutoHyphens w:val="0"/>
        <w:spacing w:line="240" w:lineRule="auto"/>
        <w:rPr>
          <w:rFonts w:eastAsia="Calibri"/>
          <w:sz w:val="22"/>
          <w:lang w:val="pt-PT"/>
        </w:rPr>
      </w:pPr>
      <w:r w:rsidRPr="00AE1B80">
        <w:rPr>
          <w:rFonts w:eastAsia="Calibri"/>
          <w:sz w:val="22"/>
          <w:lang w:val="pt-PT"/>
        </w:rPr>
        <w:t>TAD Pharma GmbH</w:t>
      </w:r>
    </w:p>
    <w:p w14:paraId="59B65456" w14:textId="77777777" w:rsidR="00823785" w:rsidRPr="00AE1B80" w:rsidRDefault="00823785" w:rsidP="00823785">
      <w:pPr>
        <w:widowControl w:val="0"/>
        <w:suppressAutoHyphens w:val="0"/>
        <w:spacing w:line="240" w:lineRule="auto"/>
        <w:rPr>
          <w:rFonts w:eastAsia="Calibri"/>
          <w:sz w:val="22"/>
          <w:lang w:val="pt-PT"/>
        </w:rPr>
      </w:pPr>
      <w:r w:rsidRPr="00AE1B80">
        <w:rPr>
          <w:rFonts w:eastAsia="Calibri"/>
          <w:sz w:val="22"/>
          <w:lang w:val="pt-PT"/>
        </w:rPr>
        <w:t>Heinz-Lohmann - Stra</w:t>
      </w:r>
      <w:r w:rsidRPr="00452D62">
        <w:rPr>
          <w:rFonts w:eastAsia="Calibri"/>
          <w:sz w:val="22"/>
          <w:szCs w:val="22"/>
          <w:lang w:val="en-GB" w:eastAsia="en-US"/>
        </w:rPr>
        <w:t>β</w:t>
      </w:r>
      <w:r w:rsidRPr="00AE1B80">
        <w:rPr>
          <w:rFonts w:eastAsia="Calibri"/>
          <w:sz w:val="22"/>
          <w:lang w:val="pt-PT"/>
        </w:rPr>
        <w:t>e 5</w:t>
      </w:r>
    </w:p>
    <w:p w14:paraId="42CE58FC" w14:textId="77777777" w:rsidR="00823785" w:rsidRPr="00AE1B80" w:rsidRDefault="00823785" w:rsidP="00823785">
      <w:pPr>
        <w:widowControl w:val="0"/>
        <w:suppressAutoHyphens w:val="0"/>
        <w:spacing w:line="240" w:lineRule="auto"/>
        <w:rPr>
          <w:rFonts w:eastAsia="Calibri"/>
          <w:sz w:val="22"/>
          <w:lang w:val="pt-PT"/>
        </w:rPr>
      </w:pPr>
      <w:r w:rsidRPr="00AE1B80">
        <w:rPr>
          <w:rFonts w:eastAsia="Calibri"/>
          <w:sz w:val="22"/>
          <w:lang w:val="pt-PT"/>
        </w:rPr>
        <w:t>27472 Cuxhaven</w:t>
      </w:r>
    </w:p>
    <w:p w14:paraId="01388B0D" w14:textId="77777777" w:rsidR="00823785" w:rsidRPr="00AE1B80" w:rsidRDefault="00823785" w:rsidP="00823785">
      <w:pPr>
        <w:widowControl w:val="0"/>
        <w:suppressAutoHyphens w:val="0"/>
        <w:spacing w:line="240" w:lineRule="auto"/>
        <w:rPr>
          <w:rFonts w:eastAsia="Calibri"/>
          <w:sz w:val="22"/>
          <w:lang w:val="pt-PT"/>
        </w:rPr>
      </w:pPr>
      <w:r w:rsidRPr="00AE1B80">
        <w:rPr>
          <w:rFonts w:eastAsia="Calibri"/>
          <w:sz w:val="22"/>
          <w:lang w:val="pt-PT"/>
        </w:rPr>
        <w:t>Vokietija</w:t>
      </w:r>
    </w:p>
    <w:p w14:paraId="713B1A7B" w14:textId="77777777" w:rsidR="00823785" w:rsidRPr="00452D62" w:rsidRDefault="00823785" w:rsidP="00823785">
      <w:pPr>
        <w:tabs>
          <w:tab w:val="clear" w:pos="567"/>
        </w:tabs>
        <w:spacing w:line="100" w:lineRule="atLeast"/>
        <w:ind w:right="-2"/>
        <w:rPr>
          <w:sz w:val="22"/>
          <w:szCs w:val="22"/>
        </w:rPr>
      </w:pPr>
    </w:p>
    <w:p w14:paraId="0373D9B3" w14:textId="77777777" w:rsidR="00823785" w:rsidRPr="00452D62" w:rsidRDefault="00823785" w:rsidP="00823785">
      <w:pPr>
        <w:tabs>
          <w:tab w:val="clear" w:pos="567"/>
        </w:tabs>
        <w:spacing w:line="100" w:lineRule="atLeast"/>
        <w:rPr>
          <w:sz w:val="22"/>
          <w:szCs w:val="22"/>
        </w:rPr>
      </w:pPr>
      <w:r w:rsidRPr="00452D62">
        <w:rPr>
          <w:sz w:val="22"/>
          <w:szCs w:val="22"/>
        </w:rPr>
        <w:t>Jeigu apie šį vaistą norite sužinoti daugiau, kreipkitės į vietinį registruotojo atstovą.</w:t>
      </w:r>
    </w:p>
    <w:p w14:paraId="0E734E2B" w14:textId="77777777" w:rsidR="00823785" w:rsidRPr="00452D62" w:rsidRDefault="00823785" w:rsidP="00823785">
      <w:pPr>
        <w:tabs>
          <w:tab w:val="clear" w:pos="567"/>
        </w:tabs>
        <w:spacing w:line="100" w:lineRule="atLeast"/>
        <w:rPr>
          <w:sz w:val="22"/>
          <w:szCs w:val="22"/>
        </w:rPr>
      </w:pPr>
    </w:p>
    <w:p w14:paraId="788A8C8D" w14:textId="77777777" w:rsidR="00823785" w:rsidRPr="00452D62" w:rsidRDefault="00823785" w:rsidP="00823785">
      <w:pPr>
        <w:numPr>
          <w:ilvl w:val="12"/>
          <w:numId w:val="0"/>
        </w:numPr>
        <w:tabs>
          <w:tab w:val="clear" w:pos="567"/>
          <w:tab w:val="left" w:pos="1296"/>
        </w:tabs>
        <w:spacing w:line="240" w:lineRule="auto"/>
        <w:ind w:right="-2"/>
        <w:rPr>
          <w:sz w:val="22"/>
          <w:szCs w:val="22"/>
        </w:rPr>
      </w:pPr>
      <w:r w:rsidRPr="00452D62">
        <w:rPr>
          <w:sz w:val="22"/>
          <w:szCs w:val="22"/>
        </w:rPr>
        <w:t>UAB KRKA Lietuva</w:t>
      </w:r>
    </w:p>
    <w:p w14:paraId="763F019E" w14:textId="77777777" w:rsidR="00823785" w:rsidRPr="00452D62" w:rsidRDefault="00823785" w:rsidP="00823785">
      <w:pPr>
        <w:numPr>
          <w:ilvl w:val="12"/>
          <w:numId w:val="0"/>
        </w:numPr>
        <w:tabs>
          <w:tab w:val="clear" w:pos="567"/>
          <w:tab w:val="left" w:pos="1296"/>
        </w:tabs>
        <w:spacing w:line="240" w:lineRule="auto"/>
        <w:ind w:right="-2"/>
        <w:rPr>
          <w:sz w:val="22"/>
          <w:szCs w:val="22"/>
        </w:rPr>
      </w:pPr>
      <w:r w:rsidRPr="00452D62">
        <w:rPr>
          <w:sz w:val="22"/>
          <w:szCs w:val="22"/>
        </w:rPr>
        <w:t>Senasis Ukmergės kelias 4,</w:t>
      </w:r>
    </w:p>
    <w:p w14:paraId="6A2E091A" w14:textId="77777777" w:rsidR="00823785" w:rsidRPr="00452D62" w:rsidRDefault="00823785" w:rsidP="00823785">
      <w:pPr>
        <w:numPr>
          <w:ilvl w:val="12"/>
          <w:numId w:val="0"/>
        </w:numPr>
        <w:tabs>
          <w:tab w:val="clear" w:pos="567"/>
          <w:tab w:val="left" w:pos="1296"/>
        </w:tabs>
        <w:spacing w:line="240" w:lineRule="auto"/>
        <w:ind w:right="-2"/>
        <w:rPr>
          <w:sz w:val="22"/>
          <w:szCs w:val="22"/>
        </w:rPr>
      </w:pPr>
      <w:r w:rsidRPr="00452D62">
        <w:rPr>
          <w:sz w:val="22"/>
          <w:szCs w:val="22"/>
        </w:rPr>
        <w:t>Užubalių km., Vilniaus r.</w:t>
      </w:r>
    </w:p>
    <w:p w14:paraId="03200A48" w14:textId="77777777" w:rsidR="00823785" w:rsidRPr="00452D62" w:rsidRDefault="00823785" w:rsidP="00823785">
      <w:pPr>
        <w:numPr>
          <w:ilvl w:val="12"/>
          <w:numId w:val="0"/>
        </w:numPr>
        <w:tabs>
          <w:tab w:val="clear" w:pos="567"/>
          <w:tab w:val="left" w:pos="1296"/>
        </w:tabs>
        <w:spacing w:line="240" w:lineRule="auto"/>
        <w:ind w:right="-2"/>
        <w:rPr>
          <w:sz w:val="22"/>
          <w:szCs w:val="22"/>
        </w:rPr>
      </w:pPr>
      <w:r w:rsidRPr="00452D62">
        <w:rPr>
          <w:sz w:val="22"/>
          <w:szCs w:val="22"/>
        </w:rPr>
        <w:t>LT - 14013</w:t>
      </w:r>
    </w:p>
    <w:p w14:paraId="7F372BD7" w14:textId="77777777" w:rsidR="00823785" w:rsidRPr="00452D62" w:rsidRDefault="00823785" w:rsidP="00823785">
      <w:pPr>
        <w:numPr>
          <w:ilvl w:val="12"/>
          <w:numId w:val="0"/>
        </w:numPr>
        <w:tabs>
          <w:tab w:val="clear" w:pos="567"/>
          <w:tab w:val="left" w:pos="1296"/>
        </w:tabs>
        <w:spacing w:line="240" w:lineRule="auto"/>
        <w:ind w:right="-2"/>
        <w:rPr>
          <w:sz w:val="22"/>
          <w:szCs w:val="22"/>
        </w:rPr>
      </w:pPr>
      <w:r w:rsidRPr="00452D62">
        <w:rPr>
          <w:sz w:val="22"/>
          <w:szCs w:val="22"/>
        </w:rPr>
        <w:t>Tel. + 370 5 236 27 40</w:t>
      </w:r>
    </w:p>
    <w:p w14:paraId="0299E673" w14:textId="77777777" w:rsidR="00823785" w:rsidRPr="00452D62" w:rsidRDefault="00823785" w:rsidP="00823785">
      <w:pPr>
        <w:ind w:right="-2"/>
        <w:rPr>
          <w:sz w:val="22"/>
          <w:szCs w:val="22"/>
        </w:rPr>
      </w:pPr>
    </w:p>
    <w:p w14:paraId="652A8040" w14:textId="77777777" w:rsidR="00823785" w:rsidRPr="00452D62" w:rsidRDefault="00823785" w:rsidP="00823785">
      <w:pPr>
        <w:ind w:right="-2"/>
        <w:rPr>
          <w:b/>
          <w:sz w:val="22"/>
          <w:szCs w:val="22"/>
        </w:rPr>
      </w:pPr>
      <w:r w:rsidRPr="00452D62">
        <w:rPr>
          <w:b/>
          <w:sz w:val="22"/>
          <w:szCs w:val="22"/>
        </w:rPr>
        <w:t>Šis vaistas Europos ekonominės erdvės valstybėse narėse registruotas tokiais pavadinimais:</w:t>
      </w:r>
    </w:p>
    <w:p w14:paraId="2A86F31E" w14:textId="77777777" w:rsidR="00823785" w:rsidRPr="008C3DF7" w:rsidRDefault="00823785" w:rsidP="00823785">
      <w:pPr>
        <w:numPr>
          <w:ilvl w:val="12"/>
          <w:numId w:val="0"/>
        </w:numPr>
        <w:suppressAutoHyphens w:val="0"/>
        <w:ind w:right="-2"/>
        <w:rPr>
          <w:snapToGrid w:val="0"/>
          <w:color w:val="auto"/>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91"/>
        <w:gridCol w:w="2461"/>
      </w:tblGrid>
      <w:tr w:rsidR="00823785" w:rsidRPr="00452D62" w14:paraId="789C5AF4" w14:textId="77777777" w:rsidTr="006453B9">
        <w:tc>
          <w:tcPr>
            <w:tcW w:w="6091" w:type="dxa"/>
            <w:shd w:val="clear" w:color="auto" w:fill="auto"/>
          </w:tcPr>
          <w:p w14:paraId="1629848B" w14:textId="77777777" w:rsidR="00823785" w:rsidRPr="00452D62" w:rsidRDefault="00823785" w:rsidP="006453B9">
            <w:pPr>
              <w:numPr>
                <w:ilvl w:val="12"/>
                <w:numId w:val="0"/>
              </w:numPr>
              <w:tabs>
                <w:tab w:val="clear" w:pos="567"/>
              </w:tabs>
              <w:suppressAutoHyphens w:val="0"/>
              <w:spacing w:line="240" w:lineRule="auto"/>
              <w:rPr>
                <w:color w:val="auto"/>
                <w:sz w:val="22"/>
                <w:szCs w:val="22"/>
                <w:lang w:eastAsia="lt-LT"/>
              </w:rPr>
            </w:pPr>
            <w:r w:rsidRPr="00452D62">
              <w:rPr>
                <w:color w:val="auto"/>
                <w:sz w:val="22"/>
                <w:szCs w:val="22"/>
                <w:lang w:eastAsia="lt-LT"/>
              </w:rPr>
              <w:t>Valstybės narės pavadinimas</w:t>
            </w:r>
          </w:p>
        </w:tc>
        <w:tc>
          <w:tcPr>
            <w:tcW w:w="2461" w:type="dxa"/>
            <w:shd w:val="clear" w:color="auto" w:fill="auto"/>
          </w:tcPr>
          <w:p w14:paraId="51CE7647" w14:textId="77777777" w:rsidR="00823785" w:rsidRPr="00452D62" w:rsidRDefault="00823785" w:rsidP="006453B9">
            <w:pPr>
              <w:numPr>
                <w:ilvl w:val="12"/>
                <w:numId w:val="0"/>
              </w:numPr>
              <w:tabs>
                <w:tab w:val="clear" w:pos="567"/>
              </w:tabs>
              <w:suppressAutoHyphens w:val="0"/>
              <w:spacing w:line="240" w:lineRule="auto"/>
              <w:rPr>
                <w:color w:val="auto"/>
                <w:sz w:val="22"/>
                <w:szCs w:val="22"/>
                <w:lang w:eastAsia="lt-LT"/>
              </w:rPr>
            </w:pPr>
            <w:r w:rsidRPr="00452D62">
              <w:rPr>
                <w:color w:val="auto"/>
                <w:sz w:val="22"/>
                <w:szCs w:val="22"/>
                <w:lang w:eastAsia="lt-LT"/>
              </w:rPr>
              <w:t>Vaisto pavadinimas</w:t>
            </w:r>
          </w:p>
        </w:tc>
      </w:tr>
      <w:tr w:rsidR="00823785" w:rsidRPr="00452D62" w14:paraId="59ABA3CF" w14:textId="77777777" w:rsidTr="006453B9">
        <w:tc>
          <w:tcPr>
            <w:tcW w:w="6091" w:type="dxa"/>
            <w:shd w:val="clear" w:color="auto" w:fill="auto"/>
          </w:tcPr>
          <w:p w14:paraId="215A48B1" w14:textId="77777777" w:rsidR="00823785" w:rsidRPr="00452D62" w:rsidRDefault="00823785" w:rsidP="006453B9">
            <w:pPr>
              <w:numPr>
                <w:ilvl w:val="12"/>
                <w:numId w:val="0"/>
              </w:numPr>
              <w:tabs>
                <w:tab w:val="clear" w:pos="567"/>
              </w:tabs>
              <w:suppressAutoHyphens w:val="0"/>
              <w:spacing w:line="240" w:lineRule="auto"/>
              <w:rPr>
                <w:color w:val="auto"/>
                <w:sz w:val="22"/>
                <w:szCs w:val="22"/>
                <w:lang w:eastAsia="lt-LT"/>
              </w:rPr>
            </w:pPr>
            <w:r w:rsidRPr="00452D62">
              <w:rPr>
                <w:color w:val="auto"/>
                <w:sz w:val="22"/>
                <w:szCs w:val="22"/>
                <w:lang w:eastAsia="lt-LT"/>
              </w:rPr>
              <w:t>Danija, Slovakija, Bulgarija, Čekija, Slovėnija, Estija, Kroatija, Latvija, Lietuva, Lenkija, Vengrija, Rumunija</w:t>
            </w:r>
          </w:p>
        </w:tc>
        <w:tc>
          <w:tcPr>
            <w:tcW w:w="2461" w:type="dxa"/>
            <w:shd w:val="clear" w:color="auto" w:fill="auto"/>
          </w:tcPr>
          <w:p w14:paraId="1FA36021" w14:textId="77777777" w:rsidR="00823785" w:rsidRPr="00452D62" w:rsidRDefault="00823785" w:rsidP="006453B9">
            <w:pPr>
              <w:numPr>
                <w:ilvl w:val="12"/>
                <w:numId w:val="0"/>
              </w:numPr>
              <w:tabs>
                <w:tab w:val="clear" w:pos="567"/>
              </w:tabs>
              <w:suppressAutoHyphens w:val="0"/>
              <w:spacing w:line="240" w:lineRule="auto"/>
              <w:rPr>
                <w:color w:val="auto"/>
                <w:sz w:val="22"/>
                <w:szCs w:val="22"/>
                <w:lang w:eastAsia="lt-LT"/>
              </w:rPr>
            </w:pPr>
            <w:r w:rsidRPr="00452D62">
              <w:rPr>
                <w:color w:val="auto"/>
                <w:sz w:val="22"/>
                <w:szCs w:val="22"/>
                <w:lang w:eastAsia="lt-LT"/>
              </w:rPr>
              <w:t xml:space="preserve">Xerdoxo </w:t>
            </w:r>
          </w:p>
        </w:tc>
      </w:tr>
    </w:tbl>
    <w:p w14:paraId="28B82387" w14:textId="77777777" w:rsidR="00823785" w:rsidRPr="00452D62" w:rsidRDefault="00823785" w:rsidP="00823785">
      <w:pPr>
        <w:ind w:left="567" w:hanging="567"/>
        <w:rPr>
          <w:sz w:val="22"/>
          <w:szCs w:val="22"/>
        </w:rPr>
      </w:pPr>
    </w:p>
    <w:p w14:paraId="3B37B807" w14:textId="224021CD" w:rsidR="00823785" w:rsidRPr="000877E9" w:rsidRDefault="00823785" w:rsidP="00823785">
      <w:pPr>
        <w:tabs>
          <w:tab w:val="clear" w:pos="567"/>
        </w:tabs>
        <w:spacing w:line="100" w:lineRule="atLeast"/>
        <w:ind w:right="-2"/>
        <w:rPr>
          <w:i/>
          <w:sz w:val="22"/>
          <w:szCs w:val="22"/>
        </w:rPr>
      </w:pPr>
      <w:r w:rsidRPr="000877E9">
        <w:rPr>
          <w:b/>
          <w:sz w:val="22"/>
          <w:szCs w:val="22"/>
        </w:rPr>
        <w:t xml:space="preserve">Šis pakuotės lapelis paskutinį kartą peržiūrėtas </w:t>
      </w:r>
      <w:r w:rsidR="002F0C63">
        <w:rPr>
          <w:b/>
          <w:sz w:val="22"/>
          <w:szCs w:val="22"/>
        </w:rPr>
        <w:t>2024-10-09</w:t>
      </w:r>
      <w:r w:rsidRPr="000877E9">
        <w:rPr>
          <w:b/>
          <w:sz w:val="22"/>
          <w:szCs w:val="22"/>
        </w:rPr>
        <w:t>.</w:t>
      </w:r>
    </w:p>
    <w:p w14:paraId="639BB10B" w14:textId="77777777" w:rsidR="00823785" w:rsidRPr="00452D62" w:rsidRDefault="00823785" w:rsidP="00823785">
      <w:pPr>
        <w:spacing w:line="100" w:lineRule="atLeast"/>
        <w:ind w:right="-2"/>
        <w:rPr>
          <w:i/>
          <w:sz w:val="22"/>
          <w:szCs w:val="22"/>
        </w:rPr>
      </w:pPr>
    </w:p>
    <w:p w14:paraId="66E3DE4B" w14:textId="6DBC08E6" w:rsidR="00823785" w:rsidRPr="000877E9" w:rsidRDefault="00823785" w:rsidP="00823785">
      <w:pPr>
        <w:widowControl w:val="0"/>
        <w:spacing w:line="100" w:lineRule="atLeast"/>
        <w:rPr>
          <w:sz w:val="22"/>
          <w:szCs w:val="22"/>
        </w:rPr>
      </w:pPr>
      <w:r w:rsidRPr="00452D62">
        <w:rPr>
          <w:sz w:val="22"/>
          <w:szCs w:val="22"/>
        </w:rPr>
        <w:t>Išsami informacija apie šį vaistą pateikiama Valstybinės vaistų kontrolės tarnybos prie Lietuvos Respublikos sveikatos apsaugos ministerijos tinklalapyje</w:t>
      </w:r>
      <w:r w:rsidRPr="00452D62">
        <w:rPr>
          <w:i/>
          <w:sz w:val="22"/>
          <w:szCs w:val="22"/>
        </w:rPr>
        <w:t xml:space="preserve"> </w:t>
      </w:r>
      <w:r w:rsidR="008F1A36" w:rsidRPr="008F1A36">
        <w:rPr>
          <w:color w:val="0000EE"/>
          <w:sz w:val="22"/>
          <w:szCs w:val="22"/>
          <w:u w:val="single"/>
          <w:lang w:eastAsia="lt-LT"/>
        </w:rPr>
        <w:t>https://vvkt.lrv.lt/lt/.</w:t>
      </w:r>
    </w:p>
    <w:p w14:paraId="4ED3C148" w14:textId="77777777" w:rsidR="00823785" w:rsidRPr="00452D62" w:rsidRDefault="00823785" w:rsidP="00823785">
      <w:pPr>
        <w:widowControl w:val="0"/>
        <w:spacing w:line="100" w:lineRule="atLeast"/>
        <w:jc w:val="center"/>
        <w:rPr>
          <w:sz w:val="22"/>
          <w:szCs w:val="22"/>
        </w:rPr>
      </w:pPr>
      <w:r w:rsidRPr="00452D62">
        <w:rPr>
          <w:sz w:val="22"/>
          <w:szCs w:val="22"/>
        </w:rPr>
        <w:br w:type="page"/>
      </w:r>
      <w:r w:rsidRPr="00452D62">
        <w:rPr>
          <w:b/>
          <w:sz w:val="22"/>
          <w:szCs w:val="22"/>
        </w:rPr>
        <w:t>Pakuotės lapelis: informacija pacientui</w:t>
      </w:r>
    </w:p>
    <w:p w14:paraId="2CAABF6C" w14:textId="77777777" w:rsidR="00823785" w:rsidRPr="00452D62" w:rsidRDefault="00823785" w:rsidP="00823785">
      <w:pPr>
        <w:shd w:val="clear" w:color="auto" w:fill="FFFFFF"/>
        <w:tabs>
          <w:tab w:val="clear" w:pos="567"/>
          <w:tab w:val="center" w:pos="4536"/>
          <w:tab w:val="right" w:pos="8306"/>
        </w:tabs>
        <w:spacing w:line="100" w:lineRule="atLeast"/>
        <w:jc w:val="center"/>
        <w:rPr>
          <w:sz w:val="22"/>
          <w:szCs w:val="22"/>
        </w:rPr>
      </w:pPr>
    </w:p>
    <w:p w14:paraId="2D7E6B07" w14:textId="77777777" w:rsidR="00823785" w:rsidRPr="00452D62" w:rsidRDefault="00823785" w:rsidP="00823785">
      <w:pPr>
        <w:tabs>
          <w:tab w:val="clear" w:pos="567"/>
          <w:tab w:val="left" w:pos="993"/>
          <w:tab w:val="center" w:pos="4536"/>
          <w:tab w:val="right" w:pos="8306"/>
        </w:tabs>
        <w:spacing w:line="100" w:lineRule="atLeast"/>
        <w:jc w:val="center"/>
        <w:rPr>
          <w:sz w:val="22"/>
          <w:szCs w:val="22"/>
        </w:rPr>
      </w:pPr>
      <w:r w:rsidRPr="00452D62">
        <w:rPr>
          <w:b/>
          <w:sz w:val="22"/>
          <w:szCs w:val="22"/>
        </w:rPr>
        <w:t>Xerdoxo 10 mg plėvele dengtos tabletės</w:t>
      </w:r>
    </w:p>
    <w:p w14:paraId="65DCA862" w14:textId="77777777" w:rsidR="00823785" w:rsidRPr="00452D62" w:rsidRDefault="00823785" w:rsidP="00823785">
      <w:pPr>
        <w:tabs>
          <w:tab w:val="clear" w:pos="567"/>
          <w:tab w:val="center" w:pos="4536"/>
          <w:tab w:val="right" w:pos="8306"/>
        </w:tabs>
        <w:spacing w:line="100" w:lineRule="atLeast"/>
        <w:jc w:val="center"/>
        <w:rPr>
          <w:b/>
          <w:sz w:val="22"/>
          <w:szCs w:val="22"/>
        </w:rPr>
      </w:pPr>
      <w:r w:rsidRPr="00452D62">
        <w:rPr>
          <w:sz w:val="22"/>
          <w:szCs w:val="22"/>
        </w:rPr>
        <w:t>rivaroksabanas</w:t>
      </w:r>
    </w:p>
    <w:p w14:paraId="5D34A452" w14:textId="77777777" w:rsidR="00823785" w:rsidRPr="00452D62" w:rsidRDefault="00823785" w:rsidP="00823785">
      <w:pPr>
        <w:tabs>
          <w:tab w:val="clear" w:pos="567"/>
          <w:tab w:val="center" w:pos="4536"/>
          <w:tab w:val="right" w:pos="8306"/>
        </w:tabs>
        <w:spacing w:line="100" w:lineRule="atLeast"/>
        <w:ind w:left="142" w:hanging="142"/>
        <w:rPr>
          <w:sz w:val="22"/>
          <w:szCs w:val="22"/>
        </w:rPr>
      </w:pPr>
    </w:p>
    <w:p w14:paraId="4790CD22" w14:textId="77777777" w:rsidR="00823785" w:rsidRPr="00452D62" w:rsidRDefault="00823785" w:rsidP="00823785">
      <w:pPr>
        <w:tabs>
          <w:tab w:val="clear" w:pos="567"/>
          <w:tab w:val="center" w:pos="4536"/>
          <w:tab w:val="right" w:pos="8306"/>
        </w:tabs>
        <w:spacing w:line="100" w:lineRule="atLeast"/>
        <w:ind w:left="142" w:hanging="142"/>
        <w:rPr>
          <w:sz w:val="22"/>
          <w:szCs w:val="22"/>
        </w:rPr>
      </w:pPr>
    </w:p>
    <w:p w14:paraId="191A680C" w14:textId="77777777" w:rsidR="00823785" w:rsidRPr="00452D62" w:rsidRDefault="00823785" w:rsidP="00823785">
      <w:pPr>
        <w:tabs>
          <w:tab w:val="clear" w:pos="567"/>
          <w:tab w:val="center" w:pos="4536"/>
          <w:tab w:val="right" w:pos="8306"/>
        </w:tabs>
        <w:spacing w:line="100" w:lineRule="atLeast"/>
        <w:rPr>
          <w:sz w:val="22"/>
          <w:szCs w:val="22"/>
        </w:rPr>
      </w:pPr>
      <w:r w:rsidRPr="00452D62">
        <w:rPr>
          <w:b/>
          <w:sz w:val="22"/>
          <w:szCs w:val="22"/>
        </w:rPr>
        <w:t>Atidžiai perskaitykite visą šį lapelį, prieš pradėdami vartoti vaistą, nes jame pateikiama Jums svarbi informacija.</w:t>
      </w:r>
    </w:p>
    <w:p w14:paraId="25164DE8" w14:textId="77777777" w:rsidR="00823785" w:rsidRPr="00452D62" w:rsidRDefault="00823785" w:rsidP="00823785">
      <w:pPr>
        <w:numPr>
          <w:ilvl w:val="0"/>
          <w:numId w:val="5"/>
        </w:numPr>
        <w:tabs>
          <w:tab w:val="center" w:pos="4536"/>
          <w:tab w:val="right" w:pos="8306"/>
        </w:tabs>
        <w:spacing w:line="100" w:lineRule="atLeast"/>
        <w:ind w:left="567" w:right="-2" w:hanging="567"/>
        <w:rPr>
          <w:sz w:val="22"/>
          <w:szCs w:val="22"/>
        </w:rPr>
      </w:pPr>
      <w:r w:rsidRPr="00452D62">
        <w:rPr>
          <w:sz w:val="22"/>
          <w:szCs w:val="22"/>
        </w:rPr>
        <w:t xml:space="preserve">Neišmeskite šio lapelio, nes vėl gali prireikti jį perskaityti. </w:t>
      </w:r>
    </w:p>
    <w:p w14:paraId="63B783F0" w14:textId="77777777" w:rsidR="00823785" w:rsidRPr="00452D62" w:rsidRDefault="00823785" w:rsidP="00823785">
      <w:pPr>
        <w:numPr>
          <w:ilvl w:val="0"/>
          <w:numId w:val="5"/>
        </w:numPr>
        <w:tabs>
          <w:tab w:val="center" w:pos="4536"/>
          <w:tab w:val="right" w:pos="8306"/>
        </w:tabs>
        <w:spacing w:line="100" w:lineRule="atLeast"/>
        <w:ind w:left="567" w:right="-2" w:hanging="567"/>
        <w:rPr>
          <w:sz w:val="22"/>
          <w:szCs w:val="22"/>
        </w:rPr>
      </w:pPr>
      <w:r w:rsidRPr="00452D62">
        <w:rPr>
          <w:sz w:val="22"/>
          <w:szCs w:val="22"/>
        </w:rPr>
        <w:t>Jeigu kiltų daugiau klausimų, kreipkitės į gydytoją arba vaistininką.</w:t>
      </w:r>
    </w:p>
    <w:p w14:paraId="124D730B" w14:textId="77777777" w:rsidR="00823785" w:rsidRPr="00452D62" w:rsidRDefault="00823785" w:rsidP="00823785">
      <w:pPr>
        <w:numPr>
          <w:ilvl w:val="0"/>
          <w:numId w:val="5"/>
        </w:numPr>
        <w:spacing w:line="100" w:lineRule="atLeast"/>
        <w:ind w:left="567" w:right="-2" w:hanging="567"/>
        <w:rPr>
          <w:sz w:val="22"/>
          <w:szCs w:val="22"/>
        </w:rPr>
      </w:pPr>
      <w:r w:rsidRPr="00452D62">
        <w:rPr>
          <w:sz w:val="22"/>
          <w:szCs w:val="22"/>
        </w:rPr>
        <w:t>Šis vaistas skirtas tik Jums, todėl kitiems žmonėms jo duoti negalima. Vaistas gali jiems pakenkti (net tiems, kurių ligos požymiai yra tokie patys kaip Jūsų).</w:t>
      </w:r>
    </w:p>
    <w:p w14:paraId="40433334" w14:textId="77777777" w:rsidR="00823785" w:rsidRPr="00452D62" w:rsidRDefault="00823785" w:rsidP="00823785">
      <w:pPr>
        <w:numPr>
          <w:ilvl w:val="0"/>
          <w:numId w:val="5"/>
        </w:numPr>
        <w:ind w:left="567" w:hanging="567"/>
        <w:rPr>
          <w:sz w:val="22"/>
          <w:szCs w:val="22"/>
        </w:rPr>
      </w:pPr>
      <w:r w:rsidRPr="00452D62">
        <w:rPr>
          <w:sz w:val="22"/>
          <w:szCs w:val="22"/>
        </w:rPr>
        <w:t>Jeigu pasireiškė šalutinis poveikis (net jeigu jis šiame lapelyje nenurodytas),</w:t>
      </w:r>
      <w:r w:rsidRPr="00452D62">
        <w:rPr>
          <w:color w:val="FF0000"/>
          <w:sz w:val="22"/>
          <w:szCs w:val="22"/>
        </w:rPr>
        <w:t xml:space="preserve"> </w:t>
      </w:r>
      <w:r w:rsidRPr="00452D62">
        <w:rPr>
          <w:sz w:val="22"/>
          <w:szCs w:val="22"/>
        </w:rPr>
        <w:t>kreipkitės į gydytoją arba vaistininką. Žr. 4 skyrių.</w:t>
      </w:r>
    </w:p>
    <w:p w14:paraId="6D10334C" w14:textId="77777777" w:rsidR="00823785" w:rsidRPr="00452D62" w:rsidRDefault="00823785" w:rsidP="00823785">
      <w:pPr>
        <w:tabs>
          <w:tab w:val="clear" w:pos="567"/>
          <w:tab w:val="center" w:pos="4536"/>
          <w:tab w:val="right" w:pos="8306"/>
        </w:tabs>
        <w:spacing w:line="100" w:lineRule="atLeast"/>
        <w:ind w:right="-2"/>
        <w:rPr>
          <w:sz w:val="22"/>
          <w:szCs w:val="22"/>
        </w:rPr>
      </w:pPr>
    </w:p>
    <w:p w14:paraId="218CC98C" w14:textId="77777777" w:rsidR="00823785" w:rsidRPr="00452D62" w:rsidRDefault="00823785" w:rsidP="00823785">
      <w:pPr>
        <w:widowControl w:val="0"/>
        <w:tabs>
          <w:tab w:val="clear" w:pos="567"/>
          <w:tab w:val="center" w:pos="4536"/>
          <w:tab w:val="right" w:pos="8306"/>
        </w:tabs>
        <w:spacing w:line="100" w:lineRule="atLeast"/>
        <w:rPr>
          <w:sz w:val="22"/>
          <w:szCs w:val="22"/>
        </w:rPr>
      </w:pPr>
      <w:r w:rsidRPr="00452D62">
        <w:rPr>
          <w:b/>
          <w:sz w:val="22"/>
          <w:szCs w:val="22"/>
        </w:rPr>
        <w:t>Apie ką rašoma šiame lapelyje?</w:t>
      </w:r>
    </w:p>
    <w:p w14:paraId="311CB8BB" w14:textId="77777777" w:rsidR="00823785" w:rsidRPr="00452D62" w:rsidRDefault="00823785" w:rsidP="00823785">
      <w:pPr>
        <w:tabs>
          <w:tab w:val="clear" w:pos="567"/>
          <w:tab w:val="center" w:pos="4536"/>
          <w:tab w:val="right" w:pos="8306"/>
        </w:tabs>
        <w:spacing w:line="100" w:lineRule="atLeast"/>
        <w:ind w:left="567" w:right="-29" w:hanging="567"/>
        <w:rPr>
          <w:sz w:val="22"/>
          <w:szCs w:val="22"/>
        </w:rPr>
      </w:pPr>
      <w:r w:rsidRPr="00452D62">
        <w:rPr>
          <w:sz w:val="22"/>
          <w:szCs w:val="22"/>
        </w:rPr>
        <w:t>1.</w:t>
      </w:r>
      <w:r w:rsidRPr="00452D62">
        <w:rPr>
          <w:sz w:val="22"/>
          <w:szCs w:val="22"/>
        </w:rPr>
        <w:tab/>
        <w:t>Kas yra Xerdoxo ir kam jis vartojamas</w:t>
      </w:r>
    </w:p>
    <w:p w14:paraId="35E7B29A" w14:textId="77777777" w:rsidR="00823785" w:rsidRPr="00452D62" w:rsidRDefault="00823785" w:rsidP="00823785">
      <w:pPr>
        <w:tabs>
          <w:tab w:val="clear" w:pos="567"/>
          <w:tab w:val="center" w:pos="4536"/>
          <w:tab w:val="right" w:pos="8306"/>
        </w:tabs>
        <w:spacing w:line="100" w:lineRule="atLeast"/>
        <w:ind w:left="567" w:right="-29" w:hanging="567"/>
        <w:rPr>
          <w:sz w:val="22"/>
          <w:szCs w:val="22"/>
        </w:rPr>
      </w:pPr>
      <w:r w:rsidRPr="00452D62">
        <w:rPr>
          <w:sz w:val="22"/>
          <w:szCs w:val="22"/>
        </w:rPr>
        <w:t>2.</w:t>
      </w:r>
      <w:r w:rsidRPr="00452D62">
        <w:rPr>
          <w:sz w:val="22"/>
          <w:szCs w:val="22"/>
        </w:rPr>
        <w:tab/>
        <w:t>Kas žinotina prieš vartojant Xerdoxo</w:t>
      </w:r>
    </w:p>
    <w:p w14:paraId="14BBA187" w14:textId="77777777" w:rsidR="00823785" w:rsidRPr="00452D62" w:rsidRDefault="00823785" w:rsidP="00823785">
      <w:pPr>
        <w:tabs>
          <w:tab w:val="clear" w:pos="567"/>
          <w:tab w:val="center" w:pos="4536"/>
          <w:tab w:val="right" w:pos="8306"/>
        </w:tabs>
        <w:spacing w:line="100" w:lineRule="atLeast"/>
        <w:ind w:left="567" w:right="-29" w:hanging="567"/>
        <w:rPr>
          <w:sz w:val="22"/>
          <w:szCs w:val="22"/>
        </w:rPr>
      </w:pPr>
      <w:r w:rsidRPr="00452D62">
        <w:rPr>
          <w:sz w:val="22"/>
          <w:szCs w:val="22"/>
        </w:rPr>
        <w:t>3.</w:t>
      </w:r>
      <w:r w:rsidRPr="00452D62">
        <w:rPr>
          <w:sz w:val="22"/>
          <w:szCs w:val="22"/>
        </w:rPr>
        <w:tab/>
        <w:t>Kaip vartoti Xerdoxo</w:t>
      </w:r>
    </w:p>
    <w:p w14:paraId="7D307AE0" w14:textId="77777777" w:rsidR="00823785" w:rsidRPr="00452D62" w:rsidRDefault="00823785" w:rsidP="00823785">
      <w:pPr>
        <w:tabs>
          <w:tab w:val="clear" w:pos="567"/>
          <w:tab w:val="center" w:pos="4536"/>
          <w:tab w:val="right" w:pos="8306"/>
        </w:tabs>
        <w:spacing w:line="100" w:lineRule="atLeast"/>
        <w:ind w:left="567" w:right="-29" w:hanging="567"/>
        <w:rPr>
          <w:sz w:val="22"/>
          <w:szCs w:val="22"/>
        </w:rPr>
      </w:pPr>
      <w:r w:rsidRPr="00452D62">
        <w:rPr>
          <w:sz w:val="22"/>
          <w:szCs w:val="22"/>
        </w:rPr>
        <w:t>4.</w:t>
      </w:r>
      <w:r w:rsidRPr="00452D62">
        <w:rPr>
          <w:sz w:val="22"/>
          <w:szCs w:val="22"/>
        </w:rPr>
        <w:tab/>
        <w:t>Galimas šalutinis poveikis</w:t>
      </w:r>
    </w:p>
    <w:p w14:paraId="47E6E47A" w14:textId="77777777" w:rsidR="00823785" w:rsidRPr="00452D62" w:rsidRDefault="00823785" w:rsidP="00823785">
      <w:pPr>
        <w:tabs>
          <w:tab w:val="clear" w:pos="567"/>
          <w:tab w:val="center" w:pos="4536"/>
          <w:tab w:val="right" w:pos="8306"/>
        </w:tabs>
        <w:spacing w:line="100" w:lineRule="atLeast"/>
        <w:ind w:left="567" w:right="-29" w:hanging="567"/>
        <w:rPr>
          <w:sz w:val="22"/>
          <w:szCs w:val="22"/>
        </w:rPr>
      </w:pPr>
      <w:r w:rsidRPr="00452D62">
        <w:rPr>
          <w:sz w:val="22"/>
          <w:szCs w:val="22"/>
        </w:rPr>
        <w:t>5.</w:t>
      </w:r>
      <w:r w:rsidRPr="00452D62">
        <w:rPr>
          <w:sz w:val="22"/>
          <w:szCs w:val="22"/>
        </w:rPr>
        <w:tab/>
        <w:t>Kaip laikyti Xerdoxo</w:t>
      </w:r>
    </w:p>
    <w:p w14:paraId="7FD7F4F5" w14:textId="77777777" w:rsidR="00823785" w:rsidRPr="00452D62" w:rsidRDefault="00823785" w:rsidP="00823785">
      <w:pPr>
        <w:tabs>
          <w:tab w:val="clear" w:pos="567"/>
          <w:tab w:val="center" w:pos="4536"/>
          <w:tab w:val="right" w:pos="8306"/>
        </w:tabs>
        <w:spacing w:line="100" w:lineRule="atLeast"/>
        <w:ind w:left="567" w:right="-29" w:hanging="567"/>
        <w:rPr>
          <w:sz w:val="22"/>
          <w:szCs w:val="22"/>
        </w:rPr>
      </w:pPr>
      <w:r w:rsidRPr="00452D62">
        <w:rPr>
          <w:sz w:val="22"/>
          <w:szCs w:val="22"/>
        </w:rPr>
        <w:t>6.</w:t>
      </w:r>
      <w:r w:rsidRPr="00452D62">
        <w:rPr>
          <w:sz w:val="22"/>
          <w:szCs w:val="22"/>
        </w:rPr>
        <w:tab/>
        <w:t>Pakuotės turinys ir kita informacija</w:t>
      </w:r>
    </w:p>
    <w:p w14:paraId="1ADD56A3" w14:textId="77777777" w:rsidR="00823785" w:rsidRPr="00452D62" w:rsidRDefault="00823785" w:rsidP="00823785">
      <w:pPr>
        <w:tabs>
          <w:tab w:val="clear" w:pos="567"/>
          <w:tab w:val="center" w:pos="4536"/>
          <w:tab w:val="right" w:pos="8306"/>
        </w:tabs>
        <w:spacing w:line="100" w:lineRule="atLeast"/>
        <w:ind w:right="-2"/>
        <w:rPr>
          <w:sz w:val="22"/>
          <w:szCs w:val="22"/>
        </w:rPr>
      </w:pPr>
    </w:p>
    <w:p w14:paraId="385179F7" w14:textId="77777777" w:rsidR="00823785" w:rsidRPr="00452D62" w:rsidRDefault="00823785" w:rsidP="00823785">
      <w:pPr>
        <w:tabs>
          <w:tab w:val="clear" w:pos="567"/>
          <w:tab w:val="center" w:pos="4536"/>
          <w:tab w:val="right" w:pos="8306"/>
        </w:tabs>
        <w:spacing w:line="100" w:lineRule="atLeast"/>
        <w:rPr>
          <w:sz w:val="22"/>
          <w:szCs w:val="22"/>
        </w:rPr>
      </w:pPr>
    </w:p>
    <w:p w14:paraId="28C0CEE6" w14:textId="77777777" w:rsidR="00823785" w:rsidRPr="00452D62" w:rsidRDefault="00823785" w:rsidP="00823785">
      <w:pPr>
        <w:widowControl w:val="0"/>
        <w:tabs>
          <w:tab w:val="clear" w:pos="567"/>
        </w:tabs>
        <w:suppressAutoHyphens w:val="0"/>
        <w:spacing w:line="240" w:lineRule="auto"/>
        <w:ind w:left="567" w:hanging="567"/>
        <w:outlineLvl w:val="0"/>
        <w:rPr>
          <w:b/>
          <w:color w:val="auto"/>
          <w:sz w:val="22"/>
          <w:szCs w:val="22"/>
          <w:lang w:eastAsia="en-US"/>
        </w:rPr>
      </w:pPr>
      <w:r w:rsidRPr="00452D62">
        <w:rPr>
          <w:b/>
          <w:color w:val="auto"/>
          <w:sz w:val="22"/>
          <w:szCs w:val="22"/>
          <w:lang w:eastAsia="en-US"/>
        </w:rPr>
        <w:t>1.</w:t>
      </w:r>
      <w:r w:rsidRPr="00452D62">
        <w:rPr>
          <w:b/>
          <w:color w:val="auto"/>
          <w:sz w:val="22"/>
          <w:szCs w:val="22"/>
          <w:lang w:eastAsia="en-US"/>
        </w:rPr>
        <w:tab/>
        <w:t>Kas yra Xerdoxo ir kam jis vartojamas</w:t>
      </w:r>
    </w:p>
    <w:p w14:paraId="07CE230D" w14:textId="77777777" w:rsidR="00823785" w:rsidRPr="00452D62" w:rsidRDefault="00823785" w:rsidP="00823785">
      <w:pPr>
        <w:tabs>
          <w:tab w:val="center" w:pos="567"/>
          <w:tab w:val="right" w:pos="8306"/>
        </w:tabs>
        <w:spacing w:line="100" w:lineRule="atLeast"/>
        <w:rPr>
          <w:sz w:val="22"/>
          <w:szCs w:val="22"/>
        </w:rPr>
      </w:pPr>
    </w:p>
    <w:p w14:paraId="0A2366DE" w14:textId="77777777" w:rsidR="00823785" w:rsidRPr="00452D62" w:rsidRDefault="00823785" w:rsidP="00823785">
      <w:pPr>
        <w:tabs>
          <w:tab w:val="center" w:pos="567"/>
          <w:tab w:val="right" w:pos="8306"/>
        </w:tabs>
        <w:spacing w:line="100" w:lineRule="atLeast"/>
        <w:rPr>
          <w:sz w:val="22"/>
          <w:szCs w:val="22"/>
        </w:rPr>
      </w:pPr>
      <w:r w:rsidRPr="00452D62">
        <w:rPr>
          <w:sz w:val="22"/>
          <w:szCs w:val="22"/>
        </w:rPr>
        <w:t>Xerdoxo sudėtyje yra veikliosios medžiagos rivaroksabano. Jis vartojamas suaugusiems žmonėms:</w:t>
      </w:r>
    </w:p>
    <w:p w14:paraId="0B2E0E85" w14:textId="77777777" w:rsidR="00823785" w:rsidRPr="00452D62" w:rsidRDefault="00823785" w:rsidP="00823785">
      <w:pPr>
        <w:numPr>
          <w:ilvl w:val="0"/>
          <w:numId w:val="20"/>
        </w:numPr>
        <w:tabs>
          <w:tab w:val="center" w:pos="567"/>
          <w:tab w:val="right" w:pos="8306"/>
        </w:tabs>
        <w:spacing w:line="100" w:lineRule="atLeast"/>
        <w:ind w:left="567" w:hanging="567"/>
        <w:rPr>
          <w:sz w:val="22"/>
          <w:szCs w:val="22"/>
        </w:rPr>
      </w:pPr>
      <w:r w:rsidRPr="00452D62">
        <w:rPr>
          <w:sz w:val="22"/>
          <w:szCs w:val="22"/>
        </w:rPr>
        <w:t>po klubo arba kelio sąnario keitimo operacijų, siekiant išvengti kraujo krešulių susidarymo venose. Jūsų gydytojas Jums paskyrė šį vaistą, nes po operacijos Jums yra padidėjusi kraujo krešulių susidarymo rizika;</w:t>
      </w:r>
    </w:p>
    <w:p w14:paraId="00EFBCD1" w14:textId="77777777" w:rsidR="00823785" w:rsidRPr="00452D62" w:rsidRDefault="00823785" w:rsidP="00823785">
      <w:pPr>
        <w:numPr>
          <w:ilvl w:val="0"/>
          <w:numId w:val="20"/>
        </w:numPr>
        <w:tabs>
          <w:tab w:val="center" w:pos="567"/>
          <w:tab w:val="right" w:pos="8306"/>
        </w:tabs>
        <w:spacing w:line="100" w:lineRule="atLeast"/>
        <w:ind w:left="567" w:hanging="567"/>
        <w:rPr>
          <w:sz w:val="22"/>
          <w:szCs w:val="22"/>
        </w:rPr>
      </w:pPr>
      <w:r w:rsidRPr="00452D62">
        <w:rPr>
          <w:sz w:val="22"/>
          <w:szCs w:val="22"/>
        </w:rPr>
        <w:t>kraujo krešulių kojų venose (giliųjų venų trombozės) ir plaučių kraujagyslėse (plaučių embolijos) gydymui ir pakartotinio kraujo krešulių susidarymo kojų ir (arba) plaučių kraujagyslėse profilaktikai.</w:t>
      </w:r>
    </w:p>
    <w:p w14:paraId="082B4FC2" w14:textId="77777777" w:rsidR="00823785" w:rsidRPr="00452D62" w:rsidRDefault="00823785" w:rsidP="00823785">
      <w:pPr>
        <w:tabs>
          <w:tab w:val="center" w:pos="567"/>
          <w:tab w:val="right" w:pos="8306"/>
        </w:tabs>
        <w:spacing w:line="100" w:lineRule="atLeast"/>
        <w:rPr>
          <w:sz w:val="22"/>
          <w:szCs w:val="22"/>
        </w:rPr>
      </w:pPr>
    </w:p>
    <w:p w14:paraId="009F70F1" w14:textId="77777777" w:rsidR="00823785" w:rsidRPr="00452D62" w:rsidRDefault="00823785" w:rsidP="00823785">
      <w:pPr>
        <w:tabs>
          <w:tab w:val="center" w:pos="567"/>
          <w:tab w:val="right" w:pos="8306"/>
        </w:tabs>
        <w:spacing w:line="100" w:lineRule="atLeast"/>
        <w:rPr>
          <w:sz w:val="22"/>
          <w:szCs w:val="22"/>
        </w:rPr>
      </w:pPr>
      <w:r w:rsidRPr="00452D62">
        <w:rPr>
          <w:sz w:val="22"/>
          <w:szCs w:val="22"/>
        </w:rPr>
        <w:t>Xerdoxo priklauso vadinamųjų antitrombozinių vaistų grupei. Xerdoxo veikia blokuodamas kraujo krešėjimo faktorių (Xa faktorių), taip sumažindamas polinkį formuotis kraujo krešuliams.</w:t>
      </w:r>
    </w:p>
    <w:p w14:paraId="7FBC73A6" w14:textId="77777777" w:rsidR="00823785" w:rsidRPr="00452D62" w:rsidRDefault="00823785" w:rsidP="00823785">
      <w:pPr>
        <w:spacing w:line="100" w:lineRule="atLeast"/>
        <w:ind w:right="-2"/>
        <w:rPr>
          <w:sz w:val="22"/>
          <w:szCs w:val="22"/>
        </w:rPr>
      </w:pPr>
    </w:p>
    <w:p w14:paraId="7BADA24C" w14:textId="77777777" w:rsidR="00823785" w:rsidRPr="00452D62" w:rsidRDefault="00823785" w:rsidP="00823785">
      <w:pPr>
        <w:spacing w:line="100" w:lineRule="atLeast"/>
        <w:ind w:right="-2"/>
        <w:rPr>
          <w:sz w:val="22"/>
          <w:szCs w:val="22"/>
        </w:rPr>
      </w:pPr>
    </w:p>
    <w:p w14:paraId="4F383C76" w14:textId="77777777" w:rsidR="00823785" w:rsidRPr="00452D62" w:rsidRDefault="00823785" w:rsidP="00823785">
      <w:pPr>
        <w:widowControl w:val="0"/>
        <w:tabs>
          <w:tab w:val="clear" w:pos="567"/>
        </w:tabs>
        <w:suppressAutoHyphens w:val="0"/>
        <w:spacing w:line="240" w:lineRule="auto"/>
        <w:ind w:left="567" w:hanging="567"/>
        <w:outlineLvl w:val="0"/>
        <w:rPr>
          <w:i/>
          <w:sz w:val="22"/>
          <w:szCs w:val="22"/>
        </w:rPr>
      </w:pPr>
      <w:r w:rsidRPr="00452D62">
        <w:rPr>
          <w:b/>
          <w:color w:val="auto"/>
          <w:sz w:val="22"/>
          <w:szCs w:val="22"/>
          <w:lang w:eastAsia="en-US"/>
        </w:rPr>
        <w:t>2.</w:t>
      </w:r>
      <w:r w:rsidRPr="00452D62">
        <w:rPr>
          <w:b/>
          <w:color w:val="auto"/>
          <w:sz w:val="22"/>
          <w:szCs w:val="22"/>
          <w:lang w:eastAsia="en-US"/>
        </w:rPr>
        <w:tab/>
        <w:t>Kas žinotina prieš vartojant Xerdoxo</w:t>
      </w:r>
    </w:p>
    <w:p w14:paraId="3B7468A3" w14:textId="77777777" w:rsidR="00823785" w:rsidRPr="00452D62" w:rsidRDefault="00823785" w:rsidP="00823785">
      <w:pPr>
        <w:tabs>
          <w:tab w:val="clear" w:pos="567"/>
        </w:tabs>
        <w:spacing w:line="100" w:lineRule="atLeast"/>
        <w:rPr>
          <w:i/>
          <w:sz w:val="22"/>
          <w:szCs w:val="22"/>
        </w:rPr>
      </w:pPr>
    </w:p>
    <w:p w14:paraId="7BDF1306" w14:textId="2904673D" w:rsidR="00823785" w:rsidRPr="00452D62" w:rsidRDefault="00823785" w:rsidP="00823785">
      <w:pPr>
        <w:tabs>
          <w:tab w:val="clear" w:pos="567"/>
        </w:tabs>
        <w:spacing w:line="100" w:lineRule="atLeast"/>
        <w:rPr>
          <w:sz w:val="22"/>
          <w:szCs w:val="22"/>
        </w:rPr>
      </w:pPr>
      <w:r w:rsidRPr="00452D62">
        <w:rPr>
          <w:b/>
          <w:sz w:val="22"/>
          <w:szCs w:val="22"/>
        </w:rPr>
        <w:t>Xerdoxo vartoti draudžiama</w:t>
      </w:r>
    </w:p>
    <w:p w14:paraId="37E9B6E8" w14:textId="77777777" w:rsidR="00823785" w:rsidRPr="00452D62" w:rsidRDefault="00823785" w:rsidP="00823785">
      <w:pPr>
        <w:tabs>
          <w:tab w:val="clear" w:pos="567"/>
        </w:tabs>
        <w:spacing w:line="100" w:lineRule="atLeast"/>
        <w:ind w:left="567" w:hanging="567"/>
        <w:rPr>
          <w:sz w:val="22"/>
          <w:szCs w:val="22"/>
        </w:rPr>
      </w:pPr>
      <w:r w:rsidRPr="00452D62">
        <w:rPr>
          <w:sz w:val="22"/>
          <w:szCs w:val="22"/>
        </w:rPr>
        <w:t>-</w:t>
      </w:r>
      <w:r w:rsidRPr="00452D62">
        <w:rPr>
          <w:sz w:val="22"/>
          <w:szCs w:val="22"/>
        </w:rPr>
        <w:tab/>
        <w:t xml:space="preserve">jeigu yra </w:t>
      </w:r>
      <w:r w:rsidRPr="00452D62">
        <w:rPr>
          <w:bCs/>
          <w:sz w:val="22"/>
          <w:szCs w:val="22"/>
        </w:rPr>
        <w:t>alergija</w:t>
      </w:r>
      <w:r w:rsidRPr="00452D62">
        <w:rPr>
          <w:sz w:val="22"/>
          <w:szCs w:val="22"/>
        </w:rPr>
        <w:t xml:space="preserve"> rivaroksabanui arba bet kuriai pagalbinei šio vaisto medžiagai (jos išvardytos 6 skyriuje);</w:t>
      </w:r>
    </w:p>
    <w:p w14:paraId="1C1AA126" w14:textId="77777777" w:rsidR="00823785" w:rsidRPr="00452D62" w:rsidRDefault="00823785" w:rsidP="00823785">
      <w:pPr>
        <w:numPr>
          <w:ilvl w:val="0"/>
          <w:numId w:val="1"/>
        </w:numPr>
        <w:tabs>
          <w:tab w:val="clear" w:pos="208"/>
          <w:tab w:val="num" w:pos="567"/>
        </w:tabs>
        <w:spacing w:line="100" w:lineRule="atLeast"/>
        <w:ind w:left="567" w:hanging="567"/>
        <w:rPr>
          <w:sz w:val="22"/>
          <w:szCs w:val="22"/>
        </w:rPr>
      </w:pPr>
      <w:r w:rsidRPr="00452D62">
        <w:rPr>
          <w:sz w:val="22"/>
          <w:szCs w:val="22"/>
        </w:rPr>
        <w:t>jeigu stipriai kraujuojate;</w:t>
      </w:r>
    </w:p>
    <w:p w14:paraId="44A4F17E" w14:textId="77777777" w:rsidR="00823785" w:rsidRPr="00452D62" w:rsidRDefault="00823785" w:rsidP="00823785">
      <w:pPr>
        <w:tabs>
          <w:tab w:val="clear" w:pos="567"/>
        </w:tabs>
        <w:spacing w:line="100" w:lineRule="atLeast"/>
        <w:ind w:left="567" w:hanging="567"/>
        <w:rPr>
          <w:sz w:val="22"/>
          <w:szCs w:val="22"/>
        </w:rPr>
      </w:pPr>
      <w:r w:rsidRPr="00452D62">
        <w:rPr>
          <w:sz w:val="22"/>
          <w:szCs w:val="22"/>
        </w:rPr>
        <w:t>-</w:t>
      </w:r>
      <w:r w:rsidRPr="00452D62">
        <w:rPr>
          <w:sz w:val="22"/>
          <w:szCs w:val="22"/>
        </w:rPr>
        <w:tab/>
        <w:t>jeigu Jums yra liga arba kūno organo būklė, dėl kurios padidėja stipraus kraujavimo rizika (pvz., skrandžio opa, galvos smegenų pažeidimas arba kraujavimas į smegenis, neseniai atlikta chirurginė galvos smegenų arba akių operacija);</w:t>
      </w:r>
    </w:p>
    <w:p w14:paraId="06D13B94" w14:textId="77777777" w:rsidR="00823785" w:rsidRPr="00452D62" w:rsidRDefault="00823785" w:rsidP="00823785">
      <w:pPr>
        <w:tabs>
          <w:tab w:val="clear" w:pos="567"/>
        </w:tabs>
        <w:spacing w:line="100" w:lineRule="atLeast"/>
        <w:ind w:left="567" w:hanging="567"/>
        <w:rPr>
          <w:sz w:val="22"/>
          <w:szCs w:val="22"/>
        </w:rPr>
      </w:pPr>
      <w:r w:rsidRPr="00452D62">
        <w:rPr>
          <w:sz w:val="22"/>
          <w:szCs w:val="22"/>
        </w:rPr>
        <w:t>-</w:t>
      </w:r>
      <w:r w:rsidRPr="00452D62">
        <w:rPr>
          <w:sz w:val="22"/>
          <w:szCs w:val="22"/>
        </w:rPr>
        <w:tab/>
        <w:t>jeigu vartojate vaistų, apsaugančių nuo kraujo krešulių formavimosi (pvz., varfarino, dabigatrano, apiksabano arba heparino), išskyrus atvejus, kai keičiamas nuo kraujo krešulių apsaugantis gydymas arba kai per venos ar arterijos kateterį Jums leidžiama heparino, kad šis kateteris išliktų pralaidus;</w:t>
      </w:r>
    </w:p>
    <w:p w14:paraId="23E75736" w14:textId="77777777" w:rsidR="00823785" w:rsidRPr="00452D62" w:rsidRDefault="00823785" w:rsidP="00823785">
      <w:pPr>
        <w:tabs>
          <w:tab w:val="clear" w:pos="567"/>
        </w:tabs>
        <w:spacing w:line="100" w:lineRule="atLeast"/>
        <w:ind w:left="567" w:hanging="567"/>
        <w:rPr>
          <w:sz w:val="22"/>
          <w:szCs w:val="22"/>
        </w:rPr>
      </w:pPr>
      <w:r w:rsidRPr="00452D62">
        <w:rPr>
          <w:sz w:val="22"/>
          <w:szCs w:val="22"/>
        </w:rPr>
        <w:t>-</w:t>
      </w:r>
      <w:r w:rsidRPr="00452D62">
        <w:rPr>
          <w:sz w:val="22"/>
          <w:szCs w:val="22"/>
        </w:rPr>
        <w:tab/>
        <w:t>jeigu sergate kepenų liga ir todėl gali būti padidėjusi kraujavimo rizika;</w:t>
      </w:r>
    </w:p>
    <w:p w14:paraId="7D09802A" w14:textId="77777777" w:rsidR="00823785" w:rsidRPr="00452D62" w:rsidRDefault="00823785" w:rsidP="00823785">
      <w:pPr>
        <w:tabs>
          <w:tab w:val="clear" w:pos="567"/>
        </w:tabs>
        <w:spacing w:line="100" w:lineRule="atLeast"/>
        <w:ind w:left="567" w:hanging="567"/>
        <w:rPr>
          <w:sz w:val="22"/>
          <w:szCs w:val="22"/>
        </w:rPr>
      </w:pPr>
      <w:r w:rsidRPr="00452D62">
        <w:rPr>
          <w:sz w:val="22"/>
          <w:szCs w:val="22"/>
        </w:rPr>
        <w:t>-</w:t>
      </w:r>
      <w:r w:rsidRPr="00452D62">
        <w:rPr>
          <w:sz w:val="22"/>
          <w:szCs w:val="22"/>
        </w:rPr>
        <w:tab/>
        <w:t>jeigu esate nėščia arba maitinate krūtimi.</w:t>
      </w:r>
    </w:p>
    <w:p w14:paraId="7086CB62" w14:textId="77777777" w:rsidR="00823785" w:rsidRPr="00452D62" w:rsidRDefault="00823785" w:rsidP="00823785">
      <w:pPr>
        <w:tabs>
          <w:tab w:val="clear" w:pos="567"/>
        </w:tabs>
        <w:spacing w:line="100" w:lineRule="atLeast"/>
        <w:ind w:left="567" w:hanging="567"/>
        <w:rPr>
          <w:sz w:val="22"/>
          <w:szCs w:val="22"/>
          <w:shd w:val="clear" w:color="auto" w:fill="FFFF00"/>
        </w:rPr>
      </w:pPr>
      <w:r w:rsidRPr="00452D62">
        <w:rPr>
          <w:b/>
          <w:sz w:val="22"/>
          <w:szCs w:val="22"/>
        </w:rPr>
        <w:t>Nevartokite Xerdoxo ir pasakykite gydytojui</w:t>
      </w:r>
      <w:r w:rsidRPr="00452D62">
        <w:rPr>
          <w:sz w:val="22"/>
          <w:szCs w:val="22"/>
        </w:rPr>
        <w:t>, jeigu Jums tinka bet kuri iš paminėtų būklių.</w:t>
      </w:r>
    </w:p>
    <w:p w14:paraId="7E355FD1" w14:textId="77777777" w:rsidR="00823785" w:rsidRPr="00452D62" w:rsidRDefault="00823785" w:rsidP="00823785">
      <w:pPr>
        <w:tabs>
          <w:tab w:val="clear" w:pos="567"/>
        </w:tabs>
        <w:spacing w:line="100" w:lineRule="atLeast"/>
        <w:rPr>
          <w:sz w:val="22"/>
          <w:szCs w:val="22"/>
          <w:shd w:val="clear" w:color="auto" w:fill="FFFF00"/>
        </w:rPr>
      </w:pPr>
    </w:p>
    <w:p w14:paraId="60A9C072" w14:textId="77777777" w:rsidR="00823785" w:rsidRPr="00452D62" w:rsidRDefault="00823785" w:rsidP="00823785">
      <w:pPr>
        <w:tabs>
          <w:tab w:val="clear" w:pos="567"/>
        </w:tabs>
        <w:spacing w:line="100" w:lineRule="atLeast"/>
        <w:rPr>
          <w:sz w:val="22"/>
          <w:szCs w:val="22"/>
        </w:rPr>
      </w:pPr>
      <w:r w:rsidRPr="00452D62">
        <w:rPr>
          <w:b/>
          <w:sz w:val="22"/>
          <w:szCs w:val="22"/>
        </w:rPr>
        <w:t>Įspėjimai ir atsargumo priemonės</w:t>
      </w:r>
    </w:p>
    <w:p w14:paraId="6B48C86D" w14:textId="77777777" w:rsidR="00823785" w:rsidRPr="00452D62" w:rsidRDefault="00823785" w:rsidP="00823785">
      <w:pPr>
        <w:rPr>
          <w:b/>
          <w:bCs/>
          <w:sz w:val="22"/>
          <w:szCs w:val="22"/>
        </w:rPr>
      </w:pPr>
      <w:r w:rsidRPr="00452D62">
        <w:rPr>
          <w:sz w:val="22"/>
          <w:szCs w:val="22"/>
        </w:rPr>
        <w:t>Pasitarkite su gydytoju arba vaistininku, prieš pradėdami vartoti Xerdoxo.</w:t>
      </w:r>
    </w:p>
    <w:p w14:paraId="623DF6D4" w14:textId="77777777" w:rsidR="00823785" w:rsidRPr="00452D62" w:rsidRDefault="00823785" w:rsidP="00823785">
      <w:pPr>
        <w:rPr>
          <w:sz w:val="22"/>
          <w:szCs w:val="22"/>
        </w:rPr>
      </w:pPr>
    </w:p>
    <w:p w14:paraId="7E331F51" w14:textId="77777777" w:rsidR="00823785" w:rsidRPr="00452D62" w:rsidRDefault="00823785" w:rsidP="00823785">
      <w:pPr>
        <w:rPr>
          <w:sz w:val="22"/>
          <w:szCs w:val="22"/>
        </w:rPr>
      </w:pPr>
      <w:r w:rsidRPr="00452D62">
        <w:rPr>
          <w:b/>
          <w:bCs/>
          <w:sz w:val="22"/>
          <w:szCs w:val="22"/>
        </w:rPr>
        <w:t>Vartodami Xerdoxo laikykitės tam tikrų atsargumo priemonių</w:t>
      </w:r>
    </w:p>
    <w:p w14:paraId="0A4573BF" w14:textId="77777777" w:rsidR="00823785" w:rsidRPr="00452D62" w:rsidRDefault="00823785" w:rsidP="00823785">
      <w:pPr>
        <w:numPr>
          <w:ilvl w:val="0"/>
          <w:numId w:val="8"/>
        </w:numPr>
        <w:ind w:left="567" w:hanging="567"/>
        <w:rPr>
          <w:sz w:val="22"/>
          <w:szCs w:val="22"/>
        </w:rPr>
      </w:pPr>
      <w:r w:rsidRPr="00452D62">
        <w:rPr>
          <w:sz w:val="22"/>
          <w:szCs w:val="22"/>
        </w:rPr>
        <w:t>jeigu Jums yra padidėjusi kraujavimo rizika, kuri gali būti tokiose situacijose:</w:t>
      </w:r>
    </w:p>
    <w:p w14:paraId="257609AE" w14:textId="77777777" w:rsidR="00823785" w:rsidRPr="00452D62" w:rsidRDefault="00823785" w:rsidP="00823785">
      <w:pPr>
        <w:numPr>
          <w:ilvl w:val="0"/>
          <w:numId w:val="13"/>
        </w:numPr>
        <w:ind w:left="1134" w:hanging="567"/>
        <w:rPr>
          <w:sz w:val="22"/>
          <w:szCs w:val="22"/>
        </w:rPr>
      </w:pPr>
      <w:r w:rsidRPr="00452D62">
        <w:rPr>
          <w:sz w:val="22"/>
          <w:szCs w:val="22"/>
        </w:rPr>
        <w:t>yra vidutinio sunkumo arba sunki inkstų liga, nes inkstų funkcija gali turėti įtakos Jūsų organizmą veikiančio vaisto kiekiui;</w:t>
      </w:r>
    </w:p>
    <w:p w14:paraId="3C5E20E4" w14:textId="77777777" w:rsidR="00823785" w:rsidRPr="00452D62" w:rsidRDefault="00823785" w:rsidP="00823785">
      <w:pPr>
        <w:numPr>
          <w:ilvl w:val="0"/>
          <w:numId w:val="13"/>
        </w:numPr>
        <w:ind w:left="1134" w:hanging="567"/>
        <w:rPr>
          <w:sz w:val="22"/>
          <w:szCs w:val="22"/>
        </w:rPr>
      </w:pPr>
      <w:r w:rsidRPr="00452D62">
        <w:rPr>
          <w:sz w:val="22"/>
          <w:szCs w:val="22"/>
        </w:rPr>
        <w:t>vartojama kitų vaistų, apsaugančių nuo kraujo krešulių formavimosi (pvz., varfarino, dabigatrano, apiksabano arba heparino), keičiamas nuo kraujo krešulių apsaugantis gydymas arba per venos ar arterijos kateterį Jums leidžiama heparino, kad šis kateteris išliktų pralaidus (žr. poskyrį „Kiti vaistai ir Xerdoxo“);</w:t>
      </w:r>
    </w:p>
    <w:p w14:paraId="0220AC04" w14:textId="77777777" w:rsidR="00823785" w:rsidRPr="00452D62" w:rsidRDefault="00823785" w:rsidP="00823785">
      <w:pPr>
        <w:numPr>
          <w:ilvl w:val="0"/>
          <w:numId w:val="13"/>
        </w:numPr>
        <w:ind w:left="1134" w:hanging="567"/>
        <w:rPr>
          <w:sz w:val="22"/>
          <w:szCs w:val="22"/>
        </w:rPr>
      </w:pPr>
      <w:r w:rsidRPr="00452D62">
        <w:rPr>
          <w:sz w:val="22"/>
          <w:szCs w:val="22"/>
        </w:rPr>
        <w:t>yra kraujavimo sutrikimų;</w:t>
      </w:r>
    </w:p>
    <w:p w14:paraId="3A73B91F" w14:textId="77777777" w:rsidR="00823785" w:rsidRPr="00452D62" w:rsidRDefault="00823785" w:rsidP="00823785">
      <w:pPr>
        <w:numPr>
          <w:ilvl w:val="0"/>
          <w:numId w:val="13"/>
        </w:numPr>
        <w:ind w:left="1134" w:hanging="567"/>
        <w:rPr>
          <w:sz w:val="22"/>
          <w:szCs w:val="22"/>
        </w:rPr>
      </w:pPr>
      <w:r w:rsidRPr="00452D62">
        <w:rPr>
          <w:sz w:val="22"/>
          <w:szCs w:val="22"/>
        </w:rPr>
        <w:t>yra labai didelis kraujospūdis, nekontroliuojamas vaistais;</w:t>
      </w:r>
    </w:p>
    <w:p w14:paraId="04919F6D" w14:textId="77777777" w:rsidR="00823785" w:rsidRPr="00452D62" w:rsidRDefault="00823785" w:rsidP="00C815AC">
      <w:pPr>
        <w:numPr>
          <w:ilvl w:val="0"/>
          <w:numId w:val="13"/>
        </w:numPr>
        <w:ind w:left="1134" w:hanging="567"/>
        <w:rPr>
          <w:sz w:val="22"/>
          <w:szCs w:val="22"/>
        </w:rPr>
      </w:pPr>
      <w:r w:rsidRPr="00452D62">
        <w:rPr>
          <w:sz w:val="22"/>
          <w:szCs w:val="22"/>
        </w:rPr>
        <w:t>yra skrandžio arba žarnyno ligų, galinčių sukelti kraujavimą, pvz., žarnyno arba skrandžio uždegimas, arba stemplės uždegimas, pvz., dėl gastroezofaginio refliukso ligos (ligos, kai skrandžio rūgštis atpilama į stemplę) arba navikai, esantys skrandyje, žarnyne, lytiniuose takuose ar šlapimo takuose;</w:t>
      </w:r>
    </w:p>
    <w:p w14:paraId="619DD5D0" w14:textId="77777777" w:rsidR="00823785" w:rsidRPr="00452D62" w:rsidRDefault="00823785" w:rsidP="00823785">
      <w:pPr>
        <w:numPr>
          <w:ilvl w:val="0"/>
          <w:numId w:val="13"/>
        </w:numPr>
        <w:ind w:left="1134" w:hanging="567"/>
        <w:rPr>
          <w:sz w:val="22"/>
          <w:szCs w:val="22"/>
        </w:rPr>
      </w:pPr>
      <w:r w:rsidRPr="00452D62">
        <w:rPr>
          <w:sz w:val="22"/>
          <w:szCs w:val="22"/>
        </w:rPr>
        <w:t>yra akių užpakalinės dalies kraujagyslių sutrikimų (retinopatija);</w:t>
      </w:r>
    </w:p>
    <w:p w14:paraId="7F2075C2" w14:textId="77777777" w:rsidR="00823785" w:rsidRPr="00452D62" w:rsidRDefault="00823785" w:rsidP="00823785">
      <w:pPr>
        <w:numPr>
          <w:ilvl w:val="0"/>
          <w:numId w:val="13"/>
        </w:numPr>
        <w:ind w:left="1134" w:hanging="567"/>
        <w:rPr>
          <w:sz w:val="22"/>
          <w:szCs w:val="22"/>
        </w:rPr>
      </w:pPr>
      <w:r w:rsidRPr="00452D62">
        <w:rPr>
          <w:sz w:val="22"/>
          <w:szCs w:val="22"/>
        </w:rPr>
        <w:t>yra plaučių liga, kuria sergant bronchai būna išsiplėtę ir prisipildę pūlių (bronchektazės), arba anksčiau yra buvęs kraujavimas iš plaučių;</w:t>
      </w:r>
    </w:p>
    <w:p w14:paraId="1B529495" w14:textId="77777777" w:rsidR="00823785" w:rsidRPr="00452D62" w:rsidRDefault="00823785" w:rsidP="00823785">
      <w:pPr>
        <w:pStyle w:val="Default"/>
        <w:numPr>
          <w:ilvl w:val="0"/>
          <w:numId w:val="6"/>
        </w:numPr>
        <w:ind w:left="567" w:hanging="567"/>
        <w:rPr>
          <w:sz w:val="22"/>
          <w:szCs w:val="22"/>
        </w:rPr>
      </w:pPr>
      <w:r w:rsidRPr="00452D62">
        <w:rPr>
          <w:sz w:val="22"/>
          <w:szCs w:val="22"/>
        </w:rPr>
        <w:t>jeigu Jums protezuoti širdies vožtuvai;</w:t>
      </w:r>
    </w:p>
    <w:p w14:paraId="4A1ACA68" w14:textId="77777777" w:rsidR="00823785" w:rsidRPr="00452D62" w:rsidRDefault="00823785" w:rsidP="00823785">
      <w:pPr>
        <w:numPr>
          <w:ilvl w:val="0"/>
          <w:numId w:val="6"/>
        </w:numPr>
        <w:ind w:left="567" w:hanging="567"/>
        <w:rPr>
          <w:sz w:val="22"/>
          <w:szCs w:val="22"/>
          <w:lang w:eastAsia="lt-LT"/>
        </w:rPr>
      </w:pPr>
      <w:r w:rsidRPr="00452D62">
        <w:rPr>
          <w:sz w:val="22"/>
          <w:szCs w:val="22"/>
          <w:lang w:eastAsia="lt-LT"/>
        </w:rPr>
        <w:t>jeigu žinote, kad sergate liga, vadinama antifosfolipidiniu sindromu (imuninės sistemos sutrikimu, dėl kurio padidėja kraujo krešulių susidarymo rizika), pasakykite apie tai gydytojui, kuris nuspręs, ar reikės keisti Jums taikomą gydymą;</w:t>
      </w:r>
    </w:p>
    <w:p w14:paraId="00D3CD0E" w14:textId="77777777" w:rsidR="00823785" w:rsidRPr="00452D62" w:rsidRDefault="00823785" w:rsidP="00823785">
      <w:pPr>
        <w:numPr>
          <w:ilvl w:val="0"/>
          <w:numId w:val="6"/>
        </w:numPr>
        <w:ind w:left="567" w:hanging="567"/>
        <w:rPr>
          <w:sz w:val="22"/>
          <w:szCs w:val="22"/>
          <w:lang w:eastAsia="lt-LT"/>
        </w:rPr>
      </w:pPr>
      <w:r w:rsidRPr="00452D62">
        <w:rPr>
          <w:sz w:val="22"/>
          <w:szCs w:val="22"/>
          <w:lang w:eastAsia="lt-LT"/>
        </w:rPr>
        <w:t>jeigu gydytojas nustatė, kad Jūsų kraujospūdis nestabilus, arba Jums planuojama taikyti kitokį gydymą arba chirurginę procedūrą, norint pašalinti kraujo krešulį iš plaučių.</w:t>
      </w:r>
    </w:p>
    <w:p w14:paraId="586E3A52" w14:textId="77777777" w:rsidR="00823785" w:rsidRPr="00452D62" w:rsidRDefault="00823785" w:rsidP="00823785">
      <w:pPr>
        <w:rPr>
          <w:sz w:val="22"/>
          <w:szCs w:val="22"/>
        </w:rPr>
      </w:pPr>
    </w:p>
    <w:p w14:paraId="17C04A63" w14:textId="77777777" w:rsidR="00823785" w:rsidRPr="00452D62" w:rsidRDefault="00823785" w:rsidP="00823785">
      <w:pPr>
        <w:rPr>
          <w:sz w:val="22"/>
          <w:szCs w:val="22"/>
        </w:rPr>
      </w:pPr>
      <w:r w:rsidRPr="00452D62">
        <w:rPr>
          <w:b/>
          <w:bCs/>
          <w:sz w:val="22"/>
          <w:szCs w:val="22"/>
        </w:rPr>
        <w:t xml:space="preserve">Jeigu Jums tinka bet kuri iš paminėtų būklių, </w:t>
      </w:r>
      <w:r w:rsidRPr="00452D62">
        <w:rPr>
          <w:sz w:val="22"/>
          <w:szCs w:val="22"/>
        </w:rPr>
        <w:t xml:space="preserve">prieš pradėdami vartoti Xerdoxo, </w:t>
      </w:r>
      <w:r w:rsidRPr="00452D62">
        <w:rPr>
          <w:b/>
          <w:bCs/>
          <w:sz w:val="22"/>
          <w:szCs w:val="22"/>
        </w:rPr>
        <w:t>apie tai pasakykite gydytojui</w:t>
      </w:r>
      <w:r w:rsidRPr="00452D62">
        <w:rPr>
          <w:sz w:val="22"/>
          <w:szCs w:val="22"/>
        </w:rPr>
        <w:t xml:space="preserve">. Gydytojas nuspręs, ar skirti Jums šio vaisto ir ar reikia atidžiau Jus stebėti. </w:t>
      </w:r>
    </w:p>
    <w:p w14:paraId="46F27ACD" w14:textId="77777777" w:rsidR="00823785" w:rsidRPr="00452D62" w:rsidRDefault="00823785" w:rsidP="00823785">
      <w:pPr>
        <w:rPr>
          <w:sz w:val="22"/>
          <w:szCs w:val="22"/>
        </w:rPr>
      </w:pPr>
    </w:p>
    <w:p w14:paraId="5F5DE536" w14:textId="77777777" w:rsidR="00823785" w:rsidRPr="00452D62" w:rsidRDefault="00823785" w:rsidP="00823785">
      <w:pPr>
        <w:rPr>
          <w:b/>
          <w:sz w:val="22"/>
          <w:szCs w:val="22"/>
        </w:rPr>
      </w:pPr>
      <w:r w:rsidRPr="00452D62">
        <w:rPr>
          <w:b/>
          <w:sz w:val="22"/>
          <w:szCs w:val="22"/>
        </w:rPr>
        <w:t>Jeigu Jums reikia atlikti operaciją</w:t>
      </w:r>
    </w:p>
    <w:p w14:paraId="302F212F" w14:textId="77777777" w:rsidR="00823785" w:rsidRPr="00452D62" w:rsidRDefault="00823785" w:rsidP="00823785">
      <w:pPr>
        <w:numPr>
          <w:ilvl w:val="0"/>
          <w:numId w:val="6"/>
        </w:numPr>
        <w:ind w:left="567" w:hanging="567"/>
        <w:rPr>
          <w:sz w:val="22"/>
          <w:szCs w:val="22"/>
        </w:rPr>
      </w:pPr>
      <w:r w:rsidRPr="00452D62">
        <w:rPr>
          <w:sz w:val="22"/>
          <w:szCs w:val="22"/>
        </w:rPr>
        <w:t>Labai svarbu prieš operaciją ir po jos Xerdoxo vartoti tiksliai tuo laiku, kaip pasakė gydytojas.</w:t>
      </w:r>
    </w:p>
    <w:p w14:paraId="1B18D660" w14:textId="77777777" w:rsidR="00823785" w:rsidRPr="00452D62" w:rsidRDefault="00823785" w:rsidP="00823785">
      <w:pPr>
        <w:numPr>
          <w:ilvl w:val="0"/>
          <w:numId w:val="6"/>
        </w:numPr>
        <w:ind w:left="567" w:hanging="567"/>
        <w:rPr>
          <w:sz w:val="22"/>
          <w:szCs w:val="22"/>
        </w:rPr>
      </w:pPr>
      <w:r w:rsidRPr="00452D62">
        <w:rPr>
          <w:sz w:val="22"/>
          <w:szCs w:val="22"/>
        </w:rPr>
        <w:t>Jeigu Jūsų operacijos metu bus įterpiamas kateteris arba leidžiami vaistai į stuburo kanalą (pvz., taikoma epidurinė ar spinalinė anestezija arba skausmo slopinimas):</w:t>
      </w:r>
    </w:p>
    <w:p w14:paraId="22E4F399" w14:textId="77777777" w:rsidR="00823785" w:rsidRPr="00452D62" w:rsidRDefault="00823785" w:rsidP="00823785">
      <w:pPr>
        <w:numPr>
          <w:ilvl w:val="0"/>
          <w:numId w:val="13"/>
        </w:numPr>
        <w:ind w:left="1134" w:hanging="567"/>
        <w:rPr>
          <w:sz w:val="22"/>
          <w:szCs w:val="22"/>
        </w:rPr>
      </w:pPr>
      <w:r w:rsidRPr="00452D62">
        <w:rPr>
          <w:sz w:val="22"/>
          <w:szCs w:val="22"/>
        </w:rPr>
        <w:t>labai svarbu Xerdoxo vartoti tiksliai tuo laiku, kaip nurodė gydytojas;</w:t>
      </w:r>
    </w:p>
    <w:p w14:paraId="4461FC70" w14:textId="77777777" w:rsidR="00823785" w:rsidRPr="00452D62" w:rsidRDefault="00823785" w:rsidP="00823785">
      <w:pPr>
        <w:numPr>
          <w:ilvl w:val="0"/>
          <w:numId w:val="13"/>
        </w:numPr>
        <w:ind w:left="1134" w:hanging="567"/>
        <w:rPr>
          <w:sz w:val="22"/>
          <w:szCs w:val="22"/>
        </w:rPr>
      </w:pPr>
      <w:r w:rsidRPr="00452D62">
        <w:rPr>
          <w:sz w:val="22"/>
          <w:szCs w:val="22"/>
        </w:rPr>
        <w:t>nedelsdami pasakykite gydytojui, jei po anestezijos pajusite kojų tirpimą ar silpnumą arba žarnyno ar šlapimo pūslės veiklos sutrikimą, nes gali prireikti skubios pagalbos.</w:t>
      </w:r>
    </w:p>
    <w:p w14:paraId="7E1E35F1" w14:textId="77777777" w:rsidR="00823785" w:rsidRPr="00452D62" w:rsidRDefault="00823785" w:rsidP="00823785">
      <w:pPr>
        <w:tabs>
          <w:tab w:val="clear" w:pos="567"/>
        </w:tabs>
        <w:spacing w:line="100" w:lineRule="atLeast"/>
        <w:ind w:left="360"/>
        <w:rPr>
          <w:bCs/>
          <w:sz w:val="22"/>
          <w:szCs w:val="22"/>
        </w:rPr>
      </w:pPr>
    </w:p>
    <w:p w14:paraId="680855E9" w14:textId="77777777" w:rsidR="00823785" w:rsidRPr="00452D62" w:rsidRDefault="00823785" w:rsidP="00823785">
      <w:pPr>
        <w:tabs>
          <w:tab w:val="clear" w:pos="567"/>
        </w:tabs>
        <w:spacing w:line="100" w:lineRule="atLeast"/>
        <w:rPr>
          <w:sz w:val="22"/>
          <w:szCs w:val="22"/>
        </w:rPr>
      </w:pPr>
      <w:r w:rsidRPr="00452D62">
        <w:rPr>
          <w:b/>
          <w:sz w:val="22"/>
          <w:szCs w:val="22"/>
        </w:rPr>
        <w:t>Vaikams ir paaugliams</w:t>
      </w:r>
    </w:p>
    <w:p w14:paraId="22D4B31F" w14:textId="28F95ED0" w:rsidR="00823785" w:rsidRPr="00452D62" w:rsidRDefault="00823785" w:rsidP="00823785">
      <w:pPr>
        <w:rPr>
          <w:b/>
          <w:bCs/>
          <w:sz w:val="22"/>
          <w:szCs w:val="22"/>
        </w:rPr>
      </w:pPr>
      <w:r w:rsidRPr="00452D62">
        <w:rPr>
          <w:sz w:val="22"/>
          <w:szCs w:val="22"/>
        </w:rPr>
        <w:t xml:space="preserve">Xerdoxo 10 mg tablečių vartojimas yra </w:t>
      </w:r>
      <w:r w:rsidRPr="00452D62">
        <w:rPr>
          <w:b/>
          <w:bCs/>
          <w:sz w:val="22"/>
          <w:szCs w:val="22"/>
        </w:rPr>
        <w:t>nerekomenduojamas jaunesniems kaip 18 metų amžiaus žmonėms</w:t>
      </w:r>
      <w:r w:rsidRPr="00452D62">
        <w:rPr>
          <w:sz w:val="22"/>
          <w:szCs w:val="22"/>
        </w:rPr>
        <w:t>. Nėra pakankamai informacijos apie jų vartojimą vaikams ir paaugliams.</w:t>
      </w:r>
    </w:p>
    <w:p w14:paraId="54E8802E" w14:textId="77777777" w:rsidR="00823785" w:rsidRPr="00452D62" w:rsidRDefault="00823785" w:rsidP="00823785">
      <w:pPr>
        <w:rPr>
          <w:b/>
          <w:bCs/>
          <w:sz w:val="22"/>
          <w:szCs w:val="22"/>
        </w:rPr>
      </w:pPr>
    </w:p>
    <w:p w14:paraId="768A4F55" w14:textId="77777777" w:rsidR="00823785" w:rsidRPr="00452D62" w:rsidRDefault="00823785" w:rsidP="00823785">
      <w:pPr>
        <w:rPr>
          <w:sz w:val="22"/>
          <w:szCs w:val="22"/>
        </w:rPr>
      </w:pPr>
      <w:r w:rsidRPr="00452D62">
        <w:rPr>
          <w:b/>
          <w:bCs/>
          <w:sz w:val="22"/>
          <w:szCs w:val="22"/>
        </w:rPr>
        <w:t>Kiti vaistai ir Xerdoxo</w:t>
      </w:r>
    </w:p>
    <w:p w14:paraId="33125BED" w14:textId="77777777" w:rsidR="00823785" w:rsidRPr="00452D62" w:rsidRDefault="00823785" w:rsidP="00823785">
      <w:pPr>
        <w:rPr>
          <w:sz w:val="22"/>
          <w:szCs w:val="22"/>
        </w:rPr>
      </w:pPr>
      <w:r w:rsidRPr="00452D62">
        <w:rPr>
          <w:sz w:val="22"/>
          <w:szCs w:val="22"/>
        </w:rPr>
        <w:t>Jeigu vartojate ar neseniai vartojote kitų vaistų, įskaitant vaistus įsigytus be recepto, arba dėl to nesate tikri, apie tai pasakykite gydytojui arba vaistininkui.</w:t>
      </w:r>
    </w:p>
    <w:p w14:paraId="625D6A3D" w14:textId="77777777" w:rsidR="00823785" w:rsidRPr="00452D62" w:rsidRDefault="00823785" w:rsidP="00823785">
      <w:pPr>
        <w:numPr>
          <w:ilvl w:val="0"/>
          <w:numId w:val="6"/>
        </w:numPr>
        <w:ind w:left="567" w:hanging="567"/>
        <w:rPr>
          <w:sz w:val="22"/>
          <w:szCs w:val="22"/>
        </w:rPr>
      </w:pPr>
      <w:r w:rsidRPr="00452D62">
        <w:rPr>
          <w:b/>
          <w:sz w:val="22"/>
          <w:szCs w:val="22"/>
        </w:rPr>
        <w:t>Jeigu vartojate</w:t>
      </w:r>
    </w:p>
    <w:p w14:paraId="34C18984" w14:textId="77777777" w:rsidR="00823785" w:rsidRPr="00452D62" w:rsidRDefault="00823785" w:rsidP="00823785">
      <w:pPr>
        <w:numPr>
          <w:ilvl w:val="0"/>
          <w:numId w:val="13"/>
        </w:numPr>
        <w:ind w:left="1134" w:hanging="567"/>
        <w:rPr>
          <w:sz w:val="22"/>
          <w:szCs w:val="22"/>
        </w:rPr>
      </w:pPr>
      <w:r w:rsidRPr="00452D62">
        <w:rPr>
          <w:sz w:val="22"/>
          <w:szCs w:val="22"/>
        </w:rPr>
        <w:t>kai kurių kitų vaistų nuo grybelinės infekcijos (pvz., flukonazolo, itrakonazolo, vorikonazolo, pozakonazolo), nebent jie būtų vartojami tik ant odos;</w:t>
      </w:r>
    </w:p>
    <w:p w14:paraId="7FC5613E" w14:textId="77777777" w:rsidR="00823785" w:rsidRPr="00452D62" w:rsidRDefault="00823785" w:rsidP="00823785">
      <w:pPr>
        <w:numPr>
          <w:ilvl w:val="0"/>
          <w:numId w:val="13"/>
        </w:numPr>
        <w:ind w:left="1134" w:hanging="567"/>
        <w:rPr>
          <w:sz w:val="22"/>
          <w:szCs w:val="22"/>
        </w:rPr>
      </w:pPr>
      <w:r w:rsidRPr="00452D62">
        <w:rPr>
          <w:sz w:val="22"/>
          <w:szCs w:val="22"/>
        </w:rPr>
        <w:t>ketokonazolo tablečių (vartojamų gydyti Kušingo sindromą, kai organizmas gamina per daug kortizolio);</w:t>
      </w:r>
    </w:p>
    <w:p w14:paraId="523094FD" w14:textId="77777777" w:rsidR="00823785" w:rsidRPr="00452D62" w:rsidRDefault="00823785" w:rsidP="00823785">
      <w:pPr>
        <w:numPr>
          <w:ilvl w:val="0"/>
          <w:numId w:val="13"/>
        </w:numPr>
        <w:ind w:left="1134" w:hanging="567"/>
        <w:rPr>
          <w:sz w:val="22"/>
          <w:szCs w:val="22"/>
        </w:rPr>
      </w:pPr>
      <w:r w:rsidRPr="00452D62">
        <w:rPr>
          <w:sz w:val="22"/>
          <w:szCs w:val="22"/>
        </w:rPr>
        <w:t>kai kurių vaistų nuo bakterinių infekcijų (pvz., klaritromicino, eritromicino);</w:t>
      </w:r>
    </w:p>
    <w:p w14:paraId="2CD0855A" w14:textId="77777777" w:rsidR="00823785" w:rsidRPr="00452D62" w:rsidRDefault="00823785" w:rsidP="00823785">
      <w:pPr>
        <w:numPr>
          <w:ilvl w:val="0"/>
          <w:numId w:val="13"/>
        </w:numPr>
        <w:ind w:left="1134" w:hanging="567"/>
        <w:rPr>
          <w:sz w:val="22"/>
          <w:szCs w:val="22"/>
        </w:rPr>
      </w:pPr>
      <w:r w:rsidRPr="00452D62">
        <w:rPr>
          <w:sz w:val="22"/>
          <w:szCs w:val="22"/>
        </w:rPr>
        <w:t>kai kurių antivirusinių vaistų nuo ŽIV/AIDS (pvz., ritonaviro);</w:t>
      </w:r>
    </w:p>
    <w:p w14:paraId="5698A68F" w14:textId="77777777" w:rsidR="00823785" w:rsidRPr="00452D62" w:rsidRDefault="00823785" w:rsidP="00823785">
      <w:pPr>
        <w:numPr>
          <w:ilvl w:val="0"/>
          <w:numId w:val="13"/>
        </w:numPr>
        <w:ind w:left="1134" w:hanging="567"/>
        <w:rPr>
          <w:sz w:val="22"/>
          <w:szCs w:val="22"/>
        </w:rPr>
      </w:pPr>
      <w:r w:rsidRPr="00452D62">
        <w:rPr>
          <w:sz w:val="22"/>
          <w:szCs w:val="22"/>
        </w:rPr>
        <w:t>kitų vaistų, skirtų krešėjimui mažinti (pvz., enoksaparino, klopidogrelio ar vitamino K antagonistų, tokių kaip varfarinas ar acenokumarolis;</w:t>
      </w:r>
    </w:p>
    <w:p w14:paraId="393AA620" w14:textId="77777777" w:rsidR="00823785" w:rsidRPr="00452D62" w:rsidRDefault="00823785" w:rsidP="00823785">
      <w:pPr>
        <w:numPr>
          <w:ilvl w:val="0"/>
          <w:numId w:val="13"/>
        </w:numPr>
        <w:ind w:left="1134" w:hanging="567"/>
        <w:rPr>
          <w:sz w:val="22"/>
          <w:szCs w:val="22"/>
        </w:rPr>
      </w:pPr>
      <w:r w:rsidRPr="00452D62">
        <w:rPr>
          <w:sz w:val="22"/>
          <w:szCs w:val="22"/>
        </w:rPr>
        <w:t>vaistų nuo uždegimo ir skausmą malšinančių vaistų (pvz., naprokseno arba acetilsalicilo rūgšties);</w:t>
      </w:r>
    </w:p>
    <w:p w14:paraId="1A03DBDD" w14:textId="77777777" w:rsidR="00823785" w:rsidRPr="00452D62" w:rsidRDefault="00823785" w:rsidP="00823785">
      <w:pPr>
        <w:numPr>
          <w:ilvl w:val="0"/>
          <w:numId w:val="13"/>
        </w:numPr>
        <w:ind w:left="1134" w:hanging="567"/>
        <w:rPr>
          <w:sz w:val="22"/>
          <w:szCs w:val="22"/>
        </w:rPr>
      </w:pPr>
      <w:r w:rsidRPr="00452D62">
        <w:rPr>
          <w:sz w:val="22"/>
          <w:szCs w:val="22"/>
        </w:rPr>
        <w:t>dronedarono (vaisto nuo nenormalaus širdies plakimo);</w:t>
      </w:r>
    </w:p>
    <w:p w14:paraId="211676A4" w14:textId="77777777" w:rsidR="00823785" w:rsidRPr="00452D62" w:rsidRDefault="00823785" w:rsidP="00823785">
      <w:pPr>
        <w:numPr>
          <w:ilvl w:val="0"/>
          <w:numId w:val="13"/>
        </w:numPr>
        <w:ind w:left="1134" w:hanging="567"/>
        <w:rPr>
          <w:sz w:val="22"/>
          <w:szCs w:val="22"/>
        </w:rPr>
      </w:pPr>
      <w:r w:rsidRPr="00452D62">
        <w:rPr>
          <w:sz w:val="22"/>
          <w:szCs w:val="22"/>
        </w:rPr>
        <w:t>kai kurių vaistų nuo depresijos (selektyvių serotonino reabsorbcijos inhibitorių (SSRI) arba serotonino-norepinefrino reabsorbcijos inhibitorių (SNRI)).</w:t>
      </w:r>
    </w:p>
    <w:p w14:paraId="75D244BF" w14:textId="77777777" w:rsidR="00823785" w:rsidRPr="00452D62" w:rsidRDefault="00823785" w:rsidP="00823785">
      <w:pPr>
        <w:rPr>
          <w:b/>
          <w:bCs/>
          <w:sz w:val="22"/>
          <w:szCs w:val="22"/>
        </w:rPr>
      </w:pPr>
    </w:p>
    <w:p w14:paraId="1EA4450E" w14:textId="77777777" w:rsidR="00823785" w:rsidRPr="00452D62" w:rsidRDefault="00823785" w:rsidP="00823785">
      <w:pPr>
        <w:rPr>
          <w:sz w:val="22"/>
          <w:szCs w:val="22"/>
        </w:rPr>
      </w:pPr>
      <w:r w:rsidRPr="00452D62">
        <w:rPr>
          <w:b/>
          <w:bCs/>
          <w:sz w:val="22"/>
          <w:szCs w:val="22"/>
        </w:rPr>
        <w:t xml:space="preserve">Jeigu Jums tinka bet kuri iš paminėtų būklių, </w:t>
      </w:r>
      <w:r w:rsidRPr="00452D62">
        <w:rPr>
          <w:sz w:val="22"/>
          <w:szCs w:val="22"/>
        </w:rPr>
        <w:t xml:space="preserve">prieš pradedant vartoti Xerdoxo apie tai </w:t>
      </w:r>
      <w:r w:rsidRPr="00452D62">
        <w:rPr>
          <w:b/>
          <w:bCs/>
          <w:sz w:val="22"/>
          <w:szCs w:val="22"/>
        </w:rPr>
        <w:t>pasakykite gydytojui</w:t>
      </w:r>
      <w:r w:rsidRPr="00452D62">
        <w:rPr>
          <w:sz w:val="22"/>
          <w:szCs w:val="22"/>
        </w:rPr>
        <w:t>, nes Xerdoxo poveikis gali sustiprėti. Gydytojas nuspręs, ar skirti Jums šio vaisto ir ar Jus atidžiau stebėti.</w:t>
      </w:r>
    </w:p>
    <w:p w14:paraId="1EF9F2B2" w14:textId="77777777" w:rsidR="00823785" w:rsidRPr="00452D62" w:rsidRDefault="00823785" w:rsidP="00823785">
      <w:pPr>
        <w:tabs>
          <w:tab w:val="clear" w:pos="567"/>
        </w:tabs>
        <w:spacing w:line="100" w:lineRule="atLeast"/>
        <w:ind w:right="-2"/>
        <w:rPr>
          <w:bCs/>
          <w:sz w:val="22"/>
          <w:szCs w:val="22"/>
        </w:rPr>
      </w:pPr>
      <w:r w:rsidRPr="00452D62">
        <w:rPr>
          <w:sz w:val="22"/>
          <w:szCs w:val="22"/>
        </w:rPr>
        <w:t>Jeigu Jūsų gydytojas mano, kad Jums yra padidėjusi skrandžio ar žarnyno opų atsiradimo rizika, jis taip pat gali skirti profilaktinį gydymą nuo opų.</w:t>
      </w:r>
    </w:p>
    <w:p w14:paraId="75E04A83" w14:textId="77777777" w:rsidR="00823785" w:rsidRPr="00452D62" w:rsidRDefault="00823785" w:rsidP="00823785">
      <w:pPr>
        <w:tabs>
          <w:tab w:val="clear" w:pos="567"/>
        </w:tabs>
        <w:spacing w:line="100" w:lineRule="atLeast"/>
        <w:ind w:right="-2"/>
        <w:rPr>
          <w:bCs/>
          <w:sz w:val="22"/>
          <w:szCs w:val="22"/>
        </w:rPr>
      </w:pPr>
    </w:p>
    <w:p w14:paraId="3897781B" w14:textId="77777777" w:rsidR="00823785" w:rsidRPr="00452D62" w:rsidRDefault="00823785" w:rsidP="00823785">
      <w:pPr>
        <w:numPr>
          <w:ilvl w:val="0"/>
          <w:numId w:val="6"/>
        </w:numPr>
        <w:ind w:left="567" w:hanging="567"/>
        <w:rPr>
          <w:b/>
          <w:sz w:val="22"/>
          <w:szCs w:val="22"/>
        </w:rPr>
      </w:pPr>
      <w:r w:rsidRPr="00452D62">
        <w:rPr>
          <w:b/>
          <w:sz w:val="22"/>
          <w:szCs w:val="22"/>
        </w:rPr>
        <w:t>Jeigu vartojate</w:t>
      </w:r>
    </w:p>
    <w:p w14:paraId="25E768AB" w14:textId="77777777" w:rsidR="00823785" w:rsidRPr="00452D62" w:rsidRDefault="00823785" w:rsidP="00823785">
      <w:pPr>
        <w:numPr>
          <w:ilvl w:val="0"/>
          <w:numId w:val="13"/>
        </w:numPr>
        <w:ind w:left="1134" w:hanging="567"/>
        <w:rPr>
          <w:sz w:val="22"/>
          <w:szCs w:val="22"/>
        </w:rPr>
      </w:pPr>
      <w:r w:rsidRPr="00452D62">
        <w:rPr>
          <w:sz w:val="22"/>
          <w:szCs w:val="22"/>
        </w:rPr>
        <w:t>kai kurių vaistų nuo epilepsijos (fenitoino, karbamazepino, fenobarbitalio);</w:t>
      </w:r>
    </w:p>
    <w:p w14:paraId="39A73F30" w14:textId="77777777" w:rsidR="00823785" w:rsidRPr="00452D62" w:rsidRDefault="00823785" w:rsidP="00823785">
      <w:pPr>
        <w:numPr>
          <w:ilvl w:val="0"/>
          <w:numId w:val="13"/>
        </w:numPr>
        <w:ind w:left="1134" w:hanging="567"/>
        <w:rPr>
          <w:sz w:val="22"/>
          <w:szCs w:val="22"/>
        </w:rPr>
      </w:pPr>
      <w:r w:rsidRPr="00452D62">
        <w:rPr>
          <w:sz w:val="22"/>
          <w:szCs w:val="22"/>
        </w:rPr>
        <w:t>paprastųjų jonažolių (</w:t>
      </w:r>
      <w:r w:rsidRPr="00452D62">
        <w:rPr>
          <w:i/>
          <w:iCs/>
          <w:sz w:val="22"/>
          <w:szCs w:val="22"/>
        </w:rPr>
        <w:t>Hypericum perforatum</w:t>
      </w:r>
      <w:r w:rsidRPr="00452D62">
        <w:rPr>
          <w:sz w:val="22"/>
          <w:szCs w:val="22"/>
        </w:rPr>
        <w:t>) augalinio vaisto nuo depresijos;</w:t>
      </w:r>
    </w:p>
    <w:p w14:paraId="602FF0D3" w14:textId="77777777" w:rsidR="00823785" w:rsidRPr="00452D62" w:rsidRDefault="00823785" w:rsidP="00823785">
      <w:pPr>
        <w:numPr>
          <w:ilvl w:val="0"/>
          <w:numId w:val="13"/>
        </w:numPr>
        <w:ind w:left="1134" w:hanging="567"/>
        <w:rPr>
          <w:sz w:val="22"/>
          <w:szCs w:val="22"/>
        </w:rPr>
      </w:pPr>
      <w:r w:rsidRPr="00452D62">
        <w:rPr>
          <w:sz w:val="22"/>
          <w:szCs w:val="22"/>
        </w:rPr>
        <w:t>antibiotiko rifampicino.</w:t>
      </w:r>
    </w:p>
    <w:p w14:paraId="2A36A712" w14:textId="77777777" w:rsidR="00823785" w:rsidRPr="00452D62" w:rsidRDefault="00823785" w:rsidP="00823785">
      <w:pPr>
        <w:rPr>
          <w:b/>
          <w:bCs/>
          <w:sz w:val="22"/>
          <w:szCs w:val="22"/>
        </w:rPr>
      </w:pPr>
    </w:p>
    <w:p w14:paraId="0DB41DE8" w14:textId="77777777" w:rsidR="00823785" w:rsidRPr="00452D62" w:rsidRDefault="00823785" w:rsidP="00823785">
      <w:pPr>
        <w:rPr>
          <w:b/>
          <w:bCs/>
          <w:sz w:val="22"/>
          <w:szCs w:val="22"/>
        </w:rPr>
      </w:pPr>
      <w:r w:rsidRPr="00452D62">
        <w:rPr>
          <w:b/>
          <w:bCs/>
          <w:sz w:val="22"/>
          <w:szCs w:val="22"/>
        </w:rPr>
        <w:t xml:space="preserve">Jeigu Jums tinka bet kuri iš paminėtų būklių, </w:t>
      </w:r>
      <w:r w:rsidRPr="00452D62">
        <w:rPr>
          <w:bCs/>
          <w:sz w:val="22"/>
          <w:szCs w:val="22"/>
        </w:rPr>
        <w:t>prieš pradedant vartoti Xerdoxo</w:t>
      </w:r>
      <w:r w:rsidRPr="00452D62">
        <w:rPr>
          <w:b/>
          <w:bCs/>
          <w:sz w:val="22"/>
          <w:szCs w:val="22"/>
        </w:rPr>
        <w:t xml:space="preserve"> </w:t>
      </w:r>
      <w:r w:rsidRPr="00452D62">
        <w:rPr>
          <w:sz w:val="22"/>
          <w:szCs w:val="22"/>
        </w:rPr>
        <w:t xml:space="preserve">apie tai </w:t>
      </w:r>
      <w:r w:rsidRPr="00452D62">
        <w:rPr>
          <w:b/>
          <w:bCs/>
          <w:sz w:val="22"/>
          <w:szCs w:val="22"/>
        </w:rPr>
        <w:t xml:space="preserve">pasakykite gydytojui, </w:t>
      </w:r>
      <w:r w:rsidRPr="00452D62">
        <w:rPr>
          <w:bCs/>
          <w:sz w:val="22"/>
          <w:szCs w:val="22"/>
        </w:rPr>
        <w:t>nes Xerdoxo poveikis gali susilpnėti. Gydytojas nuspręs, ar skirti Jums šio vaisto ir ar Jus atidžiau stebėti.</w:t>
      </w:r>
    </w:p>
    <w:p w14:paraId="51EC01E1" w14:textId="77777777" w:rsidR="00823785" w:rsidRPr="00452D62" w:rsidRDefault="00823785" w:rsidP="00823785">
      <w:pPr>
        <w:rPr>
          <w:b/>
          <w:bCs/>
          <w:sz w:val="22"/>
          <w:szCs w:val="22"/>
        </w:rPr>
      </w:pPr>
    </w:p>
    <w:p w14:paraId="66110235" w14:textId="77777777" w:rsidR="00823785" w:rsidRPr="00452D62" w:rsidRDefault="00823785" w:rsidP="00823785">
      <w:pPr>
        <w:rPr>
          <w:sz w:val="22"/>
          <w:szCs w:val="22"/>
        </w:rPr>
      </w:pPr>
      <w:r w:rsidRPr="00452D62">
        <w:rPr>
          <w:b/>
          <w:bCs/>
          <w:sz w:val="22"/>
          <w:szCs w:val="22"/>
        </w:rPr>
        <w:t>Nėštumas, žindymo laikotarpis ir vaisingumas</w:t>
      </w:r>
    </w:p>
    <w:p w14:paraId="358E938E" w14:textId="77777777" w:rsidR="00823785" w:rsidRPr="00452D62" w:rsidRDefault="00823785" w:rsidP="00823785">
      <w:pPr>
        <w:rPr>
          <w:sz w:val="22"/>
          <w:szCs w:val="22"/>
        </w:rPr>
      </w:pPr>
      <w:r w:rsidRPr="00452D62">
        <w:rPr>
          <w:sz w:val="22"/>
          <w:szCs w:val="22"/>
        </w:rPr>
        <w:t>Jeigu esate nėščia, žindote kūdikį, manote, kad galbūt esate nėščia, arba planuojate pastoti, tai prieš vartodama šį vaistą, pasitarkite su gydytoju arba vaistininku.</w:t>
      </w:r>
    </w:p>
    <w:p w14:paraId="39BF826E" w14:textId="77777777" w:rsidR="00823785" w:rsidRPr="00452D62" w:rsidRDefault="00823785" w:rsidP="00823785">
      <w:pPr>
        <w:rPr>
          <w:sz w:val="22"/>
          <w:szCs w:val="22"/>
        </w:rPr>
      </w:pPr>
    </w:p>
    <w:p w14:paraId="02FB999F" w14:textId="01B70844" w:rsidR="00823785" w:rsidRPr="00452D62" w:rsidRDefault="00823785" w:rsidP="00823785">
      <w:pPr>
        <w:rPr>
          <w:b/>
          <w:bCs/>
          <w:sz w:val="22"/>
          <w:szCs w:val="22"/>
        </w:rPr>
      </w:pPr>
      <w:r w:rsidRPr="00452D62">
        <w:rPr>
          <w:sz w:val="22"/>
          <w:szCs w:val="22"/>
        </w:rPr>
        <w:t>Jei esate nėščia arba maitinate krūtimi, Xerdoxo vartoti draudžiama. Jei yra galimybė pastoti, Xerdoxo vartojimo laikotarpiu naudokite patikimą kontracepcijos metodą. Jei vartodama šio vaisto pastojote, nedelsdama apie tai pasakykite gydytojui, kuris nuspręs, kaip turėsite būti gydoma.</w:t>
      </w:r>
    </w:p>
    <w:p w14:paraId="09410C35" w14:textId="77777777" w:rsidR="00823785" w:rsidRPr="00452D62" w:rsidRDefault="00823785" w:rsidP="00823785">
      <w:pPr>
        <w:rPr>
          <w:b/>
          <w:bCs/>
          <w:sz w:val="22"/>
          <w:szCs w:val="22"/>
        </w:rPr>
      </w:pPr>
    </w:p>
    <w:p w14:paraId="1F7DFD83" w14:textId="77777777" w:rsidR="00823785" w:rsidRPr="00452D62" w:rsidRDefault="00823785" w:rsidP="00823785">
      <w:pPr>
        <w:rPr>
          <w:sz w:val="22"/>
          <w:szCs w:val="22"/>
        </w:rPr>
      </w:pPr>
      <w:r w:rsidRPr="00452D62">
        <w:rPr>
          <w:b/>
          <w:bCs/>
          <w:sz w:val="22"/>
          <w:szCs w:val="22"/>
        </w:rPr>
        <w:t>Vairavimas ir mechanizmų valdymas</w:t>
      </w:r>
    </w:p>
    <w:p w14:paraId="3F735429" w14:textId="77777777" w:rsidR="00823785" w:rsidRPr="00452D62" w:rsidRDefault="00823785" w:rsidP="00823785">
      <w:pPr>
        <w:rPr>
          <w:b/>
          <w:bCs/>
          <w:sz w:val="22"/>
          <w:szCs w:val="22"/>
        </w:rPr>
      </w:pPr>
      <w:r w:rsidRPr="00452D62">
        <w:rPr>
          <w:sz w:val="22"/>
          <w:szCs w:val="22"/>
        </w:rPr>
        <w:t>Vartojant Xerdoxo gali pasireikšti svaigulys (dažnas šalutinis poveikis) arba apalpimas (nedažnas šalutinis poveikis) (žr. 4 skyrių „Galimas šalutinis poveikis“). Jeigu atsiranda tokių simptomų, vairuoti, važiuoti dviračiu arba naudoti bet kokių įrankių ar valdyti mechanizmų negalima.</w:t>
      </w:r>
    </w:p>
    <w:p w14:paraId="467081B9" w14:textId="77777777" w:rsidR="00823785" w:rsidRPr="00452D62" w:rsidRDefault="00823785" w:rsidP="00823785">
      <w:pPr>
        <w:rPr>
          <w:b/>
          <w:bCs/>
          <w:sz w:val="22"/>
          <w:szCs w:val="22"/>
        </w:rPr>
      </w:pPr>
    </w:p>
    <w:p w14:paraId="652D69AD" w14:textId="77777777" w:rsidR="00823785" w:rsidRPr="00452D62" w:rsidRDefault="00823785" w:rsidP="00823785">
      <w:pPr>
        <w:rPr>
          <w:sz w:val="22"/>
          <w:szCs w:val="22"/>
        </w:rPr>
      </w:pPr>
      <w:r w:rsidRPr="00452D62">
        <w:rPr>
          <w:b/>
          <w:bCs/>
          <w:sz w:val="22"/>
          <w:szCs w:val="22"/>
        </w:rPr>
        <w:t>Xerdoxo sudėtyje yra natrio</w:t>
      </w:r>
    </w:p>
    <w:p w14:paraId="1A3BF907" w14:textId="77777777" w:rsidR="00823785" w:rsidRPr="00452D62" w:rsidRDefault="00823785" w:rsidP="00823785">
      <w:pPr>
        <w:tabs>
          <w:tab w:val="clear" w:pos="567"/>
        </w:tabs>
        <w:spacing w:line="100" w:lineRule="atLeast"/>
        <w:ind w:right="-2"/>
        <w:rPr>
          <w:sz w:val="22"/>
          <w:szCs w:val="22"/>
        </w:rPr>
      </w:pPr>
      <w:r w:rsidRPr="00452D62">
        <w:rPr>
          <w:sz w:val="22"/>
          <w:szCs w:val="22"/>
        </w:rPr>
        <w:t>Šio vaisto vienoje tabletėje yra mažiau kaip 1 mmol (23 mg) natrio, t. y. jis beveik neturi reikšmės.</w:t>
      </w:r>
    </w:p>
    <w:p w14:paraId="09CD3998" w14:textId="77777777" w:rsidR="00823785" w:rsidRPr="00452D62" w:rsidRDefault="00823785" w:rsidP="00823785">
      <w:pPr>
        <w:tabs>
          <w:tab w:val="clear" w:pos="567"/>
        </w:tabs>
        <w:spacing w:line="100" w:lineRule="atLeast"/>
        <w:ind w:right="-2"/>
        <w:rPr>
          <w:sz w:val="22"/>
          <w:szCs w:val="22"/>
        </w:rPr>
      </w:pPr>
    </w:p>
    <w:p w14:paraId="21272A9A" w14:textId="77777777" w:rsidR="00823785" w:rsidRPr="00452D62" w:rsidRDefault="00823785" w:rsidP="00823785">
      <w:pPr>
        <w:tabs>
          <w:tab w:val="clear" w:pos="567"/>
        </w:tabs>
        <w:spacing w:line="100" w:lineRule="atLeast"/>
        <w:ind w:right="-2"/>
        <w:rPr>
          <w:sz w:val="22"/>
          <w:szCs w:val="22"/>
        </w:rPr>
      </w:pPr>
    </w:p>
    <w:p w14:paraId="769A1A21" w14:textId="77777777" w:rsidR="00823785" w:rsidRPr="00452D62" w:rsidRDefault="00823785" w:rsidP="00823785">
      <w:pPr>
        <w:widowControl w:val="0"/>
        <w:tabs>
          <w:tab w:val="clear" w:pos="567"/>
        </w:tabs>
        <w:suppressAutoHyphens w:val="0"/>
        <w:spacing w:line="240" w:lineRule="auto"/>
        <w:ind w:left="567" w:hanging="567"/>
        <w:outlineLvl w:val="0"/>
        <w:rPr>
          <w:b/>
          <w:color w:val="auto"/>
          <w:sz w:val="22"/>
          <w:szCs w:val="22"/>
          <w:lang w:eastAsia="en-US"/>
        </w:rPr>
      </w:pPr>
      <w:r w:rsidRPr="00452D62">
        <w:rPr>
          <w:b/>
          <w:color w:val="auto"/>
          <w:sz w:val="22"/>
          <w:szCs w:val="22"/>
          <w:lang w:eastAsia="en-US"/>
        </w:rPr>
        <w:t>3.</w:t>
      </w:r>
      <w:r w:rsidRPr="00452D62">
        <w:rPr>
          <w:b/>
          <w:color w:val="auto"/>
          <w:sz w:val="22"/>
          <w:szCs w:val="22"/>
          <w:lang w:eastAsia="en-US"/>
        </w:rPr>
        <w:tab/>
        <w:t>Kaip vartoti Xerdoxo</w:t>
      </w:r>
    </w:p>
    <w:p w14:paraId="10E94912" w14:textId="77777777" w:rsidR="00823785" w:rsidRPr="00452D62" w:rsidRDefault="00823785" w:rsidP="00823785">
      <w:pPr>
        <w:tabs>
          <w:tab w:val="clear" w:pos="567"/>
        </w:tabs>
        <w:spacing w:line="100" w:lineRule="atLeast"/>
        <w:ind w:right="-2"/>
        <w:rPr>
          <w:sz w:val="22"/>
          <w:szCs w:val="22"/>
        </w:rPr>
      </w:pPr>
    </w:p>
    <w:p w14:paraId="60A4EC5D" w14:textId="77777777" w:rsidR="00823785" w:rsidRPr="00452D62" w:rsidRDefault="00823785" w:rsidP="00823785">
      <w:pPr>
        <w:tabs>
          <w:tab w:val="clear" w:pos="567"/>
        </w:tabs>
        <w:spacing w:line="100" w:lineRule="atLeast"/>
        <w:ind w:right="-2"/>
        <w:rPr>
          <w:sz w:val="22"/>
          <w:szCs w:val="22"/>
        </w:rPr>
      </w:pPr>
      <w:r w:rsidRPr="00452D62">
        <w:rPr>
          <w:sz w:val="22"/>
          <w:szCs w:val="22"/>
        </w:rPr>
        <w:t>Visada vartokite šį vaistą tiksliai kaip nurodė gydytojas. Jeigu abejojate, kreipkitės į gydytoją arba vaistininką.</w:t>
      </w:r>
    </w:p>
    <w:p w14:paraId="320C87CC" w14:textId="77777777" w:rsidR="00823785" w:rsidRPr="00452D62" w:rsidRDefault="00823785" w:rsidP="00823785">
      <w:pPr>
        <w:tabs>
          <w:tab w:val="clear" w:pos="567"/>
        </w:tabs>
        <w:spacing w:line="100" w:lineRule="atLeast"/>
        <w:ind w:right="-2"/>
        <w:rPr>
          <w:sz w:val="22"/>
          <w:szCs w:val="22"/>
        </w:rPr>
      </w:pPr>
    </w:p>
    <w:p w14:paraId="25C2790C" w14:textId="77777777" w:rsidR="00823785" w:rsidRPr="00452D62" w:rsidRDefault="00823785" w:rsidP="00823785">
      <w:pPr>
        <w:rPr>
          <w:sz w:val="22"/>
          <w:szCs w:val="22"/>
        </w:rPr>
      </w:pPr>
      <w:r w:rsidRPr="00452D62">
        <w:rPr>
          <w:b/>
          <w:bCs/>
          <w:sz w:val="22"/>
          <w:szCs w:val="22"/>
        </w:rPr>
        <w:t>Kiek vartoti</w:t>
      </w:r>
    </w:p>
    <w:p w14:paraId="30AA9654" w14:textId="77777777" w:rsidR="00823785" w:rsidRPr="00452D62" w:rsidRDefault="00823785" w:rsidP="00823785">
      <w:pPr>
        <w:ind w:left="564" w:hanging="564"/>
        <w:rPr>
          <w:sz w:val="22"/>
          <w:szCs w:val="22"/>
        </w:rPr>
      </w:pPr>
      <w:r w:rsidRPr="00452D62">
        <w:rPr>
          <w:sz w:val="22"/>
          <w:szCs w:val="22"/>
        </w:rPr>
        <w:t>-</w:t>
      </w:r>
      <w:r w:rsidRPr="00452D62">
        <w:rPr>
          <w:sz w:val="22"/>
          <w:szCs w:val="22"/>
        </w:rPr>
        <w:tab/>
        <w:t>Po klubo arba kelio sąnario keitimo operacijų, siekiant išvengti kraujo krešulių susidarymo venose</w:t>
      </w:r>
    </w:p>
    <w:p w14:paraId="1B55ED9C" w14:textId="77777777" w:rsidR="00823785" w:rsidRPr="00452D62" w:rsidRDefault="00823785" w:rsidP="00823785">
      <w:pPr>
        <w:tabs>
          <w:tab w:val="clear" w:pos="567"/>
        </w:tabs>
        <w:ind w:left="567"/>
        <w:rPr>
          <w:sz w:val="22"/>
          <w:szCs w:val="22"/>
        </w:rPr>
      </w:pPr>
      <w:r w:rsidRPr="00452D62">
        <w:rPr>
          <w:sz w:val="22"/>
          <w:szCs w:val="22"/>
        </w:rPr>
        <w:t>Rekomenduojama dozė yra viena Xerdoxo tabletė (10 mg) vieną kartą per parą.</w:t>
      </w:r>
    </w:p>
    <w:p w14:paraId="4A892C06" w14:textId="77777777" w:rsidR="00823785" w:rsidRPr="00452D62" w:rsidRDefault="00823785" w:rsidP="00823785">
      <w:pPr>
        <w:rPr>
          <w:sz w:val="22"/>
          <w:szCs w:val="22"/>
        </w:rPr>
      </w:pPr>
    </w:p>
    <w:p w14:paraId="0B6ABE6C" w14:textId="77777777" w:rsidR="00823785" w:rsidRPr="00452D62" w:rsidRDefault="00823785" w:rsidP="00823785">
      <w:pPr>
        <w:ind w:left="564" w:hanging="564"/>
        <w:rPr>
          <w:sz w:val="22"/>
          <w:szCs w:val="22"/>
        </w:rPr>
      </w:pPr>
      <w:r w:rsidRPr="00452D62">
        <w:rPr>
          <w:sz w:val="22"/>
          <w:szCs w:val="22"/>
        </w:rPr>
        <w:t>-</w:t>
      </w:r>
      <w:r w:rsidRPr="00452D62">
        <w:rPr>
          <w:sz w:val="22"/>
          <w:szCs w:val="22"/>
        </w:rPr>
        <w:tab/>
        <w:t>Kraujo krešulių kojų venose bei kraujo krešulių plaučių kraujagyslėse gydymui ir pakartotinio kraujo krešulių susidarymo profilaktikai</w:t>
      </w:r>
    </w:p>
    <w:p w14:paraId="1917D95A" w14:textId="77777777" w:rsidR="00823785" w:rsidRPr="00452D62" w:rsidRDefault="00823785" w:rsidP="00823785">
      <w:pPr>
        <w:ind w:left="564"/>
        <w:rPr>
          <w:sz w:val="22"/>
          <w:szCs w:val="22"/>
        </w:rPr>
      </w:pPr>
      <w:r w:rsidRPr="00452D62">
        <w:rPr>
          <w:sz w:val="22"/>
          <w:szCs w:val="22"/>
        </w:rPr>
        <w:tab/>
        <w:t>Po kraujo krešulio gydymo, trukusio ne trumpiau kaip 6 mėnesius, rekomenduojama dozė yra arba viena 10 mg tabletė vieną kartą per parą, arba viena 20 mg tabletė vieną kartą per parą. Gydytojas Jums paskyrė Xerdoxo 10 mg vieną kartą per parą.</w:t>
      </w:r>
    </w:p>
    <w:p w14:paraId="42FA1A4D" w14:textId="77777777" w:rsidR="00823785" w:rsidRPr="00452D62" w:rsidRDefault="00823785" w:rsidP="00823785">
      <w:pPr>
        <w:rPr>
          <w:sz w:val="22"/>
          <w:szCs w:val="22"/>
        </w:rPr>
      </w:pPr>
    </w:p>
    <w:p w14:paraId="0FCFD631" w14:textId="77777777" w:rsidR="00823785" w:rsidRPr="00452D62" w:rsidRDefault="00823785" w:rsidP="00823785">
      <w:pPr>
        <w:rPr>
          <w:sz w:val="22"/>
          <w:szCs w:val="22"/>
        </w:rPr>
      </w:pPr>
      <w:r w:rsidRPr="00452D62">
        <w:rPr>
          <w:sz w:val="22"/>
          <w:szCs w:val="22"/>
        </w:rPr>
        <w:t>Nurykite tabletę, geriausia užsigerdami vandeniu.</w:t>
      </w:r>
    </w:p>
    <w:p w14:paraId="3358BD97" w14:textId="77777777" w:rsidR="00823785" w:rsidRPr="00452D62" w:rsidRDefault="00823785" w:rsidP="00823785">
      <w:pPr>
        <w:rPr>
          <w:sz w:val="22"/>
          <w:szCs w:val="22"/>
        </w:rPr>
      </w:pPr>
      <w:r w:rsidRPr="00452D62">
        <w:rPr>
          <w:sz w:val="22"/>
          <w:szCs w:val="22"/>
        </w:rPr>
        <w:t>Xerdoxo galima vartoti valgio metu arba nevalgius.</w:t>
      </w:r>
    </w:p>
    <w:p w14:paraId="6E6E0EA3" w14:textId="77777777" w:rsidR="00823785" w:rsidRPr="00452D62" w:rsidRDefault="00823785" w:rsidP="00823785">
      <w:pPr>
        <w:rPr>
          <w:sz w:val="22"/>
          <w:szCs w:val="22"/>
        </w:rPr>
      </w:pPr>
    </w:p>
    <w:p w14:paraId="0F3479AE" w14:textId="383C021E" w:rsidR="00823785" w:rsidRPr="00452D62" w:rsidRDefault="00823785" w:rsidP="00823785">
      <w:pPr>
        <w:rPr>
          <w:sz w:val="22"/>
          <w:szCs w:val="22"/>
        </w:rPr>
      </w:pPr>
      <w:r w:rsidRPr="00452D62">
        <w:rPr>
          <w:sz w:val="22"/>
          <w:szCs w:val="22"/>
        </w:rPr>
        <w:t>Jeigu sunku nuryti visą tabletę, pasikalbėkite su gydytoju apie kitus Xerdoxo vartojimo būdus. Prieš pat vartojimą tabletę galima susmulkinti ir sumaišyti su vandeniu arba obuolių tyre.</w:t>
      </w:r>
    </w:p>
    <w:p w14:paraId="712A0433" w14:textId="77777777" w:rsidR="00B07B69" w:rsidRPr="00452D62" w:rsidRDefault="00B07B69" w:rsidP="00823785">
      <w:pPr>
        <w:rPr>
          <w:sz w:val="22"/>
          <w:szCs w:val="22"/>
        </w:rPr>
      </w:pPr>
    </w:p>
    <w:p w14:paraId="6B2CC26E" w14:textId="77777777" w:rsidR="00823785" w:rsidRPr="00452D62" w:rsidRDefault="00823785" w:rsidP="00823785">
      <w:pPr>
        <w:rPr>
          <w:sz w:val="22"/>
          <w:szCs w:val="22"/>
        </w:rPr>
      </w:pPr>
      <w:r w:rsidRPr="00452D62">
        <w:rPr>
          <w:sz w:val="22"/>
          <w:szCs w:val="22"/>
        </w:rPr>
        <w:t>Jeigu būtina, gydytojas gali Jums paskirti vartoti susmulkintą Xerdoxo tabletę ir per skrandžio vamzdelį.</w:t>
      </w:r>
    </w:p>
    <w:p w14:paraId="2F2BD4F9" w14:textId="77777777" w:rsidR="00823785" w:rsidRPr="00452D62" w:rsidRDefault="00823785" w:rsidP="00823785">
      <w:pPr>
        <w:rPr>
          <w:sz w:val="22"/>
          <w:szCs w:val="22"/>
        </w:rPr>
      </w:pPr>
    </w:p>
    <w:p w14:paraId="3F961439" w14:textId="77777777" w:rsidR="00823785" w:rsidRPr="00452D62" w:rsidRDefault="00823785" w:rsidP="00823785">
      <w:pPr>
        <w:rPr>
          <w:sz w:val="22"/>
          <w:szCs w:val="22"/>
        </w:rPr>
      </w:pPr>
      <w:r w:rsidRPr="00452D62">
        <w:rPr>
          <w:b/>
          <w:bCs/>
          <w:sz w:val="22"/>
          <w:szCs w:val="22"/>
        </w:rPr>
        <w:t>Kada pradėti vartoti Xerdoxo</w:t>
      </w:r>
    </w:p>
    <w:p w14:paraId="7B929849" w14:textId="77777777" w:rsidR="00823785" w:rsidRPr="00452D62" w:rsidRDefault="00823785" w:rsidP="00823785">
      <w:pPr>
        <w:rPr>
          <w:sz w:val="22"/>
          <w:szCs w:val="22"/>
        </w:rPr>
      </w:pPr>
      <w:r w:rsidRPr="00452D62">
        <w:rPr>
          <w:sz w:val="22"/>
          <w:szCs w:val="22"/>
        </w:rPr>
        <w:t>Tabletę gerkite kasdien, kol gydytojas pasakys, kada nustoti.</w:t>
      </w:r>
    </w:p>
    <w:p w14:paraId="41E91098" w14:textId="77777777" w:rsidR="00823785" w:rsidRPr="00452D62" w:rsidRDefault="00823785" w:rsidP="00823785">
      <w:pPr>
        <w:rPr>
          <w:sz w:val="22"/>
          <w:szCs w:val="22"/>
        </w:rPr>
      </w:pPr>
      <w:r w:rsidRPr="00452D62">
        <w:rPr>
          <w:sz w:val="22"/>
          <w:szCs w:val="22"/>
        </w:rPr>
        <w:t>Stenkitės vartoti tabletę tuo pačiu laiku kiekvieną dieną, nes taip geriau prisiminsite.</w:t>
      </w:r>
    </w:p>
    <w:p w14:paraId="252E7C99" w14:textId="77777777" w:rsidR="00823785" w:rsidRPr="00452D62" w:rsidRDefault="00823785" w:rsidP="00823785">
      <w:pPr>
        <w:rPr>
          <w:sz w:val="22"/>
          <w:szCs w:val="22"/>
        </w:rPr>
      </w:pPr>
      <w:r w:rsidRPr="00452D62">
        <w:rPr>
          <w:sz w:val="22"/>
          <w:szCs w:val="22"/>
        </w:rPr>
        <w:t>Jūsų gydytojas nuspręs, kiek laiko reikės tęsti gydymą.</w:t>
      </w:r>
    </w:p>
    <w:p w14:paraId="036ECA35" w14:textId="77777777" w:rsidR="00823785" w:rsidRPr="00452D62" w:rsidRDefault="00823785" w:rsidP="00823785">
      <w:pPr>
        <w:rPr>
          <w:sz w:val="22"/>
          <w:szCs w:val="22"/>
        </w:rPr>
      </w:pPr>
    </w:p>
    <w:p w14:paraId="4C5017D0" w14:textId="77777777" w:rsidR="00823785" w:rsidRPr="00452D62" w:rsidRDefault="00823785" w:rsidP="00823785">
      <w:pPr>
        <w:rPr>
          <w:sz w:val="22"/>
          <w:szCs w:val="22"/>
        </w:rPr>
      </w:pPr>
      <w:r w:rsidRPr="00452D62">
        <w:rPr>
          <w:sz w:val="22"/>
          <w:szCs w:val="22"/>
        </w:rPr>
        <w:t>Po klubo arba kelio sąnario keitimo operacijų, siekiant išvengti kraujo krešulių susidarymo venose:</w:t>
      </w:r>
    </w:p>
    <w:p w14:paraId="37AE681F" w14:textId="77777777" w:rsidR="00823785" w:rsidRPr="00452D62" w:rsidRDefault="00823785" w:rsidP="00823785">
      <w:pPr>
        <w:rPr>
          <w:sz w:val="22"/>
          <w:szCs w:val="22"/>
        </w:rPr>
      </w:pPr>
      <w:r w:rsidRPr="00452D62">
        <w:rPr>
          <w:sz w:val="22"/>
          <w:szCs w:val="22"/>
        </w:rPr>
        <w:t>Išgerkite pirmąją tabletę praėjus 6</w:t>
      </w:r>
      <w:r w:rsidRPr="00452D62">
        <w:rPr>
          <w:sz w:val="22"/>
          <w:szCs w:val="22"/>
        </w:rPr>
        <w:noBreakHyphen/>
        <w:t>10 valandų po operacijos.</w:t>
      </w:r>
    </w:p>
    <w:p w14:paraId="38DD33C5" w14:textId="77777777" w:rsidR="00823785" w:rsidRPr="00452D62" w:rsidRDefault="00823785" w:rsidP="00823785">
      <w:pPr>
        <w:rPr>
          <w:sz w:val="22"/>
          <w:szCs w:val="22"/>
        </w:rPr>
      </w:pPr>
      <w:r w:rsidRPr="00452D62">
        <w:rPr>
          <w:sz w:val="22"/>
          <w:szCs w:val="22"/>
        </w:rPr>
        <w:t>Jei Jums atlikta didžioji klubo sąnario operacija, paprastai tablečių turėsite gerti 5 savaites.</w:t>
      </w:r>
    </w:p>
    <w:p w14:paraId="1917E37C" w14:textId="77777777" w:rsidR="00823785" w:rsidRPr="00452D62" w:rsidRDefault="00823785" w:rsidP="00823785">
      <w:pPr>
        <w:rPr>
          <w:sz w:val="22"/>
          <w:szCs w:val="22"/>
        </w:rPr>
      </w:pPr>
      <w:r w:rsidRPr="00452D62">
        <w:rPr>
          <w:sz w:val="22"/>
          <w:szCs w:val="22"/>
        </w:rPr>
        <w:t>Jei Jums atlikta didžioji kelio sąnario operacija, paprastai tablečių turėsite gerti 2 savaites.</w:t>
      </w:r>
    </w:p>
    <w:p w14:paraId="447EDA7F" w14:textId="77777777" w:rsidR="00823785" w:rsidRPr="00452D62" w:rsidRDefault="00823785" w:rsidP="00823785">
      <w:pPr>
        <w:rPr>
          <w:sz w:val="22"/>
          <w:szCs w:val="22"/>
        </w:rPr>
      </w:pPr>
    </w:p>
    <w:p w14:paraId="51911ACB" w14:textId="65C4BCBE" w:rsidR="00823785" w:rsidRPr="00452D62" w:rsidRDefault="00823785" w:rsidP="00823785">
      <w:pPr>
        <w:rPr>
          <w:sz w:val="22"/>
          <w:szCs w:val="22"/>
        </w:rPr>
      </w:pPr>
      <w:r w:rsidRPr="00452D62">
        <w:rPr>
          <w:b/>
          <w:bCs/>
          <w:sz w:val="22"/>
          <w:szCs w:val="22"/>
        </w:rPr>
        <w:t>Ką daryti pavartojus per didelę Xerdoxo dozę</w:t>
      </w:r>
    </w:p>
    <w:p w14:paraId="46BDC3B9" w14:textId="77777777" w:rsidR="00823785" w:rsidRPr="00452D62" w:rsidRDefault="00823785" w:rsidP="00823785">
      <w:pPr>
        <w:rPr>
          <w:b/>
          <w:bCs/>
          <w:sz w:val="22"/>
          <w:szCs w:val="22"/>
        </w:rPr>
      </w:pPr>
      <w:r w:rsidRPr="00452D62">
        <w:rPr>
          <w:sz w:val="22"/>
          <w:szCs w:val="22"/>
        </w:rPr>
        <w:t>Nedelsdami kreipkitės į gydytoją, jei išgėrėte per daug Xerdoxo tablečių. Pavartojus per daug Xerdoxo, didėja kraujavimo rizika.</w:t>
      </w:r>
    </w:p>
    <w:p w14:paraId="790A7236" w14:textId="77777777" w:rsidR="00823785" w:rsidRPr="00452D62" w:rsidRDefault="00823785" w:rsidP="00823785">
      <w:pPr>
        <w:rPr>
          <w:b/>
          <w:bCs/>
          <w:sz w:val="22"/>
          <w:szCs w:val="22"/>
        </w:rPr>
      </w:pPr>
    </w:p>
    <w:p w14:paraId="20CC71F0" w14:textId="77777777" w:rsidR="00823785" w:rsidRPr="00452D62" w:rsidRDefault="00823785" w:rsidP="00823785">
      <w:pPr>
        <w:rPr>
          <w:sz w:val="22"/>
          <w:szCs w:val="22"/>
        </w:rPr>
      </w:pPr>
      <w:r w:rsidRPr="00452D62">
        <w:rPr>
          <w:b/>
          <w:bCs/>
          <w:sz w:val="22"/>
          <w:szCs w:val="22"/>
        </w:rPr>
        <w:t>Pamiršus pavartoti Xerdoxo</w:t>
      </w:r>
    </w:p>
    <w:p w14:paraId="5E3BC274" w14:textId="77777777" w:rsidR="00823785" w:rsidRPr="00452D62" w:rsidRDefault="00823785" w:rsidP="00823785">
      <w:pPr>
        <w:rPr>
          <w:sz w:val="22"/>
          <w:szCs w:val="22"/>
        </w:rPr>
      </w:pPr>
      <w:r w:rsidRPr="00452D62">
        <w:rPr>
          <w:sz w:val="22"/>
          <w:szCs w:val="22"/>
        </w:rPr>
        <w:t>Jei pamiršote išgerti tabletę, suvartokite ją iš karto, kai tik tai prisiminsite. Kitą tabletę gerkite kitą dieną ir po to gerkite vieną tabletę per parą, kaip įprasta. Negalima vartoti dvigubos dozės norint kompensuoti praleistą tabletę.</w:t>
      </w:r>
    </w:p>
    <w:p w14:paraId="359FB3CF" w14:textId="77777777" w:rsidR="00823785" w:rsidRPr="00452D62" w:rsidRDefault="00823785" w:rsidP="00823785">
      <w:pPr>
        <w:tabs>
          <w:tab w:val="clear" w:pos="567"/>
        </w:tabs>
        <w:spacing w:line="100" w:lineRule="atLeast"/>
        <w:ind w:right="-2"/>
        <w:rPr>
          <w:sz w:val="22"/>
          <w:szCs w:val="22"/>
        </w:rPr>
      </w:pPr>
    </w:p>
    <w:p w14:paraId="4AC1D39B" w14:textId="77777777" w:rsidR="00823785" w:rsidRPr="00452D62" w:rsidRDefault="00823785" w:rsidP="00823785">
      <w:pPr>
        <w:tabs>
          <w:tab w:val="clear" w:pos="567"/>
        </w:tabs>
        <w:spacing w:line="100" w:lineRule="atLeast"/>
        <w:ind w:right="-2"/>
        <w:rPr>
          <w:sz w:val="22"/>
          <w:szCs w:val="22"/>
        </w:rPr>
      </w:pPr>
      <w:r w:rsidRPr="00452D62">
        <w:rPr>
          <w:b/>
          <w:sz w:val="22"/>
          <w:szCs w:val="22"/>
        </w:rPr>
        <w:t>Nustojus vartoti Xerdoxo</w:t>
      </w:r>
    </w:p>
    <w:p w14:paraId="08DFBF1F" w14:textId="77777777" w:rsidR="00823785" w:rsidRPr="00452D62" w:rsidRDefault="00823785" w:rsidP="00823785">
      <w:pPr>
        <w:tabs>
          <w:tab w:val="clear" w:pos="567"/>
        </w:tabs>
        <w:spacing w:line="100" w:lineRule="atLeast"/>
        <w:ind w:right="-2"/>
        <w:rPr>
          <w:sz w:val="22"/>
          <w:szCs w:val="22"/>
        </w:rPr>
      </w:pPr>
      <w:r w:rsidRPr="00452D62">
        <w:rPr>
          <w:sz w:val="22"/>
          <w:szCs w:val="22"/>
        </w:rPr>
        <w:t>Nenutraukite Xerdoxo vartojimo prieš tai nepasitarę su gydytoju, nes Xerdoxo užkerta kelią sunkios būklės išsivystymui.</w:t>
      </w:r>
    </w:p>
    <w:p w14:paraId="0AB3CBA0" w14:textId="77777777" w:rsidR="00823785" w:rsidRPr="00452D62" w:rsidRDefault="00823785" w:rsidP="00823785">
      <w:pPr>
        <w:tabs>
          <w:tab w:val="clear" w:pos="567"/>
        </w:tabs>
        <w:spacing w:line="100" w:lineRule="atLeast"/>
        <w:ind w:right="-2"/>
        <w:rPr>
          <w:sz w:val="22"/>
          <w:szCs w:val="22"/>
        </w:rPr>
      </w:pPr>
    </w:p>
    <w:p w14:paraId="2E9777EB" w14:textId="77777777" w:rsidR="00823785" w:rsidRPr="00452D62" w:rsidRDefault="00823785" w:rsidP="00823785">
      <w:pPr>
        <w:tabs>
          <w:tab w:val="clear" w:pos="567"/>
        </w:tabs>
        <w:spacing w:line="100" w:lineRule="atLeast"/>
        <w:ind w:right="-29"/>
        <w:rPr>
          <w:sz w:val="22"/>
          <w:szCs w:val="22"/>
        </w:rPr>
      </w:pPr>
      <w:r w:rsidRPr="00452D62">
        <w:rPr>
          <w:sz w:val="22"/>
          <w:szCs w:val="22"/>
        </w:rPr>
        <w:t>Jeigu kiltų daugiau klausimų dėl šio vaisto vartojimo, kreipkitės į gydytoją arba vaistininką.</w:t>
      </w:r>
    </w:p>
    <w:p w14:paraId="03E02E18" w14:textId="77777777" w:rsidR="00823785" w:rsidRPr="00452D62" w:rsidRDefault="00823785" w:rsidP="00823785">
      <w:pPr>
        <w:tabs>
          <w:tab w:val="clear" w:pos="567"/>
        </w:tabs>
        <w:spacing w:line="100" w:lineRule="atLeast"/>
        <w:rPr>
          <w:sz w:val="22"/>
          <w:szCs w:val="22"/>
        </w:rPr>
      </w:pPr>
    </w:p>
    <w:p w14:paraId="4A54F947" w14:textId="77777777" w:rsidR="00823785" w:rsidRPr="00452D62" w:rsidRDefault="00823785" w:rsidP="00823785">
      <w:pPr>
        <w:tabs>
          <w:tab w:val="clear" w:pos="567"/>
        </w:tabs>
        <w:spacing w:line="100" w:lineRule="atLeast"/>
        <w:rPr>
          <w:sz w:val="22"/>
          <w:szCs w:val="22"/>
        </w:rPr>
      </w:pPr>
    </w:p>
    <w:p w14:paraId="38EBF93A" w14:textId="77777777" w:rsidR="00823785" w:rsidRPr="00452D62" w:rsidRDefault="00823785" w:rsidP="00823785">
      <w:pPr>
        <w:widowControl w:val="0"/>
        <w:tabs>
          <w:tab w:val="clear" w:pos="567"/>
        </w:tabs>
        <w:suppressAutoHyphens w:val="0"/>
        <w:spacing w:line="240" w:lineRule="auto"/>
        <w:ind w:left="567" w:hanging="567"/>
        <w:outlineLvl w:val="0"/>
        <w:rPr>
          <w:b/>
          <w:color w:val="auto"/>
          <w:sz w:val="22"/>
          <w:szCs w:val="22"/>
          <w:lang w:eastAsia="en-US"/>
        </w:rPr>
      </w:pPr>
      <w:r w:rsidRPr="00452D62">
        <w:rPr>
          <w:b/>
          <w:color w:val="auto"/>
          <w:sz w:val="22"/>
          <w:szCs w:val="22"/>
          <w:lang w:eastAsia="en-US"/>
        </w:rPr>
        <w:t>4.</w:t>
      </w:r>
      <w:r w:rsidRPr="00452D62">
        <w:rPr>
          <w:b/>
          <w:color w:val="auto"/>
          <w:sz w:val="22"/>
          <w:szCs w:val="22"/>
          <w:lang w:eastAsia="en-US"/>
        </w:rPr>
        <w:tab/>
        <w:t>Galimas šalutinis poveikis</w:t>
      </w:r>
    </w:p>
    <w:p w14:paraId="4FC4F724" w14:textId="77777777" w:rsidR="00823785" w:rsidRPr="00452D62" w:rsidRDefault="00823785" w:rsidP="00823785">
      <w:pPr>
        <w:tabs>
          <w:tab w:val="clear" w:pos="567"/>
        </w:tabs>
        <w:spacing w:line="100" w:lineRule="atLeast"/>
        <w:rPr>
          <w:sz w:val="22"/>
          <w:szCs w:val="22"/>
        </w:rPr>
      </w:pPr>
    </w:p>
    <w:p w14:paraId="524A0E72" w14:textId="77777777" w:rsidR="00823785" w:rsidRPr="00452D62" w:rsidRDefault="00823785" w:rsidP="00823785">
      <w:pPr>
        <w:tabs>
          <w:tab w:val="clear" w:pos="567"/>
        </w:tabs>
        <w:spacing w:line="100" w:lineRule="atLeast"/>
        <w:ind w:right="-29"/>
        <w:rPr>
          <w:sz w:val="22"/>
          <w:szCs w:val="22"/>
        </w:rPr>
      </w:pPr>
      <w:r w:rsidRPr="00452D62">
        <w:rPr>
          <w:sz w:val="22"/>
          <w:szCs w:val="22"/>
        </w:rPr>
        <w:t>Šis vaistas, kaip ir visi kiti, gali sukelti šalutinį poveikį, nors jis pasireiškia ne visiems žmonėms.</w:t>
      </w:r>
    </w:p>
    <w:p w14:paraId="7E191A9B" w14:textId="77777777" w:rsidR="00823785" w:rsidRPr="00452D62" w:rsidRDefault="00823785" w:rsidP="00823785">
      <w:pPr>
        <w:ind w:right="-29"/>
        <w:rPr>
          <w:sz w:val="22"/>
          <w:szCs w:val="22"/>
        </w:rPr>
      </w:pPr>
    </w:p>
    <w:p w14:paraId="241E9B6E" w14:textId="4789AD07" w:rsidR="00823785" w:rsidRPr="00452D62" w:rsidRDefault="00823785" w:rsidP="00823785">
      <w:pPr>
        <w:rPr>
          <w:b/>
          <w:bCs/>
          <w:sz w:val="22"/>
          <w:szCs w:val="22"/>
        </w:rPr>
      </w:pPr>
      <w:r w:rsidRPr="00452D62">
        <w:rPr>
          <w:sz w:val="22"/>
          <w:szCs w:val="22"/>
        </w:rPr>
        <w:t>Kaip ir kiti panašūs vaistai, mažinantys kraujo krešulių susidarymą, Xerdoxo gali sukelti kraujavimą, kuris gali būti pavojingas gyvybei. Per didelis kraujavimas gali sukelti staigų kraujospūdžio sumažėjimą (šoką). Kai kuriais atvejais kraujavimas gali nebūti akivaizdus.</w:t>
      </w:r>
    </w:p>
    <w:p w14:paraId="453D8CD3" w14:textId="77777777" w:rsidR="00823785" w:rsidRPr="00452D62" w:rsidRDefault="00823785" w:rsidP="00823785">
      <w:pPr>
        <w:rPr>
          <w:b/>
          <w:bCs/>
          <w:sz w:val="22"/>
          <w:szCs w:val="22"/>
        </w:rPr>
      </w:pPr>
    </w:p>
    <w:p w14:paraId="65504787" w14:textId="77777777" w:rsidR="00823785" w:rsidRPr="00452D62" w:rsidRDefault="00823785" w:rsidP="00823785">
      <w:pPr>
        <w:rPr>
          <w:b/>
          <w:bCs/>
          <w:sz w:val="22"/>
          <w:szCs w:val="22"/>
        </w:rPr>
      </w:pPr>
      <w:r w:rsidRPr="00452D62">
        <w:rPr>
          <w:b/>
          <w:bCs/>
          <w:sz w:val="22"/>
          <w:szCs w:val="22"/>
        </w:rPr>
        <w:t xml:space="preserve">Nedelsdami pasakykite savo gydytojui, </w:t>
      </w:r>
      <w:r w:rsidRPr="00452D62">
        <w:rPr>
          <w:bCs/>
          <w:sz w:val="22"/>
          <w:szCs w:val="22"/>
        </w:rPr>
        <w:t>jei pasireiškia bet kuris iš šių šalutinių poveikių:</w:t>
      </w:r>
      <w:r w:rsidRPr="00452D62">
        <w:rPr>
          <w:bCs/>
          <w:sz w:val="22"/>
          <w:szCs w:val="22"/>
        </w:rPr>
        <w:cr/>
      </w:r>
    </w:p>
    <w:p w14:paraId="53D4EDD1" w14:textId="607D1706" w:rsidR="00823785" w:rsidRPr="00452D62" w:rsidRDefault="00823785" w:rsidP="00823785">
      <w:pPr>
        <w:rPr>
          <w:b/>
          <w:bCs/>
          <w:sz w:val="22"/>
          <w:szCs w:val="22"/>
        </w:rPr>
      </w:pPr>
      <w:r w:rsidRPr="00452D62">
        <w:rPr>
          <w:b/>
          <w:bCs/>
          <w:sz w:val="22"/>
          <w:szCs w:val="22"/>
        </w:rPr>
        <w:t>Kraujavimo požymiai</w:t>
      </w:r>
    </w:p>
    <w:p w14:paraId="64091EFB" w14:textId="4F1C354C" w:rsidR="00823785" w:rsidRPr="00452D62" w:rsidRDefault="00823785" w:rsidP="00823785">
      <w:pPr>
        <w:numPr>
          <w:ilvl w:val="0"/>
          <w:numId w:val="7"/>
        </w:numPr>
        <w:ind w:left="567" w:hanging="567"/>
        <w:rPr>
          <w:sz w:val="22"/>
          <w:szCs w:val="22"/>
        </w:rPr>
      </w:pPr>
      <w:r w:rsidRPr="00452D62">
        <w:rPr>
          <w:sz w:val="22"/>
          <w:szCs w:val="22"/>
        </w:rPr>
        <w:t>kraujavimas į smegenis ar į kaukolės vidų (simptomams priskiriama galvos skausmas, silpnumas vienoje kūno pusėje, vėmimas, traukuliai, sumažėjęs sąmonės lygis ir sprando sąstingis. Tai sunki, neatidėliotina medicininė būklė. Nedelsdami kreipkitės medicinos pagalbos!);</w:t>
      </w:r>
    </w:p>
    <w:p w14:paraId="4CF670BA" w14:textId="77777777" w:rsidR="00823785" w:rsidRPr="00452D62" w:rsidRDefault="00823785" w:rsidP="00823785">
      <w:pPr>
        <w:numPr>
          <w:ilvl w:val="0"/>
          <w:numId w:val="7"/>
        </w:numPr>
        <w:ind w:left="567" w:hanging="567"/>
        <w:rPr>
          <w:sz w:val="22"/>
          <w:szCs w:val="22"/>
        </w:rPr>
      </w:pPr>
      <w:r w:rsidRPr="00452D62">
        <w:rPr>
          <w:sz w:val="22"/>
          <w:szCs w:val="22"/>
        </w:rPr>
        <w:t>ilgai trunkantis ar stiprus kraujavimas;</w:t>
      </w:r>
    </w:p>
    <w:p w14:paraId="254F7ED7" w14:textId="77777777" w:rsidR="00823785" w:rsidRPr="00452D62" w:rsidRDefault="00823785" w:rsidP="00823785">
      <w:pPr>
        <w:numPr>
          <w:ilvl w:val="0"/>
          <w:numId w:val="7"/>
        </w:numPr>
        <w:ind w:left="567" w:hanging="567"/>
        <w:rPr>
          <w:sz w:val="22"/>
          <w:szCs w:val="22"/>
        </w:rPr>
      </w:pPr>
      <w:r w:rsidRPr="00452D62">
        <w:rPr>
          <w:sz w:val="22"/>
          <w:szCs w:val="22"/>
        </w:rPr>
        <w:t>neįprastas silpnumas, nuovargis, blyškumas, svaigulys, galvos skausmas, nepaaiškinamas patinimas, dusulys, krūtinės skausmas arba krūtinės angina, nes tai gali būti kraujavimo požymiai.</w:t>
      </w:r>
    </w:p>
    <w:p w14:paraId="75C1CDD4" w14:textId="77777777" w:rsidR="00823785" w:rsidRPr="00452D62" w:rsidRDefault="00823785" w:rsidP="00823785">
      <w:pPr>
        <w:rPr>
          <w:b/>
          <w:bCs/>
          <w:sz w:val="22"/>
          <w:szCs w:val="22"/>
        </w:rPr>
      </w:pPr>
      <w:r w:rsidRPr="00452D62">
        <w:rPr>
          <w:sz w:val="22"/>
          <w:szCs w:val="22"/>
        </w:rPr>
        <w:t>Gydytojas gali nuspręsti Jus atidžiau stebėti arba pakeisti gydymą.</w:t>
      </w:r>
    </w:p>
    <w:p w14:paraId="2702220C" w14:textId="77777777" w:rsidR="00823785" w:rsidRPr="00452D62" w:rsidRDefault="00823785" w:rsidP="00823785">
      <w:pPr>
        <w:rPr>
          <w:b/>
          <w:bCs/>
          <w:sz w:val="22"/>
          <w:szCs w:val="22"/>
        </w:rPr>
      </w:pPr>
    </w:p>
    <w:p w14:paraId="17E0ECB8" w14:textId="15982699" w:rsidR="00823785" w:rsidRPr="00452D62" w:rsidRDefault="00823785" w:rsidP="00823785">
      <w:pPr>
        <w:rPr>
          <w:b/>
          <w:bCs/>
          <w:sz w:val="22"/>
          <w:szCs w:val="22"/>
        </w:rPr>
      </w:pPr>
      <w:r w:rsidRPr="00452D62">
        <w:rPr>
          <w:b/>
          <w:bCs/>
          <w:sz w:val="22"/>
          <w:szCs w:val="22"/>
        </w:rPr>
        <w:t>Sunkių odos reakcijų požymiai</w:t>
      </w:r>
    </w:p>
    <w:p w14:paraId="582CD058" w14:textId="2896E609" w:rsidR="00823785" w:rsidRPr="00452D62" w:rsidRDefault="00823785" w:rsidP="00823785">
      <w:pPr>
        <w:numPr>
          <w:ilvl w:val="0"/>
          <w:numId w:val="7"/>
        </w:numPr>
        <w:ind w:left="567" w:hanging="567"/>
        <w:rPr>
          <w:b/>
          <w:bCs/>
          <w:sz w:val="22"/>
          <w:szCs w:val="22"/>
        </w:rPr>
      </w:pPr>
      <w:r w:rsidRPr="00452D62">
        <w:rPr>
          <w:sz w:val="22"/>
          <w:szCs w:val="22"/>
        </w:rPr>
        <w:t>plintantis intensyvus odos išbėrimas, pūslės arba gleivinių pažeidimai, pvz., burnos arba akių (Stivenso-Džonsono [</w:t>
      </w:r>
      <w:r w:rsidRPr="00452D62">
        <w:rPr>
          <w:i/>
          <w:sz w:val="22"/>
          <w:szCs w:val="22"/>
        </w:rPr>
        <w:t>Stevens-Johnson</w:t>
      </w:r>
      <w:r w:rsidRPr="00452D62">
        <w:rPr>
          <w:sz w:val="22"/>
          <w:szCs w:val="22"/>
        </w:rPr>
        <w:t>] sindromas, toksinė epidermio nekrolizė);</w:t>
      </w:r>
    </w:p>
    <w:p w14:paraId="4A419FE0" w14:textId="77777777" w:rsidR="00823785" w:rsidRPr="00452D62" w:rsidRDefault="00823785" w:rsidP="00823785">
      <w:pPr>
        <w:numPr>
          <w:ilvl w:val="0"/>
          <w:numId w:val="7"/>
        </w:numPr>
        <w:ind w:left="567" w:hanging="567"/>
        <w:rPr>
          <w:b/>
          <w:bCs/>
          <w:sz w:val="22"/>
          <w:szCs w:val="22"/>
        </w:rPr>
      </w:pPr>
      <w:r w:rsidRPr="00452D62">
        <w:rPr>
          <w:sz w:val="22"/>
          <w:szCs w:val="22"/>
        </w:rPr>
        <w:t>vaisto sukelti išbėrimas, karščiavimas, vidaus organų uždegimas, nenormalūs kraujo rodmenų pokyčiai ir sisteminiai simptomai (</w:t>
      </w:r>
      <w:r w:rsidRPr="00452D62">
        <w:rPr>
          <w:i/>
          <w:iCs/>
          <w:sz w:val="22"/>
          <w:szCs w:val="22"/>
        </w:rPr>
        <w:t>DRESS</w:t>
      </w:r>
      <w:r w:rsidRPr="00452D62">
        <w:rPr>
          <w:sz w:val="22"/>
          <w:szCs w:val="22"/>
        </w:rPr>
        <w:t xml:space="preserve"> sindromas). </w:t>
      </w:r>
    </w:p>
    <w:p w14:paraId="529F4165" w14:textId="50576A6D" w:rsidR="00823785" w:rsidRPr="00452D62" w:rsidRDefault="00823785" w:rsidP="00C815AC">
      <w:pPr>
        <w:rPr>
          <w:b/>
          <w:bCs/>
          <w:sz w:val="22"/>
          <w:szCs w:val="22"/>
        </w:rPr>
      </w:pPr>
      <w:r w:rsidRPr="00452D62">
        <w:rPr>
          <w:sz w:val="22"/>
          <w:szCs w:val="22"/>
        </w:rPr>
        <w:t>Šie šalutinio poveikio reiškiniai yra labai reti (gali pasireikšti rečiau kaip 1 iš 10 000 asmenų).</w:t>
      </w:r>
    </w:p>
    <w:p w14:paraId="429CA48C" w14:textId="77777777" w:rsidR="00823785" w:rsidRPr="00452D62" w:rsidRDefault="00823785" w:rsidP="00823785">
      <w:pPr>
        <w:rPr>
          <w:b/>
          <w:bCs/>
          <w:sz w:val="22"/>
          <w:szCs w:val="22"/>
        </w:rPr>
      </w:pPr>
    </w:p>
    <w:p w14:paraId="0E615512" w14:textId="2F562D21" w:rsidR="00823785" w:rsidRPr="00452D62" w:rsidRDefault="00823785" w:rsidP="00823785">
      <w:pPr>
        <w:rPr>
          <w:b/>
          <w:bCs/>
          <w:sz w:val="22"/>
          <w:szCs w:val="22"/>
        </w:rPr>
      </w:pPr>
      <w:r w:rsidRPr="00452D62">
        <w:rPr>
          <w:b/>
          <w:bCs/>
          <w:sz w:val="22"/>
          <w:szCs w:val="22"/>
        </w:rPr>
        <w:t>Sunkių alerginės reakcijų požymiai</w:t>
      </w:r>
    </w:p>
    <w:p w14:paraId="68093E5E" w14:textId="77777777" w:rsidR="004F1B66" w:rsidRPr="00452D62" w:rsidRDefault="00823785" w:rsidP="00823785">
      <w:pPr>
        <w:numPr>
          <w:ilvl w:val="0"/>
          <w:numId w:val="7"/>
        </w:numPr>
        <w:ind w:left="567" w:hanging="567"/>
        <w:rPr>
          <w:sz w:val="22"/>
          <w:szCs w:val="22"/>
        </w:rPr>
      </w:pPr>
      <w:r w:rsidRPr="00452D62">
        <w:rPr>
          <w:sz w:val="22"/>
          <w:szCs w:val="22"/>
        </w:rPr>
        <w:t>veido, lūpų, burnos, liežuvio ir ryklės patinimas, apsunkintas rijimas, dilgėlinė ir apsunkintas kvėpavimas, staigus kraujospūdžio sumažėjimas.</w:t>
      </w:r>
    </w:p>
    <w:p w14:paraId="074F09FA" w14:textId="21E5C796" w:rsidR="00823785" w:rsidRPr="00452D62" w:rsidRDefault="00823785" w:rsidP="00C815AC">
      <w:pPr>
        <w:ind w:left="567"/>
        <w:rPr>
          <w:sz w:val="22"/>
          <w:szCs w:val="22"/>
        </w:rPr>
      </w:pPr>
      <w:r w:rsidRPr="00452D62">
        <w:rPr>
          <w:sz w:val="22"/>
          <w:szCs w:val="22"/>
        </w:rPr>
        <w:t>Sunkios alerginės reakcijos yra labai retos (anafilaksinės reakcijos, įskaitant anafilaksinį šoką; gali pasireikšti ne dažniau kaip 1 iš 10 000 asmenų) ir nedažnos (angioneurozinė ir alerginė edema; gali pasireikšti ne dažniau kaip 1 iš 100 asmenų).</w:t>
      </w:r>
    </w:p>
    <w:p w14:paraId="7E3E6327" w14:textId="77777777" w:rsidR="00823785" w:rsidRPr="00452D62" w:rsidRDefault="00823785" w:rsidP="00823785">
      <w:pPr>
        <w:rPr>
          <w:b/>
          <w:bCs/>
          <w:sz w:val="22"/>
          <w:szCs w:val="22"/>
        </w:rPr>
      </w:pPr>
    </w:p>
    <w:p w14:paraId="3A6EDD3C" w14:textId="77777777" w:rsidR="00823785" w:rsidRPr="00452D62" w:rsidRDefault="00823785" w:rsidP="00823785">
      <w:pPr>
        <w:rPr>
          <w:b/>
          <w:bCs/>
          <w:sz w:val="22"/>
          <w:szCs w:val="22"/>
        </w:rPr>
      </w:pPr>
      <w:r w:rsidRPr="00452D62">
        <w:rPr>
          <w:b/>
          <w:bCs/>
          <w:sz w:val="22"/>
          <w:szCs w:val="22"/>
        </w:rPr>
        <w:t>Bendras galimo šalutinio poveikio sąrašas</w:t>
      </w:r>
    </w:p>
    <w:p w14:paraId="4A2A0942" w14:textId="77777777" w:rsidR="00823785" w:rsidRPr="00452D62" w:rsidRDefault="00823785" w:rsidP="00823785">
      <w:pPr>
        <w:rPr>
          <w:b/>
          <w:bCs/>
          <w:sz w:val="22"/>
          <w:szCs w:val="22"/>
        </w:rPr>
      </w:pPr>
    </w:p>
    <w:p w14:paraId="49B2073C" w14:textId="6CA1F53E" w:rsidR="00823785" w:rsidRPr="00452D62" w:rsidRDefault="00823785" w:rsidP="00823785">
      <w:pPr>
        <w:rPr>
          <w:sz w:val="22"/>
          <w:szCs w:val="22"/>
        </w:rPr>
      </w:pPr>
      <w:r w:rsidRPr="00452D62">
        <w:rPr>
          <w:b/>
          <w:bCs/>
          <w:sz w:val="22"/>
          <w:szCs w:val="22"/>
        </w:rPr>
        <w:t xml:space="preserve">Dažni šalutinio poveikio reiškiniai </w:t>
      </w:r>
      <w:r w:rsidRPr="00452D62">
        <w:rPr>
          <w:sz w:val="22"/>
          <w:szCs w:val="22"/>
        </w:rPr>
        <w:t>(gali pasireikšti rečiau kaip 1 iš 10 asmenų):</w:t>
      </w:r>
    </w:p>
    <w:p w14:paraId="4DCC75F8" w14:textId="77777777" w:rsidR="00823785" w:rsidRPr="00452D62" w:rsidRDefault="00823785" w:rsidP="00823785">
      <w:pPr>
        <w:numPr>
          <w:ilvl w:val="0"/>
          <w:numId w:val="7"/>
        </w:numPr>
        <w:ind w:left="567" w:hanging="567"/>
        <w:rPr>
          <w:sz w:val="22"/>
          <w:szCs w:val="22"/>
        </w:rPr>
      </w:pPr>
      <w:r w:rsidRPr="00452D62">
        <w:rPr>
          <w:sz w:val="22"/>
          <w:szCs w:val="22"/>
        </w:rPr>
        <w:t>raudonųjų kraujo ląstelių kiekio sumažėjimas, galintis sukelti blyškumą, silpnumą ar dusulį;</w:t>
      </w:r>
    </w:p>
    <w:p w14:paraId="37D67785" w14:textId="77777777" w:rsidR="00823785" w:rsidRPr="00452D62" w:rsidRDefault="00823785" w:rsidP="00823785">
      <w:pPr>
        <w:numPr>
          <w:ilvl w:val="0"/>
          <w:numId w:val="7"/>
        </w:numPr>
        <w:ind w:left="567" w:hanging="567"/>
        <w:rPr>
          <w:sz w:val="22"/>
          <w:szCs w:val="22"/>
        </w:rPr>
      </w:pPr>
      <w:r w:rsidRPr="00452D62">
        <w:rPr>
          <w:sz w:val="22"/>
          <w:szCs w:val="22"/>
        </w:rPr>
        <w:t xml:space="preserve">kraujavimas iš skrandžio ar žarnyno, kraujavimas iš šlapimo ir lytinių organų (įskaitant kraują šlapime ir gausų menstruacinį kraujavimą), kraujavimas iš nosies, kraujavimas iš dantenų; </w:t>
      </w:r>
    </w:p>
    <w:p w14:paraId="39B40DA5" w14:textId="77777777" w:rsidR="00823785" w:rsidRPr="00452D62" w:rsidRDefault="00823785" w:rsidP="00823785">
      <w:pPr>
        <w:numPr>
          <w:ilvl w:val="0"/>
          <w:numId w:val="7"/>
        </w:numPr>
        <w:ind w:left="567" w:hanging="567"/>
        <w:rPr>
          <w:sz w:val="22"/>
          <w:szCs w:val="22"/>
        </w:rPr>
      </w:pPr>
      <w:r w:rsidRPr="00452D62">
        <w:rPr>
          <w:sz w:val="22"/>
          <w:szCs w:val="22"/>
        </w:rPr>
        <w:t>kraujavimas į akį (įskaitant kraujavimą iš akių baltymo);</w:t>
      </w:r>
    </w:p>
    <w:p w14:paraId="4B7C5519" w14:textId="77777777" w:rsidR="00823785" w:rsidRPr="00452D62" w:rsidRDefault="00823785" w:rsidP="00823785">
      <w:pPr>
        <w:numPr>
          <w:ilvl w:val="0"/>
          <w:numId w:val="7"/>
        </w:numPr>
        <w:ind w:left="567" w:hanging="567"/>
        <w:rPr>
          <w:sz w:val="22"/>
          <w:szCs w:val="22"/>
        </w:rPr>
      </w:pPr>
      <w:r w:rsidRPr="00452D62">
        <w:rPr>
          <w:sz w:val="22"/>
          <w:szCs w:val="22"/>
        </w:rPr>
        <w:t>kraujavimas į audinius arba kūno ertmes (kraujosruvos, mėlynės);</w:t>
      </w:r>
    </w:p>
    <w:p w14:paraId="7BD977F8" w14:textId="77777777" w:rsidR="00823785" w:rsidRPr="00452D62" w:rsidRDefault="00823785" w:rsidP="00823785">
      <w:pPr>
        <w:numPr>
          <w:ilvl w:val="0"/>
          <w:numId w:val="7"/>
        </w:numPr>
        <w:ind w:left="567" w:hanging="567"/>
        <w:rPr>
          <w:sz w:val="22"/>
          <w:szCs w:val="22"/>
        </w:rPr>
      </w:pPr>
      <w:r w:rsidRPr="00452D62">
        <w:rPr>
          <w:sz w:val="22"/>
          <w:szCs w:val="22"/>
        </w:rPr>
        <w:t>kraujo atkosėjimas;</w:t>
      </w:r>
    </w:p>
    <w:p w14:paraId="60DC67C4" w14:textId="77777777" w:rsidR="00823785" w:rsidRPr="00452D62" w:rsidRDefault="00823785" w:rsidP="00823785">
      <w:pPr>
        <w:numPr>
          <w:ilvl w:val="0"/>
          <w:numId w:val="7"/>
        </w:numPr>
        <w:ind w:left="567" w:hanging="567"/>
        <w:rPr>
          <w:sz w:val="22"/>
          <w:szCs w:val="22"/>
        </w:rPr>
      </w:pPr>
      <w:r w:rsidRPr="00452D62">
        <w:rPr>
          <w:sz w:val="22"/>
          <w:szCs w:val="22"/>
        </w:rPr>
        <w:t>kraujavimas iš odos arba po oda;</w:t>
      </w:r>
    </w:p>
    <w:p w14:paraId="0285C204" w14:textId="77777777" w:rsidR="00823785" w:rsidRPr="00452D62" w:rsidRDefault="00823785" w:rsidP="00823785">
      <w:pPr>
        <w:numPr>
          <w:ilvl w:val="0"/>
          <w:numId w:val="7"/>
        </w:numPr>
        <w:ind w:left="567" w:hanging="567"/>
        <w:rPr>
          <w:sz w:val="22"/>
          <w:szCs w:val="22"/>
        </w:rPr>
      </w:pPr>
      <w:r w:rsidRPr="00452D62">
        <w:rPr>
          <w:sz w:val="22"/>
          <w:szCs w:val="22"/>
        </w:rPr>
        <w:t>kraujavimas po operacijos;</w:t>
      </w:r>
    </w:p>
    <w:p w14:paraId="6070D7F0" w14:textId="77777777" w:rsidR="00823785" w:rsidRPr="00452D62" w:rsidRDefault="00823785" w:rsidP="00823785">
      <w:pPr>
        <w:numPr>
          <w:ilvl w:val="0"/>
          <w:numId w:val="7"/>
        </w:numPr>
        <w:ind w:left="567" w:hanging="567"/>
        <w:rPr>
          <w:sz w:val="22"/>
          <w:szCs w:val="22"/>
        </w:rPr>
      </w:pPr>
      <w:r w:rsidRPr="00452D62">
        <w:rPr>
          <w:sz w:val="22"/>
          <w:szCs w:val="22"/>
        </w:rPr>
        <w:t>kraujo ar skysčio sunkimasis iš chirurginės žaizdos;</w:t>
      </w:r>
    </w:p>
    <w:p w14:paraId="6418ECC7" w14:textId="77777777" w:rsidR="00823785" w:rsidRPr="00452D62" w:rsidRDefault="00823785" w:rsidP="00823785">
      <w:pPr>
        <w:numPr>
          <w:ilvl w:val="0"/>
          <w:numId w:val="7"/>
        </w:numPr>
        <w:ind w:left="567" w:hanging="567"/>
        <w:rPr>
          <w:sz w:val="22"/>
          <w:szCs w:val="22"/>
        </w:rPr>
      </w:pPr>
      <w:r w:rsidRPr="00452D62">
        <w:rPr>
          <w:sz w:val="22"/>
          <w:szCs w:val="22"/>
        </w:rPr>
        <w:t>galūnių patinimas;</w:t>
      </w:r>
    </w:p>
    <w:p w14:paraId="2B406FED" w14:textId="77777777" w:rsidR="00823785" w:rsidRPr="00452D62" w:rsidRDefault="00823785" w:rsidP="00823785">
      <w:pPr>
        <w:numPr>
          <w:ilvl w:val="0"/>
          <w:numId w:val="7"/>
        </w:numPr>
        <w:ind w:left="567" w:hanging="567"/>
        <w:rPr>
          <w:sz w:val="22"/>
          <w:szCs w:val="22"/>
        </w:rPr>
      </w:pPr>
      <w:r w:rsidRPr="00452D62">
        <w:rPr>
          <w:sz w:val="22"/>
          <w:szCs w:val="22"/>
        </w:rPr>
        <w:t>galūnių skausmas;</w:t>
      </w:r>
    </w:p>
    <w:p w14:paraId="6212A492" w14:textId="77777777" w:rsidR="00823785" w:rsidRPr="00452D62" w:rsidRDefault="00823785" w:rsidP="00823785">
      <w:pPr>
        <w:numPr>
          <w:ilvl w:val="0"/>
          <w:numId w:val="7"/>
        </w:numPr>
        <w:ind w:left="567" w:hanging="567"/>
        <w:rPr>
          <w:sz w:val="22"/>
          <w:szCs w:val="22"/>
        </w:rPr>
      </w:pPr>
      <w:r w:rsidRPr="00452D62">
        <w:rPr>
          <w:sz w:val="22"/>
          <w:szCs w:val="22"/>
        </w:rPr>
        <w:t>sutrikusi inkstų funkcija (gali būti nustatyta gydytojo atliktais tyrimais);</w:t>
      </w:r>
    </w:p>
    <w:p w14:paraId="00406E34" w14:textId="77777777" w:rsidR="00823785" w:rsidRPr="00452D62" w:rsidRDefault="00823785" w:rsidP="00823785">
      <w:pPr>
        <w:numPr>
          <w:ilvl w:val="0"/>
          <w:numId w:val="7"/>
        </w:numPr>
        <w:ind w:left="567" w:hanging="567"/>
        <w:rPr>
          <w:sz w:val="22"/>
          <w:szCs w:val="22"/>
        </w:rPr>
      </w:pPr>
      <w:r w:rsidRPr="00452D62">
        <w:rPr>
          <w:sz w:val="22"/>
          <w:szCs w:val="22"/>
        </w:rPr>
        <w:t>karščiavimas;</w:t>
      </w:r>
    </w:p>
    <w:p w14:paraId="42D0695A" w14:textId="77777777" w:rsidR="00823785" w:rsidRPr="00452D62" w:rsidRDefault="00823785" w:rsidP="00823785">
      <w:pPr>
        <w:numPr>
          <w:ilvl w:val="0"/>
          <w:numId w:val="7"/>
        </w:numPr>
        <w:ind w:left="567" w:hanging="567"/>
        <w:rPr>
          <w:sz w:val="22"/>
          <w:szCs w:val="22"/>
        </w:rPr>
      </w:pPr>
      <w:r w:rsidRPr="00452D62">
        <w:rPr>
          <w:sz w:val="22"/>
          <w:szCs w:val="22"/>
        </w:rPr>
        <w:t>pilvo skausmas, nevirškinimas, pykinimas arba vėmimas, vidurių užkietėjimas, viduriavimas;</w:t>
      </w:r>
    </w:p>
    <w:p w14:paraId="50667ED5" w14:textId="77777777" w:rsidR="00823785" w:rsidRPr="00452D62" w:rsidRDefault="00823785" w:rsidP="00823785">
      <w:pPr>
        <w:numPr>
          <w:ilvl w:val="0"/>
          <w:numId w:val="7"/>
        </w:numPr>
        <w:ind w:left="567" w:hanging="567"/>
        <w:rPr>
          <w:sz w:val="22"/>
          <w:szCs w:val="22"/>
        </w:rPr>
      </w:pPr>
      <w:r w:rsidRPr="00452D62">
        <w:rPr>
          <w:sz w:val="22"/>
          <w:szCs w:val="22"/>
        </w:rPr>
        <w:t>sumažėjęs kraujospūdis (simptomai gali būti svaigulys ar alpimas stojantis);</w:t>
      </w:r>
    </w:p>
    <w:p w14:paraId="071C9124" w14:textId="77777777" w:rsidR="00823785" w:rsidRPr="00452D62" w:rsidRDefault="00823785" w:rsidP="00823785">
      <w:pPr>
        <w:numPr>
          <w:ilvl w:val="0"/>
          <w:numId w:val="7"/>
        </w:numPr>
        <w:ind w:left="567" w:hanging="567"/>
        <w:rPr>
          <w:sz w:val="22"/>
          <w:szCs w:val="22"/>
        </w:rPr>
      </w:pPr>
      <w:r w:rsidRPr="00452D62">
        <w:rPr>
          <w:sz w:val="22"/>
          <w:szCs w:val="22"/>
        </w:rPr>
        <w:t>bendrasis jėgos ir energijos sumažėjimas (silpnumas, nuovargis), galvos skausmas, svaigulys;</w:t>
      </w:r>
    </w:p>
    <w:p w14:paraId="6DF8CACC" w14:textId="77777777" w:rsidR="00823785" w:rsidRPr="00452D62" w:rsidRDefault="00823785" w:rsidP="00823785">
      <w:pPr>
        <w:numPr>
          <w:ilvl w:val="0"/>
          <w:numId w:val="7"/>
        </w:numPr>
        <w:ind w:left="567" w:hanging="567"/>
        <w:rPr>
          <w:sz w:val="22"/>
          <w:szCs w:val="22"/>
        </w:rPr>
      </w:pPr>
      <w:r w:rsidRPr="00452D62">
        <w:rPr>
          <w:sz w:val="22"/>
          <w:szCs w:val="22"/>
        </w:rPr>
        <w:t>išbėrimas, odos niežulys;</w:t>
      </w:r>
    </w:p>
    <w:p w14:paraId="7C88E134" w14:textId="77777777" w:rsidR="00823785" w:rsidRPr="00452D62" w:rsidRDefault="00823785" w:rsidP="00823785">
      <w:pPr>
        <w:numPr>
          <w:ilvl w:val="0"/>
          <w:numId w:val="7"/>
        </w:numPr>
        <w:ind w:left="567" w:hanging="567"/>
        <w:rPr>
          <w:sz w:val="22"/>
          <w:szCs w:val="22"/>
        </w:rPr>
      </w:pPr>
      <w:r w:rsidRPr="00452D62">
        <w:rPr>
          <w:sz w:val="22"/>
          <w:szCs w:val="22"/>
        </w:rPr>
        <w:t>kraujo tyrimai gali rodyti kai kurių kepenų fermentų aktyvumo padidėjimą.</w:t>
      </w:r>
    </w:p>
    <w:p w14:paraId="2A3473B7" w14:textId="77777777" w:rsidR="00823785" w:rsidRPr="00452D62" w:rsidRDefault="00823785" w:rsidP="00823785">
      <w:pPr>
        <w:rPr>
          <w:sz w:val="22"/>
          <w:szCs w:val="22"/>
        </w:rPr>
      </w:pPr>
    </w:p>
    <w:p w14:paraId="3947F5A5" w14:textId="6731485F" w:rsidR="00823785" w:rsidRPr="00452D62" w:rsidRDefault="00823785" w:rsidP="00823785">
      <w:pPr>
        <w:rPr>
          <w:sz w:val="22"/>
          <w:szCs w:val="22"/>
        </w:rPr>
      </w:pPr>
      <w:r w:rsidRPr="00452D62">
        <w:rPr>
          <w:b/>
          <w:sz w:val="22"/>
          <w:szCs w:val="22"/>
        </w:rPr>
        <w:t xml:space="preserve">Nedažni šalutinio poveikio reiškiniai </w:t>
      </w:r>
      <w:r w:rsidRPr="00452D62">
        <w:rPr>
          <w:sz w:val="22"/>
          <w:szCs w:val="22"/>
        </w:rPr>
        <w:t>(gali pasireikšti rečiau kaip 1 iš 100 asmenų):</w:t>
      </w:r>
    </w:p>
    <w:p w14:paraId="18A77D55" w14:textId="68B2441E" w:rsidR="00823785" w:rsidRPr="000877E9" w:rsidRDefault="00823785" w:rsidP="00823785">
      <w:pPr>
        <w:numPr>
          <w:ilvl w:val="0"/>
          <w:numId w:val="7"/>
        </w:numPr>
        <w:rPr>
          <w:sz w:val="22"/>
          <w:szCs w:val="22"/>
        </w:rPr>
      </w:pPr>
      <w:r w:rsidRPr="00452D62">
        <w:rPr>
          <w:sz w:val="22"/>
          <w:szCs w:val="22"/>
        </w:rPr>
        <w:t>kraujavimas į smegenis ar į kaukolės vidų</w:t>
      </w:r>
      <w:r w:rsidRPr="00AE1B80">
        <w:rPr>
          <w:sz w:val="22"/>
          <w:szCs w:val="22"/>
        </w:rPr>
        <w:t xml:space="preserve"> </w:t>
      </w:r>
      <w:r w:rsidRPr="00452D62">
        <w:rPr>
          <w:sz w:val="22"/>
          <w:szCs w:val="22"/>
        </w:rPr>
        <w:t>(žr. aukščiau, „Kraujavimo požymiai“);</w:t>
      </w:r>
    </w:p>
    <w:p w14:paraId="6C7FD6CE" w14:textId="77777777" w:rsidR="00823785" w:rsidRPr="00452D62" w:rsidRDefault="00823785" w:rsidP="00823785">
      <w:pPr>
        <w:numPr>
          <w:ilvl w:val="0"/>
          <w:numId w:val="7"/>
        </w:numPr>
        <w:ind w:left="567" w:hanging="567"/>
        <w:rPr>
          <w:sz w:val="22"/>
          <w:szCs w:val="22"/>
        </w:rPr>
      </w:pPr>
      <w:r w:rsidRPr="00452D62">
        <w:rPr>
          <w:sz w:val="22"/>
          <w:szCs w:val="22"/>
        </w:rPr>
        <w:t>kraujavimas į sąnarį, sukeliantis skausmą ir patinimą;</w:t>
      </w:r>
    </w:p>
    <w:p w14:paraId="7F608E20" w14:textId="77777777" w:rsidR="00823785" w:rsidRPr="00452D62" w:rsidRDefault="00823785" w:rsidP="00823785">
      <w:pPr>
        <w:numPr>
          <w:ilvl w:val="0"/>
          <w:numId w:val="7"/>
        </w:numPr>
        <w:ind w:left="567" w:hanging="567"/>
        <w:rPr>
          <w:sz w:val="22"/>
          <w:szCs w:val="22"/>
        </w:rPr>
      </w:pPr>
      <w:r w:rsidRPr="00452D62">
        <w:rPr>
          <w:sz w:val="22"/>
          <w:szCs w:val="22"/>
        </w:rPr>
        <w:t>trombocitopenija (sumažėjęs kraujo plokštelių, kurios padeda kraujyje susidaryti krešuliui, skaičius);</w:t>
      </w:r>
    </w:p>
    <w:p w14:paraId="3639540B" w14:textId="77777777" w:rsidR="00823785" w:rsidRPr="00452D62" w:rsidRDefault="00823785" w:rsidP="00823785">
      <w:pPr>
        <w:numPr>
          <w:ilvl w:val="0"/>
          <w:numId w:val="7"/>
        </w:numPr>
        <w:ind w:left="567" w:hanging="567"/>
        <w:rPr>
          <w:sz w:val="22"/>
          <w:szCs w:val="22"/>
        </w:rPr>
      </w:pPr>
      <w:r w:rsidRPr="00452D62">
        <w:rPr>
          <w:sz w:val="22"/>
          <w:szCs w:val="22"/>
        </w:rPr>
        <w:t>alerginės reakcijos, įskaitant alergines odos reakcijas;</w:t>
      </w:r>
    </w:p>
    <w:p w14:paraId="5059EB8F" w14:textId="77777777" w:rsidR="00823785" w:rsidRPr="00452D62" w:rsidRDefault="00823785" w:rsidP="00823785">
      <w:pPr>
        <w:numPr>
          <w:ilvl w:val="0"/>
          <w:numId w:val="7"/>
        </w:numPr>
        <w:ind w:left="567" w:hanging="567"/>
        <w:rPr>
          <w:sz w:val="22"/>
          <w:szCs w:val="22"/>
        </w:rPr>
      </w:pPr>
      <w:r w:rsidRPr="00452D62">
        <w:rPr>
          <w:sz w:val="22"/>
          <w:szCs w:val="22"/>
        </w:rPr>
        <w:t>sutrikusi kepenų funkcija (gali būti nustatyta gydytojo atliktais tyrimais);</w:t>
      </w:r>
    </w:p>
    <w:p w14:paraId="24AEA451" w14:textId="77777777" w:rsidR="00823785" w:rsidRPr="00452D62" w:rsidRDefault="00823785" w:rsidP="00823785">
      <w:pPr>
        <w:numPr>
          <w:ilvl w:val="0"/>
          <w:numId w:val="7"/>
        </w:numPr>
        <w:ind w:left="567" w:hanging="567"/>
        <w:rPr>
          <w:sz w:val="22"/>
          <w:szCs w:val="22"/>
        </w:rPr>
      </w:pPr>
      <w:r w:rsidRPr="00452D62">
        <w:rPr>
          <w:sz w:val="22"/>
          <w:szCs w:val="22"/>
        </w:rPr>
        <w:t>kraujo tyrimai gali rodyti bilirubino kiekio, kai kurių kasos ar kepenų fermentų aktyvumo arba trombocitų skaičiaus padidėjimą;</w:t>
      </w:r>
    </w:p>
    <w:p w14:paraId="5AE28952" w14:textId="77777777" w:rsidR="00823785" w:rsidRPr="00452D62" w:rsidRDefault="00823785" w:rsidP="00823785">
      <w:pPr>
        <w:numPr>
          <w:ilvl w:val="0"/>
          <w:numId w:val="7"/>
        </w:numPr>
        <w:ind w:left="567" w:hanging="567"/>
        <w:rPr>
          <w:sz w:val="22"/>
          <w:szCs w:val="22"/>
        </w:rPr>
      </w:pPr>
      <w:r w:rsidRPr="00452D62">
        <w:rPr>
          <w:sz w:val="22"/>
          <w:szCs w:val="22"/>
        </w:rPr>
        <w:t>apalpimas;</w:t>
      </w:r>
    </w:p>
    <w:p w14:paraId="3FBAFD15" w14:textId="77777777" w:rsidR="00823785" w:rsidRPr="00452D62" w:rsidRDefault="00823785" w:rsidP="00823785">
      <w:pPr>
        <w:numPr>
          <w:ilvl w:val="0"/>
          <w:numId w:val="7"/>
        </w:numPr>
        <w:ind w:left="567" w:hanging="567"/>
        <w:rPr>
          <w:sz w:val="22"/>
          <w:szCs w:val="22"/>
        </w:rPr>
      </w:pPr>
      <w:r w:rsidRPr="00452D62">
        <w:rPr>
          <w:sz w:val="22"/>
          <w:szCs w:val="22"/>
        </w:rPr>
        <w:t>bloga savijauta;</w:t>
      </w:r>
    </w:p>
    <w:p w14:paraId="038BF6DC" w14:textId="77777777" w:rsidR="00823785" w:rsidRPr="00452D62" w:rsidRDefault="00823785" w:rsidP="00823785">
      <w:pPr>
        <w:numPr>
          <w:ilvl w:val="0"/>
          <w:numId w:val="7"/>
        </w:numPr>
        <w:ind w:left="567" w:hanging="567"/>
        <w:rPr>
          <w:sz w:val="22"/>
          <w:szCs w:val="22"/>
        </w:rPr>
      </w:pPr>
      <w:r w:rsidRPr="00452D62">
        <w:rPr>
          <w:sz w:val="22"/>
          <w:szCs w:val="22"/>
        </w:rPr>
        <w:t>dažnesnis širdies plakimas;</w:t>
      </w:r>
    </w:p>
    <w:p w14:paraId="2B89FC70" w14:textId="77777777" w:rsidR="00823785" w:rsidRPr="00452D62" w:rsidRDefault="00823785" w:rsidP="00823785">
      <w:pPr>
        <w:numPr>
          <w:ilvl w:val="0"/>
          <w:numId w:val="7"/>
        </w:numPr>
        <w:ind w:left="567" w:hanging="567"/>
        <w:rPr>
          <w:sz w:val="22"/>
          <w:szCs w:val="22"/>
        </w:rPr>
      </w:pPr>
      <w:r w:rsidRPr="00452D62">
        <w:rPr>
          <w:sz w:val="22"/>
          <w:szCs w:val="22"/>
        </w:rPr>
        <w:t>burnos džiūvimas;</w:t>
      </w:r>
    </w:p>
    <w:p w14:paraId="67A61619" w14:textId="77777777" w:rsidR="00823785" w:rsidRPr="00452D62" w:rsidRDefault="00823785" w:rsidP="00823785">
      <w:pPr>
        <w:numPr>
          <w:ilvl w:val="0"/>
          <w:numId w:val="7"/>
        </w:numPr>
        <w:ind w:left="567" w:hanging="567"/>
        <w:rPr>
          <w:sz w:val="22"/>
          <w:szCs w:val="22"/>
        </w:rPr>
      </w:pPr>
      <w:r w:rsidRPr="00452D62">
        <w:rPr>
          <w:sz w:val="22"/>
          <w:szCs w:val="22"/>
        </w:rPr>
        <w:t>dilgėlinė.</w:t>
      </w:r>
    </w:p>
    <w:p w14:paraId="69AAACDF" w14:textId="77777777" w:rsidR="00823785" w:rsidRPr="00452D62" w:rsidRDefault="00823785" w:rsidP="00823785">
      <w:pPr>
        <w:ind w:left="567" w:right="-29" w:hanging="567"/>
        <w:rPr>
          <w:sz w:val="22"/>
          <w:szCs w:val="22"/>
        </w:rPr>
      </w:pPr>
    </w:p>
    <w:p w14:paraId="53B6E783" w14:textId="1423CD1F" w:rsidR="00823785" w:rsidRPr="00452D62" w:rsidRDefault="00823785" w:rsidP="00823785">
      <w:pPr>
        <w:ind w:left="567" w:right="-29" w:hanging="567"/>
        <w:rPr>
          <w:sz w:val="22"/>
          <w:szCs w:val="22"/>
        </w:rPr>
      </w:pPr>
      <w:r w:rsidRPr="00452D62">
        <w:rPr>
          <w:b/>
          <w:sz w:val="22"/>
          <w:szCs w:val="22"/>
        </w:rPr>
        <w:t xml:space="preserve">Reti šalutinio poveikio reiškiniai </w:t>
      </w:r>
      <w:r w:rsidRPr="00452D62">
        <w:rPr>
          <w:sz w:val="22"/>
          <w:szCs w:val="22"/>
        </w:rPr>
        <w:t>(gali pasireikšti rečiau kaip 1 iš 1 000 asmenų):</w:t>
      </w:r>
    </w:p>
    <w:p w14:paraId="2ADC7A23" w14:textId="77777777" w:rsidR="00823785" w:rsidRPr="00452D62" w:rsidRDefault="00823785" w:rsidP="00823785">
      <w:pPr>
        <w:ind w:left="567" w:right="-29" w:hanging="567"/>
        <w:rPr>
          <w:sz w:val="22"/>
          <w:szCs w:val="22"/>
        </w:rPr>
      </w:pPr>
      <w:r w:rsidRPr="00452D62">
        <w:rPr>
          <w:sz w:val="22"/>
          <w:szCs w:val="22"/>
        </w:rPr>
        <w:t>-</w:t>
      </w:r>
      <w:r w:rsidRPr="00452D62">
        <w:rPr>
          <w:sz w:val="22"/>
          <w:szCs w:val="22"/>
        </w:rPr>
        <w:tab/>
        <w:t>kraujavimas į raumenį;</w:t>
      </w:r>
    </w:p>
    <w:p w14:paraId="6746599E" w14:textId="77777777" w:rsidR="00823785" w:rsidRPr="00452D62" w:rsidRDefault="00823785" w:rsidP="00823785">
      <w:pPr>
        <w:numPr>
          <w:ilvl w:val="0"/>
          <w:numId w:val="7"/>
        </w:numPr>
        <w:ind w:left="567" w:hanging="567"/>
        <w:rPr>
          <w:sz w:val="22"/>
          <w:szCs w:val="22"/>
        </w:rPr>
      </w:pPr>
      <w:r w:rsidRPr="00452D62">
        <w:rPr>
          <w:sz w:val="22"/>
          <w:szCs w:val="22"/>
        </w:rPr>
        <w:t>cholestazė (sumažėjęs tulžies nutekėjimas), hepatitas, įskaitant kepenų ląstelių pažaidą (kepenų uždegimas, įskaitant kepenų pakenkimą);</w:t>
      </w:r>
    </w:p>
    <w:p w14:paraId="10E8F87D" w14:textId="77777777" w:rsidR="00823785" w:rsidRPr="00452D62" w:rsidRDefault="00823785" w:rsidP="00823785">
      <w:pPr>
        <w:ind w:left="567" w:right="-29" w:hanging="567"/>
        <w:rPr>
          <w:sz w:val="22"/>
          <w:szCs w:val="22"/>
        </w:rPr>
      </w:pPr>
      <w:r w:rsidRPr="00452D62">
        <w:rPr>
          <w:sz w:val="22"/>
          <w:szCs w:val="22"/>
        </w:rPr>
        <w:t>-</w:t>
      </w:r>
      <w:r w:rsidRPr="00452D62">
        <w:rPr>
          <w:sz w:val="22"/>
          <w:szCs w:val="22"/>
        </w:rPr>
        <w:tab/>
        <w:t>odos ir akių pageltimas (gelta);</w:t>
      </w:r>
    </w:p>
    <w:p w14:paraId="54919113" w14:textId="77777777" w:rsidR="00823785" w:rsidRPr="00452D62" w:rsidRDefault="00823785" w:rsidP="00823785">
      <w:pPr>
        <w:ind w:left="567" w:right="-29" w:hanging="567"/>
        <w:rPr>
          <w:sz w:val="22"/>
          <w:szCs w:val="22"/>
        </w:rPr>
      </w:pPr>
      <w:r w:rsidRPr="00452D62">
        <w:rPr>
          <w:sz w:val="22"/>
          <w:szCs w:val="22"/>
        </w:rPr>
        <w:t>-</w:t>
      </w:r>
      <w:r w:rsidRPr="00452D62">
        <w:rPr>
          <w:sz w:val="22"/>
          <w:szCs w:val="22"/>
        </w:rPr>
        <w:tab/>
        <w:t>lokalus patinimas;</w:t>
      </w:r>
    </w:p>
    <w:p w14:paraId="6F77728C" w14:textId="77777777" w:rsidR="00823785" w:rsidRPr="00452D62" w:rsidRDefault="00823785" w:rsidP="00823785">
      <w:pPr>
        <w:ind w:left="567" w:right="-29" w:hanging="567"/>
        <w:rPr>
          <w:sz w:val="22"/>
          <w:szCs w:val="22"/>
        </w:rPr>
      </w:pPr>
      <w:r w:rsidRPr="00452D62">
        <w:rPr>
          <w:sz w:val="22"/>
          <w:szCs w:val="22"/>
        </w:rPr>
        <w:t>-</w:t>
      </w:r>
      <w:r w:rsidRPr="00452D62">
        <w:rPr>
          <w:sz w:val="22"/>
          <w:szCs w:val="22"/>
        </w:rPr>
        <w:tab/>
        <w:t>kraujo susikaupimas (hematoma) kirkšnyje kaip širdies procedūros, kai į kojos arteriją įstatomas kateteris, komplikacija (pseudoaneurizma).</w:t>
      </w:r>
    </w:p>
    <w:p w14:paraId="31AB9193" w14:textId="77777777" w:rsidR="00153FA2" w:rsidRPr="00452D62" w:rsidRDefault="00153FA2" w:rsidP="00153FA2">
      <w:pPr>
        <w:pStyle w:val="Default"/>
        <w:rPr>
          <w:b/>
          <w:bCs/>
          <w:sz w:val="22"/>
          <w:szCs w:val="22"/>
        </w:rPr>
      </w:pPr>
    </w:p>
    <w:p w14:paraId="5CCD835B" w14:textId="12897AD3" w:rsidR="00153FA2" w:rsidRPr="00452D62" w:rsidRDefault="00153FA2" w:rsidP="00153FA2">
      <w:pPr>
        <w:pStyle w:val="Default"/>
        <w:rPr>
          <w:sz w:val="22"/>
          <w:szCs w:val="22"/>
        </w:rPr>
      </w:pPr>
      <w:r w:rsidRPr="00452D62">
        <w:rPr>
          <w:b/>
          <w:bCs/>
          <w:sz w:val="22"/>
          <w:szCs w:val="22"/>
        </w:rPr>
        <w:t>Labai ret</w:t>
      </w:r>
      <w:r w:rsidR="007A5FB8">
        <w:rPr>
          <w:b/>
          <w:bCs/>
          <w:sz w:val="22"/>
          <w:szCs w:val="22"/>
        </w:rPr>
        <w:t>i</w:t>
      </w:r>
      <w:r w:rsidRPr="00452D62">
        <w:rPr>
          <w:b/>
          <w:bCs/>
          <w:sz w:val="22"/>
          <w:szCs w:val="22"/>
        </w:rPr>
        <w:t xml:space="preserve"> </w:t>
      </w:r>
      <w:r w:rsidR="007A5FB8">
        <w:rPr>
          <w:b/>
          <w:bCs/>
          <w:sz w:val="22"/>
          <w:szCs w:val="22"/>
        </w:rPr>
        <w:t xml:space="preserve">šalutinio poveikio reiškiniai </w:t>
      </w:r>
      <w:r w:rsidRPr="00452D62">
        <w:rPr>
          <w:sz w:val="22"/>
          <w:szCs w:val="22"/>
        </w:rPr>
        <w:t>(gali pasireikšti rečiau kaip 1 iš 10 000 asmenų):</w:t>
      </w:r>
    </w:p>
    <w:p w14:paraId="533521AF" w14:textId="77777777" w:rsidR="00153FA2" w:rsidRPr="00452D62" w:rsidRDefault="00153FA2" w:rsidP="00153FA2">
      <w:pPr>
        <w:ind w:left="567" w:right="-29" w:hanging="567"/>
        <w:rPr>
          <w:sz w:val="22"/>
          <w:szCs w:val="22"/>
        </w:rPr>
      </w:pPr>
      <w:r w:rsidRPr="00452D62">
        <w:rPr>
          <w:sz w:val="22"/>
          <w:szCs w:val="22"/>
        </w:rPr>
        <w:t>-</w:t>
      </w:r>
      <w:r w:rsidRPr="00452D62">
        <w:rPr>
          <w:sz w:val="22"/>
          <w:szCs w:val="22"/>
        </w:rPr>
        <w:tab/>
        <w:t>eozinofilų, tam tikros rūšies baltųjų granulocitinių kraujo kūnelių sankaupos, kurios sukelia uždegimą plaučiuose (eozinofilinė pneumonija).</w:t>
      </w:r>
    </w:p>
    <w:p w14:paraId="54724D3C" w14:textId="77777777" w:rsidR="00823785" w:rsidRPr="00452D62" w:rsidRDefault="00823785" w:rsidP="00823785">
      <w:pPr>
        <w:ind w:left="567" w:right="-29" w:hanging="567"/>
        <w:rPr>
          <w:sz w:val="22"/>
          <w:szCs w:val="22"/>
        </w:rPr>
      </w:pPr>
    </w:p>
    <w:p w14:paraId="4009D1AF" w14:textId="77777777" w:rsidR="00823785" w:rsidRPr="00452D62" w:rsidRDefault="00823785" w:rsidP="00823785">
      <w:pPr>
        <w:ind w:left="567" w:right="-29" w:hanging="567"/>
        <w:rPr>
          <w:sz w:val="22"/>
          <w:szCs w:val="22"/>
        </w:rPr>
      </w:pPr>
      <w:r w:rsidRPr="00452D62">
        <w:rPr>
          <w:b/>
          <w:sz w:val="22"/>
          <w:szCs w:val="22"/>
        </w:rPr>
        <w:t>Dažnis nežinomas</w:t>
      </w:r>
      <w:r w:rsidRPr="00452D62">
        <w:rPr>
          <w:sz w:val="22"/>
          <w:szCs w:val="22"/>
        </w:rPr>
        <w:t xml:space="preserve"> (negali būti apskaičiuotas pagal turimus duomenis):</w:t>
      </w:r>
    </w:p>
    <w:p w14:paraId="53BE0D13" w14:textId="2ED1BCA4" w:rsidR="00823785" w:rsidRPr="00452D62" w:rsidRDefault="00823785" w:rsidP="00823785">
      <w:pPr>
        <w:ind w:left="567" w:right="-29" w:hanging="567"/>
        <w:rPr>
          <w:sz w:val="22"/>
          <w:szCs w:val="22"/>
        </w:rPr>
      </w:pPr>
      <w:r w:rsidRPr="00452D62">
        <w:rPr>
          <w:sz w:val="22"/>
          <w:szCs w:val="22"/>
        </w:rPr>
        <w:t>-</w:t>
      </w:r>
      <w:r w:rsidRPr="00452D62">
        <w:rPr>
          <w:sz w:val="22"/>
          <w:szCs w:val="22"/>
        </w:rPr>
        <w:tab/>
        <w:t>inkstų nepakankamumas po stipraus kraujavimo;</w:t>
      </w:r>
    </w:p>
    <w:p w14:paraId="3F3EA629" w14:textId="400B080C" w:rsidR="00B07B69" w:rsidRPr="00452D62" w:rsidRDefault="00B07B69" w:rsidP="00B07B69">
      <w:pPr>
        <w:ind w:left="567" w:right="-29" w:hanging="567"/>
        <w:rPr>
          <w:sz w:val="22"/>
          <w:szCs w:val="22"/>
        </w:rPr>
      </w:pPr>
      <w:r w:rsidRPr="00452D62">
        <w:rPr>
          <w:sz w:val="22"/>
          <w:szCs w:val="22"/>
        </w:rPr>
        <w:t>-</w:t>
      </w:r>
      <w:r w:rsidRPr="00452D62">
        <w:rPr>
          <w:sz w:val="22"/>
          <w:szCs w:val="22"/>
        </w:rPr>
        <w:tab/>
        <w:t>kraujavimas iš inkstų, kartais su krauju šlapime, dėl kurio sutrinka normali insktų veikla (su antikoaguliantais susijusi nefropatija);</w:t>
      </w:r>
    </w:p>
    <w:p w14:paraId="3D087E53" w14:textId="77777777" w:rsidR="00823785" w:rsidRPr="00452D62" w:rsidRDefault="00823785" w:rsidP="00823785">
      <w:pPr>
        <w:ind w:left="567" w:right="-29" w:hanging="567"/>
        <w:rPr>
          <w:sz w:val="22"/>
          <w:szCs w:val="22"/>
        </w:rPr>
      </w:pPr>
      <w:r w:rsidRPr="00452D62">
        <w:rPr>
          <w:sz w:val="22"/>
          <w:szCs w:val="22"/>
        </w:rPr>
        <w:t>-</w:t>
      </w:r>
      <w:r w:rsidRPr="00452D62">
        <w:rPr>
          <w:sz w:val="22"/>
          <w:szCs w:val="22"/>
        </w:rPr>
        <w:tab/>
        <w:t>padidėjęs spaudimas kojų ar rankų raumenyse po kraujavimo, dėl ko gali skaudėti, tinti, sutrikti jutimas, pasireikšti tirpimas ar paralyžius (suspaudimo sindromas po kraujavimo).</w:t>
      </w:r>
    </w:p>
    <w:p w14:paraId="09E309A0" w14:textId="77777777" w:rsidR="00823785" w:rsidRPr="00452D62" w:rsidRDefault="00823785" w:rsidP="00823785">
      <w:pPr>
        <w:ind w:right="-29"/>
        <w:rPr>
          <w:sz w:val="22"/>
          <w:szCs w:val="22"/>
        </w:rPr>
      </w:pPr>
    </w:p>
    <w:p w14:paraId="65F4FFF0" w14:textId="77777777" w:rsidR="00823785" w:rsidRPr="00452D62" w:rsidRDefault="00823785" w:rsidP="00823785">
      <w:pPr>
        <w:rPr>
          <w:rFonts w:eastAsia="SimSun"/>
          <w:sz w:val="22"/>
          <w:szCs w:val="22"/>
        </w:rPr>
      </w:pPr>
      <w:r w:rsidRPr="00452D62">
        <w:rPr>
          <w:b/>
          <w:sz w:val="22"/>
          <w:szCs w:val="22"/>
        </w:rPr>
        <w:t>Pranešimas apie šalutinį poveikį</w:t>
      </w:r>
    </w:p>
    <w:p w14:paraId="4375C98F" w14:textId="34A42324" w:rsidR="00CB25DC" w:rsidRPr="00CB25DC" w:rsidRDefault="00CB25DC" w:rsidP="00CB25DC">
      <w:pPr>
        <w:suppressAutoHyphens w:val="0"/>
        <w:ind w:right="-1"/>
        <w:rPr>
          <w:color w:val="auto"/>
          <w:sz w:val="22"/>
          <w:szCs w:val="20"/>
          <w:lang w:eastAsia="en-US"/>
        </w:rPr>
      </w:pPr>
      <w:r w:rsidRPr="00CB25DC">
        <w:rPr>
          <w:color w:val="auto"/>
          <w:sz w:val="22"/>
          <w:szCs w:val="22"/>
          <w:lang w:eastAsia="lt-LT"/>
        </w:rPr>
        <w:t xml:space="preserve">Jeigu pasireiškė šalutinis poveikis, įskaitant šiame lapelyje nenurodytą, pasakykite gydytojui, vaistininkui arba slaugytojui. </w:t>
      </w:r>
      <w:r w:rsidRPr="00701AC2">
        <w:rPr>
          <w:color w:val="auto"/>
          <w:sz w:val="22"/>
        </w:rPr>
        <w:t xml:space="preserve">Pranešimą apie šalutinį poveikį galite </w:t>
      </w:r>
      <w:r w:rsidRPr="00CB25DC">
        <w:rPr>
          <w:color w:val="auto"/>
          <w:sz w:val="22"/>
          <w:szCs w:val="22"/>
          <w:lang w:eastAsia="lt-LT"/>
        </w:rPr>
        <w:t xml:space="preserve">užpildyti ir </w:t>
      </w:r>
      <w:r w:rsidRPr="00701AC2">
        <w:rPr>
          <w:color w:val="auto"/>
          <w:sz w:val="22"/>
        </w:rPr>
        <w:t xml:space="preserve">pateikti Valstybinės vaistų kontrolės tarnybos prie Lietuvos Respublikos sveikatos apsaugos ministerijos </w:t>
      </w:r>
      <w:r w:rsidRPr="00CB25DC">
        <w:rPr>
          <w:color w:val="auto"/>
          <w:sz w:val="22"/>
          <w:szCs w:val="22"/>
          <w:lang w:eastAsia="lt-LT"/>
        </w:rPr>
        <w:t xml:space="preserve">tinklalapyje </w:t>
      </w:r>
      <w:r w:rsidRPr="00CB25DC">
        <w:rPr>
          <w:color w:val="0000EE"/>
          <w:sz w:val="22"/>
          <w:szCs w:val="22"/>
          <w:u w:val="single"/>
          <w:lang w:eastAsia="lt-LT"/>
        </w:rPr>
        <w:t>https://vvkt.lrv.lt/lt/</w:t>
      </w:r>
      <w:r w:rsidRPr="00CB25DC">
        <w:rPr>
          <w:color w:val="auto"/>
          <w:sz w:val="22"/>
          <w:szCs w:val="22"/>
          <w:lang w:eastAsia="lt-LT"/>
        </w:rPr>
        <w:t xml:space="preserve"> nurodytais būdais</w:t>
      </w:r>
      <w:r w:rsidRPr="00701AC2">
        <w:rPr>
          <w:color w:val="auto"/>
          <w:sz w:val="22"/>
        </w:rPr>
        <w:t xml:space="preserve"> arba </w:t>
      </w:r>
      <w:r w:rsidRPr="00CB25DC">
        <w:rPr>
          <w:color w:val="auto"/>
          <w:sz w:val="22"/>
          <w:szCs w:val="22"/>
          <w:lang w:eastAsia="lt-LT"/>
        </w:rPr>
        <w:t>paskambinti</w:t>
      </w:r>
      <w:r w:rsidRPr="00701AC2">
        <w:rPr>
          <w:color w:val="auto"/>
          <w:sz w:val="22"/>
        </w:rPr>
        <w:t xml:space="preserve"> nemokamu telefonu 8 800 73 568. Pranešdami apie šalutinį poveikį galite mums padėti gauti daugiau informacijos apie šio vaisto saugumą.</w:t>
      </w:r>
    </w:p>
    <w:p w14:paraId="030B789A" w14:textId="329AE3F0" w:rsidR="00823785" w:rsidRPr="00452D62" w:rsidRDefault="00823785" w:rsidP="00823785">
      <w:pPr>
        <w:tabs>
          <w:tab w:val="clear" w:pos="567"/>
        </w:tabs>
        <w:suppressAutoHyphens w:val="0"/>
        <w:spacing w:line="240" w:lineRule="auto"/>
        <w:rPr>
          <w:rFonts w:eastAsia="Calibri"/>
          <w:color w:val="auto"/>
          <w:sz w:val="22"/>
          <w:szCs w:val="22"/>
          <w:lang w:eastAsia="en-US"/>
        </w:rPr>
      </w:pPr>
    </w:p>
    <w:p w14:paraId="6A1E5A53" w14:textId="77777777" w:rsidR="00823785" w:rsidRPr="00452D62" w:rsidRDefault="00823785" w:rsidP="00823785">
      <w:pPr>
        <w:rPr>
          <w:sz w:val="22"/>
          <w:szCs w:val="22"/>
        </w:rPr>
      </w:pPr>
    </w:p>
    <w:p w14:paraId="297C0CB4" w14:textId="77777777" w:rsidR="00823785" w:rsidRPr="00452D62" w:rsidRDefault="00823785" w:rsidP="00823785">
      <w:pPr>
        <w:rPr>
          <w:sz w:val="22"/>
          <w:szCs w:val="22"/>
        </w:rPr>
      </w:pPr>
    </w:p>
    <w:p w14:paraId="17002B1D" w14:textId="77777777" w:rsidR="00823785" w:rsidRPr="00452D62" w:rsidRDefault="00823785" w:rsidP="00823785">
      <w:pPr>
        <w:widowControl w:val="0"/>
        <w:tabs>
          <w:tab w:val="clear" w:pos="567"/>
        </w:tabs>
        <w:suppressAutoHyphens w:val="0"/>
        <w:spacing w:line="240" w:lineRule="auto"/>
        <w:ind w:left="567" w:hanging="567"/>
        <w:outlineLvl w:val="0"/>
        <w:rPr>
          <w:b/>
          <w:color w:val="auto"/>
          <w:sz w:val="22"/>
          <w:szCs w:val="22"/>
          <w:lang w:eastAsia="en-US"/>
        </w:rPr>
      </w:pPr>
      <w:r w:rsidRPr="00452D62">
        <w:rPr>
          <w:b/>
          <w:color w:val="auto"/>
          <w:sz w:val="22"/>
          <w:szCs w:val="22"/>
          <w:lang w:eastAsia="en-US"/>
        </w:rPr>
        <w:t>5.</w:t>
      </w:r>
      <w:r w:rsidRPr="00452D62">
        <w:rPr>
          <w:b/>
          <w:color w:val="auto"/>
          <w:sz w:val="22"/>
          <w:szCs w:val="22"/>
          <w:lang w:eastAsia="en-US"/>
        </w:rPr>
        <w:tab/>
        <w:t>Kaip laikyti Xerdoxo</w:t>
      </w:r>
    </w:p>
    <w:p w14:paraId="7C82A337" w14:textId="77777777" w:rsidR="00823785" w:rsidRPr="00452D62" w:rsidRDefault="00823785" w:rsidP="00823785">
      <w:pPr>
        <w:tabs>
          <w:tab w:val="clear" w:pos="567"/>
        </w:tabs>
        <w:spacing w:line="100" w:lineRule="atLeast"/>
        <w:ind w:right="-2"/>
        <w:rPr>
          <w:sz w:val="22"/>
          <w:szCs w:val="22"/>
        </w:rPr>
      </w:pPr>
    </w:p>
    <w:p w14:paraId="3ABC7136" w14:textId="77777777" w:rsidR="00823785" w:rsidRPr="00452D62" w:rsidRDefault="00823785" w:rsidP="00823785">
      <w:pPr>
        <w:tabs>
          <w:tab w:val="clear" w:pos="567"/>
        </w:tabs>
        <w:spacing w:line="100" w:lineRule="atLeast"/>
        <w:ind w:right="-2"/>
        <w:rPr>
          <w:sz w:val="22"/>
          <w:szCs w:val="22"/>
        </w:rPr>
      </w:pPr>
      <w:r w:rsidRPr="00452D62">
        <w:rPr>
          <w:sz w:val="22"/>
          <w:szCs w:val="22"/>
        </w:rPr>
        <w:t>Šį vaistą laikykite vaikams nepastebimoje ir nepasiekiamoje vietoje.</w:t>
      </w:r>
    </w:p>
    <w:p w14:paraId="6A5004BF" w14:textId="77777777" w:rsidR="00823785" w:rsidRPr="00452D62" w:rsidRDefault="00823785" w:rsidP="00823785">
      <w:pPr>
        <w:tabs>
          <w:tab w:val="clear" w:pos="567"/>
        </w:tabs>
        <w:spacing w:line="100" w:lineRule="atLeast"/>
        <w:ind w:right="-2"/>
        <w:rPr>
          <w:sz w:val="22"/>
          <w:szCs w:val="22"/>
        </w:rPr>
      </w:pPr>
    </w:p>
    <w:p w14:paraId="1AD31551" w14:textId="3DA79F6F" w:rsidR="00823785" w:rsidRPr="00452D62" w:rsidRDefault="00823785" w:rsidP="00823785">
      <w:pPr>
        <w:tabs>
          <w:tab w:val="clear" w:pos="567"/>
        </w:tabs>
        <w:spacing w:line="100" w:lineRule="atLeast"/>
        <w:ind w:right="-2"/>
        <w:rPr>
          <w:sz w:val="22"/>
          <w:szCs w:val="22"/>
        </w:rPr>
      </w:pPr>
      <w:r w:rsidRPr="00452D62">
        <w:rPr>
          <w:sz w:val="22"/>
          <w:szCs w:val="22"/>
        </w:rPr>
        <w:t>Ant dėžutės ir lizdinės plokštelės po „EXP“ nurodytam tinkamumo laikui pasibaigus, šio vaisto vartoti draudžiama. Vaistas tinkamas vartoti iki paskutinės nurodyto mėnesio dienos.</w:t>
      </w:r>
    </w:p>
    <w:p w14:paraId="2EE5768E" w14:textId="77777777" w:rsidR="00823785" w:rsidRPr="00452D62" w:rsidRDefault="00823785" w:rsidP="00823785">
      <w:pPr>
        <w:tabs>
          <w:tab w:val="clear" w:pos="567"/>
        </w:tabs>
        <w:spacing w:line="100" w:lineRule="atLeast"/>
        <w:ind w:right="-2"/>
        <w:rPr>
          <w:sz w:val="22"/>
          <w:szCs w:val="22"/>
        </w:rPr>
      </w:pPr>
    </w:p>
    <w:p w14:paraId="3401ECEB" w14:textId="77777777" w:rsidR="00823785" w:rsidRPr="00452D62" w:rsidRDefault="00823785" w:rsidP="00823785">
      <w:pPr>
        <w:tabs>
          <w:tab w:val="clear" w:pos="567"/>
        </w:tabs>
        <w:spacing w:line="100" w:lineRule="atLeast"/>
        <w:ind w:right="-2"/>
        <w:rPr>
          <w:sz w:val="22"/>
          <w:szCs w:val="22"/>
        </w:rPr>
      </w:pPr>
      <w:r w:rsidRPr="00452D62">
        <w:rPr>
          <w:sz w:val="22"/>
          <w:szCs w:val="22"/>
        </w:rPr>
        <w:t>Šiam vaistui specialių laikymo sąlygų nereikia.</w:t>
      </w:r>
    </w:p>
    <w:p w14:paraId="48EACA36" w14:textId="77777777" w:rsidR="00823785" w:rsidRPr="00452D62" w:rsidRDefault="00823785" w:rsidP="00823785">
      <w:pPr>
        <w:tabs>
          <w:tab w:val="clear" w:pos="567"/>
        </w:tabs>
        <w:spacing w:line="100" w:lineRule="atLeast"/>
        <w:ind w:right="-2"/>
        <w:rPr>
          <w:sz w:val="22"/>
          <w:szCs w:val="22"/>
        </w:rPr>
      </w:pPr>
    </w:p>
    <w:p w14:paraId="725C6776" w14:textId="77777777" w:rsidR="00823785" w:rsidRPr="00452D62" w:rsidRDefault="00823785" w:rsidP="00823785">
      <w:pPr>
        <w:tabs>
          <w:tab w:val="clear" w:pos="567"/>
        </w:tabs>
        <w:spacing w:line="100" w:lineRule="atLeast"/>
        <w:ind w:right="-2"/>
        <w:rPr>
          <w:sz w:val="22"/>
          <w:szCs w:val="22"/>
        </w:rPr>
      </w:pPr>
      <w:r w:rsidRPr="00452D62">
        <w:rPr>
          <w:sz w:val="22"/>
          <w:szCs w:val="22"/>
        </w:rPr>
        <w:t>Vaistų negalima išmesti į kanalizaciją arba su buitinėmis atliekomis. Kaip išmesti nereikalingus vaistus, klauskite vaistininko. Šios priemonės padės apsaugoti aplinką.</w:t>
      </w:r>
    </w:p>
    <w:p w14:paraId="5DF9FEA5" w14:textId="77777777" w:rsidR="00823785" w:rsidRPr="00452D62" w:rsidRDefault="00823785" w:rsidP="00823785">
      <w:pPr>
        <w:tabs>
          <w:tab w:val="clear" w:pos="567"/>
        </w:tabs>
        <w:spacing w:line="100" w:lineRule="atLeast"/>
        <w:ind w:right="-2"/>
        <w:rPr>
          <w:sz w:val="22"/>
          <w:szCs w:val="22"/>
        </w:rPr>
      </w:pPr>
    </w:p>
    <w:p w14:paraId="5AAAE59E" w14:textId="77777777" w:rsidR="00823785" w:rsidRPr="00452D62" w:rsidRDefault="00823785" w:rsidP="00823785">
      <w:pPr>
        <w:tabs>
          <w:tab w:val="clear" w:pos="567"/>
        </w:tabs>
        <w:spacing w:line="100" w:lineRule="atLeast"/>
        <w:ind w:right="-2"/>
        <w:rPr>
          <w:sz w:val="22"/>
          <w:szCs w:val="22"/>
        </w:rPr>
      </w:pPr>
    </w:p>
    <w:p w14:paraId="6937CAE4" w14:textId="77777777" w:rsidR="00823785" w:rsidRPr="00452D62" w:rsidRDefault="00823785" w:rsidP="00823785">
      <w:pPr>
        <w:widowControl w:val="0"/>
        <w:tabs>
          <w:tab w:val="clear" w:pos="567"/>
        </w:tabs>
        <w:suppressAutoHyphens w:val="0"/>
        <w:spacing w:line="240" w:lineRule="auto"/>
        <w:ind w:left="567" w:hanging="567"/>
        <w:outlineLvl w:val="0"/>
        <w:rPr>
          <w:b/>
          <w:color w:val="auto"/>
          <w:sz w:val="22"/>
          <w:szCs w:val="22"/>
          <w:lang w:eastAsia="en-US"/>
        </w:rPr>
      </w:pPr>
      <w:r w:rsidRPr="00452D62">
        <w:rPr>
          <w:b/>
          <w:color w:val="auto"/>
          <w:sz w:val="22"/>
          <w:szCs w:val="22"/>
          <w:lang w:eastAsia="en-US"/>
        </w:rPr>
        <w:t>6.</w:t>
      </w:r>
      <w:r w:rsidRPr="00452D62">
        <w:rPr>
          <w:b/>
          <w:color w:val="auto"/>
          <w:sz w:val="22"/>
          <w:szCs w:val="22"/>
          <w:lang w:eastAsia="en-US"/>
        </w:rPr>
        <w:tab/>
        <w:t>Pakuotės turinys ir kita informacija</w:t>
      </w:r>
    </w:p>
    <w:p w14:paraId="1C6F8DA2" w14:textId="77777777" w:rsidR="00823785" w:rsidRPr="00452D62" w:rsidRDefault="00823785" w:rsidP="00823785">
      <w:pPr>
        <w:tabs>
          <w:tab w:val="clear" w:pos="567"/>
        </w:tabs>
        <w:spacing w:line="100" w:lineRule="atLeast"/>
        <w:rPr>
          <w:sz w:val="22"/>
          <w:szCs w:val="22"/>
        </w:rPr>
      </w:pPr>
    </w:p>
    <w:p w14:paraId="7E993C8A" w14:textId="77777777" w:rsidR="00823785" w:rsidRPr="00452D62" w:rsidRDefault="00823785" w:rsidP="00823785">
      <w:pPr>
        <w:tabs>
          <w:tab w:val="clear" w:pos="567"/>
        </w:tabs>
        <w:spacing w:line="100" w:lineRule="atLeast"/>
        <w:ind w:right="-2"/>
        <w:rPr>
          <w:sz w:val="22"/>
          <w:szCs w:val="22"/>
        </w:rPr>
      </w:pPr>
      <w:r w:rsidRPr="00452D62">
        <w:rPr>
          <w:b/>
          <w:sz w:val="22"/>
          <w:szCs w:val="22"/>
        </w:rPr>
        <w:t>Xerdoxo sudėtis</w:t>
      </w:r>
    </w:p>
    <w:p w14:paraId="57B47F47" w14:textId="77777777" w:rsidR="00823785" w:rsidRPr="00452D62" w:rsidRDefault="00823785" w:rsidP="00823785">
      <w:pPr>
        <w:widowControl w:val="0"/>
        <w:numPr>
          <w:ilvl w:val="0"/>
          <w:numId w:val="1"/>
        </w:numPr>
        <w:tabs>
          <w:tab w:val="clear" w:pos="208"/>
          <w:tab w:val="num" w:pos="567"/>
        </w:tabs>
        <w:spacing w:line="100" w:lineRule="atLeast"/>
        <w:ind w:left="567" w:right="-2" w:hanging="567"/>
        <w:rPr>
          <w:sz w:val="22"/>
          <w:szCs w:val="22"/>
        </w:rPr>
      </w:pPr>
      <w:r w:rsidRPr="00452D62">
        <w:rPr>
          <w:sz w:val="22"/>
          <w:szCs w:val="22"/>
        </w:rPr>
        <w:t>Veiklioji medžiaga yra rivaroksabanas. Kiekvienoje plėvele dengtoje tabletėje yra 10 mg rivaroksabano.</w:t>
      </w:r>
    </w:p>
    <w:p w14:paraId="4283BE74" w14:textId="629C2B3B" w:rsidR="00823785" w:rsidRPr="00452D62" w:rsidRDefault="00823785" w:rsidP="00823785">
      <w:pPr>
        <w:widowControl w:val="0"/>
        <w:numPr>
          <w:ilvl w:val="0"/>
          <w:numId w:val="1"/>
        </w:numPr>
        <w:tabs>
          <w:tab w:val="clear" w:pos="208"/>
          <w:tab w:val="num" w:pos="567"/>
        </w:tabs>
        <w:spacing w:line="100" w:lineRule="atLeast"/>
        <w:ind w:left="567" w:right="-2" w:hanging="567"/>
        <w:rPr>
          <w:iCs/>
          <w:sz w:val="22"/>
          <w:szCs w:val="22"/>
        </w:rPr>
      </w:pPr>
      <w:r w:rsidRPr="00452D62">
        <w:rPr>
          <w:sz w:val="22"/>
          <w:szCs w:val="22"/>
        </w:rPr>
        <w:t>Pagalbinės medžiagos. Tabletės branduolys: m</w:t>
      </w:r>
      <w:r w:rsidRPr="00452D62">
        <w:rPr>
          <w:iCs/>
          <w:sz w:val="22"/>
          <w:szCs w:val="22"/>
        </w:rPr>
        <w:t>anitolis, mikrokristalinė celiuliozė, makrogolis, poloksameras, natrio laurilsulfatas, kroskarmeliozės natrio druska, bevandenis koloidinis silicio dioksidas ir natrio stearilfumaratas. Tabletės plėvelė: hipromeliozė, makrogolis, titano dioksidas (E171) ir raudonasis geležies oksidas (E172). Žr. 2 skyrių „Xerdoxo sudėtyje yra natrio“.</w:t>
      </w:r>
    </w:p>
    <w:p w14:paraId="532E450D" w14:textId="77777777" w:rsidR="00823785" w:rsidRPr="00452D62" w:rsidRDefault="00823785" w:rsidP="00823785">
      <w:pPr>
        <w:widowControl w:val="0"/>
        <w:tabs>
          <w:tab w:val="clear" w:pos="567"/>
        </w:tabs>
        <w:spacing w:line="100" w:lineRule="atLeast"/>
        <w:ind w:left="567" w:right="-2"/>
        <w:rPr>
          <w:iCs/>
          <w:sz w:val="22"/>
          <w:szCs w:val="22"/>
        </w:rPr>
      </w:pPr>
    </w:p>
    <w:p w14:paraId="311BE68E" w14:textId="77777777" w:rsidR="00823785" w:rsidRPr="00452D62" w:rsidRDefault="00823785" w:rsidP="00823785">
      <w:pPr>
        <w:tabs>
          <w:tab w:val="clear" w:pos="567"/>
        </w:tabs>
        <w:spacing w:line="100" w:lineRule="atLeast"/>
        <w:ind w:right="-2"/>
        <w:rPr>
          <w:sz w:val="22"/>
          <w:szCs w:val="22"/>
        </w:rPr>
      </w:pPr>
      <w:r w:rsidRPr="00452D62">
        <w:rPr>
          <w:b/>
          <w:sz w:val="22"/>
          <w:szCs w:val="22"/>
        </w:rPr>
        <w:t>Xerdoxo išvaizda ir kiekis pakuotėje</w:t>
      </w:r>
    </w:p>
    <w:p w14:paraId="16689F78" w14:textId="77777777" w:rsidR="00823785" w:rsidRPr="00452D62" w:rsidRDefault="00823785" w:rsidP="00823785">
      <w:pPr>
        <w:rPr>
          <w:sz w:val="22"/>
          <w:szCs w:val="22"/>
        </w:rPr>
      </w:pPr>
      <w:r w:rsidRPr="00452D62">
        <w:rPr>
          <w:sz w:val="22"/>
          <w:szCs w:val="22"/>
        </w:rPr>
        <w:t>Xerdoxo plėvele dengta tabletė (tabletė) yra rusvai raudona, apvali, šiek tiek abipus išgaubta, vienoje pusėje įspausta „10“.</w:t>
      </w:r>
    </w:p>
    <w:p w14:paraId="46BA75D1" w14:textId="1C336255" w:rsidR="00823785" w:rsidRPr="00452D62" w:rsidRDefault="00823785" w:rsidP="00823785">
      <w:pPr>
        <w:rPr>
          <w:sz w:val="22"/>
          <w:szCs w:val="22"/>
        </w:rPr>
      </w:pPr>
      <w:r w:rsidRPr="00452D62">
        <w:rPr>
          <w:sz w:val="22"/>
          <w:szCs w:val="22"/>
        </w:rPr>
        <w:t>Išmatavimai: skersmuo − apytiksliai 6,5 mm.</w:t>
      </w:r>
    </w:p>
    <w:p w14:paraId="7A46A7BE" w14:textId="77777777" w:rsidR="00823785" w:rsidRPr="00452D62" w:rsidRDefault="00823785" w:rsidP="00823785">
      <w:pPr>
        <w:rPr>
          <w:sz w:val="22"/>
          <w:szCs w:val="22"/>
        </w:rPr>
      </w:pPr>
    </w:p>
    <w:p w14:paraId="039E158B" w14:textId="77777777" w:rsidR="00823785" w:rsidRPr="00452D62" w:rsidRDefault="00823785" w:rsidP="00823785">
      <w:pPr>
        <w:rPr>
          <w:sz w:val="22"/>
          <w:szCs w:val="22"/>
        </w:rPr>
      </w:pPr>
      <w:r w:rsidRPr="00452D62">
        <w:rPr>
          <w:sz w:val="22"/>
          <w:szCs w:val="22"/>
        </w:rPr>
        <w:t>Xerdoxo tiekiamas kartono dėžutėse, kuriose yra:</w:t>
      </w:r>
    </w:p>
    <w:p w14:paraId="62AD302A" w14:textId="77777777" w:rsidR="00823785" w:rsidRPr="00452D62" w:rsidRDefault="00823785" w:rsidP="00823785">
      <w:pPr>
        <w:numPr>
          <w:ilvl w:val="0"/>
          <w:numId w:val="14"/>
        </w:numPr>
        <w:ind w:left="567" w:hanging="567"/>
        <w:rPr>
          <w:sz w:val="22"/>
          <w:szCs w:val="22"/>
        </w:rPr>
      </w:pPr>
      <w:r w:rsidRPr="00452D62">
        <w:rPr>
          <w:sz w:val="22"/>
          <w:szCs w:val="22"/>
        </w:rPr>
        <w:t>10, 15, 30, 60, 90 ar 100 plėvele dengtų tablečių neperforuotose lizdinėse plokštelėse.</w:t>
      </w:r>
    </w:p>
    <w:p w14:paraId="291D9DB7" w14:textId="77777777" w:rsidR="00823785" w:rsidRPr="00452D62" w:rsidRDefault="00823785" w:rsidP="00823785">
      <w:pPr>
        <w:numPr>
          <w:ilvl w:val="0"/>
          <w:numId w:val="14"/>
        </w:numPr>
        <w:ind w:left="567" w:hanging="567"/>
        <w:rPr>
          <w:sz w:val="22"/>
          <w:szCs w:val="22"/>
        </w:rPr>
      </w:pPr>
      <w:r w:rsidRPr="00452D62">
        <w:rPr>
          <w:sz w:val="22"/>
          <w:szCs w:val="22"/>
        </w:rPr>
        <w:t>10 x 1, 30 x 1, 60 x 1, 90 x 1 ar 100 x 1 plėvele dengtų tablečių perforuotose dalomosiose lizdinėse plokštelėse.</w:t>
      </w:r>
    </w:p>
    <w:p w14:paraId="703842E1" w14:textId="77777777" w:rsidR="00823785" w:rsidRPr="00452D62" w:rsidRDefault="00823785" w:rsidP="00823785">
      <w:pPr>
        <w:numPr>
          <w:ilvl w:val="0"/>
          <w:numId w:val="14"/>
        </w:numPr>
        <w:ind w:left="567" w:hanging="567"/>
        <w:rPr>
          <w:sz w:val="22"/>
          <w:szCs w:val="22"/>
        </w:rPr>
      </w:pPr>
      <w:r w:rsidRPr="00452D62">
        <w:rPr>
          <w:sz w:val="22"/>
          <w:szCs w:val="22"/>
        </w:rPr>
        <w:t>14, 28, 42, 56 ar 98 plėvele dengtos tabletės kalendorinėse neperforuotose lizdinėse plokštelėse.</w:t>
      </w:r>
    </w:p>
    <w:p w14:paraId="396AA3EE" w14:textId="77777777" w:rsidR="00823785" w:rsidRPr="00452D62" w:rsidRDefault="00823785" w:rsidP="00823785">
      <w:pPr>
        <w:rPr>
          <w:sz w:val="22"/>
          <w:szCs w:val="22"/>
        </w:rPr>
      </w:pPr>
    </w:p>
    <w:p w14:paraId="4B1FB468" w14:textId="77777777" w:rsidR="00823785" w:rsidRPr="00452D62" w:rsidRDefault="00823785" w:rsidP="00823785">
      <w:pPr>
        <w:rPr>
          <w:sz w:val="22"/>
          <w:szCs w:val="22"/>
        </w:rPr>
      </w:pPr>
      <w:r w:rsidRPr="00452D62">
        <w:rPr>
          <w:sz w:val="22"/>
          <w:szCs w:val="22"/>
        </w:rPr>
        <w:t>Kiekvienoje vaisto pakuotėje yra paciento budrumo kortelė.</w:t>
      </w:r>
    </w:p>
    <w:p w14:paraId="1A58D68C" w14:textId="77777777" w:rsidR="00823785" w:rsidRPr="00452D62" w:rsidRDefault="00823785" w:rsidP="00823785">
      <w:pPr>
        <w:rPr>
          <w:sz w:val="22"/>
          <w:szCs w:val="22"/>
        </w:rPr>
      </w:pPr>
    </w:p>
    <w:p w14:paraId="5D2B6763" w14:textId="77777777" w:rsidR="00823785" w:rsidRPr="00452D62" w:rsidRDefault="00823785" w:rsidP="00823785">
      <w:pPr>
        <w:rPr>
          <w:b/>
          <w:sz w:val="22"/>
          <w:szCs w:val="22"/>
        </w:rPr>
      </w:pPr>
      <w:r w:rsidRPr="00452D62">
        <w:rPr>
          <w:sz w:val="22"/>
          <w:szCs w:val="22"/>
        </w:rPr>
        <w:t>Gali būti tiekiamos ne visų dydžių pakuotės.</w:t>
      </w:r>
    </w:p>
    <w:p w14:paraId="652A3973" w14:textId="77777777" w:rsidR="00823785" w:rsidRPr="00452D62" w:rsidRDefault="00823785" w:rsidP="00823785">
      <w:pPr>
        <w:tabs>
          <w:tab w:val="clear" w:pos="567"/>
        </w:tabs>
        <w:spacing w:line="100" w:lineRule="atLeast"/>
        <w:ind w:right="-2"/>
        <w:rPr>
          <w:b/>
          <w:sz w:val="22"/>
          <w:szCs w:val="22"/>
        </w:rPr>
      </w:pPr>
    </w:p>
    <w:p w14:paraId="1FEACD9E" w14:textId="77777777" w:rsidR="00823785" w:rsidRPr="00452D62" w:rsidRDefault="00823785" w:rsidP="00823785">
      <w:pPr>
        <w:tabs>
          <w:tab w:val="clear" w:pos="567"/>
        </w:tabs>
        <w:spacing w:line="100" w:lineRule="atLeast"/>
        <w:ind w:right="-2"/>
        <w:rPr>
          <w:sz w:val="22"/>
          <w:szCs w:val="22"/>
        </w:rPr>
      </w:pPr>
      <w:r w:rsidRPr="00452D62">
        <w:rPr>
          <w:b/>
          <w:sz w:val="22"/>
          <w:szCs w:val="22"/>
        </w:rPr>
        <w:t>Registruotojas ir gamintojas</w:t>
      </w:r>
    </w:p>
    <w:p w14:paraId="0DDEDBE7" w14:textId="77777777" w:rsidR="00823785" w:rsidRPr="00452D62" w:rsidRDefault="00823785" w:rsidP="00823785">
      <w:pPr>
        <w:tabs>
          <w:tab w:val="clear" w:pos="567"/>
        </w:tabs>
        <w:spacing w:line="100" w:lineRule="atLeast"/>
        <w:ind w:right="-2"/>
        <w:rPr>
          <w:sz w:val="22"/>
          <w:szCs w:val="22"/>
        </w:rPr>
      </w:pPr>
    </w:p>
    <w:p w14:paraId="39A6D48E" w14:textId="77777777" w:rsidR="00823785" w:rsidRPr="00452D62" w:rsidRDefault="00823785" w:rsidP="00823785">
      <w:pPr>
        <w:widowControl w:val="0"/>
        <w:numPr>
          <w:ilvl w:val="12"/>
          <w:numId w:val="0"/>
        </w:numPr>
        <w:tabs>
          <w:tab w:val="clear" w:pos="567"/>
        </w:tabs>
        <w:suppressAutoHyphens w:val="0"/>
        <w:spacing w:line="240" w:lineRule="auto"/>
        <w:rPr>
          <w:bCs/>
          <w:i/>
          <w:color w:val="auto"/>
          <w:sz w:val="22"/>
          <w:szCs w:val="22"/>
          <w:lang w:eastAsia="en-US"/>
        </w:rPr>
      </w:pPr>
      <w:r w:rsidRPr="00452D62">
        <w:rPr>
          <w:bCs/>
          <w:i/>
          <w:color w:val="auto"/>
          <w:sz w:val="22"/>
          <w:szCs w:val="22"/>
          <w:lang w:eastAsia="en-US"/>
        </w:rPr>
        <w:t>Registruotojas</w:t>
      </w:r>
    </w:p>
    <w:p w14:paraId="503528CC" w14:textId="77777777" w:rsidR="00823785" w:rsidRPr="00452D62" w:rsidRDefault="00823785" w:rsidP="00823785">
      <w:pPr>
        <w:widowControl w:val="0"/>
        <w:tabs>
          <w:tab w:val="clear" w:pos="567"/>
          <w:tab w:val="left" w:pos="540"/>
        </w:tabs>
        <w:suppressAutoHyphens w:val="0"/>
        <w:spacing w:line="240" w:lineRule="auto"/>
        <w:rPr>
          <w:rFonts w:eastAsia="Calibri"/>
          <w:color w:val="auto"/>
          <w:sz w:val="22"/>
          <w:szCs w:val="22"/>
          <w:lang w:eastAsia="en-US"/>
        </w:rPr>
      </w:pPr>
      <w:r w:rsidRPr="00452D62">
        <w:rPr>
          <w:rFonts w:eastAsia="Calibri"/>
          <w:color w:val="auto"/>
          <w:sz w:val="22"/>
          <w:szCs w:val="22"/>
          <w:lang w:eastAsia="en-US"/>
        </w:rPr>
        <w:t>KRKA, d.d. Novo mesto</w:t>
      </w:r>
    </w:p>
    <w:p w14:paraId="226AF274" w14:textId="77777777" w:rsidR="00823785" w:rsidRPr="00452D62" w:rsidRDefault="00823785" w:rsidP="00823785">
      <w:pPr>
        <w:widowControl w:val="0"/>
        <w:tabs>
          <w:tab w:val="clear" w:pos="567"/>
          <w:tab w:val="left" w:pos="540"/>
        </w:tabs>
        <w:suppressAutoHyphens w:val="0"/>
        <w:spacing w:line="240" w:lineRule="auto"/>
        <w:rPr>
          <w:rFonts w:eastAsia="Calibri"/>
          <w:color w:val="auto"/>
          <w:sz w:val="22"/>
          <w:szCs w:val="22"/>
          <w:lang w:eastAsia="en-US"/>
        </w:rPr>
      </w:pPr>
      <w:r w:rsidRPr="00452D62">
        <w:rPr>
          <w:rFonts w:eastAsia="Calibri"/>
          <w:color w:val="auto"/>
          <w:sz w:val="22"/>
          <w:szCs w:val="22"/>
          <w:lang w:eastAsia="en-US"/>
        </w:rPr>
        <w:t>Šmarješka cesta 6</w:t>
      </w:r>
    </w:p>
    <w:p w14:paraId="7BE40588" w14:textId="77777777" w:rsidR="00823785" w:rsidRPr="00452D62" w:rsidRDefault="00823785" w:rsidP="00823785">
      <w:pPr>
        <w:widowControl w:val="0"/>
        <w:tabs>
          <w:tab w:val="clear" w:pos="567"/>
          <w:tab w:val="left" w:pos="540"/>
        </w:tabs>
        <w:suppressAutoHyphens w:val="0"/>
        <w:spacing w:line="240" w:lineRule="auto"/>
        <w:rPr>
          <w:rFonts w:eastAsia="Calibri"/>
          <w:color w:val="auto"/>
          <w:sz w:val="22"/>
          <w:szCs w:val="22"/>
          <w:lang w:eastAsia="en-US"/>
        </w:rPr>
      </w:pPr>
      <w:r w:rsidRPr="00452D62">
        <w:rPr>
          <w:rFonts w:eastAsia="Calibri"/>
          <w:color w:val="auto"/>
          <w:sz w:val="22"/>
          <w:szCs w:val="22"/>
          <w:lang w:eastAsia="en-US"/>
        </w:rPr>
        <w:t>8501 Novo mesto</w:t>
      </w:r>
    </w:p>
    <w:p w14:paraId="75B537DA" w14:textId="77777777" w:rsidR="00823785" w:rsidRPr="00452D62" w:rsidRDefault="00823785" w:rsidP="00823785">
      <w:pPr>
        <w:widowControl w:val="0"/>
        <w:tabs>
          <w:tab w:val="clear" w:pos="567"/>
          <w:tab w:val="left" w:pos="540"/>
        </w:tabs>
        <w:suppressAutoHyphens w:val="0"/>
        <w:spacing w:line="240" w:lineRule="auto"/>
        <w:rPr>
          <w:rFonts w:eastAsia="Calibri"/>
          <w:color w:val="auto"/>
          <w:sz w:val="22"/>
          <w:szCs w:val="22"/>
          <w:lang w:eastAsia="en-US"/>
        </w:rPr>
      </w:pPr>
      <w:r w:rsidRPr="00452D62">
        <w:rPr>
          <w:rFonts w:eastAsia="Calibri"/>
          <w:color w:val="auto"/>
          <w:sz w:val="22"/>
          <w:szCs w:val="22"/>
          <w:lang w:eastAsia="en-US"/>
        </w:rPr>
        <w:t>Slovėnija</w:t>
      </w:r>
    </w:p>
    <w:p w14:paraId="442C935E" w14:textId="77777777" w:rsidR="00823785" w:rsidRPr="00452D62" w:rsidRDefault="00823785" w:rsidP="00823785">
      <w:pPr>
        <w:widowControl w:val="0"/>
        <w:numPr>
          <w:ilvl w:val="12"/>
          <w:numId w:val="0"/>
        </w:numPr>
        <w:tabs>
          <w:tab w:val="clear" w:pos="567"/>
        </w:tabs>
        <w:suppressAutoHyphens w:val="0"/>
        <w:spacing w:line="240" w:lineRule="auto"/>
        <w:ind w:right="-2"/>
        <w:rPr>
          <w:color w:val="auto"/>
          <w:sz w:val="22"/>
          <w:szCs w:val="22"/>
          <w:lang w:eastAsia="en-US"/>
        </w:rPr>
      </w:pPr>
    </w:p>
    <w:p w14:paraId="7D1E49A6" w14:textId="77777777" w:rsidR="00823785" w:rsidRPr="00452D62" w:rsidRDefault="00823785" w:rsidP="00823785">
      <w:pPr>
        <w:widowControl w:val="0"/>
        <w:tabs>
          <w:tab w:val="clear" w:pos="567"/>
        </w:tabs>
        <w:suppressAutoHyphens w:val="0"/>
        <w:spacing w:line="240" w:lineRule="auto"/>
        <w:ind w:left="142" w:hanging="142"/>
        <w:rPr>
          <w:i/>
          <w:color w:val="auto"/>
          <w:sz w:val="22"/>
          <w:szCs w:val="22"/>
          <w:lang w:eastAsia="en-US"/>
        </w:rPr>
      </w:pPr>
      <w:r w:rsidRPr="00452D62">
        <w:rPr>
          <w:bCs/>
          <w:i/>
          <w:color w:val="auto"/>
          <w:sz w:val="22"/>
          <w:szCs w:val="22"/>
          <w:lang w:eastAsia="en-US"/>
        </w:rPr>
        <w:t>Gamintojas</w:t>
      </w:r>
    </w:p>
    <w:p w14:paraId="0DFC509B" w14:textId="77777777" w:rsidR="00823785" w:rsidRPr="00452D62" w:rsidRDefault="00823785" w:rsidP="00823785">
      <w:pPr>
        <w:widowControl w:val="0"/>
        <w:suppressAutoHyphens w:val="0"/>
        <w:spacing w:line="240" w:lineRule="auto"/>
        <w:jc w:val="both"/>
        <w:rPr>
          <w:snapToGrid w:val="0"/>
          <w:color w:val="auto"/>
          <w:sz w:val="22"/>
          <w:szCs w:val="22"/>
          <w:lang w:eastAsia="en-US"/>
        </w:rPr>
      </w:pPr>
      <w:r w:rsidRPr="00452D62">
        <w:rPr>
          <w:snapToGrid w:val="0"/>
          <w:color w:val="auto"/>
          <w:sz w:val="22"/>
          <w:szCs w:val="22"/>
          <w:lang w:eastAsia="en-US"/>
        </w:rPr>
        <w:t>KRKA, d.d., Novo mesto</w:t>
      </w:r>
    </w:p>
    <w:p w14:paraId="23AD01FB" w14:textId="77777777" w:rsidR="00823785" w:rsidRPr="00452D62" w:rsidRDefault="00823785" w:rsidP="00823785">
      <w:pPr>
        <w:widowControl w:val="0"/>
        <w:suppressAutoHyphens w:val="0"/>
        <w:spacing w:line="240" w:lineRule="auto"/>
        <w:jc w:val="both"/>
        <w:rPr>
          <w:snapToGrid w:val="0"/>
          <w:color w:val="auto"/>
          <w:sz w:val="22"/>
          <w:szCs w:val="22"/>
          <w:lang w:eastAsia="en-US"/>
        </w:rPr>
      </w:pPr>
      <w:r w:rsidRPr="00452D62">
        <w:rPr>
          <w:snapToGrid w:val="0"/>
          <w:color w:val="auto"/>
          <w:sz w:val="22"/>
          <w:szCs w:val="22"/>
          <w:lang w:eastAsia="en-US"/>
        </w:rPr>
        <w:t>Šmarješka cesta 6</w:t>
      </w:r>
    </w:p>
    <w:p w14:paraId="3F31D273" w14:textId="77777777" w:rsidR="00823785" w:rsidRPr="00452D62" w:rsidRDefault="00823785" w:rsidP="00823785">
      <w:pPr>
        <w:widowControl w:val="0"/>
        <w:suppressAutoHyphens w:val="0"/>
        <w:spacing w:line="240" w:lineRule="auto"/>
        <w:jc w:val="both"/>
        <w:rPr>
          <w:snapToGrid w:val="0"/>
          <w:color w:val="auto"/>
          <w:sz w:val="22"/>
          <w:szCs w:val="22"/>
          <w:lang w:eastAsia="en-US"/>
        </w:rPr>
      </w:pPr>
      <w:r w:rsidRPr="00452D62">
        <w:rPr>
          <w:snapToGrid w:val="0"/>
          <w:color w:val="auto"/>
          <w:sz w:val="22"/>
          <w:szCs w:val="22"/>
          <w:lang w:eastAsia="en-US"/>
        </w:rPr>
        <w:t>8501 Novo mesto</w:t>
      </w:r>
    </w:p>
    <w:p w14:paraId="75635E90" w14:textId="77777777" w:rsidR="00823785" w:rsidRPr="00452D62" w:rsidRDefault="00823785" w:rsidP="00823785">
      <w:pPr>
        <w:widowControl w:val="0"/>
        <w:suppressAutoHyphens w:val="0"/>
        <w:spacing w:line="240" w:lineRule="auto"/>
        <w:jc w:val="both"/>
        <w:rPr>
          <w:snapToGrid w:val="0"/>
          <w:color w:val="auto"/>
          <w:sz w:val="22"/>
          <w:szCs w:val="22"/>
          <w:lang w:eastAsia="en-US"/>
        </w:rPr>
      </w:pPr>
      <w:r w:rsidRPr="00452D62">
        <w:rPr>
          <w:snapToGrid w:val="0"/>
          <w:color w:val="auto"/>
          <w:sz w:val="22"/>
          <w:szCs w:val="22"/>
          <w:lang w:eastAsia="en-US"/>
        </w:rPr>
        <w:t>Slovėnija</w:t>
      </w:r>
    </w:p>
    <w:p w14:paraId="002FC3E3" w14:textId="77777777" w:rsidR="00823785" w:rsidRPr="00AE1B80" w:rsidRDefault="00823785" w:rsidP="00823785">
      <w:pPr>
        <w:widowControl w:val="0"/>
        <w:suppressAutoHyphens w:val="0"/>
        <w:spacing w:line="240" w:lineRule="auto"/>
        <w:rPr>
          <w:rFonts w:eastAsia="Calibri"/>
          <w:sz w:val="22"/>
          <w:lang w:val="pt-PT"/>
        </w:rPr>
      </w:pPr>
    </w:p>
    <w:p w14:paraId="437A7B76" w14:textId="77777777" w:rsidR="00823785" w:rsidRPr="00AE1B80" w:rsidRDefault="00823785" w:rsidP="00823785">
      <w:pPr>
        <w:widowControl w:val="0"/>
        <w:suppressAutoHyphens w:val="0"/>
        <w:spacing w:line="240" w:lineRule="auto"/>
        <w:rPr>
          <w:rFonts w:eastAsia="Calibri"/>
          <w:sz w:val="22"/>
          <w:lang w:val="pt-PT"/>
        </w:rPr>
      </w:pPr>
      <w:r w:rsidRPr="00AE1B80">
        <w:rPr>
          <w:rFonts w:eastAsia="Calibri"/>
          <w:sz w:val="22"/>
          <w:lang w:val="pt-PT"/>
        </w:rPr>
        <w:t>arba</w:t>
      </w:r>
    </w:p>
    <w:p w14:paraId="4CDF26D9" w14:textId="77777777" w:rsidR="00823785" w:rsidRPr="00AE1B80" w:rsidRDefault="00823785" w:rsidP="00823785">
      <w:pPr>
        <w:widowControl w:val="0"/>
        <w:suppressAutoHyphens w:val="0"/>
        <w:spacing w:line="240" w:lineRule="auto"/>
        <w:rPr>
          <w:rFonts w:eastAsia="Calibri"/>
          <w:sz w:val="22"/>
          <w:lang w:val="pt-PT"/>
        </w:rPr>
      </w:pPr>
    </w:p>
    <w:p w14:paraId="27E237E9" w14:textId="77777777" w:rsidR="00823785" w:rsidRPr="00AE1B80" w:rsidRDefault="00823785" w:rsidP="00823785">
      <w:pPr>
        <w:widowControl w:val="0"/>
        <w:suppressAutoHyphens w:val="0"/>
        <w:spacing w:line="240" w:lineRule="auto"/>
        <w:rPr>
          <w:rFonts w:eastAsia="Calibri"/>
          <w:sz w:val="22"/>
          <w:lang w:val="pt-PT"/>
        </w:rPr>
      </w:pPr>
      <w:r w:rsidRPr="00AE1B80">
        <w:rPr>
          <w:rFonts w:eastAsia="Calibri"/>
          <w:sz w:val="22"/>
          <w:lang w:val="pt-PT"/>
        </w:rPr>
        <w:t>TAD Pharma GmbH</w:t>
      </w:r>
    </w:p>
    <w:p w14:paraId="2C87C0C2" w14:textId="77777777" w:rsidR="00823785" w:rsidRPr="00AE1B80" w:rsidRDefault="00823785" w:rsidP="00823785">
      <w:pPr>
        <w:widowControl w:val="0"/>
        <w:suppressAutoHyphens w:val="0"/>
        <w:spacing w:line="240" w:lineRule="auto"/>
        <w:rPr>
          <w:rFonts w:eastAsia="Calibri"/>
          <w:sz w:val="22"/>
          <w:lang w:val="pt-PT"/>
        </w:rPr>
      </w:pPr>
      <w:r w:rsidRPr="00AE1B80">
        <w:rPr>
          <w:rFonts w:eastAsia="Calibri"/>
          <w:sz w:val="22"/>
          <w:lang w:val="pt-PT"/>
        </w:rPr>
        <w:t>Heinz-Lohmann - Stra</w:t>
      </w:r>
      <w:r w:rsidRPr="00452D62">
        <w:rPr>
          <w:rFonts w:eastAsia="Calibri"/>
          <w:sz w:val="22"/>
          <w:szCs w:val="22"/>
          <w:lang w:val="en-GB" w:eastAsia="en-US"/>
        </w:rPr>
        <w:t>β</w:t>
      </w:r>
      <w:r w:rsidRPr="00AE1B80">
        <w:rPr>
          <w:rFonts w:eastAsia="Calibri"/>
          <w:sz w:val="22"/>
          <w:lang w:val="pt-PT"/>
        </w:rPr>
        <w:t>e 5</w:t>
      </w:r>
    </w:p>
    <w:p w14:paraId="6EFAA785" w14:textId="77777777" w:rsidR="00823785" w:rsidRPr="00AE1B80" w:rsidRDefault="00823785" w:rsidP="00823785">
      <w:pPr>
        <w:widowControl w:val="0"/>
        <w:suppressAutoHyphens w:val="0"/>
        <w:spacing w:line="240" w:lineRule="auto"/>
        <w:rPr>
          <w:rFonts w:eastAsia="Calibri"/>
          <w:sz w:val="22"/>
          <w:lang w:val="pt-PT"/>
        </w:rPr>
      </w:pPr>
      <w:r w:rsidRPr="00AE1B80">
        <w:rPr>
          <w:rFonts w:eastAsia="Calibri"/>
          <w:sz w:val="22"/>
          <w:lang w:val="pt-PT"/>
        </w:rPr>
        <w:t>27472 Cuxhaven</w:t>
      </w:r>
    </w:p>
    <w:p w14:paraId="20F97960" w14:textId="77777777" w:rsidR="00823785" w:rsidRPr="00AE1B80" w:rsidRDefault="00823785" w:rsidP="00823785">
      <w:pPr>
        <w:widowControl w:val="0"/>
        <w:suppressAutoHyphens w:val="0"/>
        <w:spacing w:line="240" w:lineRule="auto"/>
        <w:rPr>
          <w:rFonts w:eastAsia="Calibri"/>
          <w:sz w:val="22"/>
          <w:lang w:val="pt-PT"/>
        </w:rPr>
      </w:pPr>
      <w:r w:rsidRPr="00AE1B80">
        <w:rPr>
          <w:rFonts w:eastAsia="Calibri"/>
          <w:sz w:val="22"/>
          <w:lang w:val="pt-PT"/>
        </w:rPr>
        <w:t>Vokietija</w:t>
      </w:r>
    </w:p>
    <w:p w14:paraId="1DB22C9F" w14:textId="77777777" w:rsidR="00823785" w:rsidRPr="00452D62" w:rsidRDefault="00823785" w:rsidP="00823785">
      <w:pPr>
        <w:tabs>
          <w:tab w:val="clear" w:pos="567"/>
        </w:tabs>
        <w:spacing w:line="100" w:lineRule="atLeast"/>
        <w:ind w:right="-2"/>
        <w:rPr>
          <w:sz w:val="22"/>
          <w:szCs w:val="22"/>
        </w:rPr>
      </w:pPr>
    </w:p>
    <w:p w14:paraId="576693F2" w14:textId="77777777" w:rsidR="00823785" w:rsidRPr="00452D62" w:rsidRDefault="00823785" w:rsidP="00823785">
      <w:pPr>
        <w:tabs>
          <w:tab w:val="clear" w:pos="567"/>
        </w:tabs>
        <w:spacing w:line="100" w:lineRule="atLeast"/>
        <w:rPr>
          <w:sz w:val="22"/>
          <w:szCs w:val="22"/>
        </w:rPr>
      </w:pPr>
      <w:r w:rsidRPr="00452D62">
        <w:rPr>
          <w:sz w:val="22"/>
          <w:szCs w:val="22"/>
        </w:rPr>
        <w:t>Jeigu apie šį vaistą norite sužinoti daugiau, kreipkitės į vietinį registruotojo atstovą.</w:t>
      </w:r>
    </w:p>
    <w:p w14:paraId="15468FFF" w14:textId="77777777" w:rsidR="00823785" w:rsidRPr="00452D62" w:rsidRDefault="00823785" w:rsidP="00823785">
      <w:pPr>
        <w:tabs>
          <w:tab w:val="clear" w:pos="567"/>
        </w:tabs>
        <w:spacing w:line="100" w:lineRule="atLeast"/>
        <w:rPr>
          <w:sz w:val="22"/>
          <w:szCs w:val="22"/>
        </w:rPr>
      </w:pPr>
    </w:p>
    <w:p w14:paraId="4F0EDE63" w14:textId="77777777" w:rsidR="00823785" w:rsidRPr="00452D62" w:rsidRDefault="00823785" w:rsidP="00823785">
      <w:pPr>
        <w:numPr>
          <w:ilvl w:val="12"/>
          <w:numId w:val="0"/>
        </w:numPr>
        <w:tabs>
          <w:tab w:val="clear" w:pos="567"/>
          <w:tab w:val="left" w:pos="1296"/>
        </w:tabs>
        <w:spacing w:line="240" w:lineRule="auto"/>
        <w:ind w:right="-2"/>
        <w:rPr>
          <w:sz w:val="22"/>
          <w:szCs w:val="22"/>
        </w:rPr>
      </w:pPr>
      <w:r w:rsidRPr="00452D62">
        <w:rPr>
          <w:sz w:val="22"/>
          <w:szCs w:val="22"/>
        </w:rPr>
        <w:t>UAB KRKA Lietuva</w:t>
      </w:r>
    </w:p>
    <w:p w14:paraId="08765103" w14:textId="77777777" w:rsidR="00823785" w:rsidRPr="00452D62" w:rsidRDefault="00823785" w:rsidP="00823785">
      <w:pPr>
        <w:numPr>
          <w:ilvl w:val="12"/>
          <w:numId w:val="0"/>
        </w:numPr>
        <w:tabs>
          <w:tab w:val="clear" w:pos="567"/>
          <w:tab w:val="left" w:pos="1296"/>
        </w:tabs>
        <w:spacing w:line="240" w:lineRule="auto"/>
        <w:ind w:right="-2"/>
        <w:rPr>
          <w:sz w:val="22"/>
          <w:szCs w:val="22"/>
        </w:rPr>
      </w:pPr>
      <w:r w:rsidRPr="00452D62">
        <w:rPr>
          <w:sz w:val="22"/>
          <w:szCs w:val="22"/>
        </w:rPr>
        <w:t>Senasis Ukmergės kelias 4,</w:t>
      </w:r>
    </w:p>
    <w:p w14:paraId="3E0E99C9" w14:textId="77777777" w:rsidR="00823785" w:rsidRPr="00452D62" w:rsidRDefault="00823785" w:rsidP="00823785">
      <w:pPr>
        <w:numPr>
          <w:ilvl w:val="12"/>
          <w:numId w:val="0"/>
        </w:numPr>
        <w:tabs>
          <w:tab w:val="clear" w:pos="567"/>
          <w:tab w:val="left" w:pos="1296"/>
        </w:tabs>
        <w:spacing w:line="240" w:lineRule="auto"/>
        <w:ind w:right="-2"/>
        <w:rPr>
          <w:sz w:val="22"/>
          <w:szCs w:val="22"/>
        </w:rPr>
      </w:pPr>
      <w:r w:rsidRPr="00452D62">
        <w:rPr>
          <w:sz w:val="22"/>
          <w:szCs w:val="22"/>
        </w:rPr>
        <w:t>Užubalių km., Vilniaus r.</w:t>
      </w:r>
    </w:p>
    <w:p w14:paraId="512E889D" w14:textId="77777777" w:rsidR="00823785" w:rsidRPr="00452D62" w:rsidRDefault="00823785" w:rsidP="00823785">
      <w:pPr>
        <w:numPr>
          <w:ilvl w:val="12"/>
          <w:numId w:val="0"/>
        </w:numPr>
        <w:tabs>
          <w:tab w:val="clear" w:pos="567"/>
          <w:tab w:val="left" w:pos="1296"/>
        </w:tabs>
        <w:spacing w:line="240" w:lineRule="auto"/>
        <w:ind w:right="-2"/>
        <w:rPr>
          <w:sz w:val="22"/>
          <w:szCs w:val="22"/>
        </w:rPr>
      </w:pPr>
      <w:r w:rsidRPr="00452D62">
        <w:rPr>
          <w:sz w:val="22"/>
          <w:szCs w:val="22"/>
        </w:rPr>
        <w:t>LT - 14013</w:t>
      </w:r>
    </w:p>
    <w:p w14:paraId="013BCBA7" w14:textId="77777777" w:rsidR="00823785" w:rsidRPr="00452D62" w:rsidRDefault="00823785" w:rsidP="00823785">
      <w:pPr>
        <w:numPr>
          <w:ilvl w:val="12"/>
          <w:numId w:val="0"/>
        </w:numPr>
        <w:tabs>
          <w:tab w:val="clear" w:pos="567"/>
          <w:tab w:val="left" w:pos="1296"/>
        </w:tabs>
        <w:spacing w:line="240" w:lineRule="auto"/>
        <w:ind w:right="-2"/>
        <w:rPr>
          <w:sz w:val="22"/>
          <w:szCs w:val="22"/>
        </w:rPr>
      </w:pPr>
      <w:r w:rsidRPr="00452D62">
        <w:rPr>
          <w:sz w:val="22"/>
          <w:szCs w:val="22"/>
        </w:rPr>
        <w:t>Tel. + 370 5 236 27 40</w:t>
      </w:r>
    </w:p>
    <w:p w14:paraId="6E006642" w14:textId="77777777" w:rsidR="00823785" w:rsidRPr="00452D62" w:rsidRDefault="00823785" w:rsidP="00823785">
      <w:pPr>
        <w:ind w:right="-2"/>
        <w:rPr>
          <w:sz w:val="22"/>
          <w:szCs w:val="22"/>
        </w:rPr>
      </w:pPr>
    </w:p>
    <w:p w14:paraId="205FF2B5" w14:textId="77777777" w:rsidR="00823785" w:rsidRPr="00452D62" w:rsidRDefault="00823785" w:rsidP="00823785">
      <w:pPr>
        <w:ind w:right="-2"/>
        <w:rPr>
          <w:b/>
          <w:sz w:val="22"/>
          <w:szCs w:val="22"/>
        </w:rPr>
      </w:pPr>
      <w:r w:rsidRPr="00452D62">
        <w:rPr>
          <w:b/>
          <w:sz w:val="22"/>
          <w:szCs w:val="22"/>
        </w:rPr>
        <w:t>Šis vaistas Europos ekonominės erdvės valstybėse narėse registruotas tokiais pavadinimais:</w:t>
      </w:r>
    </w:p>
    <w:p w14:paraId="1BEECB05" w14:textId="77777777" w:rsidR="00823785" w:rsidRPr="008C3DF7" w:rsidRDefault="00823785" w:rsidP="00823785">
      <w:pPr>
        <w:numPr>
          <w:ilvl w:val="12"/>
          <w:numId w:val="0"/>
        </w:numPr>
        <w:suppressAutoHyphens w:val="0"/>
        <w:ind w:right="-2"/>
        <w:rPr>
          <w:snapToGrid w:val="0"/>
          <w:color w:val="auto"/>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5"/>
        <w:gridCol w:w="3877"/>
      </w:tblGrid>
      <w:tr w:rsidR="00823785" w:rsidRPr="00452D62" w14:paraId="0027AB11" w14:textId="77777777" w:rsidTr="006453B9">
        <w:tc>
          <w:tcPr>
            <w:tcW w:w="4675" w:type="dxa"/>
            <w:shd w:val="clear" w:color="auto" w:fill="auto"/>
          </w:tcPr>
          <w:p w14:paraId="32EF3A50" w14:textId="77777777" w:rsidR="00823785" w:rsidRPr="00452D62" w:rsidRDefault="00823785" w:rsidP="006453B9">
            <w:pPr>
              <w:numPr>
                <w:ilvl w:val="12"/>
                <w:numId w:val="0"/>
              </w:numPr>
              <w:tabs>
                <w:tab w:val="clear" w:pos="567"/>
              </w:tabs>
              <w:suppressAutoHyphens w:val="0"/>
              <w:spacing w:line="240" w:lineRule="auto"/>
              <w:rPr>
                <w:color w:val="auto"/>
                <w:sz w:val="22"/>
                <w:szCs w:val="22"/>
                <w:lang w:eastAsia="lt-LT"/>
              </w:rPr>
            </w:pPr>
            <w:r w:rsidRPr="00452D62">
              <w:rPr>
                <w:color w:val="auto"/>
                <w:sz w:val="22"/>
                <w:szCs w:val="22"/>
                <w:lang w:eastAsia="lt-LT"/>
              </w:rPr>
              <w:t>Valstybės narės pavadinimas</w:t>
            </w:r>
          </w:p>
        </w:tc>
        <w:tc>
          <w:tcPr>
            <w:tcW w:w="3877" w:type="dxa"/>
            <w:shd w:val="clear" w:color="auto" w:fill="auto"/>
          </w:tcPr>
          <w:p w14:paraId="1E9CCB15" w14:textId="77777777" w:rsidR="00823785" w:rsidRPr="00452D62" w:rsidRDefault="00823785" w:rsidP="006453B9">
            <w:pPr>
              <w:numPr>
                <w:ilvl w:val="12"/>
                <w:numId w:val="0"/>
              </w:numPr>
              <w:tabs>
                <w:tab w:val="clear" w:pos="567"/>
              </w:tabs>
              <w:suppressAutoHyphens w:val="0"/>
              <w:spacing w:line="240" w:lineRule="auto"/>
              <w:rPr>
                <w:color w:val="auto"/>
                <w:sz w:val="22"/>
                <w:szCs w:val="22"/>
                <w:lang w:eastAsia="lt-LT"/>
              </w:rPr>
            </w:pPr>
            <w:r w:rsidRPr="00452D62">
              <w:rPr>
                <w:color w:val="auto"/>
                <w:sz w:val="22"/>
                <w:szCs w:val="22"/>
                <w:lang w:eastAsia="lt-LT"/>
              </w:rPr>
              <w:t>Vaisto pavadinimas</w:t>
            </w:r>
          </w:p>
        </w:tc>
      </w:tr>
      <w:tr w:rsidR="00823785" w:rsidRPr="00452D62" w14:paraId="2A749DCE" w14:textId="77777777" w:rsidTr="006453B9">
        <w:tc>
          <w:tcPr>
            <w:tcW w:w="4675" w:type="dxa"/>
            <w:shd w:val="clear" w:color="auto" w:fill="auto"/>
          </w:tcPr>
          <w:p w14:paraId="0CDA54C4" w14:textId="77777777" w:rsidR="00823785" w:rsidRPr="00452D62" w:rsidRDefault="00823785" w:rsidP="006453B9">
            <w:pPr>
              <w:numPr>
                <w:ilvl w:val="12"/>
                <w:numId w:val="0"/>
              </w:numPr>
              <w:tabs>
                <w:tab w:val="clear" w:pos="567"/>
              </w:tabs>
              <w:suppressAutoHyphens w:val="0"/>
              <w:spacing w:line="240" w:lineRule="auto"/>
              <w:rPr>
                <w:color w:val="auto"/>
                <w:sz w:val="22"/>
                <w:szCs w:val="22"/>
                <w:lang w:eastAsia="lt-LT"/>
              </w:rPr>
            </w:pPr>
            <w:r w:rsidRPr="00452D62">
              <w:rPr>
                <w:color w:val="auto"/>
                <w:sz w:val="22"/>
                <w:szCs w:val="22"/>
                <w:lang w:eastAsia="lt-LT"/>
              </w:rPr>
              <w:t>Danija, Slovakija, Bulgarija, Čekija, Slovėnija, Estija, Kroatija, Latvija, Lietuva, Lenkija, Vengrija, Rumunija</w:t>
            </w:r>
          </w:p>
        </w:tc>
        <w:tc>
          <w:tcPr>
            <w:tcW w:w="3877" w:type="dxa"/>
            <w:shd w:val="clear" w:color="auto" w:fill="auto"/>
          </w:tcPr>
          <w:p w14:paraId="2EF28F6A" w14:textId="77777777" w:rsidR="00823785" w:rsidRPr="00452D62" w:rsidRDefault="00823785" w:rsidP="006453B9">
            <w:pPr>
              <w:numPr>
                <w:ilvl w:val="12"/>
                <w:numId w:val="0"/>
              </w:numPr>
              <w:tabs>
                <w:tab w:val="clear" w:pos="567"/>
              </w:tabs>
              <w:suppressAutoHyphens w:val="0"/>
              <w:spacing w:line="240" w:lineRule="auto"/>
              <w:rPr>
                <w:color w:val="auto"/>
                <w:sz w:val="22"/>
                <w:szCs w:val="22"/>
                <w:lang w:eastAsia="lt-LT"/>
              </w:rPr>
            </w:pPr>
            <w:r w:rsidRPr="00452D62">
              <w:rPr>
                <w:color w:val="auto"/>
                <w:sz w:val="22"/>
                <w:szCs w:val="22"/>
                <w:lang w:eastAsia="lt-LT"/>
              </w:rPr>
              <w:t>Xerdoxo</w:t>
            </w:r>
          </w:p>
        </w:tc>
      </w:tr>
    </w:tbl>
    <w:p w14:paraId="56D6BD4A" w14:textId="77777777" w:rsidR="00823785" w:rsidRPr="00452D62" w:rsidRDefault="00823785" w:rsidP="00823785">
      <w:pPr>
        <w:ind w:left="567" w:hanging="567"/>
        <w:rPr>
          <w:sz w:val="22"/>
          <w:szCs w:val="22"/>
        </w:rPr>
      </w:pPr>
    </w:p>
    <w:p w14:paraId="0728B317" w14:textId="77777777" w:rsidR="00823785" w:rsidRPr="00452D62" w:rsidRDefault="00823785" w:rsidP="00823785">
      <w:pPr>
        <w:ind w:left="567" w:hanging="567"/>
        <w:rPr>
          <w:sz w:val="22"/>
          <w:szCs w:val="22"/>
        </w:rPr>
      </w:pPr>
    </w:p>
    <w:p w14:paraId="3F6B2411" w14:textId="55BBB2E4" w:rsidR="00823785" w:rsidRPr="000877E9" w:rsidRDefault="00823785" w:rsidP="00823785">
      <w:pPr>
        <w:tabs>
          <w:tab w:val="clear" w:pos="567"/>
        </w:tabs>
        <w:spacing w:line="100" w:lineRule="atLeast"/>
        <w:ind w:right="-2"/>
        <w:rPr>
          <w:i/>
          <w:sz w:val="22"/>
          <w:szCs w:val="22"/>
        </w:rPr>
      </w:pPr>
      <w:r w:rsidRPr="00452D62">
        <w:rPr>
          <w:b/>
          <w:sz w:val="22"/>
          <w:szCs w:val="22"/>
        </w:rPr>
        <w:t>Šis pakuotės lapelis paskutinį kartą peržiūrėtas</w:t>
      </w:r>
      <w:r w:rsidR="00B947C5" w:rsidRPr="00452D62">
        <w:rPr>
          <w:b/>
          <w:sz w:val="22"/>
          <w:szCs w:val="22"/>
        </w:rPr>
        <w:t xml:space="preserve"> </w:t>
      </w:r>
      <w:r w:rsidR="002F0C63">
        <w:rPr>
          <w:b/>
          <w:sz w:val="22"/>
          <w:szCs w:val="22"/>
        </w:rPr>
        <w:t>2024-10-09.</w:t>
      </w:r>
    </w:p>
    <w:p w14:paraId="0C53682F" w14:textId="77777777" w:rsidR="00823785" w:rsidRPr="00452D62" w:rsidRDefault="00823785" w:rsidP="00823785">
      <w:pPr>
        <w:spacing w:line="100" w:lineRule="atLeast"/>
        <w:ind w:right="-2"/>
        <w:rPr>
          <w:i/>
          <w:sz w:val="22"/>
          <w:szCs w:val="22"/>
        </w:rPr>
      </w:pPr>
    </w:p>
    <w:p w14:paraId="76D09BE7" w14:textId="77777777" w:rsidR="00823785" w:rsidRPr="00452D62" w:rsidRDefault="00823785" w:rsidP="00823785">
      <w:pPr>
        <w:spacing w:line="100" w:lineRule="atLeast"/>
        <w:ind w:right="-2"/>
        <w:rPr>
          <w:i/>
          <w:sz w:val="22"/>
          <w:szCs w:val="22"/>
        </w:rPr>
      </w:pPr>
    </w:p>
    <w:p w14:paraId="3BF9DC0A" w14:textId="1A340A9B" w:rsidR="00823785" w:rsidRPr="00452D62" w:rsidRDefault="00823785" w:rsidP="00823785">
      <w:pPr>
        <w:spacing w:line="100" w:lineRule="atLeast"/>
        <w:ind w:right="-2"/>
        <w:rPr>
          <w:sz w:val="22"/>
          <w:szCs w:val="22"/>
        </w:rPr>
      </w:pPr>
      <w:r w:rsidRPr="00452D62">
        <w:rPr>
          <w:sz w:val="22"/>
          <w:szCs w:val="22"/>
        </w:rPr>
        <w:t>Išsami informacija apie šį vaistą pateikiama Valstybinės vaistų kontrolės tarnybos prie Lietuvos Respublikos sveikatos apsaugos ministerijos tinklalapyje</w:t>
      </w:r>
      <w:r w:rsidRPr="00452D62">
        <w:rPr>
          <w:i/>
          <w:sz w:val="22"/>
          <w:szCs w:val="22"/>
        </w:rPr>
        <w:t xml:space="preserve"> </w:t>
      </w:r>
      <w:r w:rsidR="008F1A36" w:rsidRPr="008F1A36">
        <w:rPr>
          <w:color w:val="0000EE"/>
          <w:sz w:val="22"/>
          <w:szCs w:val="22"/>
          <w:u w:val="single"/>
          <w:lang w:eastAsia="lt-LT"/>
        </w:rPr>
        <w:t>https://vvkt.lrv.lt/lt/.</w:t>
      </w:r>
    </w:p>
    <w:p w14:paraId="7B7B2D7E" w14:textId="77777777" w:rsidR="00823785" w:rsidRPr="00452D62" w:rsidRDefault="00823785" w:rsidP="00823785">
      <w:pPr>
        <w:spacing w:line="100" w:lineRule="atLeast"/>
        <w:ind w:right="-2"/>
        <w:jc w:val="center"/>
        <w:rPr>
          <w:sz w:val="22"/>
          <w:szCs w:val="22"/>
        </w:rPr>
      </w:pPr>
      <w:r w:rsidRPr="00452D62">
        <w:rPr>
          <w:b/>
          <w:sz w:val="22"/>
          <w:szCs w:val="22"/>
        </w:rPr>
        <w:br w:type="page"/>
        <w:t>Pakuotės lapelis: informacija pacientui</w:t>
      </w:r>
    </w:p>
    <w:p w14:paraId="3F8D2E03" w14:textId="77777777" w:rsidR="00823785" w:rsidRPr="00452D62" w:rsidRDefault="00823785" w:rsidP="00823785">
      <w:pPr>
        <w:shd w:val="clear" w:color="auto" w:fill="FFFFFF"/>
        <w:tabs>
          <w:tab w:val="clear" w:pos="567"/>
          <w:tab w:val="center" w:pos="4536"/>
          <w:tab w:val="right" w:pos="8306"/>
        </w:tabs>
        <w:spacing w:line="100" w:lineRule="atLeast"/>
        <w:jc w:val="center"/>
        <w:rPr>
          <w:sz w:val="22"/>
          <w:szCs w:val="22"/>
        </w:rPr>
      </w:pPr>
    </w:p>
    <w:p w14:paraId="262B1104" w14:textId="77777777" w:rsidR="00823785" w:rsidRPr="00452D62" w:rsidRDefault="00823785" w:rsidP="00823785">
      <w:pPr>
        <w:tabs>
          <w:tab w:val="clear" w:pos="567"/>
          <w:tab w:val="left" w:pos="993"/>
          <w:tab w:val="center" w:pos="4536"/>
          <w:tab w:val="right" w:pos="8306"/>
        </w:tabs>
        <w:spacing w:line="100" w:lineRule="atLeast"/>
        <w:jc w:val="center"/>
        <w:rPr>
          <w:b/>
          <w:sz w:val="22"/>
          <w:szCs w:val="22"/>
        </w:rPr>
      </w:pPr>
      <w:r w:rsidRPr="00452D62">
        <w:rPr>
          <w:b/>
          <w:sz w:val="22"/>
          <w:szCs w:val="22"/>
        </w:rPr>
        <w:t>Xerdoxo 15 mg plėvele dengtos tabletės</w:t>
      </w:r>
    </w:p>
    <w:p w14:paraId="5D389DD1" w14:textId="77777777" w:rsidR="00823785" w:rsidRPr="00452D62" w:rsidRDefault="00823785" w:rsidP="00823785">
      <w:pPr>
        <w:tabs>
          <w:tab w:val="clear" w:pos="567"/>
          <w:tab w:val="left" w:pos="993"/>
          <w:tab w:val="center" w:pos="4536"/>
          <w:tab w:val="right" w:pos="8306"/>
        </w:tabs>
        <w:spacing w:line="100" w:lineRule="atLeast"/>
        <w:jc w:val="center"/>
        <w:rPr>
          <w:sz w:val="22"/>
          <w:szCs w:val="22"/>
        </w:rPr>
      </w:pPr>
      <w:r w:rsidRPr="00452D62">
        <w:rPr>
          <w:b/>
          <w:sz w:val="22"/>
          <w:szCs w:val="22"/>
        </w:rPr>
        <w:t>Xerdoxo 20 mg plėvele dengtos tabletės</w:t>
      </w:r>
    </w:p>
    <w:p w14:paraId="600B532F" w14:textId="77777777" w:rsidR="00823785" w:rsidRPr="00452D62" w:rsidRDefault="00823785" w:rsidP="00823785">
      <w:pPr>
        <w:tabs>
          <w:tab w:val="clear" w:pos="567"/>
          <w:tab w:val="center" w:pos="4536"/>
          <w:tab w:val="right" w:pos="8306"/>
        </w:tabs>
        <w:spacing w:line="100" w:lineRule="atLeast"/>
        <w:jc w:val="center"/>
        <w:rPr>
          <w:b/>
          <w:sz w:val="22"/>
          <w:szCs w:val="22"/>
        </w:rPr>
      </w:pPr>
      <w:r w:rsidRPr="00452D62">
        <w:rPr>
          <w:sz w:val="22"/>
          <w:szCs w:val="22"/>
        </w:rPr>
        <w:t>rivaroksabanas</w:t>
      </w:r>
    </w:p>
    <w:p w14:paraId="2D83205F" w14:textId="77777777" w:rsidR="00823785" w:rsidRPr="00452D62" w:rsidRDefault="00823785" w:rsidP="00823785">
      <w:pPr>
        <w:tabs>
          <w:tab w:val="clear" w:pos="567"/>
          <w:tab w:val="center" w:pos="4536"/>
          <w:tab w:val="right" w:pos="8306"/>
        </w:tabs>
        <w:spacing w:line="100" w:lineRule="atLeast"/>
        <w:ind w:left="142" w:hanging="142"/>
        <w:rPr>
          <w:sz w:val="22"/>
          <w:szCs w:val="22"/>
        </w:rPr>
      </w:pPr>
    </w:p>
    <w:p w14:paraId="1A7D9E60" w14:textId="77777777" w:rsidR="00823785" w:rsidRPr="00452D62" w:rsidRDefault="00823785" w:rsidP="00823785">
      <w:pPr>
        <w:tabs>
          <w:tab w:val="clear" w:pos="567"/>
          <w:tab w:val="center" w:pos="4536"/>
          <w:tab w:val="right" w:pos="8306"/>
        </w:tabs>
        <w:spacing w:line="100" w:lineRule="atLeast"/>
        <w:ind w:left="142" w:hanging="142"/>
        <w:rPr>
          <w:sz w:val="22"/>
          <w:szCs w:val="22"/>
        </w:rPr>
      </w:pPr>
    </w:p>
    <w:p w14:paraId="603195C0" w14:textId="77777777" w:rsidR="00823785" w:rsidRPr="00452D62" w:rsidRDefault="00823785" w:rsidP="00823785">
      <w:pPr>
        <w:tabs>
          <w:tab w:val="clear" w:pos="567"/>
          <w:tab w:val="center" w:pos="4536"/>
          <w:tab w:val="right" w:pos="8306"/>
        </w:tabs>
        <w:spacing w:line="100" w:lineRule="atLeast"/>
        <w:rPr>
          <w:sz w:val="22"/>
          <w:szCs w:val="22"/>
        </w:rPr>
      </w:pPr>
      <w:r w:rsidRPr="00452D62">
        <w:rPr>
          <w:b/>
          <w:sz w:val="22"/>
          <w:szCs w:val="22"/>
        </w:rPr>
        <w:t>Atidžiai perskaitykite visą šį lapelį, prieš pradėdami vartoti vaistą, nes jame pateikiama Jums svarbi informacija.</w:t>
      </w:r>
    </w:p>
    <w:p w14:paraId="694ACE86" w14:textId="77777777" w:rsidR="00823785" w:rsidRPr="00452D62" w:rsidRDefault="00823785" w:rsidP="00823785">
      <w:pPr>
        <w:numPr>
          <w:ilvl w:val="0"/>
          <w:numId w:val="5"/>
        </w:numPr>
        <w:tabs>
          <w:tab w:val="center" w:pos="4536"/>
          <w:tab w:val="right" w:pos="8306"/>
        </w:tabs>
        <w:spacing w:line="100" w:lineRule="atLeast"/>
        <w:ind w:left="567" w:right="-2" w:hanging="567"/>
        <w:rPr>
          <w:sz w:val="22"/>
          <w:szCs w:val="22"/>
        </w:rPr>
      </w:pPr>
      <w:r w:rsidRPr="00452D62">
        <w:rPr>
          <w:sz w:val="22"/>
          <w:szCs w:val="22"/>
        </w:rPr>
        <w:t>Neišmeskite šio lapelio, nes vėl gali prireikti jį perskaityti.</w:t>
      </w:r>
    </w:p>
    <w:p w14:paraId="75E1DA78" w14:textId="77777777" w:rsidR="00823785" w:rsidRPr="00452D62" w:rsidRDefault="00823785" w:rsidP="00823785">
      <w:pPr>
        <w:numPr>
          <w:ilvl w:val="0"/>
          <w:numId w:val="5"/>
        </w:numPr>
        <w:tabs>
          <w:tab w:val="center" w:pos="4536"/>
          <w:tab w:val="right" w:pos="8306"/>
        </w:tabs>
        <w:spacing w:line="100" w:lineRule="atLeast"/>
        <w:ind w:left="567" w:right="-2" w:hanging="567"/>
        <w:rPr>
          <w:sz w:val="22"/>
          <w:szCs w:val="22"/>
        </w:rPr>
      </w:pPr>
      <w:r w:rsidRPr="00452D62">
        <w:rPr>
          <w:sz w:val="22"/>
          <w:szCs w:val="22"/>
        </w:rPr>
        <w:t>Jeigu kiltų daugiau klausimų, kreipkitės į gydytoją arba vaistininką.</w:t>
      </w:r>
    </w:p>
    <w:p w14:paraId="74872E18" w14:textId="77777777" w:rsidR="00823785" w:rsidRPr="00452D62" w:rsidRDefault="00823785" w:rsidP="00823785">
      <w:pPr>
        <w:numPr>
          <w:ilvl w:val="0"/>
          <w:numId w:val="5"/>
        </w:numPr>
        <w:spacing w:line="100" w:lineRule="atLeast"/>
        <w:ind w:left="567" w:right="-2" w:hanging="567"/>
        <w:rPr>
          <w:sz w:val="22"/>
          <w:szCs w:val="22"/>
        </w:rPr>
      </w:pPr>
      <w:r w:rsidRPr="00452D62">
        <w:rPr>
          <w:sz w:val="22"/>
          <w:szCs w:val="22"/>
        </w:rPr>
        <w:t>Šis vaistas skirtas tik Jums, todėl kitiems žmonėms jo duoti negalima. Vaistas gali jiems pakenkti (net tiems, kurių ligos požymiai yra tokie patys kaip Jūsų).</w:t>
      </w:r>
    </w:p>
    <w:p w14:paraId="01003C58" w14:textId="77777777" w:rsidR="00823785" w:rsidRPr="00452D62" w:rsidRDefault="00823785" w:rsidP="00823785">
      <w:pPr>
        <w:numPr>
          <w:ilvl w:val="0"/>
          <w:numId w:val="5"/>
        </w:numPr>
        <w:ind w:left="567" w:hanging="567"/>
        <w:rPr>
          <w:sz w:val="22"/>
          <w:szCs w:val="22"/>
        </w:rPr>
      </w:pPr>
      <w:r w:rsidRPr="00452D62">
        <w:rPr>
          <w:sz w:val="22"/>
          <w:szCs w:val="22"/>
        </w:rPr>
        <w:t>Jeigu pasireiškė šalutinis poveikis (net jeigu jis šiame lapelyje nenurodytas),</w:t>
      </w:r>
      <w:r w:rsidRPr="00452D62">
        <w:rPr>
          <w:color w:val="FF0000"/>
          <w:sz w:val="22"/>
          <w:szCs w:val="22"/>
        </w:rPr>
        <w:t xml:space="preserve"> </w:t>
      </w:r>
      <w:r w:rsidRPr="00452D62">
        <w:rPr>
          <w:sz w:val="22"/>
          <w:szCs w:val="22"/>
        </w:rPr>
        <w:t>kreipkitės į gydytoją arba vaistininką. Žr. 4 skyrių.</w:t>
      </w:r>
    </w:p>
    <w:p w14:paraId="0117A58F" w14:textId="77777777" w:rsidR="00823785" w:rsidRPr="00452D62" w:rsidRDefault="00823785" w:rsidP="00823785">
      <w:pPr>
        <w:tabs>
          <w:tab w:val="clear" w:pos="567"/>
          <w:tab w:val="center" w:pos="4536"/>
          <w:tab w:val="right" w:pos="8306"/>
        </w:tabs>
        <w:spacing w:line="100" w:lineRule="atLeast"/>
        <w:ind w:right="-2"/>
        <w:rPr>
          <w:sz w:val="22"/>
          <w:szCs w:val="22"/>
        </w:rPr>
      </w:pPr>
    </w:p>
    <w:p w14:paraId="03370B2A" w14:textId="77777777" w:rsidR="00823785" w:rsidRPr="00452D62" w:rsidRDefault="00823785" w:rsidP="00823785">
      <w:pPr>
        <w:widowControl w:val="0"/>
        <w:tabs>
          <w:tab w:val="clear" w:pos="567"/>
          <w:tab w:val="center" w:pos="4536"/>
          <w:tab w:val="right" w:pos="8306"/>
        </w:tabs>
        <w:spacing w:line="100" w:lineRule="atLeast"/>
        <w:rPr>
          <w:sz w:val="22"/>
          <w:szCs w:val="22"/>
        </w:rPr>
      </w:pPr>
      <w:r w:rsidRPr="00452D62">
        <w:rPr>
          <w:b/>
          <w:sz w:val="22"/>
          <w:szCs w:val="22"/>
        </w:rPr>
        <w:t>Apie ką rašoma šiame lapelyje?</w:t>
      </w:r>
    </w:p>
    <w:p w14:paraId="71B3E950" w14:textId="77777777" w:rsidR="00823785" w:rsidRPr="00452D62" w:rsidRDefault="00823785" w:rsidP="00823785">
      <w:pPr>
        <w:tabs>
          <w:tab w:val="clear" w:pos="567"/>
          <w:tab w:val="center" w:pos="4536"/>
          <w:tab w:val="right" w:pos="8306"/>
        </w:tabs>
        <w:spacing w:line="100" w:lineRule="atLeast"/>
        <w:ind w:left="567" w:right="-29" w:hanging="567"/>
        <w:rPr>
          <w:sz w:val="22"/>
          <w:szCs w:val="22"/>
        </w:rPr>
      </w:pPr>
      <w:r w:rsidRPr="00452D62">
        <w:rPr>
          <w:sz w:val="22"/>
          <w:szCs w:val="22"/>
        </w:rPr>
        <w:t>1.</w:t>
      </w:r>
      <w:r w:rsidRPr="00452D62">
        <w:rPr>
          <w:sz w:val="22"/>
          <w:szCs w:val="22"/>
        </w:rPr>
        <w:tab/>
        <w:t>Kas yra Xerdoxo ir kam jis vartojamas</w:t>
      </w:r>
    </w:p>
    <w:p w14:paraId="1E0A8338" w14:textId="77777777" w:rsidR="00823785" w:rsidRPr="00452D62" w:rsidRDefault="00823785" w:rsidP="00823785">
      <w:pPr>
        <w:tabs>
          <w:tab w:val="clear" w:pos="567"/>
          <w:tab w:val="center" w:pos="4536"/>
          <w:tab w:val="right" w:pos="8306"/>
        </w:tabs>
        <w:spacing w:line="100" w:lineRule="atLeast"/>
        <w:ind w:left="567" w:right="-29" w:hanging="567"/>
        <w:rPr>
          <w:sz w:val="22"/>
          <w:szCs w:val="22"/>
        </w:rPr>
      </w:pPr>
      <w:r w:rsidRPr="00452D62">
        <w:rPr>
          <w:sz w:val="22"/>
          <w:szCs w:val="22"/>
        </w:rPr>
        <w:t>2.</w:t>
      </w:r>
      <w:r w:rsidRPr="00452D62">
        <w:rPr>
          <w:sz w:val="22"/>
          <w:szCs w:val="22"/>
        </w:rPr>
        <w:tab/>
        <w:t>Kas žinotina prieš vartojant Xerdoxo</w:t>
      </w:r>
    </w:p>
    <w:p w14:paraId="1458BE1C" w14:textId="77777777" w:rsidR="00823785" w:rsidRPr="00452D62" w:rsidRDefault="00823785" w:rsidP="00823785">
      <w:pPr>
        <w:tabs>
          <w:tab w:val="clear" w:pos="567"/>
          <w:tab w:val="center" w:pos="4536"/>
          <w:tab w:val="right" w:pos="8306"/>
        </w:tabs>
        <w:spacing w:line="100" w:lineRule="atLeast"/>
        <w:ind w:left="567" w:right="-29" w:hanging="567"/>
        <w:rPr>
          <w:sz w:val="22"/>
          <w:szCs w:val="22"/>
        </w:rPr>
      </w:pPr>
      <w:r w:rsidRPr="00452D62">
        <w:rPr>
          <w:sz w:val="22"/>
          <w:szCs w:val="22"/>
        </w:rPr>
        <w:t>3.</w:t>
      </w:r>
      <w:r w:rsidRPr="00452D62">
        <w:rPr>
          <w:sz w:val="22"/>
          <w:szCs w:val="22"/>
        </w:rPr>
        <w:tab/>
        <w:t>Kaip vartoti Xerdoxo</w:t>
      </w:r>
    </w:p>
    <w:p w14:paraId="2B81E594" w14:textId="77777777" w:rsidR="00823785" w:rsidRPr="00452D62" w:rsidRDefault="00823785" w:rsidP="00823785">
      <w:pPr>
        <w:tabs>
          <w:tab w:val="clear" w:pos="567"/>
          <w:tab w:val="center" w:pos="4536"/>
          <w:tab w:val="right" w:pos="8306"/>
        </w:tabs>
        <w:spacing w:line="100" w:lineRule="atLeast"/>
        <w:ind w:left="567" w:right="-29" w:hanging="567"/>
        <w:rPr>
          <w:sz w:val="22"/>
          <w:szCs w:val="22"/>
        </w:rPr>
      </w:pPr>
      <w:r w:rsidRPr="00452D62">
        <w:rPr>
          <w:sz w:val="22"/>
          <w:szCs w:val="22"/>
        </w:rPr>
        <w:t>4.</w:t>
      </w:r>
      <w:r w:rsidRPr="00452D62">
        <w:rPr>
          <w:sz w:val="22"/>
          <w:szCs w:val="22"/>
        </w:rPr>
        <w:tab/>
        <w:t>Galimas šalutinis poveikis</w:t>
      </w:r>
    </w:p>
    <w:p w14:paraId="31513B74" w14:textId="77777777" w:rsidR="00823785" w:rsidRPr="00452D62" w:rsidRDefault="00823785" w:rsidP="00823785">
      <w:pPr>
        <w:tabs>
          <w:tab w:val="clear" w:pos="567"/>
          <w:tab w:val="center" w:pos="4536"/>
          <w:tab w:val="right" w:pos="8306"/>
        </w:tabs>
        <w:spacing w:line="100" w:lineRule="atLeast"/>
        <w:ind w:left="567" w:right="-29" w:hanging="567"/>
        <w:rPr>
          <w:sz w:val="22"/>
          <w:szCs w:val="22"/>
        </w:rPr>
      </w:pPr>
      <w:r w:rsidRPr="00452D62">
        <w:rPr>
          <w:sz w:val="22"/>
          <w:szCs w:val="22"/>
        </w:rPr>
        <w:t>5.</w:t>
      </w:r>
      <w:r w:rsidRPr="00452D62">
        <w:rPr>
          <w:sz w:val="22"/>
          <w:szCs w:val="22"/>
        </w:rPr>
        <w:tab/>
        <w:t>Kaip laikyti Xerdoxo</w:t>
      </w:r>
    </w:p>
    <w:p w14:paraId="14629F12" w14:textId="77777777" w:rsidR="00823785" w:rsidRPr="00452D62" w:rsidRDefault="00823785" w:rsidP="00823785">
      <w:pPr>
        <w:tabs>
          <w:tab w:val="clear" w:pos="567"/>
          <w:tab w:val="center" w:pos="4536"/>
          <w:tab w:val="right" w:pos="8306"/>
        </w:tabs>
        <w:spacing w:line="100" w:lineRule="atLeast"/>
        <w:ind w:left="567" w:right="-29" w:hanging="567"/>
        <w:rPr>
          <w:sz w:val="22"/>
          <w:szCs w:val="22"/>
        </w:rPr>
      </w:pPr>
      <w:r w:rsidRPr="00452D62">
        <w:rPr>
          <w:sz w:val="22"/>
          <w:szCs w:val="22"/>
        </w:rPr>
        <w:t>6.</w:t>
      </w:r>
      <w:r w:rsidRPr="00452D62">
        <w:rPr>
          <w:sz w:val="22"/>
          <w:szCs w:val="22"/>
        </w:rPr>
        <w:tab/>
        <w:t>Pakuotės turinys ir kita informacija</w:t>
      </w:r>
    </w:p>
    <w:p w14:paraId="267D256C" w14:textId="77777777" w:rsidR="00823785" w:rsidRPr="00452D62" w:rsidRDefault="00823785" w:rsidP="00823785">
      <w:pPr>
        <w:tabs>
          <w:tab w:val="clear" w:pos="567"/>
          <w:tab w:val="center" w:pos="4536"/>
          <w:tab w:val="right" w:pos="8306"/>
        </w:tabs>
        <w:spacing w:line="100" w:lineRule="atLeast"/>
        <w:ind w:right="-2"/>
        <w:rPr>
          <w:sz w:val="22"/>
          <w:szCs w:val="22"/>
        </w:rPr>
      </w:pPr>
    </w:p>
    <w:p w14:paraId="2A115656" w14:textId="77777777" w:rsidR="00823785" w:rsidRPr="00452D62" w:rsidRDefault="00823785" w:rsidP="00823785">
      <w:pPr>
        <w:tabs>
          <w:tab w:val="clear" w:pos="567"/>
          <w:tab w:val="center" w:pos="4536"/>
          <w:tab w:val="right" w:pos="8306"/>
        </w:tabs>
        <w:spacing w:line="100" w:lineRule="atLeast"/>
        <w:rPr>
          <w:sz w:val="22"/>
          <w:szCs w:val="22"/>
        </w:rPr>
      </w:pPr>
    </w:p>
    <w:p w14:paraId="7629DA42" w14:textId="77777777" w:rsidR="00823785" w:rsidRPr="00452D62" w:rsidRDefault="00823785" w:rsidP="00823785">
      <w:pPr>
        <w:widowControl w:val="0"/>
        <w:tabs>
          <w:tab w:val="clear" w:pos="567"/>
        </w:tabs>
        <w:suppressAutoHyphens w:val="0"/>
        <w:spacing w:line="240" w:lineRule="auto"/>
        <w:ind w:left="567" w:hanging="567"/>
        <w:outlineLvl w:val="0"/>
        <w:rPr>
          <w:b/>
          <w:color w:val="auto"/>
          <w:sz w:val="22"/>
          <w:szCs w:val="22"/>
          <w:lang w:eastAsia="en-US"/>
        </w:rPr>
      </w:pPr>
      <w:r w:rsidRPr="00452D62">
        <w:rPr>
          <w:b/>
          <w:color w:val="auto"/>
          <w:sz w:val="22"/>
          <w:szCs w:val="22"/>
          <w:lang w:eastAsia="en-US"/>
        </w:rPr>
        <w:t>1.</w:t>
      </w:r>
      <w:r w:rsidRPr="00452D62">
        <w:rPr>
          <w:b/>
          <w:color w:val="auto"/>
          <w:sz w:val="22"/>
          <w:szCs w:val="22"/>
          <w:lang w:eastAsia="en-US"/>
        </w:rPr>
        <w:tab/>
        <w:t>Kas yra Xerdoxo ir kam jis vartojamas</w:t>
      </w:r>
    </w:p>
    <w:p w14:paraId="3EA71EF2" w14:textId="77777777" w:rsidR="00823785" w:rsidRPr="00452D62" w:rsidRDefault="00823785" w:rsidP="00823785">
      <w:pPr>
        <w:tabs>
          <w:tab w:val="center" w:pos="567"/>
          <w:tab w:val="right" w:pos="8306"/>
        </w:tabs>
        <w:spacing w:line="100" w:lineRule="atLeast"/>
        <w:rPr>
          <w:sz w:val="22"/>
          <w:szCs w:val="22"/>
        </w:rPr>
      </w:pPr>
    </w:p>
    <w:p w14:paraId="2C5B0541" w14:textId="066DFDFD" w:rsidR="00823785" w:rsidRPr="00452D62" w:rsidRDefault="00823785" w:rsidP="00823785">
      <w:pPr>
        <w:tabs>
          <w:tab w:val="center" w:pos="567"/>
          <w:tab w:val="right" w:pos="8306"/>
        </w:tabs>
        <w:spacing w:line="100" w:lineRule="atLeast"/>
        <w:rPr>
          <w:sz w:val="22"/>
          <w:szCs w:val="22"/>
        </w:rPr>
      </w:pPr>
      <w:r w:rsidRPr="00452D62">
        <w:rPr>
          <w:sz w:val="22"/>
          <w:szCs w:val="22"/>
        </w:rPr>
        <w:t>Xerdoxo sudėtyje yra veikliosios medžiagos rivaroksabano. Xerdoxo vartojamas suaugusiems žmonėms:</w:t>
      </w:r>
    </w:p>
    <w:p w14:paraId="3AE55233" w14:textId="77777777" w:rsidR="00823785" w:rsidRPr="00452D62" w:rsidRDefault="00823785" w:rsidP="00823785">
      <w:pPr>
        <w:numPr>
          <w:ilvl w:val="0"/>
          <w:numId w:val="20"/>
        </w:numPr>
        <w:tabs>
          <w:tab w:val="center" w:pos="567"/>
          <w:tab w:val="right" w:pos="8306"/>
        </w:tabs>
        <w:spacing w:line="100" w:lineRule="atLeast"/>
        <w:ind w:left="567" w:hanging="567"/>
        <w:rPr>
          <w:sz w:val="22"/>
          <w:szCs w:val="22"/>
        </w:rPr>
      </w:pPr>
      <w:r w:rsidRPr="00452D62">
        <w:rPr>
          <w:sz w:val="22"/>
          <w:szCs w:val="22"/>
        </w:rPr>
        <w:t>kraujo krešulių atsiradimo smegenyse (insulto) ir kitų kūno vietų kraujagyslėse profilaktikai, jeigu Jums yra neritmiško širdies plakimo forma, vadinama su vožtuvų liga nesusijusiu prieširdžių virpėjimu;</w:t>
      </w:r>
    </w:p>
    <w:p w14:paraId="0A8F423A" w14:textId="77777777" w:rsidR="00823785" w:rsidRPr="00452D62" w:rsidRDefault="00823785" w:rsidP="00823785">
      <w:pPr>
        <w:numPr>
          <w:ilvl w:val="0"/>
          <w:numId w:val="20"/>
        </w:numPr>
        <w:tabs>
          <w:tab w:val="center" w:pos="567"/>
          <w:tab w:val="right" w:pos="8306"/>
        </w:tabs>
        <w:spacing w:line="100" w:lineRule="atLeast"/>
        <w:ind w:left="567" w:hanging="567"/>
        <w:rPr>
          <w:sz w:val="22"/>
          <w:szCs w:val="22"/>
        </w:rPr>
      </w:pPr>
      <w:r w:rsidRPr="00452D62">
        <w:rPr>
          <w:sz w:val="22"/>
          <w:szCs w:val="22"/>
        </w:rPr>
        <w:t>kraujo krešulių kojų venose (giliųjų venų trombozės) ir plaučių kraujagyslėse (plaučių embolijos) gydymui ir pakartotinio kraujo krešulių susidarymo kojų ir (arba) plaučių kraujagyslėse profilaktikai.</w:t>
      </w:r>
    </w:p>
    <w:p w14:paraId="65DF3A62" w14:textId="644DAE91" w:rsidR="00E8643F" w:rsidRPr="00452D62" w:rsidRDefault="00E8643F" w:rsidP="00E8643F">
      <w:pPr>
        <w:pStyle w:val="Default"/>
        <w:rPr>
          <w:sz w:val="22"/>
          <w:szCs w:val="22"/>
        </w:rPr>
      </w:pPr>
      <w:r w:rsidRPr="00452D62">
        <w:rPr>
          <w:sz w:val="22"/>
          <w:szCs w:val="22"/>
        </w:rPr>
        <w:t>Xerdoxo vartojamas vaikams ir paaugliams, jaunesniems kaip 18 metų amžiaus ir sveriantiems ne maž</w:t>
      </w:r>
      <w:r w:rsidR="00805B68" w:rsidRPr="00452D62">
        <w:rPr>
          <w:sz w:val="22"/>
          <w:szCs w:val="22"/>
        </w:rPr>
        <w:t>iau kaip 30 </w:t>
      </w:r>
      <w:r w:rsidRPr="00452D62">
        <w:rPr>
          <w:sz w:val="22"/>
          <w:szCs w:val="22"/>
        </w:rPr>
        <w:t>kg:</w:t>
      </w:r>
    </w:p>
    <w:p w14:paraId="3FCFAC3A" w14:textId="6F119DE6" w:rsidR="00E8643F" w:rsidRPr="00AE1B80" w:rsidRDefault="00E8643F" w:rsidP="00AE1B80">
      <w:pPr>
        <w:widowControl w:val="0"/>
        <w:numPr>
          <w:ilvl w:val="0"/>
          <w:numId w:val="40"/>
        </w:numPr>
        <w:tabs>
          <w:tab w:val="clear" w:pos="567"/>
        </w:tabs>
        <w:suppressAutoHyphens w:val="0"/>
        <w:spacing w:line="240" w:lineRule="auto"/>
        <w:rPr>
          <w:color w:val="auto"/>
          <w:sz w:val="22"/>
        </w:rPr>
      </w:pPr>
      <w:r w:rsidRPr="00AE1B80">
        <w:rPr>
          <w:sz w:val="22"/>
          <w:szCs w:val="22"/>
        </w:rPr>
        <w:t xml:space="preserve">kraujo krešulių, susidariusių venose arba plaučių kraujagyslėse, gydymui ir pakartotinio jų susidarymo profilaktikai po ne </w:t>
      </w:r>
      <w:r w:rsidR="00F6625D" w:rsidRPr="00F6625D">
        <w:rPr>
          <w:sz w:val="22"/>
          <w:szCs w:val="22"/>
        </w:rPr>
        <w:t>trumpiau kaip 5 dienas taikyto pradinio gydymo injekciniais vaistais nuo kraujo krešulių.</w:t>
      </w:r>
    </w:p>
    <w:p w14:paraId="32D0CCA2" w14:textId="77777777" w:rsidR="00823785" w:rsidRPr="00452D62" w:rsidRDefault="00823785" w:rsidP="00823785">
      <w:pPr>
        <w:tabs>
          <w:tab w:val="center" w:pos="567"/>
          <w:tab w:val="right" w:pos="8306"/>
        </w:tabs>
        <w:spacing w:line="100" w:lineRule="atLeast"/>
        <w:rPr>
          <w:sz w:val="22"/>
          <w:szCs w:val="22"/>
        </w:rPr>
      </w:pPr>
    </w:p>
    <w:p w14:paraId="0F472551" w14:textId="77777777" w:rsidR="00823785" w:rsidRPr="00452D62" w:rsidRDefault="00823785" w:rsidP="00823785">
      <w:pPr>
        <w:tabs>
          <w:tab w:val="center" w:pos="567"/>
          <w:tab w:val="right" w:pos="8306"/>
        </w:tabs>
        <w:spacing w:line="100" w:lineRule="atLeast"/>
        <w:rPr>
          <w:sz w:val="22"/>
          <w:szCs w:val="22"/>
        </w:rPr>
      </w:pPr>
      <w:r w:rsidRPr="00452D62">
        <w:rPr>
          <w:sz w:val="22"/>
          <w:szCs w:val="22"/>
        </w:rPr>
        <w:t>Xerdoxo priklauso vadinamųjų antitrombozinių vaistų grupei. Xerdoxo veikia blokuodamas kraujo krešėjimo faktorių (Xa faktorių), taip sumažindamas polinkį formuotis kraujo krešuliams.</w:t>
      </w:r>
    </w:p>
    <w:p w14:paraId="376F4C53" w14:textId="77777777" w:rsidR="00823785" w:rsidRPr="00452D62" w:rsidRDefault="00823785" w:rsidP="00823785">
      <w:pPr>
        <w:spacing w:line="100" w:lineRule="atLeast"/>
        <w:ind w:right="-2"/>
        <w:rPr>
          <w:sz w:val="22"/>
          <w:szCs w:val="22"/>
        </w:rPr>
      </w:pPr>
    </w:p>
    <w:p w14:paraId="43CFD2F6" w14:textId="77777777" w:rsidR="00823785" w:rsidRPr="00452D62" w:rsidRDefault="00823785" w:rsidP="00823785">
      <w:pPr>
        <w:spacing w:line="100" w:lineRule="atLeast"/>
        <w:ind w:right="-2"/>
        <w:rPr>
          <w:sz w:val="22"/>
          <w:szCs w:val="22"/>
        </w:rPr>
      </w:pPr>
    </w:p>
    <w:p w14:paraId="16DCF3CC" w14:textId="77777777" w:rsidR="00823785" w:rsidRPr="00452D62" w:rsidRDefault="00823785" w:rsidP="00823785">
      <w:pPr>
        <w:widowControl w:val="0"/>
        <w:tabs>
          <w:tab w:val="clear" w:pos="567"/>
        </w:tabs>
        <w:suppressAutoHyphens w:val="0"/>
        <w:spacing w:line="240" w:lineRule="auto"/>
        <w:ind w:left="567" w:hanging="567"/>
        <w:outlineLvl w:val="0"/>
        <w:rPr>
          <w:i/>
          <w:sz w:val="22"/>
          <w:szCs w:val="22"/>
        </w:rPr>
      </w:pPr>
      <w:r w:rsidRPr="00452D62">
        <w:rPr>
          <w:b/>
          <w:color w:val="auto"/>
          <w:sz w:val="22"/>
          <w:szCs w:val="22"/>
          <w:lang w:eastAsia="en-US"/>
        </w:rPr>
        <w:t>2.</w:t>
      </w:r>
      <w:r w:rsidRPr="00452D62">
        <w:rPr>
          <w:b/>
          <w:color w:val="auto"/>
          <w:sz w:val="22"/>
          <w:szCs w:val="22"/>
          <w:lang w:eastAsia="en-US"/>
        </w:rPr>
        <w:tab/>
        <w:t>Kas žinotina prieš vartojant Xerdoxo</w:t>
      </w:r>
    </w:p>
    <w:p w14:paraId="35819713" w14:textId="77777777" w:rsidR="00823785" w:rsidRPr="00452D62" w:rsidRDefault="00823785" w:rsidP="00823785">
      <w:pPr>
        <w:tabs>
          <w:tab w:val="clear" w:pos="567"/>
        </w:tabs>
        <w:spacing w:line="100" w:lineRule="atLeast"/>
        <w:rPr>
          <w:i/>
          <w:sz w:val="22"/>
          <w:szCs w:val="22"/>
        </w:rPr>
      </w:pPr>
    </w:p>
    <w:p w14:paraId="478D960F" w14:textId="44B58197" w:rsidR="00823785" w:rsidRPr="00452D62" w:rsidRDefault="00823785" w:rsidP="00823785">
      <w:pPr>
        <w:tabs>
          <w:tab w:val="clear" w:pos="567"/>
        </w:tabs>
        <w:spacing w:line="100" w:lineRule="atLeast"/>
        <w:rPr>
          <w:sz w:val="22"/>
          <w:szCs w:val="22"/>
        </w:rPr>
      </w:pPr>
      <w:r w:rsidRPr="00452D62">
        <w:rPr>
          <w:b/>
          <w:sz w:val="22"/>
          <w:szCs w:val="22"/>
        </w:rPr>
        <w:t>Xerdoxo vartoti draudžiama</w:t>
      </w:r>
    </w:p>
    <w:p w14:paraId="1DC29558" w14:textId="77777777" w:rsidR="00823785" w:rsidRPr="00452D62" w:rsidRDefault="00823785" w:rsidP="00823785">
      <w:pPr>
        <w:tabs>
          <w:tab w:val="clear" w:pos="567"/>
        </w:tabs>
        <w:spacing w:line="100" w:lineRule="atLeast"/>
        <w:ind w:left="567" w:hanging="567"/>
        <w:rPr>
          <w:sz w:val="22"/>
          <w:szCs w:val="22"/>
        </w:rPr>
      </w:pPr>
      <w:r w:rsidRPr="00452D62">
        <w:rPr>
          <w:sz w:val="22"/>
          <w:szCs w:val="22"/>
        </w:rPr>
        <w:t>-</w:t>
      </w:r>
      <w:r w:rsidRPr="00452D62">
        <w:rPr>
          <w:sz w:val="22"/>
          <w:szCs w:val="22"/>
        </w:rPr>
        <w:tab/>
        <w:t xml:space="preserve">jeigu yra </w:t>
      </w:r>
      <w:r w:rsidRPr="00452D62">
        <w:rPr>
          <w:bCs/>
          <w:sz w:val="22"/>
          <w:szCs w:val="22"/>
        </w:rPr>
        <w:t>alergija</w:t>
      </w:r>
      <w:r w:rsidRPr="00452D62">
        <w:rPr>
          <w:sz w:val="22"/>
          <w:szCs w:val="22"/>
        </w:rPr>
        <w:t xml:space="preserve"> rivaroksabanui arba bet kuriai pagalbinei šio vaisto medžiagai (jos išvardytos 6 skyriuje);</w:t>
      </w:r>
    </w:p>
    <w:p w14:paraId="4CE806EB" w14:textId="77777777" w:rsidR="00823785" w:rsidRPr="00452D62" w:rsidRDefault="00823785" w:rsidP="00823785">
      <w:pPr>
        <w:numPr>
          <w:ilvl w:val="0"/>
          <w:numId w:val="1"/>
        </w:numPr>
        <w:tabs>
          <w:tab w:val="clear" w:pos="208"/>
          <w:tab w:val="num" w:pos="567"/>
        </w:tabs>
        <w:spacing w:line="100" w:lineRule="atLeast"/>
        <w:ind w:left="567" w:hanging="567"/>
        <w:rPr>
          <w:sz w:val="22"/>
          <w:szCs w:val="22"/>
        </w:rPr>
      </w:pPr>
      <w:r w:rsidRPr="00452D62">
        <w:rPr>
          <w:sz w:val="22"/>
          <w:szCs w:val="22"/>
        </w:rPr>
        <w:t>jeigu stipriai kraujuojate;</w:t>
      </w:r>
    </w:p>
    <w:p w14:paraId="7C5E36D1" w14:textId="77777777" w:rsidR="00823785" w:rsidRPr="00452D62" w:rsidRDefault="00823785" w:rsidP="00823785">
      <w:pPr>
        <w:tabs>
          <w:tab w:val="clear" w:pos="567"/>
        </w:tabs>
        <w:spacing w:line="100" w:lineRule="atLeast"/>
        <w:ind w:left="567" w:hanging="567"/>
        <w:rPr>
          <w:sz w:val="22"/>
          <w:szCs w:val="22"/>
        </w:rPr>
      </w:pPr>
      <w:r w:rsidRPr="00452D62">
        <w:rPr>
          <w:sz w:val="22"/>
          <w:szCs w:val="22"/>
        </w:rPr>
        <w:t>-</w:t>
      </w:r>
      <w:r w:rsidRPr="00452D62">
        <w:rPr>
          <w:sz w:val="22"/>
          <w:szCs w:val="22"/>
        </w:rPr>
        <w:tab/>
        <w:t>jeigu Jums yra liga arba kūno organo būklė, dėl kurios padidėja stipraus kraujavimo rizika (pvz., skrandžio opa, galvos smegenų pažeidimas arba kraujavimas į smegenis, neseniai atlikta chirurginė galvos smegenų arba akių operacija);</w:t>
      </w:r>
    </w:p>
    <w:p w14:paraId="4569DAC6" w14:textId="77777777" w:rsidR="00823785" w:rsidRPr="00452D62" w:rsidRDefault="00823785" w:rsidP="00823785">
      <w:pPr>
        <w:tabs>
          <w:tab w:val="clear" w:pos="567"/>
        </w:tabs>
        <w:spacing w:line="100" w:lineRule="atLeast"/>
        <w:ind w:left="567" w:hanging="567"/>
        <w:rPr>
          <w:sz w:val="22"/>
          <w:szCs w:val="22"/>
        </w:rPr>
      </w:pPr>
      <w:r w:rsidRPr="00452D62">
        <w:rPr>
          <w:sz w:val="22"/>
          <w:szCs w:val="22"/>
        </w:rPr>
        <w:t>-</w:t>
      </w:r>
      <w:r w:rsidRPr="00452D62">
        <w:rPr>
          <w:sz w:val="22"/>
          <w:szCs w:val="22"/>
        </w:rPr>
        <w:tab/>
        <w:t>jeigu vartojate vaistų, apsaugančių nuo kraujo krešulių formavimosi (pvz., varfarino, dabigatrano, apiksabano arba heparino), išskyrus atvejus, kai keičiamas nuo kraujo krešulių apsaugantis gydymas arba kai per venos ar arterijos kateterį Jums leidžiama heparino, kad šis kateteris išliktų pralaidus;</w:t>
      </w:r>
    </w:p>
    <w:p w14:paraId="08FAB8AC" w14:textId="77777777" w:rsidR="00823785" w:rsidRPr="00452D62" w:rsidRDefault="00823785" w:rsidP="00823785">
      <w:pPr>
        <w:tabs>
          <w:tab w:val="clear" w:pos="567"/>
        </w:tabs>
        <w:spacing w:line="100" w:lineRule="atLeast"/>
        <w:ind w:left="567" w:hanging="567"/>
        <w:rPr>
          <w:sz w:val="22"/>
          <w:szCs w:val="22"/>
        </w:rPr>
      </w:pPr>
      <w:r w:rsidRPr="00452D62">
        <w:rPr>
          <w:sz w:val="22"/>
          <w:szCs w:val="22"/>
        </w:rPr>
        <w:t>-</w:t>
      </w:r>
      <w:r w:rsidRPr="00452D62">
        <w:rPr>
          <w:sz w:val="22"/>
          <w:szCs w:val="22"/>
        </w:rPr>
        <w:tab/>
        <w:t>jeigu sergate kepenų liga ir todėl gali būti padidėjusi kraujavimo rizika;</w:t>
      </w:r>
    </w:p>
    <w:p w14:paraId="158B50B0" w14:textId="77777777" w:rsidR="00823785" w:rsidRPr="00452D62" w:rsidRDefault="00823785" w:rsidP="00823785">
      <w:pPr>
        <w:tabs>
          <w:tab w:val="clear" w:pos="567"/>
        </w:tabs>
        <w:spacing w:line="100" w:lineRule="atLeast"/>
        <w:ind w:left="567" w:hanging="567"/>
        <w:rPr>
          <w:sz w:val="22"/>
          <w:szCs w:val="22"/>
        </w:rPr>
      </w:pPr>
      <w:r w:rsidRPr="00452D62">
        <w:rPr>
          <w:sz w:val="22"/>
          <w:szCs w:val="22"/>
        </w:rPr>
        <w:t>-</w:t>
      </w:r>
      <w:r w:rsidRPr="00452D62">
        <w:rPr>
          <w:sz w:val="22"/>
          <w:szCs w:val="22"/>
        </w:rPr>
        <w:tab/>
        <w:t>jeigu esate nėščia arba maitinate krūtimi.</w:t>
      </w:r>
    </w:p>
    <w:p w14:paraId="1CA33E3D" w14:textId="77777777" w:rsidR="00823785" w:rsidRPr="00452D62" w:rsidRDefault="00823785" w:rsidP="00823785">
      <w:pPr>
        <w:tabs>
          <w:tab w:val="clear" w:pos="567"/>
        </w:tabs>
        <w:spacing w:line="100" w:lineRule="atLeast"/>
        <w:rPr>
          <w:sz w:val="22"/>
          <w:szCs w:val="22"/>
        </w:rPr>
      </w:pPr>
    </w:p>
    <w:p w14:paraId="3D977CE2" w14:textId="77777777" w:rsidR="00823785" w:rsidRPr="00452D62" w:rsidRDefault="00823785" w:rsidP="00823785">
      <w:pPr>
        <w:tabs>
          <w:tab w:val="clear" w:pos="567"/>
        </w:tabs>
        <w:spacing w:line="100" w:lineRule="atLeast"/>
        <w:ind w:left="567" w:hanging="567"/>
        <w:rPr>
          <w:sz w:val="22"/>
          <w:szCs w:val="22"/>
          <w:shd w:val="clear" w:color="auto" w:fill="FFFF00"/>
        </w:rPr>
      </w:pPr>
      <w:r w:rsidRPr="00452D62">
        <w:rPr>
          <w:b/>
          <w:sz w:val="22"/>
          <w:szCs w:val="22"/>
        </w:rPr>
        <w:t>Nevartokite Xerdoxo ir pasakykite gydytojui</w:t>
      </w:r>
      <w:r w:rsidRPr="00452D62">
        <w:rPr>
          <w:sz w:val="22"/>
          <w:szCs w:val="22"/>
        </w:rPr>
        <w:t>, jeigu Jums tinka bet kuri iš paminėtų būklių.</w:t>
      </w:r>
    </w:p>
    <w:p w14:paraId="779EB1F4" w14:textId="77777777" w:rsidR="00823785" w:rsidRPr="00452D62" w:rsidRDefault="00823785" w:rsidP="00823785">
      <w:pPr>
        <w:tabs>
          <w:tab w:val="clear" w:pos="567"/>
        </w:tabs>
        <w:spacing w:line="100" w:lineRule="atLeast"/>
        <w:rPr>
          <w:sz w:val="22"/>
          <w:szCs w:val="22"/>
          <w:shd w:val="clear" w:color="auto" w:fill="FFFF00"/>
        </w:rPr>
      </w:pPr>
    </w:p>
    <w:p w14:paraId="1E1DE543" w14:textId="77777777" w:rsidR="00823785" w:rsidRPr="00452D62" w:rsidRDefault="00823785" w:rsidP="00823785">
      <w:pPr>
        <w:tabs>
          <w:tab w:val="clear" w:pos="567"/>
        </w:tabs>
        <w:spacing w:line="100" w:lineRule="atLeast"/>
        <w:rPr>
          <w:sz w:val="22"/>
          <w:szCs w:val="22"/>
        </w:rPr>
      </w:pPr>
      <w:r w:rsidRPr="00452D62">
        <w:rPr>
          <w:b/>
          <w:sz w:val="22"/>
          <w:szCs w:val="22"/>
        </w:rPr>
        <w:t>Įspėjimai ir atsargumo priemonės</w:t>
      </w:r>
    </w:p>
    <w:p w14:paraId="7BF10C7C" w14:textId="77777777" w:rsidR="00823785" w:rsidRPr="00452D62" w:rsidRDefault="00823785" w:rsidP="00823785">
      <w:pPr>
        <w:rPr>
          <w:b/>
          <w:bCs/>
          <w:sz w:val="22"/>
          <w:szCs w:val="22"/>
        </w:rPr>
      </w:pPr>
      <w:r w:rsidRPr="00452D62">
        <w:rPr>
          <w:sz w:val="22"/>
          <w:szCs w:val="22"/>
        </w:rPr>
        <w:t>Pasitarkite su gydytoju arba vaistininku, prieš pradėdami vartoti Xerdoxo.</w:t>
      </w:r>
    </w:p>
    <w:p w14:paraId="6978E662" w14:textId="77777777" w:rsidR="00823785" w:rsidRPr="00452D62" w:rsidRDefault="00823785" w:rsidP="00823785">
      <w:pPr>
        <w:rPr>
          <w:sz w:val="22"/>
          <w:szCs w:val="22"/>
        </w:rPr>
      </w:pPr>
    </w:p>
    <w:p w14:paraId="5E2B28D3" w14:textId="77777777" w:rsidR="00823785" w:rsidRPr="00452D62" w:rsidRDefault="00823785" w:rsidP="00823785">
      <w:pPr>
        <w:rPr>
          <w:sz w:val="22"/>
          <w:szCs w:val="22"/>
        </w:rPr>
      </w:pPr>
      <w:r w:rsidRPr="00452D62">
        <w:rPr>
          <w:b/>
          <w:bCs/>
          <w:sz w:val="22"/>
          <w:szCs w:val="22"/>
        </w:rPr>
        <w:t>Vartodami Xerdoxo laikykitės tam tikrų atsargumo priemonių</w:t>
      </w:r>
    </w:p>
    <w:p w14:paraId="38C9FDB8" w14:textId="77777777" w:rsidR="00823785" w:rsidRPr="00452D62" w:rsidRDefault="00823785" w:rsidP="00823785">
      <w:pPr>
        <w:numPr>
          <w:ilvl w:val="0"/>
          <w:numId w:val="8"/>
        </w:numPr>
        <w:ind w:left="567" w:hanging="567"/>
        <w:rPr>
          <w:sz w:val="22"/>
          <w:szCs w:val="22"/>
        </w:rPr>
      </w:pPr>
      <w:r w:rsidRPr="00452D62">
        <w:rPr>
          <w:sz w:val="22"/>
          <w:szCs w:val="22"/>
        </w:rPr>
        <w:t>jeigu Jums yra padidėjusi kraujavimo rizika, kuri gali būti tokiose situacijose:</w:t>
      </w:r>
    </w:p>
    <w:p w14:paraId="3817583B" w14:textId="23A60EA2" w:rsidR="00823785" w:rsidRPr="000877E9" w:rsidRDefault="00823785" w:rsidP="00823785">
      <w:pPr>
        <w:numPr>
          <w:ilvl w:val="0"/>
          <w:numId w:val="13"/>
        </w:numPr>
        <w:ind w:left="1134" w:hanging="567"/>
        <w:rPr>
          <w:sz w:val="22"/>
          <w:szCs w:val="22"/>
        </w:rPr>
      </w:pPr>
      <w:r w:rsidRPr="00452D62">
        <w:rPr>
          <w:sz w:val="22"/>
          <w:szCs w:val="22"/>
        </w:rPr>
        <w:t>yra sunki suaugusių inkstų liga</w:t>
      </w:r>
      <w:r w:rsidR="00805B68" w:rsidRPr="00AE1B80">
        <w:rPr>
          <w:sz w:val="22"/>
          <w:szCs w:val="22"/>
        </w:rPr>
        <w:t xml:space="preserve"> ir vidutinio sunkumo arba sunki vaikų ir paauglių inkstų liga</w:t>
      </w:r>
      <w:r w:rsidRPr="00452D62">
        <w:rPr>
          <w:sz w:val="22"/>
          <w:szCs w:val="22"/>
        </w:rPr>
        <w:t xml:space="preserve">, nes inkstų funkcija gali turėti įtakos Jūsų organizmą </w:t>
      </w:r>
      <w:r w:rsidRPr="000877E9">
        <w:rPr>
          <w:sz w:val="22"/>
          <w:szCs w:val="22"/>
        </w:rPr>
        <w:t>veikiančio vaisto kiekiui;</w:t>
      </w:r>
    </w:p>
    <w:p w14:paraId="72A0A7D9" w14:textId="77777777" w:rsidR="00823785" w:rsidRPr="00452D62" w:rsidRDefault="00823785" w:rsidP="00823785">
      <w:pPr>
        <w:numPr>
          <w:ilvl w:val="0"/>
          <w:numId w:val="13"/>
        </w:numPr>
        <w:ind w:left="1134" w:hanging="567"/>
        <w:rPr>
          <w:sz w:val="22"/>
          <w:szCs w:val="22"/>
        </w:rPr>
      </w:pPr>
      <w:r w:rsidRPr="00452D62">
        <w:rPr>
          <w:sz w:val="22"/>
          <w:szCs w:val="22"/>
        </w:rPr>
        <w:t>vartojama kitų vaistų, apsaugančių nuo kraujo krešulių formavimosi (pvz., varfarino, dabigatrano, apiksabano arba heparino), keičiamas nuo kraujo krešulių apsaugantis gydymas arba per venos ar arterijos kateterį Jums leidžiama heparino, kad šis kateteris išliktų pralaidus (žr. poskyrį „Kiti vaistai ir Xerdoxo“);</w:t>
      </w:r>
    </w:p>
    <w:p w14:paraId="18541690" w14:textId="77777777" w:rsidR="00823785" w:rsidRPr="00452D62" w:rsidRDefault="00823785" w:rsidP="00823785">
      <w:pPr>
        <w:numPr>
          <w:ilvl w:val="0"/>
          <w:numId w:val="13"/>
        </w:numPr>
        <w:ind w:left="1134" w:hanging="567"/>
        <w:rPr>
          <w:sz w:val="22"/>
          <w:szCs w:val="22"/>
        </w:rPr>
      </w:pPr>
      <w:r w:rsidRPr="00452D62">
        <w:rPr>
          <w:sz w:val="22"/>
          <w:szCs w:val="22"/>
        </w:rPr>
        <w:t>yra kraujavimo sutrikimų;</w:t>
      </w:r>
    </w:p>
    <w:p w14:paraId="6CF246FC" w14:textId="77777777" w:rsidR="00823785" w:rsidRPr="00452D62" w:rsidRDefault="00823785" w:rsidP="00823785">
      <w:pPr>
        <w:numPr>
          <w:ilvl w:val="0"/>
          <w:numId w:val="13"/>
        </w:numPr>
        <w:ind w:left="1134" w:hanging="567"/>
        <w:rPr>
          <w:sz w:val="22"/>
          <w:szCs w:val="22"/>
        </w:rPr>
      </w:pPr>
      <w:r w:rsidRPr="00452D62">
        <w:rPr>
          <w:sz w:val="22"/>
          <w:szCs w:val="22"/>
        </w:rPr>
        <w:t>yra labai didelis kraujospūdis, nekontroliuojamas vaistais;</w:t>
      </w:r>
    </w:p>
    <w:p w14:paraId="259A25FD" w14:textId="77777777" w:rsidR="00823785" w:rsidRPr="00452D62" w:rsidRDefault="00823785" w:rsidP="00C815AC">
      <w:pPr>
        <w:numPr>
          <w:ilvl w:val="0"/>
          <w:numId w:val="13"/>
        </w:numPr>
        <w:ind w:left="1134" w:hanging="567"/>
        <w:rPr>
          <w:sz w:val="22"/>
          <w:szCs w:val="22"/>
        </w:rPr>
      </w:pPr>
      <w:r w:rsidRPr="00452D62">
        <w:rPr>
          <w:sz w:val="22"/>
          <w:szCs w:val="22"/>
        </w:rPr>
        <w:t>yra skrandžio arba žarnyno ligų, galinčių sukelti kraujavimą, pvz., žarnyno arba skrandžio uždegimas, arba stemplės uždegimas, pvz., dėl gastroezofaginio refliukso ligos (ligos, kai skrandžio rūgštis atpilama į stemplę)</w:t>
      </w:r>
      <w:r w:rsidRPr="00AE1B80">
        <w:rPr>
          <w:sz w:val="22"/>
          <w:szCs w:val="22"/>
        </w:rPr>
        <w:t xml:space="preserve"> </w:t>
      </w:r>
      <w:r w:rsidRPr="00452D62">
        <w:rPr>
          <w:sz w:val="22"/>
          <w:szCs w:val="22"/>
        </w:rPr>
        <w:t>arba navikai, esantys skrandyje, žarnyne, lytiniuose takuose ar šlapimo takuose;</w:t>
      </w:r>
    </w:p>
    <w:p w14:paraId="25B018E1" w14:textId="77777777" w:rsidR="00823785" w:rsidRPr="00452D62" w:rsidRDefault="00823785" w:rsidP="00823785">
      <w:pPr>
        <w:numPr>
          <w:ilvl w:val="0"/>
          <w:numId w:val="13"/>
        </w:numPr>
        <w:ind w:left="1134" w:hanging="567"/>
        <w:rPr>
          <w:sz w:val="22"/>
          <w:szCs w:val="22"/>
        </w:rPr>
      </w:pPr>
      <w:r w:rsidRPr="00452D62">
        <w:rPr>
          <w:sz w:val="22"/>
          <w:szCs w:val="22"/>
        </w:rPr>
        <w:t>yra akių užpakalinės dalies kraujagyslių sutrikimų (retinopatija);</w:t>
      </w:r>
    </w:p>
    <w:p w14:paraId="6FB72B87" w14:textId="77777777" w:rsidR="00823785" w:rsidRPr="00452D62" w:rsidRDefault="00823785" w:rsidP="00823785">
      <w:pPr>
        <w:numPr>
          <w:ilvl w:val="0"/>
          <w:numId w:val="13"/>
        </w:numPr>
        <w:ind w:left="1134" w:hanging="567"/>
        <w:rPr>
          <w:sz w:val="22"/>
          <w:szCs w:val="22"/>
        </w:rPr>
      </w:pPr>
      <w:r w:rsidRPr="00452D62">
        <w:rPr>
          <w:sz w:val="22"/>
          <w:szCs w:val="22"/>
        </w:rPr>
        <w:t>yra plaučių liga, kuria sergant bronchai būna išsiplėtę ir prisipildę pūlių (bronchektazės), arba anksčiau yra buvęs kraujavimas iš plaučių;</w:t>
      </w:r>
    </w:p>
    <w:p w14:paraId="610DD84C" w14:textId="77777777" w:rsidR="00823785" w:rsidRPr="00452D62" w:rsidRDefault="00823785" w:rsidP="00823785">
      <w:pPr>
        <w:pStyle w:val="Default"/>
        <w:numPr>
          <w:ilvl w:val="0"/>
          <w:numId w:val="6"/>
        </w:numPr>
        <w:ind w:left="567" w:hanging="567"/>
        <w:rPr>
          <w:sz w:val="22"/>
          <w:szCs w:val="22"/>
        </w:rPr>
      </w:pPr>
      <w:r w:rsidRPr="00452D62">
        <w:rPr>
          <w:sz w:val="22"/>
          <w:szCs w:val="22"/>
        </w:rPr>
        <w:t>jeigu Jums protezuoti širdies vožtuvai;</w:t>
      </w:r>
    </w:p>
    <w:p w14:paraId="6B2FB7FE" w14:textId="77777777" w:rsidR="00823785" w:rsidRPr="00452D62" w:rsidRDefault="00823785" w:rsidP="00823785">
      <w:pPr>
        <w:numPr>
          <w:ilvl w:val="0"/>
          <w:numId w:val="6"/>
        </w:numPr>
        <w:ind w:left="567" w:hanging="567"/>
        <w:rPr>
          <w:sz w:val="22"/>
          <w:szCs w:val="22"/>
          <w:lang w:eastAsia="lt-LT"/>
        </w:rPr>
      </w:pPr>
      <w:r w:rsidRPr="00452D62">
        <w:rPr>
          <w:sz w:val="22"/>
          <w:szCs w:val="22"/>
          <w:lang w:eastAsia="lt-LT"/>
        </w:rPr>
        <w:t>jeigu žinote, kad sergate liga, vadinama antifosfolipidiniu sindromu (imuninės sistemos sutrikimu, dėl kurio padidėja kraujo krešulių susidarymo rizika), pasakykite apie tai gydytojui, kuris nuspręs, ar reikės keisti Jums taikomą gydymą;</w:t>
      </w:r>
    </w:p>
    <w:p w14:paraId="20B28A0E" w14:textId="77777777" w:rsidR="00823785" w:rsidRPr="00452D62" w:rsidRDefault="00823785" w:rsidP="00823785">
      <w:pPr>
        <w:numPr>
          <w:ilvl w:val="0"/>
          <w:numId w:val="6"/>
        </w:numPr>
        <w:ind w:left="567" w:hanging="567"/>
        <w:rPr>
          <w:sz w:val="22"/>
          <w:szCs w:val="22"/>
          <w:lang w:eastAsia="lt-LT"/>
        </w:rPr>
      </w:pPr>
      <w:r w:rsidRPr="00452D62">
        <w:rPr>
          <w:sz w:val="22"/>
          <w:szCs w:val="22"/>
          <w:lang w:eastAsia="lt-LT"/>
        </w:rPr>
        <w:t>jeigu gydytojas nustatė, kad Jūsų kraujospūdis nestabilus, arba Jums planuojama taikyti kitokį gydymą arba chirurginę procedūrą, norint pašalinti kraujo krešulį iš plaučių.</w:t>
      </w:r>
    </w:p>
    <w:p w14:paraId="7C66FB72" w14:textId="77777777" w:rsidR="00823785" w:rsidRPr="00452D62" w:rsidRDefault="00823785" w:rsidP="00823785">
      <w:pPr>
        <w:rPr>
          <w:sz w:val="22"/>
          <w:szCs w:val="22"/>
        </w:rPr>
      </w:pPr>
    </w:p>
    <w:p w14:paraId="15C945BE" w14:textId="77777777" w:rsidR="00823785" w:rsidRPr="00452D62" w:rsidRDefault="00823785" w:rsidP="00823785">
      <w:pPr>
        <w:rPr>
          <w:sz w:val="22"/>
          <w:szCs w:val="22"/>
        </w:rPr>
      </w:pPr>
      <w:r w:rsidRPr="00452D62">
        <w:rPr>
          <w:b/>
          <w:bCs/>
          <w:sz w:val="22"/>
          <w:szCs w:val="22"/>
        </w:rPr>
        <w:t xml:space="preserve">Jeigu Jums tinka bet kuri iš paminėtų būklių, </w:t>
      </w:r>
      <w:r w:rsidRPr="00452D62">
        <w:rPr>
          <w:sz w:val="22"/>
          <w:szCs w:val="22"/>
        </w:rPr>
        <w:t xml:space="preserve">prieš pradėdami vartoti Xerdoxo, </w:t>
      </w:r>
      <w:r w:rsidRPr="00452D62">
        <w:rPr>
          <w:b/>
          <w:bCs/>
          <w:sz w:val="22"/>
          <w:szCs w:val="22"/>
        </w:rPr>
        <w:t>apie tai pasakykite gydytojui</w:t>
      </w:r>
      <w:r w:rsidRPr="00452D62">
        <w:rPr>
          <w:sz w:val="22"/>
          <w:szCs w:val="22"/>
        </w:rPr>
        <w:t>. Gydytojas nuspręs, ar skirti Jums šio vaisto ir ar reikia atidžiau Jus stebėti.</w:t>
      </w:r>
    </w:p>
    <w:p w14:paraId="65855147" w14:textId="77777777" w:rsidR="00823785" w:rsidRPr="00452D62" w:rsidRDefault="00823785" w:rsidP="00823785">
      <w:pPr>
        <w:rPr>
          <w:sz w:val="22"/>
          <w:szCs w:val="22"/>
        </w:rPr>
      </w:pPr>
    </w:p>
    <w:p w14:paraId="468C0708" w14:textId="77777777" w:rsidR="00823785" w:rsidRPr="00452D62" w:rsidRDefault="00823785" w:rsidP="00823785">
      <w:pPr>
        <w:rPr>
          <w:b/>
          <w:sz w:val="22"/>
          <w:szCs w:val="22"/>
        </w:rPr>
      </w:pPr>
      <w:r w:rsidRPr="00452D62">
        <w:rPr>
          <w:b/>
          <w:sz w:val="22"/>
          <w:szCs w:val="22"/>
        </w:rPr>
        <w:t>Jeigu Jums reikia atlikti operaciją</w:t>
      </w:r>
    </w:p>
    <w:p w14:paraId="04F68983" w14:textId="77777777" w:rsidR="00823785" w:rsidRPr="00452D62" w:rsidRDefault="00823785" w:rsidP="00823785">
      <w:pPr>
        <w:numPr>
          <w:ilvl w:val="0"/>
          <w:numId w:val="6"/>
        </w:numPr>
        <w:ind w:left="567" w:hanging="567"/>
        <w:rPr>
          <w:sz w:val="22"/>
          <w:szCs w:val="22"/>
        </w:rPr>
      </w:pPr>
      <w:r w:rsidRPr="00452D62">
        <w:rPr>
          <w:sz w:val="22"/>
          <w:szCs w:val="22"/>
        </w:rPr>
        <w:t>Labai svarbu prieš operaciją ir po jos Xerdoxo vartoti tiksliai tuo laiku, kaip pasakė gydytojas.</w:t>
      </w:r>
    </w:p>
    <w:p w14:paraId="010624A2" w14:textId="77777777" w:rsidR="00823785" w:rsidRPr="00452D62" w:rsidRDefault="00823785" w:rsidP="00823785">
      <w:pPr>
        <w:numPr>
          <w:ilvl w:val="0"/>
          <w:numId w:val="6"/>
        </w:numPr>
        <w:ind w:left="567" w:hanging="567"/>
        <w:rPr>
          <w:sz w:val="22"/>
          <w:szCs w:val="22"/>
        </w:rPr>
      </w:pPr>
      <w:r w:rsidRPr="00452D62">
        <w:rPr>
          <w:sz w:val="22"/>
          <w:szCs w:val="22"/>
        </w:rPr>
        <w:t>Jeigu Jūsų operacijos metu bus įterpiamas kateteris arba leidžiami vaistai į stuburo kanalą (pvz., taikoma epidurinė ar spinalinė anestezija arba skausmo slopinimas):</w:t>
      </w:r>
    </w:p>
    <w:p w14:paraId="63B81D9C" w14:textId="77777777" w:rsidR="00823785" w:rsidRPr="00452D62" w:rsidRDefault="00823785" w:rsidP="00823785">
      <w:pPr>
        <w:numPr>
          <w:ilvl w:val="0"/>
          <w:numId w:val="13"/>
        </w:numPr>
        <w:ind w:left="1134" w:hanging="567"/>
        <w:rPr>
          <w:sz w:val="22"/>
          <w:szCs w:val="22"/>
        </w:rPr>
      </w:pPr>
      <w:r w:rsidRPr="00452D62">
        <w:rPr>
          <w:sz w:val="22"/>
          <w:szCs w:val="22"/>
        </w:rPr>
        <w:t>labai svarbu prieš nurodytas procedūras ar kateterio išėmimą ir po jų Xerdoxo vartoti tiksliai tuo laiku, kaip nurodė gydytojas;</w:t>
      </w:r>
    </w:p>
    <w:p w14:paraId="2954E3CF" w14:textId="77777777" w:rsidR="00823785" w:rsidRPr="00452D62" w:rsidRDefault="00823785" w:rsidP="00823785">
      <w:pPr>
        <w:numPr>
          <w:ilvl w:val="0"/>
          <w:numId w:val="13"/>
        </w:numPr>
        <w:ind w:left="1134" w:hanging="567"/>
        <w:rPr>
          <w:sz w:val="22"/>
          <w:szCs w:val="22"/>
        </w:rPr>
      </w:pPr>
      <w:r w:rsidRPr="00452D62">
        <w:rPr>
          <w:sz w:val="22"/>
          <w:szCs w:val="22"/>
        </w:rPr>
        <w:t>nedelsdami pasakykite gydytojui, jei po anestezijos pajusite kojų tirpimą ar silpnumą arba žarnyno ar šlapimo pūslės veiklos sutrikimą, nes gali prireikti skubios pagalbos.</w:t>
      </w:r>
    </w:p>
    <w:p w14:paraId="38B43DFD" w14:textId="77777777" w:rsidR="00823785" w:rsidRPr="00452D62" w:rsidRDefault="00823785" w:rsidP="00823785">
      <w:pPr>
        <w:tabs>
          <w:tab w:val="clear" w:pos="567"/>
        </w:tabs>
        <w:spacing w:line="100" w:lineRule="atLeast"/>
        <w:ind w:left="360"/>
        <w:rPr>
          <w:bCs/>
          <w:sz w:val="22"/>
          <w:szCs w:val="22"/>
        </w:rPr>
      </w:pPr>
    </w:p>
    <w:p w14:paraId="75BAD8D1" w14:textId="77777777" w:rsidR="00823785" w:rsidRPr="00452D62" w:rsidRDefault="00823785" w:rsidP="00823785">
      <w:pPr>
        <w:tabs>
          <w:tab w:val="clear" w:pos="567"/>
        </w:tabs>
        <w:spacing w:line="100" w:lineRule="atLeast"/>
        <w:rPr>
          <w:sz w:val="22"/>
          <w:szCs w:val="22"/>
        </w:rPr>
      </w:pPr>
      <w:r w:rsidRPr="00452D62">
        <w:rPr>
          <w:b/>
          <w:sz w:val="22"/>
          <w:szCs w:val="22"/>
        </w:rPr>
        <w:t>Vaikams ir paaugliams</w:t>
      </w:r>
    </w:p>
    <w:p w14:paraId="1C1CB5D3" w14:textId="7A629938" w:rsidR="00823785" w:rsidRPr="00452D62" w:rsidRDefault="00823785" w:rsidP="00823785">
      <w:pPr>
        <w:rPr>
          <w:b/>
          <w:bCs/>
          <w:sz w:val="22"/>
          <w:szCs w:val="22"/>
        </w:rPr>
      </w:pPr>
      <w:r w:rsidRPr="00452D62">
        <w:rPr>
          <w:sz w:val="22"/>
          <w:szCs w:val="22"/>
        </w:rPr>
        <w:t xml:space="preserve">Xerdoxo teblečių vartojimas yra </w:t>
      </w:r>
      <w:r w:rsidRPr="00452D62">
        <w:rPr>
          <w:b/>
          <w:bCs/>
          <w:sz w:val="22"/>
          <w:szCs w:val="22"/>
        </w:rPr>
        <w:t xml:space="preserve">nerekomenduojamas </w:t>
      </w:r>
      <w:r w:rsidR="003977AE" w:rsidRPr="00452D62">
        <w:rPr>
          <w:b/>
          <w:bCs/>
          <w:sz w:val="22"/>
          <w:szCs w:val="22"/>
        </w:rPr>
        <w:t>vaikams, kurių kūno</w:t>
      </w:r>
      <w:r w:rsidR="003977AE" w:rsidRPr="00BC1F3E">
        <w:rPr>
          <w:b/>
          <w:bCs/>
          <w:sz w:val="22"/>
          <w:szCs w:val="22"/>
        </w:rPr>
        <w:t xml:space="preserve"> svoris</w:t>
      </w:r>
      <w:r w:rsidR="003977AE" w:rsidRPr="00452D62">
        <w:rPr>
          <w:b/>
          <w:bCs/>
          <w:sz w:val="22"/>
          <w:szCs w:val="22"/>
        </w:rPr>
        <w:t xml:space="preserve"> mažesnis kaip 30</w:t>
      </w:r>
      <w:r w:rsidR="00BC1F3E">
        <w:rPr>
          <w:b/>
          <w:bCs/>
          <w:sz w:val="22"/>
          <w:szCs w:val="22"/>
        </w:rPr>
        <w:t> </w:t>
      </w:r>
      <w:r w:rsidR="003977AE" w:rsidRPr="00452D62">
        <w:rPr>
          <w:b/>
          <w:bCs/>
          <w:sz w:val="22"/>
          <w:szCs w:val="22"/>
        </w:rPr>
        <w:t>kg</w:t>
      </w:r>
      <w:r w:rsidRPr="00452D62">
        <w:rPr>
          <w:sz w:val="22"/>
          <w:szCs w:val="22"/>
        </w:rPr>
        <w:t>. Informacijos apie Xerdoxo vartojimą vaikams ir paaugliams suagusiųjų indikacijomis nepakanka.</w:t>
      </w:r>
    </w:p>
    <w:p w14:paraId="147828B6" w14:textId="77777777" w:rsidR="00823785" w:rsidRPr="00452D62" w:rsidRDefault="00823785" w:rsidP="00823785">
      <w:pPr>
        <w:rPr>
          <w:b/>
          <w:bCs/>
          <w:sz w:val="22"/>
          <w:szCs w:val="22"/>
        </w:rPr>
      </w:pPr>
    </w:p>
    <w:p w14:paraId="60BE856A" w14:textId="77777777" w:rsidR="00823785" w:rsidRPr="00452D62" w:rsidRDefault="00823785" w:rsidP="00823785">
      <w:pPr>
        <w:rPr>
          <w:sz w:val="22"/>
          <w:szCs w:val="22"/>
        </w:rPr>
      </w:pPr>
      <w:r w:rsidRPr="00452D62">
        <w:rPr>
          <w:b/>
          <w:bCs/>
          <w:sz w:val="22"/>
          <w:szCs w:val="22"/>
        </w:rPr>
        <w:t>Kiti vaistai ir Xerdoxo</w:t>
      </w:r>
    </w:p>
    <w:p w14:paraId="08110F4C" w14:textId="77777777" w:rsidR="00823785" w:rsidRPr="00452D62" w:rsidRDefault="00823785" w:rsidP="00823785">
      <w:pPr>
        <w:rPr>
          <w:sz w:val="22"/>
          <w:szCs w:val="22"/>
        </w:rPr>
      </w:pPr>
      <w:r w:rsidRPr="00452D62">
        <w:rPr>
          <w:sz w:val="22"/>
          <w:szCs w:val="22"/>
        </w:rPr>
        <w:t>Jeigu vartojate ar neseniai vartojote kitų vaistų, įskaitant vaistus įsigytus be recepto, arba dėl to nesate tikri, apie tai pasakykite gydytojui arba vaistininkui.</w:t>
      </w:r>
    </w:p>
    <w:p w14:paraId="11849DA5" w14:textId="77777777" w:rsidR="00823785" w:rsidRPr="00452D62" w:rsidRDefault="00823785" w:rsidP="00823785">
      <w:pPr>
        <w:numPr>
          <w:ilvl w:val="0"/>
          <w:numId w:val="6"/>
        </w:numPr>
        <w:ind w:left="567" w:hanging="567"/>
        <w:rPr>
          <w:sz w:val="22"/>
          <w:szCs w:val="22"/>
        </w:rPr>
      </w:pPr>
      <w:r w:rsidRPr="00452D62">
        <w:rPr>
          <w:b/>
          <w:sz w:val="22"/>
          <w:szCs w:val="22"/>
        </w:rPr>
        <w:t>Jeigu vartojate</w:t>
      </w:r>
    </w:p>
    <w:p w14:paraId="27A07DE9" w14:textId="77777777" w:rsidR="00823785" w:rsidRPr="00452D62" w:rsidRDefault="00823785" w:rsidP="00823785">
      <w:pPr>
        <w:numPr>
          <w:ilvl w:val="0"/>
          <w:numId w:val="13"/>
        </w:numPr>
        <w:ind w:left="1134" w:hanging="567"/>
        <w:rPr>
          <w:sz w:val="22"/>
          <w:szCs w:val="22"/>
        </w:rPr>
      </w:pPr>
      <w:r w:rsidRPr="00452D62">
        <w:rPr>
          <w:sz w:val="22"/>
          <w:szCs w:val="22"/>
        </w:rPr>
        <w:t>kai kurių kitų vaistų nuo grybelinės infekcijos (pvz., flukonazolo, itrakonazolo, vorikonazolo, pozakonazolo), nebent jie būtų vartojami tik ant odos;</w:t>
      </w:r>
    </w:p>
    <w:p w14:paraId="530B2B9C" w14:textId="77777777" w:rsidR="00823785" w:rsidRPr="00452D62" w:rsidRDefault="00823785" w:rsidP="00823785">
      <w:pPr>
        <w:numPr>
          <w:ilvl w:val="0"/>
          <w:numId w:val="13"/>
        </w:numPr>
        <w:ind w:left="1134" w:hanging="567"/>
        <w:rPr>
          <w:sz w:val="22"/>
          <w:szCs w:val="22"/>
        </w:rPr>
      </w:pPr>
      <w:r w:rsidRPr="00452D62">
        <w:rPr>
          <w:sz w:val="22"/>
          <w:szCs w:val="22"/>
        </w:rPr>
        <w:t>ketokonazolo tablečių (vartojamų gydyti Kušingo sindromą, kai organizmas gamina per daug kortizolio);</w:t>
      </w:r>
    </w:p>
    <w:p w14:paraId="6E94E2F3" w14:textId="77777777" w:rsidR="00823785" w:rsidRPr="00452D62" w:rsidRDefault="00823785" w:rsidP="00823785">
      <w:pPr>
        <w:numPr>
          <w:ilvl w:val="0"/>
          <w:numId w:val="13"/>
        </w:numPr>
        <w:ind w:left="1134" w:hanging="567"/>
        <w:rPr>
          <w:sz w:val="22"/>
          <w:szCs w:val="22"/>
        </w:rPr>
      </w:pPr>
      <w:r w:rsidRPr="00452D62">
        <w:rPr>
          <w:sz w:val="22"/>
          <w:szCs w:val="22"/>
        </w:rPr>
        <w:t>kai kurių vaistų nuo bakterinių infekcijų (pvz., klaritromicino, eritromicino);</w:t>
      </w:r>
    </w:p>
    <w:p w14:paraId="60D377F7" w14:textId="77777777" w:rsidR="00823785" w:rsidRPr="00452D62" w:rsidRDefault="00823785" w:rsidP="00823785">
      <w:pPr>
        <w:numPr>
          <w:ilvl w:val="0"/>
          <w:numId w:val="13"/>
        </w:numPr>
        <w:ind w:left="1134" w:hanging="567"/>
        <w:rPr>
          <w:sz w:val="22"/>
          <w:szCs w:val="22"/>
        </w:rPr>
      </w:pPr>
      <w:r w:rsidRPr="00452D62">
        <w:rPr>
          <w:sz w:val="22"/>
          <w:szCs w:val="22"/>
        </w:rPr>
        <w:t>kai kurių antivirusinių vaistų nuo ŽIV/AIDS (pvz., ritonaviro);</w:t>
      </w:r>
    </w:p>
    <w:p w14:paraId="2BAE29F4" w14:textId="77777777" w:rsidR="00823785" w:rsidRPr="00452D62" w:rsidRDefault="00823785" w:rsidP="00823785">
      <w:pPr>
        <w:numPr>
          <w:ilvl w:val="0"/>
          <w:numId w:val="13"/>
        </w:numPr>
        <w:ind w:left="1134" w:hanging="567"/>
        <w:rPr>
          <w:sz w:val="22"/>
          <w:szCs w:val="22"/>
        </w:rPr>
      </w:pPr>
      <w:r w:rsidRPr="00452D62">
        <w:rPr>
          <w:sz w:val="22"/>
          <w:szCs w:val="22"/>
        </w:rPr>
        <w:t>kitų vaistų, skirtų krešėjimui mažinti (pvz., enoksaparino, klopidogrelio ar vitamino K antagonistų, tokių kaip varfarinas ar acenokumarolis;</w:t>
      </w:r>
    </w:p>
    <w:p w14:paraId="538C4CB5" w14:textId="77777777" w:rsidR="00823785" w:rsidRPr="00452D62" w:rsidRDefault="00823785" w:rsidP="00823785">
      <w:pPr>
        <w:numPr>
          <w:ilvl w:val="0"/>
          <w:numId w:val="13"/>
        </w:numPr>
        <w:ind w:left="1134" w:hanging="567"/>
        <w:rPr>
          <w:sz w:val="22"/>
          <w:szCs w:val="22"/>
        </w:rPr>
      </w:pPr>
      <w:r w:rsidRPr="00452D62">
        <w:rPr>
          <w:sz w:val="22"/>
          <w:szCs w:val="22"/>
        </w:rPr>
        <w:t>vaistų nuo uždegimo ir skausmą malšinančių vaistų (pvz., naprokseno arba acetilsalicilo rūgšties);</w:t>
      </w:r>
    </w:p>
    <w:p w14:paraId="48679824" w14:textId="77777777" w:rsidR="00823785" w:rsidRPr="00452D62" w:rsidRDefault="00823785" w:rsidP="00823785">
      <w:pPr>
        <w:numPr>
          <w:ilvl w:val="0"/>
          <w:numId w:val="13"/>
        </w:numPr>
        <w:ind w:left="1134" w:hanging="567"/>
        <w:rPr>
          <w:sz w:val="22"/>
          <w:szCs w:val="22"/>
        </w:rPr>
      </w:pPr>
      <w:r w:rsidRPr="00452D62">
        <w:rPr>
          <w:sz w:val="22"/>
          <w:szCs w:val="22"/>
        </w:rPr>
        <w:t>dronedarono (vaisto nuo nenormalaus širdies plakimo);</w:t>
      </w:r>
    </w:p>
    <w:p w14:paraId="4944757E" w14:textId="77777777" w:rsidR="00823785" w:rsidRPr="00452D62" w:rsidRDefault="00823785" w:rsidP="00823785">
      <w:pPr>
        <w:numPr>
          <w:ilvl w:val="0"/>
          <w:numId w:val="13"/>
        </w:numPr>
        <w:ind w:left="1134" w:hanging="567"/>
        <w:rPr>
          <w:sz w:val="22"/>
          <w:szCs w:val="22"/>
        </w:rPr>
      </w:pPr>
      <w:r w:rsidRPr="00452D62">
        <w:rPr>
          <w:sz w:val="22"/>
          <w:szCs w:val="22"/>
        </w:rPr>
        <w:t>kai kurių vaistų nuo depresijos (selektyvių serotonino reabsorbcijos inhibitorių (SSRI) arba serotonino-norepinefrino reabsorbcijos inhibitorių (SNRI)).</w:t>
      </w:r>
    </w:p>
    <w:p w14:paraId="625C4980" w14:textId="77777777" w:rsidR="00823785" w:rsidRPr="00452D62" w:rsidRDefault="00823785" w:rsidP="00823785">
      <w:pPr>
        <w:rPr>
          <w:b/>
          <w:bCs/>
          <w:sz w:val="22"/>
          <w:szCs w:val="22"/>
        </w:rPr>
      </w:pPr>
    </w:p>
    <w:p w14:paraId="097C8E77" w14:textId="77777777" w:rsidR="00823785" w:rsidRPr="00452D62" w:rsidRDefault="00823785" w:rsidP="00823785">
      <w:pPr>
        <w:rPr>
          <w:sz w:val="22"/>
          <w:szCs w:val="22"/>
        </w:rPr>
      </w:pPr>
      <w:r w:rsidRPr="00452D62">
        <w:rPr>
          <w:b/>
          <w:bCs/>
          <w:sz w:val="22"/>
          <w:szCs w:val="22"/>
        </w:rPr>
        <w:t xml:space="preserve">Jeigu Jums tinka bet kuri iš paminėtų būklių, </w:t>
      </w:r>
      <w:r w:rsidRPr="00452D62">
        <w:rPr>
          <w:sz w:val="22"/>
          <w:szCs w:val="22"/>
        </w:rPr>
        <w:t xml:space="preserve">prieš pradedant vartoti Xerdoxo apie tai </w:t>
      </w:r>
      <w:r w:rsidRPr="00452D62">
        <w:rPr>
          <w:b/>
          <w:bCs/>
          <w:sz w:val="22"/>
          <w:szCs w:val="22"/>
        </w:rPr>
        <w:t>pasakykite gydytojui</w:t>
      </w:r>
      <w:r w:rsidRPr="00452D62">
        <w:rPr>
          <w:sz w:val="22"/>
          <w:szCs w:val="22"/>
        </w:rPr>
        <w:t>, nes Xerdoxo poveikis gali sustiprėti. Gydytojas nuspręs, ar skirti Jums šio vaisto ir ar Jus atidžiau stebėti.</w:t>
      </w:r>
    </w:p>
    <w:p w14:paraId="0A723257" w14:textId="77777777" w:rsidR="00823785" w:rsidRPr="00452D62" w:rsidRDefault="00823785" w:rsidP="00823785">
      <w:pPr>
        <w:tabs>
          <w:tab w:val="clear" w:pos="567"/>
        </w:tabs>
        <w:spacing w:line="100" w:lineRule="atLeast"/>
        <w:ind w:right="-2"/>
        <w:rPr>
          <w:bCs/>
          <w:sz w:val="22"/>
          <w:szCs w:val="22"/>
        </w:rPr>
      </w:pPr>
      <w:r w:rsidRPr="00452D62">
        <w:rPr>
          <w:sz w:val="22"/>
          <w:szCs w:val="22"/>
        </w:rPr>
        <w:t>Jeigu Jūsų gydytojas mano, kad Jums yra padidėjusi skrandžio ar žarnyno opų atsiradimo rizika, jis taip pat gali skirti profilaktinį gydymą nuo opų.</w:t>
      </w:r>
    </w:p>
    <w:p w14:paraId="5A01F58B" w14:textId="77777777" w:rsidR="00823785" w:rsidRPr="00452D62" w:rsidRDefault="00823785" w:rsidP="00823785">
      <w:pPr>
        <w:tabs>
          <w:tab w:val="clear" w:pos="567"/>
        </w:tabs>
        <w:spacing w:line="100" w:lineRule="atLeast"/>
        <w:ind w:right="-2"/>
        <w:rPr>
          <w:bCs/>
          <w:sz w:val="22"/>
          <w:szCs w:val="22"/>
        </w:rPr>
      </w:pPr>
    </w:p>
    <w:p w14:paraId="1835A958" w14:textId="77777777" w:rsidR="00823785" w:rsidRPr="00452D62" w:rsidRDefault="00823785" w:rsidP="00823785">
      <w:pPr>
        <w:numPr>
          <w:ilvl w:val="0"/>
          <w:numId w:val="6"/>
        </w:numPr>
        <w:ind w:left="567" w:hanging="567"/>
        <w:rPr>
          <w:b/>
          <w:sz w:val="22"/>
          <w:szCs w:val="22"/>
        </w:rPr>
      </w:pPr>
      <w:r w:rsidRPr="00452D62">
        <w:rPr>
          <w:b/>
          <w:sz w:val="22"/>
          <w:szCs w:val="22"/>
        </w:rPr>
        <w:t>Jeigu vartojate</w:t>
      </w:r>
    </w:p>
    <w:p w14:paraId="5DAE5242" w14:textId="77777777" w:rsidR="00823785" w:rsidRPr="00452D62" w:rsidRDefault="00823785" w:rsidP="00823785">
      <w:pPr>
        <w:numPr>
          <w:ilvl w:val="0"/>
          <w:numId w:val="13"/>
        </w:numPr>
        <w:ind w:left="1134" w:hanging="567"/>
        <w:rPr>
          <w:sz w:val="22"/>
          <w:szCs w:val="22"/>
        </w:rPr>
      </w:pPr>
      <w:r w:rsidRPr="00452D62">
        <w:rPr>
          <w:sz w:val="22"/>
          <w:szCs w:val="22"/>
        </w:rPr>
        <w:t>kai kurių vaistų nuo epilepsijos (fenitoino, karbamazepino, fenobarbitalio);</w:t>
      </w:r>
    </w:p>
    <w:p w14:paraId="03969E26" w14:textId="77777777" w:rsidR="00823785" w:rsidRPr="00452D62" w:rsidRDefault="00823785" w:rsidP="00823785">
      <w:pPr>
        <w:numPr>
          <w:ilvl w:val="0"/>
          <w:numId w:val="13"/>
        </w:numPr>
        <w:ind w:left="1134" w:hanging="567"/>
        <w:rPr>
          <w:sz w:val="22"/>
          <w:szCs w:val="22"/>
        </w:rPr>
      </w:pPr>
      <w:r w:rsidRPr="00452D62">
        <w:rPr>
          <w:sz w:val="22"/>
          <w:szCs w:val="22"/>
        </w:rPr>
        <w:t>paprastųjų jonažolių (</w:t>
      </w:r>
      <w:r w:rsidRPr="00452D62">
        <w:rPr>
          <w:i/>
          <w:iCs/>
          <w:sz w:val="22"/>
          <w:szCs w:val="22"/>
        </w:rPr>
        <w:t>Hypericum perforatum</w:t>
      </w:r>
      <w:r w:rsidRPr="00452D62">
        <w:rPr>
          <w:sz w:val="22"/>
          <w:szCs w:val="22"/>
        </w:rPr>
        <w:t>) augalinio vaisto nuo depresijos;</w:t>
      </w:r>
    </w:p>
    <w:p w14:paraId="443DC80F" w14:textId="77777777" w:rsidR="00823785" w:rsidRPr="00452D62" w:rsidRDefault="00823785" w:rsidP="00823785">
      <w:pPr>
        <w:numPr>
          <w:ilvl w:val="0"/>
          <w:numId w:val="13"/>
        </w:numPr>
        <w:ind w:left="1134" w:hanging="567"/>
        <w:rPr>
          <w:sz w:val="22"/>
          <w:szCs w:val="22"/>
        </w:rPr>
      </w:pPr>
      <w:r w:rsidRPr="00452D62">
        <w:rPr>
          <w:sz w:val="22"/>
          <w:szCs w:val="22"/>
        </w:rPr>
        <w:t>antibiotiko rifampicino.</w:t>
      </w:r>
    </w:p>
    <w:p w14:paraId="1130C064" w14:textId="77777777" w:rsidR="00823785" w:rsidRPr="00452D62" w:rsidRDefault="00823785" w:rsidP="00823785">
      <w:pPr>
        <w:rPr>
          <w:b/>
          <w:bCs/>
          <w:sz w:val="22"/>
          <w:szCs w:val="22"/>
        </w:rPr>
      </w:pPr>
    </w:p>
    <w:p w14:paraId="1651871C" w14:textId="77777777" w:rsidR="00823785" w:rsidRPr="00452D62" w:rsidRDefault="00823785" w:rsidP="00823785">
      <w:pPr>
        <w:rPr>
          <w:b/>
          <w:bCs/>
          <w:sz w:val="22"/>
          <w:szCs w:val="22"/>
        </w:rPr>
      </w:pPr>
      <w:r w:rsidRPr="00452D62">
        <w:rPr>
          <w:b/>
          <w:bCs/>
          <w:sz w:val="22"/>
          <w:szCs w:val="22"/>
        </w:rPr>
        <w:t xml:space="preserve">Jeigu Jums tinka bet kuri iš paminėtų būklių, </w:t>
      </w:r>
      <w:r w:rsidRPr="00452D62">
        <w:rPr>
          <w:bCs/>
          <w:sz w:val="22"/>
          <w:szCs w:val="22"/>
        </w:rPr>
        <w:t>prieš pradedant vartoti Xerdoxo</w:t>
      </w:r>
      <w:r w:rsidRPr="00452D62">
        <w:rPr>
          <w:b/>
          <w:bCs/>
          <w:sz w:val="22"/>
          <w:szCs w:val="22"/>
        </w:rPr>
        <w:t xml:space="preserve"> </w:t>
      </w:r>
      <w:r w:rsidRPr="00452D62">
        <w:rPr>
          <w:sz w:val="22"/>
          <w:szCs w:val="22"/>
        </w:rPr>
        <w:t xml:space="preserve">apie tai </w:t>
      </w:r>
      <w:r w:rsidRPr="00452D62">
        <w:rPr>
          <w:b/>
          <w:bCs/>
          <w:sz w:val="22"/>
          <w:szCs w:val="22"/>
        </w:rPr>
        <w:t xml:space="preserve">pasakykite gydytojui, </w:t>
      </w:r>
      <w:r w:rsidRPr="00452D62">
        <w:rPr>
          <w:bCs/>
          <w:sz w:val="22"/>
          <w:szCs w:val="22"/>
        </w:rPr>
        <w:t>nes Xerdoxo poveikis gali susilpnėti. Gydytojas nuspręs, ar skirti Jums šio vaisto ir ar Jus atidžiau stebėti.</w:t>
      </w:r>
    </w:p>
    <w:p w14:paraId="50B8FB49" w14:textId="77777777" w:rsidR="00823785" w:rsidRPr="00452D62" w:rsidRDefault="00823785" w:rsidP="00823785">
      <w:pPr>
        <w:rPr>
          <w:b/>
          <w:bCs/>
          <w:sz w:val="22"/>
          <w:szCs w:val="22"/>
        </w:rPr>
      </w:pPr>
    </w:p>
    <w:p w14:paraId="638D0F9C" w14:textId="77777777" w:rsidR="00823785" w:rsidRPr="00452D62" w:rsidRDefault="00823785" w:rsidP="00823785">
      <w:pPr>
        <w:rPr>
          <w:sz w:val="22"/>
          <w:szCs w:val="22"/>
        </w:rPr>
      </w:pPr>
      <w:r w:rsidRPr="00452D62">
        <w:rPr>
          <w:b/>
          <w:bCs/>
          <w:sz w:val="22"/>
          <w:szCs w:val="22"/>
        </w:rPr>
        <w:t>Nėštumas, žindymo laikotarpis ir vaisingumas</w:t>
      </w:r>
    </w:p>
    <w:p w14:paraId="359CC9AF" w14:textId="77777777" w:rsidR="00823785" w:rsidRPr="00452D62" w:rsidRDefault="00823785" w:rsidP="00823785">
      <w:pPr>
        <w:rPr>
          <w:sz w:val="22"/>
          <w:szCs w:val="22"/>
        </w:rPr>
      </w:pPr>
      <w:r w:rsidRPr="00452D62">
        <w:rPr>
          <w:sz w:val="22"/>
          <w:szCs w:val="22"/>
        </w:rPr>
        <w:t>Jeigu esate nėščia, žindote kūdikį, manote, kad galbūt esate nėščia, arba planuojate pastoti, tai prieš vartodama šį vaistą, pasitarkite su gydytoju arba vaistininku.</w:t>
      </w:r>
    </w:p>
    <w:p w14:paraId="5AF21BA2" w14:textId="77777777" w:rsidR="00823785" w:rsidRPr="00452D62" w:rsidRDefault="00823785" w:rsidP="00823785">
      <w:pPr>
        <w:rPr>
          <w:sz w:val="22"/>
          <w:szCs w:val="22"/>
        </w:rPr>
      </w:pPr>
    </w:p>
    <w:p w14:paraId="151B069F" w14:textId="133B2690" w:rsidR="00823785" w:rsidRPr="00452D62" w:rsidRDefault="00823785" w:rsidP="00823785">
      <w:pPr>
        <w:rPr>
          <w:b/>
          <w:bCs/>
          <w:sz w:val="22"/>
          <w:szCs w:val="22"/>
        </w:rPr>
      </w:pPr>
      <w:r w:rsidRPr="00452D62">
        <w:rPr>
          <w:sz w:val="22"/>
          <w:szCs w:val="22"/>
        </w:rPr>
        <w:t>Jei esate nėščia arba maitinate krūtimi, Xerdoxo vartoti draudžiama. Jei yra galimybė pastoti, Xerdoxo vartojimo laikotarpiu naudokite patikimą kontracepcijos metodą. Jei vartodama šio vaisto pastojote, nedelsdama apie tai pasakykite gydytojui, kuris nuspręs, kaip turėsite būti gydoma.</w:t>
      </w:r>
    </w:p>
    <w:p w14:paraId="48D9C366" w14:textId="77777777" w:rsidR="00823785" w:rsidRPr="00452D62" w:rsidRDefault="00823785" w:rsidP="00823785">
      <w:pPr>
        <w:rPr>
          <w:b/>
          <w:bCs/>
          <w:sz w:val="22"/>
          <w:szCs w:val="22"/>
        </w:rPr>
      </w:pPr>
    </w:p>
    <w:p w14:paraId="6529FE63" w14:textId="77777777" w:rsidR="00823785" w:rsidRPr="00452D62" w:rsidRDefault="00823785" w:rsidP="00823785">
      <w:pPr>
        <w:rPr>
          <w:sz w:val="22"/>
          <w:szCs w:val="22"/>
        </w:rPr>
      </w:pPr>
      <w:r w:rsidRPr="00452D62">
        <w:rPr>
          <w:b/>
          <w:bCs/>
          <w:sz w:val="22"/>
          <w:szCs w:val="22"/>
        </w:rPr>
        <w:t>Vairavimas ir mechanizmų valdymas</w:t>
      </w:r>
    </w:p>
    <w:p w14:paraId="1711101B" w14:textId="77777777" w:rsidR="00823785" w:rsidRPr="00452D62" w:rsidRDefault="00823785" w:rsidP="00823785">
      <w:pPr>
        <w:rPr>
          <w:b/>
          <w:bCs/>
          <w:sz w:val="22"/>
          <w:szCs w:val="22"/>
        </w:rPr>
      </w:pPr>
      <w:r w:rsidRPr="00452D62">
        <w:rPr>
          <w:sz w:val="22"/>
          <w:szCs w:val="22"/>
        </w:rPr>
        <w:t>Vartojant Xerdoxo gali pasireikšti svaigulys (dažnas šalutinis poveikis) arba apalpimas (nedažnas šalutinis poveikis) (žr. 4 skyrių „Galimas šalutinis poveikis“). Jeigu atsiranda tokių simptomų, vairuoti, važiuoti dviračiu arba naudoti bet kokių įrankių ar valdyti mechanizmų negalima.</w:t>
      </w:r>
    </w:p>
    <w:p w14:paraId="04A3A41E" w14:textId="77777777" w:rsidR="00823785" w:rsidRPr="00452D62" w:rsidRDefault="00823785" w:rsidP="00823785">
      <w:pPr>
        <w:rPr>
          <w:b/>
          <w:bCs/>
          <w:sz w:val="22"/>
          <w:szCs w:val="22"/>
        </w:rPr>
      </w:pPr>
    </w:p>
    <w:p w14:paraId="14DBD13E" w14:textId="77777777" w:rsidR="00823785" w:rsidRPr="00452D62" w:rsidRDefault="00823785" w:rsidP="00823785">
      <w:pPr>
        <w:rPr>
          <w:sz w:val="22"/>
          <w:szCs w:val="22"/>
        </w:rPr>
      </w:pPr>
      <w:r w:rsidRPr="00452D62">
        <w:rPr>
          <w:b/>
          <w:bCs/>
          <w:sz w:val="22"/>
          <w:szCs w:val="22"/>
        </w:rPr>
        <w:t>Xerdoxo sudėtyje yra natrio</w:t>
      </w:r>
    </w:p>
    <w:p w14:paraId="4FF6EFCB" w14:textId="77777777" w:rsidR="00823785" w:rsidRPr="00452D62" w:rsidRDefault="00823785" w:rsidP="00823785">
      <w:pPr>
        <w:tabs>
          <w:tab w:val="clear" w:pos="567"/>
        </w:tabs>
        <w:spacing w:line="100" w:lineRule="atLeast"/>
        <w:ind w:right="-2"/>
        <w:rPr>
          <w:sz w:val="22"/>
          <w:szCs w:val="22"/>
        </w:rPr>
      </w:pPr>
      <w:r w:rsidRPr="00452D62">
        <w:rPr>
          <w:sz w:val="22"/>
          <w:szCs w:val="22"/>
        </w:rPr>
        <w:t>Šio vaisto vienoje tabletėje yra mažiau kaip 1 mmol (23 mg) natrio, t. y. jis beveik neturi reikšmės.</w:t>
      </w:r>
    </w:p>
    <w:p w14:paraId="4F5A2865" w14:textId="77777777" w:rsidR="00823785" w:rsidRPr="00452D62" w:rsidRDefault="00823785" w:rsidP="00823785">
      <w:pPr>
        <w:tabs>
          <w:tab w:val="clear" w:pos="567"/>
        </w:tabs>
        <w:spacing w:line="100" w:lineRule="atLeast"/>
        <w:ind w:right="-2"/>
        <w:rPr>
          <w:sz w:val="22"/>
          <w:szCs w:val="22"/>
        </w:rPr>
      </w:pPr>
    </w:p>
    <w:p w14:paraId="50CC88E0" w14:textId="77777777" w:rsidR="00823785" w:rsidRPr="00452D62" w:rsidRDefault="00823785" w:rsidP="00823785">
      <w:pPr>
        <w:tabs>
          <w:tab w:val="clear" w:pos="567"/>
        </w:tabs>
        <w:spacing w:line="100" w:lineRule="atLeast"/>
        <w:ind w:right="-2"/>
        <w:rPr>
          <w:sz w:val="22"/>
          <w:szCs w:val="22"/>
        </w:rPr>
      </w:pPr>
    </w:p>
    <w:p w14:paraId="51ABDF94" w14:textId="77777777" w:rsidR="00823785" w:rsidRPr="00452D62" w:rsidRDefault="00823785" w:rsidP="00823785">
      <w:pPr>
        <w:widowControl w:val="0"/>
        <w:tabs>
          <w:tab w:val="clear" w:pos="567"/>
        </w:tabs>
        <w:suppressAutoHyphens w:val="0"/>
        <w:spacing w:line="240" w:lineRule="auto"/>
        <w:ind w:left="567" w:hanging="567"/>
        <w:outlineLvl w:val="0"/>
        <w:rPr>
          <w:b/>
          <w:color w:val="auto"/>
          <w:sz w:val="22"/>
          <w:szCs w:val="22"/>
          <w:lang w:eastAsia="en-US"/>
        </w:rPr>
      </w:pPr>
      <w:r w:rsidRPr="00452D62">
        <w:rPr>
          <w:b/>
          <w:color w:val="auto"/>
          <w:sz w:val="22"/>
          <w:szCs w:val="22"/>
          <w:lang w:eastAsia="en-US"/>
        </w:rPr>
        <w:t>3.</w:t>
      </w:r>
      <w:r w:rsidRPr="00452D62">
        <w:rPr>
          <w:b/>
          <w:color w:val="auto"/>
          <w:sz w:val="22"/>
          <w:szCs w:val="22"/>
          <w:lang w:eastAsia="en-US"/>
        </w:rPr>
        <w:tab/>
        <w:t>Kaip vartoti Xerdoxo</w:t>
      </w:r>
    </w:p>
    <w:p w14:paraId="49AD0150" w14:textId="77777777" w:rsidR="00823785" w:rsidRPr="00452D62" w:rsidRDefault="00823785" w:rsidP="00823785">
      <w:pPr>
        <w:tabs>
          <w:tab w:val="clear" w:pos="567"/>
        </w:tabs>
        <w:spacing w:line="100" w:lineRule="atLeast"/>
        <w:ind w:right="-2"/>
        <w:rPr>
          <w:sz w:val="22"/>
          <w:szCs w:val="22"/>
        </w:rPr>
      </w:pPr>
    </w:p>
    <w:p w14:paraId="0D183E05" w14:textId="77777777" w:rsidR="00823785" w:rsidRPr="00452D62" w:rsidRDefault="00823785" w:rsidP="00823785">
      <w:pPr>
        <w:tabs>
          <w:tab w:val="clear" w:pos="567"/>
        </w:tabs>
        <w:spacing w:line="100" w:lineRule="atLeast"/>
        <w:ind w:right="-2"/>
        <w:rPr>
          <w:sz w:val="22"/>
          <w:szCs w:val="22"/>
        </w:rPr>
      </w:pPr>
      <w:r w:rsidRPr="00452D62">
        <w:rPr>
          <w:sz w:val="22"/>
          <w:szCs w:val="22"/>
        </w:rPr>
        <w:t>Visada vartokite šį vaistą tiksliai kaip nurodė gydytojas. Jeigu abejojate, kreipkitės į gydytoją arba vaistininką.</w:t>
      </w:r>
    </w:p>
    <w:p w14:paraId="76100521" w14:textId="77777777" w:rsidR="00823785" w:rsidRPr="00452D62" w:rsidRDefault="00823785" w:rsidP="00823785">
      <w:pPr>
        <w:tabs>
          <w:tab w:val="clear" w:pos="567"/>
        </w:tabs>
        <w:spacing w:line="100" w:lineRule="atLeast"/>
        <w:ind w:right="-2"/>
        <w:rPr>
          <w:sz w:val="22"/>
          <w:szCs w:val="22"/>
        </w:rPr>
      </w:pPr>
    </w:p>
    <w:p w14:paraId="5FA1AF7C" w14:textId="77777777" w:rsidR="00823785" w:rsidRPr="00452D62" w:rsidRDefault="00823785" w:rsidP="00823785">
      <w:pPr>
        <w:rPr>
          <w:sz w:val="22"/>
          <w:szCs w:val="22"/>
        </w:rPr>
      </w:pPr>
      <w:r w:rsidRPr="00452D62">
        <w:rPr>
          <w:sz w:val="22"/>
          <w:szCs w:val="22"/>
        </w:rPr>
        <w:t>Xerdoxo būtina vartoti valgio metu.</w:t>
      </w:r>
    </w:p>
    <w:p w14:paraId="58D6027C" w14:textId="77777777" w:rsidR="00823785" w:rsidRPr="00452D62" w:rsidRDefault="00823785" w:rsidP="00823785">
      <w:pPr>
        <w:rPr>
          <w:sz w:val="22"/>
          <w:szCs w:val="22"/>
        </w:rPr>
      </w:pPr>
      <w:r w:rsidRPr="00452D62">
        <w:rPr>
          <w:sz w:val="22"/>
          <w:szCs w:val="22"/>
        </w:rPr>
        <w:t>Nurykite tabletę (-es), geriausia užsigerdami vandeniu.</w:t>
      </w:r>
    </w:p>
    <w:p w14:paraId="252A321B" w14:textId="77777777" w:rsidR="00823785" w:rsidRPr="00452D62" w:rsidRDefault="00823785" w:rsidP="00823785">
      <w:pPr>
        <w:rPr>
          <w:sz w:val="22"/>
          <w:szCs w:val="22"/>
        </w:rPr>
      </w:pPr>
    </w:p>
    <w:p w14:paraId="5ED0EE3A" w14:textId="77777777" w:rsidR="00823785" w:rsidRPr="00452D62" w:rsidRDefault="00823785" w:rsidP="00823785">
      <w:pPr>
        <w:rPr>
          <w:sz w:val="22"/>
          <w:szCs w:val="22"/>
        </w:rPr>
      </w:pPr>
      <w:r w:rsidRPr="00452D62">
        <w:rPr>
          <w:sz w:val="22"/>
          <w:szCs w:val="22"/>
        </w:rPr>
        <w:t>Jeigu sunku nuryti visą tabletę, pasikalbėkite su gydytoju apie kitus Xerdoxo vartojimo būdus. Prieš pat vartojimą tabletę galima susmulkinti ir sumaišyti su vandeniu arba obuolių tyre.</w:t>
      </w:r>
      <w:r w:rsidRPr="00AE1B80">
        <w:rPr>
          <w:sz w:val="22"/>
          <w:szCs w:val="22"/>
        </w:rPr>
        <w:t xml:space="preserve"> </w:t>
      </w:r>
      <w:r w:rsidRPr="00452D62">
        <w:rPr>
          <w:sz w:val="22"/>
          <w:szCs w:val="22"/>
        </w:rPr>
        <w:t>Išgėrus šį mišinį, reikia nedelsiant pavalgyti.</w:t>
      </w:r>
    </w:p>
    <w:p w14:paraId="10501EA9" w14:textId="77777777" w:rsidR="00823785" w:rsidRPr="00452D62" w:rsidRDefault="00823785" w:rsidP="00823785">
      <w:pPr>
        <w:rPr>
          <w:sz w:val="22"/>
          <w:szCs w:val="22"/>
        </w:rPr>
      </w:pPr>
      <w:r w:rsidRPr="00452D62">
        <w:rPr>
          <w:sz w:val="22"/>
          <w:szCs w:val="22"/>
        </w:rPr>
        <w:t>Jeigu būtina, gydytojas gali Jums paskirti vartoti susmulkintą Xerdoxo tabletę ir per skrandžio vamzdelį.</w:t>
      </w:r>
    </w:p>
    <w:p w14:paraId="6CB4E8F9" w14:textId="77777777" w:rsidR="00823785" w:rsidRPr="00452D62" w:rsidRDefault="00823785" w:rsidP="00823785">
      <w:pPr>
        <w:rPr>
          <w:sz w:val="22"/>
          <w:szCs w:val="22"/>
        </w:rPr>
      </w:pPr>
    </w:p>
    <w:p w14:paraId="71D6A8CC" w14:textId="2E1C8118" w:rsidR="00823785" w:rsidRPr="00452D62" w:rsidRDefault="00823785" w:rsidP="00C815AC">
      <w:pPr>
        <w:widowControl w:val="0"/>
        <w:tabs>
          <w:tab w:val="clear" w:pos="567"/>
        </w:tabs>
        <w:suppressAutoHyphens w:val="0"/>
        <w:spacing w:line="240" w:lineRule="auto"/>
        <w:rPr>
          <w:b/>
          <w:bCs/>
          <w:sz w:val="22"/>
          <w:szCs w:val="22"/>
        </w:rPr>
      </w:pPr>
      <w:r w:rsidRPr="00452D62">
        <w:rPr>
          <w:b/>
          <w:bCs/>
          <w:sz w:val="22"/>
          <w:szCs w:val="22"/>
        </w:rPr>
        <w:t>Kiek vartoti</w:t>
      </w:r>
    </w:p>
    <w:p w14:paraId="169150C2" w14:textId="5AE7AA2D" w:rsidR="00C37F41" w:rsidRPr="00AE1B80" w:rsidRDefault="00C37F41" w:rsidP="00AE1B80">
      <w:pPr>
        <w:widowControl w:val="0"/>
        <w:numPr>
          <w:ilvl w:val="0"/>
          <w:numId w:val="35"/>
        </w:numPr>
        <w:tabs>
          <w:tab w:val="clear" w:pos="567"/>
        </w:tabs>
        <w:suppressAutoHyphens w:val="0"/>
        <w:spacing w:line="240" w:lineRule="auto"/>
        <w:rPr>
          <w:b/>
          <w:noProof/>
          <w:color w:val="auto"/>
          <w:sz w:val="22"/>
          <w:szCs w:val="22"/>
          <w:lang w:val="en-US" w:eastAsia="en-US"/>
        </w:rPr>
      </w:pPr>
      <w:r w:rsidRPr="00AE1B80">
        <w:rPr>
          <w:b/>
          <w:noProof/>
          <w:color w:val="auto"/>
          <w:sz w:val="22"/>
          <w:szCs w:val="22"/>
          <w:lang w:val="en-US" w:eastAsia="en-US"/>
        </w:rPr>
        <w:t>Suaugusie</w:t>
      </w:r>
      <w:r w:rsidR="00BC1F3E">
        <w:rPr>
          <w:b/>
          <w:noProof/>
          <w:color w:val="auto"/>
          <w:sz w:val="22"/>
          <w:szCs w:val="22"/>
          <w:lang w:val="en-US" w:eastAsia="en-US"/>
        </w:rPr>
        <w:t>sie</w:t>
      </w:r>
      <w:r w:rsidRPr="00AE1B80">
        <w:rPr>
          <w:b/>
          <w:noProof/>
          <w:color w:val="auto"/>
          <w:sz w:val="22"/>
          <w:szCs w:val="22"/>
          <w:lang w:val="en-US" w:eastAsia="en-US"/>
        </w:rPr>
        <w:t>ms</w:t>
      </w:r>
    </w:p>
    <w:p w14:paraId="5316893A" w14:textId="77777777" w:rsidR="00823785" w:rsidRPr="000877E9" w:rsidRDefault="00823785" w:rsidP="00823785">
      <w:pPr>
        <w:ind w:left="564" w:hanging="564"/>
        <w:rPr>
          <w:sz w:val="22"/>
          <w:szCs w:val="22"/>
        </w:rPr>
      </w:pPr>
      <w:r w:rsidRPr="00452D62">
        <w:rPr>
          <w:sz w:val="22"/>
          <w:szCs w:val="22"/>
        </w:rPr>
        <w:t>-</w:t>
      </w:r>
      <w:r w:rsidRPr="00452D62">
        <w:rPr>
          <w:sz w:val="22"/>
          <w:szCs w:val="22"/>
        </w:rPr>
        <w:tab/>
        <w:t xml:space="preserve">Kraujo </w:t>
      </w:r>
      <w:r w:rsidRPr="000877E9">
        <w:rPr>
          <w:sz w:val="22"/>
          <w:szCs w:val="22"/>
        </w:rPr>
        <w:t>krešulių susidarymo smegenyse (insulto) ir kitų kūno vietų kraujagyslėse profilaktikai</w:t>
      </w:r>
    </w:p>
    <w:p w14:paraId="229B5E4C" w14:textId="5F4319FC" w:rsidR="00823785" w:rsidRPr="00452D62" w:rsidRDefault="00823785" w:rsidP="00823785">
      <w:pPr>
        <w:tabs>
          <w:tab w:val="clear" w:pos="567"/>
        </w:tabs>
        <w:ind w:left="564" w:firstLine="3"/>
        <w:rPr>
          <w:sz w:val="22"/>
          <w:szCs w:val="22"/>
        </w:rPr>
      </w:pPr>
      <w:r w:rsidRPr="00452D62">
        <w:rPr>
          <w:sz w:val="22"/>
          <w:szCs w:val="22"/>
        </w:rPr>
        <w:t>Rekomenduojama dozė yra viena Xerdoxo 20 mg tabletė vieną kartą per parą.</w:t>
      </w:r>
    </w:p>
    <w:p w14:paraId="3D7D567C" w14:textId="77777777" w:rsidR="00823785" w:rsidRPr="00452D62" w:rsidRDefault="00823785" w:rsidP="00823785">
      <w:pPr>
        <w:tabs>
          <w:tab w:val="clear" w:pos="567"/>
        </w:tabs>
        <w:ind w:left="564" w:firstLine="3"/>
        <w:rPr>
          <w:sz w:val="22"/>
          <w:szCs w:val="22"/>
        </w:rPr>
      </w:pPr>
      <w:r w:rsidRPr="00452D62">
        <w:rPr>
          <w:sz w:val="22"/>
          <w:szCs w:val="22"/>
        </w:rPr>
        <w:t>Jeigu Jūsų inkstų veikla sutrikusi, dozė gali būti sumažinta iki vienos Xerdoxo 15 mg tabletės vieną kartą per parą.</w:t>
      </w:r>
    </w:p>
    <w:p w14:paraId="0C6BBAD3" w14:textId="77777777" w:rsidR="00823785" w:rsidRPr="00452D62" w:rsidRDefault="00823785" w:rsidP="00823785">
      <w:pPr>
        <w:tabs>
          <w:tab w:val="clear" w:pos="567"/>
        </w:tabs>
        <w:ind w:left="567"/>
        <w:rPr>
          <w:sz w:val="22"/>
          <w:szCs w:val="22"/>
        </w:rPr>
      </w:pPr>
      <w:r w:rsidRPr="00452D62">
        <w:rPr>
          <w:sz w:val="22"/>
          <w:szCs w:val="22"/>
        </w:rPr>
        <w:t>Jeigu Jums reikalinga procedūra, skirta užsikimšusių širdies kraujagyslių gydymui (vadinama perkutanine vainikine intervencija – PVI su stento įvedimu), dozės sumažinimo iki vienos Xerdoxo 15 mg tabletės vieną kartą per parą (arba iki vienos Xerdoxo 10 mg tabletės vieną kartą per parą, jeigu Jūsų inkstų veikla sutrikusi), vartojant kartu su antitrombocitiniu vaistu, pavyzdžiui, klopidogreliu, patirtis yra ribota.</w:t>
      </w:r>
    </w:p>
    <w:p w14:paraId="1BEAFA16" w14:textId="77777777" w:rsidR="00823785" w:rsidRPr="00452D62" w:rsidRDefault="00823785" w:rsidP="00823785">
      <w:pPr>
        <w:ind w:left="564" w:hanging="564"/>
        <w:rPr>
          <w:sz w:val="22"/>
          <w:szCs w:val="22"/>
        </w:rPr>
      </w:pPr>
    </w:p>
    <w:p w14:paraId="2088D1C5" w14:textId="77777777" w:rsidR="00823785" w:rsidRPr="00452D62" w:rsidRDefault="00823785" w:rsidP="00823785">
      <w:pPr>
        <w:ind w:left="564" w:hanging="564"/>
        <w:rPr>
          <w:sz w:val="22"/>
          <w:szCs w:val="22"/>
        </w:rPr>
      </w:pPr>
      <w:r w:rsidRPr="00452D62">
        <w:rPr>
          <w:sz w:val="22"/>
          <w:szCs w:val="22"/>
        </w:rPr>
        <w:t>-</w:t>
      </w:r>
      <w:r w:rsidRPr="00452D62">
        <w:rPr>
          <w:sz w:val="22"/>
          <w:szCs w:val="22"/>
        </w:rPr>
        <w:tab/>
        <w:t>Kraujo krešulių kojų venose bei kraujo krešulių plaučių kraujagyslėse gydymui ir pakartotinio kraujo krešulių susidarymo profilaktikai</w:t>
      </w:r>
    </w:p>
    <w:p w14:paraId="3BE439C0" w14:textId="77777777" w:rsidR="00823785" w:rsidRPr="00452D62" w:rsidRDefault="00823785" w:rsidP="00823785">
      <w:pPr>
        <w:tabs>
          <w:tab w:val="clear" w:pos="567"/>
        </w:tabs>
        <w:ind w:left="564" w:firstLine="3"/>
        <w:rPr>
          <w:sz w:val="22"/>
          <w:szCs w:val="22"/>
        </w:rPr>
      </w:pPr>
      <w:r w:rsidRPr="00452D62">
        <w:rPr>
          <w:sz w:val="22"/>
          <w:szCs w:val="22"/>
        </w:rPr>
        <w:t>Pirmąsias 3 savaites rekomenduojama dozė yra viena Xerdoxo 15 mg tabletė du kartus per parą.</w:t>
      </w:r>
    </w:p>
    <w:p w14:paraId="3D8843A8" w14:textId="77777777" w:rsidR="00823785" w:rsidRPr="00452D62" w:rsidRDefault="00823785" w:rsidP="00823785">
      <w:pPr>
        <w:tabs>
          <w:tab w:val="clear" w:pos="567"/>
        </w:tabs>
        <w:ind w:left="564" w:firstLine="3"/>
        <w:rPr>
          <w:sz w:val="22"/>
          <w:szCs w:val="22"/>
        </w:rPr>
      </w:pPr>
      <w:r w:rsidRPr="00452D62">
        <w:rPr>
          <w:sz w:val="22"/>
          <w:szCs w:val="22"/>
        </w:rPr>
        <w:t>Po 3 savaičių rekomenduojama dozė yra viena Xerdoxo 20 mg tabletė kartą per parą.</w:t>
      </w:r>
    </w:p>
    <w:p w14:paraId="2F9853C2" w14:textId="77777777" w:rsidR="00823785" w:rsidRPr="00452D62" w:rsidRDefault="00823785" w:rsidP="00823785">
      <w:pPr>
        <w:tabs>
          <w:tab w:val="clear" w:pos="567"/>
        </w:tabs>
        <w:ind w:left="564" w:firstLine="3"/>
        <w:rPr>
          <w:sz w:val="22"/>
          <w:szCs w:val="22"/>
        </w:rPr>
      </w:pPr>
      <w:r w:rsidRPr="00452D62">
        <w:rPr>
          <w:sz w:val="22"/>
          <w:szCs w:val="22"/>
        </w:rPr>
        <w:t>Po kraujo krešulio gydymo, trukusio ne mažiau kaip 6 mėnesius, gydytojas gali nuspręsti tęsti gydymą ir skirti po vieną 10 mg tabletę kartą per parą arba po vieną 20 mg tabletę kartą per parą.</w:t>
      </w:r>
    </w:p>
    <w:p w14:paraId="01D1F726" w14:textId="2E4CEA0A" w:rsidR="00823785" w:rsidRPr="00452D62" w:rsidRDefault="00823785" w:rsidP="00823785">
      <w:pPr>
        <w:tabs>
          <w:tab w:val="clear" w:pos="567"/>
        </w:tabs>
        <w:ind w:left="564" w:firstLine="3"/>
        <w:rPr>
          <w:sz w:val="22"/>
          <w:szCs w:val="22"/>
        </w:rPr>
      </w:pPr>
      <w:r w:rsidRPr="00452D62">
        <w:rPr>
          <w:sz w:val="22"/>
          <w:szCs w:val="22"/>
        </w:rPr>
        <w:t>Jeigu Jūsų inkstų funkcija sutrikusi ir Jūs vartojate po vieną Xerdoxo 20 mg tabletę kartą per parą, gydytojas gali nuspręsti po trijų savaičių sumažinti dozę iki vienos Xerdoxo 15 mg tabletės vieną kartą per parą, jei kraujavimo rizika yra didesnė negu naujo krešulio susidarymo rizika.</w:t>
      </w:r>
    </w:p>
    <w:p w14:paraId="57BB3D20" w14:textId="77777777" w:rsidR="00C37F41" w:rsidRPr="00452D62" w:rsidRDefault="00C37F41" w:rsidP="00823785">
      <w:pPr>
        <w:tabs>
          <w:tab w:val="clear" w:pos="567"/>
        </w:tabs>
        <w:ind w:left="564" w:firstLine="3"/>
        <w:rPr>
          <w:sz w:val="22"/>
          <w:szCs w:val="22"/>
        </w:rPr>
      </w:pPr>
    </w:p>
    <w:p w14:paraId="20220026" w14:textId="074C9DC4" w:rsidR="00C37F41" w:rsidRPr="00AE1B80" w:rsidRDefault="00C37F41" w:rsidP="00AE1B80">
      <w:pPr>
        <w:widowControl w:val="0"/>
        <w:numPr>
          <w:ilvl w:val="0"/>
          <w:numId w:val="35"/>
        </w:numPr>
        <w:tabs>
          <w:tab w:val="clear" w:pos="567"/>
        </w:tabs>
        <w:suppressAutoHyphens w:val="0"/>
        <w:spacing w:line="240" w:lineRule="auto"/>
        <w:rPr>
          <w:b/>
          <w:noProof/>
          <w:color w:val="auto"/>
          <w:sz w:val="22"/>
          <w:szCs w:val="22"/>
          <w:lang w:val="en-US" w:eastAsia="en-US"/>
        </w:rPr>
      </w:pPr>
      <w:r w:rsidRPr="00AE1B80">
        <w:rPr>
          <w:b/>
          <w:sz w:val="22"/>
          <w:szCs w:val="22"/>
        </w:rPr>
        <w:t>Vaikams ir paaugliams</w:t>
      </w:r>
    </w:p>
    <w:p w14:paraId="536C81FA" w14:textId="60EA8209" w:rsidR="00C37F41" w:rsidRPr="00452D62" w:rsidRDefault="009F6EE4" w:rsidP="00C37F41">
      <w:pPr>
        <w:pStyle w:val="Default"/>
        <w:rPr>
          <w:sz w:val="22"/>
          <w:szCs w:val="22"/>
        </w:rPr>
      </w:pPr>
      <w:r w:rsidRPr="00452D62">
        <w:rPr>
          <w:sz w:val="22"/>
          <w:szCs w:val="22"/>
        </w:rPr>
        <w:t>Xerdoxo</w:t>
      </w:r>
      <w:r w:rsidR="00C37F41" w:rsidRPr="000877E9">
        <w:rPr>
          <w:sz w:val="22"/>
          <w:szCs w:val="22"/>
        </w:rPr>
        <w:t xml:space="preserve"> dozė priklauso nuo kūno svori</w:t>
      </w:r>
      <w:r w:rsidRPr="000877E9">
        <w:rPr>
          <w:sz w:val="22"/>
          <w:szCs w:val="22"/>
        </w:rPr>
        <w:t>o, ir ją apskaičiuos gydytojas.</w:t>
      </w:r>
    </w:p>
    <w:p w14:paraId="04C33B4D" w14:textId="21A6D1F2" w:rsidR="00C37F41" w:rsidRPr="00AE1B80" w:rsidRDefault="00C37F41" w:rsidP="00AE1B80">
      <w:pPr>
        <w:widowControl w:val="0"/>
        <w:numPr>
          <w:ilvl w:val="0"/>
          <w:numId w:val="36"/>
        </w:numPr>
        <w:tabs>
          <w:tab w:val="clear" w:pos="567"/>
        </w:tabs>
        <w:suppressAutoHyphens w:val="0"/>
        <w:spacing w:line="240" w:lineRule="auto"/>
        <w:ind w:left="567" w:hanging="567"/>
        <w:rPr>
          <w:b/>
          <w:noProof/>
          <w:color w:val="auto"/>
          <w:sz w:val="22"/>
          <w:szCs w:val="22"/>
          <w:lang w:eastAsia="en-US"/>
        </w:rPr>
      </w:pPr>
      <w:r w:rsidRPr="00AE1B80">
        <w:rPr>
          <w:sz w:val="22"/>
          <w:szCs w:val="22"/>
        </w:rPr>
        <w:t xml:space="preserve">Vaikams ir paaugliams, kurių </w:t>
      </w:r>
      <w:r w:rsidRPr="00AE1B80">
        <w:rPr>
          <w:b/>
          <w:bCs/>
          <w:sz w:val="22"/>
          <w:szCs w:val="22"/>
        </w:rPr>
        <w:t>kūno svoris yra nuo 30</w:t>
      </w:r>
      <w:r w:rsidR="00BC1F3E">
        <w:rPr>
          <w:b/>
          <w:bCs/>
          <w:sz w:val="22"/>
          <w:szCs w:val="22"/>
        </w:rPr>
        <w:t> </w:t>
      </w:r>
      <w:r w:rsidRPr="00AE1B80">
        <w:rPr>
          <w:b/>
          <w:bCs/>
          <w:sz w:val="22"/>
          <w:szCs w:val="22"/>
        </w:rPr>
        <w:t>kg iki mažiau kaip 50</w:t>
      </w:r>
      <w:r w:rsidR="00BC1F3E">
        <w:rPr>
          <w:b/>
          <w:bCs/>
          <w:sz w:val="22"/>
          <w:szCs w:val="22"/>
        </w:rPr>
        <w:t> </w:t>
      </w:r>
      <w:r w:rsidRPr="00AE1B80">
        <w:rPr>
          <w:b/>
          <w:bCs/>
          <w:sz w:val="22"/>
          <w:szCs w:val="22"/>
        </w:rPr>
        <w:t>kg</w:t>
      </w:r>
      <w:r w:rsidRPr="00AE1B80">
        <w:rPr>
          <w:sz w:val="22"/>
          <w:szCs w:val="22"/>
        </w:rPr>
        <w:t xml:space="preserve">, rekomenduojama dozė yra viena </w:t>
      </w:r>
      <w:r w:rsidR="009F6EE4" w:rsidRPr="00452D62">
        <w:rPr>
          <w:b/>
          <w:bCs/>
          <w:sz w:val="22"/>
          <w:szCs w:val="22"/>
        </w:rPr>
        <w:t>Xerdoxo</w:t>
      </w:r>
      <w:r w:rsidRPr="00AE1B80">
        <w:rPr>
          <w:b/>
          <w:bCs/>
          <w:sz w:val="22"/>
          <w:szCs w:val="22"/>
        </w:rPr>
        <w:t xml:space="preserve"> 15</w:t>
      </w:r>
      <w:r w:rsidR="00BC1F3E">
        <w:rPr>
          <w:b/>
          <w:bCs/>
          <w:sz w:val="22"/>
          <w:szCs w:val="22"/>
        </w:rPr>
        <w:t> </w:t>
      </w:r>
      <w:r w:rsidRPr="00AE1B80">
        <w:rPr>
          <w:b/>
          <w:bCs/>
          <w:sz w:val="22"/>
          <w:szCs w:val="22"/>
        </w:rPr>
        <w:t xml:space="preserve">mg tabletė </w:t>
      </w:r>
      <w:r w:rsidR="009F6EE4" w:rsidRPr="00452D62">
        <w:rPr>
          <w:sz w:val="22"/>
          <w:szCs w:val="22"/>
        </w:rPr>
        <w:t>vieną kartą per parą.</w:t>
      </w:r>
    </w:p>
    <w:p w14:paraId="50C6A687" w14:textId="447D5A80" w:rsidR="00C37F41" w:rsidRPr="00AE1B80" w:rsidRDefault="00C37F41" w:rsidP="00AE1B80">
      <w:pPr>
        <w:widowControl w:val="0"/>
        <w:numPr>
          <w:ilvl w:val="0"/>
          <w:numId w:val="36"/>
        </w:numPr>
        <w:tabs>
          <w:tab w:val="clear" w:pos="567"/>
        </w:tabs>
        <w:suppressAutoHyphens w:val="0"/>
        <w:spacing w:line="240" w:lineRule="auto"/>
        <w:ind w:left="567" w:hanging="567"/>
        <w:rPr>
          <w:b/>
          <w:noProof/>
          <w:color w:val="auto"/>
          <w:sz w:val="22"/>
          <w:szCs w:val="22"/>
          <w:lang w:eastAsia="en-US"/>
        </w:rPr>
      </w:pPr>
      <w:r w:rsidRPr="00AE1B80">
        <w:rPr>
          <w:sz w:val="22"/>
          <w:szCs w:val="22"/>
        </w:rPr>
        <w:t xml:space="preserve">Vaikams ir paaugliams, kurių </w:t>
      </w:r>
      <w:r w:rsidRPr="00AE1B80">
        <w:rPr>
          <w:b/>
          <w:bCs/>
          <w:sz w:val="22"/>
          <w:szCs w:val="22"/>
        </w:rPr>
        <w:t>kūno svoris yra 50</w:t>
      </w:r>
      <w:r w:rsidR="00BC1F3E">
        <w:rPr>
          <w:b/>
          <w:bCs/>
          <w:sz w:val="22"/>
          <w:szCs w:val="22"/>
        </w:rPr>
        <w:t> </w:t>
      </w:r>
      <w:r w:rsidRPr="00AE1B80">
        <w:rPr>
          <w:b/>
          <w:bCs/>
          <w:sz w:val="22"/>
          <w:szCs w:val="22"/>
        </w:rPr>
        <w:t>kg arba daugiau</w:t>
      </w:r>
      <w:r w:rsidRPr="00AE1B80">
        <w:rPr>
          <w:sz w:val="22"/>
          <w:szCs w:val="22"/>
        </w:rPr>
        <w:t xml:space="preserve">, rekomenduojama dozė yra viena </w:t>
      </w:r>
      <w:r w:rsidR="009F6EE4" w:rsidRPr="00452D62">
        <w:rPr>
          <w:b/>
          <w:bCs/>
          <w:sz w:val="22"/>
          <w:szCs w:val="22"/>
        </w:rPr>
        <w:t>Xerdoxo</w:t>
      </w:r>
      <w:r w:rsidRPr="00AE1B80">
        <w:rPr>
          <w:b/>
          <w:bCs/>
          <w:sz w:val="22"/>
          <w:szCs w:val="22"/>
        </w:rPr>
        <w:t xml:space="preserve"> 20</w:t>
      </w:r>
      <w:r w:rsidR="00BC1F3E">
        <w:rPr>
          <w:b/>
          <w:bCs/>
          <w:sz w:val="22"/>
          <w:szCs w:val="22"/>
        </w:rPr>
        <w:t> </w:t>
      </w:r>
      <w:r w:rsidRPr="00AE1B80">
        <w:rPr>
          <w:b/>
          <w:bCs/>
          <w:sz w:val="22"/>
          <w:szCs w:val="22"/>
        </w:rPr>
        <w:t xml:space="preserve">mg tabletė </w:t>
      </w:r>
      <w:r w:rsidR="009F6EE4" w:rsidRPr="00452D62">
        <w:rPr>
          <w:sz w:val="22"/>
          <w:szCs w:val="22"/>
        </w:rPr>
        <w:t>vieną kartą per parą.</w:t>
      </w:r>
    </w:p>
    <w:p w14:paraId="50352CCE" w14:textId="6D485BCF" w:rsidR="00C37F41" w:rsidRPr="00452D62" w:rsidRDefault="009F6EE4" w:rsidP="00C37F41">
      <w:pPr>
        <w:pStyle w:val="Default"/>
        <w:rPr>
          <w:sz w:val="22"/>
          <w:szCs w:val="22"/>
        </w:rPr>
      </w:pPr>
      <w:r w:rsidRPr="00452D62">
        <w:rPr>
          <w:sz w:val="22"/>
          <w:szCs w:val="22"/>
        </w:rPr>
        <w:t>Kiekvieną Xerdoxo</w:t>
      </w:r>
      <w:r w:rsidR="00C37F41" w:rsidRPr="000877E9">
        <w:rPr>
          <w:sz w:val="22"/>
          <w:szCs w:val="22"/>
        </w:rPr>
        <w:t xml:space="preserve"> dozę vartokite užsigerdami valgio metu (pvz., vandeniu ar sultimis). Tabletes vartokite kasdien maždaug tuo pačiu metu. Apsvarstykite, ar nev</w:t>
      </w:r>
      <w:r w:rsidR="00C37F41" w:rsidRPr="00452D62">
        <w:rPr>
          <w:sz w:val="22"/>
          <w:szCs w:val="22"/>
        </w:rPr>
        <w:t xml:space="preserve">ertėtų </w:t>
      </w:r>
      <w:r w:rsidRPr="00452D62">
        <w:rPr>
          <w:sz w:val="22"/>
          <w:szCs w:val="22"/>
        </w:rPr>
        <w:t>nustatyti žadintuvo priminimui.</w:t>
      </w:r>
    </w:p>
    <w:p w14:paraId="2304B1FB" w14:textId="5DF67E05" w:rsidR="00C37F41" w:rsidRPr="00452D62" w:rsidRDefault="00C37F41" w:rsidP="00C37F41">
      <w:pPr>
        <w:pStyle w:val="Default"/>
        <w:rPr>
          <w:sz w:val="22"/>
          <w:szCs w:val="22"/>
        </w:rPr>
      </w:pPr>
      <w:r w:rsidRPr="00452D62">
        <w:rPr>
          <w:sz w:val="22"/>
          <w:szCs w:val="22"/>
        </w:rPr>
        <w:t>Tėvams arba globėjams: stebėkite vaiką, kad būtų užtikrintas pilnos doz</w:t>
      </w:r>
      <w:r w:rsidR="009F6EE4" w:rsidRPr="00452D62">
        <w:rPr>
          <w:sz w:val="22"/>
          <w:szCs w:val="22"/>
        </w:rPr>
        <w:t>ės suvartojimas.</w:t>
      </w:r>
    </w:p>
    <w:p w14:paraId="544D7562" w14:textId="77777777" w:rsidR="009F6EE4" w:rsidRPr="00452D62" w:rsidRDefault="009F6EE4" w:rsidP="00C37F41">
      <w:pPr>
        <w:pStyle w:val="Default"/>
        <w:rPr>
          <w:sz w:val="22"/>
          <w:szCs w:val="22"/>
        </w:rPr>
      </w:pPr>
    </w:p>
    <w:p w14:paraId="062CA72E" w14:textId="5F225A38" w:rsidR="00C37F41" w:rsidRPr="00452D62" w:rsidRDefault="009F6EE4" w:rsidP="00C37F41">
      <w:pPr>
        <w:pStyle w:val="Default"/>
        <w:rPr>
          <w:sz w:val="22"/>
          <w:szCs w:val="22"/>
        </w:rPr>
      </w:pPr>
      <w:r w:rsidRPr="00452D62">
        <w:rPr>
          <w:sz w:val="22"/>
          <w:szCs w:val="22"/>
        </w:rPr>
        <w:t>Kadangi Xerdoxo</w:t>
      </w:r>
      <w:r w:rsidR="00C37F41" w:rsidRPr="00452D62">
        <w:rPr>
          <w:sz w:val="22"/>
          <w:szCs w:val="22"/>
        </w:rPr>
        <w:t xml:space="preserve"> dozė priklauso nuo kūno svorio, svarbu suplanuoti apsilankymus pas gydytoją, nes, keičiantis kūno svoriui,</w:t>
      </w:r>
      <w:r w:rsidRPr="00452D62">
        <w:rPr>
          <w:sz w:val="22"/>
          <w:szCs w:val="22"/>
        </w:rPr>
        <w:t xml:space="preserve"> gali prireikti koreguoti dozę.</w:t>
      </w:r>
    </w:p>
    <w:p w14:paraId="7A163DA4" w14:textId="743B7BF9" w:rsidR="00C37F41" w:rsidRPr="00452D62" w:rsidRDefault="00C37F41" w:rsidP="00C37F41">
      <w:pPr>
        <w:pStyle w:val="Default"/>
        <w:rPr>
          <w:sz w:val="22"/>
          <w:szCs w:val="22"/>
        </w:rPr>
      </w:pPr>
      <w:r w:rsidRPr="00452D62">
        <w:rPr>
          <w:b/>
          <w:bCs/>
          <w:sz w:val="22"/>
          <w:szCs w:val="22"/>
        </w:rPr>
        <w:t>Nie</w:t>
      </w:r>
      <w:r w:rsidR="009F6EE4" w:rsidRPr="00452D62">
        <w:rPr>
          <w:b/>
          <w:bCs/>
          <w:sz w:val="22"/>
          <w:szCs w:val="22"/>
        </w:rPr>
        <w:t>kada patys nekoreguokite Xerdoxo</w:t>
      </w:r>
      <w:r w:rsidRPr="00452D62">
        <w:rPr>
          <w:b/>
          <w:bCs/>
          <w:sz w:val="22"/>
          <w:szCs w:val="22"/>
        </w:rPr>
        <w:t xml:space="preserve"> dozės. </w:t>
      </w:r>
      <w:r w:rsidRPr="00452D62">
        <w:rPr>
          <w:sz w:val="22"/>
          <w:szCs w:val="22"/>
        </w:rPr>
        <w:t>Jei rei</w:t>
      </w:r>
      <w:r w:rsidR="009F6EE4" w:rsidRPr="00452D62">
        <w:rPr>
          <w:sz w:val="22"/>
          <w:szCs w:val="22"/>
        </w:rPr>
        <w:t>kės, dozę pakoreguos gydytojas.</w:t>
      </w:r>
    </w:p>
    <w:p w14:paraId="0D6BA6C8" w14:textId="77777777" w:rsidR="009F6EE4" w:rsidRPr="00452D62" w:rsidRDefault="009F6EE4" w:rsidP="00C37F41">
      <w:pPr>
        <w:pStyle w:val="Default"/>
        <w:rPr>
          <w:sz w:val="22"/>
          <w:szCs w:val="22"/>
        </w:rPr>
      </w:pPr>
    </w:p>
    <w:p w14:paraId="4247A3AE" w14:textId="481FAE28" w:rsidR="00C37F41" w:rsidRPr="00452D62" w:rsidRDefault="00C37F41" w:rsidP="00C37F41">
      <w:pPr>
        <w:pStyle w:val="Default"/>
        <w:rPr>
          <w:sz w:val="22"/>
          <w:szCs w:val="22"/>
        </w:rPr>
      </w:pPr>
      <w:r w:rsidRPr="00452D62">
        <w:rPr>
          <w:sz w:val="22"/>
          <w:szCs w:val="22"/>
        </w:rPr>
        <w:t xml:space="preserve">Tabletės negalima skelti per pusę, norint suvartoti dalį tabletės dozės. Jei reikalinga mažesnė dozė, vartokite </w:t>
      </w:r>
      <w:r w:rsidR="009F6EE4" w:rsidRPr="00452D62">
        <w:rPr>
          <w:sz w:val="22"/>
          <w:szCs w:val="22"/>
        </w:rPr>
        <w:t>kitą vaisto formą, t. y. rivaroksabano</w:t>
      </w:r>
      <w:r w:rsidRPr="00452D62">
        <w:rPr>
          <w:sz w:val="22"/>
          <w:szCs w:val="22"/>
        </w:rPr>
        <w:t xml:space="preserve"> g</w:t>
      </w:r>
      <w:r w:rsidR="009F6EE4" w:rsidRPr="00452D62">
        <w:rPr>
          <w:sz w:val="22"/>
          <w:szCs w:val="22"/>
        </w:rPr>
        <w:t>ranules geriamajai suspensijai.</w:t>
      </w:r>
    </w:p>
    <w:p w14:paraId="515F21A7" w14:textId="153AD34F" w:rsidR="00C37F41" w:rsidRPr="00452D62" w:rsidRDefault="00C37F41" w:rsidP="00C37F41">
      <w:pPr>
        <w:pStyle w:val="Default"/>
        <w:rPr>
          <w:sz w:val="22"/>
          <w:szCs w:val="22"/>
        </w:rPr>
      </w:pPr>
      <w:r w:rsidRPr="00452D62">
        <w:rPr>
          <w:sz w:val="22"/>
          <w:szCs w:val="22"/>
        </w:rPr>
        <w:t>Vaikams ir paaugliams, kurie negali nuryti vi</w:t>
      </w:r>
      <w:r w:rsidR="009F6EE4" w:rsidRPr="00452D62">
        <w:rPr>
          <w:sz w:val="22"/>
          <w:szCs w:val="22"/>
        </w:rPr>
        <w:t>sos tabletės, reikia vartoti rivaroksabano</w:t>
      </w:r>
      <w:r w:rsidRPr="00452D62">
        <w:rPr>
          <w:sz w:val="22"/>
          <w:szCs w:val="22"/>
        </w:rPr>
        <w:t xml:space="preserve"> g</w:t>
      </w:r>
      <w:r w:rsidR="009F6EE4" w:rsidRPr="00452D62">
        <w:rPr>
          <w:sz w:val="22"/>
          <w:szCs w:val="22"/>
        </w:rPr>
        <w:t>ranules geriamajai suspensijai.</w:t>
      </w:r>
    </w:p>
    <w:p w14:paraId="10BEE5C7" w14:textId="36F657E6" w:rsidR="00823785" w:rsidRPr="00452D62" w:rsidRDefault="00C37F41" w:rsidP="00C37F41">
      <w:pPr>
        <w:rPr>
          <w:sz w:val="22"/>
          <w:szCs w:val="22"/>
        </w:rPr>
      </w:pPr>
      <w:r w:rsidRPr="00452D62">
        <w:rPr>
          <w:sz w:val="22"/>
          <w:szCs w:val="22"/>
        </w:rPr>
        <w:t>Jei geriamosios suspensijos netu</w:t>
      </w:r>
      <w:r w:rsidR="009F6EE4" w:rsidRPr="00452D62">
        <w:rPr>
          <w:sz w:val="22"/>
          <w:szCs w:val="22"/>
        </w:rPr>
        <w:t>rite, galima sutraiškyti Xerdoxo</w:t>
      </w:r>
      <w:r w:rsidRPr="00452D62">
        <w:rPr>
          <w:sz w:val="22"/>
          <w:szCs w:val="22"/>
        </w:rPr>
        <w:t xml:space="preserve"> tabletę ir prieš pat vartojant sumaišyti ją su vandeniu arba obuolių tyre. Suvartojus šį mišinį, reikia nedelsiant pavalgyti. Jei reikalinga, sutraiškyt</w:t>
      </w:r>
      <w:r w:rsidR="009F6EE4" w:rsidRPr="00452D62">
        <w:rPr>
          <w:sz w:val="22"/>
          <w:szCs w:val="22"/>
        </w:rPr>
        <w:t>ą Xerdoxo</w:t>
      </w:r>
      <w:r w:rsidRPr="00452D62">
        <w:rPr>
          <w:sz w:val="22"/>
          <w:szCs w:val="22"/>
        </w:rPr>
        <w:t xml:space="preserve"> tabletę gydytojas gali duoti suvartoti per skrandžio vamzdelį.</w:t>
      </w:r>
    </w:p>
    <w:p w14:paraId="2396E833" w14:textId="77777777" w:rsidR="009F6EE4" w:rsidRPr="00452D62" w:rsidRDefault="009F6EE4" w:rsidP="00C37F41">
      <w:pPr>
        <w:rPr>
          <w:sz w:val="22"/>
          <w:szCs w:val="22"/>
        </w:rPr>
      </w:pPr>
    </w:p>
    <w:p w14:paraId="0681B486" w14:textId="77777777" w:rsidR="00823785" w:rsidRPr="00452D62" w:rsidRDefault="00823785" w:rsidP="00823785">
      <w:pPr>
        <w:rPr>
          <w:b/>
          <w:sz w:val="22"/>
          <w:szCs w:val="22"/>
        </w:rPr>
      </w:pPr>
      <w:r w:rsidRPr="00452D62">
        <w:rPr>
          <w:b/>
          <w:sz w:val="22"/>
          <w:szCs w:val="22"/>
        </w:rPr>
        <w:t>Jei išspjovėte vaisto dozę arba vėmėte</w:t>
      </w:r>
    </w:p>
    <w:p w14:paraId="38F7391E" w14:textId="77777777" w:rsidR="00823785" w:rsidRPr="00AE1B80" w:rsidRDefault="00823785" w:rsidP="00C815AC">
      <w:pPr>
        <w:widowControl w:val="0"/>
        <w:numPr>
          <w:ilvl w:val="0"/>
          <w:numId w:val="36"/>
        </w:numPr>
        <w:tabs>
          <w:tab w:val="clear" w:pos="567"/>
        </w:tabs>
        <w:suppressAutoHyphens w:val="0"/>
        <w:spacing w:line="240" w:lineRule="auto"/>
        <w:ind w:left="567" w:hanging="567"/>
        <w:rPr>
          <w:noProof/>
          <w:color w:val="auto"/>
          <w:sz w:val="22"/>
          <w:szCs w:val="22"/>
          <w:lang w:eastAsia="en-US"/>
        </w:rPr>
      </w:pPr>
      <w:r w:rsidRPr="00452D62">
        <w:rPr>
          <w:sz w:val="22"/>
          <w:szCs w:val="22"/>
        </w:rPr>
        <w:t>praėjus mažiau kaip 30 minučių po Xerdoxo vartojimo, suvartokite naują dozę.</w:t>
      </w:r>
    </w:p>
    <w:p w14:paraId="7F5715D4" w14:textId="77777777" w:rsidR="00823785" w:rsidRPr="00AE1B80" w:rsidRDefault="00823785" w:rsidP="00C815AC">
      <w:pPr>
        <w:widowControl w:val="0"/>
        <w:numPr>
          <w:ilvl w:val="0"/>
          <w:numId w:val="36"/>
        </w:numPr>
        <w:tabs>
          <w:tab w:val="clear" w:pos="567"/>
        </w:tabs>
        <w:suppressAutoHyphens w:val="0"/>
        <w:spacing w:line="240" w:lineRule="auto"/>
        <w:ind w:left="567" w:hanging="567"/>
        <w:rPr>
          <w:noProof/>
          <w:color w:val="auto"/>
          <w:sz w:val="22"/>
          <w:szCs w:val="22"/>
          <w:lang w:val="pt-PT" w:eastAsia="en-US"/>
        </w:rPr>
      </w:pPr>
      <w:r w:rsidRPr="00452D62">
        <w:rPr>
          <w:sz w:val="22"/>
          <w:szCs w:val="22"/>
        </w:rPr>
        <w:t>praėjus daugiau kaip 30 minučių po Xerdoxo vartojimo, naujos dozės vartoti negalima.</w:t>
      </w:r>
    </w:p>
    <w:p w14:paraId="4AED4F5D" w14:textId="77777777" w:rsidR="00823785" w:rsidRPr="00452D62" w:rsidRDefault="00823785" w:rsidP="00823785">
      <w:pPr>
        <w:rPr>
          <w:sz w:val="22"/>
          <w:szCs w:val="22"/>
        </w:rPr>
      </w:pPr>
      <w:r w:rsidRPr="00452D62">
        <w:rPr>
          <w:sz w:val="22"/>
          <w:szCs w:val="22"/>
        </w:rPr>
        <w:t>Tokiu atveju kitą Xerdoxo dozę vartokite įprastu metu.</w:t>
      </w:r>
    </w:p>
    <w:p w14:paraId="0D0A8B9D" w14:textId="77777777" w:rsidR="00823785" w:rsidRPr="00452D62" w:rsidRDefault="00823785" w:rsidP="00823785">
      <w:pPr>
        <w:rPr>
          <w:sz w:val="22"/>
          <w:szCs w:val="22"/>
        </w:rPr>
      </w:pPr>
    </w:p>
    <w:p w14:paraId="689ABDEE" w14:textId="77777777" w:rsidR="00823785" w:rsidRPr="00452D62" w:rsidRDefault="00823785" w:rsidP="00823785">
      <w:pPr>
        <w:rPr>
          <w:sz w:val="22"/>
          <w:szCs w:val="22"/>
        </w:rPr>
      </w:pPr>
      <w:r w:rsidRPr="00452D62">
        <w:rPr>
          <w:sz w:val="22"/>
          <w:szCs w:val="22"/>
        </w:rPr>
        <w:t>Jei pavartoję Xerdoxo kelis kartus išspjovėte vaisto dozę arba vėmėte, kreipkitės į gydytoją.</w:t>
      </w:r>
    </w:p>
    <w:p w14:paraId="137540A2" w14:textId="77777777" w:rsidR="00823785" w:rsidRPr="00452D62" w:rsidRDefault="00823785" w:rsidP="00823785">
      <w:pPr>
        <w:rPr>
          <w:sz w:val="22"/>
          <w:szCs w:val="22"/>
        </w:rPr>
      </w:pPr>
    </w:p>
    <w:p w14:paraId="143D5348" w14:textId="77777777" w:rsidR="00823785" w:rsidRPr="00452D62" w:rsidRDefault="00823785" w:rsidP="00823785">
      <w:pPr>
        <w:rPr>
          <w:sz w:val="22"/>
          <w:szCs w:val="22"/>
        </w:rPr>
      </w:pPr>
      <w:r w:rsidRPr="00452D62">
        <w:rPr>
          <w:b/>
          <w:bCs/>
          <w:sz w:val="22"/>
          <w:szCs w:val="22"/>
        </w:rPr>
        <w:t>Kada pradėti vartoti Xerdoxo</w:t>
      </w:r>
    </w:p>
    <w:p w14:paraId="0FB0AF20" w14:textId="77777777" w:rsidR="00823785" w:rsidRPr="00452D62" w:rsidRDefault="00823785" w:rsidP="00823785">
      <w:pPr>
        <w:rPr>
          <w:sz w:val="22"/>
          <w:szCs w:val="22"/>
        </w:rPr>
      </w:pPr>
      <w:r w:rsidRPr="00452D62">
        <w:rPr>
          <w:sz w:val="22"/>
          <w:szCs w:val="22"/>
        </w:rPr>
        <w:t>Tabletę (-es) gerkite kasdien, kol gydytojas pasakys, kada nustoti.</w:t>
      </w:r>
    </w:p>
    <w:p w14:paraId="083B1A6C" w14:textId="77777777" w:rsidR="00823785" w:rsidRPr="00452D62" w:rsidRDefault="00823785" w:rsidP="00823785">
      <w:pPr>
        <w:rPr>
          <w:sz w:val="22"/>
          <w:szCs w:val="22"/>
        </w:rPr>
      </w:pPr>
      <w:r w:rsidRPr="00452D62">
        <w:rPr>
          <w:sz w:val="22"/>
          <w:szCs w:val="22"/>
        </w:rPr>
        <w:t>Stenkitės vartoti tabletę (-es) tuo pačiu laiku kiekvieną dieną, nes taip geriau prisiminsite.</w:t>
      </w:r>
    </w:p>
    <w:p w14:paraId="5E7152C3" w14:textId="77777777" w:rsidR="00823785" w:rsidRPr="00452D62" w:rsidRDefault="00823785" w:rsidP="00823785">
      <w:pPr>
        <w:rPr>
          <w:sz w:val="22"/>
          <w:szCs w:val="22"/>
        </w:rPr>
      </w:pPr>
      <w:r w:rsidRPr="00452D62">
        <w:rPr>
          <w:sz w:val="22"/>
          <w:szCs w:val="22"/>
        </w:rPr>
        <w:t>Jūsų gydytojas nuspręs, kiek laiko reikės tęsti gydymą.</w:t>
      </w:r>
    </w:p>
    <w:p w14:paraId="3C80DF27" w14:textId="77777777" w:rsidR="00823785" w:rsidRPr="00452D62" w:rsidRDefault="00823785" w:rsidP="00823785">
      <w:pPr>
        <w:rPr>
          <w:sz w:val="22"/>
          <w:szCs w:val="22"/>
        </w:rPr>
      </w:pPr>
    </w:p>
    <w:p w14:paraId="36FDAC9E" w14:textId="77777777" w:rsidR="00823785" w:rsidRPr="00452D62" w:rsidRDefault="00823785" w:rsidP="00823785">
      <w:pPr>
        <w:rPr>
          <w:sz w:val="22"/>
          <w:szCs w:val="22"/>
        </w:rPr>
      </w:pPr>
      <w:r w:rsidRPr="00452D62">
        <w:rPr>
          <w:sz w:val="22"/>
          <w:szCs w:val="22"/>
        </w:rPr>
        <w:t>Kraujo krešulių smegenyse (insulto) ir kitose kraujagyslėse atsiradimo profilaktikai: jeigu normalus Jūsų širdies ritmas turi būti atkurtas kardioversijos procedūros metu, vartokite Xerdoxo tada, kada nurodys gydytojas.</w:t>
      </w:r>
    </w:p>
    <w:p w14:paraId="042AAA02" w14:textId="77777777" w:rsidR="00823785" w:rsidRPr="00452D62" w:rsidRDefault="00823785" w:rsidP="00823785">
      <w:pPr>
        <w:rPr>
          <w:b/>
          <w:bCs/>
          <w:sz w:val="22"/>
          <w:szCs w:val="22"/>
        </w:rPr>
      </w:pPr>
    </w:p>
    <w:p w14:paraId="76A42402" w14:textId="18148F0C" w:rsidR="00823785" w:rsidRPr="00452D62" w:rsidRDefault="00823785" w:rsidP="00823785">
      <w:pPr>
        <w:rPr>
          <w:sz w:val="22"/>
          <w:szCs w:val="22"/>
          <w:u w:val="single"/>
        </w:rPr>
      </w:pPr>
      <w:r w:rsidRPr="00452D62">
        <w:rPr>
          <w:b/>
          <w:bCs/>
          <w:sz w:val="22"/>
          <w:szCs w:val="22"/>
        </w:rPr>
        <w:t>Pamiršus pavartoti Xerdoxo</w:t>
      </w:r>
    </w:p>
    <w:p w14:paraId="10214C61" w14:textId="302A86D6" w:rsidR="009F6EE4" w:rsidRPr="00452D62" w:rsidRDefault="00823785" w:rsidP="00823785">
      <w:pPr>
        <w:ind w:left="564" w:hanging="564"/>
        <w:rPr>
          <w:sz w:val="22"/>
          <w:szCs w:val="22"/>
        </w:rPr>
      </w:pPr>
      <w:r w:rsidRPr="00452D62">
        <w:rPr>
          <w:sz w:val="22"/>
          <w:szCs w:val="22"/>
        </w:rPr>
        <w:t>-</w:t>
      </w:r>
      <w:r w:rsidRPr="00452D62">
        <w:rPr>
          <w:sz w:val="22"/>
          <w:szCs w:val="22"/>
        </w:rPr>
        <w:tab/>
      </w:r>
      <w:r w:rsidR="009F6EE4" w:rsidRPr="00AE1B80">
        <w:rPr>
          <w:sz w:val="22"/>
          <w:szCs w:val="22"/>
          <w:u w:val="single"/>
        </w:rPr>
        <w:t>Suaugusie</w:t>
      </w:r>
      <w:r w:rsidR="00BC1F3E">
        <w:rPr>
          <w:sz w:val="22"/>
          <w:szCs w:val="22"/>
          <w:u w:val="single"/>
        </w:rPr>
        <w:t>sie</w:t>
      </w:r>
      <w:r w:rsidR="009F6EE4" w:rsidRPr="00AE1B80">
        <w:rPr>
          <w:sz w:val="22"/>
          <w:szCs w:val="22"/>
          <w:u w:val="single"/>
        </w:rPr>
        <w:t>ms, vaikams ir paaugliams:</w:t>
      </w:r>
    </w:p>
    <w:p w14:paraId="1206673A" w14:textId="0E96CA60" w:rsidR="00823785" w:rsidRPr="00452D62" w:rsidRDefault="009F6EE4" w:rsidP="00823785">
      <w:pPr>
        <w:ind w:left="564" w:hanging="564"/>
        <w:rPr>
          <w:sz w:val="22"/>
          <w:szCs w:val="22"/>
        </w:rPr>
      </w:pPr>
      <w:r w:rsidRPr="00452D62">
        <w:rPr>
          <w:sz w:val="22"/>
          <w:szCs w:val="22"/>
        </w:rPr>
        <w:tab/>
      </w:r>
      <w:r w:rsidR="00823785" w:rsidRPr="00452D62">
        <w:rPr>
          <w:sz w:val="22"/>
          <w:szCs w:val="22"/>
        </w:rPr>
        <w:t>Jeigu vartojate vieną 20 mg tabletę arba vieną 15 mg tabletę vieną kartą per parą ir pamiršote ją išgerti, padarykite tai iš karto, kai tik tai prisiminsite. Tą pačią dieną negalima vartoti daugiau kaip vienos tabletės norint kompensuoti praleistą dozę. Kitą tabletę vartokite kitą dieną ir po to vartokite vieną tabletę vieną kartą per parą.</w:t>
      </w:r>
    </w:p>
    <w:p w14:paraId="5915FC6D" w14:textId="52C47192" w:rsidR="00823785" w:rsidRPr="00452D62" w:rsidRDefault="00823785" w:rsidP="00823785">
      <w:pPr>
        <w:ind w:left="564" w:hanging="564"/>
        <w:rPr>
          <w:sz w:val="22"/>
          <w:szCs w:val="22"/>
          <w:u w:val="single"/>
        </w:rPr>
      </w:pPr>
    </w:p>
    <w:p w14:paraId="34BC2745" w14:textId="0F330AEA" w:rsidR="009F6EE4" w:rsidRPr="00452D62" w:rsidRDefault="00823785" w:rsidP="00823785">
      <w:pPr>
        <w:ind w:left="564" w:hanging="564"/>
        <w:rPr>
          <w:sz w:val="22"/>
          <w:szCs w:val="22"/>
        </w:rPr>
      </w:pPr>
      <w:r w:rsidRPr="00452D62">
        <w:rPr>
          <w:sz w:val="22"/>
          <w:szCs w:val="22"/>
        </w:rPr>
        <w:t>-</w:t>
      </w:r>
      <w:r w:rsidRPr="00452D62">
        <w:rPr>
          <w:sz w:val="22"/>
          <w:szCs w:val="22"/>
        </w:rPr>
        <w:tab/>
      </w:r>
      <w:r w:rsidR="009F6EE4" w:rsidRPr="00AE1B80">
        <w:rPr>
          <w:sz w:val="22"/>
          <w:szCs w:val="22"/>
          <w:u w:val="single"/>
        </w:rPr>
        <w:t>Suaugusie</w:t>
      </w:r>
      <w:r w:rsidR="00BC1F3E">
        <w:rPr>
          <w:sz w:val="22"/>
          <w:szCs w:val="22"/>
          <w:u w:val="single"/>
        </w:rPr>
        <w:t>sie</w:t>
      </w:r>
      <w:r w:rsidR="009F6EE4" w:rsidRPr="00AE1B80">
        <w:rPr>
          <w:sz w:val="22"/>
          <w:szCs w:val="22"/>
          <w:u w:val="single"/>
        </w:rPr>
        <w:t>ms:</w:t>
      </w:r>
    </w:p>
    <w:p w14:paraId="3B81CB2C" w14:textId="4FAB2487" w:rsidR="00823785" w:rsidRPr="00452D62" w:rsidRDefault="009F6EE4" w:rsidP="00823785">
      <w:pPr>
        <w:ind w:left="564" w:hanging="564"/>
        <w:rPr>
          <w:sz w:val="22"/>
          <w:szCs w:val="22"/>
        </w:rPr>
      </w:pPr>
      <w:r w:rsidRPr="00452D62">
        <w:rPr>
          <w:sz w:val="22"/>
          <w:szCs w:val="22"/>
        </w:rPr>
        <w:tab/>
      </w:r>
      <w:r w:rsidR="00823785" w:rsidRPr="00452D62">
        <w:rPr>
          <w:sz w:val="22"/>
          <w:szCs w:val="22"/>
        </w:rPr>
        <w:t>Jeigu vartojate po vieną 15 mg tabletę du kartus per parą ir pamiršote pavartoti dozę, padarykite tai iš karto, kai tik tai prisiminsite. Tą pačią dieną negalima vartoti daugiau kaip dviejų 15 mg tablečių. Jeigu pamiršote pavartoti tabletę, galite vartoti dvi 15 mg tabletes tuo pačiu metu, kad suvartotumėte iš viso dvi tabletes (30 mg) tą pačią dieną. Kitą dieną toliau vartokite po vieną 15 mg tabletę du kartus per parą.</w:t>
      </w:r>
    </w:p>
    <w:p w14:paraId="7D5C2E33" w14:textId="77777777" w:rsidR="00823785" w:rsidRPr="00452D62" w:rsidRDefault="00823785" w:rsidP="00823785">
      <w:pPr>
        <w:rPr>
          <w:b/>
          <w:bCs/>
          <w:sz w:val="22"/>
          <w:szCs w:val="22"/>
        </w:rPr>
      </w:pPr>
    </w:p>
    <w:p w14:paraId="546544DA" w14:textId="77777777" w:rsidR="00823785" w:rsidRPr="00452D62" w:rsidRDefault="00823785" w:rsidP="00823785">
      <w:pPr>
        <w:rPr>
          <w:sz w:val="22"/>
          <w:szCs w:val="22"/>
        </w:rPr>
      </w:pPr>
      <w:r w:rsidRPr="00452D62">
        <w:rPr>
          <w:b/>
          <w:bCs/>
          <w:sz w:val="22"/>
          <w:szCs w:val="22"/>
        </w:rPr>
        <w:t>Ką daryti pavartojus per didelę Xerdoxo dozę</w:t>
      </w:r>
    </w:p>
    <w:p w14:paraId="4C0F2F71" w14:textId="77777777" w:rsidR="00823785" w:rsidRPr="00452D62" w:rsidRDefault="00823785" w:rsidP="00823785">
      <w:pPr>
        <w:rPr>
          <w:b/>
          <w:bCs/>
          <w:sz w:val="22"/>
          <w:szCs w:val="22"/>
        </w:rPr>
      </w:pPr>
      <w:r w:rsidRPr="00452D62">
        <w:rPr>
          <w:sz w:val="22"/>
          <w:szCs w:val="22"/>
        </w:rPr>
        <w:t>Nedelsdami kreipkitės į gydytoją, jei išgėrėte per daug Xerdoxo tablečių. Pavartojus per daug Xerdoxo, didėja kraujavimo rizika.</w:t>
      </w:r>
    </w:p>
    <w:p w14:paraId="7D9BF07E" w14:textId="77777777" w:rsidR="00823785" w:rsidRPr="00452D62" w:rsidRDefault="00823785" w:rsidP="00823785">
      <w:pPr>
        <w:tabs>
          <w:tab w:val="clear" w:pos="567"/>
        </w:tabs>
        <w:spacing w:line="100" w:lineRule="atLeast"/>
        <w:ind w:right="-2"/>
        <w:rPr>
          <w:sz w:val="22"/>
          <w:szCs w:val="22"/>
        </w:rPr>
      </w:pPr>
    </w:p>
    <w:p w14:paraId="626607EF" w14:textId="77777777" w:rsidR="00823785" w:rsidRPr="00452D62" w:rsidRDefault="00823785" w:rsidP="00823785">
      <w:pPr>
        <w:tabs>
          <w:tab w:val="clear" w:pos="567"/>
        </w:tabs>
        <w:spacing w:line="100" w:lineRule="atLeast"/>
        <w:ind w:right="-2"/>
        <w:rPr>
          <w:sz w:val="22"/>
          <w:szCs w:val="22"/>
        </w:rPr>
      </w:pPr>
      <w:r w:rsidRPr="00452D62">
        <w:rPr>
          <w:b/>
          <w:sz w:val="22"/>
          <w:szCs w:val="22"/>
        </w:rPr>
        <w:t>Nustojus vartoti Xerdoxo</w:t>
      </w:r>
    </w:p>
    <w:p w14:paraId="7F4B46E5" w14:textId="77777777" w:rsidR="00823785" w:rsidRPr="00452D62" w:rsidRDefault="00823785" w:rsidP="00823785">
      <w:pPr>
        <w:tabs>
          <w:tab w:val="clear" w:pos="567"/>
        </w:tabs>
        <w:spacing w:line="100" w:lineRule="atLeast"/>
        <w:ind w:right="-2"/>
        <w:rPr>
          <w:sz w:val="22"/>
          <w:szCs w:val="22"/>
        </w:rPr>
      </w:pPr>
      <w:r w:rsidRPr="00452D62">
        <w:rPr>
          <w:sz w:val="22"/>
          <w:szCs w:val="22"/>
        </w:rPr>
        <w:t>Nenutraukite Xerdoxo vartojimo prieš tai nepasitarę su gydytoju, nes Xerdoxo gydo sunkias būkles ir nuo jų apsaugo.</w:t>
      </w:r>
    </w:p>
    <w:p w14:paraId="05EBAEB0" w14:textId="77777777" w:rsidR="00823785" w:rsidRPr="00452D62" w:rsidRDefault="00823785" w:rsidP="00823785">
      <w:pPr>
        <w:tabs>
          <w:tab w:val="clear" w:pos="567"/>
        </w:tabs>
        <w:spacing w:line="100" w:lineRule="atLeast"/>
        <w:ind w:right="-2"/>
        <w:rPr>
          <w:sz w:val="22"/>
          <w:szCs w:val="22"/>
        </w:rPr>
      </w:pPr>
    </w:p>
    <w:p w14:paraId="3D995434" w14:textId="77777777" w:rsidR="00823785" w:rsidRPr="00452D62" w:rsidRDefault="00823785" w:rsidP="00823785">
      <w:pPr>
        <w:tabs>
          <w:tab w:val="clear" w:pos="567"/>
        </w:tabs>
        <w:spacing w:line="100" w:lineRule="atLeast"/>
        <w:ind w:right="-29"/>
        <w:rPr>
          <w:sz w:val="22"/>
          <w:szCs w:val="22"/>
        </w:rPr>
      </w:pPr>
      <w:r w:rsidRPr="00452D62">
        <w:rPr>
          <w:sz w:val="22"/>
          <w:szCs w:val="22"/>
        </w:rPr>
        <w:t>Jeigu kiltų daugiau klausimų dėl šio vaisto vartojimo, kreipkitės į gydytoją arba vaistininką.</w:t>
      </w:r>
    </w:p>
    <w:p w14:paraId="3E40268F" w14:textId="77777777" w:rsidR="00823785" w:rsidRPr="00452D62" w:rsidRDefault="00823785" w:rsidP="00823785">
      <w:pPr>
        <w:tabs>
          <w:tab w:val="clear" w:pos="567"/>
        </w:tabs>
        <w:spacing w:line="100" w:lineRule="atLeast"/>
        <w:rPr>
          <w:sz w:val="22"/>
          <w:szCs w:val="22"/>
        </w:rPr>
      </w:pPr>
    </w:p>
    <w:p w14:paraId="3E14035B" w14:textId="77777777" w:rsidR="00823785" w:rsidRPr="00452D62" w:rsidRDefault="00823785" w:rsidP="00823785">
      <w:pPr>
        <w:tabs>
          <w:tab w:val="clear" w:pos="567"/>
        </w:tabs>
        <w:spacing w:line="100" w:lineRule="atLeast"/>
        <w:rPr>
          <w:sz w:val="22"/>
          <w:szCs w:val="22"/>
        </w:rPr>
      </w:pPr>
    </w:p>
    <w:p w14:paraId="20D197DF" w14:textId="77777777" w:rsidR="00823785" w:rsidRPr="00452D62" w:rsidRDefault="00823785" w:rsidP="00823785">
      <w:pPr>
        <w:widowControl w:val="0"/>
        <w:tabs>
          <w:tab w:val="clear" w:pos="567"/>
        </w:tabs>
        <w:suppressAutoHyphens w:val="0"/>
        <w:spacing w:line="240" w:lineRule="auto"/>
        <w:ind w:left="567" w:hanging="567"/>
        <w:outlineLvl w:val="0"/>
        <w:rPr>
          <w:b/>
          <w:color w:val="auto"/>
          <w:sz w:val="22"/>
          <w:szCs w:val="22"/>
          <w:lang w:eastAsia="en-US"/>
        </w:rPr>
      </w:pPr>
      <w:r w:rsidRPr="00452D62">
        <w:rPr>
          <w:b/>
          <w:color w:val="auto"/>
          <w:sz w:val="22"/>
          <w:szCs w:val="22"/>
          <w:lang w:eastAsia="en-US"/>
        </w:rPr>
        <w:t>4.</w:t>
      </w:r>
      <w:r w:rsidRPr="00452D62">
        <w:rPr>
          <w:b/>
          <w:color w:val="auto"/>
          <w:sz w:val="22"/>
          <w:szCs w:val="22"/>
          <w:lang w:eastAsia="en-US"/>
        </w:rPr>
        <w:tab/>
        <w:t>Galimas šalutinis poveikis</w:t>
      </w:r>
    </w:p>
    <w:p w14:paraId="23BC0960" w14:textId="77777777" w:rsidR="00823785" w:rsidRPr="00452D62" w:rsidRDefault="00823785" w:rsidP="00823785">
      <w:pPr>
        <w:tabs>
          <w:tab w:val="clear" w:pos="567"/>
        </w:tabs>
        <w:spacing w:line="100" w:lineRule="atLeast"/>
        <w:rPr>
          <w:sz w:val="22"/>
          <w:szCs w:val="22"/>
        </w:rPr>
      </w:pPr>
    </w:p>
    <w:p w14:paraId="7FC066A9" w14:textId="77777777" w:rsidR="00823785" w:rsidRPr="00452D62" w:rsidRDefault="00823785" w:rsidP="00823785">
      <w:pPr>
        <w:tabs>
          <w:tab w:val="clear" w:pos="567"/>
        </w:tabs>
        <w:spacing w:line="100" w:lineRule="atLeast"/>
        <w:ind w:right="-29"/>
        <w:rPr>
          <w:sz w:val="22"/>
          <w:szCs w:val="22"/>
        </w:rPr>
      </w:pPr>
      <w:r w:rsidRPr="00452D62">
        <w:rPr>
          <w:sz w:val="22"/>
          <w:szCs w:val="22"/>
        </w:rPr>
        <w:t>Šis vaistas, kaip ir visi kiti, gali sukelti šalutinį poveikį, nors jis pasireiškia ne visiems žmonėms.</w:t>
      </w:r>
    </w:p>
    <w:p w14:paraId="132F69D8" w14:textId="77777777" w:rsidR="00823785" w:rsidRPr="00452D62" w:rsidRDefault="00823785" w:rsidP="00823785">
      <w:pPr>
        <w:ind w:right="-29"/>
        <w:rPr>
          <w:sz w:val="22"/>
          <w:szCs w:val="22"/>
        </w:rPr>
      </w:pPr>
    </w:p>
    <w:p w14:paraId="1CFC2E1B" w14:textId="42221BC6" w:rsidR="00823785" w:rsidRPr="00452D62" w:rsidRDefault="00823785" w:rsidP="00823785">
      <w:pPr>
        <w:rPr>
          <w:b/>
          <w:bCs/>
          <w:sz w:val="22"/>
          <w:szCs w:val="22"/>
        </w:rPr>
      </w:pPr>
      <w:r w:rsidRPr="00452D62">
        <w:rPr>
          <w:sz w:val="22"/>
          <w:szCs w:val="22"/>
        </w:rPr>
        <w:t>Kaip ir kiti panašūs vaistai, mažinantys kraujo krešulių susidarymą, šis vaistas gali sukelti kraujavimą, kuris gali būti pavojingas gyvybei. Per didelis kraujavimas gali sukelti staigų kraujospūdžio sumažėjimą (šoką). Kai kuriais atvejais kraujavimas gali nebūti akivaizdus.</w:t>
      </w:r>
    </w:p>
    <w:p w14:paraId="118182D9" w14:textId="77777777" w:rsidR="00823785" w:rsidRPr="00452D62" w:rsidRDefault="00823785" w:rsidP="00823785">
      <w:pPr>
        <w:rPr>
          <w:b/>
          <w:bCs/>
          <w:sz w:val="22"/>
          <w:szCs w:val="22"/>
        </w:rPr>
      </w:pPr>
    </w:p>
    <w:p w14:paraId="30858BC9" w14:textId="41020A4E" w:rsidR="00823785" w:rsidRPr="00452D62" w:rsidRDefault="00823785" w:rsidP="00823785">
      <w:pPr>
        <w:rPr>
          <w:b/>
          <w:bCs/>
          <w:sz w:val="22"/>
          <w:szCs w:val="22"/>
        </w:rPr>
      </w:pPr>
      <w:r w:rsidRPr="00452D62">
        <w:rPr>
          <w:b/>
          <w:bCs/>
          <w:sz w:val="22"/>
          <w:szCs w:val="22"/>
        </w:rPr>
        <w:t xml:space="preserve">Nedelsdami pasakykite savo gydytojui, jei </w:t>
      </w:r>
      <w:r w:rsidR="00BC1F3E">
        <w:rPr>
          <w:b/>
          <w:bCs/>
          <w:sz w:val="22"/>
          <w:szCs w:val="22"/>
        </w:rPr>
        <w:t xml:space="preserve">Jums ar Jūsų vaikui </w:t>
      </w:r>
      <w:r w:rsidRPr="00452D62">
        <w:rPr>
          <w:b/>
          <w:bCs/>
          <w:sz w:val="22"/>
          <w:szCs w:val="22"/>
        </w:rPr>
        <w:t>pasireiškia bet kuris iš šių šalutinių poveikių:</w:t>
      </w:r>
    </w:p>
    <w:p w14:paraId="0E506667" w14:textId="77777777" w:rsidR="00823785" w:rsidRPr="00452D62" w:rsidRDefault="00823785" w:rsidP="00823785">
      <w:pPr>
        <w:rPr>
          <w:b/>
          <w:bCs/>
          <w:sz w:val="22"/>
          <w:szCs w:val="22"/>
        </w:rPr>
      </w:pPr>
    </w:p>
    <w:p w14:paraId="3D7542BA" w14:textId="089820AC" w:rsidR="00823785" w:rsidRPr="00452D62" w:rsidRDefault="00823785" w:rsidP="00823785">
      <w:pPr>
        <w:rPr>
          <w:b/>
          <w:bCs/>
          <w:sz w:val="22"/>
          <w:szCs w:val="22"/>
        </w:rPr>
      </w:pPr>
      <w:r w:rsidRPr="00452D62">
        <w:rPr>
          <w:b/>
          <w:bCs/>
          <w:sz w:val="22"/>
          <w:szCs w:val="22"/>
        </w:rPr>
        <w:t>Kraujavimo požymiai</w:t>
      </w:r>
    </w:p>
    <w:p w14:paraId="568DB415" w14:textId="77777777" w:rsidR="00823785" w:rsidRPr="00452D62" w:rsidRDefault="00823785" w:rsidP="00823785">
      <w:pPr>
        <w:numPr>
          <w:ilvl w:val="0"/>
          <w:numId w:val="7"/>
        </w:numPr>
        <w:ind w:left="567" w:hanging="567"/>
        <w:rPr>
          <w:sz w:val="22"/>
          <w:szCs w:val="22"/>
        </w:rPr>
      </w:pPr>
      <w:r w:rsidRPr="00452D62">
        <w:rPr>
          <w:sz w:val="22"/>
          <w:szCs w:val="22"/>
        </w:rPr>
        <w:t>kraujavimas į smegenis ar į kaukolės vidų (simptomams priskiriama galvos skausmas, silpnumas vienoje kūno pusėje, vėmimas, traukuliai, sumažėjęs sąmonės lygis ir sprando sąstingis. Tai sunki, neatidėliotina medicininė būklė. Nedelsdami kreipkitės medicinos pagalbos!);</w:t>
      </w:r>
    </w:p>
    <w:p w14:paraId="315BA855" w14:textId="77777777" w:rsidR="00823785" w:rsidRPr="00452D62" w:rsidRDefault="00823785" w:rsidP="00823785">
      <w:pPr>
        <w:numPr>
          <w:ilvl w:val="0"/>
          <w:numId w:val="7"/>
        </w:numPr>
        <w:ind w:left="567" w:hanging="567"/>
        <w:rPr>
          <w:sz w:val="22"/>
          <w:szCs w:val="22"/>
        </w:rPr>
      </w:pPr>
      <w:r w:rsidRPr="00452D62">
        <w:rPr>
          <w:sz w:val="22"/>
          <w:szCs w:val="22"/>
        </w:rPr>
        <w:t>ilgai trunkantis ar stiprus kraujavimas;</w:t>
      </w:r>
    </w:p>
    <w:p w14:paraId="2455967A" w14:textId="77777777" w:rsidR="00823785" w:rsidRPr="00452D62" w:rsidRDefault="00823785" w:rsidP="00823785">
      <w:pPr>
        <w:numPr>
          <w:ilvl w:val="0"/>
          <w:numId w:val="7"/>
        </w:numPr>
        <w:ind w:left="567" w:hanging="567"/>
        <w:rPr>
          <w:sz w:val="22"/>
          <w:szCs w:val="22"/>
        </w:rPr>
      </w:pPr>
      <w:r w:rsidRPr="00452D62">
        <w:rPr>
          <w:sz w:val="22"/>
          <w:szCs w:val="22"/>
        </w:rPr>
        <w:t>neįprastas silpnumas, nuovargis, blyškumas, svaigulys, galvos skausmas, nepaaiškinamas patinimas, dusulys, krūtinės skausmas arba krūtinės angina, nes tai gali būti kraujavimo požymiai.</w:t>
      </w:r>
    </w:p>
    <w:p w14:paraId="027A98BF" w14:textId="77777777" w:rsidR="00823785" w:rsidRPr="00452D62" w:rsidRDefault="00823785" w:rsidP="00823785">
      <w:pPr>
        <w:rPr>
          <w:b/>
          <w:bCs/>
          <w:sz w:val="22"/>
          <w:szCs w:val="22"/>
        </w:rPr>
      </w:pPr>
      <w:r w:rsidRPr="00452D62">
        <w:rPr>
          <w:sz w:val="22"/>
          <w:szCs w:val="22"/>
        </w:rPr>
        <w:t>Gydytojas gali nuspręsti Jus atidžiau stebėti arba pakeisti gydymą.</w:t>
      </w:r>
    </w:p>
    <w:p w14:paraId="3442835F" w14:textId="77777777" w:rsidR="00823785" w:rsidRPr="00452D62" w:rsidRDefault="00823785" w:rsidP="00823785">
      <w:pPr>
        <w:rPr>
          <w:b/>
          <w:bCs/>
          <w:sz w:val="22"/>
          <w:szCs w:val="22"/>
        </w:rPr>
      </w:pPr>
    </w:p>
    <w:p w14:paraId="76B69EE4" w14:textId="13DD8DCD" w:rsidR="00823785" w:rsidRPr="00452D62" w:rsidRDefault="00823785" w:rsidP="00823785">
      <w:pPr>
        <w:rPr>
          <w:b/>
          <w:bCs/>
          <w:sz w:val="22"/>
          <w:szCs w:val="22"/>
        </w:rPr>
      </w:pPr>
      <w:r w:rsidRPr="00452D62">
        <w:rPr>
          <w:b/>
          <w:bCs/>
          <w:sz w:val="22"/>
          <w:szCs w:val="22"/>
        </w:rPr>
        <w:t>Sunkių odos reakcijų požymiai</w:t>
      </w:r>
    </w:p>
    <w:p w14:paraId="61C0BDEF" w14:textId="4023189C" w:rsidR="00823785" w:rsidRPr="00452D62" w:rsidRDefault="00823785" w:rsidP="00823785">
      <w:pPr>
        <w:numPr>
          <w:ilvl w:val="0"/>
          <w:numId w:val="7"/>
        </w:numPr>
        <w:ind w:left="567" w:hanging="567"/>
        <w:rPr>
          <w:b/>
          <w:bCs/>
          <w:sz w:val="22"/>
          <w:szCs w:val="22"/>
        </w:rPr>
      </w:pPr>
      <w:r w:rsidRPr="00452D62">
        <w:rPr>
          <w:sz w:val="22"/>
          <w:szCs w:val="22"/>
        </w:rPr>
        <w:t>plintantis intensyvus odos išbėrimas, pūslės arba gleivinių pažeidimai, pvz., burnos arba akių (Stivenso-Džonsono [</w:t>
      </w:r>
      <w:r w:rsidRPr="00452D62">
        <w:rPr>
          <w:i/>
          <w:sz w:val="22"/>
          <w:szCs w:val="22"/>
        </w:rPr>
        <w:t>Stevens-Johnson</w:t>
      </w:r>
      <w:r w:rsidRPr="00452D62">
        <w:rPr>
          <w:sz w:val="22"/>
          <w:szCs w:val="22"/>
        </w:rPr>
        <w:t>] sindromas, toksinė epidermio nekrolizė);</w:t>
      </w:r>
    </w:p>
    <w:p w14:paraId="3A4373A9" w14:textId="77777777" w:rsidR="00823785" w:rsidRPr="00452D62" w:rsidRDefault="00823785" w:rsidP="00823785">
      <w:pPr>
        <w:numPr>
          <w:ilvl w:val="0"/>
          <w:numId w:val="7"/>
        </w:numPr>
        <w:ind w:left="567" w:hanging="567"/>
        <w:rPr>
          <w:b/>
          <w:bCs/>
          <w:sz w:val="22"/>
          <w:szCs w:val="22"/>
        </w:rPr>
      </w:pPr>
      <w:r w:rsidRPr="00452D62">
        <w:rPr>
          <w:sz w:val="22"/>
          <w:szCs w:val="22"/>
        </w:rPr>
        <w:t>vaisto sukelti išbėrimas, karščiavimas, vidaus organų uždegimas, nenormalūs kraujo rodmenų pokyčiai ir sisteminiai simptomai (</w:t>
      </w:r>
      <w:r w:rsidRPr="00452D62">
        <w:rPr>
          <w:i/>
          <w:iCs/>
          <w:sz w:val="22"/>
          <w:szCs w:val="22"/>
        </w:rPr>
        <w:t>DRESS</w:t>
      </w:r>
      <w:r w:rsidRPr="00452D62">
        <w:rPr>
          <w:sz w:val="22"/>
          <w:szCs w:val="22"/>
        </w:rPr>
        <w:t xml:space="preserve"> sindromas). </w:t>
      </w:r>
    </w:p>
    <w:p w14:paraId="48B8DB35" w14:textId="63F78AFD" w:rsidR="00823785" w:rsidRPr="00452D62" w:rsidRDefault="00823785" w:rsidP="00C815AC">
      <w:pPr>
        <w:rPr>
          <w:b/>
          <w:bCs/>
          <w:sz w:val="22"/>
          <w:szCs w:val="22"/>
        </w:rPr>
      </w:pPr>
      <w:r w:rsidRPr="00452D62">
        <w:rPr>
          <w:sz w:val="22"/>
          <w:szCs w:val="22"/>
        </w:rPr>
        <w:t>Šie šalutinio poveikio reiškiniai yra labai reti (gali pasireikšti rečiau kaip 1 iš 10 000 asmenų).</w:t>
      </w:r>
    </w:p>
    <w:p w14:paraId="76BE5EA9" w14:textId="77777777" w:rsidR="00823785" w:rsidRPr="00452D62" w:rsidRDefault="00823785" w:rsidP="00823785">
      <w:pPr>
        <w:rPr>
          <w:b/>
          <w:bCs/>
          <w:sz w:val="22"/>
          <w:szCs w:val="22"/>
        </w:rPr>
      </w:pPr>
    </w:p>
    <w:p w14:paraId="107C3D20" w14:textId="51440308" w:rsidR="00823785" w:rsidRPr="00452D62" w:rsidRDefault="00823785" w:rsidP="00823785">
      <w:pPr>
        <w:rPr>
          <w:bCs/>
          <w:sz w:val="22"/>
          <w:szCs w:val="22"/>
        </w:rPr>
      </w:pPr>
      <w:r w:rsidRPr="00452D62">
        <w:rPr>
          <w:b/>
          <w:bCs/>
          <w:sz w:val="22"/>
          <w:szCs w:val="22"/>
        </w:rPr>
        <w:t>Sunkių alerginių reakcijų požymiai</w:t>
      </w:r>
    </w:p>
    <w:p w14:paraId="0941BA50" w14:textId="77777777" w:rsidR="00823785" w:rsidRPr="00452D62" w:rsidRDefault="00823785" w:rsidP="00823785">
      <w:pPr>
        <w:numPr>
          <w:ilvl w:val="0"/>
          <w:numId w:val="7"/>
        </w:numPr>
        <w:ind w:left="567" w:hanging="567"/>
        <w:rPr>
          <w:sz w:val="22"/>
          <w:szCs w:val="22"/>
        </w:rPr>
      </w:pPr>
      <w:r w:rsidRPr="00452D62">
        <w:rPr>
          <w:sz w:val="22"/>
          <w:szCs w:val="22"/>
        </w:rPr>
        <w:t xml:space="preserve">veido, lūpų, burnos, liežuvio ir ryklės patinimas, apsunkintas rijimas, dilgėlinė ir apsunkintas kvėpavimas, staigus kraujospūdžio sumažėjimas. </w:t>
      </w:r>
    </w:p>
    <w:p w14:paraId="39954E0F" w14:textId="51628725" w:rsidR="00823785" w:rsidRPr="00452D62" w:rsidRDefault="00823785" w:rsidP="00C815AC">
      <w:pPr>
        <w:rPr>
          <w:sz w:val="22"/>
          <w:szCs w:val="22"/>
        </w:rPr>
      </w:pPr>
      <w:r w:rsidRPr="00452D62">
        <w:rPr>
          <w:sz w:val="22"/>
          <w:szCs w:val="22"/>
        </w:rPr>
        <w:t>Sunkios alerginės reakcijos yra labai retos (anafilaksinės reakcijos, įskaitant anafilaksinį šoką; gali pasireikšti ne dažniau kaip 1 iš 10 000 asmenų) ir nedažnos (angioneurozinė ir alerginė edema; gali pasireikšti ne dažniau kaip 1 iš 100 asmenų).</w:t>
      </w:r>
    </w:p>
    <w:p w14:paraId="2FE06DEC" w14:textId="77777777" w:rsidR="00823785" w:rsidRPr="00452D62" w:rsidRDefault="00823785" w:rsidP="00823785">
      <w:pPr>
        <w:rPr>
          <w:b/>
          <w:bCs/>
          <w:sz w:val="22"/>
          <w:szCs w:val="22"/>
        </w:rPr>
      </w:pPr>
    </w:p>
    <w:p w14:paraId="4FE5C5EF" w14:textId="6811EF5C" w:rsidR="00823785" w:rsidRPr="00452D62" w:rsidRDefault="00823785" w:rsidP="00823785">
      <w:pPr>
        <w:rPr>
          <w:b/>
          <w:bCs/>
          <w:sz w:val="22"/>
          <w:szCs w:val="22"/>
        </w:rPr>
      </w:pPr>
      <w:r w:rsidRPr="00452D62">
        <w:rPr>
          <w:b/>
          <w:bCs/>
          <w:sz w:val="22"/>
          <w:szCs w:val="22"/>
        </w:rPr>
        <w:t>Bendras galimo šalutinio poveikio</w:t>
      </w:r>
      <w:r w:rsidRPr="00452D62">
        <w:rPr>
          <w:b/>
          <w:sz w:val="22"/>
          <w:szCs w:val="22"/>
        </w:rPr>
        <w:t>, pasireiškusio suaugusiems,</w:t>
      </w:r>
      <w:r w:rsidRPr="00452D62">
        <w:rPr>
          <w:b/>
          <w:bCs/>
          <w:sz w:val="22"/>
          <w:szCs w:val="22"/>
        </w:rPr>
        <w:t xml:space="preserve"> </w:t>
      </w:r>
      <w:r w:rsidR="0097388A" w:rsidRPr="00452D62">
        <w:rPr>
          <w:b/>
          <w:bCs/>
          <w:sz w:val="22"/>
          <w:szCs w:val="22"/>
        </w:rPr>
        <w:t xml:space="preserve">vaikams ir paaugliams </w:t>
      </w:r>
      <w:r w:rsidRPr="00452D62">
        <w:rPr>
          <w:b/>
          <w:bCs/>
          <w:sz w:val="22"/>
          <w:szCs w:val="22"/>
        </w:rPr>
        <w:t>sąrašas</w:t>
      </w:r>
    </w:p>
    <w:p w14:paraId="3CE73B70" w14:textId="77777777" w:rsidR="00823785" w:rsidRPr="00452D62" w:rsidRDefault="00823785" w:rsidP="00823785">
      <w:pPr>
        <w:rPr>
          <w:b/>
          <w:bCs/>
          <w:sz w:val="22"/>
          <w:szCs w:val="22"/>
        </w:rPr>
      </w:pPr>
    </w:p>
    <w:p w14:paraId="0DE01AD2" w14:textId="50F83E42" w:rsidR="00823785" w:rsidRPr="00452D62" w:rsidRDefault="00823785" w:rsidP="00823785">
      <w:pPr>
        <w:rPr>
          <w:sz w:val="22"/>
          <w:szCs w:val="22"/>
        </w:rPr>
      </w:pPr>
      <w:r w:rsidRPr="00452D62">
        <w:rPr>
          <w:b/>
          <w:bCs/>
          <w:sz w:val="22"/>
          <w:szCs w:val="22"/>
        </w:rPr>
        <w:t xml:space="preserve">Dažni šalutinio poveikio reiškiniai </w:t>
      </w:r>
      <w:r w:rsidRPr="00452D62">
        <w:rPr>
          <w:sz w:val="22"/>
          <w:szCs w:val="22"/>
        </w:rPr>
        <w:t>(gali pasireikšti rečiau kaip 1 iš 10 asmenų)</w:t>
      </w:r>
    </w:p>
    <w:p w14:paraId="6971A9AD" w14:textId="77777777" w:rsidR="00823785" w:rsidRPr="00452D62" w:rsidRDefault="00823785" w:rsidP="00823785">
      <w:pPr>
        <w:numPr>
          <w:ilvl w:val="0"/>
          <w:numId w:val="7"/>
        </w:numPr>
        <w:ind w:left="567" w:hanging="567"/>
        <w:rPr>
          <w:sz w:val="22"/>
          <w:szCs w:val="22"/>
        </w:rPr>
      </w:pPr>
      <w:r w:rsidRPr="00452D62">
        <w:rPr>
          <w:sz w:val="22"/>
          <w:szCs w:val="22"/>
        </w:rPr>
        <w:t>raudonųjų kraujo ląstelių kiekio sumažėjimas, galintis sukelti blyškumą, silpnumą ar dusulį;</w:t>
      </w:r>
    </w:p>
    <w:p w14:paraId="48874550" w14:textId="77777777" w:rsidR="00823785" w:rsidRPr="00452D62" w:rsidRDefault="00823785" w:rsidP="00823785">
      <w:pPr>
        <w:numPr>
          <w:ilvl w:val="0"/>
          <w:numId w:val="7"/>
        </w:numPr>
        <w:ind w:left="567" w:hanging="567"/>
        <w:rPr>
          <w:sz w:val="22"/>
          <w:szCs w:val="22"/>
        </w:rPr>
      </w:pPr>
      <w:r w:rsidRPr="00452D62">
        <w:rPr>
          <w:sz w:val="22"/>
          <w:szCs w:val="22"/>
        </w:rPr>
        <w:t xml:space="preserve">kraujavimas iš skrandžio ar žarnyno, kraujavimas iš šlapimo ir lytinių organų (įskaitant kraują šlapime ir gausų menstruacinį kraujavimą), kraujavimas iš nosies, kraujavimas iš dantenų; </w:t>
      </w:r>
    </w:p>
    <w:p w14:paraId="087AE462" w14:textId="77777777" w:rsidR="00823785" w:rsidRPr="00452D62" w:rsidRDefault="00823785" w:rsidP="00823785">
      <w:pPr>
        <w:numPr>
          <w:ilvl w:val="0"/>
          <w:numId w:val="7"/>
        </w:numPr>
        <w:ind w:left="567" w:hanging="567"/>
        <w:rPr>
          <w:sz w:val="22"/>
          <w:szCs w:val="22"/>
        </w:rPr>
      </w:pPr>
      <w:r w:rsidRPr="00452D62">
        <w:rPr>
          <w:sz w:val="22"/>
          <w:szCs w:val="22"/>
        </w:rPr>
        <w:t>kraujavimas į akį (įskaitant kraujavimą iš akių baltymo);</w:t>
      </w:r>
    </w:p>
    <w:p w14:paraId="6D9840AA" w14:textId="77777777" w:rsidR="00823785" w:rsidRPr="00452D62" w:rsidRDefault="00823785" w:rsidP="00823785">
      <w:pPr>
        <w:numPr>
          <w:ilvl w:val="0"/>
          <w:numId w:val="7"/>
        </w:numPr>
        <w:ind w:left="567" w:hanging="567"/>
        <w:rPr>
          <w:sz w:val="22"/>
          <w:szCs w:val="22"/>
        </w:rPr>
      </w:pPr>
      <w:r w:rsidRPr="00452D62">
        <w:rPr>
          <w:sz w:val="22"/>
          <w:szCs w:val="22"/>
        </w:rPr>
        <w:t>kraujavimas į audinius arba kūno ertmes (kraujosruvos, mėlynės);</w:t>
      </w:r>
    </w:p>
    <w:p w14:paraId="04F5BB63" w14:textId="77777777" w:rsidR="00823785" w:rsidRPr="00452D62" w:rsidRDefault="00823785" w:rsidP="00823785">
      <w:pPr>
        <w:numPr>
          <w:ilvl w:val="0"/>
          <w:numId w:val="7"/>
        </w:numPr>
        <w:ind w:left="567" w:hanging="567"/>
        <w:rPr>
          <w:sz w:val="22"/>
          <w:szCs w:val="22"/>
        </w:rPr>
      </w:pPr>
      <w:r w:rsidRPr="00452D62">
        <w:rPr>
          <w:sz w:val="22"/>
          <w:szCs w:val="22"/>
        </w:rPr>
        <w:t>kraujo atkosėjimas;</w:t>
      </w:r>
    </w:p>
    <w:p w14:paraId="622281BB" w14:textId="77777777" w:rsidR="00823785" w:rsidRPr="00452D62" w:rsidRDefault="00823785" w:rsidP="00823785">
      <w:pPr>
        <w:numPr>
          <w:ilvl w:val="0"/>
          <w:numId w:val="7"/>
        </w:numPr>
        <w:ind w:left="567" w:hanging="567"/>
        <w:rPr>
          <w:sz w:val="22"/>
          <w:szCs w:val="22"/>
        </w:rPr>
      </w:pPr>
      <w:r w:rsidRPr="00452D62">
        <w:rPr>
          <w:sz w:val="22"/>
          <w:szCs w:val="22"/>
        </w:rPr>
        <w:t>kraujavimas iš odos arba po oda;</w:t>
      </w:r>
    </w:p>
    <w:p w14:paraId="60D7C8AF" w14:textId="77777777" w:rsidR="00823785" w:rsidRPr="00452D62" w:rsidRDefault="00823785" w:rsidP="00823785">
      <w:pPr>
        <w:numPr>
          <w:ilvl w:val="0"/>
          <w:numId w:val="7"/>
        </w:numPr>
        <w:ind w:left="567" w:hanging="567"/>
        <w:rPr>
          <w:sz w:val="22"/>
          <w:szCs w:val="22"/>
        </w:rPr>
      </w:pPr>
      <w:r w:rsidRPr="00452D62">
        <w:rPr>
          <w:sz w:val="22"/>
          <w:szCs w:val="22"/>
        </w:rPr>
        <w:t>kraujavimas po operacijos;</w:t>
      </w:r>
    </w:p>
    <w:p w14:paraId="513AD50A" w14:textId="77777777" w:rsidR="00823785" w:rsidRPr="00452D62" w:rsidRDefault="00823785" w:rsidP="00823785">
      <w:pPr>
        <w:numPr>
          <w:ilvl w:val="0"/>
          <w:numId w:val="7"/>
        </w:numPr>
        <w:ind w:left="567" w:hanging="567"/>
        <w:rPr>
          <w:sz w:val="22"/>
          <w:szCs w:val="22"/>
        </w:rPr>
      </w:pPr>
      <w:r w:rsidRPr="00452D62">
        <w:rPr>
          <w:sz w:val="22"/>
          <w:szCs w:val="22"/>
        </w:rPr>
        <w:t>kraujo ar skysčio sunkimasis iš chirurginės žaizdos;</w:t>
      </w:r>
    </w:p>
    <w:p w14:paraId="590BB6F3" w14:textId="77777777" w:rsidR="00823785" w:rsidRPr="00452D62" w:rsidRDefault="00823785" w:rsidP="00823785">
      <w:pPr>
        <w:numPr>
          <w:ilvl w:val="0"/>
          <w:numId w:val="7"/>
        </w:numPr>
        <w:ind w:left="567" w:hanging="567"/>
        <w:rPr>
          <w:sz w:val="22"/>
          <w:szCs w:val="22"/>
        </w:rPr>
      </w:pPr>
      <w:r w:rsidRPr="00452D62">
        <w:rPr>
          <w:sz w:val="22"/>
          <w:szCs w:val="22"/>
        </w:rPr>
        <w:t>galūnių patinimas;</w:t>
      </w:r>
    </w:p>
    <w:p w14:paraId="31766BB5" w14:textId="77777777" w:rsidR="00823785" w:rsidRPr="00452D62" w:rsidRDefault="00823785" w:rsidP="00823785">
      <w:pPr>
        <w:numPr>
          <w:ilvl w:val="0"/>
          <w:numId w:val="7"/>
        </w:numPr>
        <w:ind w:left="567" w:hanging="567"/>
        <w:rPr>
          <w:sz w:val="22"/>
          <w:szCs w:val="22"/>
        </w:rPr>
      </w:pPr>
      <w:r w:rsidRPr="00452D62">
        <w:rPr>
          <w:sz w:val="22"/>
          <w:szCs w:val="22"/>
        </w:rPr>
        <w:t>galūnių skausmas;</w:t>
      </w:r>
    </w:p>
    <w:p w14:paraId="270EDA05" w14:textId="77777777" w:rsidR="00823785" w:rsidRPr="00452D62" w:rsidRDefault="00823785" w:rsidP="00823785">
      <w:pPr>
        <w:numPr>
          <w:ilvl w:val="0"/>
          <w:numId w:val="7"/>
        </w:numPr>
        <w:ind w:left="567" w:hanging="567"/>
        <w:rPr>
          <w:sz w:val="22"/>
          <w:szCs w:val="22"/>
        </w:rPr>
      </w:pPr>
      <w:r w:rsidRPr="00452D62">
        <w:rPr>
          <w:sz w:val="22"/>
          <w:szCs w:val="22"/>
        </w:rPr>
        <w:t>sutrikusi inkstų funkcija (gali būti nustatyta gydytojo atliktais tyrimais);</w:t>
      </w:r>
    </w:p>
    <w:p w14:paraId="7FCEAE6E" w14:textId="77777777" w:rsidR="00823785" w:rsidRPr="00452D62" w:rsidRDefault="00823785" w:rsidP="00823785">
      <w:pPr>
        <w:numPr>
          <w:ilvl w:val="0"/>
          <w:numId w:val="7"/>
        </w:numPr>
        <w:ind w:left="567" w:hanging="567"/>
        <w:rPr>
          <w:sz w:val="22"/>
          <w:szCs w:val="22"/>
        </w:rPr>
      </w:pPr>
      <w:r w:rsidRPr="00452D62">
        <w:rPr>
          <w:sz w:val="22"/>
          <w:szCs w:val="22"/>
        </w:rPr>
        <w:t>karščiavimas;</w:t>
      </w:r>
    </w:p>
    <w:p w14:paraId="3706B024" w14:textId="77777777" w:rsidR="00823785" w:rsidRPr="00452D62" w:rsidRDefault="00823785" w:rsidP="00823785">
      <w:pPr>
        <w:numPr>
          <w:ilvl w:val="0"/>
          <w:numId w:val="7"/>
        </w:numPr>
        <w:ind w:left="567" w:hanging="567"/>
        <w:rPr>
          <w:sz w:val="22"/>
          <w:szCs w:val="22"/>
        </w:rPr>
      </w:pPr>
      <w:r w:rsidRPr="00452D62">
        <w:rPr>
          <w:sz w:val="22"/>
          <w:szCs w:val="22"/>
        </w:rPr>
        <w:t>pilvo skausmas, nevirškinimas, pykinimas arba vėmimas, vidurių užkietėjimas, viduriavimas;</w:t>
      </w:r>
    </w:p>
    <w:p w14:paraId="16A02A6D" w14:textId="77777777" w:rsidR="00823785" w:rsidRPr="00452D62" w:rsidRDefault="00823785" w:rsidP="00823785">
      <w:pPr>
        <w:numPr>
          <w:ilvl w:val="0"/>
          <w:numId w:val="7"/>
        </w:numPr>
        <w:ind w:left="567" w:hanging="567"/>
        <w:rPr>
          <w:sz w:val="22"/>
          <w:szCs w:val="22"/>
        </w:rPr>
      </w:pPr>
      <w:r w:rsidRPr="00452D62">
        <w:rPr>
          <w:sz w:val="22"/>
          <w:szCs w:val="22"/>
        </w:rPr>
        <w:t>sumažėjęs kraujospūdis (simptomai gali būti svaigulys ar alpimas stojantis);</w:t>
      </w:r>
    </w:p>
    <w:p w14:paraId="198846CE" w14:textId="77777777" w:rsidR="00823785" w:rsidRPr="00452D62" w:rsidRDefault="00823785" w:rsidP="00823785">
      <w:pPr>
        <w:numPr>
          <w:ilvl w:val="0"/>
          <w:numId w:val="7"/>
        </w:numPr>
        <w:ind w:left="567" w:hanging="567"/>
        <w:rPr>
          <w:sz w:val="22"/>
          <w:szCs w:val="22"/>
        </w:rPr>
      </w:pPr>
      <w:r w:rsidRPr="00452D62">
        <w:rPr>
          <w:sz w:val="22"/>
          <w:szCs w:val="22"/>
        </w:rPr>
        <w:t>bendrasis jėgos ir energijos sumažėjimas (silpnumas, nuovargis), galvos skausmas, svaigulys;</w:t>
      </w:r>
    </w:p>
    <w:p w14:paraId="1C1110F3" w14:textId="77777777" w:rsidR="00823785" w:rsidRPr="00452D62" w:rsidRDefault="00823785" w:rsidP="00823785">
      <w:pPr>
        <w:numPr>
          <w:ilvl w:val="0"/>
          <w:numId w:val="7"/>
        </w:numPr>
        <w:ind w:left="567" w:hanging="567"/>
        <w:rPr>
          <w:sz w:val="22"/>
          <w:szCs w:val="22"/>
        </w:rPr>
      </w:pPr>
      <w:r w:rsidRPr="00452D62">
        <w:rPr>
          <w:sz w:val="22"/>
          <w:szCs w:val="22"/>
        </w:rPr>
        <w:t>išbėrimas, odos niežulys;</w:t>
      </w:r>
    </w:p>
    <w:p w14:paraId="55C3F206" w14:textId="77777777" w:rsidR="00823785" w:rsidRPr="00452D62" w:rsidRDefault="00823785" w:rsidP="00823785">
      <w:pPr>
        <w:numPr>
          <w:ilvl w:val="0"/>
          <w:numId w:val="7"/>
        </w:numPr>
        <w:ind w:left="567" w:hanging="567"/>
        <w:rPr>
          <w:sz w:val="22"/>
          <w:szCs w:val="22"/>
        </w:rPr>
      </w:pPr>
      <w:r w:rsidRPr="00452D62">
        <w:rPr>
          <w:sz w:val="22"/>
          <w:szCs w:val="22"/>
        </w:rPr>
        <w:t>kraujo tyrimai gali rodyti kai kurių kepenų fermentų aktyvumo padidėjimą.</w:t>
      </w:r>
    </w:p>
    <w:p w14:paraId="5928AF6A" w14:textId="77777777" w:rsidR="00823785" w:rsidRPr="00452D62" w:rsidRDefault="00823785" w:rsidP="00823785">
      <w:pPr>
        <w:rPr>
          <w:sz w:val="22"/>
          <w:szCs w:val="22"/>
        </w:rPr>
      </w:pPr>
    </w:p>
    <w:p w14:paraId="08DE4A2E" w14:textId="6E39AE70" w:rsidR="00823785" w:rsidRPr="00452D62" w:rsidRDefault="00823785" w:rsidP="00823785">
      <w:pPr>
        <w:rPr>
          <w:sz w:val="22"/>
          <w:szCs w:val="22"/>
        </w:rPr>
      </w:pPr>
      <w:r w:rsidRPr="00452D62">
        <w:rPr>
          <w:b/>
          <w:sz w:val="22"/>
          <w:szCs w:val="22"/>
        </w:rPr>
        <w:t xml:space="preserve">Nedažni šalutinio poveikio reiškiniai </w:t>
      </w:r>
      <w:r w:rsidRPr="00452D62">
        <w:rPr>
          <w:sz w:val="22"/>
          <w:szCs w:val="22"/>
        </w:rPr>
        <w:t>(gali pasireikšti rečiau kaip 1 iš 100 asmenų)</w:t>
      </w:r>
    </w:p>
    <w:p w14:paraId="52D083ED" w14:textId="77777777" w:rsidR="00823785" w:rsidRPr="00452D62" w:rsidRDefault="00823785" w:rsidP="00823785">
      <w:pPr>
        <w:numPr>
          <w:ilvl w:val="0"/>
          <w:numId w:val="7"/>
        </w:numPr>
        <w:ind w:left="567" w:hanging="567"/>
        <w:rPr>
          <w:sz w:val="22"/>
          <w:szCs w:val="22"/>
        </w:rPr>
      </w:pPr>
      <w:r w:rsidRPr="00452D62">
        <w:rPr>
          <w:sz w:val="22"/>
          <w:szCs w:val="22"/>
        </w:rPr>
        <w:t>kraujavimas į smegenis ar į kaukolės vidų (žr. aukščiau, „Kraujavimo požymiai“);</w:t>
      </w:r>
    </w:p>
    <w:p w14:paraId="2462044D" w14:textId="77777777" w:rsidR="00823785" w:rsidRPr="00452D62" w:rsidRDefault="00823785" w:rsidP="00823785">
      <w:pPr>
        <w:numPr>
          <w:ilvl w:val="0"/>
          <w:numId w:val="7"/>
        </w:numPr>
        <w:ind w:left="567" w:hanging="567"/>
        <w:rPr>
          <w:sz w:val="22"/>
          <w:szCs w:val="22"/>
        </w:rPr>
      </w:pPr>
      <w:r w:rsidRPr="00452D62">
        <w:rPr>
          <w:sz w:val="22"/>
          <w:szCs w:val="22"/>
        </w:rPr>
        <w:t>kraujavimas į sąnarį, sukeliantis skausmą ir patinimą;</w:t>
      </w:r>
    </w:p>
    <w:p w14:paraId="5F4BB259" w14:textId="77777777" w:rsidR="00823785" w:rsidRPr="00452D62" w:rsidRDefault="00823785" w:rsidP="00823785">
      <w:pPr>
        <w:numPr>
          <w:ilvl w:val="0"/>
          <w:numId w:val="7"/>
        </w:numPr>
        <w:ind w:left="567" w:hanging="567"/>
        <w:rPr>
          <w:sz w:val="22"/>
          <w:szCs w:val="22"/>
        </w:rPr>
      </w:pPr>
      <w:r w:rsidRPr="00452D62">
        <w:rPr>
          <w:sz w:val="22"/>
          <w:szCs w:val="22"/>
        </w:rPr>
        <w:t>trombocitopenija (sumažėjęs kraujo plokštelių, kurios padeda kraujyje susidaryti krešuliui, skaičius);</w:t>
      </w:r>
    </w:p>
    <w:p w14:paraId="7605D8E5" w14:textId="77777777" w:rsidR="00823785" w:rsidRPr="00452D62" w:rsidRDefault="00823785" w:rsidP="00823785">
      <w:pPr>
        <w:numPr>
          <w:ilvl w:val="0"/>
          <w:numId w:val="7"/>
        </w:numPr>
        <w:ind w:left="567" w:hanging="567"/>
        <w:rPr>
          <w:sz w:val="22"/>
          <w:szCs w:val="22"/>
        </w:rPr>
      </w:pPr>
      <w:r w:rsidRPr="00452D62">
        <w:rPr>
          <w:sz w:val="22"/>
          <w:szCs w:val="22"/>
        </w:rPr>
        <w:t>alerginės reakcijos, įskaitant alergines odos reakcijas;</w:t>
      </w:r>
    </w:p>
    <w:p w14:paraId="595EBDDB" w14:textId="77777777" w:rsidR="00823785" w:rsidRPr="00452D62" w:rsidRDefault="00823785" w:rsidP="00823785">
      <w:pPr>
        <w:numPr>
          <w:ilvl w:val="0"/>
          <w:numId w:val="7"/>
        </w:numPr>
        <w:ind w:left="567" w:hanging="567"/>
        <w:rPr>
          <w:sz w:val="22"/>
          <w:szCs w:val="22"/>
        </w:rPr>
      </w:pPr>
      <w:r w:rsidRPr="00452D62">
        <w:rPr>
          <w:sz w:val="22"/>
          <w:szCs w:val="22"/>
        </w:rPr>
        <w:t>sutrikusi kepenų funkcija (gali būti nustatyta gydytojo atliktais tyrimais);</w:t>
      </w:r>
    </w:p>
    <w:p w14:paraId="22A64D5B" w14:textId="77777777" w:rsidR="00823785" w:rsidRPr="00452D62" w:rsidRDefault="00823785" w:rsidP="00823785">
      <w:pPr>
        <w:numPr>
          <w:ilvl w:val="0"/>
          <w:numId w:val="7"/>
        </w:numPr>
        <w:ind w:left="567" w:hanging="567"/>
        <w:rPr>
          <w:sz w:val="22"/>
          <w:szCs w:val="22"/>
        </w:rPr>
      </w:pPr>
      <w:r w:rsidRPr="00452D62">
        <w:rPr>
          <w:sz w:val="22"/>
          <w:szCs w:val="22"/>
        </w:rPr>
        <w:t>kraujo tyrimai gali rodyti bilirubino kiekio, kai kurių kasos ar kepenų fermentų aktyvumo arba trombocitų skaičiaus padidėjimą;</w:t>
      </w:r>
    </w:p>
    <w:p w14:paraId="60F26AE2" w14:textId="77777777" w:rsidR="00823785" w:rsidRPr="00452D62" w:rsidRDefault="00823785" w:rsidP="00823785">
      <w:pPr>
        <w:numPr>
          <w:ilvl w:val="0"/>
          <w:numId w:val="7"/>
        </w:numPr>
        <w:ind w:left="567" w:hanging="567"/>
        <w:rPr>
          <w:sz w:val="22"/>
          <w:szCs w:val="22"/>
        </w:rPr>
      </w:pPr>
      <w:r w:rsidRPr="00452D62">
        <w:rPr>
          <w:sz w:val="22"/>
          <w:szCs w:val="22"/>
        </w:rPr>
        <w:t>apalpimas;</w:t>
      </w:r>
    </w:p>
    <w:p w14:paraId="4EFB3D3D" w14:textId="77777777" w:rsidR="00823785" w:rsidRPr="00452D62" w:rsidRDefault="00823785" w:rsidP="00823785">
      <w:pPr>
        <w:numPr>
          <w:ilvl w:val="0"/>
          <w:numId w:val="7"/>
        </w:numPr>
        <w:ind w:left="567" w:hanging="567"/>
        <w:rPr>
          <w:sz w:val="22"/>
          <w:szCs w:val="22"/>
        </w:rPr>
      </w:pPr>
      <w:r w:rsidRPr="00452D62">
        <w:rPr>
          <w:sz w:val="22"/>
          <w:szCs w:val="22"/>
        </w:rPr>
        <w:t>bloga savijauta;</w:t>
      </w:r>
    </w:p>
    <w:p w14:paraId="17691E89" w14:textId="77777777" w:rsidR="00823785" w:rsidRPr="00452D62" w:rsidRDefault="00823785" w:rsidP="00823785">
      <w:pPr>
        <w:numPr>
          <w:ilvl w:val="0"/>
          <w:numId w:val="7"/>
        </w:numPr>
        <w:ind w:left="567" w:hanging="567"/>
        <w:rPr>
          <w:sz w:val="22"/>
          <w:szCs w:val="22"/>
        </w:rPr>
      </w:pPr>
      <w:r w:rsidRPr="00452D62">
        <w:rPr>
          <w:sz w:val="22"/>
          <w:szCs w:val="22"/>
        </w:rPr>
        <w:t>dažnesnis širdies plakimas;</w:t>
      </w:r>
    </w:p>
    <w:p w14:paraId="36C52B49" w14:textId="77777777" w:rsidR="00823785" w:rsidRPr="00452D62" w:rsidRDefault="00823785" w:rsidP="00823785">
      <w:pPr>
        <w:numPr>
          <w:ilvl w:val="0"/>
          <w:numId w:val="7"/>
        </w:numPr>
        <w:ind w:left="567" w:hanging="567"/>
        <w:rPr>
          <w:sz w:val="22"/>
          <w:szCs w:val="22"/>
        </w:rPr>
      </w:pPr>
      <w:r w:rsidRPr="00452D62">
        <w:rPr>
          <w:sz w:val="22"/>
          <w:szCs w:val="22"/>
        </w:rPr>
        <w:t>burnos džiūvimas;</w:t>
      </w:r>
    </w:p>
    <w:p w14:paraId="451A6E3B" w14:textId="77777777" w:rsidR="00823785" w:rsidRPr="00452D62" w:rsidRDefault="00823785" w:rsidP="00823785">
      <w:pPr>
        <w:numPr>
          <w:ilvl w:val="0"/>
          <w:numId w:val="7"/>
        </w:numPr>
        <w:ind w:left="567" w:hanging="567"/>
        <w:rPr>
          <w:sz w:val="22"/>
          <w:szCs w:val="22"/>
        </w:rPr>
      </w:pPr>
      <w:r w:rsidRPr="00452D62">
        <w:rPr>
          <w:sz w:val="22"/>
          <w:szCs w:val="22"/>
        </w:rPr>
        <w:t>dilgėlinė.</w:t>
      </w:r>
    </w:p>
    <w:p w14:paraId="220397B1" w14:textId="77777777" w:rsidR="00823785" w:rsidRPr="00452D62" w:rsidRDefault="00823785" w:rsidP="00823785">
      <w:pPr>
        <w:ind w:left="567" w:right="-29" w:hanging="567"/>
        <w:rPr>
          <w:sz w:val="22"/>
          <w:szCs w:val="22"/>
        </w:rPr>
      </w:pPr>
    </w:p>
    <w:p w14:paraId="7EDF14FF" w14:textId="52CF49D1" w:rsidR="00823785" w:rsidRPr="00452D62" w:rsidRDefault="00823785" w:rsidP="00823785">
      <w:pPr>
        <w:ind w:left="567" w:right="-29" w:hanging="567"/>
        <w:rPr>
          <w:sz w:val="22"/>
          <w:szCs w:val="22"/>
        </w:rPr>
      </w:pPr>
      <w:r w:rsidRPr="00452D62">
        <w:rPr>
          <w:b/>
          <w:sz w:val="22"/>
          <w:szCs w:val="22"/>
        </w:rPr>
        <w:t xml:space="preserve">Reti šalutinio poveikio reiškiniai </w:t>
      </w:r>
      <w:r w:rsidRPr="00452D62">
        <w:rPr>
          <w:sz w:val="22"/>
          <w:szCs w:val="22"/>
        </w:rPr>
        <w:t>(gali pasireikšti rečiau kaip 1 iš 1 000 asmenų):</w:t>
      </w:r>
    </w:p>
    <w:p w14:paraId="4F358794" w14:textId="77777777" w:rsidR="00823785" w:rsidRPr="00452D62" w:rsidRDefault="00823785" w:rsidP="00823785">
      <w:pPr>
        <w:ind w:left="567" w:right="-29" w:hanging="567"/>
        <w:rPr>
          <w:sz w:val="22"/>
          <w:szCs w:val="22"/>
        </w:rPr>
      </w:pPr>
      <w:r w:rsidRPr="00452D62">
        <w:rPr>
          <w:sz w:val="22"/>
          <w:szCs w:val="22"/>
        </w:rPr>
        <w:t>-</w:t>
      </w:r>
      <w:r w:rsidRPr="00452D62">
        <w:rPr>
          <w:sz w:val="22"/>
          <w:szCs w:val="22"/>
        </w:rPr>
        <w:tab/>
        <w:t>kraujavimas į raumenį;</w:t>
      </w:r>
    </w:p>
    <w:p w14:paraId="539F05DE" w14:textId="77777777" w:rsidR="00823785" w:rsidRPr="00452D62" w:rsidRDefault="00823785" w:rsidP="00823785">
      <w:pPr>
        <w:numPr>
          <w:ilvl w:val="0"/>
          <w:numId w:val="7"/>
        </w:numPr>
        <w:ind w:left="567" w:hanging="567"/>
        <w:rPr>
          <w:sz w:val="22"/>
          <w:szCs w:val="22"/>
        </w:rPr>
      </w:pPr>
      <w:r w:rsidRPr="00452D62">
        <w:rPr>
          <w:sz w:val="22"/>
          <w:szCs w:val="22"/>
        </w:rPr>
        <w:t>cholestazė (sumažėjęs tulžies nutekėjimas), hepatitas, įskaitant kepenų ląstelių pažaidą (kepenų uždegimas, įskaitant kepenų pakenkimą);</w:t>
      </w:r>
    </w:p>
    <w:p w14:paraId="16B0EBF8" w14:textId="77777777" w:rsidR="00823785" w:rsidRPr="00452D62" w:rsidRDefault="00823785" w:rsidP="00823785">
      <w:pPr>
        <w:ind w:left="567" w:right="-29" w:hanging="567"/>
        <w:rPr>
          <w:sz w:val="22"/>
          <w:szCs w:val="22"/>
        </w:rPr>
      </w:pPr>
      <w:r w:rsidRPr="00452D62">
        <w:rPr>
          <w:sz w:val="22"/>
          <w:szCs w:val="22"/>
        </w:rPr>
        <w:t>-</w:t>
      </w:r>
      <w:r w:rsidRPr="00452D62">
        <w:rPr>
          <w:sz w:val="22"/>
          <w:szCs w:val="22"/>
        </w:rPr>
        <w:tab/>
        <w:t>odos ir akių pageltimas (gelta);</w:t>
      </w:r>
    </w:p>
    <w:p w14:paraId="1C59462A" w14:textId="77777777" w:rsidR="00823785" w:rsidRPr="00452D62" w:rsidRDefault="00823785" w:rsidP="00823785">
      <w:pPr>
        <w:ind w:left="567" w:right="-29" w:hanging="567"/>
        <w:rPr>
          <w:sz w:val="22"/>
          <w:szCs w:val="22"/>
        </w:rPr>
      </w:pPr>
      <w:r w:rsidRPr="00452D62">
        <w:rPr>
          <w:sz w:val="22"/>
          <w:szCs w:val="22"/>
        </w:rPr>
        <w:t>-</w:t>
      </w:r>
      <w:r w:rsidRPr="00452D62">
        <w:rPr>
          <w:sz w:val="22"/>
          <w:szCs w:val="22"/>
        </w:rPr>
        <w:tab/>
        <w:t>lokalus patinimas;</w:t>
      </w:r>
    </w:p>
    <w:p w14:paraId="27E56E29" w14:textId="77777777" w:rsidR="00823785" w:rsidRPr="00452D62" w:rsidRDefault="00823785" w:rsidP="00823785">
      <w:pPr>
        <w:ind w:left="567" w:right="-29" w:hanging="567"/>
        <w:rPr>
          <w:sz w:val="22"/>
          <w:szCs w:val="22"/>
        </w:rPr>
      </w:pPr>
      <w:r w:rsidRPr="00452D62">
        <w:rPr>
          <w:sz w:val="22"/>
          <w:szCs w:val="22"/>
        </w:rPr>
        <w:t>-</w:t>
      </w:r>
      <w:r w:rsidRPr="00452D62">
        <w:rPr>
          <w:sz w:val="22"/>
          <w:szCs w:val="22"/>
        </w:rPr>
        <w:tab/>
        <w:t>kraujo susikaupimas (hematoma) kirkšnyje kaip širdies procedūros, kai į kojos arteriją įstatomas kateteris, komplikacija (pseudoaneurizma).</w:t>
      </w:r>
    </w:p>
    <w:p w14:paraId="47AC9434" w14:textId="77777777" w:rsidR="00B30B0E" w:rsidRPr="00452D62" w:rsidRDefault="00B30B0E" w:rsidP="00B30B0E">
      <w:pPr>
        <w:pStyle w:val="Default"/>
        <w:rPr>
          <w:b/>
          <w:bCs/>
          <w:sz w:val="22"/>
          <w:szCs w:val="22"/>
        </w:rPr>
      </w:pPr>
    </w:p>
    <w:p w14:paraId="2199FF40" w14:textId="1805B10D" w:rsidR="00B30B0E" w:rsidRPr="00452D62" w:rsidRDefault="00B30B0E" w:rsidP="00B30B0E">
      <w:pPr>
        <w:pStyle w:val="Default"/>
        <w:rPr>
          <w:sz w:val="22"/>
          <w:szCs w:val="22"/>
        </w:rPr>
      </w:pPr>
      <w:r w:rsidRPr="00452D62">
        <w:rPr>
          <w:b/>
          <w:bCs/>
          <w:sz w:val="22"/>
          <w:szCs w:val="22"/>
        </w:rPr>
        <w:t>Labai ret</w:t>
      </w:r>
      <w:r w:rsidR="001019A6">
        <w:rPr>
          <w:b/>
          <w:bCs/>
          <w:sz w:val="22"/>
          <w:szCs w:val="22"/>
        </w:rPr>
        <w:t>i</w:t>
      </w:r>
      <w:r w:rsidRPr="00452D62">
        <w:rPr>
          <w:b/>
          <w:bCs/>
          <w:sz w:val="22"/>
          <w:szCs w:val="22"/>
        </w:rPr>
        <w:t xml:space="preserve"> </w:t>
      </w:r>
      <w:r w:rsidR="001019A6">
        <w:rPr>
          <w:b/>
          <w:bCs/>
          <w:sz w:val="22"/>
          <w:szCs w:val="22"/>
        </w:rPr>
        <w:t xml:space="preserve">šalutinio poveikio reiškiniai </w:t>
      </w:r>
      <w:r w:rsidRPr="00452D62">
        <w:rPr>
          <w:sz w:val="22"/>
          <w:szCs w:val="22"/>
        </w:rPr>
        <w:t>(gali pasireikšti rečiau kaip 1 iš 10 000 asmenų):</w:t>
      </w:r>
    </w:p>
    <w:p w14:paraId="2BE208ED" w14:textId="77777777" w:rsidR="00B30B0E" w:rsidRPr="00452D62" w:rsidRDefault="00B30B0E" w:rsidP="00B30B0E">
      <w:pPr>
        <w:ind w:left="567" w:right="-29" w:hanging="567"/>
        <w:rPr>
          <w:sz w:val="22"/>
          <w:szCs w:val="22"/>
        </w:rPr>
      </w:pPr>
      <w:r w:rsidRPr="00452D62">
        <w:rPr>
          <w:sz w:val="22"/>
          <w:szCs w:val="22"/>
        </w:rPr>
        <w:t>-</w:t>
      </w:r>
      <w:r w:rsidRPr="00452D62">
        <w:rPr>
          <w:sz w:val="22"/>
          <w:szCs w:val="22"/>
        </w:rPr>
        <w:tab/>
        <w:t>eozinofilų, tam tikros rūšies baltųjų granulocitinių kraujo kūnelių sankaupos, kurios sukelia uždegimą plaučiuose (eozinofilinė pneumonija).</w:t>
      </w:r>
    </w:p>
    <w:p w14:paraId="27BFD783" w14:textId="77777777" w:rsidR="00823785" w:rsidRPr="00452D62" w:rsidRDefault="00823785" w:rsidP="00823785">
      <w:pPr>
        <w:ind w:left="567" w:right="-29" w:hanging="567"/>
        <w:rPr>
          <w:sz w:val="22"/>
          <w:szCs w:val="22"/>
        </w:rPr>
      </w:pPr>
    </w:p>
    <w:p w14:paraId="05BB9469" w14:textId="77777777" w:rsidR="00823785" w:rsidRPr="00452D62" w:rsidRDefault="00823785" w:rsidP="00823785">
      <w:pPr>
        <w:ind w:left="567" w:right="-29" w:hanging="567"/>
        <w:rPr>
          <w:sz w:val="22"/>
          <w:szCs w:val="22"/>
        </w:rPr>
      </w:pPr>
      <w:r w:rsidRPr="00452D62">
        <w:rPr>
          <w:b/>
          <w:sz w:val="22"/>
          <w:szCs w:val="22"/>
        </w:rPr>
        <w:t>Dažnis nežinomas</w:t>
      </w:r>
      <w:r w:rsidRPr="00452D62">
        <w:rPr>
          <w:sz w:val="22"/>
          <w:szCs w:val="22"/>
        </w:rPr>
        <w:t xml:space="preserve"> (negali būti apskaičiuotas pagal turimus duomenis):</w:t>
      </w:r>
    </w:p>
    <w:p w14:paraId="08392F21" w14:textId="0CCB5F01" w:rsidR="00823785" w:rsidRPr="00452D62" w:rsidRDefault="00823785" w:rsidP="00823785">
      <w:pPr>
        <w:ind w:left="567" w:right="-29" w:hanging="567"/>
        <w:rPr>
          <w:sz w:val="22"/>
          <w:szCs w:val="22"/>
        </w:rPr>
      </w:pPr>
      <w:r w:rsidRPr="00452D62">
        <w:rPr>
          <w:sz w:val="22"/>
          <w:szCs w:val="22"/>
        </w:rPr>
        <w:t>-</w:t>
      </w:r>
      <w:r w:rsidRPr="00452D62">
        <w:rPr>
          <w:sz w:val="22"/>
          <w:szCs w:val="22"/>
        </w:rPr>
        <w:tab/>
        <w:t>inkstų nepakankamumas po stipraus kraujavimo;</w:t>
      </w:r>
    </w:p>
    <w:p w14:paraId="71085438" w14:textId="10C25D64" w:rsidR="0081698D" w:rsidRPr="00452D62" w:rsidRDefault="0081698D" w:rsidP="0081698D">
      <w:pPr>
        <w:ind w:left="567" w:right="-29" w:hanging="567"/>
        <w:rPr>
          <w:sz w:val="22"/>
          <w:szCs w:val="22"/>
        </w:rPr>
      </w:pPr>
      <w:r w:rsidRPr="00452D62">
        <w:rPr>
          <w:sz w:val="22"/>
          <w:szCs w:val="22"/>
        </w:rPr>
        <w:t>-</w:t>
      </w:r>
      <w:r w:rsidRPr="00452D62">
        <w:rPr>
          <w:sz w:val="22"/>
          <w:szCs w:val="22"/>
        </w:rPr>
        <w:tab/>
        <w:t>kraujavimas iš inkstų, kartais su krauju šlapime, dėl kurio sutrinka normali inkstų veikla (su antikoaguliantais susijusi nefropatija);</w:t>
      </w:r>
    </w:p>
    <w:p w14:paraId="14D1B432" w14:textId="77777777" w:rsidR="00823785" w:rsidRPr="00452D62" w:rsidRDefault="00823785" w:rsidP="00823785">
      <w:pPr>
        <w:ind w:left="567" w:right="-29" w:hanging="567"/>
        <w:rPr>
          <w:sz w:val="22"/>
          <w:szCs w:val="22"/>
        </w:rPr>
      </w:pPr>
      <w:r w:rsidRPr="00452D62">
        <w:rPr>
          <w:sz w:val="22"/>
          <w:szCs w:val="22"/>
        </w:rPr>
        <w:t>-</w:t>
      </w:r>
      <w:r w:rsidRPr="00452D62">
        <w:rPr>
          <w:sz w:val="22"/>
          <w:szCs w:val="22"/>
        </w:rPr>
        <w:tab/>
        <w:t>padidėjęs spaudimas kojų ar rankų raumenyse po kraujavimo, dėl ko gali skaudėti, tinti, sutrikti jutimas, pasireikšti tirpimas ar paralyžius (suspaudimo sindromas po kraujavimo).</w:t>
      </w:r>
    </w:p>
    <w:p w14:paraId="055A39B0" w14:textId="77777777" w:rsidR="0081698D" w:rsidRPr="00452D62" w:rsidRDefault="0081698D" w:rsidP="0081698D">
      <w:pPr>
        <w:pStyle w:val="Default"/>
        <w:rPr>
          <w:b/>
          <w:bCs/>
          <w:sz w:val="22"/>
          <w:szCs w:val="22"/>
        </w:rPr>
      </w:pPr>
    </w:p>
    <w:p w14:paraId="18405251" w14:textId="5B4F6CC1" w:rsidR="0081698D" w:rsidRPr="00452D62" w:rsidRDefault="0081698D" w:rsidP="0081698D">
      <w:pPr>
        <w:pStyle w:val="Default"/>
        <w:rPr>
          <w:sz w:val="22"/>
          <w:szCs w:val="22"/>
        </w:rPr>
      </w:pPr>
      <w:r w:rsidRPr="00452D62">
        <w:rPr>
          <w:b/>
          <w:bCs/>
          <w:sz w:val="22"/>
          <w:szCs w:val="22"/>
        </w:rPr>
        <w:t>Šalutiniai poveikiai, pasireiškę vaikams ir paaugliams</w:t>
      </w:r>
    </w:p>
    <w:p w14:paraId="76A2BB93" w14:textId="3DB2F6F0" w:rsidR="0081698D" w:rsidRPr="00452D62" w:rsidRDefault="0081698D" w:rsidP="0081698D">
      <w:pPr>
        <w:pStyle w:val="Default"/>
        <w:rPr>
          <w:sz w:val="22"/>
          <w:szCs w:val="22"/>
        </w:rPr>
      </w:pPr>
      <w:r w:rsidRPr="00452D62">
        <w:rPr>
          <w:sz w:val="22"/>
          <w:szCs w:val="22"/>
        </w:rPr>
        <w:t>Apskritai, šalutini</w:t>
      </w:r>
      <w:r w:rsidR="005843FD" w:rsidRPr="00452D62">
        <w:rPr>
          <w:sz w:val="22"/>
          <w:szCs w:val="22"/>
        </w:rPr>
        <w:t>ai poveikiai, pasireiškę Xerdoxo</w:t>
      </w:r>
      <w:r w:rsidRPr="00452D62">
        <w:rPr>
          <w:sz w:val="22"/>
          <w:szCs w:val="22"/>
        </w:rPr>
        <w:t xml:space="preserve"> gydytiems vaikams ir paaugliams, pagal savo pobūdį buvo panašūs kaip suaugusiems ir dažniausiai buvo lengvi arba vidutinio sunkumo. </w:t>
      </w:r>
    </w:p>
    <w:p w14:paraId="34E3D660" w14:textId="77777777" w:rsidR="0097388A" w:rsidRPr="00452D62" w:rsidRDefault="0097388A" w:rsidP="0081698D">
      <w:pPr>
        <w:pStyle w:val="Default"/>
        <w:rPr>
          <w:sz w:val="22"/>
          <w:szCs w:val="22"/>
        </w:rPr>
      </w:pPr>
    </w:p>
    <w:p w14:paraId="5C02E18C" w14:textId="5DBCF3DA" w:rsidR="0081698D" w:rsidRPr="00452D62" w:rsidRDefault="0081698D" w:rsidP="0081698D">
      <w:pPr>
        <w:pStyle w:val="Default"/>
        <w:rPr>
          <w:sz w:val="22"/>
          <w:szCs w:val="22"/>
        </w:rPr>
      </w:pPr>
      <w:r w:rsidRPr="00452D62">
        <w:rPr>
          <w:sz w:val="22"/>
          <w:szCs w:val="22"/>
        </w:rPr>
        <w:t xml:space="preserve">Šalutiniai poveikiai, kurie buvo dažniau nustatyti vaikams ir paaugliams: </w:t>
      </w:r>
    </w:p>
    <w:p w14:paraId="2F11B6C2" w14:textId="77777777" w:rsidR="0081698D" w:rsidRPr="00452D62" w:rsidRDefault="0081698D" w:rsidP="0081698D">
      <w:pPr>
        <w:pStyle w:val="Default"/>
        <w:rPr>
          <w:b/>
          <w:bCs/>
          <w:sz w:val="22"/>
          <w:szCs w:val="22"/>
        </w:rPr>
      </w:pPr>
    </w:p>
    <w:p w14:paraId="7593AE78" w14:textId="2D65FD51" w:rsidR="0081698D" w:rsidRPr="00452D62" w:rsidRDefault="0081698D" w:rsidP="0081698D">
      <w:pPr>
        <w:pStyle w:val="Default"/>
        <w:rPr>
          <w:sz w:val="22"/>
          <w:szCs w:val="22"/>
        </w:rPr>
      </w:pPr>
      <w:r w:rsidRPr="00452D62">
        <w:rPr>
          <w:b/>
          <w:bCs/>
          <w:sz w:val="22"/>
          <w:szCs w:val="22"/>
        </w:rPr>
        <w:t>Labai dažn</w:t>
      </w:r>
      <w:r w:rsidR="001019A6">
        <w:rPr>
          <w:b/>
          <w:bCs/>
          <w:sz w:val="22"/>
          <w:szCs w:val="22"/>
        </w:rPr>
        <w:t>i</w:t>
      </w:r>
      <w:r w:rsidRPr="00452D62">
        <w:rPr>
          <w:b/>
          <w:bCs/>
          <w:sz w:val="22"/>
          <w:szCs w:val="22"/>
        </w:rPr>
        <w:t xml:space="preserve"> </w:t>
      </w:r>
      <w:r w:rsidR="001019A6">
        <w:rPr>
          <w:b/>
          <w:bCs/>
          <w:sz w:val="22"/>
          <w:szCs w:val="22"/>
        </w:rPr>
        <w:t xml:space="preserve">šalutinio poveikio reiškiniai </w:t>
      </w:r>
      <w:r w:rsidRPr="00452D62">
        <w:rPr>
          <w:sz w:val="22"/>
          <w:szCs w:val="22"/>
        </w:rPr>
        <w:t>(gali pasireikšti ne rečiau kaip 1 iš 10 asmenų):</w:t>
      </w:r>
    </w:p>
    <w:p w14:paraId="3D99200A" w14:textId="75562580" w:rsidR="0081698D" w:rsidRPr="00AE1B80" w:rsidRDefault="0081698D" w:rsidP="00AE1B80">
      <w:pPr>
        <w:ind w:left="567" w:right="-29" w:hanging="567"/>
        <w:rPr>
          <w:sz w:val="22"/>
          <w:szCs w:val="22"/>
        </w:rPr>
      </w:pPr>
      <w:r w:rsidRPr="008C3DF7">
        <w:rPr>
          <w:sz w:val="22"/>
          <w:szCs w:val="22"/>
        </w:rPr>
        <w:t>-</w:t>
      </w:r>
      <w:r w:rsidRPr="008C3DF7">
        <w:rPr>
          <w:sz w:val="22"/>
          <w:szCs w:val="22"/>
        </w:rPr>
        <w:tab/>
      </w:r>
      <w:r w:rsidRPr="00AE1B80">
        <w:rPr>
          <w:sz w:val="22"/>
          <w:szCs w:val="22"/>
        </w:rPr>
        <w:t>galvos skausmas;</w:t>
      </w:r>
    </w:p>
    <w:p w14:paraId="366EEF95" w14:textId="27BC92E4" w:rsidR="0081698D" w:rsidRPr="00AE1B80" w:rsidRDefault="0081698D" w:rsidP="00AE1B80">
      <w:pPr>
        <w:ind w:left="567" w:right="-29" w:hanging="567"/>
        <w:rPr>
          <w:sz w:val="22"/>
          <w:szCs w:val="22"/>
        </w:rPr>
      </w:pPr>
      <w:r w:rsidRPr="00452D62">
        <w:rPr>
          <w:sz w:val="22"/>
          <w:szCs w:val="22"/>
        </w:rPr>
        <w:t>-</w:t>
      </w:r>
      <w:r w:rsidRPr="00452D62">
        <w:rPr>
          <w:sz w:val="22"/>
          <w:szCs w:val="22"/>
        </w:rPr>
        <w:tab/>
      </w:r>
      <w:r w:rsidRPr="00AE1B80">
        <w:rPr>
          <w:sz w:val="22"/>
          <w:szCs w:val="22"/>
        </w:rPr>
        <w:t>karščiavimas;</w:t>
      </w:r>
    </w:p>
    <w:p w14:paraId="58E9F9B3" w14:textId="5516EE48" w:rsidR="0081698D" w:rsidRPr="00AE1B80" w:rsidRDefault="0081698D" w:rsidP="00AE1B80">
      <w:pPr>
        <w:ind w:left="567" w:right="-29" w:hanging="567"/>
        <w:rPr>
          <w:sz w:val="22"/>
          <w:szCs w:val="22"/>
        </w:rPr>
      </w:pPr>
      <w:r w:rsidRPr="00452D62">
        <w:rPr>
          <w:sz w:val="22"/>
          <w:szCs w:val="22"/>
        </w:rPr>
        <w:t>-</w:t>
      </w:r>
      <w:r w:rsidRPr="00452D62">
        <w:rPr>
          <w:sz w:val="22"/>
          <w:szCs w:val="22"/>
        </w:rPr>
        <w:tab/>
      </w:r>
      <w:r w:rsidRPr="00AE1B80">
        <w:rPr>
          <w:sz w:val="22"/>
          <w:szCs w:val="22"/>
        </w:rPr>
        <w:t>kraujavimas iš nosies;</w:t>
      </w:r>
    </w:p>
    <w:p w14:paraId="231D2850" w14:textId="467A16B5" w:rsidR="0081698D" w:rsidRPr="00AE1B80" w:rsidRDefault="0081698D" w:rsidP="00AE1B80">
      <w:pPr>
        <w:ind w:left="567" w:right="-29" w:hanging="567"/>
        <w:rPr>
          <w:sz w:val="22"/>
          <w:szCs w:val="22"/>
        </w:rPr>
      </w:pPr>
      <w:r w:rsidRPr="00452D62">
        <w:rPr>
          <w:sz w:val="22"/>
          <w:szCs w:val="22"/>
        </w:rPr>
        <w:t>-</w:t>
      </w:r>
      <w:r w:rsidRPr="00452D62">
        <w:rPr>
          <w:sz w:val="22"/>
          <w:szCs w:val="22"/>
        </w:rPr>
        <w:tab/>
      </w:r>
      <w:r w:rsidRPr="00AE1B80">
        <w:rPr>
          <w:sz w:val="22"/>
          <w:szCs w:val="22"/>
        </w:rPr>
        <w:t>vėmimas.</w:t>
      </w:r>
    </w:p>
    <w:p w14:paraId="30A04833" w14:textId="77777777" w:rsidR="0081698D" w:rsidRPr="00452D62" w:rsidRDefault="0081698D" w:rsidP="0081698D">
      <w:pPr>
        <w:pStyle w:val="Default"/>
        <w:rPr>
          <w:rFonts w:ascii="Arial" w:hAnsi="Arial" w:cs="Arial"/>
          <w:sz w:val="22"/>
          <w:szCs w:val="22"/>
        </w:rPr>
      </w:pPr>
    </w:p>
    <w:p w14:paraId="0FFE9CC7" w14:textId="3CB3CBBE" w:rsidR="0081698D" w:rsidRPr="00452D62" w:rsidRDefault="0081698D" w:rsidP="0081698D">
      <w:pPr>
        <w:pStyle w:val="Default"/>
        <w:rPr>
          <w:sz w:val="22"/>
          <w:szCs w:val="22"/>
        </w:rPr>
      </w:pPr>
      <w:r w:rsidRPr="00452D62">
        <w:rPr>
          <w:b/>
          <w:bCs/>
          <w:sz w:val="22"/>
          <w:szCs w:val="22"/>
        </w:rPr>
        <w:t>Dažn</w:t>
      </w:r>
      <w:r w:rsidR="001019A6">
        <w:rPr>
          <w:b/>
          <w:bCs/>
          <w:sz w:val="22"/>
          <w:szCs w:val="22"/>
        </w:rPr>
        <w:t>i</w:t>
      </w:r>
      <w:r w:rsidR="001019A6" w:rsidRPr="001019A6">
        <w:rPr>
          <w:b/>
          <w:bCs/>
          <w:sz w:val="22"/>
          <w:szCs w:val="22"/>
        </w:rPr>
        <w:t xml:space="preserve"> </w:t>
      </w:r>
      <w:r w:rsidR="001019A6">
        <w:rPr>
          <w:b/>
          <w:bCs/>
          <w:sz w:val="22"/>
          <w:szCs w:val="22"/>
        </w:rPr>
        <w:t>šalutinio poveikio reiškiniai</w:t>
      </w:r>
      <w:r w:rsidRPr="00452D62">
        <w:rPr>
          <w:b/>
          <w:bCs/>
          <w:sz w:val="22"/>
          <w:szCs w:val="22"/>
        </w:rPr>
        <w:t xml:space="preserve"> </w:t>
      </w:r>
      <w:r w:rsidRPr="00452D62">
        <w:rPr>
          <w:sz w:val="22"/>
          <w:szCs w:val="22"/>
        </w:rPr>
        <w:t>(gali pasireikšti rečiau kaip 1 iš 10 asmenų):</w:t>
      </w:r>
    </w:p>
    <w:p w14:paraId="2DFA04CF" w14:textId="6A5EC1B7" w:rsidR="009C269B" w:rsidRPr="00452D62" w:rsidRDefault="0081698D">
      <w:pPr>
        <w:ind w:left="567" w:right="-29" w:hanging="567"/>
        <w:rPr>
          <w:sz w:val="22"/>
          <w:szCs w:val="22"/>
        </w:rPr>
      </w:pPr>
      <w:r w:rsidRPr="00452D62">
        <w:rPr>
          <w:sz w:val="22"/>
          <w:szCs w:val="22"/>
        </w:rPr>
        <w:t>-</w:t>
      </w:r>
      <w:r w:rsidRPr="00452D62">
        <w:rPr>
          <w:sz w:val="22"/>
          <w:szCs w:val="22"/>
        </w:rPr>
        <w:tab/>
        <w:t>padažnėjęs širdies plakimas</w:t>
      </w:r>
      <w:r w:rsidR="009C269B" w:rsidRPr="00452D62">
        <w:rPr>
          <w:sz w:val="22"/>
          <w:szCs w:val="22"/>
        </w:rPr>
        <w:t>;</w:t>
      </w:r>
    </w:p>
    <w:p w14:paraId="35D14660" w14:textId="3ACB12EE" w:rsidR="0081698D" w:rsidRPr="008C3DF7" w:rsidRDefault="009C269B" w:rsidP="00AE1B80">
      <w:pPr>
        <w:ind w:left="567" w:right="-29" w:hanging="567"/>
        <w:rPr>
          <w:sz w:val="22"/>
          <w:szCs w:val="22"/>
        </w:rPr>
      </w:pPr>
      <w:r w:rsidRPr="008C3DF7">
        <w:rPr>
          <w:sz w:val="22"/>
          <w:szCs w:val="22"/>
        </w:rPr>
        <w:t>-</w:t>
      </w:r>
      <w:r w:rsidRPr="008C3DF7">
        <w:rPr>
          <w:sz w:val="22"/>
          <w:szCs w:val="22"/>
        </w:rPr>
        <w:tab/>
      </w:r>
      <w:r w:rsidR="0081698D" w:rsidRPr="008C3DF7">
        <w:rPr>
          <w:sz w:val="22"/>
          <w:szCs w:val="22"/>
        </w:rPr>
        <w:t>kraujo tyrimai gali rodyti padidėjusį bilirubino (tulžies pigmento) kiekį;</w:t>
      </w:r>
    </w:p>
    <w:p w14:paraId="3885A0AD" w14:textId="4FB7B8B7" w:rsidR="0081698D" w:rsidRPr="008C3DF7" w:rsidRDefault="0081698D" w:rsidP="00AE1B80">
      <w:pPr>
        <w:ind w:left="567" w:right="-29" w:hanging="567"/>
        <w:rPr>
          <w:sz w:val="22"/>
          <w:szCs w:val="22"/>
        </w:rPr>
      </w:pPr>
      <w:r w:rsidRPr="008C3DF7">
        <w:rPr>
          <w:sz w:val="22"/>
          <w:szCs w:val="22"/>
        </w:rPr>
        <w:t>-</w:t>
      </w:r>
      <w:r w:rsidRPr="008C3DF7">
        <w:rPr>
          <w:sz w:val="22"/>
          <w:szCs w:val="22"/>
        </w:rPr>
        <w:tab/>
        <w:t>trombocitopenija (sumažėjęs trombocitų, kurie yra kraujui krešėti padedančios ląstelės, kiekis);</w:t>
      </w:r>
    </w:p>
    <w:p w14:paraId="7971D17B" w14:textId="0B1BBFA6" w:rsidR="0081698D" w:rsidRPr="00AE1B80" w:rsidRDefault="0081698D" w:rsidP="00AE1B80">
      <w:pPr>
        <w:ind w:left="567" w:right="-29" w:hanging="567"/>
        <w:rPr>
          <w:sz w:val="22"/>
          <w:szCs w:val="22"/>
        </w:rPr>
      </w:pPr>
      <w:r w:rsidRPr="0016516E">
        <w:rPr>
          <w:sz w:val="22"/>
          <w:szCs w:val="22"/>
        </w:rPr>
        <w:t>-</w:t>
      </w:r>
      <w:r w:rsidRPr="0016516E">
        <w:rPr>
          <w:sz w:val="22"/>
          <w:szCs w:val="22"/>
        </w:rPr>
        <w:tab/>
      </w:r>
      <w:r w:rsidRPr="001216D5">
        <w:rPr>
          <w:sz w:val="22"/>
          <w:szCs w:val="22"/>
        </w:rPr>
        <w:t>gausus mėnesinių kraujavimas.</w:t>
      </w:r>
    </w:p>
    <w:p w14:paraId="1E7E4436" w14:textId="77777777" w:rsidR="0081698D" w:rsidRPr="00AE1B80" w:rsidRDefault="0081698D" w:rsidP="0081698D">
      <w:pPr>
        <w:pStyle w:val="Default"/>
        <w:rPr>
          <w:sz w:val="22"/>
          <w:szCs w:val="22"/>
        </w:rPr>
      </w:pPr>
    </w:p>
    <w:p w14:paraId="6D0B8E13" w14:textId="589BFE28" w:rsidR="0081698D" w:rsidRPr="000877E9" w:rsidRDefault="0081698D" w:rsidP="0081698D">
      <w:pPr>
        <w:pStyle w:val="Default"/>
        <w:rPr>
          <w:sz w:val="22"/>
          <w:szCs w:val="22"/>
        </w:rPr>
      </w:pPr>
      <w:r w:rsidRPr="00452D62">
        <w:rPr>
          <w:b/>
          <w:bCs/>
          <w:sz w:val="22"/>
          <w:szCs w:val="22"/>
        </w:rPr>
        <w:t>Nedažn</w:t>
      </w:r>
      <w:r w:rsidR="001019A6">
        <w:rPr>
          <w:b/>
          <w:bCs/>
          <w:sz w:val="22"/>
          <w:szCs w:val="22"/>
        </w:rPr>
        <w:t>i</w:t>
      </w:r>
      <w:r w:rsidR="001019A6" w:rsidRPr="001019A6">
        <w:rPr>
          <w:b/>
          <w:bCs/>
          <w:sz w:val="22"/>
          <w:szCs w:val="22"/>
        </w:rPr>
        <w:t xml:space="preserve"> </w:t>
      </w:r>
      <w:r w:rsidR="001019A6">
        <w:rPr>
          <w:b/>
          <w:bCs/>
          <w:sz w:val="22"/>
          <w:szCs w:val="22"/>
        </w:rPr>
        <w:t>šalutinio poveikio reiškiniai</w:t>
      </w:r>
      <w:r w:rsidRPr="00452D62">
        <w:rPr>
          <w:b/>
          <w:bCs/>
          <w:sz w:val="22"/>
          <w:szCs w:val="22"/>
        </w:rPr>
        <w:t xml:space="preserve"> </w:t>
      </w:r>
      <w:r w:rsidRPr="000877E9">
        <w:rPr>
          <w:sz w:val="22"/>
          <w:szCs w:val="22"/>
        </w:rPr>
        <w:t>(gali pasireikšti rečiau kaip 1 iš 100 asmenų):</w:t>
      </w:r>
    </w:p>
    <w:p w14:paraId="6F567386" w14:textId="220933D4" w:rsidR="0081698D" w:rsidRPr="008C3DF7" w:rsidRDefault="0081698D" w:rsidP="00AE1B80">
      <w:pPr>
        <w:ind w:left="567" w:right="-29" w:hanging="567"/>
        <w:rPr>
          <w:sz w:val="22"/>
          <w:szCs w:val="22"/>
        </w:rPr>
      </w:pPr>
      <w:r w:rsidRPr="008C3DF7">
        <w:rPr>
          <w:sz w:val="22"/>
          <w:szCs w:val="22"/>
        </w:rPr>
        <w:t>-</w:t>
      </w:r>
      <w:r w:rsidRPr="008C3DF7">
        <w:rPr>
          <w:sz w:val="22"/>
          <w:szCs w:val="22"/>
        </w:rPr>
        <w:tab/>
        <w:t>kraujo tyrimai gali rodyti padidėjusį tam tikro tipo bilirubino (tiesioginio bilir</w:t>
      </w:r>
      <w:r w:rsidR="0097388A" w:rsidRPr="008C3DF7">
        <w:rPr>
          <w:sz w:val="22"/>
          <w:szCs w:val="22"/>
        </w:rPr>
        <w:t>ubino, tulžies pigmento) kiekį.</w:t>
      </w:r>
    </w:p>
    <w:p w14:paraId="4BFAA646" w14:textId="77777777" w:rsidR="00823785" w:rsidRPr="00452D62" w:rsidRDefault="00823785" w:rsidP="00823785">
      <w:pPr>
        <w:ind w:right="-29"/>
        <w:rPr>
          <w:sz w:val="22"/>
          <w:szCs w:val="22"/>
        </w:rPr>
      </w:pPr>
    </w:p>
    <w:p w14:paraId="69C9A98A" w14:textId="77777777" w:rsidR="00823785" w:rsidRPr="00452D62" w:rsidRDefault="00823785" w:rsidP="00823785">
      <w:pPr>
        <w:rPr>
          <w:rFonts w:eastAsia="SimSun"/>
          <w:sz w:val="22"/>
          <w:szCs w:val="22"/>
        </w:rPr>
      </w:pPr>
      <w:r w:rsidRPr="00452D62">
        <w:rPr>
          <w:b/>
          <w:sz w:val="22"/>
          <w:szCs w:val="22"/>
        </w:rPr>
        <w:t>Pranešimas apie šalutinį poveikį</w:t>
      </w:r>
    </w:p>
    <w:p w14:paraId="107890B5" w14:textId="75EC60AB" w:rsidR="00CB25DC" w:rsidRPr="00CB25DC" w:rsidRDefault="00CB25DC" w:rsidP="00701AC2">
      <w:pPr>
        <w:suppressAutoHyphens w:val="0"/>
        <w:ind w:right="-1"/>
        <w:rPr>
          <w:color w:val="auto"/>
          <w:sz w:val="22"/>
          <w:szCs w:val="20"/>
          <w:lang w:eastAsia="en-US"/>
        </w:rPr>
      </w:pPr>
      <w:r w:rsidRPr="00CB25DC">
        <w:rPr>
          <w:color w:val="auto"/>
          <w:sz w:val="22"/>
          <w:szCs w:val="22"/>
          <w:lang w:eastAsia="lt-LT"/>
        </w:rPr>
        <w:t xml:space="preserve">Jeigu pasireiškė šalutinis poveikis, įskaitant šiame lapelyje nenurodytą, pasakykite gydytojui, vaistininkui arba slaugytojui. </w:t>
      </w:r>
      <w:r w:rsidRPr="00701AC2">
        <w:rPr>
          <w:color w:val="auto"/>
          <w:sz w:val="22"/>
        </w:rPr>
        <w:t xml:space="preserve">Pranešimą apie šalutinį poveikį galite </w:t>
      </w:r>
      <w:r w:rsidRPr="00CB25DC">
        <w:rPr>
          <w:color w:val="auto"/>
          <w:sz w:val="22"/>
          <w:szCs w:val="22"/>
          <w:lang w:eastAsia="lt-LT"/>
        </w:rPr>
        <w:t xml:space="preserve">užpildyti ir </w:t>
      </w:r>
      <w:r w:rsidRPr="00701AC2">
        <w:rPr>
          <w:color w:val="auto"/>
          <w:sz w:val="22"/>
        </w:rPr>
        <w:t xml:space="preserve">pateikti Valstybinės vaistų kontrolės tarnybos prie Lietuvos Respublikos sveikatos apsaugos ministerijos </w:t>
      </w:r>
      <w:r w:rsidRPr="00CB25DC">
        <w:rPr>
          <w:color w:val="auto"/>
          <w:sz w:val="22"/>
          <w:szCs w:val="22"/>
          <w:lang w:eastAsia="lt-LT"/>
        </w:rPr>
        <w:t xml:space="preserve">tinklalapyje </w:t>
      </w:r>
      <w:r w:rsidRPr="00CB25DC">
        <w:rPr>
          <w:color w:val="0000EE"/>
          <w:sz w:val="22"/>
          <w:szCs w:val="22"/>
          <w:u w:val="single"/>
          <w:lang w:eastAsia="lt-LT"/>
        </w:rPr>
        <w:t>https://vvkt.lrv.lt/lt/</w:t>
      </w:r>
      <w:r w:rsidRPr="00CB25DC">
        <w:rPr>
          <w:color w:val="auto"/>
          <w:sz w:val="22"/>
          <w:szCs w:val="22"/>
          <w:lang w:eastAsia="lt-LT"/>
        </w:rPr>
        <w:t xml:space="preserve"> nurodytais būdais</w:t>
      </w:r>
      <w:r w:rsidRPr="00701AC2">
        <w:rPr>
          <w:color w:val="auto"/>
          <w:sz w:val="22"/>
        </w:rPr>
        <w:t xml:space="preserve"> arba </w:t>
      </w:r>
      <w:r w:rsidRPr="00CB25DC">
        <w:rPr>
          <w:color w:val="auto"/>
          <w:sz w:val="22"/>
          <w:szCs w:val="22"/>
          <w:lang w:eastAsia="lt-LT"/>
        </w:rPr>
        <w:t>paskambinti</w:t>
      </w:r>
      <w:r w:rsidRPr="00701AC2">
        <w:rPr>
          <w:color w:val="auto"/>
          <w:sz w:val="22"/>
        </w:rPr>
        <w:t xml:space="preserve"> nemokamu telefonu 8 800 73 568. Pranešdami apie šalutinį poveikį galite mums padėti gauti daugiau informacijos apie šio vaisto saugumą.</w:t>
      </w:r>
    </w:p>
    <w:p w14:paraId="7953D4D0" w14:textId="77777777" w:rsidR="00823785" w:rsidRPr="00452D62" w:rsidRDefault="00823785" w:rsidP="00823785">
      <w:pPr>
        <w:rPr>
          <w:sz w:val="22"/>
          <w:szCs w:val="22"/>
        </w:rPr>
      </w:pPr>
    </w:p>
    <w:p w14:paraId="201839A8" w14:textId="77777777" w:rsidR="00823785" w:rsidRPr="00452D62" w:rsidRDefault="00823785" w:rsidP="00823785">
      <w:pPr>
        <w:rPr>
          <w:sz w:val="22"/>
          <w:szCs w:val="22"/>
        </w:rPr>
      </w:pPr>
    </w:p>
    <w:p w14:paraId="5C68B2E1" w14:textId="77777777" w:rsidR="00823785" w:rsidRPr="00452D62" w:rsidRDefault="00823785" w:rsidP="00823785">
      <w:pPr>
        <w:widowControl w:val="0"/>
        <w:tabs>
          <w:tab w:val="clear" w:pos="567"/>
        </w:tabs>
        <w:suppressAutoHyphens w:val="0"/>
        <w:spacing w:line="240" w:lineRule="auto"/>
        <w:ind w:left="567" w:hanging="567"/>
        <w:outlineLvl w:val="0"/>
        <w:rPr>
          <w:b/>
          <w:color w:val="auto"/>
          <w:sz w:val="22"/>
          <w:szCs w:val="22"/>
          <w:lang w:eastAsia="en-US"/>
        </w:rPr>
      </w:pPr>
      <w:r w:rsidRPr="00452D62">
        <w:rPr>
          <w:b/>
          <w:color w:val="auto"/>
          <w:sz w:val="22"/>
          <w:szCs w:val="22"/>
          <w:lang w:eastAsia="en-US"/>
        </w:rPr>
        <w:t>5.</w:t>
      </w:r>
      <w:r w:rsidRPr="00452D62">
        <w:rPr>
          <w:b/>
          <w:color w:val="auto"/>
          <w:sz w:val="22"/>
          <w:szCs w:val="22"/>
          <w:lang w:eastAsia="en-US"/>
        </w:rPr>
        <w:tab/>
        <w:t>Kaip laikyti Xerdoxo</w:t>
      </w:r>
    </w:p>
    <w:p w14:paraId="37A33B34" w14:textId="77777777" w:rsidR="00823785" w:rsidRPr="00452D62" w:rsidRDefault="00823785" w:rsidP="00823785">
      <w:pPr>
        <w:tabs>
          <w:tab w:val="clear" w:pos="567"/>
        </w:tabs>
        <w:spacing w:line="100" w:lineRule="atLeast"/>
        <w:ind w:right="-2"/>
        <w:rPr>
          <w:sz w:val="22"/>
          <w:szCs w:val="22"/>
        </w:rPr>
      </w:pPr>
    </w:p>
    <w:p w14:paraId="0C230F16" w14:textId="77777777" w:rsidR="00823785" w:rsidRPr="00452D62" w:rsidRDefault="00823785" w:rsidP="00823785">
      <w:pPr>
        <w:tabs>
          <w:tab w:val="clear" w:pos="567"/>
        </w:tabs>
        <w:spacing w:line="100" w:lineRule="atLeast"/>
        <w:ind w:right="-2"/>
        <w:rPr>
          <w:sz w:val="22"/>
          <w:szCs w:val="22"/>
        </w:rPr>
      </w:pPr>
      <w:r w:rsidRPr="00452D62">
        <w:rPr>
          <w:sz w:val="22"/>
          <w:szCs w:val="22"/>
        </w:rPr>
        <w:t>Šį vaistą laikykite vaikams nepastebimoje ir nepasiekiamoje vietoje.</w:t>
      </w:r>
    </w:p>
    <w:p w14:paraId="380686A0" w14:textId="77777777" w:rsidR="00823785" w:rsidRPr="00452D62" w:rsidRDefault="00823785" w:rsidP="00823785">
      <w:pPr>
        <w:tabs>
          <w:tab w:val="clear" w:pos="567"/>
        </w:tabs>
        <w:spacing w:line="100" w:lineRule="atLeast"/>
        <w:ind w:right="-2"/>
        <w:rPr>
          <w:sz w:val="22"/>
          <w:szCs w:val="22"/>
        </w:rPr>
      </w:pPr>
    </w:p>
    <w:p w14:paraId="6D677479" w14:textId="78650DF9" w:rsidR="00823785" w:rsidRPr="00452D62" w:rsidRDefault="00823785" w:rsidP="00823785">
      <w:pPr>
        <w:tabs>
          <w:tab w:val="clear" w:pos="567"/>
        </w:tabs>
        <w:spacing w:line="100" w:lineRule="atLeast"/>
        <w:ind w:right="-2"/>
        <w:rPr>
          <w:sz w:val="22"/>
          <w:szCs w:val="22"/>
        </w:rPr>
      </w:pPr>
      <w:r w:rsidRPr="00452D62">
        <w:rPr>
          <w:sz w:val="22"/>
          <w:szCs w:val="22"/>
        </w:rPr>
        <w:t>Ant dėžutės ir lizdinės plokštelės po „EXP“ nurodytam tinkamumo laikui pasibaigus, šio vaisto vartoti draudžiama. Vaistas tinkamas vartoti iki paskutinės nurodyto mėnesio dienos.</w:t>
      </w:r>
    </w:p>
    <w:p w14:paraId="34EC49AF" w14:textId="77777777" w:rsidR="00823785" w:rsidRPr="00452D62" w:rsidRDefault="00823785" w:rsidP="00823785">
      <w:pPr>
        <w:tabs>
          <w:tab w:val="clear" w:pos="567"/>
        </w:tabs>
        <w:spacing w:line="100" w:lineRule="atLeast"/>
        <w:ind w:right="-2"/>
        <w:rPr>
          <w:sz w:val="22"/>
          <w:szCs w:val="22"/>
        </w:rPr>
      </w:pPr>
    </w:p>
    <w:p w14:paraId="67D37EA3" w14:textId="77777777" w:rsidR="00823785" w:rsidRPr="00452D62" w:rsidRDefault="00823785" w:rsidP="00823785">
      <w:pPr>
        <w:tabs>
          <w:tab w:val="clear" w:pos="567"/>
        </w:tabs>
        <w:spacing w:line="100" w:lineRule="atLeast"/>
        <w:ind w:right="-2"/>
        <w:rPr>
          <w:sz w:val="22"/>
          <w:szCs w:val="22"/>
        </w:rPr>
      </w:pPr>
      <w:r w:rsidRPr="00452D62">
        <w:rPr>
          <w:sz w:val="22"/>
          <w:szCs w:val="22"/>
        </w:rPr>
        <w:t>Šiam vaistui specialių laikymo sąlygų nereikia.</w:t>
      </w:r>
    </w:p>
    <w:p w14:paraId="37AE18AB" w14:textId="77777777" w:rsidR="00823785" w:rsidRPr="00452D62" w:rsidRDefault="00823785" w:rsidP="00823785">
      <w:pPr>
        <w:tabs>
          <w:tab w:val="clear" w:pos="567"/>
        </w:tabs>
        <w:spacing w:line="100" w:lineRule="atLeast"/>
        <w:ind w:right="-2"/>
        <w:rPr>
          <w:sz w:val="22"/>
          <w:szCs w:val="22"/>
        </w:rPr>
      </w:pPr>
    </w:p>
    <w:p w14:paraId="2CF52FB7" w14:textId="77777777" w:rsidR="00823785" w:rsidRPr="00452D62" w:rsidRDefault="00823785" w:rsidP="00823785">
      <w:pPr>
        <w:tabs>
          <w:tab w:val="clear" w:pos="567"/>
        </w:tabs>
        <w:spacing w:line="100" w:lineRule="atLeast"/>
        <w:ind w:right="-2"/>
        <w:rPr>
          <w:sz w:val="22"/>
          <w:szCs w:val="22"/>
        </w:rPr>
      </w:pPr>
      <w:r w:rsidRPr="00452D62">
        <w:rPr>
          <w:sz w:val="22"/>
          <w:szCs w:val="22"/>
        </w:rPr>
        <w:t>Vaistų negalima išmesti į kanalizaciją arba su buitinėmis atliekomis. Kaip išmesti nereikalingus vaistus, klauskite vaistininko. Šios priemonės padės apsaugoti aplinką.</w:t>
      </w:r>
    </w:p>
    <w:p w14:paraId="55343FEB" w14:textId="77777777" w:rsidR="00823785" w:rsidRPr="00452D62" w:rsidRDefault="00823785" w:rsidP="00823785">
      <w:pPr>
        <w:tabs>
          <w:tab w:val="clear" w:pos="567"/>
        </w:tabs>
        <w:spacing w:line="100" w:lineRule="atLeast"/>
        <w:ind w:right="-2"/>
        <w:rPr>
          <w:sz w:val="22"/>
          <w:szCs w:val="22"/>
        </w:rPr>
      </w:pPr>
    </w:p>
    <w:p w14:paraId="5084FC4D" w14:textId="77777777" w:rsidR="00823785" w:rsidRPr="00452D62" w:rsidRDefault="00823785" w:rsidP="00823785">
      <w:pPr>
        <w:tabs>
          <w:tab w:val="clear" w:pos="567"/>
        </w:tabs>
        <w:spacing w:line="100" w:lineRule="atLeast"/>
        <w:ind w:right="-2"/>
        <w:rPr>
          <w:sz w:val="22"/>
          <w:szCs w:val="22"/>
        </w:rPr>
      </w:pPr>
    </w:p>
    <w:p w14:paraId="18CFFF53" w14:textId="77777777" w:rsidR="00823785" w:rsidRPr="00452D62" w:rsidRDefault="00823785" w:rsidP="00823785">
      <w:pPr>
        <w:widowControl w:val="0"/>
        <w:tabs>
          <w:tab w:val="clear" w:pos="567"/>
        </w:tabs>
        <w:suppressAutoHyphens w:val="0"/>
        <w:spacing w:line="240" w:lineRule="auto"/>
        <w:ind w:left="567" w:hanging="567"/>
        <w:outlineLvl w:val="0"/>
        <w:rPr>
          <w:b/>
          <w:color w:val="auto"/>
          <w:sz w:val="22"/>
          <w:szCs w:val="22"/>
          <w:lang w:eastAsia="en-US"/>
        </w:rPr>
      </w:pPr>
      <w:r w:rsidRPr="00452D62">
        <w:rPr>
          <w:b/>
          <w:color w:val="auto"/>
          <w:sz w:val="22"/>
          <w:szCs w:val="22"/>
          <w:lang w:eastAsia="en-US"/>
        </w:rPr>
        <w:t>6.</w:t>
      </w:r>
      <w:r w:rsidRPr="00452D62">
        <w:rPr>
          <w:b/>
          <w:color w:val="auto"/>
          <w:sz w:val="22"/>
          <w:szCs w:val="22"/>
          <w:lang w:eastAsia="en-US"/>
        </w:rPr>
        <w:tab/>
        <w:t>Pakuotės turinys ir kita informacija</w:t>
      </w:r>
    </w:p>
    <w:p w14:paraId="7E82D576" w14:textId="77777777" w:rsidR="00823785" w:rsidRPr="00452D62" w:rsidRDefault="00823785" w:rsidP="00823785">
      <w:pPr>
        <w:tabs>
          <w:tab w:val="clear" w:pos="567"/>
        </w:tabs>
        <w:spacing w:line="100" w:lineRule="atLeast"/>
        <w:rPr>
          <w:sz w:val="22"/>
          <w:szCs w:val="22"/>
        </w:rPr>
      </w:pPr>
    </w:p>
    <w:p w14:paraId="7C44068D" w14:textId="77777777" w:rsidR="00823785" w:rsidRPr="00452D62" w:rsidRDefault="00823785" w:rsidP="00823785">
      <w:pPr>
        <w:tabs>
          <w:tab w:val="clear" w:pos="567"/>
        </w:tabs>
        <w:spacing w:line="100" w:lineRule="atLeast"/>
        <w:ind w:right="-2"/>
        <w:rPr>
          <w:sz w:val="22"/>
          <w:szCs w:val="22"/>
        </w:rPr>
      </w:pPr>
      <w:r w:rsidRPr="00452D62">
        <w:rPr>
          <w:b/>
          <w:sz w:val="22"/>
          <w:szCs w:val="22"/>
        </w:rPr>
        <w:t>Xerdoxo sudėtis</w:t>
      </w:r>
    </w:p>
    <w:p w14:paraId="58BC44A2" w14:textId="77777777" w:rsidR="00823785" w:rsidRPr="00452D62" w:rsidRDefault="00823785" w:rsidP="00823785">
      <w:pPr>
        <w:widowControl w:val="0"/>
        <w:numPr>
          <w:ilvl w:val="0"/>
          <w:numId w:val="1"/>
        </w:numPr>
        <w:tabs>
          <w:tab w:val="clear" w:pos="208"/>
          <w:tab w:val="num" w:pos="567"/>
        </w:tabs>
        <w:spacing w:line="100" w:lineRule="atLeast"/>
        <w:ind w:left="567" w:right="-2" w:hanging="567"/>
        <w:rPr>
          <w:sz w:val="22"/>
          <w:szCs w:val="22"/>
        </w:rPr>
      </w:pPr>
      <w:r w:rsidRPr="00452D62">
        <w:rPr>
          <w:sz w:val="22"/>
          <w:szCs w:val="22"/>
        </w:rPr>
        <w:t>Veiklioji medžiaga yra rivaroksabanas.</w:t>
      </w:r>
    </w:p>
    <w:p w14:paraId="49A1ECF8" w14:textId="77777777" w:rsidR="00823785" w:rsidRPr="00452D62" w:rsidRDefault="00823785" w:rsidP="00823785">
      <w:pPr>
        <w:widowControl w:val="0"/>
        <w:tabs>
          <w:tab w:val="clear" w:pos="567"/>
        </w:tabs>
        <w:spacing w:line="100" w:lineRule="atLeast"/>
        <w:ind w:right="-2" w:firstLine="567"/>
        <w:rPr>
          <w:i/>
          <w:iCs/>
          <w:sz w:val="22"/>
          <w:szCs w:val="22"/>
          <w:u w:val="single"/>
        </w:rPr>
      </w:pPr>
      <w:r w:rsidRPr="00452D62">
        <w:rPr>
          <w:i/>
          <w:iCs/>
          <w:sz w:val="22"/>
          <w:szCs w:val="22"/>
          <w:u w:val="single"/>
        </w:rPr>
        <w:t>15 mg</w:t>
      </w:r>
    </w:p>
    <w:p w14:paraId="640CB212" w14:textId="77777777" w:rsidR="00823785" w:rsidRPr="00452D62" w:rsidRDefault="00823785" w:rsidP="00823785">
      <w:pPr>
        <w:widowControl w:val="0"/>
        <w:tabs>
          <w:tab w:val="clear" w:pos="567"/>
        </w:tabs>
        <w:spacing w:line="100" w:lineRule="atLeast"/>
        <w:ind w:right="-2" w:firstLine="567"/>
        <w:rPr>
          <w:sz w:val="22"/>
          <w:szCs w:val="22"/>
        </w:rPr>
      </w:pPr>
      <w:r w:rsidRPr="00452D62">
        <w:rPr>
          <w:sz w:val="22"/>
          <w:szCs w:val="22"/>
        </w:rPr>
        <w:t>Kiekvienoje plėvele dengtoje tabletėje yra 15 mg rivaroksabano.</w:t>
      </w:r>
    </w:p>
    <w:p w14:paraId="56183D6C" w14:textId="77777777" w:rsidR="00823785" w:rsidRPr="00452D62" w:rsidRDefault="00823785" w:rsidP="00823785">
      <w:pPr>
        <w:widowControl w:val="0"/>
        <w:tabs>
          <w:tab w:val="clear" w:pos="567"/>
        </w:tabs>
        <w:spacing w:line="100" w:lineRule="atLeast"/>
        <w:ind w:right="-2" w:firstLine="567"/>
        <w:rPr>
          <w:i/>
          <w:iCs/>
          <w:sz w:val="22"/>
          <w:szCs w:val="22"/>
          <w:u w:val="single"/>
        </w:rPr>
      </w:pPr>
      <w:r w:rsidRPr="00452D62">
        <w:rPr>
          <w:i/>
          <w:iCs/>
          <w:sz w:val="22"/>
          <w:szCs w:val="22"/>
          <w:u w:val="single"/>
        </w:rPr>
        <w:t>20 mg</w:t>
      </w:r>
    </w:p>
    <w:p w14:paraId="7AF92CC0" w14:textId="77777777" w:rsidR="00823785" w:rsidRPr="00452D62" w:rsidRDefault="00823785" w:rsidP="00823785">
      <w:pPr>
        <w:widowControl w:val="0"/>
        <w:tabs>
          <w:tab w:val="clear" w:pos="567"/>
        </w:tabs>
        <w:spacing w:line="100" w:lineRule="atLeast"/>
        <w:ind w:right="-2" w:firstLine="567"/>
        <w:rPr>
          <w:sz w:val="22"/>
          <w:szCs w:val="22"/>
        </w:rPr>
      </w:pPr>
      <w:r w:rsidRPr="00452D62">
        <w:rPr>
          <w:sz w:val="22"/>
          <w:szCs w:val="22"/>
        </w:rPr>
        <w:t>Kiekvienoje plėvele dengtoje tabletėje yra 20 mg rivaroksabano.</w:t>
      </w:r>
    </w:p>
    <w:p w14:paraId="4436BDC2" w14:textId="57D5FFB1" w:rsidR="00823785" w:rsidRPr="00452D62" w:rsidRDefault="00823785" w:rsidP="00823785">
      <w:pPr>
        <w:widowControl w:val="0"/>
        <w:numPr>
          <w:ilvl w:val="0"/>
          <w:numId w:val="1"/>
        </w:numPr>
        <w:tabs>
          <w:tab w:val="clear" w:pos="208"/>
          <w:tab w:val="num" w:pos="567"/>
        </w:tabs>
        <w:spacing w:line="100" w:lineRule="atLeast"/>
        <w:ind w:left="567" w:right="-2" w:hanging="567"/>
        <w:rPr>
          <w:iCs/>
          <w:sz w:val="22"/>
          <w:szCs w:val="22"/>
        </w:rPr>
      </w:pPr>
      <w:r w:rsidRPr="00452D62">
        <w:rPr>
          <w:sz w:val="22"/>
          <w:szCs w:val="22"/>
        </w:rPr>
        <w:t xml:space="preserve">Pagalbinės medžiagos. </w:t>
      </w:r>
      <w:r w:rsidRPr="00452D62">
        <w:rPr>
          <w:iCs/>
          <w:sz w:val="22"/>
          <w:szCs w:val="22"/>
        </w:rPr>
        <w:t>Tabletės branduolys:</w:t>
      </w:r>
      <w:r w:rsidRPr="00452D62">
        <w:rPr>
          <w:sz w:val="22"/>
          <w:szCs w:val="22"/>
        </w:rPr>
        <w:t xml:space="preserve"> m</w:t>
      </w:r>
      <w:r w:rsidRPr="00452D62">
        <w:rPr>
          <w:iCs/>
          <w:sz w:val="22"/>
          <w:szCs w:val="22"/>
        </w:rPr>
        <w:t>anitolis, mikrokristalinė celiuliozė, makrogolis, poloksameras, natrio laurilsulfatas, kroskarmeliozės natrio druska, bevandenis koloidinis silicio dioksidas ir natrio stearilfumaratas. Tabletės plėvelė: hipromeliozė, makrogolis, titano dioksidas (E171), raudonasis geležies oksidas (E172) ir geltonasis geležies oksidas (E172) (</w:t>
      </w:r>
      <w:r w:rsidRPr="00452D62">
        <w:rPr>
          <w:i/>
          <w:sz w:val="22"/>
          <w:szCs w:val="22"/>
        </w:rPr>
        <w:t>tik 15 mg plėvele dengtose tabletėse</w:t>
      </w:r>
      <w:r w:rsidRPr="00452D62">
        <w:rPr>
          <w:iCs/>
          <w:sz w:val="22"/>
          <w:szCs w:val="22"/>
        </w:rPr>
        <w:t>). Žr. 2 skyrių „Xerdoxo sudėtyje yra natrio“.</w:t>
      </w:r>
    </w:p>
    <w:p w14:paraId="031A86A2" w14:textId="77777777" w:rsidR="00823785" w:rsidRPr="00452D62" w:rsidRDefault="00823785" w:rsidP="00823785">
      <w:pPr>
        <w:widowControl w:val="0"/>
        <w:tabs>
          <w:tab w:val="clear" w:pos="567"/>
        </w:tabs>
        <w:spacing w:line="100" w:lineRule="atLeast"/>
        <w:ind w:left="567" w:right="-2"/>
        <w:rPr>
          <w:iCs/>
          <w:sz w:val="22"/>
          <w:szCs w:val="22"/>
        </w:rPr>
      </w:pPr>
    </w:p>
    <w:p w14:paraId="2BABAF72" w14:textId="77777777" w:rsidR="00823785" w:rsidRPr="00452D62" w:rsidRDefault="00823785" w:rsidP="00823785">
      <w:pPr>
        <w:tabs>
          <w:tab w:val="clear" w:pos="567"/>
        </w:tabs>
        <w:spacing w:line="100" w:lineRule="atLeast"/>
        <w:ind w:right="-2"/>
        <w:rPr>
          <w:sz w:val="22"/>
          <w:szCs w:val="22"/>
        </w:rPr>
      </w:pPr>
      <w:r w:rsidRPr="00452D62">
        <w:rPr>
          <w:b/>
          <w:sz w:val="22"/>
          <w:szCs w:val="22"/>
        </w:rPr>
        <w:t>Xerdoxo išvaizda ir kiekis pakuotėje</w:t>
      </w:r>
    </w:p>
    <w:p w14:paraId="747683E7" w14:textId="77777777" w:rsidR="00823785" w:rsidRPr="00452D62" w:rsidRDefault="00823785" w:rsidP="00823785">
      <w:pPr>
        <w:widowControl w:val="0"/>
        <w:tabs>
          <w:tab w:val="clear" w:pos="567"/>
        </w:tabs>
        <w:spacing w:line="100" w:lineRule="atLeast"/>
        <w:ind w:right="-2"/>
        <w:rPr>
          <w:i/>
          <w:iCs/>
          <w:sz w:val="22"/>
          <w:szCs w:val="22"/>
          <w:u w:val="single"/>
        </w:rPr>
      </w:pPr>
      <w:bookmarkStart w:id="15" w:name="_Hlk34768041"/>
      <w:r w:rsidRPr="00452D62">
        <w:rPr>
          <w:i/>
          <w:iCs/>
          <w:sz w:val="22"/>
          <w:szCs w:val="22"/>
          <w:u w:val="single"/>
        </w:rPr>
        <w:t>15 mg</w:t>
      </w:r>
    </w:p>
    <w:bookmarkEnd w:id="15"/>
    <w:p w14:paraId="01AF1D72" w14:textId="77777777" w:rsidR="00823785" w:rsidRPr="00452D62" w:rsidRDefault="00823785" w:rsidP="00823785">
      <w:pPr>
        <w:rPr>
          <w:sz w:val="22"/>
          <w:szCs w:val="22"/>
        </w:rPr>
      </w:pPr>
      <w:r w:rsidRPr="00452D62">
        <w:rPr>
          <w:sz w:val="22"/>
          <w:szCs w:val="22"/>
        </w:rPr>
        <w:t>Xerdoxo plėvele dengta tabletė (tabletė) yra rausvai oranžinė ar rudai oranžinė, apvali, šiek tiek abipus išgaubta, vienoje pusėje įspausta „15“.</w:t>
      </w:r>
    </w:p>
    <w:p w14:paraId="360960E0" w14:textId="77777777" w:rsidR="00823785" w:rsidRPr="00452D62" w:rsidRDefault="00823785" w:rsidP="00823785">
      <w:pPr>
        <w:rPr>
          <w:sz w:val="22"/>
          <w:szCs w:val="22"/>
        </w:rPr>
      </w:pPr>
      <w:r w:rsidRPr="00452D62">
        <w:rPr>
          <w:sz w:val="22"/>
          <w:szCs w:val="22"/>
        </w:rPr>
        <w:t>Išmatavimai: skersmuo − apytiksliai 6,5 mm.</w:t>
      </w:r>
    </w:p>
    <w:p w14:paraId="20D64FA4" w14:textId="77777777" w:rsidR="00823785" w:rsidRPr="00452D62" w:rsidRDefault="00823785" w:rsidP="00823785">
      <w:pPr>
        <w:rPr>
          <w:sz w:val="22"/>
          <w:szCs w:val="22"/>
        </w:rPr>
      </w:pPr>
    </w:p>
    <w:p w14:paraId="58B9FE06" w14:textId="77777777" w:rsidR="00823785" w:rsidRPr="00452D62" w:rsidRDefault="00823785" w:rsidP="00823785">
      <w:pPr>
        <w:widowControl w:val="0"/>
        <w:tabs>
          <w:tab w:val="clear" w:pos="567"/>
        </w:tabs>
        <w:spacing w:line="100" w:lineRule="atLeast"/>
        <w:ind w:right="-2"/>
        <w:rPr>
          <w:i/>
          <w:iCs/>
          <w:sz w:val="22"/>
          <w:szCs w:val="22"/>
          <w:u w:val="single"/>
        </w:rPr>
      </w:pPr>
      <w:r w:rsidRPr="00452D62">
        <w:rPr>
          <w:i/>
          <w:iCs/>
          <w:sz w:val="22"/>
          <w:szCs w:val="22"/>
          <w:u w:val="single"/>
        </w:rPr>
        <w:t>20 mg</w:t>
      </w:r>
    </w:p>
    <w:p w14:paraId="725315E7" w14:textId="77777777" w:rsidR="00823785" w:rsidRPr="00452D62" w:rsidRDefault="00823785" w:rsidP="00823785">
      <w:pPr>
        <w:rPr>
          <w:sz w:val="22"/>
          <w:szCs w:val="22"/>
        </w:rPr>
      </w:pPr>
      <w:r w:rsidRPr="00452D62">
        <w:rPr>
          <w:sz w:val="22"/>
          <w:szCs w:val="22"/>
        </w:rPr>
        <w:t>Xerdoxo plėvele dengta tabletė (tabletė) yra rausva arba tamsiai rausva, apvali, šiek tiek abipus išgaubta, vienoje pusėje įspausta „20“.</w:t>
      </w:r>
    </w:p>
    <w:p w14:paraId="787C2411" w14:textId="77777777" w:rsidR="00823785" w:rsidRPr="00452D62" w:rsidRDefault="00823785" w:rsidP="00823785">
      <w:pPr>
        <w:rPr>
          <w:sz w:val="22"/>
          <w:szCs w:val="22"/>
        </w:rPr>
      </w:pPr>
      <w:r w:rsidRPr="00452D62">
        <w:rPr>
          <w:sz w:val="22"/>
          <w:szCs w:val="22"/>
        </w:rPr>
        <w:t>Išmatavimai: skersmuo − apytiksliai 7 mm.</w:t>
      </w:r>
    </w:p>
    <w:p w14:paraId="4D80A8C5" w14:textId="77777777" w:rsidR="00823785" w:rsidRPr="00452D62" w:rsidRDefault="00823785" w:rsidP="00823785">
      <w:pPr>
        <w:rPr>
          <w:sz w:val="22"/>
          <w:szCs w:val="22"/>
        </w:rPr>
      </w:pPr>
    </w:p>
    <w:p w14:paraId="5BD76C80" w14:textId="77777777" w:rsidR="00823785" w:rsidRPr="00452D62" w:rsidRDefault="00823785" w:rsidP="00823785">
      <w:pPr>
        <w:rPr>
          <w:i/>
          <w:iCs/>
          <w:sz w:val="22"/>
          <w:szCs w:val="22"/>
          <w:u w:val="single"/>
        </w:rPr>
      </w:pPr>
      <w:bookmarkStart w:id="16" w:name="_Hlk34768170"/>
      <w:r w:rsidRPr="00452D62">
        <w:rPr>
          <w:i/>
          <w:iCs/>
          <w:sz w:val="22"/>
          <w:szCs w:val="22"/>
          <w:u w:val="single"/>
        </w:rPr>
        <w:t>15 mg</w:t>
      </w:r>
    </w:p>
    <w:p w14:paraId="726A49A8" w14:textId="77777777" w:rsidR="00823785" w:rsidRPr="00452D62" w:rsidRDefault="00823785" w:rsidP="00823785">
      <w:pPr>
        <w:rPr>
          <w:sz w:val="22"/>
          <w:szCs w:val="22"/>
        </w:rPr>
      </w:pPr>
      <w:r w:rsidRPr="00452D62">
        <w:rPr>
          <w:sz w:val="22"/>
          <w:szCs w:val="22"/>
        </w:rPr>
        <w:t>Xerdoxo tiekiamas kartono dėžutėse, kuriose yra:</w:t>
      </w:r>
    </w:p>
    <w:p w14:paraId="7298A618" w14:textId="77777777" w:rsidR="00823785" w:rsidRPr="00452D62" w:rsidRDefault="00823785" w:rsidP="00823785">
      <w:pPr>
        <w:numPr>
          <w:ilvl w:val="0"/>
          <w:numId w:val="14"/>
        </w:numPr>
        <w:ind w:left="567" w:hanging="567"/>
        <w:rPr>
          <w:sz w:val="22"/>
          <w:szCs w:val="22"/>
        </w:rPr>
      </w:pPr>
      <w:r w:rsidRPr="00452D62">
        <w:rPr>
          <w:sz w:val="22"/>
          <w:szCs w:val="22"/>
        </w:rPr>
        <w:t>10, 15, 30, 60, 90 ar 100 plėvele dengtų tablečių neperforuotose lizdinėse plokštelėse.</w:t>
      </w:r>
    </w:p>
    <w:p w14:paraId="6528CE7E" w14:textId="77777777" w:rsidR="00823785" w:rsidRPr="00452D62" w:rsidRDefault="00823785" w:rsidP="00823785">
      <w:pPr>
        <w:numPr>
          <w:ilvl w:val="0"/>
          <w:numId w:val="14"/>
        </w:numPr>
        <w:ind w:left="567" w:hanging="567"/>
        <w:rPr>
          <w:sz w:val="22"/>
          <w:szCs w:val="22"/>
        </w:rPr>
      </w:pPr>
      <w:r w:rsidRPr="00452D62">
        <w:rPr>
          <w:sz w:val="22"/>
          <w:szCs w:val="22"/>
        </w:rPr>
        <w:t>10 x 1, 30 x 1, 60 x 1, 90 x 1 ar 100 x 1 plėvele dengtų tablečių perforuotose dalomosiose lizdinėse plokštelėse.</w:t>
      </w:r>
    </w:p>
    <w:p w14:paraId="6986A7A4" w14:textId="77777777" w:rsidR="00823785" w:rsidRPr="00452D62" w:rsidRDefault="00823785" w:rsidP="00823785">
      <w:pPr>
        <w:numPr>
          <w:ilvl w:val="0"/>
          <w:numId w:val="14"/>
        </w:numPr>
        <w:ind w:left="567" w:hanging="567"/>
        <w:rPr>
          <w:sz w:val="22"/>
          <w:szCs w:val="22"/>
        </w:rPr>
      </w:pPr>
      <w:r w:rsidRPr="00452D62">
        <w:rPr>
          <w:sz w:val="22"/>
          <w:szCs w:val="22"/>
        </w:rPr>
        <w:t>14, 28, 42, 56 ar 98 plėvele dengtos tabletės kalendorinėse neperforuotose lizdinėse plokštelėse.</w:t>
      </w:r>
    </w:p>
    <w:p w14:paraId="6DDA1FAF" w14:textId="77777777" w:rsidR="00823785" w:rsidRPr="00452D62" w:rsidRDefault="00823785" w:rsidP="00823785">
      <w:pPr>
        <w:rPr>
          <w:sz w:val="22"/>
          <w:szCs w:val="22"/>
        </w:rPr>
      </w:pPr>
    </w:p>
    <w:p w14:paraId="63FE65FF" w14:textId="77777777" w:rsidR="00823785" w:rsidRPr="00452D62" w:rsidRDefault="00823785" w:rsidP="00823785">
      <w:pPr>
        <w:rPr>
          <w:sz w:val="22"/>
          <w:szCs w:val="22"/>
        </w:rPr>
      </w:pPr>
      <w:r w:rsidRPr="00452D62">
        <w:rPr>
          <w:sz w:val="22"/>
          <w:szCs w:val="22"/>
        </w:rPr>
        <w:t>Kiekvienoje vaisto pakuotėje yra paciento budrumo kortelė.</w:t>
      </w:r>
    </w:p>
    <w:bookmarkEnd w:id="16"/>
    <w:p w14:paraId="319BD75B" w14:textId="77777777" w:rsidR="00823785" w:rsidRPr="00452D62" w:rsidRDefault="00823785" w:rsidP="00823785">
      <w:pPr>
        <w:rPr>
          <w:i/>
          <w:iCs/>
          <w:sz w:val="22"/>
          <w:szCs w:val="22"/>
          <w:u w:val="single"/>
        </w:rPr>
      </w:pPr>
    </w:p>
    <w:p w14:paraId="42A1913B" w14:textId="77777777" w:rsidR="00823785" w:rsidRPr="00452D62" w:rsidRDefault="00823785" w:rsidP="00823785">
      <w:pPr>
        <w:rPr>
          <w:i/>
          <w:iCs/>
          <w:sz w:val="22"/>
          <w:szCs w:val="22"/>
          <w:u w:val="single"/>
        </w:rPr>
      </w:pPr>
      <w:r w:rsidRPr="00452D62">
        <w:rPr>
          <w:i/>
          <w:iCs/>
          <w:sz w:val="22"/>
          <w:szCs w:val="22"/>
          <w:u w:val="single"/>
        </w:rPr>
        <w:t>20 mg</w:t>
      </w:r>
    </w:p>
    <w:p w14:paraId="4B4D4FBC" w14:textId="77777777" w:rsidR="00823785" w:rsidRPr="00452D62" w:rsidRDefault="00823785" w:rsidP="00823785">
      <w:pPr>
        <w:rPr>
          <w:sz w:val="22"/>
          <w:szCs w:val="22"/>
        </w:rPr>
      </w:pPr>
      <w:r w:rsidRPr="00452D62">
        <w:rPr>
          <w:sz w:val="22"/>
          <w:szCs w:val="22"/>
        </w:rPr>
        <w:t>Xerdoxo tiekiamas kartono dėžutėse, kuriose yra:</w:t>
      </w:r>
    </w:p>
    <w:p w14:paraId="6FF8CE30" w14:textId="77777777" w:rsidR="00823785" w:rsidRPr="00452D62" w:rsidRDefault="00823785" w:rsidP="00823785">
      <w:pPr>
        <w:numPr>
          <w:ilvl w:val="0"/>
          <w:numId w:val="14"/>
        </w:numPr>
        <w:ind w:left="567" w:hanging="567"/>
        <w:rPr>
          <w:sz w:val="22"/>
          <w:szCs w:val="22"/>
        </w:rPr>
      </w:pPr>
      <w:r w:rsidRPr="00452D62">
        <w:rPr>
          <w:sz w:val="22"/>
          <w:szCs w:val="22"/>
        </w:rPr>
        <w:t>10, 15, 30, 60, 90 ar 100 plėvele dengtų tablečių neperforuotose lizdinėse plokštelėse.</w:t>
      </w:r>
    </w:p>
    <w:p w14:paraId="370B010C" w14:textId="77777777" w:rsidR="00823785" w:rsidRPr="00452D62" w:rsidRDefault="00823785" w:rsidP="00823785">
      <w:pPr>
        <w:numPr>
          <w:ilvl w:val="0"/>
          <w:numId w:val="14"/>
        </w:numPr>
        <w:ind w:left="567" w:hanging="567"/>
        <w:rPr>
          <w:sz w:val="22"/>
          <w:szCs w:val="22"/>
        </w:rPr>
      </w:pPr>
      <w:r w:rsidRPr="00452D62">
        <w:rPr>
          <w:sz w:val="22"/>
          <w:szCs w:val="22"/>
        </w:rPr>
        <w:t>10 x 1, 30 x 1, 60 x 1, 90 x 1 ar 100 x 1 plėvele dengtų tablečių perforuotose dalomosiose lizdinėse plokštelėse.</w:t>
      </w:r>
    </w:p>
    <w:p w14:paraId="3C33FBB5" w14:textId="77777777" w:rsidR="00823785" w:rsidRPr="00452D62" w:rsidRDefault="00823785" w:rsidP="00823785">
      <w:pPr>
        <w:numPr>
          <w:ilvl w:val="0"/>
          <w:numId w:val="14"/>
        </w:numPr>
        <w:ind w:left="567" w:hanging="567"/>
        <w:rPr>
          <w:sz w:val="22"/>
          <w:szCs w:val="22"/>
        </w:rPr>
      </w:pPr>
      <w:r w:rsidRPr="00452D62">
        <w:rPr>
          <w:sz w:val="22"/>
          <w:szCs w:val="22"/>
        </w:rPr>
        <w:t>14, 28, 42, 56 ar 98 plėvele dengtos tabletės kalendorinėse neperforuotose lizdinėse plokštelėse.</w:t>
      </w:r>
    </w:p>
    <w:p w14:paraId="314C1A22" w14:textId="77777777" w:rsidR="00823785" w:rsidRPr="00452D62" w:rsidRDefault="00823785" w:rsidP="00823785">
      <w:pPr>
        <w:rPr>
          <w:sz w:val="22"/>
          <w:szCs w:val="22"/>
        </w:rPr>
      </w:pPr>
    </w:p>
    <w:p w14:paraId="4F9359DA" w14:textId="77777777" w:rsidR="00823785" w:rsidRPr="00452D62" w:rsidRDefault="00823785" w:rsidP="00823785">
      <w:pPr>
        <w:rPr>
          <w:sz w:val="22"/>
          <w:szCs w:val="22"/>
        </w:rPr>
      </w:pPr>
      <w:r w:rsidRPr="00452D62">
        <w:rPr>
          <w:sz w:val="22"/>
          <w:szCs w:val="22"/>
        </w:rPr>
        <w:t>Kiekvienoje vaisto pakuotėje yra paciento budrumo kortelė.</w:t>
      </w:r>
    </w:p>
    <w:p w14:paraId="62EACF51" w14:textId="77777777" w:rsidR="00823785" w:rsidRPr="00452D62" w:rsidRDefault="00823785" w:rsidP="00823785">
      <w:pPr>
        <w:rPr>
          <w:sz w:val="22"/>
          <w:szCs w:val="22"/>
        </w:rPr>
      </w:pPr>
    </w:p>
    <w:p w14:paraId="65204F6F" w14:textId="77777777" w:rsidR="00823785" w:rsidRPr="00452D62" w:rsidRDefault="00823785" w:rsidP="00823785">
      <w:pPr>
        <w:rPr>
          <w:b/>
          <w:sz w:val="22"/>
          <w:szCs w:val="22"/>
        </w:rPr>
      </w:pPr>
      <w:r w:rsidRPr="00452D62">
        <w:rPr>
          <w:sz w:val="22"/>
          <w:szCs w:val="22"/>
        </w:rPr>
        <w:t xml:space="preserve">Gali būti tiekiamos ne visų dydžių pakuotės. </w:t>
      </w:r>
    </w:p>
    <w:p w14:paraId="23943C94" w14:textId="77777777" w:rsidR="00823785" w:rsidRPr="00452D62" w:rsidRDefault="00823785" w:rsidP="00823785">
      <w:pPr>
        <w:tabs>
          <w:tab w:val="clear" w:pos="567"/>
        </w:tabs>
        <w:spacing w:line="100" w:lineRule="atLeast"/>
        <w:ind w:right="-2"/>
        <w:rPr>
          <w:b/>
          <w:sz w:val="22"/>
          <w:szCs w:val="22"/>
        </w:rPr>
      </w:pPr>
    </w:p>
    <w:p w14:paraId="08E4B8C9" w14:textId="77777777" w:rsidR="00823785" w:rsidRPr="00452D62" w:rsidRDefault="00823785" w:rsidP="00823785">
      <w:pPr>
        <w:tabs>
          <w:tab w:val="clear" w:pos="567"/>
        </w:tabs>
        <w:spacing w:line="100" w:lineRule="atLeast"/>
        <w:ind w:right="-2"/>
        <w:rPr>
          <w:sz w:val="22"/>
          <w:szCs w:val="22"/>
        </w:rPr>
      </w:pPr>
      <w:r w:rsidRPr="00452D62">
        <w:rPr>
          <w:b/>
          <w:sz w:val="22"/>
          <w:szCs w:val="22"/>
        </w:rPr>
        <w:t>Registruotojas ir gamintojas</w:t>
      </w:r>
    </w:p>
    <w:p w14:paraId="4991A147" w14:textId="77777777" w:rsidR="00823785" w:rsidRPr="00452D62" w:rsidRDefault="00823785" w:rsidP="00823785">
      <w:pPr>
        <w:tabs>
          <w:tab w:val="clear" w:pos="567"/>
        </w:tabs>
        <w:spacing w:line="100" w:lineRule="atLeast"/>
        <w:ind w:right="-2"/>
        <w:rPr>
          <w:sz w:val="22"/>
          <w:szCs w:val="22"/>
        </w:rPr>
      </w:pPr>
    </w:p>
    <w:p w14:paraId="72E50BB6" w14:textId="77777777" w:rsidR="00823785" w:rsidRPr="00452D62" w:rsidRDefault="00823785" w:rsidP="00823785">
      <w:pPr>
        <w:widowControl w:val="0"/>
        <w:numPr>
          <w:ilvl w:val="12"/>
          <w:numId w:val="0"/>
        </w:numPr>
        <w:tabs>
          <w:tab w:val="clear" w:pos="567"/>
        </w:tabs>
        <w:suppressAutoHyphens w:val="0"/>
        <w:spacing w:line="240" w:lineRule="auto"/>
        <w:rPr>
          <w:bCs/>
          <w:i/>
          <w:color w:val="auto"/>
          <w:sz w:val="22"/>
          <w:szCs w:val="22"/>
          <w:lang w:eastAsia="en-US"/>
        </w:rPr>
      </w:pPr>
      <w:r w:rsidRPr="00452D62">
        <w:rPr>
          <w:bCs/>
          <w:i/>
          <w:color w:val="auto"/>
          <w:sz w:val="22"/>
          <w:szCs w:val="22"/>
          <w:lang w:eastAsia="en-US"/>
        </w:rPr>
        <w:t>Registruotojas</w:t>
      </w:r>
    </w:p>
    <w:p w14:paraId="57FF4D09" w14:textId="77777777" w:rsidR="00823785" w:rsidRPr="00452D62" w:rsidRDefault="00823785" w:rsidP="00823785">
      <w:pPr>
        <w:widowControl w:val="0"/>
        <w:tabs>
          <w:tab w:val="clear" w:pos="567"/>
          <w:tab w:val="left" w:pos="540"/>
        </w:tabs>
        <w:suppressAutoHyphens w:val="0"/>
        <w:spacing w:line="240" w:lineRule="auto"/>
        <w:rPr>
          <w:rFonts w:eastAsia="Calibri"/>
          <w:color w:val="auto"/>
          <w:sz w:val="22"/>
          <w:szCs w:val="22"/>
          <w:lang w:eastAsia="en-US"/>
        </w:rPr>
      </w:pPr>
      <w:r w:rsidRPr="00452D62">
        <w:rPr>
          <w:rFonts w:eastAsia="Calibri"/>
          <w:color w:val="auto"/>
          <w:sz w:val="22"/>
          <w:szCs w:val="22"/>
          <w:lang w:eastAsia="en-US"/>
        </w:rPr>
        <w:t>KRKA, d.d. Novo mesto</w:t>
      </w:r>
    </w:p>
    <w:p w14:paraId="783B3F49" w14:textId="77777777" w:rsidR="00823785" w:rsidRPr="00452D62" w:rsidRDefault="00823785" w:rsidP="00823785">
      <w:pPr>
        <w:widowControl w:val="0"/>
        <w:tabs>
          <w:tab w:val="clear" w:pos="567"/>
          <w:tab w:val="left" w:pos="540"/>
        </w:tabs>
        <w:suppressAutoHyphens w:val="0"/>
        <w:spacing w:line="240" w:lineRule="auto"/>
        <w:rPr>
          <w:rFonts w:eastAsia="Calibri"/>
          <w:color w:val="auto"/>
          <w:sz w:val="22"/>
          <w:szCs w:val="22"/>
          <w:lang w:eastAsia="en-US"/>
        </w:rPr>
      </w:pPr>
      <w:r w:rsidRPr="00452D62">
        <w:rPr>
          <w:rFonts w:eastAsia="Calibri"/>
          <w:color w:val="auto"/>
          <w:sz w:val="22"/>
          <w:szCs w:val="22"/>
          <w:lang w:eastAsia="en-US"/>
        </w:rPr>
        <w:t>Šmarješka cesta 6</w:t>
      </w:r>
    </w:p>
    <w:p w14:paraId="13F7DEBD" w14:textId="77777777" w:rsidR="00823785" w:rsidRPr="00452D62" w:rsidRDefault="00823785" w:rsidP="00823785">
      <w:pPr>
        <w:widowControl w:val="0"/>
        <w:tabs>
          <w:tab w:val="clear" w:pos="567"/>
          <w:tab w:val="left" w:pos="540"/>
        </w:tabs>
        <w:suppressAutoHyphens w:val="0"/>
        <w:spacing w:line="240" w:lineRule="auto"/>
        <w:rPr>
          <w:rFonts w:eastAsia="Calibri"/>
          <w:color w:val="auto"/>
          <w:sz w:val="22"/>
          <w:szCs w:val="22"/>
          <w:lang w:eastAsia="en-US"/>
        </w:rPr>
      </w:pPr>
      <w:r w:rsidRPr="00452D62">
        <w:rPr>
          <w:rFonts w:eastAsia="Calibri"/>
          <w:color w:val="auto"/>
          <w:sz w:val="22"/>
          <w:szCs w:val="22"/>
          <w:lang w:eastAsia="en-US"/>
        </w:rPr>
        <w:t>8501 Novo mesto</w:t>
      </w:r>
    </w:p>
    <w:p w14:paraId="2728BF05" w14:textId="77777777" w:rsidR="00823785" w:rsidRPr="00452D62" w:rsidRDefault="00823785" w:rsidP="00823785">
      <w:pPr>
        <w:widowControl w:val="0"/>
        <w:tabs>
          <w:tab w:val="clear" w:pos="567"/>
          <w:tab w:val="left" w:pos="540"/>
        </w:tabs>
        <w:suppressAutoHyphens w:val="0"/>
        <w:spacing w:line="240" w:lineRule="auto"/>
        <w:rPr>
          <w:rFonts w:eastAsia="Calibri"/>
          <w:color w:val="auto"/>
          <w:sz w:val="22"/>
          <w:szCs w:val="22"/>
          <w:lang w:eastAsia="en-US"/>
        </w:rPr>
      </w:pPr>
      <w:r w:rsidRPr="00452D62">
        <w:rPr>
          <w:rFonts w:eastAsia="Calibri"/>
          <w:color w:val="auto"/>
          <w:sz w:val="22"/>
          <w:szCs w:val="22"/>
          <w:lang w:eastAsia="en-US"/>
        </w:rPr>
        <w:t>Slovėnija</w:t>
      </w:r>
    </w:p>
    <w:p w14:paraId="6134EBCB" w14:textId="77777777" w:rsidR="00823785" w:rsidRPr="00452D62" w:rsidRDefault="00823785" w:rsidP="00823785">
      <w:pPr>
        <w:widowControl w:val="0"/>
        <w:numPr>
          <w:ilvl w:val="12"/>
          <w:numId w:val="0"/>
        </w:numPr>
        <w:tabs>
          <w:tab w:val="clear" w:pos="567"/>
        </w:tabs>
        <w:suppressAutoHyphens w:val="0"/>
        <w:spacing w:line="240" w:lineRule="auto"/>
        <w:ind w:right="-2"/>
        <w:rPr>
          <w:color w:val="auto"/>
          <w:sz w:val="22"/>
          <w:szCs w:val="22"/>
          <w:lang w:eastAsia="en-US"/>
        </w:rPr>
      </w:pPr>
    </w:p>
    <w:p w14:paraId="4646C7CD" w14:textId="77777777" w:rsidR="00823785" w:rsidRPr="00452D62" w:rsidRDefault="00823785" w:rsidP="00823785">
      <w:pPr>
        <w:widowControl w:val="0"/>
        <w:tabs>
          <w:tab w:val="clear" w:pos="567"/>
        </w:tabs>
        <w:suppressAutoHyphens w:val="0"/>
        <w:spacing w:line="240" w:lineRule="auto"/>
        <w:ind w:left="142" w:hanging="142"/>
        <w:rPr>
          <w:i/>
          <w:color w:val="auto"/>
          <w:sz w:val="22"/>
          <w:szCs w:val="22"/>
          <w:lang w:eastAsia="en-US"/>
        </w:rPr>
      </w:pPr>
      <w:r w:rsidRPr="00452D62">
        <w:rPr>
          <w:bCs/>
          <w:i/>
          <w:color w:val="auto"/>
          <w:sz w:val="22"/>
          <w:szCs w:val="22"/>
          <w:lang w:eastAsia="en-US"/>
        </w:rPr>
        <w:t>Gamintojas</w:t>
      </w:r>
    </w:p>
    <w:p w14:paraId="246BE362" w14:textId="77777777" w:rsidR="00823785" w:rsidRPr="00452D62" w:rsidRDefault="00823785" w:rsidP="00823785">
      <w:pPr>
        <w:widowControl w:val="0"/>
        <w:suppressAutoHyphens w:val="0"/>
        <w:spacing w:line="240" w:lineRule="auto"/>
        <w:jc w:val="both"/>
        <w:rPr>
          <w:snapToGrid w:val="0"/>
          <w:color w:val="auto"/>
          <w:sz w:val="22"/>
          <w:szCs w:val="22"/>
          <w:lang w:eastAsia="en-US"/>
        </w:rPr>
      </w:pPr>
      <w:r w:rsidRPr="00452D62">
        <w:rPr>
          <w:snapToGrid w:val="0"/>
          <w:color w:val="auto"/>
          <w:sz w:val="22"/>
          <w:szCs w:val="22"/>
          <w:lang w:eastAsia="en-US"/>
        </w:rPr>
        <w:t>KRKA, d.d., Novo mesto</w:t>
      </w:r>
    </w:p>
    <w:p w14:paraId="59FEED42" w14:textId="77777777" w:rsidR="00823785" w:rsidRPr="00452D62" w:rsidRDefault="00823785" w:rsidP="00823785">
      <w:pPr>
        <w:widowControl w:val="0"/>
        <w:suppressAutoHyphens w:val="0"/>
        <w:spacing w:line="240" w:lineRule="auto"/>
        <w:jc w:val="both"/>
        <w:rPr>
          <w:snapToGrid w:val="0"/>
          <w:color w:val="auto"/>
          <w:sz w:val="22"/>
          <w:szCs w:val="22"/>
          <w:lang w:eastAsia="en-US"/>
        </w:rPr>
      </w:pPr>
      <w:r w:rsidRPr="00452D62">
        <w:rPr>
          <w:snapToGrid w:val="0"/>
          <w:color w:val="auto"/>
          <w:sz w:val="22"/>
          <w:szCs w:val="22"/>
          <w:lang w:eastAsia="en-US"/>
        </w:rPr>
        <w:t>Šmarješka cesta 6</w:t>
      </w:r>
    </w:p>
    <w:p w14:paraId="23E0E1D5" w14:textId="77777777" w:rsidR="00823785" w:rsidRPr="00452D62" w:rsidRDefault="00823785" w:rsidP="00823785">
      <w:pPr>
        <w:widowControl w:val="0"/>
        <w:suppressAutoHyphens w:val="0"/>
        <w:spacing w:line="240" w:lineRule="auto"/>
        <w:jc w:val="both"/>
        <w:rPr>
          <w:snapToGrid w:val="0"/>
          <w:color w:val="auto"/>
          <w:sz w:val="22"/>
          <w:szCs w:val="22"/>
          <w:lang w:eastAsia="en-US"/>
        </w:rPr>
      </w:pPr>
      <w:r w:rsidRPr="00452D62">
        <w:rPr>
          <w:snapToGrid w:val="0"/>
          <w:color w:val="auto"/>
          <w:sz w:val="22"/>
          <w:szCs w:val="22"/>
          <w:lang w:eastAsia="en-US"/>
        </w:rPr>
        <w:t>8501 Novo mesto</w:t>
      </w:r>
    </w:p>
    <w:p w14:paraId="05446E97" w14:textId="77777777" w:rsidR="00823785" w:rsidRPr="00452D62" w:rsidRDefault="00823785" w:rsidP="00823785">
      <w:pPr>
        <w:widowControl w:val="0"/>
        <w:suppressAutoHyphens w:val="0"/>
        <w:spacing w:line="240" w:lineRule="auto"/>
        <w:jc w:val="both"/>
        <w:rPr>
          <w:snapToGrid w:val="0"/>
          <w:color w:val="auto"/>
          <w:sz w:val="22"/>
          <w:szCs w:val="22"/>
          <w:lang w:eastAsia="en-US"/>
        </w:rPr>
      </w:pPr>
      <w:r w:rsidRPr="00452D62">
        <w:rPr>
          <w:snapToGrid w:val="0"/>
          <w:color w:val="auto"/>
          <w:sz w:val="22"/>
          <w:szCs w:val="22"/>
          <w:lang w:eastAsia="en-US"/>
        </w:rPr>
        <w:t>Slovėnija</w:t>
      </w:r>
    </w:p>
    <w:p w14:paraId="2D5351E7" w14:textId="77777777" w:rsidR="00823785" w:rsidRPr="00AE1B80" w:rsidRDefault="00823785" w:rsidP="00823785">
      <w:pPr>
        <w:widowControl w:val="0"/>
        <w:suppressAutoHyphens w:val="0"/>
        <w:spacing w:line="240" w:lineRule="auto"/>
        <w:rPr>
          <w:rFonts w:eastAsia="Calibri"/>
          <w:sz w:val="22"/>
          <w:szCs w:val="22"/>
          <w:lang w:val="pt-PT" w:eastAsia="en-US"/>
        </w:rPr>
      </w:pPr>
    </w:p>
    <w:p w14:paraId="7079C37C" w14:textId="77777777" w:rsidR="00823785" w:rsidRPr="00AE1B80" w:rsidRDefault="00823785" w:rsidP="00823785">
      <w:pPr>
        <w:widowControl w:val="0"/>
        <w:suppressAutoHyphens w:val="0"/>
        <w:spacing w:line="240" w:lineRule="auto"/>
        <w:rPr>
          <w:rFonts w:eastAsia="Calibri"/>
          <w:sz w:val="22"/>
          <w:szCs w:val="22"/>
          <w:lang w:val="pt-PT" w:eastAsia="en-US"/>
        </w:rPr>
      </w:pPr>
      <w:r w:rsidRPr="00AE1B80">
        <w:rPr>
          <w:rFonts w:eastAsia="Calibri"/>
          <w:sz w:val="22"/>
          <w:szCs w:val="22"/>
          <w:lang w:val="pt-PT" w:eastAsia="en-US"/>
        </w:rPr>
        <w:t>arba</w:t>
      </w:r>
    </w:p>
    <w:p w14:paraId="0A4D7193" w14:textId="77777777" w:rsidR="00823785" w:rsidRPr="00AE1B80" w:rsidRDefault="00823785" w:rsidP="00823785">
      <w:pPr>
        <w:widowControl w:val="0"/>
        <w:suppressAutoHyphens w:val="0"/>
        <w:spacing w:line="240" w:lineRule="auto"/>
        <w:rPr>
          <w:rFonts w:eastAsia="Calibri"/>
          <w:sz w:val="22"/>
          <w:szCs w:val="22"/>
          <w:lang w:val="pt-PT" w:eastAsia="en-US"/>
        </w:rPr>
      </w:pPr>
    </w:p>
    <w:p w14:paraId="580ABBE3" w14:textId="77777777" w:rsidR="00823785" w:rsidRPr="00AE1B80" w:rsidRDefault="00823785" w:rsidP="00823785">
      <w:pPr>
        <w:widowControl w:val="0"/>
        <w:suppressAutoHyphens w:val="0"/>
        <w:spacing w:line="240" w:lineRule="auto"/>
        <w:rPr>
          <w:rFonts w:eastAsia="Calibri"/>
          <w:sz w:val="22"/>
          <w:szCs w:val="22"/>
          <w:lang w:val="pt-PT" w:eastAsia="en-US"/>
        </w:rPr>
      </w:pPr>
      <w:r w:rsidRPr="00AE1B80">
        <w:rPr>
          <w:rFonts w:eastAsia="Calibri"/>
          <w:sz w:val="22"/>
          <w:szCs w:val="22"/>
          <w:lang w:val="pt-PT" w:eastAsia="en-US"/>
        </w:rPr>
        <w:t>TAD Pharma GmbH</w:t>
      </w:r>
    </w:p>
    <w:p w14:paraId="2ED6E91B" w14:textId="77777777" w:rsidR="00823785" w:rsidRPr="00AE1B80" w:rsidRDefault="00823785" w:rsidP="00823785">
      <w:pPr>
        <w:widowControl w:val="0"/>
        <w:suppressAutoHyphens w:val="0"/>
        <w:spacing w:line="240" w:lineRule="auto"/>
        <w:rPr>
          <w:rFonts w:eastAsia="Calibri"/>
          <w:sz w:val="22"/>
          <w:szCs w:val="22"/>
          <w:lang w:val="pt-PT" w:eastAsia="en-US"/>
        </w:rPr>
      </w:pPr>
      <w:r w:rsidRPr="00AE1B80">
        <w:rPr>
          <w:rFonts w:eastAsia="Calibri"/>
          <w:sz w:val="22"/>
          <w:szCs w:val="22"/>
          <w:lang w:val="pt-PT" w:eastAsia="en-US"/>
        </w:rPr>
        <w:t>Heinz-Lohmann - Stra</w:t>
      </w:r>
      <w:r w:rsidRPr="00452D62">
        <w:rPr>
          <w:rFonts w:eastAsia="Calibri"/>
          <w:sz w:val="22"/>
          <w:szCs w:val="22"/>
          <w:lang w:val="en-GB" w:eastAsia="en-US"/>
        </w:rPr>
        <w:t>β</w:t>
      </w:r>
      <w:r w:rsidRPr="00AE1B80">
        <w:rPr>
          <w:rFonts w:eastAsia="Calibri"/>
          <w:sz w:val="22"/>
          <w:szCs w:val="22"/>
          <w:lang w:val="pt-PT" w:eastAsia="en-US"/>
        </w:rPr>
        <w:t>e 5</w:t>
      </w:r>
    </w:p>
    <w:p w14:paraId="05B96B08" w14:textId="77777777" w:rsidR="00823785" w:rsidRPr="00AE1B80" w:rsidRDefault="00823785" w:rsidP="00823785">
      <w:pPr>
        <w:widowControl w:val="0"/>
        <w:suppressAutoHyphens w:val="0"/>
        <w:spacing w:line="240" w:lineRule="auto"/>
        <w:rPr>
          <w:rFonts w:eastAsia="Calibri"/>
          <w:sz w:val="22"/>
          <w:szCs w:val="22"/>
          <w:lang w:val="pt-PT" w:eastAsia="en-US"/>
        </w:rPr>
      </w:pPr>
      <w:r w:rsidRPr="00AE1B80">
        <w:rPr>
          <w:rFonts w:eastAsia="Calibri"/>
          <w:sz w:val="22"/>
          <w:szCs w:val="22"/>
          <w:lang w:val="pt-PT" w:eastAsia="en-US"/>
        </w:rPr>
        <w:t>27472 Cuxhaven</w:t>
      </w:r>
    </w:p>
    <w:p w14:paraId="354BCA8E" w14:textId="77777777" w:rsidR="00823785" w:rsidRPr="00AE1B80" w:rsidRDefault="00823785" w:rsidP="00823785">
      <w:pPr>
        <w:widowControl w:val="0"/>
        <w:suppressAutoHyphens w:val="0"/>
        <w:spacing w:line="240" w:lineRule="auto"/>
        <w:rPr>
          <w:rFonts w:eastAsia="Calibri"/>
          <w:sz w:val="22"/>
          <w:szCs w:val="22"/>
          <w:lang w:val="pt-PT" w:eastAsia="en-US"/>
        </w:rPr>
      </w:pPr>
      <w:r w:rsidRPr="00AE1B80">
        <w:rPr>
          <w:rFonts w:eastAsia="Calibri"/>
          <w:sz w:val="22"/>
          <w:szCs w:val="22"/>
          <w:lang w:val="pt-PT" w:eastAsia="en-US"/>
        </w:rPr>
        <w:t>Vokietija</w:t>
      </w:r>
    </w:p>
    <w:p w14:paraId="37A6695A" w14:textId="77777777" w:rsidR="00823785" w:rsidRPr="00452D62" w:rsidRDefault="00823785" w:rsidP="00823785">
      <w:pPr>
        <w:tabs>
          <w:tab w:val="clear" w:pos="567"/>
        </w:tabs>
        <w:spacing w:line="100" w:lineRule="atLeast"/>
        <w:ind w:right="-2"/>
        <w:rPr>
          <w:sz w:val="22"/>
          <w:szCs w:val="22"/>
        </w:rPr>
      </w:pPr>
    </w:p>
    <w:p w14:paraId="06246B47" w14:textId="77777777" w:rsidR="00823785" w:rsidRPr="00452D62" w:rsidRDefault="00823785" w:rsidP="00823785">
      <w:pPr>
        <w:tabs>
          <w:tab w:val="clear" w:pos="567"/>
        </w:tabs>
        <w:spacing w:line="100" w:lineRule="atLeast"/>
        <w:rPr>
          <w:sz w:val="22"/>
          <w:szCs w:val="22"/>
        </w:rPr>
      </w:pPr>
      <w:r w:rsidRPr="00452D62">
        <w:rPr>
          <w:sz w:val="22"/>
          <w:szCs w:val="22"/>
        </w:rPr>
        <w:t>Jeigu apie šį vaistą norite sužinoti daugiau, kreipkitės į vietinį registruotojo atstovą.</w:t>
      </w:r>
    </w:p>
    <w:p w14:paraId="3E344481" w14:textId="77777777" w:rsidR="00823785" w:rsidRPr="00452D62" w:rsidRDefault="00823785" w:rsidP="00823785">
      <w:pPr>
        <w:tabs>
          <w:tab w:val="clear" w:pos="567"/>
        </w:tabs>
        <w:spacing w:line="100" w:lineRule="atLeast"/>
        <w:rPr>
          <w:sz w:val="22"/>
          <w:szCs w:val="22"/>
        </w:rPr>
      </w:pPr>
      <w:bookmarkStart w:id="17" w:name="_GoBack"/>
      <w:bookmarkEnd w:id="17"/>
    </w:p>
    <w:p w14:paraId="7634EE2A" w14:textId="77777777" w:rsidR="00823785" w:rsidRPr="00452D62" w:rsidRDefault="00823785" w:rsidP="00823785">
      <w:pPr>
        <w:numPr>
          <w:ilvl w:val="12"/>
          <w:numId w:val="0"/>
        </w:numPr>
        <w:tabs>
          <w:tab w:val="clear" w:pos="567"/>
          <w:tab w:val="left" w:pos="1296"/>
        </w:tabs>
        <w:spacing w:line="240" w:lineRule="auto"/>
        <w:ind w:right="-2"/>
        <w:rPr>
          <w:sz w:val="22"/>
          <w:szCs w:val="22"/>
        </w:rPr>
      </w:pPr>
      <w:r w:rsidRPr="00452D62">
        <w:rPr>
          <w:sz w:val="22"/>
          <w:szCs w:val="22"/>
        </w:rPr>
        <w:t>UAB KRKA Lietuva</w:t>
      </w:r>
    </w:p>
    <w:p w14:paraId="67A1B146" w14:textId="77777777" w:rsidR="00823785" w:rsidRPr="00452D62" w:rsidRDefault="00823785" w:rsidP="00823785">
      <w:pPr>
        <w:numPr>
          <w:ilvl w:val="12"/>
          <w:numId w:val="0"/>
        </w:numPr>
        <w:tabs>
          <w:tab w:val="clear" w:pos="567"/>
          <w:tab w:val="left" w:pos="1296"/>
        </w:tabs>
        <w:spacing w:line="240" w:lineRule="auto"/>
        <w:ind w:right="-2"/>
        <w:rPr>
          <w:sz w:val="22"/>
          <w:szCs w:val="22"/>
        </w:rPr>
      </w:pPr>
      <w:r w:rsidRPr="00452D62">
        <w:rPr>
          <w:sz w:val="22"/>
          <w:szCs w:val="22"/>
        </w:rPr>
        <w:t>Senasis Ukmergės kelias 4,</w:t>
      </w:r>
    </w:p>
    <w:p w14:paraId="411AB98C" w14:textId="77777777" w:rsidR="00823785" w:rsidRPr="00452D62" w:rsidRDefault="00823785" w:rsidP="00823785">
      <w:pPr>
        <w:numPr>
          <w:ilvl w:val="12"/>
          <w:numId w:val="0"/>
        </w:numPr>
        <w:tabs>
          <w:tab w:val="clear" w:pos="567"/>
          <w:tab w:val="left" w:pos="1296"/>
        </w:tabs>
        <w:spacing w:line="240" w:lineRule="auto"/>
        <w:ind w:right="-2"/>
        <w:rPr>
          <w:sz w:val="22"/>
          <w:szCs w:val="22"/>
        </w:rPr>
      </w:pPr>
      <w:r w:rsidRPr="00452D62">
        <w:rPr>
          <w:sz w:val="22"/>
          <w:szCs w:val="22"/>
        </w:rPr>
        <w:t>Užubalių km., Vilniaus r.</w:t>
      </w:r>
    </w:p>
    <w:p w14:paraId="394D1803" w14:textId="77777777" w:rsidR="00823785" w:rsidRPr="00452D62" w:rsidRDefault="00823785" w:rsidP="00823785">
      <w:pPr>
        <w:numPr>
          <w:ilvl w:val="12"/>
          <w:numId w:val="0"/>
        </w:numPr>
        <w:tabs>
          <w:tab w:val="clear" w:pos="567"/>
          <w:tab w:val="left" w:pos="1296"/>
        </w:tabs>
        <w:spacing w:line="240" w:lineRule="auto"/>
        <w:ind w:right="-2"/>
        <w:rPr>
          <w:sz w:val="22"/>
          <w:szCs w:val="22"/>
        </w:rPr>
      </w:pPr>
      <w:r w:rsidRPr="00452D62">
        <w:rPr>
          <w:sz w:val="22"/>
          <w:szCs w:val="22"/>
        </w:rPr>
        <w:t>LT - 14013</w:t>
      </w:r>
    </w:p>
    <w:p w14:paraId="5D9EF0FF" w14:textId="77777777" w:rsidR="00823785" w:rsidRPr="00452D62" w:rsidRDefault="00823785" w:rsidP="00823785">
      <w:pPr>
        <w:numPr>
          <w:ilvl w:val="12"/>
          <w:numId w:val="0"/>
        </w:numPr>
        <w:tabs>
          <w:tab w:val="clear" w:pos="567"/>
          <w:tab w:val="left" w:pos="1296"/>
        </w:tabs>
        <w:spacing w:line="240" w:lineRule="auto"/>
        <w:ind w:right="-2"/>
        <w:rPr>
          <w:sz w:val="22"/>
          <w:szCs w:val="22"/>
        </w:rPr>
      </w:pPr>
      <w:r w:rsidRPr="00452D62">
        <w:rPr>
          <w:sz w:val="22"/>
          <w:szCs w:val="22"/>
        </w:rPr>
        <w:t>Tel. + 370 5 236 27 40</w:t>
      </w:r>
    </w:p>
    <w:p w14:paraId="35905289" w14:textId="77777777" w:rsidR="00823785" w:rsidRPr="00452D62" w:rsidRDefault="00823785" w:rsidP="00823785">
      <w:pPr>
        <w:ind w:right="-2"/>
        <w:rPr>
          <w:sz w:val="22"/>
          <w:szCs w:val="22"/>
        </w:rPr>
      </w:pPr>
    </w:p>
    <w:p w14:paraId="7CBB1AD2" w14:textId="77777777" w:rsidR="00823785" w:rsidRPr="00452D62" w:rsidRDefault="00823785" w:rsidP="00823785">
      <w:pPr>
        <w:ind w:right="-2"/>
        <w:rPr>
          <w:b/>
          <w:sz w:val="22"/>
          <w:szCs w:val="22"/>
        </w:rPr>
      </w:pPr>
      <w:r w:rsidRPr="00452D62">
        <w:rPr>
          <w:b/>
          <w:sz w:val="22"/>
          <w:szCs w:val="22"/>
        </w:rPr>
        <w:t>Šis vaistas Europos ekonominės erdvės valstybėse narėse registruotas tokiais pavadinimais:</w:t>
      </w:r>
    </w:p>
    <w:p w14:paraId="3100EE50" w14:textId="77777777" w:rsidR="00823785" w:rsidRPr="008C3DF7" w:rsidRDefault="00823785" w:rsidP="00823785">
      <w:pPr>
        <w:numPr>
          <w:ilvl w:val="12"/>
          <w:numId w:val="0"/>
        </w:numPr>
        <w:suppressAutoHyphens w:val="0"/>
        <w:ind w:right="-2"/>
        <w:rPr>
          <w:snapToGrid w:val="0"/>
          <w:color w:val="auto"/>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5"/>
        <w:gridCol w:w="3877"/>
      </w:tblGrid>
      <w:tr w:rsidR="00823785" w:rsidRPr="00452D62" w14:paraId="34FF0E2F" w14:textId="77777777" w:rsidTr="006453B9">
        <w:tc>
          <w:tcPr>
            <w:tcW w:w="4675" w:type="dxa"/>
            <w:shd w:val="clear" w:color="auto" w:fill="auto"/>
          </w:tcPr>
          <w:p w14:paraId="0BC34F01" w14:textId="77777777" w:rsidR="00823785" w:rsidRPr="00452D62" w:rsidRDefault="00823785" w:rsidP="006453B9">
            <w:pPr>
              <w:numPr>
                <w:ilvl w:val="12"/>
                <w:numId w:val="0"/>
              </w:numPr>
              <w:tabs>
                <w:tab w:val="clear" w:pos="567"/>
              </w:tabs>
              <w:suppressAutoHyphens w:val="0"/>
              <w:spacing w:line="240" w:lineRule="auto"/>
              <w:rPr>
                <w:color w:val="auto"/>
                <w:sz w:val="22"/>
                <w:szCs w:val="22"/>
                <w:lang w:eastAsia="lt-LT"/>
              </w:rPr>
            </w:pPr>
            <w:r w:rsidRPr="00452D62">
              <w:rPr>
                <w:color w:val="auto"/>
                <w:sz w:val="22"/>
                <w:szCs w:val="22"/>
                <w:lang w:eastAsia="lt-LT"/>
              </w:rPr>
              <w:t>Valstybės narės pavadinimas</w:t>
            </w:r>
          </w:p>
        </w:tc>
        <w:tc>
          <w:tcPr>
            <w:tcW w:w="3877" w:type="dxa"/>
            <w:shd w:val="clear" w:color="auto" w:fill="auto"/>
          </w:tcPr>
          <w:p w14:paraId="5EBA87F8" w14:textId="77777777" w:rsidR="00823785" w:rsidRPr="00452D62" w:rsidRDefault="00823785" w:rsidP="006453B9">
            <w:pPr>
              <w:numPr>
                <w:ilvl w:val="12"/>
                <w:numId w:val="0"/>
              </w:numPr>
              <w:tabs>
                <w:tab w:val="clear" w:pos="567"/>
              </w:tabs>
              <w:suppressAutoHyphens w:val="0"/>
              <w:spacing w:line="240" w:lineRule="auto"/>
              <w:rPr>
                <w:color w:val="auto"/>
                <w:sz w:val="22"/>
                <w:szCs w:val="22"/>
                <w:lang w:eastAsia="lt-LT"/>
              </w:rPr>
            </w:pPr>
            <w:r w:rsidRPr="00452D62">
              <w:rPr>
                <w:color w:val="auto"/>
                <w:sz w:val="22"/>
                <w:szCs w:val="22"/>
                <w:lang w:eastAsia="lt-LT"/>
              </w:rPr>
              <w:t>Vaisto pavadinimas</w:t>
            </w:r>
          </w:p>
        </w:tc>
      </w:tr>
      <w:tr w:rsidR="00823785" w:rsidRPr="00452D62" w14:paraId="04D51C3F" w14:textId="77777777" w:rsidTr="006453B9">
        <w:tc>
          <w:tcPr>
            <w:tcW w:w="4675" w:type="dxa"/>
            <w:shd w:val="clear" w:color="auto" w:fill="auto"/>
          </w:tcPr>
          <w:p w14:paraId="37CFF9CA" w14:textId="77777777" w:rsidR="00823785" w:rsidRPr="00452D62" w:rsidRDefault="00823785" w:rsidP="006453B9">
            <w:pPr>
              <w:numPr>
                <w:ilvl w:val="12"/>
                <w:numId w:val="0"/>
              </w:numPr>
              <w:tabs>
                <w:tab w:val="clear" w:pos="567"/>
              </w:tabs>
              <w:suppressAutoHyphens w:val="0"/>
              <w:spacing w:line="240" w:lineRule="auto"/>
              <w:rPr>
                <w:color w:val="auto"/>
                <w:sz w:val="22"/>
                <w:szCs w:val="22"/>
                <w:lang w:eastAsia="lt-LT"/>
              </w:rPr>
            </w:pPr>
            <w:r w:rsidRPr="00452D62">
              <w:rPr>
                <w:color w:val="auto"/>
                <w:sz w:val="22"/>
                <w:szCs w:val="22"/>
                <w:lang w:eastAsia="lt-LT"/>
              </w:rPr>
              <w:t xml:space="preserve">Danija, Slovakija, </w:t>
            </w:r>
            <w:r w:rsidRPr="000877E9">
              <w:rPr>
                <w:color w:val="auto"/>
                <w:sz w:val="22"/>
                <w:szCs w:val="22"/>
                <w:lang w:eastAsia="lt-LT"/>
              </w:rPr>
              <w:t>Bulgarija, Čekija, Slovėnija, Estija, Kroatija, Latvija, Lietuva, Lenkija, Vengrija, Rumunija</w:t>
            </w:r>
          </w:p>
        </w:tc>
        <w:tc>
          <w:tcPr>
            <w:tcW w:w="3877" w:type="dxa"/>
            <w:shd w:val="clear" w:color="auto" w:fill="auto"/>
          </w:tcPr>
          <w:p w14:paraId="40AE969F" w14:textId="77777777" w:rsidR="00823785" w:rsidRPr="00452D62" w:rsidRDefault="00823785" w:rsidP="006453B9">
            <w:pPr>
              <w:numPr>
                <w:ilvl w:val="12"/>
                <w:numId w:val="0"/>
              </w:numPr>
              <w:tabs>
                <w:tab w:val="clear" w:pos="567"/>
              </w:tabs>
              <w:suppressAutoHyphens w:val="0"/>
              <w:spacing w:line="240" w:lineRule="auto"/>
              <w:rPr>
                <w:color w:val="auto"/>
                <w:sz w:val="22"/>
                <w:szCs w:val="22"/>
                <w:lang w:eastAsia="lt-LT"/>
              </w:rPr>
            </w:pPr>
            <w:r w:rsidRPr="00452D62">
              <w:rPr>
                <w:color w:val="auto"/>
                <w:sz w:val="22"/>
                <w:szCs w:val="22"/>
                <w:lang w:eastAsia="lt-LT"/>
              </w:rPr>
              <w:t xml:space="preserve">Xerdoxo </w:t>
            </w:r>
          </w:p>
        </w:tc>
      </w:tr>
    </w:tbl>
    <w:p w14:paraId="7EA93F20" w14:textId="77777777" w:rsidR="00823785" w:rsidRPr="00452D62" w:rsidRDefault="00823785" w:rsidP="00823785">
      <w:pPr>
        <w:ind w:left="567" w:hanging="567"/>
        <w:rPr>
          <w:sz w:val="22"/>
          <w:szCs w:val="22"/>
        </w:rPr>
      </w:pPr>
    </w:p>
    <w:p w14:paraId="3DE7AF34" w14:textId="77777777" w:rsidR="00823785" w:rsidRPr="00452D62" w:rsidRDefault="00823785" w:rsidP="00823785">
      <w:pPr>
        <w:ind w:left="567" w:hanging="567"/>
        <w:rPr>
          <w:sz w:val="22"/>
          <w:szCs w:val="22"/>
        </w:rPr>
      </w:pPr>
    </w:p>
    <w:p w14:paraId="7C392C0A" w14:textId="1A17387A" w:rsidR="00823785" w:rsidRPr="000877E9" w:rsidRDefault="00823785" w:rsidP="00823785">
      <w:pPr>
        <w:tabs>
          <w:tab w:val="clear" w:pos="567"/>
        </w:tabs>
        <w:spacing w:line="100" w:lineRule="atLeast"/>
        <w:ind w:right="-2"/>
        <w:rPr>
          <w:i/>
          <w:sz w:val="22"/>
          <w:szCs w:val="22"/>
        </w:rPr>
      </w:pPr>
      <w:r w:rsidRPr="00452D62">
        <w:rPr>
          <w:b/>
          <w:sz w:val="22"/>
          <w:szCs w:val="22"/>
        </w:rPr>
        <w:t>Šis pakuotės lapelis paskutinį kartą peržiūrėtas</w:t>
      </w:r>
      <w:r w:rsidR="00B947C5" w:rsidRPr="00452D62">
        <w:rPr>
          <w:b/>
          <w:sz w:val="22"/>
          <w:szCs w:val="22"/>
        </w:rPr>
        <w:t xml:space="preserve"> </w:t>
      </w:r>
      <w:r w:rsidR="002E311D">
        <w:rPr>
          <w:b/>
          <w:sz w:val="22"/>
          <w:szCs w:val="22"/>
        </w:rPr>
        <w:t>2024-10-09</w:t>
      </w:r>
      <w:r w:rsidRPr="000877E9">
        <w:rPr>
          <w:b/>
          <w:sz w:val="22"/>
          <w:szCs w:val="22"/>
        </w:rPr>
        <w:t>.</w:t>
      </w:r>
    </w:p>
    <w:p w14:paraId="385B66C8" w14:textId="77777777" w:rsidR="00823785" w:rsidRPr="00452D62" w:rsidRDefault="00823785" w:rsidP="00823785">
      <w:pPr>
        <w:spacing w:line="100" w:lineRule="atLeast"/>
        <w:ind w:right="-2"/>
        <w:rPr>
          <w:i/>
          <w:sz w:val="22"/>
          <w:szCs w:val="22"/>
        </w:rPr>
      </w:pPr>
    </w:p>
    <w:p w14:paraId="2582D6E8" w14:textId="77777777" w:rsidR="00823785" w:rsidRPr="00452D62" w:rsidRDefault="00823785" w:rsidP="00823785">
      <w:pPr>
        <w:spacing w:line="100" w:lineRule="atLeast"/>
        <w:ind w:right="-2"/>
        <w:rPr>
          <w:i/>
          <w:sz w:val="22"/>
          <w:szCs w:val="22"/>
        </w:rPr>
      </w:pPr>
    </w:p>
    <w:p w14:paraId="277B4A5D" w14:textId="735BF14D" w:rsidR="00823785" w:rsidRPr="00452D62" w:rsidRDefault="00823785" w:rsidP="00823785">
      <w:pPr>
        <w:spacing w:line="100" w:lineRule="atLeast"/>
        <w:ind w:right="-2"/>
        <w:rPr>
          <w:rStyle w:val="Hipersaitas"/>
          <w:rFonts w:eastAsia="SimSun"/>
          <w:sz w:val="22"/>
          <w:szCs w:val="22"/>
        </w:rPr>
      </w:pPr>
      <w:r w:rsidRPr="00452D62">
        <w:rPr>
          <w:sz w:val="22"/>
          <w:szCs w:val="22"/>
        </w:rPr>
        <w:t>Išsami informacija apie šį vaistą pateikiama Valstybinės vaistų kontrolės tarnybos prie Lietuvos Respublikos sveikatos apsaugos ministerijos tinklalapyje</w:t>
      </w:r>
      <w:r w:rsidRPr="00452D62">
        <w:rPr>
          <w:i/>
          <w:sz w:val="22"/>
          <w:szCs w:val="22"/>
        </w:rPr>
        <w:t xml:space="preserve"> </w:t>
      </w:r>
      <w:r w:rsidR="008F1A36" w:rsidRPr="008F1A36">
        <w:rPr>
          <w:color w:val="0000EE"/>
          <w:sz w:val="22"/>
          <w:szCs w:val="22"/>
          <w:u w:val="single"/>
          <w:lang w:eastAsia="lt-LT"/>
        </w:rPr>
        <w:t>https://vvkt.lrv.lt/lt/.</w:t>
      </w:r>
    </w:p>
    <w:p w14:paraId="3FE0A196" w14:textId="77777777" w:rsidR="00823785" w:rsidRPr="00452D62" w:rsidRDefault="00823785" w:rsidP="00823785">
      <w:pPr>
        <w:spacing w:line="100" w:lineRule="atLeast"/>
        <w:ind w:right="-2"/>
        <w:rPr>
          <w:rStyle w:val="Hipersaitas"/>
          <w:rFonts w:eastAsia="SimSun"/>
          <w:sz w:val="22"/>
          <w:szCs w:val="22"/>
        </w:rPr>
      </w:pPr>
    </w:p>
    <w:p w14:paraId="27A3BC21" w14:textId="77777777" w:rsidR="00823785" w:rsidRPr="008C3DF7" w:rsidRDefault="00823785" w:rsidP="00823785">
      <w:pPr>
        <w:spacing w:line="100" w:lineRule="atLeast"/>
        <w:ind w:right="-2"/>
        <w:rPr>
          <w:b/>
          <w:sz w:val="22"/>
          <w:szCs w:val="22"/>
        </w:rPr>
      </w:pPr>
    </w:p>
    <w:p w14:paraId="4B679833" w14:textId="77777777" w:rsidR="009A51DE" w:rsidRPr="00AE1B80" w:rsidRDefault="009A51DE" w:rsidP="00823785">
      <w:pPr>
        <w:rPr>
          <w:sz w:val="22"/>
        </w:rPr>
      </w:pPr>
    </w:p>
    <w:sectPr w:rsidR="009A51DE" w:rsidRPr="00AE1B80" w:rsidSect="00AE1B80">
      <w:headerReference w:type="default" r:id="rId12"/>
      <w:footerReference w:type="default" r:id="rId13"/>
      <w:type w:val="continuous"/>
      <w:pgSz w:w="11906" w:h="16838" w:code="9"/>
      <w:pgMar w:top="1134" w:right="1418" w:bottom="1134" w:left="1418" w:header="737" w:footer="737" w:gutter="0"/>
      <w:cols w:space="1296"/>
      <w:docGrid w:linePitch="299"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AF07B1" w14:textId="77777777" w:rsidR="00DC472E" w:rsidRDefault="00DC472E">
      <w:pPr>
        <w:spacing w:line="240" w:lineRule="auto"/>
      </w:pPr>
      <w:r>
        <w:separator/>
      </w:r>
    </w:p>
  </w:endnote>
  <w:endnote w:type="continuationSeparator" w:id="0">
    <w:p w14:paraId="68CB3436" w14:textId="77777777" w:rsidR="00DC472E" w:rsidRDefault="00DC472E">
      <w:pPr>
        <w:spacing w:line="240" w:lineRule="auto"/>
      </w:pPr>
      <w:r>
        <w:continuationSeparator/>
      </w:r>
    </w:p>
  </w:endnote>
  <w:endnote w:type="continuationNotice" w:id="1">
    <w:p w14:paraId="2B74A15E" w14:textId="77777777" w:rsidR="00DC472E" w:rsidRDefault="00DC472E">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BA"/>
    <w:family w:val="swiss"/>
    <w:pitch w:val="variable"/>
    <w:sig w:usb0="E0002EFF" w:usb1="C000785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ourier New"/>
    <w:charset w:val="01"/>
    <w:family w:val="auto"/>
    <w:pitch w:val="variable"/>
    <w:sig w:usb0="800000AF" w:usb1="1001ECEA" w:usb2="00000000" w:usb3="00000000" w:csb0="00000001" w:csb1="00000000"/>
  </w:font>
  <w:font w:name="Calibri">
    <w:panose1 w:val="020F0502020204030204"/>
    <w:charset w:val="BA"/>
    <w:family w:val="swiss"/>
    <w:pitch w:val="variable"/>
    <w:sig w:usb0="E4002EFF" w:usb1="C2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TimesNewRoman">
    <w:altName w:val="Yu Gothic"/>
    <w:panose1 w:val="00000000000000000000"/>
    <w:charset w:val="00"/>
    <w:family w:val="roman"/>
    <w:notTrueType/>
    <w:pitch w:val="default"/>
    <w:sig w:usb0="00000000" w:usb1="08070000" w:usb2="00000010" w:usb3="00000000" w:csb0="0002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7D3AFC" w14:textId="618E755D" w:rsidR="00DC472E" w:rsidRDefault="00DC472E">
    <w:pPr>
      <w:pStyle w:val="Porat"/>
      <w:tabs>
        <w:tab w:val="right" w:pos="8931"/>
      </w:tabs>
      <w:ind w:right="96"/>
      <w:jc w:val="center"/>
    </w:pPr>
    <w:r>
      <w:fldChar w:fldCharType="begin"/>
    </w:r>
    <w:r>
      <w:instrText xml:space="preserve"> PAGE </w:instrText>
    </w:r>
    <w:r>
      <w:fldChar w:fldCharType="separate"/>
    </w:r>
    <w:r w:rsidR="002E311D">
      <w:rPr>
        <w:noProof/>
      </w:rPr>
      <w:t>159</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292DF8" w14:textId="77777777" w:rsidR="00DC472E" w:rsidRDefault="00DC472E">
      <w:pPr>
        <w:spacing w:line="240" w:lineRule="auto"/>
      </w:pPr>
      <w:r>
        <w:separator/>
      </w:r>
    </w:p>
  </w:footnote>
  <w:footnote w:type="continuationSeparator" w:id="0">
    <w:p w14:paraId="1E5AB77A" w14:textId="77777777" w:rsidR="00DC472E" w:rsidRDefault="00DC472E">
      <w:pPr>
        <w:spacing w:line="240" w:lineRule="auto"/>
      </w:pPr>
      <w:r>
        <w:continuationSeparator/>
      </w:r>
    </w:p>
  </w:footnote>
  <w:footnote w:type="continuationNotice" w:id="1">
    <w:p w14:paraId="6AFF885C" w14:textId="77777777" w:rsidR="00DC472E" w:rsidRDefault="00DC472E">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E5F15E" w14:textId="77777777" w:rsidR="00DC472E" w:rsidRDefault="00DC472E">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50E2610C"/>
    <w:name w:val="WWNum1"/>
    <w:lvl w:ilvl="0">
      <w:start w:val="30"/>
      <w:numFmt w:val="bullet"/>
      <w:lvlText w:val="-"/>
      <w:lvlJc w:val="left"/>
      <w:pPr>
        <w:tabs>
          <w:tab w:val="num" w:pos="208"/>
        </w:tabs>
        <w:ind w:left="928" w:hanging="360"/>
      </w:pPr>
      <w:rPr>
        <w:rFonts w:ascii="Arial" w:eastAsia="Times New Roman" w:hAnsi="Arial" w:cs="Arial" w:hint="default"/>
      </w:rPr>
    </w:lvl>
    <w:lvl w:ilvl="1">
      <w:start w:val="1"/>
      <w:numFmt w:val="decimal"/>
      <w:lvlText w:val="%2."/>
      <w:lvlJc w:val="left"/>
      <w:pPr>
        <w:tabs>
          <w:tab w:val="num" w:pos="1288"/>
        </w:tabs>
        <w:ind w:left="1288" w:hanging="360"/>
      </w:pPr>
    </w:lvl>
    <w:lvl w:ilvl="2">
      <w:start w:val="1"/>
      <w:numFmt w:val="decimal"/>
      <w:lvlText w:val="%3."/>
      <w:lvlJc w:val="left"/>
      <w:pPr>
        <w:tabs>
          <w:tab w:val="num" w:pos="1648"/>
        </w:tabs>
        <w:ind w:left="1648" w:hanging="360"/>
      </w:pPr>
    </w:lvl>
    <w:lvl w:ilvl="3">
      <w:start w:val="1"/>
      <w:numFmt w:val="decimal"/>
      <w:lvlText w:val="%4."/>
      <w:lvlJc w:val="left"/>
      <w:pPr>
        <w:tabs>
          <w:tab w:val="num" w:pos="2008"/>
        </w:tabs>
        <w:ind w:left="2008" w:hanging="360"/>
      </w:pPr>
    </w:lvl>
    <w:lvl w:ilvl="4">
      <w:start w:val="1"/>
      <w:numFmt w:val="decimal"/>
      <w:lvlText w:val="%5."/>
      <w:lvlJc w:val="left"/>
      <w:pPr>
        <w:tabs>
          <w:tab w:val="num" w:pos="2368"/>
        </w:tabs>
        <w:ind w:left="2368" w:hanging="360"/>
      </w:pPr>
    </w:lvl>
    <w:lvl w:ilvl="5">
      <w:start w:val="1"/>
      <w:numFmt w:val="decimal"/>
      <w:lvlText w:val="%6."/>
      <w:lvlJc w:val="left"/>
      <w:pPr>
        <w:tabs>
          <w:tab w:val="num" w:pos="2728"/>
        </w:tabs>
        <w:ind w:left="2728" w:hanging="360"/>
      </w:pPr>
    </w:lvl>
    <w:lvl w:ilvl="6">
      <w:start w:val="1"/>
      <w:numFmt w:val="decimal"/>
      <w:lvlText w:val="%7."/>
      <w:lvlJc w:val="left"/>
      <w:pPr>
        <w:tabs>
          <w:tab w:val="num" w:pos="3088"/>
        </w:tabs>
        <w:ind w:left="3088" w:hanging="360"/>
      </w:pPr>
    </w:lvl>
    <w:lvl w:ilvl="7">
      <w:start w:val="1"/>
      <w:numFmt w:val="decimal"/>
      <w:lvlText w:val="%8."/>
      <w:lvlJc w:val="left"/>
      <w:pPr>
        <w:tabs>
          <w:tab w:val="num" w:pos="3448"/>
        </w:tabs>
        <w:ind w:left="3448" w:hanging="360"/>
      </w:pPr>
    </w:lvl>
    <w:lvl w:ilvl="8">
      <w:start w:val="1"/>
      <w:numFmt w:val="decimal"/>
      <w:lvlText w:val="%9."/>
      <w:lvlJc w:val="left"/>
      <w:pPr>
        <w:tabs>
          <w:tab w:val="num" w:pos="3808"/>
        </w:tabs>
        <w:ind w:left="3808" w:hanging="360"/>
      </w:pPr>
    </w:lvl>
  </w:abstractNum>
  <w:abstractNum w:abstractNumId="1" w15:restartNumberingAfterBreak="0">
    <w:nsid w:val="00000002"/>
    <w:multiLevelType w:val="multilevel"/>
    <w:tmpl w:val="FA10C2F8"/>
    <w:name w:val="WWNum2"/>
    <w:lvl w:ilvl="0">
      <w:start w:val="1"/>
      <w:numFmt w:val="upperLetter"/>
      <w:lvlText w:val="%1."/>
      <w:lvlJc w:val="left"/>
      <w:pPr>
        <w:tabs>
          <w:tab w:val="num" w:pos="0"/>
        </w:tabs>
        <w:ind w:left="1701" w:hanging="708"/>
      </w:pPr>
      <w:rPr>
        <w:b/>
      </w:rPr>
    </w:lvl>
    <w:lvl w:ilvl="1">
      <w:start w:val="1"/>
      <w:numFmt w:val="decimal"/>
      <w:lvlText w:val="%2."/>
      <w:lvlJc w:val="left"/>
      <w:pPr>
        <w:tabs>
          <w:tab w:val="num" w:pos="0"/>
        </w:tabs>
        <w:ind w:left="2283" w:hanging="570"/>
      </w:pPr>
    </w:lvl>
    <w:lvl w:ilvl="2">
      <w:start w:val="1"/>
      <w:numFmt w:val="lowerRoman"/>
      <w:lvlText w:val="%2.%3."/>
      <w:lvlJc w:val="right"/>
      <w:pPr>
        <w:tabs>
          <w:tab w:val="num" w:pos="0"/>
        </w:tabs>
        <w:ind w:left="2793" w:hanging="180"/>
      </w:pPr>
    </w:lvl>
    <w:lvl w:ilvl="3">
      <w:start w:val="1"/>
      <w:numFmt w:val="decimal"/>
      <w:lvlText w:val="%2.%3.%4."/>
      <w:lvlJc w:val="left"/>
      <w:pPr>
        <w:tabs>
          <w:tab w:val="num" w:pos="0"/>
        </w:tabs>
        <w:ind w:left="3513" w:hanging="360"/>
      </w:pPr>
    </w:lvl>
    <w:lvl w:ilvl="4">
      <w:start w:val="1"/>
      <w:numFmt w:val="lowerLetter"/>
      <w:lvlText w:val="%2.%3.%4.%5."/>
      <w:lvlJc w:val="left"/>
      <w:pPr>
        <w:tabs>
          <w:tab w:val="num" w:pos="0"/>
        </w:tabs>
        <w:ind w:left="4233" w:hanging="360"/>
      </w:pPr>
    </w:lvl>
    <w:lvl w:ilvl="5">
      <w:start w:val="1"/>
      <w:numFmt w:val="lowerRoman"/>
      <w:lvlText w:val="%2.%3.%4.%5.%6."/>
      <w:lvlJc w:val="right"/>
      <w:pPr>
        <w:tabs>
          <w:tab w:val="num" w:pos="0"/>
        </w:tabs>
        <w:ind w:left="4953" w:hanging="180"/>
      </w:pPr>
    </w:lvl>
    <w:lvl w:ilvl="6">
      <w:start w:val="1"/>
      <w:numFmt w:val="decimal"/>
      <w:lvlText w:val="%2.%3.%4.%5.%6.%7."/>
      <w:lvlJc w:val="left"/>
      <w:pPr>
        <w:tabs>
          <w:tab w:val="num" w:pos="0"/>
        </w:tabs>
        <w:ind w:left="5673" w:hanging="360"/>
      </w:pPr>
    </w:lvl>
    <w:lvl w:ilvl="7">
      <w:start w:val="1"/>
      <w:numFmt w:val="lowerLetter"/>
      <w:lvlText w:val="%2.%3.%4.%5.%6.%7.%8."/>
      <w:lvlJc w:val="left"/>
      <w:pPr>
        <w:tabs>
          <w:tab w:val="num" w:pos="0"/>
        </w:tabs>
        <w:ind w:left="6393" w:hanging="360"/>
      </w:pPr>
    </w:lvl>
    <w:lvl w:ilvl="8">
      <w:start w:val="1"/>
      <w:numFmt w:val="lowerRoman"/>
      <w:lvlText w:val="%2.%3.%4.%5.%6.%7.%8.%9."/>
      <w:lvlJc w:val="right"/>
      <w:pPr>
        <w:tabs>
          <w:tab w:val="num" w:pos="0"/>
        </w:tabs>
        <w:ind w:left="7113" w:hanging="180"/>
      </w:pPr>
    </w:lvl>
  </w:abstractNum>
  <w:abstractNum w:abstractNumId="2" w15:restartNumberingAfterBreak="0">
    <w:nsid w:val="00000003"/>
    <w:multiLevelType w:val="multilevel"/>
    <w:tmpl w:val="00000003"/>
    <w:name w:val="WWNum3"/>
    <w:lvl w:ilvl="0">
      <w:start w:val="1"/>
      <w:numFmt w:val="upperLetter"/>
      <w:lvlText w:val="%1."/>
      <w:lvlJc w:val="left"/>
      <w:pPr>
        <w:tabs>
          <w:tab w:val="num" w:pos="0"/>
        </w:tabs>
        <w:ind w:left="5670" w:hanging="5670"/>
      </w:pPr>
      <w:rPr>
        <w:b/>
      </w:rPr>
    </w:lvl>
    <w:lvl w:ilvl="1">
      <w:start w:val="1"/>
      <w:numFmt w:val="decimal"/>
      <w:lvlText w:val="%2."/>
      <w:lvlJc w:val="left"/>
      <w:pPr>
        <w:tabs>
          <w:tab w:val="num" w:pos="0"/>
        </w:tabs>
        <w:ind w:left="1650" w:hanging="570"/>
      </w:pPr>
      <w:rPr>
        <w:b/>
        <w:i w:val="0"/>
      </w:r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3" w15:restartNumberingAfterBreak="0">
    <w:nsid w:val="00000004"/>
    <w:multiLevelType w:val="multilevel"/>
    <w:tmpl w:val="00000004"/>
    <w:name w:val="WWNum4"/>
    <w:lvl w:ilvl="0">
      <w:start w:val="1"/>
      <w:numFmt w:val="bullet"/>
      <w:lvlText w:val=""/>
      <w:lvlJc w:val="left"/>
      <w:pPr>
        <w:tabs>
          <w:tab w:val="num" w:pos="0"/>
        </w:tabs>
        <w:ind w:left="359" w:hanging="360"/>
      </w:pPr>
      <w:rPr>
        <w:rFonts w:ascii="Symbol" w:hAnsi="Symbol" w:cs="Times New Roman"/>
      </w:rPr>
    </w:lvl>
    <w:lvl w:ilvl="1">
      <w:start w:val="1"/>
      <w:numFmt w:val="bullet"/>
      <w:lvlText w:val="o"/>
      <w:lvlJc w:val="left"/>
      <w:pPr>
        <w:tabs>
          <w:tab w:val="num" w:pos="0"/>
        </w:tabs>
        <w:ind w:left="1079" w:hanging="360"/>
      </w:pPr>
      <w:rPr>
        <w:rFonts w:ascii="Courier New" w:hAnsi="Courier New" w:cs="Courier New"/>
      </w:rPr>
    </w:lvl>
    <w:lvl w:ilvl="2">
      <w:start w:val="1"/>
      <w:numFmt w:val="bullet"/>
      <w:lvlText w:val=""/>
      <w:lvlJc w:val="left"/>
      <w:pPr>
        <w:tabs>
          <w:tab w:val="num" w:pos="0"/>
        </w:tabs>
        <w:ind w:left="1799" w:hanging="360"/>
      </w:pPr>
      <w:rPr>
        <w:rFonts w:ascii="Wingdings" w:hAnsi="Wingdings"/>
      </w:rPr>
    </w:lvl>
    <w:lvl w:ilvl="3">
      <w:start w:val="1"/>
      <w:numFmt w:val="bullet"/>
      <w:lvlText w:val=""/>
      <w:lvlJc w:val="left"/>
      <w:pPr>
        <w:tabs>
          <w:tab w:val="num" w:pos="0"/>
        </w:tabs>
        <w:ind w:left="2519" w:hanging="360"/>
      </w:pPr>
      <w:rPr>
        <w:rFonts w:ascii="Symbol" w:hAnsi="Symbol"/>
      </w:rPr>
    </w:lvl>
    <w:lvl w:ilvl="4">
      <w:start w:val="1"/>
      <w:numFmt w:val="bullet"/>
      <w:lvlText w:val="o"/>
      <w:lvlJc w:val="left"/>
      <w:pPr>
        <w:tabs>
          <w:tab w:val="num" w:pos="0"/>
        </w:tabs>
        <w:ind w:left="3239" w:hanging="360"/>
      </w:pPr>
      <w:rPr>
        <w:rFonts w:ascii="Courier New" w:hAnsi="Courier New" w:cs="Courier New"/>
      </w:rPr>
    </w:lvl>
    <w:lvl w:ilvl="5">
      <w:start w:val="1"/>
      <w:numFmt w:val="bullet"/>
      <w:lvlText w:val=""/>
      <w:lvlJc w:val="left"/>
      <w:pPr>
        <w:tabs>
          <w:tab w:val="num" w:pos="0"/>
        </w:tabs>
        <w:ind w:left="3959" w:hanging="360"/>
      </w:pPr>
      <w:rPr>
        <w:rFonts w:ascii="Wingdings" w:hAnsi="Wingdings"/>
      </w:rPr>
    </w:lvl>
    <w:lvl w:ilvl="6">
      <w:start w:val="1"/>
      <w:numFmt w:val="bullet"/>
      <w:lvlText w:val=""/>
      <w:lvlJc w:val="left"/>
      <w:pPr>
        <w:tabs>
          <w:tab w:val="num" w:pos="0"/>
        </w:tabs>
        <w:ind w:left="4679" w:hanging="360"/>
      </w:pPr>
      <w:rPr>
        <w:rFonts w:ascii="Symbol" w:hAnsi="Symbol"/>
      </w:rPr>
    </w:lvl>
    <w:lvl w:ilvl="7">
      <w:start w:val="1"/>
      <w:numFmt w:val="bullet"/>
      <w:lvlText w:val="o"/>
      <w:lvlJc w:val="left"/>
      <w:pPr>
        <w:tabs>
          <w:tab w:val="num" w:pos="0"/>
        </w:tabs>
        <w:ind w:left="5399" w:hanging="360"/>
      </w:pPr>
      <w:rPr>
        <w:rFonts w:ascii="Courier New" w:hAnsi="Courier New" w:cs="Courier New"/>
      </w:rPr>
    </w:lvl>
    <w:lvl w:ilvl="8">
      <w:start w:val="1"/>
      <w:numFmt w:val="bullet"/>
      <w:lvlText w:val=""/>
      <w:lvlJc w:val="left"/>
      <w:pPr>
        <w:tabs>
          <w:tab w:val="num" w:pos="0"/>
        </w:tabs>
        <w:ind w:left="6119" w:hanging="360"/>
      </w:pPr>
      <w:rPr>
        <w:rFonts w:ascii="Wingdings" w:hAnsi="Wingdings"/>
      </w:rPr>
    </w:lvl>
  </w:abstractNum>
  <w:abstractNum w:abstractNumId="4" w15:restartNumberingAfterBreak="0">
    <w:nsid w:val="00000005"/>
    <w:multiLevelType w:val="multilevel"/>
    <w:tmpl w:val="00000005"/>
    <w:name w:val="WWNum5"/>
    <w:lvl w:ilvl="0">
      <w:start w:val="1"/>
      <w:numFmt w:val="bullet"/>
      <w:lvlText w:val=""/>
      <w:lvlJc w:val="left"/>
      <w:pPr>
        <w:tabs>
          <w:tab w:val="num" w:pos="0"/>
        </w:tabs>
        <w:ind w:left="719" w:hanging="360"/>
      </w:pPr>
      <w:rPr>
        <w:rFonts w:ascii="Symbol" w:hAnsi="Symbol"/>
      </w:rPr>
    </w:lvl>
    <w:lvl w:ilvl="1">
      <w:start w:val="1"/>
      <w:numFmt w:val="bullet"/>
      <w:lvlText w:val="o"/>
      <w:lvlJc w:val="left"/>
      <w:pPr>
        <w:tabs>
          <w:tab w:val="num" w:pos="0"/>
        </w:tabs>
        <w:ind w:left="1439" w:hanging="360"/>
      </w:pPr>
      <w:rPr>
        <w:rFonts w:ascii="Courier New" w:hAnsi="Courier New" w:cs="Courier New"/>
      </w:rPr>
    </w:lvl>
    <w:lvl w:ilvl="2">
      <w:start w:val="1"/>
      <w:numFmt w:val="bullet"/>
      <w:lvlText w:val=""/>
      <w:lvlJc w:val="left"/>
      <w:pPr>
        <w:tabs>
          <w:tab w:val="num" w:pos="0"/>
        </w:tabs>
        <w:ind w:left="2159" w:hanging="360"/>
      </w:pPr>
      <w:rPr>
        <w:rFonts w:ascii="Wingdings" w:hAnsi="Wingdings"/>
      </w:rPr>
    </w:lvl>
    <w:lvl w:ilvl="3">
      <w:start w:val="1"/>
      <w:numFmt w:val="bullet"/>
      <w:lvlText w:val=""/>
      <w:lvlJc w:val="left"/>
      <w:pPr>
        <w:tabs>
          <w:tab w:val="num" w:pos="0"/>
        </w:tabs>
        <w:ind w:left="2879" w:hanging="360"/>
      </w:pPr>
      <w:rPr>
        <w:rFonts w:ascii="Symbol" w:hAnsi="Symbol"/>
      </w:rPr>
    </w:lvl>
    <w:lvl w:ilvl="4">
      <w:start w:val="1"/>
      <w:numFmt w:val="bullet"/>
      <w:lvlText w:val="o"/>
      <w:lvlJc w:val="left"/>
      <w:pPr>
        <w:tabs>
          <w:tab w:val="num" w:pos="0"/>
        </w:tabs>
        <w:ind w:left="3599" w:hanging="360"/>
      </w:pPr>
      <w:rPr>
        <w:rFonts w:ascii="Courier New" w:hAnsi="Courier New" w:cs="Courier New"/>
      </w:rPr>
    </w:lvl>
    <w:lvl w:ilvl="5">
      <w:start w:val="1"/>
      <w:numFmt w:val="bullet"/>
      <w:lvlText w:val=""/>
      <w:lvlJc w:val="left"/>
      <w:pPr>
        <w:tabs>
          <w:tab w:val="num" w:pos="0"/>
        </w:tabs>
        <w:ind w:left="4319" w:hanging="360"/>
      </w:pPr>
      <w:rPr>
        <w:rFonts w:ascii="Wingdings" w:hAnsi="Wingdings"/>
      </w:rPr>
    </w:lvl>
    <w:lvl w:ilvl="6">
      <w:start w:val="1"/>
      <w:numFmt w:val="bullet"/>
      <w:lvlText w:val=""/>
      <w:lvlJc w:val="left"/>
      <w:pPr>
        <w:tabs>
          <w:tab w:val="num" w:pos="0"/>
        </w:tabs>
        <w:ind w:left="5039" w:hanging="360"/>
      </w:pPr>
      <w:rPr>
        <w:rFonts w:ascii="Symbol" w:hAnsi="Symbol"/>
      </w:rPr>
    </w:lvl>
    <w:lvl w:ilvl="7">
      <w:start w:val="1"/>
      <w:numFmt w:val="bullet"/>
      <w:lvlText w:val="o"/>
      <w:lvlJc w:val="left"/>
      <w:pPr>
        <w:tabs>
          <w:tab w:val="num" w:pos="0"/>
        </w:tabs>
        <w:ind w:left="5759" w:hanging="360"/>
      </w:pPr>
      <w:rPr>
        <w:rFonts w:ascii="Courier New" w:hAnsi="Courier New" w:cs="Courier New"/>
      </w:rPr>
    </w:lvl>
    <w:lvl w:ilvl="8">
      <w:start w:val="1"/>
      <w:numFmt w:val="bullet"/>
      <w:lvlText w:val=""/>
      <w:lvlJc w:val="left"/>
      <w:pPr>
        <w:tabs>
          <w:tab w:val="num" w:pos="0"/>
        </w:tabs>
        <w:ind w:left="6479" w:hanging="360"/>
      </w:pPr>
      <w:rPr>
        <w:rFonts w:ascii="Wingdings" w:hAnsi="Wingdings"/>
      </w:rPr>
    </w:lvl>
  </w:abstractNum>
  <w:abstractNum w:abstractNumId="5" w15:restartNumberingAfterBreak="0">
    <w:nsid w:val="00000006"/>
    <w:multiLevelType w:val="multilevel"/>
    <w:tmpl w:val="00000006"/>
    <w:name w:val="WWNum6"/>
    <w:lvl w:ilvl="0">
      <w:start w:val="1"/>
      <w:numFmt w:val="bullet"/>
      <w:lvlText w:val="-"/>
      <w:lvlJc w:val="left"/>
      <w:pPr>
        <w:tabs>
          <w:tab w:val="num" w:pos="0"/>
        </w:tabs>
        <w:ind w:left="720" w:hanging="360"/>
      </w:pPr>
      <w:rPr>
        <w:rFonts w:ascii="OpenSymbol" w:hAnsi="Open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6" w15:restartNumberingAfterBreak="0">
    <w:nsid w:val="00000007"/>
    <w:multiLevelType w:val="multilevel"/>
    <w:tmpl w:val="00000007"/>
    <w:name w:val="WWNum7"/>
    <w:lvl w:ilvl="0">
      <w:start w:val="1"/>
      <w:numFmt w:val="bullet"/>
      <w:lvlText w:val="•"/>
      <w:lvlJc w:val="left"/>
      <w:pPr>
        <w:tabs>
          <w:tab w:val="num" w:pos="0"/>
        </w:tabs>
        <w:ind w:left="720" w:hanging="360"/>
      </w:pPr>
      <w:rPr>
        <w:rFonts w:ascii="Times New Roman" w:hAnsi="Times New Roman" w:cs="Times New Roman"/>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7" w15:restartNumberingAfterBreak="0">
    <w:nsid w:val="00000008"/>
    <w:multiLevelType w:val="multilevel"/>
    <w:tmpl w:val="00000008"/>
    <w:name w:val="WWNum8"/>
    <w:lvl w:ilvl="0">
      <w:start w:val="1"/>
      <w:numFmt w:val="bullet"/>
      <w:lvlText w:val="•"/>
      <w:lvlJc w:val="left"/>
      <w:pPr>
        <w:tabs>
          <w:tab w:val="num" w:pos="0"/>
        </w:tabs>
        <w:ind w:left="720" w:hanging="360"/>
      </w:pPr>
      <w:rPr>
        <w:rFonts w:ascii="Times New Roman" w:hAnsi="Times New Roman" w:cs="Times New Roman"/>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8" w15:restartNumberingAfterBreak="0">
    <w:nsid w:val="00000009"/>
    <w:multiLevelType w:val="multilevel"/>
    <w:tmpl w:val="00000009"/>
    <w:name w:val="WWNum9"/>
    <w:lvl w:ilvl="0">
      <w:start w:val="1"/>
      <w:numFmt w:val="bullet"/>
      <w:lvlText w:val="•"/>
      <w:lvlJc w:val="left"/>
      <w:pPr>
        <w:tabs>
          <w:tab w:val="num" w:pos="0"/>
        </w:tabs>
        <w:ind w:left="720" w:hanging="360"/>
      </w:pPr>
      <w:rPr>
        <w:rFonts w:ascii="Times New Roman" w:hAnsi="Times New Roman" w:cs="Times New Roman"/>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9" w15:restartNumberingAfterBreak="0">
    <w:nsid w:val="0000000A"/>
    <w:multiLevelType w:val="multilevel"/>
    <w:tmpl w:val="0000000A"/>
    <w:name w:val="WWNum10"/>
    <w:lvl w:ilvl="0">
      <w:start w:val="1"/>
      <w:numFmt w:val="bullet"/>
      <w:lvlText w:val="•"/>
      <w:lvlJc w:val="left"/>
      <w:pPr>
        <w:tabs>
          <w:tab w:val="num" w:pos="0"/>
        </w:tabs>
        <w:ind w:left="720" w:hanging="360"/>
      </w:pPr>
      <w:rPr>
        <w:rFonts w:ascii="Times New Roman" w:hAnsi="Times New Roman" w:cs="Times New Roman"/>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0" w15:restartNumberingAfterBreak="0">
    <w:nsid w:val="0000000B"/>
    <w:multiLevelType w:val="multilevel"/>
    <w:tmpl w:val="0000000B"/>
    <w:name w:val="WWNum11"/>
    <w:lvl w:ilvl="0">
      <w:start w:val="1"/>
      <w:numFmt w:val="bullet"/>
      <w:lvlText w:val="-"/>
      <w:lvlJc w:val="left"/>
      <w:pPr>
        <w:tabs>
          <w:tab w:val="num" w:pos="0"/>
        </w:tabs>
        <w:ind w:left="720" w:hanging="360"/>
      </w:pPr>
      <w:rPr>
        <w:rFonts w:ascii="OpenSymbol" w:hAnsi="Open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1" w15:restartNumberingAfterBreak="0">
    <w:nsid w:val="0000000C"/>
    <w:multiLevelType w:val="multilevel"/>
    <w:tmpl w:val="0000000C"/>
    <w:name w:val="WWNum12"/>
    <w:lvl w:ilvl="0">
      <w:start w:val="1"/>
      <w:numFmt w:val="bullet"/>
      <w:lvlText w:val="-"/>
      <w:lvlJc w:val="left"/>
      <w:pPr>
        <w:tabs>
          <w:tab w:val="num" w:pos="0"/>
        </w:tabs>
        <w:ind w:left="720" w:hanging="360"/>
      </w:pPr>
      <w:rPr>
        <w:rFonts w:ascii="OpenSymbol" w:hAnsi="Open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2" w15:restartNumberingAfterBreak="0">
    <w:nsid w:val="0000000D"/>
    <w:multiLevelType w:val="multilevel"/>
    <w:tmpl w:val="0000000D"/>
    <w:name w:val="WWNum13"/>
    <w:lvl w:ilvl="0">
      <w:start w:val="20"/>
      <w:numFmt w:val="bullet"/>
      <w:lvlText w:val="-"/>
      <w:lvlJc w:val="left"/>
      <w:pPr>
        <w:tabs>
          <w:tab w:val="num" w:pos="0"/>
        </w:tabs>
        <w:ind w:left="359" w:hanging="360"/>
      </w:pPr>
      <w:rPr>
        <w:rFonts w:ascii="Arial" w:hAnsi="Arial" w:cs="Arial"/>
      </w:rPr>
    </w:lvl>
    <w:lvl w:ilvl="1">
      <w:start w:val="1"/>
      <w:numFmt w:val="bullet"/>
      <w:lvlText w:val="o"/>
      <w:lvlJc w:val="left"/>
      <w:pPr>
        <w:tabs>
          <w:tab w:val="num" w:pos="0"/>
        </w:tabs>
        <w:ind w:left="1079" w:hanging="360"/>
      </w:pPr>
      <w:rPr>
        <w:rFonts w:ascii="Courier New" w:hAnsi="Courier New" w:cs="Courier New"/>
      </w:rPr>
    </w:lvl>
    <w:lvl w:ilvl="2">
      <w:start w:val="1"/>
      <w:numFmt w:val="bullet"/>
      <w:lvlText w:val=""/>
      <w:lvlJc w:val="left"/>
      <w:pPr>
        <w:tabs>
          <w:tab w:val="num" w:pos="0"/>
        </w:tabs>
        <w:ind w:left="1799" w:hanging="360"/>
      </w:pPr>
      <w:rPr>
        <w:rFonts w:ascii="Wingdings" w:hAnsi="Wingdings"/>
      </w:rPr>
    </w:lvl>
    <w:lvl w:ilvl="3">
      <w:start w:val="1"/>
      <w:numFmt w:val="bullet"/>
      <w:lvlText w:val=""/>
      <w:lvlJc w:val="left"/>
      <w:pPr>
        <w:tabs>
          <w:tab w:val="num" w:pos="0"/>
        </w:tabs>
        <w:ind w:left="2519" w:hanging="360"/>
      </w:pPr>
      <w:rPr>
        <w:rFonts w:ascii="Symbol" w:hAnsi="Symbol"/>
      </w:rPr>
    </w:lvl>
    <w:lvl w:ilvl="4">
      <w:start w:val="1"/>
      <w:numFmt w:val="bullet"/>
      <w:lvlText w:val="o"/>
      <w:lvlJc w:val="left"/>
      <w:pPr>
        <w:tabs>
          <w:tab w:val="num" w:pos="0"/>
        </w:tabs>
        <w:ind w:left="3239" w:hanging="360"/>
      </w:pPr>
      <w:rPr>
        <w:rFonts w:ascii="Courier New" w:hAnsi="Courier New" w:cs="Courier New"/>
      </w:rPr>
    </w:lvl>
    <w:lvl w:ilvl="5">
      <w:start w:val="1"/>
      <w:numFmt w:val="bullet"/>
      <w:lvlText w:val=""/>
      <w:lvlJc w:val="left"/>
      <w:pPr>
        <w:tabs>
          <w:tab w:val="num" w:pos="0"/>
        </w:tabs>
        <w:ind w:left="3959" w:hanging="360"/>
      </w:pPr>
      <w:rPr>
        <w:rFonts w:ascii="Wingdings" w:hAnsi="Wingdings"/>
      </w:rPr>
    </w:lvl>
    <w:lvl w:ilvl="6">
      <w:start w:val="1"/>
      <w:numFmt w:val="bullet"/>
      <w:lvlText w:val=""/>
      <w:lvlJc w:val="left"/>
      <w:pPr>
        <w:tabs>
          <w:tab w:val="num" w:pos="0"/>
        </w:tabs>
        <w:ind w:left="4679" w:hanging="360"/>
      </w:pPr>
      <w:rPr>
        <w:rFonts w:ascii="Symbol" w:hAnsi="Symbol"/>
      </w:rPr>
    </w:lvl>
    <w:lvl w:ilvl="7">
      <w:start w:val="1"/>
      <w:numFmt w:val="bullet"/>
      <w:lvlText w:val="o"/>
      <w:lvlJc w:val="left"/>
      <w:pPr>
        <w:tabs>
          <w:tab w:val="num" w:pos="0"/>
        </w:tabs>
        <w:ind w:left="5399" w:hanging="360"/>
      </w:pPr>
      <w:rPr>
        <w:rFonts w:ascii="Courier New" w:hAnsi="Courier New" w:cs="Courier New"/>
      </w:rPr>
    </w:lvl>
    <w:lvl w:ilvl="8">
      <w:start w:val="1"/>
      <w:numFmt w:val="bullet"/>
      <w:lvlText w:val=""/>
      <w:lvlJc w:val="left"/>
      <w:pPr>
        <w:tabs>
          <w:tab w:val="num" w:pos="0"/>
        </w:tabs>
        <w:ind w:left="6119" w:hanging="360"/>
      </w:pPr>
      <w:rPr>
        <w:rFonts w:ascii="Wingdings" w:hAnsi="Wingdings"/>
      </w:rPr>
    </w:lvl>
  </w:abstractNum>
  <w:abstractNum w:abstractNumId="13" w15:restartNumberingAfterBreak="0">
    <w:nsid w:val="0000000E"/>
    <w:multiLevelType w:val="multilevel"/>
    <w:tmpl w:val="0000000E"/>
    <w:name w:val="WWNum14"/>
    <w:lvl w:ilvl="0">
      <w:start w:val="20"/>
      <w:numFmt w:val="bullet"/>
      <w:lvlText w:val="-"/>
      <w:lvlJc w:val="left"/>
      <w:pPr>
        <w:tabs>
          <w:tab w:val="num" w:pos="0"/>
        </w:tabs>
        <w:ind w:left="359" w:hanging="360"/>
      </w:pPr>
      <w:rPr>
        <w:rFonts w:ascii="Arial" w:hAnsi="Arial" w:cs="Aria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4" w15:restartNumberingAfterBreak="0">
    <w:nsid w:val="0000000F"/>
    <w:multiLevelType w:val="multilevel"/>
    <w:tmpl w:val="0000000F"/>
    <w:name w:val="WWNum15"/>
    <w:lvl w:ilvl="0">
      <w:start w:val="20"/>
      <w:numFmt w:val="bullet"/>
      <w:lvlText w:val="-"/>
      <w:lvlJc w:val="left"/>
      <w:pPr>
        <w:tabs>
          <w:tab w:val="num" w:pos="0"/>
        </w:tabs>
        <w:ind w:left="720" w:hanging="360"/>
      </w:pPr>
      <w:rPr>
        <w:rFonts w:ascii="Arial" w:hAnsi="Arial" w:cs="Aria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5" w15:restartNumberingAfterBreak="0">
    <w:nsid w:val="00000010"/>
    <w:multiLevelType w:val="multilevel"/>
    <w:tmpl w:val="00000010"/>
    <w:name w:val="WWNum17"/>
    <w:lvl w:ilvl="0">
      <w:start w:val="20"/>
      <w:numFmt w:val="bullet"/>
      <w:lvlText w:val="-"/>
      <w:lvlJc w:val="left"/>
      <w:pPr>
        <w:tabs>
          <w:tab w:val="num" w:pos="0"/>
        </w:tabs>
        <w:ind w:left="720" w:hanging="360"/>
      </w:pPr>
      <w:rPr>
        <w:rFonts w:ascii="Arial" w:hAnsi="Arial" w:cs="Aria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6" w15:restartNumberingAfterBreak="0">
    <w:nsid w:val="00000011"/>
    <w:multiLevelType w:val="multilevel"/>
    <w:tmpl w:val="00000011"/>
    <w:name w:val="WWNum18"/>
    <w:lvl w:ilvl="0">
      <w:start w:val="20"/>
      <w:numFmt w:val="bullet"/>
      <w:lvlText w:val="-"/>
      <w:lvlJc w:val="left"/>
      <w:pPr>
        <w:tabs>
          <w:tab w:val="num" w:pos="0"/>
        </w:tabs>
        <w:ind w:left="720" w:hanging="360"/>
      </w:pPr>
      <w:rPr>
        <w:rFonts w:ascii="Arial" w:hAnsi="Arial" w:cs="Aria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7" w15:restartNumberingAfterBreak="0">
    <w:nsid w:val="036A1B29"/>
    <w:multiLevelType w:val="multilevel"/>
    <w:tmpl w:val="35DE1350"/>
    <w:lvl w:ilvl="0">
      <w:start w:val="30"/>
      <w:numFmt w:val="bullet"/>
      <w:lvlText w:val="-"/>
      <w:lvlJc w:val="left"/>
      <w:pPr>
        <w:tabs>
          <w:tab w:val="num" w:pos="0"/>
        </w:tabs>
        <w:ind w:left="719" w:hanging="360"/>
      </w:pPr>
      <w:rPr>
        <w:rFonts w:ascii="Arial" w:eastAsia="Times New Roman" w:hAnsi="Arial" w:cs="Arial" w:hint="default"/>
      </w:rPr>
    </w:lvl>
    <w:lvl w:ilvl="1">
      <w:start w:val="1"/>
      <w:numFmt w:val="bullet"/>
      <w:lvlText w:val="o"/>
      <w:lvlJc w:val="left"/>
      <w:pPr>
        <w:tabs>
          <w:tab w:val="num" w:pos="0"/>
        </w:tabs>
        <w:ind w:left="1439" w:hanging="360"/>
      </w:pPr>
      <w:rPr>
        <w:rFonts w:ascii="Courier New" w:hAnsi="Courier New" w:cs="Courier New"/>
      </w:rPr>
    </w:lvl>
    <w:lvl w:ilvl="2">
      <w:start w:val="1"/>
      <w:numFmt w:val="bullet"/>
      <w:lvlText w:val=""/>
      <w:lvlJc w:val="left"/>
      <w:pPr>
        <w:tabs>
          <w:tab w:val="num" w:pos="0"/>
        </w:tabs>
        <w:ind w:left="2159" w:hanging="360"/>
      </w:pPr>
      <w:rPr>
        <w:rFonts w:ascii="Wingdings" w:hAnsi="Wingdings"/>
      </w:rPr>
    </w:lvl>
    <w:lvl w:ilvl="3">
      <w:start w:val="1"/>
      <w:numFmt w:val="bullet"/>
      <w:lvlText w:val=""/>
      <w:lvlJc w:val="left"/>
      <w:pPr>
        <w:tabs>
          <w:tab w:val="num" w:pos="0"/>
        </w:tabs>
        <w:ind w:left="2879" w:hanging="360"/>
      </w:pPr>
      <w:rPr>
        <w:rFonts w:ascii="Symbol" w:hAnsi="Symbol"/>
      </w:rPr>
    </w:lvl>
    <w:lvl w:ilvl="4">
      <w:start w:val="1"/>
      <w:numFmt w:val="bullet"/>
      <w:lvlText w:val="o"/>
      <w:lvlJc w:val="left"/>
      <w:pPr>
        <w:tabs>
          <w:tab w:val="num" w:pos="0"/>
        </w:tabs>
        <w:ind w:left="3599" w:hanging="360"/>
      </w:pPr>
      <w:rPr>
        <w:rFonts w:ascii="Courier New" w:hAnsi="Courier New" w:cs="Courier New"/>
      </w:rPr>
    </w:lvl>
    <w:lvl w:ilvl="5">
      <w:start w:val="1"/>
      <w:numFmt w:val="bullet"/>
      <w:lvlText w:val=""/>
      <w:lvlJc w:val="left"/>
      <w:pPr>
        <w:tabs>
          <w:tab w:val="num" w:pos="0"/>
        </w:tabs>
        <w:ind w:left="4319" w:hanging="360"/>
      </w:pPr>
      <w:rPr>
        <w:rFonts w:ascii="Wingdings" w:hAnsi="Wingdings"/>
      </w:rPr>
    </w:lvl>
    <w:lvl w:ilvl="6">
      <w:start w:val="1"/>
      <w:numFmt w:val="bullet"/>
      <w:lvlText w:val=""/>
      <w:lvlJc w:val="left"/>
      <w:pPr>
        <w:tabs>
          <w:tab w:val="num" w:pos="0"/>
        </w:tabs>
        <w:ind w:left="5039" w:hanging="360"/>
      </w:pPr>
      <w:rPr>
        <w:rFonts w:ascii="Symbol" w:hAnsi="Symbol"/>
      </w:rPr>
    </w:lvl>
    <w:lvl w:ilvl="7">
      <w:start w:val="1"/>
      <w:numFmt w:val="bullet"/>
      <w:lvlText w:val="o"/>
      <w:lvlJc w:val="left"/>
      <w:pPr>
        <w:tabs>
          <w:tab w:val="num" w:pos="0"/>
        </w:tabs>
        <w:ind w:left="5759" w:hanging="360"/>
      </w:pPr>
      <w:rPr>
        <w:rFonts w:ascii="Courier New" w:hAnsi="Courier New" w:cs="Courier New"/>
      </w:rPr>
    </w:lvl>
    <w:lvl w:ilvl="8">
      <w:start w:val="1"/>
      <w:numFmt w:val="bullet"/>
      <w:lvlText w:val=""/>
      <w:lvlJc w:val="left"/>
      <w:pPr>
        <w:tabs>
          <w:tab w:val="num" w:pos="0"/>
        </w:tabs>
        <w:ind w:left="6479" w:hanging="360"/>
      </w:pPr>
      <w:rPr>
        <w:rFonts w:ascii="Wingdings" w:hAnsi="Wingdings"/>
      </w:rPr>
    </w:lvl>
  </w:abstractNum>
  <w:abstractNum w:abstractNumId="18" w15:restartNumberingAfterBreak="0">
    <w:nsid w:val="03EA60DD"/>
    <w:multiLevelType w:val="hybridMultilevel"/>
    <w:tmpl w:val="88EC44F8"/>
    <w:lvl w:ilvl="0" w:tplc="B106B386">
      <w:start w:val="30"/>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04542D42"/>
    <w:multiLevelType w:val="hybridMultilevel"/>
    <w:tmpl w:val="3070953A"/>
    <w:lvl w:ilvl="0" w:tplc="42261662">
      <w:start w:val="1"/>
      <w:numFmt w:val="decimal"/>
      <w:lvlText w:val="%1"/>
      <w:lvlJc w:val="left"/>
      <w:pPr>
        <w:ind w:left="6636" w:hanging="5208"/>
      </w:pPr>
      <w:rPr>
        <w:rFonts w:hint="default"/>
        <w:w w:val="100"/>
        <w:sz w:val="11"/>
      </w:rPr>
    </w:lvl>
    <w:lvl w:ilvl="1" w:tplc="04240019" w:tentative="1">
      <w:start w:val="1"/>
      <w:numFmt w:val="lowerLetter"/>
      <w:lvlText w:val="%2."/>
      <w:lvlJc w:val="left"/>
      <w:pPr>
        <w:ind w:left="2508" w:hanging="360"/>
      </w:pPr>
    </w:lvl>
    <w:lvl w:ilvl="2" w:tplc="0424001B" w:tentative="1">
      <w:start w:val="1"/>
      <w:numFmt w:val="lowerRoman"/>
      <w:lvlText w:val="%3."/>
      <w:lvlJc w:val="right"/>
      <w:pPr>
        <w:ind w:left="3228" w:hanging="180"/>
      </w:pPr>
    </w:lvl>
    <w:lvl w:ilvl="3" w:tplc="0424000F" w:tentative="1">
      <w:start w:val="1"/>
      <w:numFmt w:val="decimal"/>
      <w:lvlText w:val="%4."/>
      <w:lvlJc w:val="left"/>
      <w:pPr>
        <w:ind w:left="3948" w:hanging="360"/>
      </w:pPr>
    </w:lvl>
    <w:lvl w:ilvl="4" w:tplc="04240019" w:tentative="1">
      <w:start w:val="1"/>
      <w:numFmt w:val="lowerLetter"/>
      <w:lvlText w:val="%5."/>
      <w:lvlJc w:val="left"/>
      <w:pPr>
        <w:ind w:left="4668" w:hanging="360"/>
      </w:pPr>
    </w:lvl>
    <w:lvl w:ilvl="5" w:tplc="0424001B" w:tentative="1">
      <w:start w:val="1"/>
      <w:numFmt w:val="lowerRoman"/>
      <w:lvlText w:val="%6."/>
      <w:lvlJc w:val="right"/>
      <w:pPr>
        <w:ind w:left="5388" w:hanging="180"/>
      </w:pPr>
    </w:lvl>
    <w:lvl w:ilvl="6" w:tplc="0424000F" w:tentative="1">
      <w:start w:val="1"/>
      <w:numFmt w:val="decimal"/>
      <w:lvlText w:val="%7."/>
      <w:lvlJc w:val="left"/>
      <w:pPr>
        <w:ind w:left="6108" w:hanging="360"/>
      </w:pPr>
    </w:lvl>
    <w:lvl w:ilvl="7" w:tplc="04240019" w:tentative="1">
      <w:start w:val="1"/>
      <w:numFmt w:val="lowerLetter"/>
      <w:lvlText w:val="%8."/>
      <w:lvlJc w:val="left"/>
      <w:pPr>
        <w:ind w:left="6828" w:hanging="360"/>
      </w:pPr>
    </w:lvl>
    <w:lvl w:ilvl="8" w:tplc="0424001B" w:tentative="1">
      <w:start w:val="1"/>
      <w:numFmt w:val="lowerRoman"/>
      <w:lvlText w:val="%9."/>
      <w:lvlJc w:val="right"/>
      <w:pPr>
        <w:ind w:left="7548" w:hanging="180"/>
      </w:pPr>
    </w:lvl>
  </w:abstractNum>
  <w:abstractNum w:abstractNumId="20"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0ABE56CB"/>
    <w:multiLevelType w:val="hybridMultilevel"/>
    <w:tmpl w:val="00F4E2D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0BE6291F"/>
    <w:multiLevelType w:val="hybridMultilevel"/>
    <w:tmpl w:val="AD984AE6"/>
    <w:lvl w:ilvl="0" w:tplc="B106B386">
      <w:start w:val="30"/>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1D9D3C41"/>
    <w:multiLevelType w:val="hybridMultilevel"/>
    <w:tmpl w:val="90BAA48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1F386C23"/>
    <w:multiLevelType w:val="hybridMultilevel"/>
    <w:tmpl w:val="B046FB0A"/>
    <w:lvl w:ilvl="0" w:tplc="4EDEEBBC">
      <w:numFmt w:val="bullet"/>
      <w:lvlText w:val="-"/>
      <w:lvlJc w:val="left"/>
      <w:pPr>
        <w:ind w:left="806" w:hanging="568"/>
      </w:pPr>
      <w:rPr>
        <w:rFonts w:ascii="Times New Roman" w:eastAsia="Times New Roman" w:hAnsi="Times New Roman" w:cs="Times New Roman" w:hint="default"/>
        <w:w w:val="99"/>
        <w:sz w:val="22"/>
        <w:szCs w:val="22"/>
        <w:lang w:val="en-US" w:eastAsia="en-US" w:bidi="ar-SA"/>
      </w:rPr>
    </w:lvl>
    <w:lvl w:ilvl="1" w:tplc="0CF6AEC4">
      <w:numFmt w:val="bullet"/>
      <w:lvlText w:val="•"/>
      <w:lvlJc w:val="left"/>
      <w:pPr>
        <w:ind w:left="1748" w:hanging="568"/>
      </w:pPr>
      <w:rPr>
        <w:rFonts w:hint="default"/>
        <w:lang w:val="en-US" w:eastAsia="en-US" w:bidi="ar-SA"/>
      </w:rPr>
    </w:lvl>
    <w:lvl w:ilvl="2" w:tplc="3D7076E6">
      <w:numFmt w:val="bullet"/>
      <w:lvlText w:val="•"/>
      <w:lvlJc w:val="left"/>
      <w:pPr>
        <w:ind w:left="2697" w:hanging="568"/>
      </w:pPr>
      <w:rPr>
        <w:rFonts w:hint="default"/>
        <w:lang w:val="en-US" w:eastAsia="en-US" w:bidi="ar-SA"/>
      </w:rPr>
    </w:lvl>
    <w:lvl w:ilvl="3" w:tplc="F67C9E9A">
      <w:numFmt w:val="bullet"/>
      <w:lvlText w:val="•"/>
      <w:lvlJc w:val="left"/>
      <w:pPr>
        <w:ind w:left="3646" w:hanging="568"/>
      </w:pPr>
      <w:rPr>
        <w:rFonts w:hint="default"/>
        <w:lang w:val="en-US" w:eastAsia="en-US" w:bidi="ar-SA"/>
      </w:rPr>
    </w:lvl>
    <w:lvl w:ilvl="4" w:tplc="0356605C">
      <w:numFmt w:val="bullet"/>
      <w:lvlText w:val="•"/>
      <w:lvlJc w:val="left"/>
      <w:pPr>
        <w:ind w:left="4595" w:hanging="568"/>
      </w:pPr>
      <w:rPr>
        <w:rFonts w:hint="default"/>
        <w:lang w:val="en-US" w:eastAsia="en-US" w:bidi="ar-SA"/>
      </w:rPr>
    </w:lvl>
    <w:lvl w:ilvl="5" w:tplc="14F6A970">
      <w:numFmt w:val="bullet"/>
      <w:lvlText w:val="•"/>
      <w:lvlJc w:val="left"/>
      <w:pPr>
        <w:ind w:left="5543" w:hanging="568"/>
      </w:pPr>
      <w:rPr>
        <w:rFonts w:hint="default"/>
        <w:lang w:val="en-US" w:eastAsia="en-US" w:bidi="ar-SA"/>
      </w:rPr>
    </w:lvl>
    <w:lvl w:ilvl="6" w:tplc="A1386AEA">
      <w:numFmt w:val="bullet"/>
      <w:lvlText w:val="•"/>
      <w:lvlJc w:val="left"/>
      <w:pPr>
        <w:ind w:left="6492" w:hanging="568"/>
      </w:pPr>
      <w:rPr>
        <w:rFonts w:hint="default"/>
        <w:lang w:val="en-US" w:eastAsia="en-US" w:bidi="ar-SA"/>
      </w:rPr>
    </w:lvl>
    <w:lvl w:ilvl="7" w:tplc="0B029C68">
      <w:numFmt w:val="bullet"/>
      <w:lvlText w:val="•"/>
      <w:lvlJc w:val="left"/>
      <w:pPr>
        <w:ind w:left="7441" w:hanging="568"/>
      </w:pPr>
      <w:rPr>
        <w:rFonts w:hint="default"/>
        <w:lang w:val="en-US" w:eastAsia="en-US" w:bidi="ar-SA"/>
      </w:rPr>
    </w:lvl>
    <w:lvl w:ilvl="8" w:tplc="A76686D0">
      <w:numFmt w:val="bullet"/>
      <w:lvlText w:val="•"/>
      <w:lvlJc w:val="left"/>
      <w:pPr>
        <w:ind w:left="8390" w:hanging="568"/>
      </w:pPr>
      <w:rPr>
        <w:rFonts w:hint="default"/>
        <w:lang w:val="en-US" w:eastAsia="en-US" w:bidi="ar-SA"/>
      </w:rPr>
    </w:lvl>
  </w:abstractNum>
  <w:abstractNum w:abstractNumId="25" w15:restartNumberingAfterBreak="0">
    <w:nsid w:val="1F3A2498"/>
    <w:multiLevelType w:val="hybridMultilevel"/>
    <w:tmpl w:val="3AECD048"/>
    <w:lvl w:ilvl="0" w:tplc="B106B386">
      <w:start w:val="30"/>
      <w:numFmt w:val="bullet"/>
      <w:lvlText w:val="-"/>
      <w:lvlJc w:val="left"/>
      <w:pPr>
        <w:ind w:left="360" w:hanging="360"/>
      </w:pPr>
      <w:rPr>
        <w:rFonts w:ascii="Arial" w:eastAsia="Times New Roman" w:hAnsi="Arial" w:cs="Aria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6" w15:restartNumberingAfterBreak="0">
    <w:nsid w:val="202275B3"/>
    <w:multiLevelType w:val="hybridMultilevel"/>
    <w:tmpl w:val="4664B5D8"/>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25590C34"/>
    <w:multiLevelType w:val="multilevel"/>
    <w:tmpl w:val="97F04D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8" w15:restartNumberingAfterBreak="0">
    <w:nsid w:val="2AC32353"/>
    <w:multiLevelType w:val="hybridMultilevel"/>
    <w:tmpl w:val="75A4AEF2"/>
    <w:lvl w:ilvl="0" w:tplc="B106B386">
      <w:start w:val="30"/>
      <w:numFmt w:val="bullet"/>
      <w:lvlText w:val="-"/>
      <w:lvlJc w:val="left"/>
      <w:pPr>
        <w:ind w:left="360" w:hanging="360"/>
      </w:pPr>
      <w:rPr>
        <w:rFonts w:ascii="Arial" w:eastAsia="Times New Roman" w:hAnsi="Arial" w:cs="Aria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9" w15:restartNumberingAfterBreak="0">
    <w:nsid w:val="2BD8337D"/>
    <w:multiLevelType w:val="hybridMultilevel"/>
    <w:tmpl w:val="4AAE6692"/>
    <w:lvl w:ilvl="0" w:tplc="04240001">
      <w:start w:val="1"/>
      <w:numFmt w:val="bullet"/>
      <w:lvlText w:val=""/>
      <w:lvlJc w:val="left"/>
      <w:pPr>
        <w:ind w:left="360" w:hanging="360"/>
      </w:pPr>
      <w:rPr>
        <w:rFonts w:ascii="Symbol" w:hAnsi="Symbo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0" w15:restartNumberingAfterBreak="0">
    <w:nsid w:val="2CE21B35"/>
    <w:multiLevelType w:val="multilevel"/>
    <w:tmpl w:val="11600CE8"/>
    <w:lvl w:ilvl="0">
      <w:start w:val="30"/>
      <w:numFmt w:val="bullet"/>
      <w:lvlText w:val="-"/>
      <w:lvlJc w:val="left"/>
      <w:pPr>
        <w:tabs>
          <w:tab w:val="num" w:pos="0"/>
        </w:tabs>
        <w:ind w:left="719" w:hanging="360"/>
      </w:pPr>
      <w:rPr>
        <w:rFonts w:ascii="Arial" w:eastAsia="Times New Roman" w:hAnsi="Arial" w:cs="Arial" w:hint="default"/>
      </w:rPr>
    </w:lvl>
    <w:lvl w:ilvl="1">
      <w:start w:val="1"/>
      <w:numFmt w:val="bullet"/>
      <w:lvlText w:val="o"/>
      <w:lvlJc w:val="left"/>
      <w:pPr>
        <w:tabs>
          <w:tab w:val="num" w:pos="0"/>
        </w:tabs>
        <w:ind w:left="1439" w:hanging="360"/>
      </w:pPr>
      <w:rPr>
        <w:rFonts w:ascii="Courier New" w:hAnsi="Courier New" w:cs="Courier New"/>
      </w:rPr>
    </w:lvl>
    <w:lvl w:ilvl="2">
      <w:start w:val="1"/>
      <w:numFmt w:val="bullet"/>
      <w:lvlText w:val=""/>
      <w:lvlJc w:val="left"/>
      <w:pPr>
        <w:tabs>
          <w:tab w:val="num" w:pos="0"/>
        </w:tabs>
        <w:ind w:left="2159" w:hanging="360"/>
      </w:pPr>
      <w:rPr>
        <w:rFonts w:ascii="Wingdings" w:hAnsi="Wingdings"/>
      </w:rPr>
    </w:lvl>
    <w:lvl w:ilvl="3">
      <w:start w:val="1"/>
      <w:numFmt w:val="bullet"/>
      <w:lvlText w:val=""/>
      <w:lvlJc w:val="left"/>
      <w:pPr>
        <w:tabs>
          <w:tab w:val="num" w:pos="0"/>
        </w:tabs>
        <w:ind w:left="2879" w:hanging="360"/>
      </w:pPr>
      <w:rPr>
        <w:rFonts w:ascii="Symbol" w:hAnsi="Symbol"/>
      </w:rPr>
    </w:lvl>
    <w:lvl w:ilvl="4">
      <w:start w:val="1"/>
      <w:numFmt w:val="bullet"/>
      <w:lvlText w:val="o"/>
      <w:lvlJc w:val="left"/>
      <w:pPr>
        <w:tabs>
          <w:tab w:val="num" w:pos="0"/>
        </w:tabs>
        <w:ind w:left="3599" w:hanging="360"/>
      </w:pPr>
      <w:rPr>
        <w:rFonts w:ascii="Courier New" w:hAnsi="Courier New" w:cs="Courier New"/>
      </w:rPr>
    </w:lvl>
    <w:lvl w:ilvl="5">
      <w:start w:val="1"/>
      <w:numFmt w:val="bullet"/>
      <w:lvlText w:val=""/>
      <w:lvlJc w:val="left"/>
      <w:pPr>
        <w:tabs>
          <w:tab w:val="num" w:pos="0"/>
        </w:tabs>
        <w:ind w:left="4319" w:hanging="360"/>
      </w:pPr>
      <w:rPr>
        <w:rFonts w:ascii="Wingdings" w:hAnsi="Wingdings"/>
      </w:rPr>
    </w:lvl>
    <w:lvl w:ilvl="6">
      <w:start w:val="1"/>
      <w:numFmt w:val="bullet"/>
      <w:lvlText w:val=""/>
      <w:lvlJc w:val="left"/>
      <w:pPr>
        <w:tabs>
          <w:tab w:val="num" w:pos="0"/>
        </w:tabs>
        <w:ind w:left="5039" w:hanging="360"/>
      </w:pPr>
      <w:rPr>
        <w:rFonts w:ascii="Symbol" w:hAnsi="Symbol"/>
      </w:rPr>
    </w:lvl>
    <w:lvl w:ilvl="7">
      <w:start w:val="1"/>
      <w:numFmt w:val="bullet"/>
      <w:lvlText w:val="o"/>
      <w:lvlJc w:val="left"/>
      <w:pPr>
        <w:tabs>
          <w:tab w:val="num" w:pos="0"/>
        </w:tabs>
        <w:ind w:left="5759" w:hanging="360"/>
      </w:pPr>
      <w:rPr>
        <w:rFonts w:ascii="Courier New" w:hAnsi="Courier New" w:cs="Courier New"/>
      </w:rPr>
    </w:lvl>
    <w:lvl w:ilvl="8">
      <w:start w:val="1"/>
      <w:numFmt w:val="bullet"/>
      <w:lvlText w:val=""/>
      <w:lvlJc w:val="left"/>
      <w:pPr>
        <w:tabs>
          <w:tab w:val="num" w:pos="0"/>
        </w:tabs>
        <w:ind w:left="6479" w:hanging="360"/>
      </w:pPr>
      <w:rPr>
        <w:rFonts w:ascii="Wingdings" w:hAnsi="Wingdings"/>
      </w:rPr>
    </w:lvl>
  </w:abstractNum>
  <w:abstractNum w:abstractNumId="31" w15:restartNumberingAfterBreak="0">
    <w:nsid w:val="2F5C0975"/>
    <w:multiLevelType w:val="multilevel"/>
    <w:tmpl w:val="EAF0A624"/>
    <w:lvl w:ilvl="0">
      <w:start w:val="30"/>
      <w:numFmt w:val="bullet"/>
      <w:lvlText w:val="-"/>
      <w:lvlJc w:val="left"/>
      <w:pPr>
        <w:tabs>
          <w:tab w:val="num" w:pos="0"/>
        </w:tabs>
        <w:ind w:left="719" w:hanging="360"/>
      </w:pPr>
      <w:rPr>
        <w:rFonts w:ascii="Arial" w:eastAsia="Times New Roman" w:hAnsi="Arial" w:cs="Arial" w:hint="default"/>
      </w:rPr>
    </w:lvl>
    <w:lvl w:ilvl="1">
      <w:start w:val="1"/>
      <w:numFmt w:val="bullet"/>
      <w:lvlText w:val="o"/>
      <w:lvlJc w:val="left"/>
      <w:pPr>
        <w:tabs>
          <w:tab w:val="num" w:pos="0"/>
        </w:tabs>
        <w:ind w:left="1439" w:hanging="360"/>
      </w:pPr>
      <w:rPr>
        <w:rFonts w:ascii="Courier New" w:hAnsi="Courier New" w:cs="Courier New"/>
      </w:rPr>
    </w:lvl>
    <w:lvl w:ilvl="2">
      <w:start w:val="1"/>
      <w:numFmt w:val="bullet"/>
      <w:lvlText w:val=""/>
      <w:lvlJc w:val="left"/>
      <w:pPr>
        <w:tabs>
          <w:tab w:val="num" w:pos="0"/>
        </w:tabs>
        <w:ind w:left="2159" w:hanging="360"/>
      </w:pPr>
      <w:rPr>
        <w:rFonts w:ascii="Wingdings" w:hAnsi="Wingdings"/>
      </w:rPr>
    </w:lvl>
    <w:lvl w:ilvl="3">
      <w:start w:val="1"/>
      <w:numFmt w:val="bullet"/>
      <w:lvlText w:val=""/>
      <w:lvlJc w:val="left"/>
      <w:pPr>
        <w:tabs>
          <w:tab w:val="num" w:pos="0"/>
        </w:tabs>
        <w:ind w:left="2879" w:hanging="360"/>
      </w:pPr>
      <w:rPr>
        <w:rFonts w:ascii="Symbol" w:hAnsi="Symbol"/>
      </w:rPr>
    </w:lvl>
    <w:lvl w:ilvl="4">
      <w:start w:val="1"/>
      <w:numFmt w:val="bullet"/>
      <w:lvlText w:val="o"/>
      <w:lvlJc w:val="left"/>
      <w:pPr>
        <w:tabs>
          <w:tab w:val="num" w:pos="0"/>
        </w:tabs>
        <w:ind w:left="3599" w:hanging="360"/>
      </w:pPr>
      <w:rPr>
        <w:rFonts w:ascii="Courier New" w:hAnsi="Courier New" w:cs="Courier New"/>
      </w:rPr>
    </w:lvl>
    <w:lvl w:ilvl="5">
      <w:start w:val="1"/>
      <w:numFmt w:val="bullet"/>
      <w:lvlText w:val=""/>
      <w:lvlJc w:val="left"/>
      <w:pPr>
        <w:tabs>
          <w:tab w:val="num" w:pos="0"/>
        </w:tabs>
        <w:ind w:left="4319" w:hanging="360"/>
      </w:pPr>
      <w:rPr>
        <w:rFonts w:ascii="Wingdings" w:hAnsi="Wingdings"/>
      </w:rPr>
    </w:lvl>
    <w:lvl w:ilvl="6">
      <w:start w:val="1"/>
      <w:numFmt w:val="bullet"/>
      <w:lvlText w:val=""/>
      <w:lvlJc w:val="left"/>
      <w:pPr>
        <w:tabs>
          <w:tab w:val="num" w:pos="0"/>
        </w:tabs>
        <w:ind w:left="5039" w:hanging="360"/>
      </w:pPr>
      <w:rPr>
        <w:rFonts w:ascii="Symbol" w:hAnsi="Symbol"/>
      </w:rPr>
    </w:lvl>
    <w:lvl w:ilvl="7">
      <w:start w:val="1"/>
      <w:numFmt w:val="bullet"/>
      <w:lvlText w:val="o"/>
      <w:lvlJc w:val="left"/>
      <w:pPr>
        <w:tabs>
          <w:tab w:val="num" w:pos="0"/>
        </w:tabs>
        <w:ind w:left="5759" w:hanging="360"/>
      </w:pPr>
      <w:rPr>
        <w:rFonts w:ascii="Courier New" w:hAnsi="Courier New" w:cs="Courier New"/>
      </w:rPr>
    </w:lvl>
    <w:lvl w:ilvl="8">
      <w:start w:val="1"/>
      <w:numFmt w:val="bullet"/>
      <w:lvlText w:val=""/>
      <w:lvlJc w:val="left"/>
      <w:pPr>
        <w:tabs>
          <w:tab w:val="num" w:pos="0"/>
        </w:tabs>
        <w:ind w:left="6479" w:hanging="360"/>
      </w:pPr>
      <w:rPr>
        <w:rFonts w:ascii="Wingdings" w:hAnsi="Wingdings"/>
      </w:rPr>
    </w:lvl>
  </w:abstractNum>
  <w:abstractNum w:abstractNumId="32" w15:restartNumberingAfterBreak="0">
    <w:nsid w:val="331A2BE7"/>
    <w:multiLevelType w:val="hybridMultilevel"/>
    <w:tmpl w:val="DD36F23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335B669C"/>
    <w:multiLevelType w:val="hybridMultilevel"/>
    <w:tmpl w:val="D4100270"/>
    <w:lvl w:ilvl="0" w:tplc="7D64E702">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3645403A"/>
    <w:multiLevelType w:val="multilevel"/>
    <w:tmpl w:val="5680C930"/>
    <w:lvl w:ilvl="0">
      <w:start w:val="1"/>
      <w:numFmt w:val="bullet"/>
      <w:lvlText w:val="-"/>
      <w:lvlJc w:val="left"/>
      <w:pPr>
        <w:tabs>
          <w:tab w:val="num" w:pos="0"/>
        </w:tabs>
        <w:ind w:left="720" w:hanging="360"/>
      </w:pPr>
      <w:rPr>
        <w:rFonts w:hint="default"/>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35" w15:restartNumberingAfterBreak="0">
    <w:nsid w:val="3740514E"/>
    <w:multiLevelType w:val="hybridMultilevel"/>
    <w:tmpl w:val="AA26FC3C"/>
    <w:lvl w:ilvl="0" w:tplc="3D425FC0">
      <w:start w:val="1"/>
      <w:numFmt w:val="bullet"/>
      <w:lvlText w:val="-"/>
      <w:lvlJc w:val="left"/>
      <w:pPr>
        <w:ind w:left="720" w:hanging="360"/>
      </w:pPr>
      <w:rPr>
        <w:rFonts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15:restartNumberingAfterBreak="0">
    <w:nsid w:val="37934A91"/>
    <w:multiLevelType w:val="hybridMultilevel"/>
    <w:tmpl w:val="3462066C"/>
    <w:lvl w:ilvl="0" w:tplc="7D64E702">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3BCB1595"/>
    <w:multiLevelType w:val="hybridMultilevel"/>
    <w:tmpl w:val="35CE9B2C"/>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403207B3"/>
    <w:multiLevelType w:val="hybridMultilevel"/>
    <w:tmpl w:val="FCB42E88"/>
    <w:lvl w:ilvl="0" w:tplc="FFFFFFFF">
      <w:start w:val="1"/>
      <w:numFmt w:val="bullet"/>
      <w:lvlText w:val="-"/>
      <w:lvlJc w:val="left"/>
      <w:pPr>
        <w:ind w:left="1287" w:hanging="360"/>
      </w:pPr>
      <w:rPr>
        <w:rFonts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39" w15:restartNumberingAfterBreak="0">
    <w:nsid w:val="45A20A44"/>
    <w:multiLevelType w:val="multilevel"/>
    <w:tmpl w:val="E9F0310C"/>
    <w:lvl w:ilvl="0">
      <w:start w:val="1"/>
      <w:numFmt w:val="bullet"/>
      <w:lvlText w:val="-"/>
      <w:lvlJc w:val="left"/>
      <w:pPr>
        <w:tabs>
          <w:tab w:val="num" w:pos="0"/>
        </w:tabs>
        <w:ind w:left="720" w:hanging="360"/>
      </w:pPr>
      <w:rPr>
        <w:rFonts w:hint="default"/>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40" w15:restartNumberingAfterBreak="0">
    <w:nsid w:val="4CB61B1A"/>
    <w:multiLevelType w:val="hybridMultilevel"/>
    <w:tmpl w:val="BE345C0A"/>
    <w:lvl w:ilvl="0" w:tplc="B106B386">
      <w:start w:val="30"/>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1" w15:restartNumberingAfterBreak="0">
    <w:nsid w:val="547C71B4"/>
    <w:multiLevelType w:val="hybridMultilevel"/>
    <w:tmpl w:val="A2BC8BC0"/>
    <w:lvl w:ilvl="0" w:tplc="B106B386">
      <w:start w:val="30"/>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2" w15:restartNumberingAfterBreak="0">
    <w:nsid w:val="575A54F9"/>
    <w:multiLevelType w:val="multilevel"/>
    <w:tmpl w:val="51C0B47A"/>
    <w:lvl w:ilvl="0">
      <w:numFmt w:val="bullet"/>
      <w:lvlText w:val="-"/>
      <w:lvlJc w:val="left"/>
      <w:pPr>
        <w:tabs>
          <w:tab w:val="num" w:pos="0"/>
        </w:tabs>
        <w:ind w:left="720" w:hanging="360"/>
      </w:pPr>
      <w:rPr>
        <w:rFonts w:ascii="Times New Roman" w:hAnsi="Times New Roman" w:cs="Times New Roman" w:hint="default"/>
        <w:sz w:val="22"/>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43" w15:restartNumberingAfterBreak="0">
    <w:nsid w:val="5BBC09A3"/>
    <w:multiLevelType w:val="hybridMultilevel"/>
    <w:tmpl w:val="85E2D622"/>
    <w:lvl w:ilvl="0" w:tplc="CEB80614">
      <w:start w:val="16"/>
      <w:numFmt w:val="bullet"/>
      <w:lvlText w:val="-"/>
      <w:lvlJc w:val="left"/>
      <w:pPr>
        <w:ind w:left="360" w:hanging="360"/>
      </w:pPr>
      <w:rPr>
        <w:rFonts w:ascii="Times New Roman" w:eastAsia="Calibri" w:hAnsi="Times New Roman" w:cs="Times New Roman" w:hint="default"/>
      </w:rPr>
    </w:lvl>
    <w:lvl w:ilvl="1" w:tplc="04050003">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44" w15:restartNumberingAfterBreak="0">
    <w:nsid w:val="5D374ECC"/>
    <w:multiLevelType w:val="hybridMultilevel"/>
    <w:tmpl w:val="79263CAC"/>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5" w15:restartNumberingAfterBreak="0">
    <w:nsid w:val="6376AC5C"/>
    <w:multiLevelType w:val="hybridMultilevel"/>
    <w:tmpl w:val="B6E18958"/>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 w15:restartNumberingAfterBreak="0">
    <w:nsid w:val="6B503A98"/>
    <w:multiLevelType w:val="hybridMultilevel"/>
    <w:tmpl w:val="2B8AAC6A"/>
    <w:lvl w:ilvl="0" w:tplc="B106B386">
      <w:start w:val="30"/>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7" w15:restartNumberingAfterBreak="0">
    <w:nsid w:val="6BAA2158"/>
    <w:multiLevelType w:val="hybridMultilevel"/>
    <w:tmpl w:val="EAD484CC"/>
    <w:lvl w:ilvl="0" w:tplc="04270003">
      <w:start w:val="1"/>
      <w:numFmt w:val="bullet"/>
      <w:lvlText w:val="o"/>
      <w:lvlJc w:val="left"/>
      <w:pPr>
        <w:ind w:left="1287" w:hanging="360"/>
      </w:pPr>
      <w:rPr>
        <w:rFonts w:ascii="Courier New" w:hAnsi="Courier New" w:cs="Courier New"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8" w15:restartNumberingAfterBreak="0">
    <w:nsid w:val="6CB77136"/>
    <w:multiLevelType w:val="hybridMultilevel"/>
    <w:tmpl w:val="FF12E06C"/>
    <w:lvl w:ilvl="0" w:tplc="B106B386">
      <w:start w:val="30"/>
      <w:numFmt w:val="bullet"/>
      <w:lvlText w:val="-"/>
      <w:lvlJc w:val="left"/>
      <w:pPr>
        <w:ind w:left="360" w:hanging="360"/>
      </w:pPr>
      <w:rPr>
        <w:rFonts w:ascii="Arial" w:eastAsia="Times New Roman" w:hAnsi="Arial" w:cs="Aria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49"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73096062"/>
    <w:multiLevelType w:val="hybridMultilevel"/>
    <w:tmpl w:val="CA7A42D6"/>
    <w:lvl w:ilvl="0" w:tplc="3D425FC0">
      <w:start w:val="1"/>
      <w:numFmt w:val="bullet"/>
      <w:lvlText w:val="-"/>
      <w:lvlJc w:val="left"/>
      <w:pPr>
        <w:ind w:left="720" w:hanging="360"/>
      </w:pPr>
      <w:rPr>
        <w:rFonts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1" w15:restartNumberingAfterBreak="0">
    <w:nsid w:val="78A7685B"/>
    <w:multiLevelType w:val="hybridMultilevel"/>
    <w:tmpl w:val="67C0A1F8"/>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2" w15:restartNumberingAfterBreak="0">
    <w:nsid w:val="78BE7695"/>
    <w:multiLevelType w:val="hybridMultilevel"/>
    <w:tmpl w:val="05EA562A"/>
    <w:lvl w:ilvl="0" w:tplc="B106B386">
      <w:start w:val="30"/>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3" w15:restartNumberingAfterBreak="0">
    <w:nsid w:val="7D155544"/>
    <w:multiLevelType w:val="hybridMultilevel"/>
    <w:tmpl w:val="B058BF3A"/>
    <w:lvl w:ilvl="0" w:tplc="ACD61038">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10"/>
  </w:num>
  <w:num w:numId="4">
    <w:abstractNumId w:val="11"/>
  </w:num>
  <w:num w:numId="5">
    <w:abstractNumId w:val="22"/>
  </w:num>
  <w:num w:numId="6">
    <w:abstractNumId w:val="18"/>
  </w:num>
  <w:num w:numId="7">
    <w:abstractNumId w:val="37"/>
  </w:num>
  <w:num w:numId="8">
    <w:abstractNumId w:val="42"/>
  </w:num>
  <w:num w:numId="9">
    <w:abstractNumId w:val="33"/>
  </w:num>
  <w:num w:numId="10">
    <w:abstractNumId w:val="43"/>
  </w:num>
  <w:num w:numId="11">
    <w:abstractNumId w:val="38"/>
  </w:num>
  <w:num w:numId="12">
    <w:abstractNumId w:val="19"/>
  </w:num>
  <w:num w:numId="13">
    <w:abstractNumId w:val="34"/>
  </w:num>
  <w:num w:numId="14">
    <w:abstractNumId w:val="21"/>
  </w:num>
  <w:num w:numId="15">
    <w:abstractNumId w:val="31"/>
  </w:num>
  <w:num w:numId="16">
    <w:abstractNumId w:val="17"/>
  </w:num>
  <w:num w:numId="17">
    <w:abstractNumId w:val="26"/>
  </w:num>
  <w:num w:numId="18">
    <w:abstractNumId w:val="46"/>
  </w:num>
  <w:num w:numId="19">
    <w:abstractNumId w:val="30"/>
  </w:num>
  <w:num w:numId="20">
    <w:abstractNumId w:val="41"/>
  </w:num>
  <w:num w:numId="21">
    <w:abstractNumId w:val="39"/>
  </w:num>
  <w:num w:numId="22">
    <w:abstractNumId w:val="51"/>
  </w:num>
  <w:num w:numId="23">
    <w:abstractNumId w:val="20"/>
  </w:num>
  <w:num w:numId="24">
    <w:abstractNumId w:val="49"/>
  </w:num>
  <w:num w:numId="25">
    <w:abstractNumId w:val="32"/>
  </w:num>
  <w:num w:numId="26">
    <w:abstractNumId w:val="23"/>
  </w:num>
  <w:num w:numId="27">
    <w:abstractNumId w:val="47"/>
  </w:num>
  <w:num w:numId="28">
    <w:abstractNumId w:val="52"/>
  </w:num>
  <w:num w:numId="29">
    <w:abstractNumId w:val="36"/>
  </w:num>
  <w:num w:numId="30">
    <w:abstractNumId w:val="53"/>
  </w:num>
  <w:num w:numId="31">
    <w:abstractNumId w:val="24"/>
  </w:num>
  <w:num w:numId="32">
    <w:abstractNumId w:val="27"/>
  </w:num>
  <w:num w:numId="33">
    <w:abstractNumId w:val="40"/>
  </w:num>
  <w:num w:numId="34">
    <w:abstractNumId w:val="48"/>
  </w:num>
  <w:num w:numId="35">
    <w:abstractNumId w:val="29"/>
  </w:num>
  <w:num w:numId="36">
    <w:abstractNumId w:val="50"/>
  </w:num>
  <w:num w:numId="37">
    <w:abstractNumId w:val="25"/>
  </w:num>
  <w:num w:numId="38">
    <w:abstractNumId w:val="28"/>
  </w:num>
  <w:num w:numId="39">
    <w:abstractNumId w:val="44"/>
  </w:num>
  <w:num w:numId="40">
    <w:abstractNumId w:val="35"/>
  </w:num>
  <w:num w:numId="41">
    <w:abstractNumId w:val="45"/>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hideSpellingErrors/>
  <w:hideGrammaticalErrors/>
  <w:activeWritingStyle w:appName="MSWord" w:lang="es-ES" w:vendorID="64" w:dllVersion="6" w:nlCheck="1" w:checkStyle="0"/>
  <w:activeWritingStyle w:appName="MSWord" w:lang="en-GB" w:vendorID="64" w:dllVersion="6" w:nlCheck="1" w:checkStyle="1"/>
  <w:activeWritingStyle w:appName="MSWord" w:lang="it-IT" w:vendorID="64" w:dllVersion="6" w:nlCheck="1" w:checkStyle="0"/>
  <w:activeWritingStyle w:appName="MSWord" w:lang="en-US" w:vendorID="64" w:dllVersion="6" w:nlCheck="1" w:checkStyle="1"/>
  <w:activeWritingStyle w:appName="MSWord" w:lang="es-ES"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es-ES" w:vendorID="64" w:dllVersion="0" w:nlCheck="1" w:checkStyle="0"/>
  <w:activeWritingStyle w:appName="MSWord" w:lang="en-US" w:vendorID="64" w:dllVersion="0" w:nlCheck="1" w:checkStyle="0"/>
  <w:activeWritingStyle w:appName="MSWord" w:lang="en-GB" w:vendorID="64" w:dllVersion="0" w:nlCheck="1" w:checkStyle="0"/>
  <w:activeWritingStyle w:appName="MSWord" w:lang="es-ES" w:vendorID="64" w:dllVersion="131078" w:nlCheck="1" w:checkStyle="0"/>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567"/>
  <w:hyphenationZone w:val="396"/>
  <w:defaultTableStyle w:val="prastasi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586B"/>
    <w:rsid w:val="00000032"/>
    <w:rsid w:val="00000905"/>
    <w:rsid w:val="00006B21"/>
    <w:rsid w:val="00006F31"/>
    <w:rsid w:val="000120F1"/>
    <w:rsid w:val="000147AC"/>
    <w:rsid w:val="000167F4"/>
    <w:rsid w:val="00017FAC"/>
    <w:rsid w:val="00020D49"/>
    <w:rsid w:val="00021BDB"/>
    <w:rsid w:val="00021D74"/>
    <w:rsid w:val="00022158"/>
    <w:rsid w:val="000235A6"/>
    <w:rsid w:val="00025B81"/>
    <w:rsid w:val="00026775"/>
    <w:rsid w:val="00030BE0"/>
    <w:rsid w:val="00030D25"/>
    <w:rsid w:val="00037F3E"/>
    <w:rsid w:val="000417BB"/>
    <w:rsid w:val="00042970"/>
    <w:rsid w:val="00042E19"/>
    <w:rsid w:val="00045240"/>
    <w:rsid w:val="00045562"/>
    <w:rsid w:val="000456E0"/>
    <w:rsid w:val="0005153B"/>
    <w:rsid w:val="000519C3"/>
    <w:rsid w:val="00052C79"/>
    <w:rsid w:val="00056E81"/>
    <w:rsid w:val="00057C56"/>
    <w:rsid w:val="000609D1"/>
    <w:rsid w:val="00060B6D"/>
    <w:rsid w:val="00061A47"/>
    <w:rsid w:val="000623BD"/>
    <w:rsid w:val="00062477"/>
    <w:rsid w:val="00063223"/>
    <w:rsid w:val="0006358E"/>
    <w:rsid w:val="00063F4A"/>
    <w:rsid w:val="000647C9"/>
    <w:rsid w:val="000653B5"/>
    <w:rsid w:val="000656CF"/>
    <w:rsid w:val="0007410F"/>
    <w:rsid w:val="00074597"/>
    <w:rsid w:val="00074681"/>
    <w:rsid w:val="000752EB"/>
    <w:rsid w:val="00077FEE"/>
    <w:rsid w:val="0008093C"/>
    <w:rsid w:val="00080CE4"/>
    <w:rsid w:val="00080E10"/>
    <w:rsid w:val="00081CA5"/>
    <w:rsid w:val="00082DD9"/>
    <w:rsid w:val="00083741"/>
    <w:rsid w:val="000851BB"/>
    <w:rsid w:val="000855DF"/>
    <w:rsid w:val="000877E9"/>
    <w:rsid w:val="000878C3"/>
    <w:rsid w:val="000905A8"/>
    <w:rsid w:val="00090662"/>
    <w:rsid w:val="000908AE"/>
    <w:rsid w:val="00092E06"/>
    <w:rsid w:val="00094BFE"/>
    <w:rsid w:val="00094E26"/>
    <w:rsid w:val="00095C62"/>
    <w:rsid w:val="00096E72"/>
    <w:rsid w:val="000A247A"/>
    <w:rsid w:val="000A2725"/>
    <w:rsid w:val="000A3575"/>
    <w:rsid w:val="000A3CEB"/>
    <w:rsid w:val="000A4DBF"/>
    <w:rsid w:val="000A5658"/>
    <w:rsid w:val="000B199C"/>
    <w:rsid w:val="000B2AA6"/>
    <w:rsid w:val="000B2C67"/>
    <w:rsid w:val="000B424A"/>
    <w:rsid w:val="000B55C7"/>
    <w:rsid w:val="000B7499"/>
    <w:rsid w:val="000C04FB"/>
    <w:rsid w:val="000C0E01"/>
    <w:rsid w:val="000C13C7"/>
    <w:rsid w:val="000C2776"/>
    <w:rsid w:val="000C3409"/>
    <w:rsid w:val="000C4FF2"/>
    <w:rsid w:val="000C7A1D"/>
    <w:rsid w:val="000D2047"/>
    <w:rsid w:val="000D3575"/>
    <w:rsid w:val="000D7104"/>
    <w:rsid w:val="000D7455"/>
    <w:rsid w:val="000D7917"/>
    <w:rsid w:val="000E0975"/>
    <w:rsid w:val="000E1FF7"/>
    <w:rsid w:val="000E6AA4"/>
    <w:rsid w:val="000F0CDD"/>
    <w:rsid w:val="000F30E4"/>
    <w:rsid w:val="000F34E9"/>
    <w:rsid w:val="000F37FC"/>
    <w:rsid w:val="000F4446"/>
    <w:rsid w:val="000F6DBC"/>
    <w:rsid w:val="000F73B0"/>
    <w:rsid w:val="000F7D6E"/>
    <w:rsid w:val="00101468"/>
    <w:rsid w:val="00101911"/>
    <w:rsid w:val="001019A6"/>
    <w:rsid w:val="00103E30"/>
    <w:rsid w:val="0010628E"/>
    <w:rsid w:val="00112072"/>
    <w:rsid w:val="001137A7"/>
    <w:rsid w:val="00114225"/>
    <w:rsid w:val="00114A7D"/>
    <w:rsid w:val="00115372"/>
    <w:rsid w:val="00115F34"/>
    <w:rsid w:val="00116054"/>
    <w:rsid w:val="00117D28"/>
    <w:rsid w:val="00117EE9"/>
    <w:rsid w:val="00120898"/>
    <w:rsid w:val="001208B2"/>
    <w:rsid w:val="001216D5"/>
    <w:rsid w:val="00122E20"/>
    <w:rsid w:val="00123560"/>
    <w:rsid w:val="00124F9C"/>
    <w:rsid w:val="001268D9"/>
    <w:rsid w:val="001270B2"/>
    <w:rsid w:val="0013159E"/>
    <w:rsid w:val="00132B66"/>
    <w:rsid w:val="00140444"/>
    <w:rsid w:val="0014071E"/>
    <w:rsid w:val="001417DF"/>
    <w:rsid w:val="00144589"/>
    <w:rsid w:val="00147745"/>
    <w:rsid w:val="00150ECE"/>
    <w:rsid w:val="00152871"/>
    <w:rsid w:val="001534C7"/>
    <w:rsid w:val="00153FA2"/>
    <w:rsid w:val="00154BD9"/>
    <w:rsid w:val="001565E7"/>
    <w:rsid w:val="00157B21"/>
    <w:rsid w:val="00161A1F"/>
    <w:rsid w:val="00163432"/>
    <w:rsid w:val="001642CD"/>
    <w:rsid w:val="0016516E"/>
    <w:rsid w:val="001667EC"/>
    <w:rsid w:val="00173717"/>
    <w:rsid w:val="00180B22"/>
    <w:rsid w:val="00181F15"/>
    <w:rsid w:val="0018425D"/>
    <w:rsid w:val="001859E7"/>
    <w:rsid w:val="001862E6"/>
    <w:rsid w:val="00190827"/>
    <w:rsid w:val="001A166E"/>
    <w:rsid w:val="001A18CF"/>
    <w:rsid w:val="001A33E8"/>
    <w:rsid w:val="001A50BB"/>
    <w:rsid w:val="001A510B"/>
    <w:rsid w:val="001A5839"/>
    <w:rsid w:val="001B28F5"/>
    <w:rsid w:val="001B2ADA"/>
    <w:rsid w:val="001B4EF0"/>
    <w:rsid w:val="001B68E4"/>
    <w:rsid w:val="001B762D"/>
    <w:rsid w:val="001C3C00"/>
    <w:rsid w:val="001C5574"/>
    <w:rsid w:val="001C55A4"/>
    <w:rsid w:val="001C756C"/>
    <w:rsid w:val="001D1B61"/>
    <w:rsid w:val="001D20F5"/>
    <w:rsid w:val="001D4FBD"/>
    <w:rsid w:val="001D552C"/>
    <w:rsid w:val="001D734C"/>
    <w:rsid w:val="001E0DF0"/>
    <w:rsid w:val="001E3232"/>
    <w:rsid w:val="001E3D06"/>
    <w:rsid w:val="001F1102"/>
    <w:rsid w:val="001F5BA9"/>
    <w:rsid w:val="002010A6"/>
    <w:rsid w:val="00201AA4"/>
    <w:rsid w:val="00202C8B"/>
    <w:rsid w:val="00202E22"/>
    <w:rsid w:val="002054C4"/>
    <w:rsid w:val="00205FBA"/>
    <w:rsid w:val="00210776"/>
    <w:rsid w:val="002134BB"/>
    <w:rsid w:val="002175F5"/>
    <w:rsid w:val="00217FE5"/>
    <w:rsid w:val="002216C8"/>
    <w:rsid w:val="002243B3"/>
    <w:rsid w:val="00224CA2"/>
    <w:rsid w:val="00226228"/>
    <w:rsid w:val="00226D30"/>
    <w:rsid w:val="00226DB6"/>
    <w:rsid w:val="00227FDB"/>
    <w:rsid w:val="00231C5C"/>
    <w:rsid w:val="00232395"/>
    <w:rsid w:val="002361E9"/>
    <w:rsid w:val="00236671"/>
    <w:rsid w:val="00236F28"/>
    <w:rsid w:val="00240A4D"/>
    <w:rsid w:val="00241F66"/>
    <w:rsid w:val="00242AA6"/>
    <w:rsid w:val="00243967"/>
    <w:rsid w:val="00244746"/>
    <w:rsid w:val="00245694"/>
    <w:rsid w:val="002457B2"/>
    <w:rsid w:val="00245966"/>
    <w:rsid w:val="00246054"/>
    <w:rsid w:val="00250C4B"/>
    <w:rsid w:val="00250CB4"/>
    <w:rsid w:val="0025229A"/>
    <w:rsid w:val="002524E7"/>
    <w:rsid w:val="00252976"/>
    <w:rsid w:val="002539FD"/>
    <w:rsid w:val="00254511"/>
    <w:rsid w:val="002546FE"/>
    <w:rsid w:val="00254BA0"/>
    <w:rsid w:val="00256C01"/>
    <w:rsid w:val="002602A3"/>
    <w:rsid w:val="00261D63"/>
    <w:rsid w:val="002622EF"/>
    <w:rsid w:val="00262306"/>
    <w:rsid w:val="00264B27"/>
    <w:rsid w:val="002660B9"/>
    <w:rsid w:val="002673FA"/>
    <w:rsid w:val="00273026"/>
    <w:rsid w:val="002731D7"/>
    <w:rsid w:val="00274C81"/>
    <w:rsid w:val="00275DF5"/>
    <w:rsid w:val="00282187"/>
    <w:rsid w:val="0028273A"/>
    <w:rsid w:val="00282DB8"/>
    <w:rsid w:val="00282FE1"/>
    <w:rsid w:val="002838C3"/>
    <w:rsid w:val="00284250"/>
    <w:rsid w:val="00287725"/>
    <w:rsid w:val="00287B15"/>
    <w:rsid w:val="002908C7"/>
    <w:rsid w:val="00292630"/>
    <w:rsid w:val="00292F33"/>
    <w:rsid w:val="00294F81"/>
    <w:rsid w:val="00296918"/>
    <w:rsid w:val="002A1920"/>
    <w:rsid w:val="002A1BDF"/>
    <w:rsid w:val="002A37AD"/>
    <w:rsid w:val="002B108F"/>
    <w:rsid w:val="002B79ED"/>
    <w:rsid w:val="002C2508"/>
    <w:rsid w:val="002C39CD"/>
    <w:rsid w:val="002C3EC4"/>
    <w:rsid w:val="002C551E"/>
    <w:rsid w:val="002C615E"/>
    <w:rsid w:val="002C6202"/>
    <w:rsid w:val="002C7C00"/>
    <w:rsid w:val="002D22F7"/>
    <w:rsid w:val="002D2863"/>
    <w:rsid w:val="002D37E2"/>
    <w:rsid w:val="002D3D21"/>
    <w:rsid w:val="002D6382"/>
    <w:rsid w:val="002D660F"/>
    <w:rsid w:val="002D7026"/>
    <w:rsid w:val="002E311D"/>
    <w:rsid w:val="002E4EAE"/>
    <w:rsid w:val="002E5741"/>
    <w:rsid w:val="002E5EC5"/>
    <w:rsid w:val="002E5F7A"/>
    <w:rsid w:val="002E6F1E"/>
    <w:rsid w:val="002E7E91"/>
    <w:rsid w:val="002F0C63"/>
    <w:rsid w:val="002F1341"/>
    <w:rsid w:val="002F2736"/>
    <w:rsid w:val="002F2F1E"/>
    <w:rsid w:val="002F59CC"/>
    <w:rsid w:val="002F5B82"/>
    <w:rsid w:val="002F76A9"/>
    <w:rsid w:val="0030076D"/>
    <w:rsid w:val="00301176"/>
    <w:rsid w:val="00301956"/>
    <w:rsid w:val="003021EA"/>
    <w:rsid w:val="00303713"/>
    <w:rsid w:val="003043C4"/>
    <w:rsid w:val="0030533C"/>
    <w:rsid w:val="0030581E"/>
    <w:rsid w:val="0031025A"/>
    <w:rsid w:val="00311961"/>
    <w:rsid w:val="00313A42"/>
    <w:rsid w:val="003141C5"/>
    <w:rsid w:val="00314AFD"/>
    <w:rsid w:val="00316EFF"/>
    <w:rsid w:val="00317070"/>
    <w:rsid w:val="00317FB5"/>
    <w:rsid w:val="0032307A"/>
    <w:rsid w:val="0032358B"/>
    <w:rsid w:val="00325714"/>
    <w:rsid w:val="00327CDB"/>
    <w:rsid w:val="00331309"/>
    <w:rsid w:val="00331365"/>
    <w:rsid w:val="003317A9"/>
    <w:rsid w:val="0033296B"/>
    <w:rsid w:val="003338D5"/>
    <w:rsid w:val="00334A23"/>
    <w:rsid w:val="00341FF6"/>
    <w:rsid w:val="0034534C"/>
    <w:rsid w:val="0034796E"/>
    <w:rsid w:val="00350636"/>
    <w:rsid w:val="0035224F"/>
    <w:rsid w:val="0035539C"/>
    <w:rsid w:val="003558EC"/>
    <w:rsid w:val="0035763F"/>
    <w:rsid w:val="00363358"/>
    <w:rsid w:val="00364179"/>
    <w:rsid w:val="003642A6"/>
    <w:rsid w:val="00364A91"/>
    <w:rsid w:val="00366422"/>
    <w:rsid w:val="00374072"/>
    <w:rsid w:val="00376A9A"/>
    <w:rsid w:val="003773BF"/>
    <w:rsid w:val="00380085"/>
    <w:rsid w:val="00381181"/>
    <w:rsid w:val="003826E2"/>
    <w:rsid w:val="00383877"/>
    <w:rsid w:val="00383FF7"/>
    <w:rsid w:val="00384034"/>
    <w:rsid w:val="0039343B"/>
    <w:rsid w:val="00393DF1"/>
    <w:rsid w:val="00396C84"/>
    <w:rsid w:val="003977AE"/>
    <w:rsid w:val="003977D9"/>
    <w:rsid w:val="003A00C5"/>
    <w:rsid w:val="003A3757"/>
    <w:rsid w:val="003B1323"/>
    <w:rsid w:val="003B23C6"/>
    <w:rsid w:val="003B2921"/>
    <w:rsid w:val="003B2D72"/>
    <w:rsid w:val="003B4641"/>
    <w:rsid w:val="003B55B2"/>
    <w:rsid w:val="003B7BE8"/>
    <w:rsid w:val="003B7D66"/>
    <w:rsid w:val="003C0FE7"/>
    <w:rsid w:val="003C30C7"/>
    <w:rsid w:val="003C5265"/>
    <w:rsid w:val="003C7FD0"/>
    <w:rsid w:val="003D0226"/>
    <w:rsid w:val="003D2CCD"/>
    <w:rsid w:val="003D30A9"/>
    <w:rsid w:val="003D4F1F"/>
    <w:rsid w:val="003E3B5C"/>
    <w:rsid w:val="003E3C44"/>
    <w:rsid w:val="003E3F36"/>
    <w:rsid w:val="003E733E"/>
    <w:rsid w:val="003F3B1C"/>
    <w:rsid w:val="003F47D4"/>
    <w:rsid w:val="004006CD"/>
    <w:rsid w:val="00402263"/>
    <w:rsid w:val="00407EB3"/>
    <w:rsid w:val="0041017E"/>
    <w:rsid w:val="00412630"/>
    <w:rsid w:val="0041283B"/>
    <w:rsid w:val="004155DB"/>
    <w:rsid w:val="00416997"/>
    <w:rsid w:val="00417EB7"/>
    <w:rsid w:val="00421AB9"/>
    <w:rsid w:val="004220C9"/>
    <w:rsid w:val="0042297F"/>
    <w:rsid w:val="00422B14"/>
    <w:rsid w:val="00424B14"/>
    <w:rsid w:val="0043056E"/>
    <w:rsid w:val="00430F6A"/>
    <w:rsid w:val="0043556A"/>
    <w:rsid w:val="00435C13"/>
    <w:rsid w:val="004361C0"/>
    <w:rsid w:val="00436672"/>
    <w:rsid w:val="004367EA"/>
    <w:rsid w:val="004375F4"/>
    <w:rsid w:val="004449F1"/>
    <w:rsid w:val="00450385"/>
    <w:rsid w:val="004509CE"/>
    <w:rsid w:val="00450C06"/>
    <w:rsid w:val="004525D8"/>
    <w:rsid w:val="00452D62"/>
    <w:rsid w:val="00453164"/>
    <w:rsid w:val="0045461B"/>
    <w:rsid w:val="00454C81"/>
    <w:rsid w:val="00455935"/>
    <w:rsid w:val="00457CE1"/>
    <w:rsid w:val="0046154C"/>
    <w:rsid w:val="0046155F"/>
    <w:rsid w:val="00463978"/>
    <w:rsid w:val="00465D58"/>
    <w:rsid w:val="00470D17"/>
    <w:rsid w:val="00470DBD"/>
    <w:rsid w:val="00472D7E"/>
    <w:rsid w:val="004735F0"/>
    <w:rsid w:val="00475727"/>
    <w:rsid w:val="00475C46"/>
    <w:rsid w:val="004804C2"/>
    <w:rsid w:val="0048109B"/>
    <w:rsid w:val="004810E2"/>
    <w:rsid w:val="00487039"/>
    <w:rsid w:val="00496DF7"/>
    <w:rsid w:val="004A167A"/>
    <w:rsid w:val="004A2165"/>
    <w:rsid w:val="004A75CC"/>
    <w:rsid w:val="004B1B32"/>
    <w:rsid w:val="004B2064"/>
    <w:rsid w:val="004B4E43"/>
    <w:rsid w:val="004B4E9D"/>
    <w:rsid w:val="004C15D5"/>
    <w:rsid w:val="004C2106"/>
    <w:rsid w:val="004C388E"/>
    <w:rsid w:val="004C74A5"/>
    <w:rsid w:val="004D20E3"/>
    <w:rsid w:val="004D25C7"/>
    <w:rsid w:val="004D277E"/>
    <w:rsid w:val="004D3C0C"/>
    <w:rsid w:val="004D4786"/>
    <w:rsid w:val="004D5A6D"/>
    <w:rsid w:val="004D66B8"/>
    <w:rsid w:val="004E2E36"/>
    <w:rsid w:val="004E5188"/>
    <w:rsid w:val="004E5DEB"/>
    <w:rsid w:val="004F1B66"/>
    <w:rsid w:val="004F3E10"/>
    <w:rsid w:val="004F4089"/>
    <w:rsid w:val="004F64D3"/>
    <w:rsid w:val="004F6852"/>
    <w:rsid w:val="00500E84"/>
    <w:rsid w:val="00501944"/>
    <w:rsid w:val="00502FD4"/>
    <w:rsid w:val="00510529"/>
    <w:rsid w:val="0051074D"/>
    <w:rsid w:val="00511F2E"/>
    <w:rsid w:val="00512ECB"/>
    <w:rsid w:val="005173D3"/>
    <w:rsid w:val="005176CB"/>
    <w:rsid w:val="00520570"/>
    <w:rsid w:val="00524F69"/>
    <w:rsid w:val="005267BF"/>
    <w:rsid w:val="0052680A"/>
    <w:rsid w:val="00526893"/>
    <w:rsid w:val="005328D9"/>
    <w:rsid w:val="005337A6"/>
    <w:rsid w:val="005355BC"/>
    <w:rsid w:val="0053627C"/>
    <w:rsid w:val="00537370"/>
    <w:rsid w:val="005377FC"/>
    <w:rsid w:val="00541392"/>
    <w:rsid w:val="005416D8"/>
    <w:rsid w:val="005440B9"/>
    <w:rsid w:val="00545B2E"/>
    <w:rsid w:val="00546A7F"/>
    <w:rsid w:val="0054789D"/>
    <w:rsid w:val="00551D85"/>
    <w:rsid w:val="00555157"/>
    <w:rsid w:val="00555318"/>
    <w:rsid w:val="0055666B"/>
    <w:rsid w:val="005607ED"/>
    <w:rsid w:val="00564F69"/>
    <w:rsid w:val="00565350"/>
    <w:rsid w:val="005673CD"/>
    <w:rsid w:val="00570966"/>
    <w:rsid w:val="00571110"/>
    <w:rsid w:val="00572B52"/>
    <w:rsid w:val="00572E02"/>
    <w:rsid w:val="005764DA"/>
    <w:rsid w:val="00577C5C"/>
    <w:rsid w:val="005843FD"/>
    <w:rsid w:val="005848CE"/>
    <w:rsid w:val="00584A88"/>
    <w:rsid w:val="005859F3"/>
    <w:rsid w:val="00585E9B"/>
    <w:rsid w:val="005869C4"/>
    <w:rsid w:val="00592E32"/>
    <w:rsid w:val="00593824"/>
    <w:rsid w:val="0059399B"/>
    <w:rsid w:val="00594429"/>
    <w:rsid w:val="00594873"/>
    <w:rsid w:val="005955D1"/>
    <w:rsid w:val="00595A5D"/>
    <w:rsid w:val="005A2A88"/>
    <w:rsid w:val="005A3FBE"/>
    <w:rsid w:val="005A6D2C"/>
    <w:rsid w:val="005A6F69"/>
    <w:rsid w:val="005B28A2"/>
    <w:rsid w:val="005B3A9D"/>
    <w:rsid w:val="005B7B93"/>
    <w:rsid w:val="005C0E3E"/>
    <w:rsid w:val="005C18BE"/>
    <w:rsid w:val="005C2248"/>
    <w:rsid w:val="005C2955"/>
    <w:rsid w:val="005C29B5"/>
    <w:rsid w:val="005C4F45"/>
    <w:rsid w:val="005C69C7"/>
    <w:rsid w:val="005D2617"/>
    <w:rsid w:val="005D4D6A"/>
    <w:rsid w:val="005D5D37"/>
    <w:rsid w:val="005D7D0B"/>
    <w:rsid w:val="005E059B"/>
    <w:rsid w:val="005E12E1"/>
    <w:rsid w:val="005E4D39"/>
    <w:rsid w:val="005E5653"/>
    <w:rsid w:val="005E740E"/>
    <w:rsid w:val="005F06DC"/>
    <w:rsid w:val="005F285C"/>
    <w:rsid w:val="005F2AEA"/>
    <w:rsid w:val="005F2EA2"/>
    <w:rsid w:val="006001D0"/>
    <w:rsid w:val="00600611"/>
    <w:rsid w:val="00603982"/>
    <w:rsid w:val="00603FA2"/>
    <w:rsid w:val="00605390"/>
    <w:rsid w:val="006055D5"/>
    <w:rsid w:val="00606A5A"/>
    <w:rsid w:val="00606B71"/>
    <w:rsid w:val="006104F8"/>
    <w:rsid w:val="00610740"/>
    <w:rsid w:val="0061249D"/>
    <w:rsid w:val="00613CE6"/>
    <w:rsid w:val="00615127"/>
    <w:rsid w:val="006151FF"/>
    <w:rsid w:val="00616DC2"/>
    <w:rsid w:val="0061790D"/>
    <w:rsid w:val="00624062"/>
    <w:rsid w:val="0063126D"/>
    <w:rsid w:val="0063159A"/>
    <w:rsid w:val="00632CC6"/>
    <w:rsid w:val="00633D1D"/>
    <w:rsid w:val="006342A7"/>
    <w:rsid w:val="00636D3A"/>
    <w:rsid w:val="00640124"/>
    <w:rsid w:val="006408A1"/>
    <w:rsid w:val="00641309"/>
    <w:rsid w:val="006453B9"/>
    <w:rsid w:val="00651BB0"/>
    <w:rsid w:val="0065202A"/>
    <w:rsid w:val="00653D89"/>
    <w:rsid w:val="00653F73"/>
    <w:rsid w:val="0065532C"/>
    <w:rsid w:val="00655554"/>
    <w:rsid w:val="00655862"/>
    <w:rsid w:val="006576E5"/>
    <w:rsid w:val="0066131F"/>
    <w:rsid w:val="00661D7F"/>
    <w:rsid w:val="006679F9"/>
    <w:rsid w:val="00674A07"/>
    <w:rsid w:val="006775A1"/>
    <w:rsid w:val="006813AE"/>
    <w:rsid w:val="00681A47"/>
    <w:rsid w:val="00682959"/>
    <w:rsid w:val="00683E84"/>
    <w:rsid w:val="00685BF3"/>
    <w:rsid w:val="006901BE"/>
    <w:rsid w:val="00690722"/>
    <w:rsid w:val="006938DE"/>
    <w:rsid w:val="00695A47"/>
    <w:rsid w:val="00696069"/>
    <w:rsid w:val="006A0835"/>
    <w:rsid w:val="006A15CA"/>
    <w:rsid w:val="006A20E5"/>
    <w:rsid w:val="006A24CC"/>
    <w:rsid w:val="006A398B"/>
    <w:rsid w:val="006A67F7"/>
    <w:rsid w:val="006A77FC"/>
    <w:rsid w:val="006B21F9"/>
    <w:rsid w:val="006B28AC"/>
    <w:rsid w:val="006C1410"/>
    <w:rsid w:val="006C1DA8"/>
    <w:rsid w:val="006C41E4"/>
    <w:rsid w:val="006C4BC5"/>
    <w:rsid w:val="006C62B7"/>
    <w:rsid w:val="006C7538"/>
    <w:rsid w:val="006D3808"/>
    <w:rsid w:val="006D5DA6"/>
    <w:rsid w:val="006D624E"/>
    <w:rsid w:val="006D64EF"/>
    <w:rsid w:val="006E038E"/>
    <w:rsid w:val="006E323D"/>
    <w:rsid w:val="006E6936"/>
    <w:rsid w:val="006E699E"/>
    <w:rsid w:val="006E7330"/>
    <w:rsid w:val="006F09DF"/>
    <w:rsid w:val="006F2B1F"/>
    <w:rsid w:val="006F3A24"/>
    <w:rsid w:val="006F4809"/>
    <w:rsid w:val="00701AC2"/>
    <w:rsid w:val="00701FED"/>
    <w:rsid w:val="007039E9"/>
    <w:rsid w:val="00705B9A"/>
    <w:rsid w:val="00705BAE"/>
    <w:rsid w:val="00711755"/>
    <w:rsid w:val="0071287E"/>
    <w:rsid w:val="00712B1E"/>
    <w:rsid w:val="007151BF"/>
    <w:rsid w:val="00715EC4"/>
    <w:rsid w:val="00716194"/>
    <w:rsid w:val="00716B0C"/>
    <w:rsid w:val="00722553"/>
    <w:rsid w:val="00722D53"/>
    <w:rsid w:val="00723645"/>
    <w:rsid w:val="007249B5"/>
    <w:rsid w:val="007260B8"/>
    <w:rsid w:val="0073365F"/>
    <w:rsid w:val="00737A38"/>
    <w:rsid w:val="007404CF"/>
    <w:rsid w:val="0074399B"/>
    <w:rsid w:val="00744EF9"/>
    <w:rsid w:val="0074581A"/>
    <w:rsid w:val="00750542"/>
    <w:rsid w:val="00752E29"/>
    <w:rsid w:val="0075341C"/>
    <w:rsid w:val="00754F0A"/>
    <w:rsid w:val="00756F78"/>
    <w:rsid w:val="00757649"/>
    <w:rsid w:val="00760200"/>
    <w:rsid w:val="00761D10"/>
    <w:rsid w:val="00771B00"/>
    <w:rsid w:val="00771B08"/>
    <w:rsid w:val="007750D1"/>
    <w:rsid w:val="00775298"/>
    <w:rsid w:val="00777A4F"/>
    <w:rsid w:val="00782E38"/>
    <w:rsid w:val="007849C3"/>
    <w:rsid w:val="00786CED"/>
    <w:rsid w:val="007870B0"/>
    <w:rsid w:val="0079163E"/>
    <w:rsid w:val="00791EF8"/>
    <w:rsid w:val="00794AF3"/>
    <w:rsid w:val="00796BD8"/>
    <w:rsid w:val="007A034F"/>
    <w:rsid w:val="007A155C"/>
    <w:rsid w:val="007A18E8"/>
    <w:rsid w:val="007A1CAD"/>
    <w:rsid w:val="007A4454"/>
    <w:rsid w:val="007A4463"/>
    <w:rsid w:val="007A5FB8"/>
    <w:rsid w:val="007A68A5"/>
    <w:rsid w:val="007A7462"/>
    <w:rsid w:val="007B4CE8"/>
    <w:rsid w:val="007B50C9"/>
    <w:rsid w:val="007B6895"/>
    <w:rsid w:val="007C5A41"/>
    <w:rsid w:val="007C6272"/>
    <w:rsid w:val="007C6BFC"/>
    <w:rsid w:val="007C7414"/>
    <w:rsid w:val="007D0CC9"/>
    <w:rsid w:val="007D12E6"/>
    <w:rsid w:val="007D67D1"/>
    <w:rsid w:val="007D78E0"/>
    <w:rsid w:val="007E00BD"/>
    <w:rsid w:val="007E0DCC"/>
    <w:rsid w:val="007E1F2B"/>
    <w:rsid w:val="007E2E90"/>
    <w:rsid w:val="007E30DE"/>
    <w:rsid w:val="007E38C5"/>
    <w:rsid w:val="007E4F6A"/>
    <w:rsid w:val="007E7385"/>
    <w:rsid w:val="0080068A"/>
    <w:rsid w:val="0080126F"/>
    <w:rsid w:val="00805B68"/>
    <w:rsid w:val="00806C9B"/>
    <w:rsid w:val="00811AE0"/>
    <w:rsid w:val="00812DD9"/>
    <w:rsid w:val="00813759"/>
    <w:rsid w:val="00814ED9"/>
    <w:rsid w:val="0081698D"/>
    <w:rsid w:val="00816E65"/>
    <w:rsid w:val="00817426"/>
    <w:rsid w:val="00817B05"/>
    <w:rsid w:val="00820AF8"/>
    <w:rsid w:val="008232C8"/>
    <w:rsid w:val="008233A7"/>
    <w:rsid w:val="00823785"/>
    <w:rsid w:val="00824FF7"/>
    <w:rsid w:val="00826144"/>
    <w:rsid w:val="00830180"/>
    <w:rsid w:val="0083074D"/>
    <w:rsid w:val="00831014"/>
    <w:rsid w:val="0083231C"/>
    <w:rsid w:val="008331BD"/>
    <w:rsid w:val="008338AB"/>
    <w:rsid w:val="00835DD7"/>
    <w:rsid w:val="0083619A"/>
    <w:rsid w:val="008371F3"/>
    <w:rsid w:val="00841623"/>
    <w:rsid w:val="00841E82"/>
    <w:rsid w:val="00844B3C"/>
    <w:rsid w:val="008464FF"/>
    <w:rsid w:val="00847B91"/>
    <w:rsid w:val="00850DC7"/>
    <w:rsid w:val="008510C0"/>
    <w:rsid w:val="008520BC"/>
    <w:rsid w:val="00852230"/>
    <w:rsid w:val="00854079"/>
    <w:rsid w:val="00855020"/>
    <w:rsid w:val="008551B9"/>
    <w:rsid w:val="008557C2"/>
    <w:rsid w:val="00855C43"/>
    <w:rsid w:val="008654F4"/>
    <w:rsid w:val="00865E17"/>
    <w:rsid w:val="00870AEE"/>
    <w:rsid w:val="00871225"/>
    <w:rsid w:val="00872370"/>
    <w:rsid w:val="00872A7B"/>
    <w:rsid w:val="0087515D"/>
    <w:rsid w:val="008762E5"/>
    <w:rsid w:val="008807A2"/>
    <w:rsid w:val="00881304"/>
    <w:rsid w:val="00883855"/>
    <w:rsid w:val="008838E8"/>
    <w:rsid w:val="00885485"/>
    <w:rsid w:val="008863B0"/>
    <w:rsid w:val="00890D8E"/>
    <w:rsid w:val="00891928"/>
    <w:rsid w:val="00893831"/>
    <w:rsid w:val="00894E5E"/>
    <w:rsid w:val="00895A39"/>
    <w:rsid w:val="008A0392"/>
    <w:rsid w:val="008A093B"/>
    <w:rsid w:val="008A3819"/>
    <w:rsid w:val="008A3E68"/>
    <w:rsid w:val="008B06E2"/>
    <w:rsid w:val="008B56FA"/>
    <w:rsid w:val="008B7CC8"/>
    <w:rsid w:val="008C2262"/>
    <w:rsid w:val="008C3CD0"/>
    <w:rsid w:val="008C3DF7"/>
    <w:rsid w:val="008C4566"/>
    <w:rsid w:val="008C7CD5"/>
    <w:rsid w:val="008D1060"/>
    <w:rsid w:val="008E1A4F"/>
    <w:rsid w:val="008E1F97"/>
    <w:rsid w:val="008E2035"/>
    <w:rsid w:val="008E20CB"/>
    <w:rsid w:val="008E35D2"/>
    <w:rsid w:val="008E520A"/>
    <w:rsid w:val="008E6DC1"/>
    <w:rsid w:val="008E7165"/>
    <w:rsid w:val="008E7CE3"/>
    <w:rsid w:val="008F03E4"/>
    <w:rsid w:val="008F1A36"/>
    <w:rsid w:val="008F2087"/>
    <w:rsid w:val="008F4EF0"/>
    <w:rsid w:val="008F5BED"/>
    <w:rsid w:val="00900749"/>
    <w:rsid w:val="00901261"/>
    <w:rsid w:val="00901D1B"/>
    <w:rsid w:val="0090256A"/>
    <w:rsid w:val="00903D83"/>
    <w:rsid w:val="00906518"/>
    <w:rsid w:val="00911B31"/>
    <w:rsid w:val="00912440"/>
    <w:rsid w:val="00913AF2"/>
    <w:rsid w:val="00913D02"/>
    <w:rsid w:val="00913FC7"/>
    <w:rsid w:val="00916BB0"/>
    <w:rsid w:val="00917483"/>
    <w:rsid w:val="0092135A"/>
    <w:rsid w:val="00922AB7"/>
    <w:rsid w:val="00923833"/>
    <w:rsid w:val="00930001"/>
    <w:rsid w:val="00931F61"/>
    <w:rsid w:val="009338C8"/>
    <w:rsid w:val="009353E7"/>
    <w:rsid w:val="009402EB"/>
    <w:rsid w:val="0094092D"/>
    <w:rsid w:val="00940A50"/>
    <w:rsid w:val="0094242B"/>
    <w:rsid w:val="00942CA2"/>
    <w:rsid w:val="00943E14"/>
    <w:rsid w:val="009442E2"/>
    <w:rsid w:val="00944908"/>
    <w:rsid w:val="00946AF5"/>
    <w:rsid w:val="00951845"/>
    <w:rsid w:val="00951F48"/>
    <w:rsid w:val="00953F1D"/>
    <w:rsid w:val="009558C3"/>
    <w:rsid w:val="009562EE"/>
    <w:rsid w:val="009564F2"/>
    <w:rsid w:val="00956CC7"/>
    <w:rsid w:val="00957F09"/>
    <w:rsid w:val="0096198A"/>
    <w:rsid w:val="00962582"/>
    <w:rsid w:val="00964043"/>
    <w:rsid w:val="0096622F"/>
    <w:rsid w:val="00966878"/>
    <w:rsid w:val="00971393"/>
    <w:rsid w:val="0097388A"/>
    <w:rsid w:val="00975B12"/>
    <w:rsid w:val="00980804"/>
    <w:rsid w:val="00982349"/>
    <w:rsid w:val="00982738"/>
    <w:rsid w:val="00984224"/>
    <w:rsid w:val="0098614F"/>
    <w:rsid w:val="0098726D"/>
    <w:rsid w:val="0098797D"/>
    <w:rsid w:val="00987AEA"/>
    <w:rsid w:val="0099212C"/>
    <w:rsid w:val="00993DA1"/>
    <w:rsid w:val="00994378"/>
    <w:rsid w:val="00995E0D"/>
    <w:rsid w:val="009A07A8"/>
    <w:rsid w:val="009A2E76"/>
    <w:rsid w:val="009A332C"/>
    <w:rsid w:val="009A4771"/>
    <w:rsid w:val="009A4CA5"/>
    <w:rsid w:val="009A51DE"/>
    <w:rsid w:val="009A5E55"/>
    <w:rsid w:val="009B0D65"/>
    <w:rsid w:val="009B2030"/>
    <w:rsid w:val="009B49C1"/>
    <w:rsid w:val="009B7183"/>
    <w:rsid w:val="009B748C"/>
    <w:rsid w:val="009C269B"/>
    <w:rsid w:val="009C5F88"/>
    <w:rsid w:val="009D1A1A"/>
    <w:rsid w:val="009D25A3"/>
    <w:rsid w:val="009D4751"/>
    <w:rsid w:val="009D56C9"/>
    <w:rsid w:val="009D5E13"/>
    <w:rsid w:val="009D6AF9"/>
    <w:rsid w:val="009E1286"/>
    <w:rsid w:val="009E1DCB"/>
    <w:rsid w:val="009E3119"/>
    <w:rsid w:val="009E346C"/>
    <w:rsid w:val="009E5967"/>
    <w:rsid w:val="009E7D99"/>
    <w:rsid w:val="009F132B"/>
    <w:rsid w:val="009F2525"/>
    <w:rsid w:val="009F6EE4"/>
    <w:rsid w:val="009F7DA2"/>
    <w:rsid w:val="00A003D8"/>
    <w:rsid w:val="00A00FB3"/>
    <w:rsid w:val="00A02522"/>
    <w:rsid w:val="00A02D81"/>
    <w:rsid w:val="00A06886"/>
    <w:rsid w:val="00A10D37"/>
    <w:rsid w:val="00A11AC6"/>
    <w:rsid w:val="00A12369"/>
    <w:rsid w:val="00A13F9F"/>
    <w:rsid w:val="00A20211"/>
    <w:rsid w:val="00A202BC"/>
    <w:rsid w:val="00A20EF3"/>
    <w:rsid w:val="00A21271"/>
    <w:rsid w:val="00A22406"/>
    <w:rsid w:val="00A237BC"/>
    <w:rsid w:val="00A24C54"/>
    <w:rsid w:val="00A26412"/>
    <w:rsid w:val="00A26727"/>
    <w:rsid w:val="00A26837"/>
    <w:rsid w:val="00A27C18"/>
    <w:rsid w:val="00A31845"/>
    <w:rsid w:val="00A31C03"/>
    <w:rsid w:val="00A32A85"/>
    <w:rsid w:val="00A34938"/>
    <w:rsid w:val="00A41B82"/>
    <w:rsid w:val="00A4273C"/>
    <w:rsid w:val="00A43464"/>
    <w:rsid w:val="00A447C8"/>
    <w:rsid w:val="00A448E5"/>
    <w:rsid w:val="00A460B4"/>
    <w:rsid w:val="00A47EB7"/>
    <w:rsid w:val="00A5026F"/>
    <w:rsid w:val="00A50453"/>
    <w:rsid w:val="00A51331"/>
    <w:rsid w:val="00A51385"/>
    <w:rsid w:val="00A53D6B"/>
    <w:rsid w:val="00A57A0D"/>
    <w:rsid w:val="00A61BAA"/>
    <w:rsid w:val="00A62937"/>
    <w:rsid w:val="00A62D72"/>
    <w:rsid w:val="00A63DD3"/>
    <w:rsid w:val="00A64125"/>
    <w:rsid w:val="00A66E8E"/>
    <w:rsid w:val="00A67A86"/>
    <w:rsid w:val="00A705AB"/>
    <w:rsid w:val="00A711FF"/>
    <w:rsid w:val="00A73945"/>
    <w:rsid w:val="00A740FD"/>
    <w:rsid w:val="00A7415A"/>
    <w:rsid w:val="00A74862"/>
    <w:rsid w:val="00A753FF"/>
    <w:rsid w:val="00A76323"/>
    <w:rsid w:val="00A76AA4"/>
    <w:rsid w:val="00A77E0D"/>
    <w:rsid w:val="00A8144B"/>
    <w:rsid w:val="00A8218B"/>
    <w:rsid w:val="00A83107"/>
    <w:rsid w:val="00A83841"/>
    <w:rsid w:val="00A84B28"/>
    <w:rsid w:val="00A91272"/>
    <w:rsid w:val="00A93CE8"/>
    <w:rsid w:val="00A93E6C"/>
    <w:rsid w:val="00A94526"/>
    <w:rsid w:val="00A9636A"/>
    <w:rsid w:val="00AA4244"/>
    <w:rsid w:val="00AA478B"/>
    <w:rsid w:val="00AA71C1"/>
    <w:rsid w:val="00AB0CF0"/>
    <w:rsid w:val="00AB0F76"/>
    <w:rsid w:val="00AB1691"/>
    <w:rsid w:val="00AB2D14"/>
    <w:rsid w:val="00AC090A"/>
    <w:rsid w:val="00AC4D8F"/>
    <w:rsid w:val="00AC7200"/>
    <w:rsid w:val="00AD0652"/>
    <w:rsid w:val="00AD0E75"/>
    <w:rsid w:val="00AD3671"/>
    <w:rsid w:val="00AD4F57"/>
    <w:rsid w:val="00AE1B80"/>
    <w:rsid w:val="00AE2289"/>
    <w:rsid w:val="00AE2B51"/>
    <w:rsid w:val="00AE3F78"/>
    <w:rsid w:val="00AE3FAE"/>
    <w:rsid w:val="00AE6835"/>
    <w:rsid w:val="00AF08F4"/>
    <w:rsid w:val="00AF0F87"/>
    <w:rsid w:val="00AF1BBF"/>
    <w:rsid w:val="00AF2399"/>
    <w:rsid w:val="00AF312B"/>
    <w:rsid w:val="00AF4114"/>
    <w:rsid w:val="00B05009"/>
    <w:rsid w:val="00B07B69"/>
    <w:rsid w:val="00B10161"/>
    <w:rsid w:val="00B106C6"/>
    <w:rsid w:val="00B112A2"/>
    <w:rsid w:val="00B11332"/>
    <w:rsid w:val="00B1236F"/>
    <w:rsid w:val="00B13AD4"/>
    <w:rsid w:val="00B145FE"/>
    <w:rsid w:val="00B17EB0"/>
    <w:rsid w:val="00B2007D"/>
    <w:rsid w:val="00B212F6"/>
    <w:rsid w:val="00B22029"/>
    <w:rsid w:val="00B252F6"/>
    <w:rsid w:val="00B26215"/>
    <w:rsid w:val="00B30B0E"/>
    <w:rsid w:val="00B31A24"/>
    <w:rsid w:val="00B32296"/>
    <w:rsid w:val="00B3411E"/>
    <w:rsid w:val="00B34C67"/>
    <w:rsid w:val="00B34EA4"/>
    <w:rsid w:val="00B36F17"/>
    <w:rsid w:val="00B37919"/>
    <w:rsid w:val="00B410D7"/>
    <w:rsid w:val="00B4130A"/>
    <w:rsid w:val="00B43309"/>
    <w:rsid w:val="00B44112"/>
    <w:rsid w:val="00B45C1D"/>
    <w:rsid w:val="00B4614F"/>
    <w:rsid w:val="00B46851"/>
    <w:rsid w:val="00B4780B"/>
    <w:rsid w:val="00B5001F"/>
    <w:rsid w:val="00B51BB8"/>
    <w:rsid w:val="00B57905"/>
    <w:rsid w:val="00B618A6"/>
    <w:rsid w:val="00B61AD6"/>
    <w:rsid w:val="00B63109"/>
    <w:rsid w:val="00B6397C"/>
    <w:rsid w:val="00B66BC0"/>
    <w:rsid w:val="00B710C6"/>
    <w:rsid w:val="00B71159"/>
    <w:rsid w:val="00B71FEF"/>
    <w:rsid w:val="00B72A1B"/>
    <w:rsid w:val="00B72D53"/>
    <w:rsid w:val="00B74A5C"/>
    <w:rsid w:val="00B8086B"/>
    <w:rsid w:val="00B81BA3"/>
    <w:rsid w:val="00B8232E"/>
    <w:rsid w:val="00B82E63"/>
    <w:rsid w:val="00B831A3"/>
    <w:rsid w:val="00B83324"/>
    <w:rsid w:val="00B85AA7"/>
    <w:rsid w:val="00B860AB"/>
    <w:rsid w:val="00B867AA"/>
    <w:rsid w:val="00B86C65"/>
    <w:rsid w:val="00B86CD1"/>
    <w:rsid w:val="00B90B35"/>
    <w:rsid w:val="00B920E1"/>
    <w:rsid w:val="00B92D35"/>
    <w:rsid w:val="00B93C9E"/>
    <w:rsid w:val="00B947C5"/>
    <w:rsid w:val="00B969B3"/>
    <w:rsid w:val="00B96B33"/>
    <w:rsid w:val="00B976A9"/>
    <w:rsid w:val="00BA4154"/>
    <w:rsid w:val="00BA6949"/>
    <w:rsid w:val="00BB087C"/>
    <w:rsid w:val="00BB1402"/>
    <w:rsid w:val="00BB21EC"/>
    <w:rsid w:val="00BB2395"/>
    <w:rsid w:val="00BB28FF"/>
    <w:rsid w:val="00BB34B6"/>
    <w:rsid w:val="00BB34ED"/>
    <w:rsid w:val="00BB3E09"/>
    <w:rsid w:val="00BB50F6"/>
    <w:rsid w:val="00BB5550"/>
    <w:rsid w:val="00BB764D"/>
    <w:rsid w:val="00BB7C71"/>
    <w:rsid w:val="00BC1F3E"/>
    <w:rsid w:val="00BC2169"/>
    <w:rsid w:val="00BC4177"/>
    <w:rsid w:val="00BC4262"/>
    <w:rsid w:val="00BC495B"/>
    <w:rsid w:val="00BC77CF"/>
    <w:rsid w:val="00BD1F3E"/>
    <w:rsid w:val="00BD64E8"/>
    <w:rsid w:val="00BD7788"/>
    <w:rsid w:val="00BE0F92"/>
    <w:rsid w:val="00BE150B"/>
    <w:rsid w:val="00BE4110"/>
    <w:rsid w:val="00BE48D2"/>
    <w:rsid w:val="00BF06EB"/>
    <w:rsid w:val="00BF284F"/>
    <w:rsid w:val="00BF3D87"/>
    <w:rsid w:val="00BF4BEF"/>
    <w:rsid w:val="00BF50A2"/>
    <w:rsid w:val="00BF5532"/>
    <w:rsid w:val="00BF59E9"/>
    <w:rsid w:val="00BF7DD2"/>
    <w:rsid w:val="00C035EF"/>
    <w:rsid w:val="00C11AFC"/>
    <w:rsid w:val="00C13CD2"/>
    <w:rsid w:val="00C163B7"/>
    <w:rsid w:val="00C1717E"/>
    <w:rsid w:val="00C209A4"/>
    <w:rsid w:val="00C232AB"/>
    <w:rsid w:val="00C25482"/>
    <w:rsid w:val="00C25952"/>
    <w:rsid w:val="00C264EE"/>
    <w:rsid w:val="00C277CF"/>
    <w:rsid w:val="00C278C6"/>
    <w:rsid w:val="00C304BA"/>
    <w:rsid w:val="00C31966"/>
    <w:rsid w:val="00C329B3"/>
    <w:rsid w:val="00C32BA3"/>
    <w:rsid w:val="00C344F0"/>
    <w:rsid w:val="00C35EEA"/>
    <w:rsid w:val="00C37F41"/>
    <w:rsid w:val="00C40854"/>
    <w:rsid w:val="00C4187A"/>
    <w:rsid w:val="00C4578A"/>
    <w:rsid w:val="00C45B71"/>
    <w:rsid w:val="00C466B4"/>
    <w:rsid w:val="00C4684D"/>
    <w:rsid w:val="00C47619"/>
    <w:rsid w:val="00C52DBD"/>
    <w:rsid w:val="00C54E16"/>
    <w:rsid w:val="00C61A53"/>
    <w:rsid w:val="00C64EBF"/>
    <w:rsid w:val="00C65043"/>
    <w:rsid w:val="00C66F93"/>
    <w:rsid w:val="00C6780A"/>
    <w:rsid w:val="00C67E6B"/>
    <w:rsid w:val="00C71AF8"/>
    <w:rsid w:val="00C71B8B"/>
    <w:rsid w:val="00C723F9"/>
    <w:rsid w:val="00C744BA"/>
    <w:rsid w:val="00C74C7B"/>
    <w:rsid w:val="00C74E3C"/>
    <w:rsid w:val="00C76BF8"/>
    <w:rsid w:val="00C80ED7"/>
    <w:rsid w:val="00C815AC"/>
    <w:rsid w:val="00C815E3"/>
    <w:rsid w:val="00C81C15"/>
    <w:rsid w:val="00C85D66"/>
    <w:rsid w:val="00C87566"/>
    <w:rsid w:val="00C92938"/>
    <w:rsid w:val="00C933AE"/>
    <w:rsid w:val="00CA0569"/>
    <w:rsid w:val="00CA2F99"/>
    <w:rsid w:val="00CA3B0F"/>
    <w:rsid w:val="00CA4085"/>
    <w:rsid w:val="00CA6B5A"/>
    <w:rsid w:val="00CB0D2F"/>
    <w:rsid w:val="00CB1E89"/>
    <w:rsid w:val="00CB25DC"/>
    <w:rsid w:val="00CB7DE3"/>
    <w:rsid w:val="00CC22F8"/>
    <w:rsid w:val="00CC273B"/>
    <w:rsid w:val="00CC2ADF"/>
    <w:rsid w:val="00CC47B6"/>
    <w:rsid w:val="00CC4A0B"/>
    <w:rsid w:val="00CC511B"/>
    <w:rsid w:val="00CC5E4D"/>
    <w:rsid w:val="00CC6112"/>
    <w:rsid w:val="00CC6A66"/>
    <w:rsid w:val="00CC6F8F"/>
    <w:rsid w:val="00CC79DE"/>
    <w:rsid w:val="00CC7EBD"/>
    <w:rsid w:val="00CD0A11"/>
    <w:rsid w:val="00CD2F64"/>
    <w:rsid w:val="00CD7711"/>
    <w:rsid w:val="00CE2A28"/>
    <w:rsid w:val="00CF1EC4"/>
    <w:rsid w:val="00CF5D69"/>
    <w:rsid w:val="00D00C98"/>
    <w:rsid w:val="00D0206D"/>
    <w:rsid w:val="00D02609"/>
    <w:rsid w:val="00D041A4"/>
    <w:rsid w:val="00D05123"/>
    <w:rsid w:val="00D1047B"/>
    <w:rsid w:val="00D10E6F"/>
    <w:rsid w:val="00D11416"/>
    <w:rsid w:val="00D13E8E"/>
    <w:rsid w:val="00D143B0"/>
    <w:rsid w:val="00D155CF"/>
    <w:rsid w:val="00D17CCB"/>
    <w:rsid w:val="00D20367"/>
    <w:rsid w:val="00D21221"/>
    <w:rsid w:val="00D25CBF"/>
    <w:rsid w:val="00D25FEA"/>
    <w:rsid w:val="00D276D3"/>
    <w:rsid w:val="00D30BF1"/>
    <w:rsid w:val="00D3305E"/>
    <w:rsid w:val="00D341F9"/>
    <w:rsid w:val="00D359DE"/>
    <w:rsid w:val="00D35B8E"/>
    <w:rsid w:val="00D36123"/>
    <w:rsid w:val="00D40FA8"/>
    <w:rsid w:val="00D43863"/>
    <w:rsid w:val="00D45BBF"/>
    <w:rsid w:val="00D47327"/>
    <w:rsid w:val="00D503F0"/>
    <w:rsid w:val="00D5086E"/>
    <w:rsid w:val="00D51CF2"/>
    <w:rsid w:val="00D52191"/>
    <w:rsid w:val="00D52F0E"/>
    <w:rsid w:val="00D603DA"/>
    <w:rsid w:val="00D614C6"/>
    <w:rsid w:val="00D61B1D"/>
    <w:rsid w:val="00D66E97"/>
    <w:rsid w:val="00D66FC3"/>
    <w:rsid w:val="00D7090D"/>
    <w:rsid w:val="00D71A7A"/>
    <w:rsid w:val="00D71B17"/>
    <w:rsid w:val="00D72B03"/>
    <w:rsid w:val="00D73FA1"/>
    <w:rsid w:val="00D7463B"/>
    <w:rsid w:val="00D76EFE"/>
    <w:rsid w:val="00D8325E"/>
    <w:rsid w:val="00D83487"/>
    <w:rsid w:val="00D85AAE"/>
    <w:rsid w:val="00D91C8B"/>
    <w:rsid w:val="00D92940"/>
    <w:rsid w:val="00D929FA"/>
    <w:rsid w:val="00D936C4"/>
    <w:rsid w:val="00D94622"/>
    <w:rsid w:val="00D94B70"/>
    <w:rsid w:val="00D974C7"/>
    <w:rsid w:val="00DA1B4C"/>
    <w:rsid w:val="00DA2812"/>
    <w:rsid w:val="00DA3346"/>
    <w:rsid w:val="00DA37FB"/>
    <w:rsid w:val="00DA4603"/>
    <w:rsid w:val="00DA53AF"/>
    <w:rsid w:val="00DA548E"/>
    <w:rsid w:val="00DA565E"/>
    <w:rsid w:val="00DA7F2C"/>
    <w:rsid w:val="00DB022E"/>
    <w:rsid w:val="00DB0389"/>
    <w:rsid w:val="00DB12F2"/>
    <w:rsid w:val="00DB201E"/>
    <w:rsid w:val="00DB5D97"/>
    <w:rsid w:val="00DB63D5"/>
    <w:rsid w:val="00DB72DD"/>
    <w:rsid w:val="00DB78F3"/>
    <w:rsid w:val="00DC0229"/>
    <w:rsid w:val="00DC06AA"/>
    <w:rsid w:val="00DC0B29"/>
    <w:rsid w:val="00DC472E"/>
    <w:rsid w:val="00DC4AC3"/>
    <w:rsid w:val="00DC6457"/>
    <w:rsid w:val="00DC69C8"/>
    <w:rsid w:val="00DC7D69"/>
    <w:rsid w:val="00DC7DAD"/>
    <w:rsid w:val="00DD0F3E"/>
    <w:rsid w:val="00DD26D0"/>
    <w:rsid w:val="00DD3755"/>
    <w:rsid w:val="00DE17A0"/>
    <w:rsid w:val="00DE2DED"/>
    <w:rsid w:val="00DE329F"/>
    <w:rsid w:val="00DE4561"/>
    <w:rsid w:val="00DE4D0A"/>
    <w:rsid w:val="00DE6F8E"/>
    <w:rsid w:val="00DF21D0"/>
    <w:rsid w:val="00DF22A1"/>
    <w:rsid w:val="00DF56C4"/>
    <w:rsid w:val="00DF57E7"/>
    <w:rsid w:val="00DF591B"/>
    <w:rsid w:val="00DF707A"/>
    <w:rsid w:val="00E00B9F"/>
    <w:rsid w:val="00E0396C"/>
    <w:rsid w:val="00E04E42"/>
    <w:rsid w:val="00E11327"/>
    <w:rsid w:val="00E14139"/>
    <w:rsid w:val="00E14AFB"/>
    <w:rsid w:val="00E172AB"/>
    <w:rsid w:val="00E21254"/>
    <w:rsid w:val="00E224AA"/>
    <w:rsid w:val="00E22BB1"/>
    <w:rsid w:val="00E24A04"/>
    <w:rsid w:val="00E269D8"/>
    <w:rsid w:val="00E3008C"/>
    <w:rsid w:val="00E30F7D"/>
    <w:rsid w:val="00E32475"/>
    <w:rsid w:val="00E33BDF"/>
    <w:rsid w:val="00E340E8"/>
    <w:rsid w:val="00E369C5"/>
    <w:rsid w:val="00E41864"/>
    <w:rsid w:val="00E45014"/>
    <w:rsid w:val="00E47CB1"/>
    <w:rsid w:val="00E5000A"/>
    <w:rsid w:val="00E527A4"/>
    <w:rsid w:val="00E56A97"/>
    <w:rsid w:val="00E61762"/>
    <w:rsid w:val="00E62CED"/>
    <w:rsid w:val="00E635F6"/>
    <w:rsid w:val="00E65B15"/>
    <w:rsid w:val="00E71853"/>
    <w:rsid w:val="00E723B3"/>
    <w:rsid w:val="00E749E1"/>
    <w:rsid w:val="00E74C81"/>
    <w:rsid w:val="00E74D67"/>
    <w:rsid w:val="00E756C8"/>
    <w:rsid w:val="00E805CC"/>
    <w:rsid w:val="00E83212"/>
    <w:rsid w:val="00E8438E"/>
    <w:rsid w:val="00E8472A"/>
    <w:rsid w:val="00E8567E"/>
    <w:rsid w:val="00E8643F"/>
    <w:rsid w:val="00E87525"/>
    <w:rsid w:val="00E87FBE"/>
    <w:rsid w:val="00E90A72"/>
    <w:rsid w:val="00E90B1E"/>
    <w:rsid w:val="00E91122"/>
    <w:rsid w:val="00E93651"/>
    <w:rsid w:val="00E95462"/>
    <w:rsid w:val="00E95B05"/>
    <w:rsid w:val="00EA0B9A"/>
    <w:rsid w:val="00EA3630"/>
    <w:rsid w:val="00EA5627"/>
    <w:rsid w:val="00EA68B1"/>
    <w:rsid w:val="00EA6FD2"/>
    <w:rsid w:val="00EB2AB8"/>
    <w:rsid w:val="00EB2FC0"/>
    <w:rsid w:val="00EB37B5"/>
    <w:rsid w:val="00EB7CAA"/>
    <w:rsid w:val="00EC1C84"/>
    <w:rsid w:val="00EC23D2"/>
    <w:rsid w:val="00EC5678"/>
    <w:rsid w:val="00ED2696"/>
    <w:rsid w:val="00ED286A"/>
    <w:rsid w:val="00ED3FCF"/>
    <w:rsid w:val="00ED4A93"/>
    <w:rsid w:val="00ED4F76"/>
    <w:rsid w:val="00ED586B"/>
    <w:rsid w:val="00ED61C6"/>
    <w:rsid w:val="00EE02A8"/>
    <w:rsid w:val="00EE048D"/>
    <w:rsid w:val="00EE113E"/>
    <w:rsid w:val="00EE38D7"/>
    <w:rsid w:val="00EE5F8A"/>
    <w:rsid w:val="00EF43FA"/>
    <w:rsid w:val="00EF6C67"/>
    <w:rsid w:val="00F016CC"/>
    <w:rsid w:val="00F0243B"/>
    <w:rsid w:val="00F04B0D"/>
    <w:rsid w:val="00F05A05"/>
    <w:rsid w:val="00F075C6"/>
    <w:rsid w:val="00F105CA"/>
    <w:rsid w:val="00F107B2"/>
    <w:rsid w:val="00F11DAD"/>
    <w:rsid w:val="00F12182"/>
    <w:rsid w:val="00F12B31"/>
    <w:rsid w:val="00F13DE4"/>
    <w:rsid w:val="00F1517C"/>
    <w:rsid w:val="00F16422"/>
    <w:rsid w:val="00F17E5C"/>
    <w:rsid w:val="00F213FB"/>
    <w:rsid w:val="00F21BF4"/>
    <w:rsid w:val="00F230AA"/>
    <w:rsid w:val="00F235C7"/>
    <w:rsid w:val="00F26B66"/>
    <w:rsid w:val="00F311B3"/>
    <w:rsid w:val="00F32632"/>
    <w:rsid w:val="00F33204"/>
    <w:rsid w:val="00F37047"/>
    <w:rsid w:val="00F3711F"/>
    <w:rsid w:val="00F37E1C"/>
    <w:rsid w:val="00F40432"/>
    <w:rsid w:val="00F427EC"/>
    <w:rsid w:val="00F429B3"/>
    <w:rsid w:val="00F43818"/>
    <w:rsid w:val="00F43DB7"/>
    <w:rsid w:val="00F43F3C"/>
    <w:rsid w:val="00F5029F"/>
    <w:rsid w:val="00F50BB1"/>
    <w:rsid w:val="00F53FFD"/>
    <w:rsid w:val="00F60FC5"/>
    <w:rsid w:val="00F614C3"/>
    <w:rsid w:val="00F62170"/>
    <w:rsid w:val="00F62AFD"/>
    <w:rsid w:val="00F63B09"/>
    <w:rsid w:val="00F644F6"/>
    <w:rsid w:val="00F6625D"/>
    <w:rsid w:val="00F67A3F"/>
    <w:rsid w:val="00F70869"/>
    <w:rsid w:val="00F75000"/>
    <w:rsid w:val="00F776D9"/>
    <w:rsid w:val="00F80077"/>
    <w:rsid w:val="00F84BD7"/>
    <w:rsid w:val="00F85CC0"/>
    <w:rsid w:val="00F870C0"/>
    <w:rsid w:val="00F9040A"/>
    <w:rsid w:val="00F905FF"/>
    <w:rsid w:val="00FA0F57"/>
    <w:rsid w:val="00FA23FB"/>
    <w:rsid w:val="00FA3252"/>
    <w:rsid w:val="00FA4040"/>
    <w:rsid w:val="00FB04E7"/>
    <w:rsid w:val="00FB360F"/>
    <w:rsid w:val="00FB42AA"/>
    <w:rsid w:val="00FB443B"/>
    <w:rsid w:val="00FB7A86"/>
    <w:rsid w:val="00FB7CB0"/>
    <w:rsid w:val="00FC16E7"/>
    <w:rsid w:val="00FC2FB4"/>
    <w:rsid w:val="00FC6D26"/>
    <w:rsid w:val="00FD0459"/>
    <w:rsid w:val="00FD2548"/>
    <w:rsid w:val="00FD3041"/>
    <w:rsid w:val="00FD3238"/>
    <w:rsid w:val="00FD47AD"/>
    <w:rsid w:val="00FD67AD"/>
    <w:rsid w:val="00FD7F43"/>
    <w:rsid w:val="00FE3C1C"/>
    <w:rsid w:val="00FE50E4"/>
    <w:rsid w:val="00FE5791"/>
    <w:rsid w:val="00FE67AB"/>
    <w:rsid w:val="00FE7B6E"/>
    <w:rsid w:val="00FF235E"/>
    <w:rsid w:val="00FF33A4"/>
    <w:rsid w:val="00FF42F9"/>
    <w:rsid w:val="00FF4D96"/>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76349253"/>
  <w15:chartTrackingRefBased/>
  <w15:docId w15:val="{256EE71E-0BCC-432D-BAE7-4897F0915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sl-SI" w:eastAsia="sl-SI"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95A47"/>
    <w:pPr>
      <w:tabs>
        <w:tab w:val="left" w:pos="567"/>
      </w:tabs>
      <w:suppressAutoHyphens/>
      <w:spacing w:line="260" w:lineRule="exact"/>
    </w:pPr>
    <w:rPr>
      <w:color w:val="000000"/>
      <w:sz w:val="24"/>
      <w:szCs w:val="24"/>
      <w:lang w:val="lt-LT" w:eastAsia="ar-SA"/>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DefaultParagraphFont1">
    <w:name w:val="Default Paragraph Font1"/>
  </w:style>
  <w:style w:type="character" w:customStyle="1" w:styleId="PageNumber1">
    <w:name w:val="Page Number1"/>
    <w:basedOn w:val="DefaultParagraphFont1"/>
  </w:style>
  <w:style w:type="character" w:styleId="Hipersaitas">
    <w:name w:val="Hyperlink"/>
    <w:rPr>
      <w:color w:val="0000FF"/>
      <w:u w:val="single"/>
    </w:rPr>
  </w:style>
  <w:style w:type="character" w:customStyle="1" w:styleId="BodytextAgencyChar">
    <w:name w:val="Body text (Agency) Char"/>
    <w:rPr>
      <w:rFonts w:ascii="Verdana" w:eastAsia="Verdana" w:hAnsi="Verdana" w:cs="Verdana"/>
      <w:sz w:val="18"/>
      <w:szCs w:val="18"/>
      <w:lang w:val="en-GB" w:eastAsia="ar-SA" w:bidi="ar-SA"/>
    </w:rPr>
  </w:style>
  <w:style w:type="character" w:customStyle="1" w:styleId="DraftingNotesAgencyChar">
    <w:name w:val="Drafting Notes (Agency) Char"/>
    <w:rPr>
      <w:rFonts w:ascii="Courier New" w:eastAsia="Verdana" w:hAnsi="Courier New"/>
      <w:i/>
      <w:color w:val="339966"/>
      <w:sz w:val="22"/>
      <w:szCs w:val="18"/>
      <w:lang w:val="en-GB" w:eastAsia="ar-SA" w:bidi="ar-SA"/>
    </w:rPr>
  </w:style>
  <w:style w:type="character" w:customStyle="1" w:styleId="NormalAgencyChar">
    <w:name w:val="Normal (Agency) Char"/>
    <w:rPr>
      <w:rFonts w:ascii="Verdana" w:eastAsia="Verdana" w:hAnsi="Verdana" w:cs="Verdana"/>
      <w:sz w:val="18"/>
      <w:szCs w:val="18"/>
      <w:lang w:val="en-GB" w:eastAsia="ar-SA" w:bidi="ar-SA"/>
    </w:rPr>
  </w:style>
  <w:style w:type="character" w:customStyle="1" w:styleId="CommentReference1">
    <w:name w:val="Comment Reference1"/>
    <w:rPr>
      <w:sz w:val="16"/>
      <w:szCs w:val="16"/>
    </w:rPr>
  </w:style>
  <w:style w:type="character" w:customStyle="1" w:styleId="KomentarotekstasDiagrama">
    <w:name w:val="Komentaro tekstas Diagrama"/>
    <w:uiPriority w:val="99"/>
    <w:rPr>
      <w:rFonts w:eastAsia="Times New Roman"/>
    </w:rPr>
  </w:style>
  <w:style w:type="character" w:customStyle="1" w:styleId="KomentarotemaDiagrama">
    <w:name w:val="Komentaro tema Diagrama"/>
    <w:rPr>
      <w:rFonts w:eastAsia="Times New Roman"/>
      <w:b/>
      <w:bCs/>
    </w:rPr>
  </w:style>
  <w:style w:type="character" w:customStyle="1" w:styleId="PuslapioinaostekstasDiagrama">
    <w:name w:val="Puslapio išnašos tekstas Diagrama"/>
    <w:rPr>
      <w:rFonts w:ascii="Calibri" w:eastAsia="Calibri" w:hAnsi="Calibri"/>
      <w:lang w:val="en-US"/>
    </w:rPr>
  </w:style>
  <w:style w:type="character" w:customStyle="1" w:styleId="FootnoteReference1">
    <w:name w:val="Footnote Reference1"/>
    <w:rPr>
      <w:vertAlign w:val="superscript"/>
    </w:rPr>
  </w:style>
  <w:style w:type="character" w:customStyle="1" w:styleId="tw4winMark">
    <w:name w:val="tw4winMark"/>
    <w:rPr>
      <w:rFonts w:ascii="Courier New" w:hAnsi="Courier New"/>
      <w:vanish/>
      <w:color w:val="800080"/>
      <w:vertAlign w:val="subscript"/>
    </w:rPr>
  </w:style>
  <w:style w:type="character" w:customStyle="1" w:styleId="DoNotTranslateExternal1">
    <w:name w:val="DoNotTranslateExternal1"/>
    <w:rPr>
      <w:b/>
      <w:szCs w:val="22"/>
    </w:rPr>
  </w:style>
  <w:style w:type="character" w:customStyle="1" w:styleId="ListLabel1">
    <w:name w:val="ListLabel 1"/>
    <w:rPr>
      <w:b/>
    </w:rPr>
  </w:style>
  <w:style w:type="character" w:customStyle="1" w:styleId="ListLabel2">
    <w:name w:val="ListLabel 2"/>
    <w:rPr>
      <w:b/>
      <w:i w:val="0"/>
    </w:rPr>
  </w:style>
  <w:style w:type="character" w:customStyle="1" w:styleId="ListLabel3">
    <w:name w:val="ListLabel 3"/>
    <w:rPr>
      <w:rFonts w:eastAsia="SimSun" w:cs="Times New Roman"/>
    </w:rPr>
  </w:style>
  <w:style w:type="character" w:customStyle="1" w:styleId="ListLabel4">
    <w:name w:val="ListLabel 4"/>
    <w:rPr>
      <w:rFonts w:cs="Courier New"/>
    </w:rPr>
  </w:style>
  <w:style w:type="character" w:customStyle="1" w:styleId="ListLabel5">
    <w:name w:val="ListLabel 5"/>
    <w:rPr>
      <w:rFonts w:eastAsia="SimSun" w:cs="Arial"/>
    </w:rPr>
  </w:style>
  <w:style w:type="character" w:customStyle="1" w:styleId="ListLabel6">
    <w:name w:val="ListLabel 6"/>
    <w:rPr>
      <w:rFonts w:cs="Times New Roman"/>
      <w:sz w:val="22"/>
    </w:rPr>
  </w:style>
  <w:style w:type="character" w:customStyle="1" w:styleId="EndnoteCharacters">
    <w:name w:val="Endnote Characters"/>
  </w:style>
  <w:style w:type="paragraph" w:customStyle="1" w:styleId="Heading">
    <w:name w:val="Heading"/>
    <w:basedOn w:val="prastasis"/>
    <w:next w:val="Pagrindinistekstas"/>
    <w:pPr>
      <w:keepNext/>
      <w:spacing w:before="240" w:after="120"/>
    </w:pPr>
    <w:rPr>
      <w:rFonts w:ascii="Arial" w:eastAsia="Microsoft YaHei" w:hAnsi="Arial" w:cs="Mangal"/>
      <w:sz w:val="28"/>
      <w:szCs w:val="28"/>
    </w:rPr>
  </w:style>
  <w:style w:type="paragraph" w:styleId="Pagrindinistekstas">
    <w:name w:val="Body Text"/>
    <w:basedOn w:val="prastasis"/>
    <w:link w:val="PagrindinistekstasDiagrama"/>
    <w:pPr>
      <w:tabs>
        <w:tab w:val="clear" w:pos="567"/>
      </w:tabs>
      <w:spacing w:line="100" w:lineRule="atLeast"/>
    </w:pPr>
    <w:rPr>
      <w:i/>
      <w:color w:val="008000"/>
    </w:rPr>
  </w:style>
  <w:style w:type="paragraph" w:styleId="Sraas">
    <w:name w:val="List"/>
    <w:basedOn w:val="Pagrindinistekstas"/>
    <w:rPr>
      <w:rFonts w:cs="Mangal"/>
    </w:rPr>
  </w:style>
  <w:style w:type="paragraph" w:customStyle="1" w:styleId="Caption1">
    <w:name w:val="Caption1"/>
    <w:basedOn w:val="prastasis"/>
    <w:pPr>
      <w:suppressLineNumbers/>
      <w:spacing w:before="120" w:after="120"/>
    </w:pPr>
    <w:rPr>
      <w:rFonts w:cs="Mangal"/>
      <w:i/>
      <w:iCs/>
    </w:rPr>
  </w:style>
  <w:style w:type="paragraph" w:customStyle="1" w:styleId="Index">
    <w:name w:val="Index"/>
    <w:basedOn w:val="prastasis"/>
    <w:pPr>
      <w:suppressLineNumbers/>
    </w:pPr>
    <w:rPr>
      <w:rFonts w:cs="Mangal"/>
    </w:rPr>
  </w:style>
  <w:style w:type="paragraph" w:styleId="Porat">
    <w:name w:val="footer"/>
    <w:basedOn w:val="prastasis"/>
    <w:link w:val="PoratDiagrama"/>
    <w:pPr>
      <w:suppressLineNumbers/>
      <w:tabs>
        <w:tab w:val="clear" w:pos="567"/>
        <w:tab w:val="center" w:pos="4536"/>
        <w:tab w:val="right" w:pos="8306"/>
      </w:tabs>
    </w:pPr>
    <w:rPr>
      <w:rFonts w:ascii="Arial" w:hAnsi="Arial"/>
      <w:sz w:val="16"/>
    </w:rPr>
  </w:style>
  <w:style w:type="paragraph" w:styleId="Antrats">
    <w:name w:val="header"/>
    <w:basedOn w:val="prastasis"/>
    <w:link w:val="AntratsDiagrama"/>
    <w:pPr>
      <w:suppressLineNumbers/>
      <w:tabs>
        <w:tab w:val="clear" w:pos="567"/>
        <w:tab w:val="center" w:pos="4153"/>
        <w:tab w:val="right" w:pos="8306"/>
      </w:tabs>
    </w:pPr>
    <w:rPr>
      <w:rFonts w:ascii="Arial" w:hAnsi="Arial"/>
      <w:sz w:val="20"/>
    </w:rPr>
  </w:style>
  <w:style w:type="paragraph" w:customStyle="1" w:styleId="MemoHeaderStyle">
    <w:name w:val="MemoHeaderStyle"/>
    <w:basedOn w:val="prastasis"/>
    <w:pPr>
      <w:spacing w:line="120" w:lineRule="atLeast"/>
      <w:ind w:left="1418"/>
      <w:jc w:val="both"/>
    </w:pPr>
    <w:rPr>
      <w:rFonts w:ascii="Arial" w:hAnsi="Arial"/>
      <w:b/>
      <w:smallCaps/>
    </w:rPr>
  </w:style>
  <w:style w:type="paragraph" w:customStyle="1" w:styleId="CommentText1">
    <w:name w:val="Comment Text1"/>
    <w:basedOn w:val="prastasis"/>
    <w:rPr>
      <w:sz w:val="20"/>
    </w:rPr>
  </w:style>
  <w:style w:type="paragraph" w:customStyle="1" w:styleId="EMEAEnBodyText">
    <w:name w:val="EMEA En Body Text"/>
    <w:basedOn w:val="prastasis"/>
    <w:pPr>
      <w:tabs>
        <w:tab w:val="clear" w:pos="567"/>
      </w:tabs>
      <w:spacing w:before="120" w:after="120" w:line="100" w:lineRule="atLeast"/>
      <w:jc w:val="both"/>
    </w:pPr>
    <w:rPr>
      <w:lang w:val="en-US"/>
    </w:rPr>
  </w:style>
  <w:style w:type="paragraph" w:customStyle="1" w:styleId="BalloonText1">
    <w:name w:val="Balloon Text1"/>
    <w:basedOn w:val="prastasis"/>
    <w:rPr>
      <w:rFonts w:ascii="Tahoma" w:hAnsi="Tahoma" w:cs="Tahoma"/>
      <w:sz w:val="16"/>
      <w:szCs w:val="16"/>
    </w:rPr>
  </w:style>
  <w:style w:type="paragraph" w:customStyle="1" w:styleId="BodytextAgency">
    <w:name w:val="Body text (Agency)"/>
    <w:basedOn w:val="prastasis"/>
    <w:pPr>
      <w:tabs>
        <w:tab w:val="clear" w:pos="567"/>
      </w:tabs>
      <w:spacing w:after="140" w:line="280" w:lineRule="atLeast"/>
    </w:pPr>
    <w:rPr>
      <w:rFonts w:ascii="Verdana" w:eastAsia="Verdana" w:hAnsi="Verdana" w:cs="Verdana"/>
      <w:sz w:val="18"/>
      <w:szCs w:val="18"/>
    </w:rPr>
  </w:style>
  <w:style w:type="paragraph" w:customStyle="1" w:styleId="DraftingNotesAgency">
    <w:name w:val="Drafting Notes (Agency)"/>
    <w:basedOn w:val="prastasis"/>
    <w:pPr>
      <w:tabs>
        <w:tab w:val="clear" w:pos="567"/>
      </w:tabs>
      <w:spacing w:after="140" w:line="280" w:lineRule="atLeast"/>
    </w:pPr>
    <w:rPr>
      <w:rFonts w:ascii="Courier New" w:eastAsia="Verdana" w:hAnsi="Courier New"/>
      <w:i/>
      <w:color w:val="339966"/>
      <w:szCs w:val="18"/>
    </w:rPr>
  </w:style>
  <w:style w:type="paragraph" w:customStyle="1" w:styleId="NormalAgency">
    <w:name w:val="Normal (Agency)"/>
    <w:rsid w:val="00695A47"/>
    <w:pPr>
      <w:suppressAutoHyphens/>
    </w:pPr>
    <w:rPr>
      <w:rFonts w:ascii="Verdana" w:eastAsia="Verdana" w:hAnsi="Verdana" w:cs="Verdana"/>
      <w:sz w:val="18"/>
      <w:szCs w:val="18"/>
      <w:lang w:val="en-GB" w:eastAsia="ar-SA"/>
    </w:rPr>
  </w:style>
  <w:style w:type="paragraph" w:customStyle="1" w:styleId="TableheadingrowsAgency">
    <w:name w:val="Table heading rows (Agency)"/>
    <w:basedOn w:val="BodytextAgency"/>
    <w:pPr>
      <w:keepNext/>
    </w:pPr>
    <w:rPr>
      <w:rFonts w:eastAsia="Times New Roman"/>
      <w:b/>
    </w:rPr>
  </w:style>
  <w:style w:type="paragraph" w:customStyle="1" w:styleId="TabletextrowsAgency">
    <w:name w:val="Table text rows (Agency)"/>
    <w:basedOn w:val="prastasis"/>
    <w:pPr>
      <w:tabs>
        <w:tab w:val="clear" w:pos="567"/>
      </w:tabs>
      <w:spacing w:line="280" w:lineRule="exact"/>
    </w:pPr>
    <w:rPr>
      <w:rFonts w:ascii="Verdana" w:hAnsi="Verdana" w:cs="Verdana"/>
      <w:sz w:val="18"/>
      <w:szCs w:val="18"/>
    </w:rPr>
  </w:style>
  <w:style w:type="paragraph" w:customStyle="1" w:styleId="CommentSubject1">
    <w:name w:val="Comment Subject1"/>
    <w:basedOn w:val="CommentText1"/>
    <w:rPr>
      <w:b/>
      <w:bCs/>
    </w:rPr>
  </w:style>
  <w:style w:type="paragraph" w:customStyle="1" w:styleId="FootnoteText1">
    <w:name w:val="Footnote Text1"/>
    <w:basedOn w:val="prastasis"/>
    <w:pPr>
      <w:tabs>
        <w:tab w:val="clear" w:pos="567"/>
      </w:tabs>
      <w:spacing w:after="200" w:line="276" w:lineRule="auto"/>
    </w:pPr>
    <w:rPr>
      <w:rFonts w:ascii="Calibri" w:eastAsia="Calibri" w:hAnsi="Calibri"/>
      <w:sz w:val="20"/>
      <w:lang w:val="en-US"/>
    </w:rPr>
  </w:style>
  <w:style w:type="paragraph" w:customStyle="1" w:styleId="ListParagraph1">
    <w:name w:val="List Paragraph1"/>
    <w:basedOn w:val="prastasis"/>
    <w:pPr>
      <w:tabs>
        <w:tab w:val="clear" w:pos="567"/>
      </w:tabs>
      <w:spacing w:after="240" w:line="276" w:lineRule="auto"/>
      <w:ind w:left="720"/>
      <w:jc w:val="both"/>
    </w:pPr>
    <w:rPr>
      <w:rFonts w:eastAsia="Calibri"/>
      <w:lang w:val="en-US"/>
    </w:rPr>
  </w:style>
  <w:style w:type="paragraph" w:customStyle="1" w:styleId="Revision1">
    <w:name w:val="Revision1"/>
    <w:rsid w:val="00695A47"/>
    <w:pPr>
      <w:suppressAutoHyphens/>
    </w:pPr>
    <w:rPr>
      <w:sz w:val="22"/>
      <w:lang w:val="en-GB" w:eastAsia="ar-SA"/>
    </w:rPr>
  </w:style>
  <w:style w:type="paragraph" w:styleId="Debesliotekstas">
    <w:name w:val="Balloon Text"/>
    <w:basedOn w:val="prastasis"/>
    <w:link w:val="DebesliotekstasDiagrama"/>
    <w:uiPriority w:val="99"/>
    <w:semiHidden/>
    <w:unhideWhenUsed/>
    <w:rsid w:val="00ED586B"/>
    <w:pPr>
      <w:spacing w:line="240" w:lineRule="auto"/>
    </w:pPr>
    <w:rPr>
      <w:rFonts w:ascii="Segoe UI" w:hAnsi="Segoe UI" w:cs="Segoe UI"/>
      <w:sz w:val="18"/>
      <w:szCs w:val="18"/>
    </w:rPr>
  </w:style>
  <w:style w:type="character" w:customStyle="1" w:styleId="DebesliotekstasDiagrama">
    <w:name w:val="Debesėlio tekstas Diagrama"/>
    <w:link w:val="Debesliotekstas"/>
    <w:uiPriority w:val="99"/>
    <w:semiHidden/>
    <w:rsid w:val="00ED586B"/>
    <w:rPr>
      <w:rFonts w:ascii="Segoe UI" w:hAnsi="Segoe UI" w:cs="Segoe UI"/>
      <w:color w:val="000000"/>
      <w:sz w:val="18"/>
      <w:szCs w:val="18"/>
      <w:lang w:eastAsia="ar-SA"/>
    </w:rPr>
  </w:style>
  <w:style w:type="paragraph" w:customStyle="1" w:styleId="Default">
    <w:name w:val="Default"/>
    <w:rsid w:val="00695A47"/>
    <w:pPr>
      <w:autoSpaceDE w:val="0"/>
      <w:autoSpaceDN w:val="0"/>
      <w:adjustRightInd w:val="0"/>
    </w:pPr>
    <w:rPr>
      <w:color w:val="000000"/>
      <w:sz w:val="24"/>
      <w:szCs w:val="24"/>
      <w:lang w:val="lt-LT" w:eastAsia="lt-LT"/>
    </w:rPr>
  </w:style>
  <w:style w:type="paragraph" w:styleId="Sraopastraipa">
    <w:name w:val="List Paragraph"/>
    <w:basedOn w:val="prastasis"/>
    <w:uiPriority w:val="34"/>
    <w:qFormat/>
    <w:rsid w:val="00ED586B"/>
    <w:pPr>
      <w:ind w:left="1296"/>
    </w:pPr>
  </w:style>
  <w:style w:type="character" w:styleId="Komentaronuoroda">
    <w:name w:val="annotation reference"/>
    <w:uiPriority w:val="99"/>
    <w:unhideWhenUsed/>
    <w:rsid w:val="00D11416"/>
    <w:rPr>
      <w:sz w:val="16"/>
      <w:szCs w:val="16"/>
    </w:rPr>
  </w:style>
  <w:style w:type="paragraph" w:styleId="Komentarotekstas">
    <w:name w:val="annotation text"/>
    <w:basedOn w:val="prastasis"/>
    <w:link w:val="KomentarotekstasDiagrama1"/>
    <w:uiPriority w:val="99"/>
    <w:unhideWhenUsed/>
    <w:rsid w:val="00D11416"/>
    <w:rPr>
      <w:sz w:val="20"/>
      <w:szCs w:val="20"/>
    </w:rPr>
  </w:style>
  <w:style w:type="character" w:customStyle="1" w:styleId="KomentarotekstasDiagrama1">
    <w:name w:val="Komentaro tekstas Diagrama1"/>
    <w:link w:val="Komentarotekstas"/>
    <w:uiPriority w:val="99"/>
    <w:rsid w:val="00D11416"/>
    <w:rPr>
      <w:color w:val="000000"/>
      <w:lang w:val="lt-LT" w:eastAsia="ar-SA"/>
    </w:rPr>
  </w:style>
  <w:style w:type="paragraph" w:styleId="Komentarotema">
    <w:name w:val="annotation subject"/>
    <w:basedOn w:val="Komentarotekstas"/>
    <w:next w:val="Komentarotekstas"/>
    <w:link w:val="KomentarotemaDiagrama1"/>
    <w:uiPriority w:val="99"/>
    <w:semiHidden/>
    <w:unhideWhenUsed/>
    <w:rsid w:val="00D11416"/>
    <w:rPr>
      <w:b/>
      <w:bCs/>
    </w:rPr>
  </w:style>
  <w:style w:type="character" w:customStyle="1" w:styleId="KomentarotemaDiagrama1">
    <w:name w:val="Komentaro tema Diagrama1"/>
    <w:link w:val="Komentarotema"/>
    <w:uiPriority w:val="99"/>
    <w:semiHidden/>
    <w:rsid w:val="00D11416"/>
    <w:rPr>
      <w:b/>
      <w:bCs/>
      <w:color w:val="000000"/>
      <w:lang w:val="lt-LT" w:eastAsia="ar-SA"/>
    </w:rPr>
  </w:style>
  <w:style w:type="paragraph" w:styleId="Pataisymai">
    <w:name w:val="Revision"/>
    <w:hidden/>
    <w:uiPriority w:val="99"/>
    <w:semiHidden/>
    <w:rsid w:val="00695A47"/>
    <w:rPr>
      <w:color w:val="000000"/>
      <w:sz w:val="24"/>
      <w:szCs w:val="24"/>
      <w:lang w:val="lt-LT" w:eastAsia="ar-SA"/>
    </w:rPr>
  </w:style>
  <w:style w:type="table" w:styleId="Lentelstinklelis">
    <w:name w:val="Table Grid"/>
    <w:basedOn w:val="prastojilentel"/>
    <w:uiPriority w:val="59"/>
    <w:rsid w:val="00AD0E75"/>
    <w:rPr>
      <w:rFonts w:ascii="Calibri" w:eastAsia="Calibri" w:hAnsi="Calibr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agrindinistekstasDiagrama">
    <w:name w:val="Pagrindinis tekstas Diagrama"/>
    <w:basedOn w:val="Numatytasispastraiposriftas"/>
    <w:link w:val="Pagrindinistekstas"/>
    <w:rsid w:val="00695A47"/>
    <w:rPr>
      <w:i/>
      <w:color w:val="008000"/>
      <w:sz w:val="24"/>
      <w:szCs w:val="24"/>
      <w:lang w:val="lt-LT" w:eastAsia="ar-SA"/>
    </w:rPr>
  </w:style>
  <w:style w:type="character" w:customStyle="1" w:styleId="PoratDiagrama">
    <w:name w:val="Poraštė Diagrama"/>
    <w:basedOn w:val="Numatytasispastraiposriftas"/>
    <w:link w:val="Porat"/>
    <w:rsid w:val="00695A47"/>
    <w:rPr>
      <w:rFonts w:ascii="Arial" w:hAnsi="Arial"/>
      <w:color w:val="000000"/>
      <w:sz w:val="16"/>
      <w:szCs w:val="24"/>
      <w:lang w:val="lt-LT" w:eastAsia="ar-SA"/>
    </w:rPr>
  </w:style>
  <w:style w:type="character" w:customStyle="1" w:styleId="AntratsDiagrama">
    <w:name w:val="Antraštės Diagrama"/>
    <w:basedOn w:val="Numatytasispastraiposriftas"/>
    <w:link w:val="Antrats"/>
    <w:rsid w:val="00695A47"/>
    <w:rPr>
      <w:rFonts w:ascii="Arial" w:hAnsi="Arial"/>
      <w:color w:val="000000"/>
      <w:szCs w:val="24"/>
      <w:lang w:val="lt-LT"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937958">
      <w:bodyDiv w:val="1"/>
      <w:marLeft w:val="0"/>
      <w:marRight w:val="0"/>
      <w:marTop w:val="0"/>
      <w:marBottom w:val="0"/>
      <w:divBdr>
        <w:top w:val="none" w:sz="0" w:space="0" w:color="auto"/>
        <w:left w:val="none" w:sz="0" w:space="0" w:color="auto"/>
        <w:bottom w:val="none" w:sz="0" w:space="0" w:color="auto"/>
        <w:right w:val="none" w:sz="0" w:space="0" w:color="auto"/>
      </w:divBdr>
    </w:div>
    <w:div w:id="378556541">
      <w:bodyDiv w:val="1"/>
      <w:marLeft w:val="0"/>
      <w:marRight w:val="0"/>
      <w:marTop w:val="0"/>
      <w:marBottom w:val="0"/>
      <w:divBdr>
        <w:top w:val="none" w:sz="0" w:space="0" w:color="auto"/>
        <w:left w:val="none" w:sz="0" w:space="0" w:color="auto"/>
        <w:bottom w:val="none" w:sz="0" w:space="0" w:color="auto"/>
        <w:right w:val="none" w:sz="0" w:space="0" w:color="auto"/>
      </w:divBdr>
    </w:div>
    <w:div w:id="771513534">
      <w:bodyDiv w:val="1"/>
      <w:marLeft w:val="0"/>
      <w:marRight w:val="0"/>
      <w:marTop w:val="0"/>
      <w:marBottom w:val="0"/>
      <w:divBdr>
        <w:top w:val="none" w:sz="0" w:space="0" w:color="auto"/>
        <w:left w:val="none" w:sz="0" w:space="0" w:color="auto"/>
        <w:bottom w:val="none" w:sz="0" w:space="0" w:color="auto"/>
        <w:right w:val="none" w:sz="0" w:space="0" w:color="auto"/>
      </w:divBdr>
    </w:div>
    <w:div w:id="1040593486">
      <w:bodyDiv w:val="1"/>
      <w:marLeft w:val="0"/>
      <w:marRight w:val="0"/>
      <w:marTop w:val="0"/>
      <w:marBottom w:val="0"/>
      <w:divBdr>
        <w:top w:val="none" w:sz="0" w:space="0" w:color="auto"/>
        <w:left w:val="none" w:sz="0" w:space="0" w:color="auto"/>
        <w:bottom w:val="none" w:sz="0" w:space="0" w:color="auto"/>
        <w:right w:val="none" w:sz="0" w:space="0" w:color="auto"/>
      </w:divBdr>
    </w:div>
    <w:div w:id="1079905877">
      <w:bodyDiv w:val="1"/>
      <w:marLeft w:val="0"/>
      <w:marRight w:val="0"/>
      <w:marTop w:val="0"/>
      <w:marBottom w:val="0"/>
      <w:divBdr>
        <w:top w:val="none" w:sz="0" w:space="0" w:color="auto"/>
        <w:left w:val="none" w:sz="0" w:space="0" w:color="auto"/>
        <w:bottom w:val="none" w:sz="0" w:space="0" w:color="auto"/>
        <w:right w:val="none" w:sz="0" w:space="0" w:color="auto"/>
      </w:divBdr>
    </w:div>
    <w:div w:id="1158421949">
      <w:bodyDiv w:val="1"/>
      <w:marLeft w:val="0"/>
      <w:marRight w:val="0"/>
      <w:marTop w:val="0"/>
      <w:marBottom w:val="0"/>
      <w:divBdr>
        <w:top w:val="none" w:sz="0" w:space="0" w:color="auto"/>
        <w:left w:val="none" w:sz="0" w:space="0" w:color="auto"/>
        <w:bottom w:val="none" w:sz="0" w:space="0" w:color="auto"/>
        <w:right w:val="none" w:sz="0" w:space="0" w:color="auto"/>
      </w:divBdr>
    </w:div>
    <w:div w:id="1597637421">
      <w:bodyDiv w:val="1"/>
      <w:marLeft w:val="0"/>
      <w:marRight w:val="0"/>
      <w:marTop w:val="0"/>
      <w:marBottom w:val="0"/>
      <w:divBdr>
        <w:top w:val="none" w:sz="0" w:space="0" w:color="auto"/>
        <w:left w:val="none" w:sz="0" w:space="0" w:color="auto"/>
        <w:bottom w:val="none" w:sz="0" w:space="0" w:color="auto"/>
        <w:right w:val="none" w:sz="0" w:space="0" w:color="auto"/>
      </w:divBdr>
    </w:div>
    <w:div w:id="1695887879">
      <w:bodyDiv w:val="1"/>
      <w:marLeft w:val="0"/>
      <w:marRight w:val="0"/>
      <w:marTop w:val="0"/>
      <w:marBottom w:val="0"/>
      <w:divBdr>
        <w:top w:val="none" w:sz="0" w:space="0" w:color="auto"/>
        <w:left w:val="none" w:sz="0" w:space="0" w:color="auto"/>
        <w:bottom w:val="none" w:sz="0" w:space="0" w:color="auto"/>
        <w:right w:val="none" w:sz="0" w:space="0" w:color="auto"/>
      </w:divBdr>
    </w:div>
    <w:div w:id="1764371822">
      <w:bodyDiv w:val="1"/>
      <w:marLeft w:val="0"/>
      <w:marRight w:val="0"/>
      <w:marTop w:val="0"/>
      <w:marBottom w:val="0"/>
      <w:divBdr>
        <w:top w:val="none" w:sz="0" w:space="0" w:color="auto"/>
        <w:left w:val="none" w:sz="0" w:space="0" w:color="auto"/>
        <w:bottom w:val="none" w:sz="0" w:space="0" w:color="auto"/>
        <w:right w:val="none" w:sz="0" w:space="0" w:color="auto"/>
      </w:divBdr>
    </w:div>
    <w:div w:id="1815248204">
      <w:bodyDiv w:val="1"/>
      <w:marLeft w:val="0"/>
      <w:marRight w:val="0"/>
      <w:marTop w:val="0"/>
      <w:marBottom w:val="0"/>
      <w:divBdr>
        <w:top w:val="none" w:sz="0" w:space="0" w:color="auto"/>
        <w:left w:val="none" w:sz="0" w:space="0" w:color="auto"/>
        <w:bottom w:val="none" w:sz="0" w:space="0" w:color="auto"/>
        <w:right w:val="none" w:sz="0" w:space="0" w:color="auto"/>
      </w:divBdr>
    </w:div>
    <w:div w:id="1849908946">
      <w:bodyDiv w:val="1"/>
      <w:marLeft w:val="0"/>
      <w:marRight w:val="0"/>
      <w:marTop w:val="0"/>
      <w:marBottom w:val="0"/>
      <w:divBdr>
        <w:top w:val="none" w:sz="0" w:space="0" w:color="auto"/>
        <w:left w:val="none" w:sz="0" w:space="0" w:color="auto"/>
        <w:bottom w:val="none" w:sz="0" w:space="0" w:color="auto"/>
        <w:right w:val="none" w:sz="0" w:space="0" w:color="auto"/>
      </w:divBdr>
    </w:div>
    <w:div w:id="1978533353">
      <w:bodyDiv w:val="1"/>
      <w:marLeft w:val="0"/>
      <w:marRight w:val="0"/>
      <w:marTop w:val="0"/>
      <w:marBottom w:val="0"/>
      <w:divBdr>
        <w:top w:val="none" w:sz="0" w:space="0" w:color="auto"/>
        <w:left w:val="none" w:sz="0" w:space="0" w:color="auto"/>
        <w:bottom w:val="none" w:sz="0" w:space="0" w:color="auto"/>
        <w:right w:val="none" w:sz="0" w:space="0" w:color="auto"/>
      </w:divBdr>
    </w:div>
    <w:div w:id="2083134860">
      <w:bodyDiv w:val="1"/>
      <w:marLeft w:val="0"/>
      <w:marRight w:val="0"/>
      <w:marTop w:val="0"/>
      <w:marBottom w:val="0"/>
      <w:divBdr>
        <w:top w:val="none" w:sz="0" w:space="0" w:color="auto"/>
        <w:left w:val="none" w:sz="0" w:space="0" w:color="auto"/>
        <w:bottom w:val="none" w:sz="0" w:space="0" w:color="auto"/>
        <w:right w:val="none" w:sz="0" w:space="0" w:color="auto"/>
      </w:divBdr>
    </w:div>
    <w:div w:id="2120098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0C1F15-61A7-46C8-A2A0-1C02FD84D1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161</Pages>
  <Words>289159</Words>
  <Characters>164821</Characters>
  <Application>Microsoft Office Word</Application>
  <DocSecurity>0</DocSecurity>
  <Lines>1373</Lines>
  <Paragraphs>906</Paragraphs>
  <ScaleCrop>false</ScaleCrop>
  <HeadingPairs>
    <vt:vector size="6" baseType="variant">
      <vt:variant>
        <vt:lpstr>Pavadinimas</vt:lpstr>
      </vt:variant>
      <vt:variant>
        <vt:i4>1</vt:i4>
      </vt:variant>
      <vt:variant>
        <vt:lpstr>Title</vt:lpstr>
      </vt:variant>
      <vt:variant>
        <vt:i4>1</vt:i4>
      </vt:variant>
      <vt:variant>
        <vt:lpstr>Naslov</vt:lpstr>
      </vt:variant>
      <vt:variant>
        <vt:i4>1</vt:i4>
      </vt:variant>
    </vt:vector>
  </HeadingPairs>
  <TitlesOfParts>
    <vt:vector size="3" baseType="lpstr">
      <vt:lpstr>Z30825</vt:lpstr>
      <vt:lpstr>Z30825</vt:lpstr>
      <vt:lpstr>Z30825</vt:lpstr>
    </vt:vector>
  </TitlesOfParts>
  <Company/>
  <LinksUpToDate>false</LinksUpToDate>
  <CharactersWithSpaces>453074</CharactersWithSpaces>
  <SharedDoc>false</SharedDoc>
  <HLinks>
    <vt:vector size="168" baseType="variant">
      <vt:variant>
        <vt:i4>1245197</vt:i4>
      </vt:variant>
      <vt:variant>
        <vt:i4>81</vt:i4>
      </vt:variant>
      <vt:variant>
        <vt:i4>0</vt:i4>
      </vt:variant>
      <vt:variant>
        <vt:i4>5</vt:i4>
      </vt:variant>
      <vt:variant>
        <vt:lpwstr>http://www.ema.europa.eu/</vt:lpwstr>
      </vt:variant>
      <vt:variant>
        <vt:lpwstr/>
      </vt:variant>
      <vt:variant>
        <vt:i4>7077950</vt:i4>
      </vt:variant>
      <vt:variant>
        <vt:i4>78</vt:i4>
      </vt:variant>
      <vt:variant>
        <vt:i4>0</vt:i4>
      </vt:variant>
      <vt:variant>
        <vt:i4>5</vt:i4>
      </vt:variant>
      <vt:variant>
        <vt:lpwstr>http://www.vvkt.lt/</vt:lpwstr>
      </vt:variant>
      <vt:variant>
        <vt:lpwstr/>
      </vt:variant>
      <vt:variant>
        <vt:i4>2162708</vt:i4>
      </vt:variant>
      <vt:variant>
        <vt:i4>75</vt:i4>
      </vt:variant>
      <vt:variant>
        <vt:i4>0</vt:i4>
      </vt:variant>
      <vt:variant>
        <vt:i4>5</vt:i4>
      </vt:variant>
      <vt:variant>
        <vt:lpwstr>mailto:NepageidaujamaR@vvkt.lt</vt:lpwstr>
      </vt:variant>
      <vt:variant>
        <vt:lpwstr/>
      </vt:variant>
      <vt:variant>
        <vt:i4>7077950</vt:i4>
      </vt:variant>
      <vt:variant>
        <vt:i4>72</vt:i4>
      </vt:variant>
      <vt:variant>
        <vt:i4>0</vt:i4>
      </vt:variant>
      <vt:variant>
        <vt:i4>5</vt:i4>
      </vt:variant>
      <vt:variant>
        <vt:lpwstr>http://www.vvkt.lt/</vt:lpwstr>
      </vt:variant>
      <vt:variant>
        <vt:lpwstr/>
      </vt:variant>
      <vt:variant>
        <vt:i4>1245197</vt:i4>
      </vt:variant>
      <vt:variant>
        <vt:i4>69</vt:i4>
      </vt:variant>
      <vt:variant>
        <vt:i4>0</vt:i4>
      </vt:variant>
      <vt:variant>
        <vt:i4>5</vt:i4>
      </vt:variant>
      <vt:variant>
        <vt:lpwstr>http://www.ema.europa.eu/</vt:lpwstr>
      </vt:variant>
      <vt:variant>
        <vt:lpwstr/>
      </vt:variant>
      <vt:variant>
        <vt:i4>7077950</vt:i4>
      </vt:variant>
      <vt:variant>
        <vt:i4>66</vt:i4>
      </vt:variant>
      <vt:variant>
        <vt:i4>0</vt:i4>
      </vt:variant>
      <vt:variant>
        <vt:i4>5</vt:i4>
      </vt:variant>
      <vt:variant>
        <vt:lpwstr>http://www.vvkt.lt/</vt:lpwstr>
      </vt:variant>
      <vt:variant>
        <vt:lpwstr/>
      </vt:variant>
      <vt:variant>
        <vt:i4>2162708</vt:i4>
      </vt:variant>
      <vt:variant>
        <vt:i4>63</vt:i4>
      </vt:variant>
      <vt:variant>
        <vt:i4>0</vt:i4>
      </vt:variant>
      <vt:variant>
        <vt:i4>5</vt:i4>
      </vt:variant>
      <vt:variant>
        <vt:lpwstr>mailto:NepageidaujamaR@vvkt.lt</vt:lpwstr>
      </vt:variant>
      <vt:variant>
        <vt:lpwstr/>
      </vt:variant>
      <vt:variant>
        <vt:i4>7077950</vt:i4>
      </vt:variant>
      <vt:variant>
        <vt:i4>60</vt:i4>
      </vt:variant>
      <vt:variant>
        <vt:i4>0</vt:i4>
      </vt:variant>
      <vt:variant>
        <vt:i4>5</vt:i4>
      </vt:variant>
      <vt:variant>
        <vt:lpwstr>http://www.vvkt.lt/</vt:lpwstr>
      </vt:variant>
      <vt:variant>
        <vt:lpwstr/>
      </vt:variant>
      <vt:variant>
        <vt:i4>1245197</vt:i4>
      </vt:variant>
      <vt:variant>
        <vt:i4>57</vt:i4>
      </vt:variant>
      <vt:variant>
        <vt:i4>0</vt:i4>
      </vt:variant>
      <vt:variant>
        <vt:i4>5</vt:i4>
      </vt:variant>
      <vt:variant>
        <vt:lpwstr>http://www.ema.europa.eu/</vt:lpwstr>
      </vt:variant>
      <vt:variant>
        <vt:lpwstr/>
      </vt:variant>
      <vt:variant>
        <vt:i4>7077950</vt:i4>
      </vt:variant>
      <vt:variant>
        <vt:i4>54</vt:i4>
      </vt:variant>
      <vt:variant>
        <vt:i4>0</vt:i4>
      </vt:variant>
      <vt:variant>
        <vt:i4>5</vt:i4>
      </vt:variant>
      <vt:variant>
        <vt:lpwstr>http://www.vvkt.lt/</vt:lpwstr>
      </vt:variant>
      <vt:variant>
        <vt:lpwstr/>
      </vt:variant>
      <vt:variant>
        <vt:i4>2162708</vt:i4>
      </vt:variant>
      <vt:variant>
        <vt:i4>51</vt:i4>
      </vt:variant>
      <vt:variant>
        <vt:i4>0</vt:i4>
      </vt:variant>
      <vt:variant>
        <vt:i4>5</vt:i4>
      </vt:variant>
      <vt:variant>
        <vt:lpwstr>mailto:NepageidaujamaR@vvkt.lt</vt:lpwstr>
      </vt:variant>
      <vt:variant>
        <vt:lpwstr/>
      </vt:variant>
      <vt:variant>
        <vt:i4>7077950</vt:i4>
      </vt:variant>
      <vt:variant>
        <vt:i4>48</vt:i4>
      </vt:variant>
      <vt:variant>
        <vt:i4>0</vt:i4>
      </vt:variant>
      <vt:variant>
        <vt:i4>5</vt:i4>
      </vt:variant>
      <vt:variant>
        <vt:lpwstr>http://www.vvkt.lt/</vt:lpwstr>
      </vt:variant>
      <vt:variant>
        <vt:lpwstr/>
      </vt:variant>
      <vt:variant>
        <vt:i4>1245197</vt:i4>
      </vt:variant>
      <vt:variant>
        <vt:i4>45</vt:i4>
      </vt:variant>
      <vt:variant>
        <vt:i4>0</vt:i4>
      </vt:variant>
      <vt:variant>
        <vt:i4>5</vt:i4>
      </vt:variant>
      <vt:variant>
        <vt:lpwstr>http://www.ema.europa.eu/</vt:lpwstr>
      </vt:variant>
      <vt:variant>
        <vt:lpwstr/>
      </vt:variant>
      <vt:variant>
        <vt:i4>7077950</vt:i4>
      </vt:variant>
      <vt:variant>
        <vt:i4>42</vt:i4>
      </vt:variant>
      <vt:variant>
        <vt:i4>0</vt:i4>
      </vt:variant>
      <vt:variant>
        <vt:i4>5</vt:i4>
      </vt:variant>
      <vt:variant>
        <vt:lpwstr>http://www.vvkt.lt/</vt:lpwstr>
      </vt:variant>
      <vt:variant>
        <vt:lpwstr/>
      </vt:variant>
      <vt:variant>
        <vt:i4>2162708</vt:i4>
      </vt:variant>
      <vt:variant>
        <vt:i4>39</vt:i4>
      </vt:variant>
      <vt:variant>
        <vt:i4>0</vt:i4>
      </vt:variant>
      <vt:variant>
        <vt:i4>5</vt:i4>
      </vt:variant>
      <vt:variant>
        <vt:lpwstr>mailto:NepageidaujamaR@vvkt.lt</vt:lpwstr>
      </vt:variant>
      <vt:variant>
        <vt:lpwstr/>
      </vt:variant>
      <vt:variant>
        <vt:i4>7077950</vt:i4>
      </vt:variant>
      <vt:variant>
        <vt:i4>36</vt:i4>
      </vt:variant>
      <vt:variant>
        <vt:i4>0</vt:i4>
      </vt:variant>
      <vt:variant>
        <vt:i4>5</vt:i4>
      </vt:variant>
      <vt:variant>
        <vt:lpwstr>http://www.vvkt.lt/</vt:lpwstr>
      </vt:variant>
      <vt:variant>
        <vt:lpwstr/>
      </vt:variant>
      <vt:variant>
        <vt:i4>1245197</vt:i4>
      </vt:variant>
      <vt:variant>
        <vt:i4>33</vt:i4>
      </vt:variant>
      <vt:variant>
        <vt:i4>0</vt:i4>
      </vt:variant>
      <vt:variant>
        <vt:i4>5</vt:i4>
      </vt:variant>
      <vt:variant>
        <vt:lpwstr>http://www.ema.europa.eu/</vt:lpwstr>
      </vt:variant>
      <vt:variant>
        <vt:lpwstr/>
      </vt:variant>
      <vt:variant>
        <vt:i4>7077950</vt:i4>
      </vt:variant>
      <vt:variant>
        <vt:i4>30</vt:i4>
      </vt:variant>
      <vt:variant>
        <vt:i4>0</vt:i4>
      </vt:variant>
      <vt:variant>
        <vt:i4>5</vt:i4>
      </vt:variant>
      <vt:variant>
        <vt:lpwstr>http://www.vvkt.lt/</vt:lpwstr>
      </vt:variant>
      <vt:variant>
        <vt:lpwstr/>
      </vt:variant>
      <vt:variant>
        <vt:i4>2162708</vt:i4>
      </vt:variant>
      <vt:variant>
        <vt:i4>27</vt:i4>
      </vt:variant>
      <vt:variant>
        <vt:i4>0</vt:i4>
      </vt:variant>
      <vt:variant>
        <vt:i4>5</vt:i4>
      </vt:variant>
      <vt:variant>
        <vt:lpwstr>mailto:NepageidaujamaR@vvkt.lt</vt:lpwstr>
      </vt:variant>
      <vt:variant>
        <vt:lpwstr/>
      </vt:variant>
      <vt:variant>
        <vt:i4>7077950</vt:i4>
      </vt:variant>
      <vt:variant>
        <vt:i4>24</vt:i4>
      </vt:variant>
      <vt:variant>
        <vt:i4>0</vt:i4>
      </vt:variant>
      <vt:variant>
        <vt:i4>5</vt:i4>
      </vt:variant>
      <vt:variant>
        <vt:lpwstr>http://www.vvkt.lt/</vt:lpwstr>
      </vt:variant>
      <vt:variant>
        <vt:lpwstr/>
      </vt:variant>
      <vt:variant>
        <vt:i4>1245197</vt:i4>
      </vt:variant>
      <vt:variant>
        <vt:i4>21</vt:i4>
      </vt:variant>
      <vt:variant>
        <vt:i4>0</vt:i4>
      </vt:variant>
      <vt:variant>
        <vt:i4>5</vt:i4>
      </vt:variant>
      <vt:variant>
        <vt:lpwstr>http://www.ema.europa.eu/</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1245197</vt:i4>
      </vt:variant>
      <vt:variant>
        <vt:i4>9</vt:i4>
      </vt:variant>
      <vt:variant>
        <vt:i4>0</vt:i4>
      </vt:variant>
      <vt:variant>
        <vt:i4>5</vt:i4>
      </vt:variant>
      <vt:variant>
        <vt:lpwstr>http://www.ema.europa.eu/</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Z30825</dc:title>
  <dc:subject>Updates to Truberzi product information - LT</dc:subject>
  <dc:creator>T037 and K021</dc:creator>
  <cp:keywords/>
  <cp:lastModifiedBy>Birutė Valkauskaitė</cp:lastModifiedBy>
  <cp:revision>3</cp:revision>
  <cp:lastPrinted>2018-08-21T10:42:00Z</cp:lastPrinted>
  <dcterms:created xsi:type="dcterms:W3CDTF">2024-10-10T09:51:00Z</dcterms:created>
  <dcterms:modified xsi:type="dcterms:W3CDTF">2024-10-10T09:52:00Z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Zebra Translations Limited</vt:lpwstr>
  </property>
  <property fmtid="{D5CDD505-2E9C-101B-9397-08002B2CF9AE}" pid="4" name="DocSecurity">
    <vt:i4>8</vt:i4>
  </property>
  <property fmtid="{D5CDD505-2E9C-101B-9397-08002B2CF9AE}" pid="5" name="HyperlinksChanged">
    <vt:bool>false</vt:bool>
  </property>
  <property fmtid="{D5CDD505-2E9C-101B-9397-08002B2CF9AE}" pid="6" name="LinksUpToDate">
    <vt:bool>false</vt:bool>
  </property>
  <property fmtid="{D5CDD505-2E9C-101B-9397-08002B2CF9AE}" pid="7" name="Manager">
    <vt:lpwstr>K021 and P022</vt:lpwstr>
  </property>
  <property fmtid="{D5CDD505-2E9C-101B-9397-08002B2CF9AE}" pid="8" name="ScaleCrop">
    <vt:bool>false</vt:bool>
  </property>
  <property fmtid="{D5CDD505-2E9C-101B-9397-08002B2CF9AE}" pid="9" name="ShareDoc">
    <vt:bool>false</vt:bool>
  </property>
</Properties>
</file>