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857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E76F9B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557554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27020B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2A32F9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964C4E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9E211E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0D6ACA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6AA70A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3B0F61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6DE6D8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E1CE0A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4E4711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AD35F2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9F79A9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AF1765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C55639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2D9462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464506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76C84C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92DF96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3C649C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9090AEC" w14:textId="77777777" w:rsidR="003E79F3" w:rsidRPr="00633873" w:rsidRDefault="003E79F3"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0AF4B90F"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633873">
        <w:rPr>
          <w:rFonts w:ascii="Times New Roman" w:eastAsia="Times New Roman" w:hAnsi="Times New Roman" w:cs="Times New Roman"/>
          <w:b/>
          <w:caps/>
        </w:rPr>
        <w:t>I PRIEDAS</w:t>
      </w:r>
    </w:p>
    <w:p w14:paraId="696C2633"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750263BE"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633873">
        <w:rPr>
          <w:rFonts w:ascii="Times New Roman" w:eastAsia="Times New Roman" w:hAnsi="Times New Roman" w:cs="Times New Roman"/>
          <w:b/>
          <w:caps/>
        </w:rPr>
        <w:t>PREPARATO CHARAKTERISTIKŲ SANTRAUKA</w:t>
      </w:r>
    </w:p>
    <w:p w14:paraId="77B95B78" w14:textId="77777777" w:rsidR="00A35A18" w:rsidRPr="00633873" w:rsidRDefault="00A35A18" w:rsidP="00A35A18">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lang w:eastAsia="zh-CN"/>
        </w:rPr>
        <w:br w:type="page"/>
      </w:r>
    </w:p>
    <w:p w14:paraId="1CF6F6B8"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lastRenderedPageBreak/>
        <w:t>1.</w:t>
      </w:r>
      <w:r w:rsidRPr="00633873">
        <w:rPr>
          <w:rFonts w:ascii="Times New Roman" w:eastAsia="Times New Roman" w:hAnsi="Times New Roman" w:cs="Times New Roman"/>
          <w:b/>
          <w:bCs/>
        </w:rPr>
        <w:tab/>
        <w:t>VAISTINIO PREPARATO PAVADINIMAS</w:t>
      </w:r>
    </w:p>
    <w:p w14:paraId="4963A88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F44A83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5 mg plėvele dengtos tabletės</w:t>
      </w:r>
    </w:p>
    <w:p w14:paraId="57F6452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highlight w:val="lightGray"/>
        </w:rPr>
        <w:t>Ambrisentan</w:t>
      </w:r>
      <w:proofErr w:type="spellEnd"/>
      <w:r w:rsidRPr="00633873">
        <w:rPr>
          <w:rFonts w:ascii="Times New Roman" w:eastAsia="Times New Roman" w:hAnsi="Times New Roman" w:cs="Times New Roman"/>
          <w:snapToGrid w:val="0"/>
          <w:szCs w:val="24"/>
          <w:highlight w:val="lightGray"/>
        </w:rPr>
        <w:t xml:space="preserve"> </w:t>
      </w:r>
      <w:proofErr w:type="spellStart"/>
      <w:r w:rsidR="00E62DAA" w:rsidRPr="00633873">
        <w:rPr>
          <w:rFonts w:ascii="Times New Roman" w:eastAsia="Times New Roman" w:hAnsi="Times New Roman" w:cs="Times New Roman"/>
          <w:snapToGrid w:val="0"/>
          <w:szCs w:val="24"/>
          <w:highlight w:val="lightGray"/>
        </w:rPr>
        <w:t>Zentiva</w:t>
      </w:r>
      <w:proofErr w:type="spellEnd"/>
      <w:r w:rsidRPr="00633873">
        <w:rPr>
          <w:rFonts w:ascii="Times New Roman" w:eastAsia="Times New Roman" w:hAnsi="Times New Roman" w:cs="Times New Roman"/>
          <w:snapToGrid w:val="0"/>
          <w:szCs w:val="24"/>
          <w:highlight w:val="lightGray"/>
        </w:rPr>
        <w:t xml:space="preserve"> 10 mg plėvele dengtos tabletės</w:t>
      </w:r>
    </w:p>
    <w:p w14:paraId="1DC70C8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839904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361EFAE"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2.</w:t>
      </w:r>
      <w:r w:rsidRPr="00633873">
        <w:rPr>
          <w:rFonts w:ascii="Times New Roman" w:eastAsia="Times New Roman" w:hAnsi="Times New Roman" w:cs="Times New Roman"/>
          <w:b/>
          <w:bCs/>
        </w:rPr>
        <w:tab/>
        <w:t>KOKYBINĖ IR KIEKYBINĖ SUDĖTIS</w:t>
      </w:r>
    </w:p>
    <w:p w14:paraId="6F34BD0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5458991" w14:textId="77777777" w:rsidR="00B0798F" w:rsidRPr="00633873" w:rsidRDefault="00B0798F" w:rsidP="00B0798F">
      <w:pPr>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Ambrisentan</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Zentiva</w:t>
      </w:r>
      <w:proofErr w:type="spellEnd"/>
      <w:r w:rsidRPr="00633873">
        <w:rPr>
          <w:rFonts w:ascii="Times New Roman" w:eastAsia="Times New Roman" w:hAnsi="Times New Roman" w:cs="Times New Roman"/>
          <w:snapToGrid w:val="0"/>
          <w:szCs w:val="24"/>
          <w:u w:val="single"/>
        </w:rPr>
        <w:t xml:space="preserve"> 5 mg plėvele dengtos tabletės</w:t>
      </w:r>
    </w:p>
    <w:p w14:paraId="67BB649A" w14:textId="77777777" w:rsidR="00B0798F"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Kiekvienoje tabletėje yra 5 mg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cr/>
      </w:r>
    </w:p>
    <w:p w14:paraId="1B0F5B7D" w14:textId="77777777" w:rsidR="00B0798F" w:rsidRPr="00633873" w:rsidRDefault="00B0798F" w:rsidP="00B0798F">
      <w:pPr>
        <w:tabs>
          <w:tab w:val="left" w:pos="567"/>
        </w:tabs>
        <w:spacing w:after="0" w:line="260" w:lineRule="exact"/>
        <w:rPr>
          <w:rFonts w:ascii="Times New Roman" w:eastAsia="Times New Roman" w:hAnsi="Times New Roman" w:cs="Times New Roman"/>
          <w:snapToGrid w:val="0"/>
          <w:szCs w:val="24"/>
          <w:highlight w:val="lightGray"/>
          <w:u w:val="single"/>
        </w:rPr>
      </w:pPr>
      <w:proofErr w:type="spellStart"/>
      <w:r w:rsidRPr="00633873">
        <w:rPr>
          <w:rFonts w:ascii="Times New Roman" w:eastAsia="Times New Roman" w:hAnsi="Times New Roman" w:cs="Times New Roman"/>
          <w:snapToGrid w:val="0"/>
          <w:szCs w:val="24"/>
          <w:highlight w:val="lightGray"/>
          <w:u w:val="single"/>
        </w:rPr>
        <w:t>Ambrisentan</w:t>
      </w:r>
      <w:proofErr w:type="spellEnd"/>
      <w:r w:rsidRPr="00633873">
        <w:rPr>
          <w:rFonts w:ascii="Times New Roman" w:eastAsia="Times New Roman" w:hAnsi="Times New Roman" w:cs="Times New Roman"/>
          <w:snapToGrid w:val="0"/>
          <w:szCs w:val="24"/>
          <w:highlight w:val="lightGray"/>
          <w:u w:val="single"/>
        </w:rPr>
        <w:t xml:space="preserve"> </w:t>
      </w:r>
      <w:proofErr w:type="spellStart"/>
      <w:r w:rsidRPr="00633873">
        <w:rPr>
          <w:rFonts w:ascii="Times New Roman" w:eastAsia="Times New Roman" w:hAnsi="Times New Roman" w:cs="Times New Roman"/>
          <w:snapToGrid w:val="0"/>
          <w:szCs w:val="24"/>
          <w:highlight w:val="lightGray"/>
          <w:u w:val="single"/>
        </w:rPr>
        <w:t>Zentiva</w:t>
      </w:r>
      <w:proofErr w:type="spellEnd"/>
      <w:r w:rsidRPr="00633873">
        <w:rPr>
          <w:rFonts w:ascii="Times New Roman" w:eastAsia="Times New Roman" w:hAnsi="Times New Roman" w:cs="Times New Roman"/>
          <w:snapToGrid w:val="0"/>
          <w:szCs w:val="24"/>
          <w:highlight w:val="lightGray"/>
          <w:u w:val="single"/>
        </w:rPr>
        <w:t xml:space="preserve"> 10 mg plėvele dengtos tabletės</w:t>
      </w:r>
    </w:p>
    <w:p w14:paraId="3735815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highlight w:val="lightGray"/>
        </w:rPr>
        <w:t xml:space="preserve">Kiekvienoje tabletėje yra 10 mg </w:t>
      </w:r>
      <w:proofErr w:type="spellStart"/>
      <w:r w:rsidRPr="00633873">
        <w:rPr>
          <w:rFonts w:ascii="Times New Roman" w:eastAsia="Times New Roman" w:hAnsi="Times New Roman" w:cs="Times New Roman"/>
          <w:snapToGrid w:val="0"/>
          <w:szCs w:val="24"/>
          <w:highlight w:val="lightGray"/>
        </w:rPr>
        <w:t>ambrisentano</w:t>
      </w:r>
      <w:proofErr w:type="spellEnd"/>
      <w:r w:rsidRPr="00633873">
        <w:rPr>
          <w:rFonts w:ascii="Times New Roman" w:eastAsia="Times New Roman" w:hAnsi="Times New Roman" w:cs="Times New Roman"/>
          <w:snapToGrid w:val="0"/>
          <w:szCs w:val="24"/>
          <w:highlight w:val="lightGray"/>
        </w:rPr>
        <w:t>.</w:t>
      </w:r>
      <w:r w:rsidRPr="00633873">
        <w:rPr>
          <w:rFonts w:ascii="Times New Roman" w:eastAsia="Times New Roman" w:hAnsi="Times New Roman" w:cs="Times New Roman"/>
          <w:snapToGrid w:val="0"/>
          <w:szCs w:val="24"/>
        </w:rPr>
        <w:cr/>
      </w:r>
    </w:p>
    <w:p w14:paraId="1AAF793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0"/>
          <w:u w:val="single"/>
        </w:rPr>
        <w:t xml:space="preserve">Pagalbinės medžiagos, </w:t>
      </w:r>
      <w:r w:rsidRPr="00633873">
        <w:rPr>
          <w:rFonts w:ascii="Times New Roman" w:eastAsia="Times New Roman" w:hAnsi="Times New Roman" w:cs="Times New Roman"/>
          <w:snapToGrid w:val="0"/>
          <w:szCs w:val="24"/>
          <w:u w:val="single"/>
        </w:rPr>
        <w:t>kurių</w:t>
      </w:r>
      <w:r w:rsidRPr="00633873">
        <w:rPr>
          <w:rFonts w:ascii="Times New Roman" w:eastAsia="Times New Roman" w:hAnsi="Times New Roman" w:cs="Times New Roman"/>
          <w:snapToGrid w:val="0"/>
          <w:szCs w:val="20"/>
          <w:u w:val="single"/>
        </w:rPr>
        <w:t xml:space="preserve"> poveikis žinomas</w:t>
      </w:r>
    </w:p>
    <w:p w14:paraId="58C90213" w14:textId="77777777" w:rsidR="00B0798F" w:rsidRPr="00633873" w:rsidRDefault="00B0798F" w:rsidP="00B0798F">
      <w:pPr>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Ambrisentan</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Zentiva</w:t>
      </w:r>
      <w:proofErr w:type="spellEnd"/>
      <w:r w:rsidRPr="00633873">
        <w:rPr>
          <w:rFonts w:ascii="Times New Roman" w:eastAsia="Times New Roman" w:hAnsi="Times New Roman" w:cs="Times New Roman"/>
          <w:snapToGrid w:val="0"/>
          <w:szCs w:val="24"/>
          <w:u w:val="single"/>
        </w:rPr>
        <w:t xml:space="preserve"> 5 mg plėvele dengtos tabletės</w:t>
      </w:r>
    </w:p>
    <w:p w14:paraId="3261725D" w14:textId="77777777" w:rsidR="00A35A18" w:rsidRPr="00633873" w:rsidRDefault="00B0798F"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K</w:t>
      </w:r>
      <w:r w:rsidR="00A35A18" w:rsidRPr="00633873">
        <w:rPr>
          <w:rFonts w:ascii="Times New Roman" w:eastAsia="Times New Roman" w:hAnsi="Times New Roman" w:cs="Times New Roman"/>
          <w:snapToGrid w:val="0"/>
          <w:szCs w:val="24"/>
        </w:rPr>
        <w:t>iekvienoje tabletėje yra maždaug 47,5</w:t>
      </w:r>
      <w:r w:rsidRPr="00633873">
        <w:rPr>
          <w:rFonts w:ascii="Times New Roman" w:eastAsia="Times New Roman" w:hAnsi="Times New Roman" w:cs="Times New Roman"/>
          <w:snapToGrid w:val="0"/>
          <w:szCs w:val="24"/>
        </w:rPr>
        <w:t>0</w:t>
      </w:r>
      <w:r w:rsidR="00A35A18" w:rsidRPr="00633873">
        <w:rPr>
          <w:rFonts w:ascii="Times New Roman" w:eastAsia="Times New Roman" w:hAnsi="Times New Roman" w:cs="Times New Roman"/>
          <w:snapToGrid w:val="0"/>
          <w:szCs w:val="24"/>
        </w:rPr>
        <w:t> mg laktozės (</w:t>
      </w:r>
      <w:proofErr w:type="spellStart"/>
      <w:r w:rsidR="00A35A18" w:rsidRPr="00633873">
        <w:rPr>
          <w:rFonts w:ascii="Times New Roman" w:eastAsia="Times New Roman" w:hAnsi="Times New Roman" w:cs="Times New Roman"/>
          <w:snapToGrid w:val="0"/>
          <w:szCs w:val="24"/>
        </w:rPr>
        <w:t>monohidrato</w:t>
      </w:r>
      <w:proofErr w:type="spellEnd"/>
      <w:r w:rsidR="00A35A18" w:rsidRPr="00633873">
        <w:rPr>
          <w:rFonts w:ascii="Times New Roman" w:eastAsia="Times New Roman" w:hAnsi="Times New Roman" w:cs="Times New Roman"/>
          <w:snapToGrid w:val="0"/>
          <w:szCs w:val="24"/>
        </w:rPr>
        <w:t xml:space="preserve"> pavidalu), 0,14 mg </w:t>
      </w:r>
      <w:r w:rsidRPr="00633873">
        <w:rPr>
          <w:rFonts w:ascii="Times New Roman" w:eastAsia="Times New Roman" w:hAnsi="Times New Roman" w:cs="Times New Roman"/>
          <w:snapToGrid w:val="0"/>
          <w:szCs w:val="24"/>
        </w:rPr>
        <w:t xml:space="preserve">sojų </w:t>
      </w:r>
      <w:proofErr w:type="spellStart"/>
      <w:r w:rsidR="00A35A18" w:rsidRPr="00633873">
        <w:rPr>
          <w:rFonts w:ascii="Times New Roman" w:eastAsia="Times New Roman" w:hAnsi="Times New Roman" w:cs="Times New Roman"/>
          <w:snapToGrid w:val="0"/>
          <w:szCs w:val="24"/>
        </w:rPr>
        <w:t>lecitino</w:t>
      </w:r>
      <w:proofErr w:type="spellEnd"/>
      <w:r w:rsidR="00A35A18"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ir</w:t>
      </w:r>
      <w:r w:rsidR="00A35A18" w:rsidRPr="00633873">
        <w:rPr>
          <w:rFonts w:ascii="Times New Roman" w:eastAsia="Times New Roman" w:hAnsi="Times New Roman" w:cs="Times New Roman"/>
          <w:snapToGrid w:val="0"/>
          <w:szCs w:val="24"/>
        </w:rPr>
        <w:t xml:space="preserve"> 0,022 mg </w:t>
      </w:r>
      <w:proofErr w:type="spellStart"/>
      <w:r w:rsidR="00A35A18" w:rsidRPr="00633873">
        <w:rPr>
          <w:rFonts w:ascii="Times New Roman" w:eastAsia="Times New Roman" w:hAnsi="Times New Roman" w:cs="Times New Roman"/>
          <w:snapToGrid w:val="0"/>
          <w:szCs w:val="24"/>
        </w:rPr>
        <w:t>Alura</w:t>
      </w:r>
      <w:proofErr w:type="spellEnd"/>
      <w:r w:rsidR="00A35A18" w:rsidRPr="00633873">
        <w:rPr>
          <w:rFonts w:ascii="Times New Roman" w:eastAsia="Times New Roman" w:hAnsi="Times New Roman" w:cs="Times New Roman"/>
          <w:snapToGrid w:val="0"/>
          <w:szCs w:val="24"/>
        </w:rPr>
        <w:t xml:space="preserve"> raudonojo AC (E129).</w:t>
      </w:r>
    </w:p>
    <w:p w14:paraId="5F6D1CF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7FE39DA" w14:textId="77777777" w:rsidR="00B0798F" w:rsidRPr="00633873" w:rsidRDefault="00B0798F" w:rsidP="00B0798F">
      <w:pPr>
        <w:tabs>
          <w:tab w:val="left" w:pos="567"/>
        </w:tabs>
        <w:spacing w:after="0" w:line="260" w:lineRule="exact"/>
        <w:rPr>
          <w:rFonts w:ascii="Times New Roman" w:eastAsia="Times New Roman" w:hAnsi="Times New Roman" w:cs="Times New Roman"/>
          <w:snapToGrid w:val="0"/>
          <w:szCs w:val="24"/>
          <w:highlight w:val="lightGray"/>
          <w:u w:val="single"/>
        </w:rPr>
      </w:pPr>
      <w:proofErr w:type="spellStart"/>
      <w:r w:rsidRPr="00633873">
        <w:rPr>
          <w:rFonts w:ascii="Times New Roman" w:eastAsia="Times New Roman" w:hAnsi="Times New Roman" w:cs="Times New Roman"/>
          <w:snapToGrid w:val="0"/>
          <w:szCs w:val="24"/>
          <w:highlight w:val="lightGray"/>
          <w:u w:val="single"/>
        </w:rPr>
        <w:t>Ambrisentan</w:t>
      </w:r>
      <w:proofErr w:type="spellEnd"/>
      <w:r w:rsidRPr="00633873">
        <w:rPr>
          <w:rFonts w:ascii="Times New Roman" w:eastAsia="Times New Roman" w:hAnsi="Times New Roman" w:cs="Times New Roman"/>
          <w:snapToGrid w:val="0"/>
          <w:szCs w:val="24"/>
          <w:highlight w:val="lightGray"/>
          <w:u w:val="single"/>
        </w:rPr>
        <w:t xml:space="preserve"> </w:t>
      </w:r>
      <w:proofErr w:type="spellStart"/>
      <w:r w:rsidRPr="00633873">
        <w:rPr>
          <w:rFonts w:ascii="Times New Roman" w:eastAsia="Times New Roman" w:hAnsi="Times New Roman" w:cs="Times New Roman"/>
          <w:snapToGrid w:val="0"/>
          <w:szCs w:val="24"/>
          <w:highlight w:val="lightGray"/>
          <w:u w:val="single"/>
        </w:rPr>
        <w:t>Zentiva</w:t>
      </w:r>
      <w:proofErr w:type="spellEnd"/>
      <w:r w:rsidRPr="00633873">
        <w:rPr>
          <w:rFonts w:ascii="Times New Roman" w:eastAsia="Times New Roman" w:hAnsi="Times New Roman" w:cs="Times New Roman"/>
          <w:snapToGrid w:val="0"/>
          <w:szCs w:val="24"/>
          <w:highlight w:val="lightGray"/>
          <w:u w:val="single"/>
        </w:rPr>
        <w:t xml:space="preserve"> 10 mg plėvele dengtos tabletės</w:t>
      </w:r>
    </w:p>
    <w:p w14:paraId="6EFE4A84" w14:textId="77777777" w:rsidR="00A35A18" w:rsidRPr="00633873" w:rsidRDefault="00B0798F"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highlight w:val="lightGray"/>
        </w:rPr>
        <w:t>K</w:t>
      </w:r>
      <w:r w:rsidR="00A35A18" w:rsidRPr="00633873">
        <w:rPr>
          <w:rFonts w:ascii="Times New Roman" w:eastAsia="Times New Roman" w:hAnsi="Times New Roman" w:cs="Times New Roman"/>
          <w:snapToGrid w:val="0"/>
          <w:szCs w:val="24"/>
          <w:highlight w:val="lightGray"/>
        </w:rPr>
        <w:t>iekvienoje tabletėje yra maždaug 95 mg laktozės (</w:t>
      </w:r>
      <w:proofErr w:type="spellStart"/>
      <w:r w:rsidR="00A35A18" w:rsidRPr="00633873">
        <w:rPr>
          <w:rFonts w:ascii="Times New Roman" w:eastAsia="Times New Roman" w:hAnsi="Times New Roman" w:cs="Times New Roman"/>
          <w:snapToGrid w:val="0"/>
          <w:szCs w:val="24"/>
          <w:highlight w:val="lightGray"/>
        </w:rPr>
        <w:t>monohidrato</w:t>
      </w:r>
      <w:proofErr w:type="spellEnd"/>
      <w:r w:rsidR="00A35A18" w:rsidRPr="00633873">
        <w:rPr>
          <w:rFonts w:ascii="Times New Roman" w:eastAsia="Times New Roman" w:hAnsi="Times New Roman" w:cs="Times New Roman"/>
          <w:snapToGrid w:val="0"/>
          <w:szCs w:val="24"/>
          <w:highlight w:val="lightGray"/>
        </w:rPr>
        <w:t xml:space="preserve"> pavidalu), 0,21 mg </w:t>
      </w:r>
      <w:r w:rsidRPr="00633873">
        <w:rPr>
          <w:rFonts w:ascii="Times New Roman" w:eastAsia="Times New Roman" w:hAnsi="Times New Roman" w:cs="Times New Roman"/>
          <w:snapToGrid w:val="0"/>
          <w:szCs w:val="24"/>
          <w:highlight w:val="lightGray"/>
        </w:rPr>
        <w:t xml:space="preserve">sojų </w:t>
      </w:r>
      <w:proofErr w:type="spellStart"/>
      <w:r w:rsidR="00A35A18" w:rsidRPr="00633873">
        <w:rPr>
          <w:rFonts w:ascii="Times New Roman" w:eastAsia="Times New Roman" w:hAnsi="Times New Roman" w:cs="Times New Roman"/>
          <w:snapToGrid w:val="0"/>
          <w:szCs w:val="24"/>
          <w:highlight w:val="lightGray"/>
        </w:rPr>
        <w:t>lecitino</w:t>
      </w:r>
      <w:proofErr w:type="spellEnd"/>
      <w:r w:rsidRPr="00633873">
        <w:rPr>
          <w:rFonts w:ascii="Times New Roman" w:eastAsia="Times New Roman" w:hAnsi="Times New Roman" w:cs="Times New Roman"/>
          <w:snapToGrid w:val="0"/>
          <w:szCs w:val="24"/>
          <w:highlight w:val="lightGray"/>
        </w:rPr>
        <w:t xml:space="preserve"> ir</w:t>
      </w:r>
      <w:r w:rsidR="00A35A18" w:rsidRPr="00633873">
        <w:rPr>
          <w:rFonts w:ascii="Times New Roman" w:eastAsia="Times New Roman" w:hAnsi="Times New Roman" w:cs="Times New Roman"/>
          <w:snapToGrid w:val="0"/>
          <w:szCs w:val="24"/>
          <w:highlight w:val="lightGray"/>
        </w:rPr>
        <w:t xml:space="preserve"> 0,405 mg </w:t>
      </w:r>
      <w:proofErr w:type="spellStart"/>
      <w:r w:rsidR="00A35A18" w:rsidRPr="00633873">
        <w:rPr>
          <w:rFonts w:ascii="Times New Roman" w:eastAsia="Times New Roman" w:hAnsi="Times New Roman" w:cs="Times New Roman"/>
          <w:snapToGrid w:val="0"/>
          <w:szCs w:val="24"/>
          <w:highlight w:val="lightGray"/>
        </w:rPr>
        <w:t>Alura</w:t>
      </w:r>
      <w:proofErr w:type="spellEnd"/>
      <w:r w:rsidR="00A35A18" w:rsidRPr="00633873">
        <w:rPr>
          <w:rFonts w:ascii="Times New Roman" w:eastAsia="Times New Roman" w:hAnsi="Times New Roman" w:cs="Times New Roman"/>
          <w:snapToGrid w:val="0"/>
          <w:szCs w:val="24"/>
          <w:highlight w:val="lightGray"/>
        </w:rPr>
        <w:t xml:space="preserve"> raudonojo AC (E129).</w:t>
      </w:r>
    </w:p>
    <w:p w14:paraId="2C7DA09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A85A2D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Visos pagalbinės medžiagos išvardytos 6.1</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uje.</w:t>
      </w:r>
    </w:p>
    <w:p w14:paraId="23C49C2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8A71E5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E42F253"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3.</w:t>
      </w:r>
      <w:r w:rsidRPr="00633873">
        <w:rPr>
          <w:rFonts w:ascii="Times New Roman" w:eastAsia="Times New Roman" w:hAnsi="Times New Roman" w:cs="Times New Roman"/>
          <w:b/>
          <w:bCs/>
        </w:rPr>
        <w:tab/>
        <w:t>FARMACINĖ FORMA</w:t>
      </w:r>
    </w:p>
    <w:p w14:paraId="79573F6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327554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Plėvele dengta tabletė.</w:t>
      </w:r>
    </w:p>
    <w:p w14:paraId="36FFC4D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D2F0E20" w14:textId="77777777" w:rsidR="00E22B0F" w:rsidRPr="00633873" w:rsidRDefault="00E22B0F" w:rsidP="00E22B0F">
      <w:pPr>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Ambrisentan</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Zentiva</w:t>
      </w:r>
      <w:proofErr w:type="spellEnd"/>
      <w:r w:rsidRPr="00633873">
        <w:rPr>
          <w:rFonts w:ascii="Times New Roman" w:eastAsia="Times New Roman" w:hAnsi="Times New Roman" w:cs="Times New Roman"/>
          <w:snapToGrid w:val="0"/>
          <w:szCs w:val="24"/>
          <w:u w:val="single"/>
        </w:rPr>
        <w:t xml:space="preserve"> 5 mg plėvele dengtos tabletės</w:t>
      </w:r>
    </w:p>
    <w:p w14:paraId="613DA6E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Šviesiai rausva, kvadratinė, išgaubta plėvele dengta tabletė, vienoje pusėje įspausta „5“, kita pusė lygi, nominalusis ilgis/plotis maždaug 5,9 mm.</w:t>
      </w:r>
    </w:p>
    <w:p w14:paraId="1539F95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C1F4243" w14:textId="77777777" w:rsidR="00E22B0F" w:rsidRPr="00633873" w:rsidRDefault="00E22B0F" w:rsidP="00E22B0F">
      <w:pPr>
        <w:tabs>
          <w:tab w:val="left" w:pos="567"/>
        </w:tabs>
        <w:spacing w:after="0" w:line="260" w:lineRule="exact"/>
        <w:rPr>
          <w:rFonts w:ascii="Times New Roman" w:eastAsia="Times New Roman" w:hAnsi="Times New Roman" w:cs="Times New Roman"/>
          <w:snapToGrid w:val="0"/>
          <w:szCs w:val="24"/>
          <w:highlight w:val="lightGray"/>
          <w:u w:val="single"/>
        </w:rPr>
      </w:pPr>
      <w:proofErr w:type="spellStart"/>
      <w:r w:rsidRPr="00633873">
        <w:rPr>
          <w:rFonts w:ascii="Times New Roman" w:eastAsia="Times New Roman" w:hAnsi="Times New Roman" w:cs="Times New Roman"/>
          <w:snapToGrid w:val="0"/>
          <w:szCs w:val="24"/>
          <w:highlight w:val="lightGray"/>
          <w:u w:val="single"/>
        </w:rPr>
        <w:t>Ambrisentan</w:t>
      </w:r>
      <w:proofErr w:type="spellEnd"/>
      <w:r w:rsidRPr="00633873">
        <w:rPr>
          <w:rFonts w:ascii="Times New Roman" w:eastAsia="Times New Roman" w:hAnsi="Times New Roman" w:cs="Times New Roman"/>
          <w:snapToGrid w:val="0"/>
          <w:szCs w:val="24"/>
          <w:highlight w:val="lightGray"/>
          <w:u w:val="single"/>
        </w:rPr>
        <w:t xml:space="preserve"> </w:t>
      </w:r>
      <w:proofErr w:type="spellStart"/>
      <w:r w:rsidRPr="00633873">
        <w:rPr>
          <w:rFonts w:ascii="Times New Roman" w:eastAsia="Times New Roman" w:hAnsi="Times New Roman" w:cs="Times New Roman"/>
          <w:snapToGrid w:val="0"/>
          <w:szCs w:val="24"/>
          <w:highlight w:val="lightGray"/>
          <w:u w:val="single"/>
        </w:rPr>
        <w:t>Zentiva</w:t>
      </w:r>
      <w:proofErr w:type="spellEnd"/>
      <w:r w:rsidRPr="00633873">
        <w:rPr>
          <w:rFonts w:ascii="Times New Roman" w:eastAsia="Times New Roman" w:hAnsi="Times New Roman" w:cs="Times New Roman"/>
          <w:snapToGrid w:val="0"/>
          <w:szCs w:val="24"/>
          <w:highlight w:val="lightGray"/>
          <w:u w:val="single"/>
        </w:rPr>
        <w:t xml:space="preserve"> 10 mg plėvele dengtos tabletės</w:t>
      </w:r>
    </w:p>
    <w:p w14:paraId="063E055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highlight w:val="lightGray"/>
        </w:rPr>
        <w:t>Rožinė, pailga, abipus išgaubta plėvele dengta tabletė, vienoje pusėje įspausta „10“, kita pusė lygi, nominalusis ilgis maždaug 11,1 mm, nominalusis plotis maždaug 5,6 mm.</w:t>
      </w:r>
    </w:p>
    <w:p w14:paraId="1460B8E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DA2098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C553054"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4.</w:t>
      </w:r>
      <w:r w:rsidRPr="00633873">
        <w:rPr>
          <w:rFonts w:ascii="Times New Roman" w:eastAsia="Times New Roman" w:hAnsi="Times New Roman" w:cs="Times New Roman"/>
          <w:b/>
          <w:bCs/>
        </w:rPr>
        <w:tab/>
        <w:t>KLINIKINĖ INFORMACIJA</w:t>
      </w:r>
    </w:p>
    <w:p w14:paraId="5B2BD2A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B3CCC66"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4.1</w:t>
      </w:r>
      <w:r w:rsidRPr="00633873">
        <w:rPr>
          <w:rFonts w:ascii="Times New Roman" w:eastAsia="Times New Roman" w:hAnsi="Times New Roman" w:cs="Times New Roman"/>
          <w:b/>
          <w:kern w:val="28"/>
        </w:rPr>
        <w:tab/>
        <w:t>Terapinės indikacijos</w:t>
      </w:r>
    </w:p>
    <w:p w14:paraId="267A315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8C36046" w14:textId="11E2325A" w:rsidR="00A35A18" w:rsidRPr="00DF0B2C"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skirtas suaugusių pacientų </w:t>
      </w:r>
      <w:proofErr w:type="spellStart"/>
      <w:r w:rsidRPr="00633873">
        <w:rPr>
          <w:rFonts w:ascii="Times New Roman" w:eastAsia="Times New Roman" w:hAnsi="Times New Roman" w:cs="Times New Roman"/>
          <w:snapToGrid w:val="0"/>
          <w:szCs w:val="24"/>
        </w:rPr>
        <w:t>plautinės</w:t>
      </w:r>
      <w:proofErr w:type="spellEnd"/>
      <w:r w:rsidRPr="00633873">
        <w:rPr>
          <w:rFonts w:ascii="Times New Roman" w:eastAsia="Times New Roman" w:hAnsi="Times New Roman" w:cs="Times New Roman"/>
          <w:snapToGrid w:val="0"/>
          <w:szCs w:val="24"/>
        </w:rPr>
        <w:t xml:space="preserve"> hipertenzijos (PH), priskiriamos II ir III funkcinei klasei (FK) pagal </w:t>
      </w:r>
      <w:r w:rsidR="00E22B0F" w:rsidRPr="00633873">
        <w:rPr>
          <w:rFonts w:ascii="Times New Roman" w:eastAsia="Times New Roman" w:hAnsi="Times New Roman" w:cs="Times New Roman"/>
          <w:snapToGrid w:val="0"/>
          <w:szCs w:val="24"/>
        </w:rPr>
        <w:t>Pasaulio sveikatos organizacijos (</w:t>
      </w:r>
      <w:r w:rsidRPr="00633873">
        <w:rPr>
          <w:rFonts w:ascii="Times New Roman" w:eastAsia="Times New Roman" w:hAnsi="Times New Roman" w:cs="Times New Roman"/>
          <w:snapToGrid w:val="0"/>
          <w:szCs w:val="24"/>
        </w:rPr>
        <w:t>PSO</w:t>
      </w:r>
      <w:r w:rsidR="00E22B0F"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klasifikaciją, gydymui, įskaitant ir vartojimą </w:t>
      </w:r>
      <w:r w:rsidR="00AC6347" w:rsidRPr="00633873">
        <w:rPr>
          <w:rFonts w:ascii="Times New Roman" w:eastAsia="Times New Roman" w:hAnsi="Times New Roman" w:cs="Times New Roman"/>
          <w:snapToGrid w:val="0"/>
          <w:szCs w:val="24"/>
        </w:rPr>
        <w:t>derinyje</w:t>
      </w:r>
      <w:r w:rsidRPr="00633873">
        <w:rPr>
          <w:rFonts w:ascii="Times New Roman" w:eastAsia="Times New Roman" w:hAnsi="Times New Roman" w:cs="Times New Roman"/>
          <w:snapToGrid w:val="0"/>
          <w:szCs w:val="24"/>
        </w:rPr>
        <w:t xml:space="preserve"> su kitais vaistiniais preparatais (žr. 5.1</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 Veiksmingumas nustatytas gydant idiopatinę PH (IPH) ir PH, susijusią su jungiamojo audinio liga.</w:t>
      </w:r>
      <w:r w:rsidRPr="00633873">
        <w:rPr>
          <w:rFonts w:ascii="Times New Roman" w:eastAsia="Times New Roman" w:hAnsi="Times New Roman" w:cs="Times New Roman"/>
          <w:snapToGrid w:val="0"/>
          <w:szCs w:val="24"/>
        </w:rPr>
        <w:cr/>
      </w:r>
    </w:p>
    <w:p w14:paraId="2DB2530E" w14:textId="1F8B3C0B" w:rsidR="004B529C" w:rsidRPr="00633873" w:rsidRDefault="004B529C"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skirtas paauglių ir vaikų (nuo 8 iki mažiau kaip 18 metų amžiaus) PH, priskiriamos II ir III funkcinei klasei (FK) pagal PSO klasifikaciją, gydymui, įskaitant ir vartojimą derinyje su kitais vaistiniais preparatais. Veiksmingumas nustatytas gydant IPH, šeiminę PH, koreguotą įgimtą PH ir PH, susijusią su jungiamojo audinio liga (žr. 5.1 skyrių).</w:t>
      </w:r>
    </w:p>
    <w:p w14:paraId="116A5C62" w14:textId="77777777" w:rsidR="004B529C" w:rsidRPr="00633873" w:rsidRDefault="004B529C" w:rsidP="00A35A18">
      <w:pPr>
        <w:tabs>
          <w:tab w:val="left" w:pos="567"/>
        </w:tabs>
        <w:spacing w:after="0" w:line="260" w:lineRule="exact"/>
        <w:rPr>
          <w:rFonts w:ascii="Times New Roman" w:eastAsia="Times New Roman" w:hAnsi="Times New Roman" w:cs="Times New Roman"/>
          <w:snapToGrid w:val="0"/>
          <w:szCs w:val="24"/>
        </w:rPr>
      </w:pPr>
    </w:p>
    <w:p w14:paraId="3A512177"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4.2</w:t>
      </w:r>
      <w:r w:rsidRPr="00633873">
        <w:rPr>
          <w:rFonts w:ascii="Times New Roman" w:eastAsia="Times New Roman" w:hAnsi="Times New Roman" w:cs="Times New Roman"/>
          <w:b/>
          <w:kern w:val="28"/>
        </w:rPr>
        <w:tab/>
        <w:t>Dozavimas ir vartojimo metodas</w:t>
      </w:r>
    </w:p>
    <w:p w14:paraId="557DA95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0D784DE" w14:textId="428CE5C6"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 xml:space="preserve">Gydymą </w:t>
      </w:r>
      <w:r w:rsidR="00AC6347" w:rsidRPr="00633873">
        <w:rPr>
          <w:rFonts w:ascii="Times New Roman" w:eastAsia="Times New Roman" w:hAnsi="Times New Roman" w:cs="Times New Roman"/>
          <w:iCs/>
          <w:snapToGrid w:val="0"/>
          <w:szCs w:val="24"/>
        </w:rPr>
        <w:t>gali</w:t>
      </w:r>
      <w:r w:rsidRPr="00633873">
        <w:rPr>
          <w:rFonts w:ascii="Times New Roman" w:eastAsia="Times New Roman" w:hAnsi="Times New Roman" w:cs="Times New Roman"/>
          <w:iCs/>
          <w:snapToGrid w:val="0"/>
          <w:szCs w:val="24"/>
        </w:rPr>
        <w:t xml:space="preserve"> pradėti tik gydytojas, </w:t>
      </w:r>
      <w:r w:rsidR="00E22B0F" w:rsidRPr="00633873">
        <w:rPr>
          <w:rFonts w:ascii="Times New Roman" w:eastAsia="Times New Roman" w:hAnsi="Times New Roman" w:cs="Times New Roman"/>
          <w:iCs/>
          <w:snapToGrid w:val="0"/>
          <w:szCs w:val="24"/>
        </w:rPr>
        <w:t>turintis</w:t>
      </w:r>
      <w:r w:rsidRPr="00633873">
        <w:rPr>
          <w:rFonts w:ascii="Times New Roman" w:eastAsia="Times New Roman" w:hAnsi="Times New Roman" w:cs="Times New Roman"/>
          <w:iCs/>
          <w:snapToGrid w:val="0"/>
          <w:szCs w:val="24"/>
        </w:rPr>
        <w:t xml:space="preserve"> PH</w:t>
      </w:r>
      <w:r w:rsidR="00E22B0F" w:rsidRPr="00633873">
        <w:rPr>
          <w:rFonts w:ascii="Times New Roman" w:eastAsia="Times New Roman" w:hAnsi="Times New Roman" w:cs="Times New Roman"/>
          <w:iCs/>
          <w:snapToGrid w:val="0"/>
          <w:szCs w:val="24"/>
        </w:rPr>
        <w:t xml:space="preserve"> gydymo patirties</w:t>
      </w:r>
      <w:r w:rsidRPr="00633873">
        <w:rPr>
          <w:rFonts w:ascii="Times New Roman" w:eastAsia="Times New Roman" w:hAnsi="Times New Roman" w:cs="Times New Roman"/>
          <w:iCs/>
          <w:snapToGrid w:val="0"/>
          <w:szCs w:val="24"/>
        </w:rPr>
        <w:t>.</w:t>
      </w:r>
    </w:p>
    <w:p w14:paraId="77110CF1"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642A60A6"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u w:val="single"/>
        </w:rPr>
      </w:pPr>
      <w:r w:rsidRPr="00633873">
        <w:rPr>
          <w:rFonts w:ascii="Times New Roman" w:eastAsia="Times New Roman" w:hAnsi="Times New Roman" w:cs="Times New Roman"/>
          <w:iCs/>
          <w:snapToGrid w:val="0"/>
          <w:szCs w:val="24"/>
          <w:u w:val="single"/>
        </w:rPr>
        <w:t>Dozavimas</w:t>
      </w:r>
    </w:p>
    <w:p w14:paraId="15B26089" w14:textId="77777777" w:rsidR="00577297" w:rsidRDefault="00577297" w:rsidP="00A35A18">
      <w:pPr>
        <w:tabs>
          <w:tab w:val="left" w:pos="567"/>
        </w:tabs>
        <w:spacing w:after="0" w:line="260" w:lineRule="exact"/>
        <w:rPr>
          <w:rFonts w:ascii="Times New Roman" w:eastAsia="Times New Roman" w:hAnsi="Times New Roman" w:cs="Times New Roman"/>
          <w:i/>
          <w:snapToGrid w:val="0"/>
          <w:szCs w:val="24"/>
          <w:u w:val="single"/>
        </w:rPr>
      </w:pPr>
    </w:p>
    <w:p w14:paraId="48CABE1C" w14:textId="6547FC99" w:rsidR="00A35A18" w:rsidRPr="00633873" w:rsidRDefault="004B529C" w:rsidP="00A35A18">
      <w:pPr>
        <w:tabs>
          <w:tab w:val="left" w:pos="567"/>
        </w:tabs>
        <w:spacing w:after="0" w:line="260" w:lineRule="exact"/>
        <w:rPr>
          <w:rFonts w:ascii="Times New Roman" w:eastAsia="Times New Roman" w:hAnsi="Times New Roman" w:cs="Times New Roman"/>
          <w:i/>
          <w:snapToGrid w:val="0"/>
          <w:szCs w:val="24"/>
          <w:u w:val="single"/>
        </w:rPr>
      </w:pPr>
      <w:r w:rsidRPr="00633873">
        <w:rPr>
          <w:rFonts w:ascii="Times New Roman" w:eastAsia="Times New Roman" w:hAnsi="Times New Roman" w:cs="Times New Roman"/>
          <w:i/>
          <w:snapToGrid w:val="0"/>
          <w:szCs w:val="24"/>
          <w:u w:val="single"/>
        </w:rPr>
        <w:t>Suaugusie</w:t>
      </w:r>
      <w:r w:rsidR="00C85BE7">
        <w:rPr>
          <w:rFonts w:ascii="Times New Roman" w:eastAsia="Times New Roman" w:hAnsi="Times New Roman" w:cs="Times New Roman"/>
          <w:i/>
          <w:snapToGrid w:val="0"/>
          <w:szCs w:val="24"/>
          <w:u w:val="single"/>
        </w:rPr>
        <w:t>sie</w:t>
      </w:r>
      <w:r w:rsidRPr="00633873">
        <w:rPr>
          <w:rFonts w:ascii="Times New Roman" w:eastAsia="Times New Roman" w:hAnsi="Times New Roman" w:cs="Times New Roman"/>
          <w:i/>
          <w:snapToGrid w:val="0"/>
          <w:szCs w:val="24"/>
          <w:u w:val="single"/>
        </w:rPr>
        <w:t>ms</w:t>
      </w:r>
    </w:p>
    <w:p w14:paraId="24EC110A" w14:textId="77777777" w:rsidR="00A35A18" w:rsidRPr="00633873" w:rsidRDefault="00A35A18" w:rsidP="00A35A18">
      <w:pPr>
        <w:tabs>
          <w:tab w:val="left" w:pos="567"/>
        </w:tabs>
        <w:spacing w:after="0" w:line="260" w:lineRule="exact"/>
        <w:rPr>
          <w:rFonts w:ascii="Times New Roman" w:eastAsia="Times New Roman" w:hAnsi="Times New Roman" w:cs="Times New Roman"/>
          <w:i/>
          <w:snapToGrid w:val="0"/>
          <w:szCs w:val="24"/>
        </w:rPr>
      </w:pPr>
      <w:proofErr w:type="spellStart"/>
      <w:r w:rsidRPr="00633873">
        <w:rPr>
          <w:rFonts w:ascii="Times New Roman" w:eastAsia="Times New Roman" w:hAnsi="Times New Roman" w:cs="Times New Roman"/>
          <w:i/>
          <w:snapToGrid w:val="0"/>
          <w:szCs w:val="24"/>
        </w:rPr>
        <w:t>Ambrisentano</w:t>
      </w:r>
      <w:proofErr w:type="spellEnd"/>
      <w:r w:rsidRPr="00633873">
        <w:rPr>
          <w:rFonts w:ascii="Times New Roman" w:eastAsia="Times New Roman" w:hAnsi="Times New Roman" w:cs="Times New Roman"/>
          <w:i/>
          <w:snapToGrid w:val="0"/>
          <w:szCs w:val="24"/>
        </w:rPr>
        <w:t xml:space="preserve"> </w:t>
      </w:r>
      <w:proofErr w:type="spellStart"/>
      <w:r w:rsidRPr="00633873">
        <w:rPr>
          <w:rFonts w:ascii="Times New Roman" w:eastAsia="Times New Roman" w:hAnsi="Times New Roman" w:cs="Times New Roman"/>
          <w:i/>
          <w:snapToGrid w:val="0"/>
          <w:szCs w:val="24"/>
        </w:rPr>
        <w:t>monoterapija</w:t>
      </w:r>
      <w:proofErr w:type="spellEnd"/>
    </w:p>
    <w:p w14:paraId="0F567072"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 xml:space="preserve">Pradedant gydymą </w:t>
      </w:r>
      <w:proofErr w:type="spellStart"/>
      <w:r w:rsidRPr="00633873">
        <w:rPr>
          <w:rFonts w:ascii="Times New Roman" w:eastAsia="Times New Roman" w:hAnsi="Times New Roman" w:cs="Times New Roman"/>
          <w:iCs/>
          <w:snapToGrid w:val="0"/>
          <w:szCs w:val="24"/>
        </w:rPr>
        <w:t>Ambrisentan</w:t>
      </w:r>
      <w:proofErr w:type="spellEnd"/>
      <w:r w:rsidRPr="00633873">
        <w:rPr>
          <w:rFonts w:ascii="Times New Roman" w:eastAsia="Times New Roman" w:hAnsi="Times New Roman" w:cs="Times New Roman"/>
          <w:iCs/>
          <w:snapToGrid w:val="0"/>
          <w:szCs w:val="24"/>
        </w:rPr>
        <w:t xml:space="preserve"> </w:t>
      </w:r>
      <w:proofErr w:type="spellStart"/>
      <w:r w:rsidR="00E62DAA" w:rsidRPr="00633873">
        <w:rPr>
          <w:rFonts w:ascii="Times New Roman" w:eastAsia="Times New Roman" w:hAnsi="Times New Roman" w:cs="Times New Roman"/>
          <w:iCs/>
          <w:snapToGrid w:val="0"/>
          <w:szCs w:val="24"/>
        </w:rPr>
        <w:t>Zentiva</w:t>
      </w:r>
      <w:proofErr w:type="spellEnd"/>
      <w:r w:rsidRPr="00633873">
        <w:rPr>
          <w:rFonts w:ascii="Times New Roman" w:eastAsia="Times New Roman" w:hAnsi="Times New Roman" w:cs="Times New Roman"/>
          <w:iCs/>
          <w:snapToGrid w:val="0"/>
          <w:szCs w:val="24"/>
        </w:rPr>
        <w:t xml:space="preserve"> reikia gerti 5 mg dozę </w:t>
      </w:r>
      <w:r w:rsidR="00E861CA" w:rsidRPr="00633873">
        <w:rPr>
          <w:rFonts w:ascii="Times New Roman" w:eastAsia="Times New Roman" w:hAnsi="Times New Roman" w:cs="Times New Roman"/>
          <w:iCs/>
          <w:snapToGrid w:val="0"/>
          <w:szCs w:val="24"/>
        </w:rPr>
        <w:t xml:space="preserve">vieną </w:t>
      </w:r>
      <w:r w:rsidRPr="00633873">
        <w:rPr>
          <w:rFonts w:ascii="Times New Roman" w:eastAsia="Times New Roman" w:hAnsi="Times New Roman" w:cs="Times New Roman"/>
          <w:iCs/>
          <w:snapToGrid w:val="0"/>
          <w:szCs w:val="24"/>
        </w:rPr>
        <w:t>kartą per parą bei, atsižvelgiant į klinikinį atsaką ir toleravimą, dozę galima padidinti iki 10 mg per parą.</w:t>
      </w:r>
    </w:p>
    <w:p w14:paraId="022487A8" w14:textId="77777777" w:rsidR="00A35A18" w:rsidRPr="00633873" w:rsidRDefault="00A35A18" w:rsidP="00A35A18">
      <w:pPr>
        <w:tabs>
          <w:tab w:val="left" w:pos="567"/>
        </w:tabs>
        <w:spacing w:after="0" w:line="260" w:lineRule="exact"/>
        <w:rPr>
          <w:rFonts w:ascii="Times New Roman" w:eastAsia="Times New Roman" w:hAnsi="Times New Roman" w:cs="Times New Roman"/>
          <w:i/>
          <w:snapToGrid w:val="0"/>
          <w:szCs w:val="24"/>
        </w:rPr>
      </w:pPr>
    </w:p>
    <w:p w14:paraId="4E74DB06" w14:textId="3257AA7B" w:rsidR="00A35A18" w:rsidRPr="00633873" w:rsidRDefault="00A35A18" w:rsidP="00A35A18">
      <w:pPr>
        <w:tabs>
          <w:tab w:val="left" w:pos="567"/>
        </w:tabs>
        <w:spacing w:after="0" w:line="260" w:lineRule="exact"/>
        <w:rPr>
          <w:rFonts w:ascii="Times New Roman" w:eastAsia="Times New Roman" w:hAnsi="Times New Roman" w:cs="Times New Roman"/>
          <w:i/>
          <w:snapToGrid w:val="0"/>
          <w:szCs w:val="24"/>
        </w:rPr>
      </w:pPr>
      <w:proofErr w:type="spellStart"/>
      <w:r w:rsidRPr="00633873">
        <w:rPr>
          <w:rFonts w:ascii="Times New Roman" w:eastAsia="Times New Roman" w:hAnsi="Times New Roman" w:cs="Times New Roman"/>
          <w:i/>
          <w:snapToGrid w:val="0"/>
          <w:szCs w:val="24"/>
        </w:rPr>
        <w:t>Ambrisentano</w:t>
      </w:r>
      <w:proofErr w:type="spellEnd"/>
      <w:r w:rsidRPr="00633873">
        <w:rPr>
          <w:rFonts w:ascii="Times New Roman" w:eastAsia="Times New Roman" w:hAnsi="Times New Roman" w:cs="Times New Roman"/>
          <w:i/>
          <w:snapToGrid w:val="0"/>
          <w:szCs w:val="24"/>
        </w:rPr>
        <w:t xml:space="preserve"> vartojimas </w:t>
      </w:r>
      <w:r w:rsidR="00AC6347" w:rsidRPr="00633873">
        <w:rPr>
          <w:rFonts w:ascii="Times New Roman" w:eastAsia="Times New Roman" w:hAnsi="Times New Roman" w:cs="Times New Roman"/>
          <w:i/>
          <w:snapToGrid w:val="0"/>
          <w:szCs w:val="24"/>
        </w:rPr>
        <w:t>derinyje</w:t>
      </w:r>
      <w:r w:rsidRPr="00633873">
        <w:rPr>
          <w:rFonts w:ascii="Times New Roman" w:eastAsia="Times New Roman" w:hAnsi="Times New Roman" w:cs="Times New Roman"/>
          <w:i/>
          <w:snapToGrid w:val="0"/>
          <w:szCs w:val="24"/>
        </w:rPr>
        <w:t xml:space="preserve"> su </w:t>
      </w:r>
      <w:proofErr w:type="spellStart"/>
      <w:r w:rsidRPr="00633873">
        <w:rPr>
          <w:rFonts w:ascii="Times New Roman" w:eastAsia="Times New Roman" w:hAnsi="Times New Roman" w:cs="Times New Roman"/>
          <w:i/>
          <w:snapToGrid w:val="0"/>
          <w:szCs w:val="24"/>
        </w:rPr>
        <w:t>tadalafiliu</w:t>
      </w:r>
      <w:proofErr w:type="spellEnd"/>
    </w:p>
    <w:p w14:paraId="74034859" w14:textId="68340A72"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 xml:space="preserve">Vaistinį preparatą vartojant </w:t>
      </w:r>
      <w:r w:rsidR="00AC6347" w:rsidRPr="00633873">
        <w:rPr>
          <w:rFonts w:ascii="Times New Roman" w:eastAsia="Times New Roman" w:hAnsi="Times New Roman" w:cs="Times New Roman"/>
          <w:iCs/>
          <w:snapToGrid w:val="0"/>
          <w:szCs w:val="24"/>
        </w:rPr>
        <w:t>derinyje</w:t>
      </w:r>
      <w:r w:rsidR="0045177F" w:rsidRPr="00633873">
        <w:rPr>
          <w:rFonts w:ascii="Times New Roman" w:eastAsia="Times New Roman" w:hAnsi="Times New Roman" w:cs="Times New Roman"/>
          <w:iCs/>
          <w:snapToGrid w:val="0"/>
          <w:szCs w:val="24"/>
        </w:rPr>
        <w:t xml:space="preserve"> su </w:t>
      </w:r>
      <w:proofErr w:type="spellStart"/>
      <w:r w:rsidRPr="00633873">
        <w:rPr>
          <w:rFonts w:ascii="Times New Roman" w:eastAsia="Times New Roman" w:hAnsi="Times New Roman" w:cs="Times New Roman"/>
          <w:iCs/>
          <w:snapToGrid w:val="0"/>
          <w:szCs w:val="24"/>
        </w:rPr>
        <w:t>tadalafiliu</w:t>
      </w:r>
      <w:proofErr w:type="spellEnd"/>
      <w:r w:rsidRPr="00633873">
        <w:rPr>
          <w:rFonts w:ascii="Times New Roman" w:eastAsia="Times New Roman" w:hAnsi="Times New Roman" w:cs="Times New Roman"/>
          <w:iCs/>
          <w:snapToGrid w:val="0"/>
          <w:szCs w:val="24"/>
        </w:rPr>
        <w:t xml:space="preserve">, </w:t>
      </w:r>
      <w:proofErr w:type="spellStart"/>
      <w:r w:rsidRPr="00633873">
        <w:rPr>
          <w:rFonts w:ascii="Times New Roman" w:eastAsia="Times New Roman" w:hAnsi="Times New Roman" w:cs="Times New Roman"/>
          <w:iCs/>
          <w:snapToGrid w:val="0"/>
          <w:szCs w:val="24"/>
        </w:rPr>
        <w:t>Ambrisentan</w:t>
      </w:r>
      <w:proofErr w:type="spellEnd"/>
      <w:r w:rsidRPr="00633873">
        <w:rPr>
          <w:rFonts w:ascii="Times New Roman" w:eastAsia="Times New Roman" w:hAnsi="Times New Roman" w:cs="Times New Roman"/>
          <w:iCs/>
          <w:snapToGrid w:val="0"/>
          <w:szCs w:val="24"/>
        </w:rPr>
        <w:t xml:space="preserve"> </w:t>
      </w:r>
      <w:proofErr w:type="spellStart"/>
      <w:r w:rsidR="00E62DAA" w:rsidRPr="00633873">
        <w:rPr>
          <w:rFonts w:ascii="Times New Roman" w:eastAsia="Times New Roman" w:hAnsi="Times New Roman" w:cs="Times New Roman"/>
          <w:iCs/>
          <w:snapToGrid w:val="0"/>
          <w:szCs w:val="24"/>
        </w:rPr>
        <w:t>Zentiva</w:t>
      </w:r>
      <w:proofErr w:type="spellEnd"/>
      <w:r w:rsidRPr="00633873">
        <w:rPr>
          <w:rFonts w:ascii="Times New Roman" w:eastAsia="Times New Roman" w:hAnsi="Times New Roman" w:cs="Times New Roman"/>
          <w:iCs/>
          <w:snapToGrid w:val="0"/>
          <w:szCs w:val="24"/>
        </w:rPr>
        <w:t xml:space="preserve"> dozę reikia palaipsniui didinti iki 10 mg </w:t>
      </w:r>
      <w:r w:rsidR="00E861CA" w:rsidRPr="00633873">
        <w:rPr>
          <w:rFonts w:ascii="Times New Roman" w:eastAsia="Times New Roman" w:hAnsi="Times New Roman" w:cs="Times New Roman"/>
          <w:iCs/>
          <w:snapToGrid w:val="0"/>
          <w:szCs w:val="24"/>
        </w:rPr>
        <w:t xml:space="preserve">vieną </w:t>
      </w:r>
      <w:r w:rsidRPr="00633873">
        <w:rPr>
          <w:rFonts w:ascii="Times New Roman" w:eastAsia="Times New Roman" w:hAnsi="Times New Roman" w:cs="Times New Roman"/>
          <w:iCs/>
          <w:snapToGrid w:val="0"/>
          <w:szCs w:val="24"/>
        </w:rPr>
        <w:t>kartą per parą.</w:t>
      </w:r>
    </w:p>
    <w:p w14:paraId="3CFB8700"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1876F0D5" w14:textId="2F81A87B"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 xml:space="preserve">AMBITION tyrimo metu </w:t>
      </w:r>
      <w:r w:rsidR="00307721" w:rsidRPr="00633873">
        <w:rPr>
          <w:rFonts w:ascii="Times New Roman" w:eastAsia="Times New Roman" w:hAnsi="Times New Roman" w:cs="Times New Roman"/>
          <w:iCs/>
          <w:snapToGrid w:val="0"/>
          <w:szCs w:val="24"/>
        </w:rPr>
        <w:t xml:space="preserve">pirmąsias 8 savaites </w:t>
      </w:r>
      <w:r w:rsidRPr="00633873">
        <w:rPr>
          <w:rFonts w:ascii="Times New Roman" w:eastAsia="Times New Roman" w:hAnsi="Times New Roman" w:cs="Times New Roman"/>
          <w:iCs/>
          <w:snapToGrid w:val="0"/>
          <w:szCs w:val="24"/>
        </w:rPr>
        <w:t xml:space="preserve">pacientai vartojo 5 mg </w:t>
      </w:r>
      <w:proofErr w:type="spellStart"/>
      <w:r w:rsidRPr="00633873">
        <w:rPr>
          <w:rFonts w:ascii="Times New Roman" w:eastAsia="Times New Roman" w:hAnsi="Times New Roman" w:cs="Times New Roman"/>
          <w:iCs/>
          <w:snapToGrid w:val="0"/>
          <w:szCs w:val="24"/>
        </w:rPr>
        <w:t>ambrisentano</w:t>
      </w:r>
      <w:proofErr w:type="spellEnd"/>
      <w:r w:rsidRPr="00633873">
        <w:rPr>
          <w:rFonts w:ascii="Times New Roman" w:eastAsia="Times New Roman" w:hAnsi="Times New Roman" w:cs="Times New Roman"/>
          <w:iCs/>
          <w:snapToGrid w:val="0"/>
          <w:szCs w:val="24"/>
        </w:rPr>
        <w:t xml:space="preserve"> </w:t>
      </w:r>
      <w:r w:rsidR="00B70E51" w:rsidRPr="00633873">
        <w:rPr>
          <w:rFonts w:ascii="Times New Roman" w:eastAsia="Times New Roman" w:hAnsi="Times New Roman" w:cs="Times New Roman"/>
          <w:iCs/>
          <w:snapToGrid w:val="0"/>
          <w:szCs w:val="24"/>
        </w:rPr>
        <w:t xml:space="preserve">paros </w:t>
      </w:r>
      <w:r w:rsidRPr="00633873">
        <w:rPr>
          <w:rFonts w:ascii="Times New Roman" w:eastAsia="Times New Roman" w:hAnsi="Times New Roman" w:cs="Times New Roman"/>
          <w:iCs/>
          <w:snapToGrid w:val="0"/>
          <w:szCs w:val="24"/>
        </w:rPr>
        <w:t>dozę prieš ją padidinant iki 10 mg, atsižvelgiant į toleravimą (žr. 5.1</w:t>
      </w:r>
      <w:r w:rsidR="002D3ECE" w:rsidRPr="00633873">
        <w:rPr>
          <w:rFonts w:ascii="Times New Roman" w:eastAsia="Times New Roman" w:hAnsi="Times New Roman" w:cs="Times New Roman"/>
          <w:iCs/>
          <w:snapToGrid w:val="0"/>
          <w:szCs w:val="24"/>
        </w:rPr>
        <w:t> skyri</w:t>
      </w:r>
      <w:r w:rsidRPr="00633873">
        <w:rPr>
          <w:rFonts w:ascii="Times New Roman" w:eastAsia="Times New Roman" w:hAnsi="Times New Roman" w:cs="Times New Roman"/>
          <w:iCs/>
          <w:snapToGrid w:val="0"/>
          <w:szCs w:val="24"/>
        </w:rPr>
        <w:t xml:space="preserve">ų). Vaistinį preparatą vartojant </w:t>
      </w:r>
      <w:r w:rsidR="00F50AFE" w:rsidRPr="00633873">
        <w:rPr>
          <w:rFonts w:ascii="Times New Roman" w:eastAsia="Times New Roman" w:hAnsi="Times New Roman" w:cs="Times New Roman"/>
          <w:iCs/>
          <w:snapToGrid w:val="0"/>
          <w:szCs w:val="24"/>
        </w:rPr>
        <w:t>derinyje</w:t>
      </w:r>
      <w:r w:rsidR="0045177F" w:rsidRPr="00633873">
        <w:rPr>
          <w:rFonts w:ascii="Times New Roman" w:eastAsia="Times New Roman" w:hAnsi="Times New Roman" w:cs="Times New Roman"/>
          <w:iCs/>
          <w:snapToGrid w:val="0"/>
          <w:szCs w:val="24"/>
        </w:rPr>
        <w:t xml:space="preserve"> su </w:t>
      </w:r>
      <w:proofErr w:type="spellStart"/>
      <w:r w:rsidRPr="00633873">
        <w:rPr>
          <w:rFonts w:ascii="Times New Roman" w:eastAsia="Times New Roman" w:hAnsi="Times New Roman" w:cs="Times New Roman"/>
          <w:iCs/>
          <w:snapToGrid w:val="0"/>
          <w:szCs w:val="24"/>
        </w:rPr>
        <w:t>tadalafiliu</w:t>
      </w:r>
      <w:proofErr w:type="spellEnd"/>
      <w:r w:rsidRPr="00633873">
        <w:rPr>
          <w:rFonts w:ascii="Times New Roman" w:eastAsia="Times New Roman" w:hAnsi="Times New Roman" w:cs="Times New Roman"/>
          <w:iCs/>
          <w:snapToGrid w:val="0"/>
          <w:szCs w:val="24"/>
        </w:rPr>
        <w:t xml:space="preserve">, pacientų gydymas buvo pradėtas 5 mg </w:t>
      </w:r>
      <w:proofErr w:type="spellStart"/>
      <w:r w:rsidRPr="00633873">
        <w:rPr>
          <w:rFonts w:ascii="Times New Roman" w:eastAsia="Times New Roman" w:hAnsi="Times New Roman" w:cs="Times New Roman"/>
          <w:iCs/>
          <w:snapToGrid w:val="0"/>
          <w:szCs w:val="24"/>
        </w:rPr>
        <w:t>ambrisentano</w:t>
      </w:r>
      <w:proofErr w:type="spellEnd"/>
      <w:r w:rsidRPr="00633873">
        <w:rPr>
          <w:rFonts w:ascii="Times New Roman" w:eastAsia="Times New Roman" w:hAnsi="Times New Roman" w:cs="Times New Roman"/>
          <w:iCs/>
          <w:snapToGrid w:val="0"/>
          <w:szCs w:val="24"/>
        </w:rPr>
        <w:t xml:space="preserve"> ir 20 mg </w:t>
      </w:r>
      <w:proofErr w:type="spellStart"/>
      <w:r w:rsidRPr="00633873">
        <w:rPr>
          <w:rFonts w:ascii="Times New Roman" w:eastAsia="Times New Roman" w:hAnsi="Times New Roman" w:cs="Times New Roman"/>
          <w:iCs/>
          <w:snapToGrid w:val="0"/>
          <w:szCs w:val="24"/>
        </w:rPr>
        <w:t>tadalafilio</w:t>
      </w:r>
      <w:proofErr w:type="spellEnd"/>
      <w:r w:rsidRPr="00633873">
        <w:rPr>
          <w:rFonts w:ascii="Times New Roman" w:eastAsia="Times New Roman" w:hAnsi="Times New Roman" w:cs="Times New Roman"/>
          <w:iCs/>
          <w:snapToGrid w:val="0"/>
          <w:szCs w:val="24"/>
        </w:rPr>
        <w:t xml:space="preserve"> dozėmis. Atsižvelgiant į toleravimą, </w:t>
      </w:r>
      <w:proofErr w:type="spellStart"/>
      <w:r w:rsidRPr="00633873">
        <w:rPr>
          <w:rFonts w:ascii="Times New Roman" w:eastAsia="Times New Roman" w:hAnsi="Times New Roman" w:cs="Times New Roman"/>
          <w:iCs/>
          <w:snapToGrid w:val="0"/>
          <w:szCs w:val="24"/>
        </w:rPr>
        <w:t>tadalafilio</w:t>
      </w:r>
      <w:proofErr w:type="spellEnd"/>
      <w:r w:rsidRPr="00633873">
        <w:rPr>
          <w:rFonts w:ascii="Times New Roman" w:eastAsia="Times New Roman" w:hAnsi="Times New Roman" w:cs="Times New Roman"/>
          <w:iCs/>
          <w:snapToGrid w:val="0"/>
          <w:szCs w:val="24"/>
        </w:rPr>
        <w:t xml:space="preserve"> dozė buvo padidinta iki 40 mg po 4 savaičių, o </w:t>
      </w:r>
      <w:proofErr w:type="spellStart"/>
      <w:r w:rsidRPr="00633873">
        <w:rPr>
          <w:rFonts w:ascii="Times New Roman" w:eastAsia="Times New Roman" w:hAnsi="Times New Roman" w:cs="Times New Roman"/>
          <w:iCs/>
          <w:snapToGrid w:val="0"/>
          <w:szCs w:val="24"/>
        </w:rPr>
        <w:t>ambrisentano</w:t>
      </w:r>
      <w:proofErr w:type="spellEnd"/>
      <w:r w:rsidRPr="00633873">
        <w:rPr>
          <w:rFonts w:ascii="Times New Roman" w:eastAsia="Times New Roman" w:hAnsi="Times New Roman" w:cs="Times New Roman"/>
          <w:iCs/>
          <w:snapToGrid w:val="0"/>
          <w:szCs w:val="24"/>
        </w:rPr>
        <w:t xml:space="preserve"> dozė buvo padidinta iki 10 mg po 8 savaičių. </w:t>
      </w:r>
      <w:r w:rsidR="00307721" w:rsidRPr="00633873">
        <w:rPr>
          <w:rFonts w:ascii="Times New Roman" w:eastAsia="Times New Roman" w:hAnsi="Times New Roman" w:cs="Times New Roman"/>
          <w:iCs/>
          <w:snapToGrid w:val="0"/>
          <w:szCs w:val="24"/>
        </w:rPr>
        <w:t>Tokias dozes pasiekė daugiau</w:t>
      </w:r>
      <w:r w:rsidRPr="00633873">
        <w:rPr>
          <w:rFonts w:ascii="Times New Roman" w:eastAsia="Times New Roman" w:hAnsi="Times New Roman" w:cs="Times New Roman"/>
          <w:iCs/>
          <w:snapToGrid w:val="0"/>
          <w:szCs w:val="24"/>
        </w:rPr>
        <w:t xml:space="preserve"> kaip 90 % pacientų. </w:t>
      </w:r>
      <w:r w:rsidR="00307721" w:rsidRPr="00633873">
        <w:rPr>
          <w:rFonts w:ascii="Times New Roman" w:eastAsia="Times New Roman" w:hAnsi="Times New Roman" w:cs="Times New Roman"/>
          <w:iCs/>
          <w:snapToGrid w:val="0"/>
          <w:szCs w:val="24"/>
        </w:rPr>
        <w:t>Atsižvelgiant į toleravimą, d</w:t>
      </w:r>
      <w:r w:rsidRPr="00633873">
        <w:rPr>
          <w:rFonts w:ascii="Times New Roman" w:eastAsia="Times New Roman" w:hAnsi="Times New Roman" w:cs="Times New Roman"/>
          <w:iCs/>
          <w:snapToGrid w:val="0"/>
          <w:szCs w:val="24"/>
        </w:rPr>
        <w:t>ozes galima ir sumažinti.</w:t>
      </w:r>
    </w:p>
    <w:p w14:paraId="2601C916"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2D8C2331" w14:textId="1C295432" w:rsidR="00A35A18" w:rsidRPr="00633873" w:rsidRDefault="00F50AFE"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Duomenų</w:t>
      </w:r>
      <w:r w:rsidR="00A35A18" w:rsidRPr="00633873">
        <w:rPr>
          <w:rFonts w:ascii="Times New Roman" w:eastAsia="Times New Roman" w:hAnsi="Times New Roman" w:cs="Times New Roman"/>
          <w:iCs/>
          <w:snapToGrid w:val="0"/>
          <w:szCs w:val="24"/>
        </w:rPr>
        <w:t xml:space="preserve">, kad staigus gydymo </w:t>
      </w:r>
      <w:proofErr w:type="spellStart"/>
      <w:r w:rsidR="00A35A18" w:rsidRPr="00633873">
        <w:rPr>
          <w:rFonts w:ascii="Times New Roman" w:eastAsia="Times New Roman" w:hAnsi="Times New Roman" w:cs="Times New Roman"/>
          <w:iCs/>
          <w:snapToGrid w:val="0"/>
          <w:szCs w:val="24"/>
        </w:rPr>
        <w:t>ambrisentanu</w:t>
      </w:r>
      <w:proofErr w:type="spellEnd"/>
      <w:r w:rsidR="00A35A18" w:rsidRPr="00633873">
        <w:rPr>
          <w:rFonts w:ascii="Times New Roman" w:eastAsia="Times New Roman" w:hAnsi="Times New Roman" w:cs="Times New Roman"/>
          <w:iCs/>
          <w:snapToGrid w:val="0"/>
          <w:szCs w:val="24"/>
        </w:rPr>
        <w:t xml:space="preserve"> nutraukimas </w:t>
      </w:r>
      <w:r w:rsidR="00B70E51" w:rsidRPr="00633873">
        <w:rPr>
          <w:rFonts w:ascii="Times New Roman" w:eastAsia="Times New Roman" w:hAnsi="Times New Roman" w:cs="Times New Roman"/>
          <w:iCs/>
          <w:snapToGrid w:val="0"/>
          <w:szCs w:val="24"/>
        </w:rPr>
        <w:t>nėra</w:t>
      </w:r>
      <w:r w:rsidR="00A35A18" w:rsidRPr="00633873">
        <w:rPr>
          <w:rFonts w:ascii="Times New Roman" w:eastAsia="Times New Roman" w:hAnsi="Times New Roman" w:cs="Times New Roman"/>
          <w:iCs/>
          <w:snapToGrid w:val="0"/>
          <w:szCs w:val="24"/>
        </w:rPr>
        <w:t xml:space="preserve"> susijęs su PH atoveiksmio pablogėjimu</w:t>
      </w:r>
      <w:r w:rsidRPr="00633873">
        <w:rPr>
          <w:rFonts w:ascii="Times New Roman" w:eastAsia="Times New Roman" w:hAnsi="Times New Roman" w:cs="Times New Roman"/>
          <w:iCs/>
          <w:snapToGrid w:val="0"/>
          <w:szCs w:val="24"/>
        </w:rPr>
        <w:t>, nepakanka</w:t>
      </w:r>
      <w:r w:rsidR="00A35A18" w:rsidRPr="00633873">
        <w:rPr>
          <w:rFonts w:ascii="Times New Roman" w:eastAsia="Times New Roman" w:hAnsi="Times New Roman" w:cs="Times New Roman"/>
          <w:iCs/>
          <w:snapToGrid w:val="0"/>
          <w:szCs w:val="24"/>
        </w:rPr>
        <w:t>.</w:t>
      </w:r>
    </w:p>
    <w:p w14:paraId="742ECC3D" w14:textId="60691B88"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3B522299" w14:textId="0549F74F" w:rsidR="004B529C" w:rsidRPr="00633873" w:rsidRDefault="004B529C" w:rsidP="00A35A18">
      <w:pPr>
        <w:tabs>
          <w:tab w:val="left" w:pos="567"/>
        </w:tabs>
        <w:spacing w:after="0" w:line="260" w:lineRule="exact"/>
        <w:rPr>
          <w:rFonts w:ascii="Times New Roman" w:eastAsia="Times New Roman" w:hAnsi="Times New Roman" w:cs="Times New Roman"/>
          <w:i/>
          <w:snapToGrid w:val="0"/>
          <w:szCs w:val="24"/>
        </w:rPr>
      </w:pPr>
      <w:proofErr w:type="spellStart"/>
      <w:r w:rsidRPr="00633873">
        <w:rPr>
          <w:rFonts w:ascii="Times New Roman" w:eastAsia="Times New Roman" w:hAnsi="Times New Roman" w:cs="Times New Roman"/>
          <w:i/>
          <w:snapToGrid w:val="0"/>
          <w:szCs w:val="24"/>
        </w:rPr>
        <w:t>Ambrisentano</w:t>
      </w:r>
      <w:proofErr w:type="spellEnd"/>
      <w:r w:rsidRPr="00633873">
        <w:rPr>
          <w:rFonts w:ascii="Times New Roman" w:eastAsia="Times New Roman" w:hAnsi="Times New Roman" w:cs="Times New Roman"/>
          <w:i/>
          <w:snapToGrid w:val="0"/>
          <w:szCs w:val="24"/>
        </w:rPr>
        <w:t xml:space="preserve"> vartojimas derinyje su </w:t>
      </w:r>
      <w:proofErr w:type="spellStart"/>
      <w:r w:rsidRPr="00633873">
        <w:rPr>
          <w:rFonts w:ascii="Times New Roman" w:eastAsia="Times New Roman" w:hAnsi="Times New Roman" w:cs="Times New Roman"/>
          <w:i/>
          <w:snapToGrid w:val="0"/>
          <w:szCs w:val="24"/>
        </w:rPr>
        <w:t>ciklosporinu</w:t>
      </w:r>
      <w:proofErr w:type="spellEnd"/>
      <w:r w:rsidRPr="00633873">
        <w:rPr>
          <w:rFonts w:ascii="Times New Roman" w:eastAsia="Times New Roman" w:hAnsi="Times New Roman" w:cs="Times New Roman"/>
          <w:i/>
          <w:snapToGrid w:val="0"/>
          <w:szCs w:val="24"/>
        </w:rPr>
        <w:t xml:space="preserve"> A</w:t>
      </w:r>
    </w:p>
    <w:p w14:paraId="425E3E44" w14:textId="615A8A21" w:rsidR="00A35A18" w:rsidRPr="00633873" w:rsidRDefault="004B529C"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Suaugusie</w:t>
      </w:r>
      <w:r w:rsidR="00C85BE7">
        <w:rPr>
          <w:rFonts w:ascii="Times New Roman" w:eastAsia="Times New Roman" w:hAnsi="Times New Roman" w:cs="Times New Roman"/>
          <w:iCs/>
          <w:snapToGrid w:val="0"/>
          <w:szCs w:val="24"/>
        </w:rPr>
        <w:t>sie</w:t>
      </w:r>
      <w:r w:rsidRPr="00633873">
        <w:rPr>
          <w:rFonts w:ascii="Times New Roman" w:eastAsia="Times New Roman" w:hAnsi="Times New Roman" w:cs="Times New Roman"/>
          <w:iCs/>
          <w:snapToGrid w:val="0"/>
          <w:szCs w:val="24"/>
        </w:rPr>
        <w:t>ms v</w:t>
      </w:r>
      <w:r w:rsidR="00A35A18" w:rsidRPr="00633873">
        <w:rPr>
          <w:rFonts w:ascii="Times New Roman" w:eastAsia="Times New Roman" w:hAnsi="Times New Roman" w:cs="Times New Roman"/>
          <w:iCs/>
          <w:snapToGrid w:val="0"/>
          <w:szCs w:val="24"/>
        </w:rPr>
        <w:t xml:space="preserve">artojant </w:t>
      </w:r>
      <w:r w:rsidR="00F50AFE" w:rsidRPr="00633873">
        <w:rPr>
          <w:rFonts w:ascii="Times New Roman" w:eastAsia="Times New Roman" w:hAnsi="Times New Roman" w:cs="Times New Roman"/>
          <w:iCs/>
          <w:snapToGrid w:val="0"/>
          <w:szCs w:val="24"/>
        </w:rPr>
        <w:t>derinyje</w:t>
      </w:r>
      <w:r w:rsidR="00A35A18" w:rsidRPr="00633873">
        <w:rPr>
          <w:rFonts w:ascii="Times New Roman" w:eastAsia="Times New Roman" w:hAnsi="Times New Roman" w:cs="Times New Roman"/>
          <w:iCs/>
          <w:snapToGrid w:val="0"/>
          <w:szCs w:val="24"/>
        </w:rPr>
        <w:t xml:space="preserve"> su </w:t>
      </w:r>
      <w:proofErr w:type="spellStart"/>
      <w:r w:rsidR="00A35A18" w:rsidRPr="00633873">
        <w:rPr>
          <w:rFonts w:ascii="Times New Roman" w:eastAsia="Times New Roman" w:hAnsi="Times New Roman" w:cs="Times New Roman"/>
          <w:iCs/>
          <w:snapToGrid w:val="0"/>
          <w:szCs w:val="24"/>
        </w:rPr>
        <w:t>ciklosporinu</w:t>
      </w:r>
      <w:proofErr w:type="spellEnd"/>
      <w:r w:rsidR="00A35A18" w:rsidRPr="00633873">
        <w:rPr>
          <w:rFonts w:ascii="Times New Roman" w:eastAsia="Times New Roman" w:hAnsi="Times New Roman" w:cs="Times New Roman"/>
          <w:iCs/>
          <w:snapToGrid w:val="0"/>
          <w:szCs w:val="24"/>
        </w:rPr>
        <w:t xml:space="preserve"> A, galima vartoti ne didesnę kaip 5 mg </w:t>
      </w:r>
      <w:proofErr w:type="spellStart"/>
      <w:r w:rsidR="00A35A18" w:rsidRPr="00633873">
        <w:rPr>
          <w:rFonts w:ascii="Times New Roman" w:eastAsia="Times New Roman" w:hAnsi="Times New Roman" w:cs="Times New Roman"/>
          <w:iCs/>
          <w:snapToGrid w:val="0"/>
          <w:szCs w:val="24"/>
        </w:rPr>
        <w:t>ambrisentano</w:t>
      </w:r>
      <w:proofErr w:type="spellEnd"/>
      <w:r w:rsidR="00A35A18" w:rsidRPr="00633873">
        <w:rPr>
          <w:rFonts w:ascii="Times New Roman" w:eastAsia="Times New Roman" w:hAnsi="Times New Roman" w:cs="Times New Roman"/>
          <w:iCs/>
          <w:snapToGrid w:val="0"/>
          <w:szCs w:val="24"/>
        </w:rPr>
        <w:t xml:space="preserve"> dozę </w:t>
      </w:r>
      <w:r w:rsidR="00B70E51" w:rsidRPr="00633873">
        <w:rPr>
          <w:rFonts w:ascii="Times New Roman" w:eastAsia="Times New Roman" w:hAnsi="Times New Roman" w:cs="Times New Roman"/>
          <w:iCs/>
          <w:snapToGrid w:val="0"/>
          <w:szCs w:val="24"/>
        </w:rPr>
        <w:t xml:space="preserve">vieną </w:t>
      </w:r>
      <w:r w:rsidR="00A35A18" w:rsidRPr="00633873">
        <w:rPr>
          <w:rFonts w:ascii="Times New Roman" w:eastAsia="Times New Roman" w:hAnsi="Times New Roman" w:cs="Times New Roman"/>
          <w:iCs/>
          <w:snapToGrid w:val="0"/>
          <w:szCs w:val="24"/>
        </w:rPr>
        <w:t>kartą per parą ir pacientą reikia atidžiai stebėti (žr. 4.5 ir 5.2</w:t>
      </w:r>
      <w:r w:rsidR="002D3ECE" w:rsidRPr="00633873">
        <w:rPr>
          <w:rFonts w:ascii="Times New Roman" w:eastAsia="Times New Roman" w:hAnsi="Times New Roman" w:cs="Times New Roman"/>
          <w:iCs/>
          <w:snapToGrid w:val="0"/>
          <w:szCs w:val="24"/>
        </w:rPr>
        <w:t> skyri</w:t>
      </w:r>
      <w:r w:rsidR="00A35A18" w:rsidRPr="00633873">
        <w:rPr>
          <w:rFonts w:ascii="Times New Roman" w:eastAsia="Times New Roman" w:hAnsi="Times New Roman" w:cs="Times New Roman"/>
          <w:iCs/>
          <w:snapToGrid w:val="0"/>
          <w:szCs w:val="24"/>
        </w:rPr>
        <w:t>us).</w:t>
      </w:r>
    </w:p>
    <w:p w14:paraId="34878527" w14:textId="559A548C"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0A5D90B9" w14:textId="77777777" w:rsidR="004B529C" w:rsidRPr="00633873" w:rsidRDefault="004B529C" w:rsidP="004B529C">
      <w:pPr>
        <w:autoSpaceDE w:val="0"/>
        <w:autoSpaceDN w:val="0"/>
        <w:adjustRightInd w:val="0"/>
        <w:spacing w:after="0" w:line="240" w:lineRule="auto"/>
        <w:rPr>
          <w:rFonts w:ascii="Times New Roman" w:hAnsi="Times New Roman" w:cs="Times New Roman"/>
          <w:color w:val="000000"/>
          <w:u w:val="single"/>
        </w:rPr>
      </w:pPr>
      <w:r w:rsidRPr="00633873">
        <w:rPr>
          <w:rFonts w:ascii="Times New Roman" w:hAnsi="Times New Roman" w:cs="Times New Roman"/>
          <w:i/>
          <w:iCs/>
          <w:color w:val="000000"/>
          <w:u w:val="single"/>
        </w:rPr>
        <w:t xml:space="preserve">Vaikams ir paaugliams (nuo 8 iki mažiau kaip 18 metų amžiaus) </w:t>
      </w:r>
    </w:p>
    <w:p w14:paraId="4285D2A3" w14:textId="47763405" w:rsidR="004B529C" w:rsidRPr="00633873" w:rsidRDefault="004B529C" w:rsidP="004B529C">
      <w:pPr>
        <w:autoSpaceDE w:val="0"/>
        <w:autoSpaceDN w:val="0"/>
        <w:adjustRightInd w:val="0"/>
        <w:spacing w:after="0" w:line="240" w:lineRule="auto"/>
        <w:rPr>
          <w:rFonts w:ascii="Times New Roman" w:hAnsi="Times New Roman" w:cs="Times New Roman"/>
          <w:color w:val="000000"/>
        </w:rPr>
      </w:pPr>
      <w:proofErr w:type="spellStart"/>
      <w:r w:rsidRPr="00633873">
        <w:rPr>
          <w:rFonts w:ascii="Times New Roman" w:hAnsi="Times New Roman" w:cs="Times New Roman"/>
          <w:i/>
          <w:iCs/>
          <w:color w:val="000000"/>
        </w:rPr>
        <w:t>Ambrisentano</w:t>
      </w:r>
      <w:proofErr w:type="spellEnd"/>
      <w:r w:rsidRPr="00633873">
        <w:rPr>
          <w:rFonts w:ascii="Times New Roman" w:hAnsi="Times New Roman" w:cs="Times New Roman"/>
          <w:i/>
          <w:iCs/>
          <w:color w:val="000000"/>
        </w:rPr>
        <w:t xml:space="preserve"> </w:t>
      </w:r>
      <w:proofErr w:type="spellStart"/>
      <w:r w:rsidRPr="00633873">
        <w:rPr>
          <w:rFonts w:ascii="Times New Roman" w:hAnsi="Times New Roman" w:cs="Times New Roman"/>
          <w:i/>
          <w:iCs/>
          <w:color w:val="000000"/>
        </w:rPr>
        <w:t>monoterapija</w:t>
      </w:r>
      <w:proofErr w:type="spellEnd"/>
      <w:r w:rsidRPr="00633873">
        <w:rPr>
          <w:rFonts w:ascii="Times New Roman" w:hAnsi="Times New Roman" w:cs="Times New Roman"/>
          <w:i/>
          <w:iCs/>
          <w:color w:val="000000"/>
        </w:rPr>
        <w:t xml:space="preserve"> arba vartojimas derinyje su kitais vaistiniais preparatais nuo PH </w:t>
      </w:r>
    </w:p>
    <w:p w14:paraId="1CAA50C2" w14:textId="2320CBCA" w:rsidR="004B529C" w:rsidRPr="00633873" w:rsidRDefault="004B529C" w:rsidP="004B529C">
      <w:pPr>
        <w:tabs>
          <w:tab w:val="left" w:pos="567"/>
        </w:tabs>
        <w:spacing w:after="0" w:line="260" w:lineRule="exact"/>
        <w:rPr>
          <w:rFonts w:ascii="Times New Roman" w:eastAsia="Times New Roman" w:hAnsi="Times New Roman" w:cs="Times New Roman"/>
          <w:iCs/>
          <w:snapToGrid w:val="0"/>
          <w:szCs w:val="24"/>
        </w:rPr>
      </w:pPr>
      <w:proofErr w:type="spellStart"/>
      <w:r w:rsidRPr="00633873">
        <w:rPr>
          <w:rFonts w:ascii="Times New Roman" w:hAnsi="Times New Roman" w:cs="Times New Roman"/>
          <w:color w:val="000000"/>
        </w:rPr>
        <w:t>Ambrisentan</w:t>
      </w:r>
      <w:proofErr w:type="spellEnd"/>
      <w:r w:rsidRPr="00633873">
        <w:rPr>
          <w:rFonts w:ascii="Times New Roman" w:hAnsi="Times New Roman" w:cs="Times New Roman"/>
          <w:color w:val="000000"/>
        </w:rPr>
        <w:t xml:space="preserve"> </w:t>
      </w:r>
      <w:proofErr w:type="spellStart"/>
      <w:r w:rsidRPr="00633873">
        <w:rPr>
          <w:rFonts w:ascii="Times New Roman" w:hAnsi="Times New Roman" w:cs="Times New Roman"/>
          <w:color w:val="000000"/>
        </w:rPr>
        <w:t>Zentiva</w:t>
      </w:r>
      <w:proofErr w:type="spellEnd"/>
      <w:r w:rsidRPr="00633873">
        <w:rPr>
          <w:rFonts w:ascii="Times New Roman" w:hAnsi="Times New Roman" w:cs="Times New Roman"/>
          <w:color w:val="000000"/>
        </w:rPr>
        <w:t xml:space="preserve"> vartojamas per burną remiantis toliau nurodyta dozavimo schema.</w:t>
      </w:r>
    </w:p>
    <w:p w14:paraId="1CC76E6E" w14:textId="47B7AFD9" w:rsidR="004B529C" w:rsidRPr="00633873" w:rsidRDefault="004B529C" w:rsidP="00A35A18">
      <w:pPr>
        <w:tabs>
          <w:tab w:val="left" w:pos="567"/>
        </w:tabs>
        <w:spacing w:after="0" w:line="260" w:lineRule="exact"/>
        <w:rPr>
          <w:rFonts w:ascii="Times New Roman" w:eastAsia="Times New Roman" w:hAnsi="Times New Roman" w:cs="Times New Roman"/>
          <w:iCs/>
          <w:snapToGrid w:val="0"/>
          <w:szCs w:val="24"/>
          <w:u w:val="single"/>
        </w:r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2"/>
        <w:gridCol w:w="2977"/>
        <w:gridCol w:w="2676"/>
      </w:tblGrid>
      <w:tr w:rsidR="004B529C" w:rsidRPr="00633873" w14:paraId="2AFBF5A8" w14:textId="77777777" w:rsidTr="004B529C">
        <w:trPr>
          <w:trHeight w:val="505"/>
        </w:trPr>
        <w:tc>
          <w:tcPr>
            <w:tcW w:w="3202" w:type="dxa"/>
          </w:tcPr>
          <w:p w14:paraId="3465951F" w14:textId="0AD2B42A" w:rsidR="004B529C" w:rsidRPr="00633873" w:rsidRDefault="004B529C" w:rsidP="004B529C">
            <w:pPr>
              <w:pStyle w:val="TableParagraph"/>
              <w:ind w:left="482" w:hanging="142"/>
              <w:rPr>
                <w:b/>
                <w:bCs/>
                <w:lang w:val="lt-LT"/>
              </w:rPr>
            </w:pPr>
            <w:r w:rsidRPr="00633873">
              <w:rPr>
                <w:b/>
                <w:bCs/>
                <w:lang w:val="lt-LT"/>
              </w:rPr>
              <w:t>Kūno svoris (kg)</w:t>
            </w:r>
          </w:p>
        </w:tc>
        <w:tc>
          <w:tcPr>
            <w:tcW w:w="2977" w:type="dxa"/>
          </w:tcPr>
          <w:p w14:paraId="38169383" w14:textId="573211FF" w:rsidR="004B529C" w:rsidRPr="00633873" w:rsidRDefault="004B529C" w:rsidP="004B529C">
            <w:pPr>
              <w:pStyle w:val="TableParagraph"/>
              <w:ind w:left="136" w:firstLine="6"/>
              <w:rPr>
                <w:b/>
                <w:bCs/>
                <w:lang w:val="lt-LT"/>
              </w:rPr>
            </w:pPr>
            <w:r w:rsidRPr="00633873">
              <w:rPr>
                <w:b/>
                <w:bCs/>
                <w:lang w:val="lt-LT"/>
              </w:rPr>
              <w:t>Pradinė kartą per parą vartojama dozė (mg)</w:t>
            </w:r>
          </w:p>
        </w:tc>
        <w:tc>
          <w:tcPr>
            <w:tcW w:w="2676" w:type="dxa"/>
          </w:tcPr>
          <w:p w14:paraId="5525ECD8" w14:textId="7E2C1777" w:rsidR="004B529C" w:rsidRPr="00633873" w:rsidRDefault="004B529C" w:rsidP="004B529C">
            <w:pPr>
              <w:pStyle w:val="TableParagraph"/>
              <w:ind w:left="137"/>
              <w:rPr>
                <w:b/>
                <w:bCs/>
                <w:lang w:val="lt-LT"/>
              </w:rPr>
            </w:pPr>
            <w:r w:rsidRPr="00633873">
              <w:rPr>
                <w:b/>
                <w:bCs/>
                <w:lang w:val="lt-LT"/>
              </w:rPr>
              <w:t>Vėlesnė po dozės didinimo kartą per parą vartojama dozė (mg)</w:t>
            </w:r>
            <w:r w:rsidRPr="00633873">
              <w:rPr>
                <w:b/>
                <w:bCs/>
                <w:vertAlign w:val="superscript"/>
                <w:lang w:val="lt-LT"/>
              </w:rPr>
              <w:t>a</w:t>
            </w:r>
          </w:p>
        </w:tc>
      </w:tr>
      <w:tr w:rsidR="004B529C" w:rsidRPr="00633873" w14:paraId="2801B0D6" w14:textId="77777777" w:rsidTr="004B529C">
        <w:trPr>
          <w:trHeight w:val="256"/>
        </w:trPr>
        <w:tc>
          <w:tcPr>
            <w:tcW w:w="3202" w:type="dxa"/>
            <w:tcBorders>
              <w:bottom w:val="nil"/>
            </w:tcBorders>
          </w:tcPr>
          <w:p w14:paraId="1F0C0A0C" w14:textId="77777777" w:rsidR="004B529C" w:rsidRPr="00633873" w:rsidRDefault="004B529C" w:rsidP="004B529C">
            <w:pPr>
              <w:pStyle w:val="TableParagraph"/>
              <w:ind w:left="113"/>
              <w:rPr>
                <w:lang w:val="lt-LT"/>
              </w:rPr>
            </w:pPr>
            <w:r w:rsidRPr="00633873">
              <w:rPr>
                <w:lang w:val="lt-LT"/>
              </w:rPr>
              <w:t>≥ 50</w:t>
            </w:r>
          </w:p>
        </w:tc>
        <w:tc>
          <w:tcPr>
            <w:tcW w:w="2977" w:type="dxa"/>
            <w:tcBorders>
              <w:bottom w:val="nil"/>
            </w:tcBorders>
          </w:tcPr>
          <w:p w14:paraId="2BEA23EF" w14:textId="77777777" w:rsidR="004B529C" w:rsidRPr="00633873" w:rsidRDefault="004B529C" w:rsidP="004B529C">
            <w:pPr>
              <w:pStyle w:val="TableParagraph"/>
              <w:ind w:left="113"/>
              <w:rPr>
                <w:lang w:val="lt-LT"/>
              </w:rPr>
            </w:pPr>
            <w:r w:rsidRPr="00633873">
              <w:rPr>
                <w:lang w:val="lt-LT"/>
              </w:rPr>
              <w:t>5</w:t>
            </w:r>
          </w:p>
        </w:tc>
        <w:tc>
          <w:tcPr>
            <w:tcW w:w="2676" w:type="dxa"/>
            <w:tcBorders>
              <w:bottom w:val="nil"/>
            </w:tcBorders>
          </w:tcPr>
          <w:p w14:paraId="50715CCB" w14:textId="77777777" w:rsidR="004B529C" w:rsidRPr="00633873" w:rsidRDefault="004B529C" w:rsidP="004B529C">
            <w:pPr>
              <w:pStyle w:val="TableParagraph"/>
              <w:ind w:left="113" w:right="1064"/>
              <w:rPr>
                <w:lang w:val="lt-LT"/>
              </w:rPr>
            </w:pPr>
            <w:r w:rsidRPr="00633873">
              <w:rPr>
                <w:lang w:val="lt-LT"/>
              </w:rPr>
              <w:t>10</w:t>
            </w:r>
          </w:p>
        </w:tc>
      </w:tr>
      <w:tr w:rsidR="004B529C" w:rsidRPr="00633873" w14:paraId="43A13A78" w14:textId="77777777" w:rsidTr="004B529C">
        <w:trPr>
          <w:trHeight w:val="253"/>
        </w:trPr>
        <w:tc>
          <w:tcPr>
            <w:tcW w:w="3202" w:type="dxa"/>
            <w:tcBorders>
              <w:top w:val="nil"/>
              <w:bottom w:val="nil"/>
            </w:tcBorders>
          </w:tcPr>
          <w:p w14:paraId="63E9DA75" w14:textId="08ECC98B" w:rsidR="004B529C" w:rsidRPr="00633873" w:rsidRDefault="004B529C" w:rsidP="004B529C">
            <w:pPr>
              <w:pStyle w:val="TableParagraph"/>
              <w:ind w:left="113"/>
              <w:rPr>
                <w:lang w:val="lt-LT"/>
              </w:rPr>
            </w:pPr>
            <w:r w:rsidRPr="00633873">
              <w:rPr>
                <w:lang w:val="lt-LT"/>
              </w:rPr>
              <w:t>Nuo ≥ 35 iki &lt; 50</w:t>
            </w:r>
          </w:p>
        </w:tc>
        <w:tc>
          <w:tcPr>
            <w:tcW w:w="2977" w:type="dxa"/>
            <w:tcBorders>
              <w:top w:val="nil"/>
              <w:bottom w:val="nil"/>
            </w:tcBorders>
          </w:tcPr>
          <w:p w14:paraId="1D6E96BE" w14:textId="77777777" w:rsidR="004B529C" w:rsidRPr="00633873" w:rsidRDefault="004B529C" w:rsidP="004B529C">
            <w:pPr>
              <w:pStyle w:val="TableParagraph"/>
              <w:ind w:left="113"/>
              <w:rPr>
                <w:lang w:val="lt-LT"/>
              </w:rPr>
            </w:pPr>
            <w:r w:rsidRPr="00633873">
              <w:rPr>
                <w:lang w:val="lt-LT"/>
              </w:rPr>
              <w:t>5</w:t>
            </w:r>
          </w:p>
        </w:tc>
        <w:tc>
          <w:tcPr>
            <w:tcW w:w="2676" w:type="dxa"/>
            <w:tcBorders>
              <w:top w:val="nil"/>
              <w:bottom w:val="nil"/>
            </w:tcBorders>
          </w:tcPr>
          <w:p w14:paraId="3699C181" w14:textId="67866412" w:rsidR="004B529C" w:rsidRPr="00633873" w:rsidRDefault="004B529C" w:rsidP="004B529C">
            <w:pPr>
              <w:pStyle w:val="TableParagraph"/>
              <w:ind w:left="113" w:right="1066"/>
              <w:rPr>
                <w:lang w:val="lt-LT"/>
              </w:rPr>
            </w:pPr>
            <w:r w:rsidRPr="00633873">
              <w:rPr>
                <w:lang w:val="lt-LT"/>
              </w:rPr>
              <w:t>7,5*</w:t>
            </w:r>
          </w:p>
        </w:tc>
      </w:tr>
      <w:tr w:rsidR="004B529C" w:rsidRPr="00633873" w14:paraId="787709EE" w14:textId="77777777" w:rsidTr="004B529C">
        <w:trPr>
          <w:trHeight w:val="80"/>
        </w:trPr>
        <w:tc>
          <w:tcPr>
            <w:tcW w:w="3202" w:type="dxa"/>
            <w:tcBorders>
              <w:top w:val="nil"/>
            </w:tcBorders>
          </w:tcPr>
          <w:p w14:paraId="1B4CE7CF" w14:textId="348CB667" w:rsidR="004B529C" w:rsidRPr="00633873" w:rsidRDefault="004B529C" w:rsidP="004B529C">
            <w:pPr>
              <w:pStyle w:val="TableParagraph"/>
              <w:ind w:left="113"/>
              <w:rPr>
                <w:lang w:val="lt-LT"/>
              </w:rPr>
            </w:pPr>
            <w:r w:rsidRPr="00633873">
              <w:rPr>
                <w:lang w:val="lt-LT"/>
              </w:rPr>
              <w:t>Nuo ≥ 20 iki &lt; 35</w:t>
            </w:r>
          </w:p>
        </w:tc>
        <w:tc>
          <w:tcPr>
            <w:tcW w:w="2977" w:type="dxa"/>
            <w:tcBorders>
              <w:top w:val="nil"/>
            </w:tcBorders>
          </w:tcPr>
          <w:p w14:paraId="7065BE59" w14:textId="12BC26CD" w:rsidR="004B529C" w:rsidRPr="00633873" w:rsidRDefault="004B529C" w:rsidP="004B529C">
            <w:pPr>
              <w:pStyle w:val="TableParagraph"/>
              <w:ind w:left="113" w:right="1098"/>
              <w:rPr>
                <w:lang w:val="lt-LT"/>
              </w:rPr>
            </w:pPr>
            <w:r w:rsidRPr="00633873">
              <w:rPr>
                <w:lang w:val="lt-LT"/>
              </w:rPr>
              <w:t>2,5*</w:t>
            </w:r>
          </w:p>
        </w:tc>
        <w:tc>
          <w:tcPr>
            <w:tcW w:w="2676" w:type="dxa"/>
            <w:tcBorders>
              <w:top w:val="nil"/>
            </w:tcBorders>
          </w:tcPr>
          <w:p w14:paraId="0A44477C" w14:textId="77777777" w:rsidR="004B529C" w:rsidRPr="00633873" w:rsidRDefault="004B529C" w:rsidP="004B529C">
            <w:pPr>
              <w:pStyle w:val="TableParagraph"/>
              <w:ind w:left="113"/>
              <w:rPr>
                <w:lang w:val="lt-LT"/>
              </w:rPr>
            </w:pPr>
            <w:r w:rsidRPr="00633873">
              <w:rPr>
                <w:lang w:val="lt-LT"/>
              </w:rPr>
              <w:t>5</w:t>
            </w:r>
          </w:p>
        </w:tc>
      </w:tr>
      <w:tr w:rsidR="004B529C" w:rsidRPr="00633873" w14:paraId="6081DD3A" w14:textId="77777777" w:rsidTr="004B529C">
        <w:trPr>
          <w:trHeight w:val="253"/>
        </w:trPr>
        <w:tc>
          <w:tcPr>
            <w:tcW w:w="8855" w:type="dxa"/>
            <w:gridSpan w:val="3"/>
          </w:tcPr>
          <w:p w14:paraId="09C4DDE9" w14:textId="7E6F5DA2" w:rsidR="004B529C" w:rsidRPr="00633873" w:rsidRDefault="004B529C" w:rsidP="004B529C">
            <w:pPr>
              <w:pStyle w:val="TableParagraph"/>
              <w:ind w:left="113"/>
              <w:rPr>
                <w:lang w:val="lt-LT"/>
              </w:rPr>
            </w:pPr>
            <w:r w:rsidRPr="00633873">
              <w:rPr>
                <w:lang w:val="lt-LT"/>
              </w:rPr>
              <w:t>a = atsižvelgiant į klinikinį atsaką ir toleravimą (žr. 5.1 skyrių)</w:t>
            </w:r>
          </w:p>
        </w:tc>
      </w:tr>
    </w:tbl>
    <w:p w14:paraId="6CE1FAF6" w14:textId="11680591" w:rsidR="004B529C" w:rsidRPr="00633873" w:rsidRDefault="004B529C" w:rsidP="00A35A18">
      <w:pPr>
        <w:tabs>
          <w:tab w:val="left" w:pos="567"/>
        </w:tabs>
        <w:spacing w:after="0" w:line="260" w:lineRule="exact"/>
        <w:rPr>
          <w:rFonts w:ascii="Times New Roman" w:eastAsia="Times New Roman" w:hAnsi="Times New Roman" w:cs="Times New Roman"/>
          <w:iCs/>
          <w:snapToGrid w:val="0"/>
          <w:szCs w:val="24"/>
          <w:u w:val="single"/>
        </w:rPr>
      </w:pPr>
    </w:p>
    <w:p w14:paraId="5EAA4CF0" w14:textId="54EE218B" w:rsidR="004B529C" w:rsidRPr="00633873" w:rsidRDefault="004B529C" w:rsidP="00A35A18">
      <w:pPr>
        <w:tabs>
          <w:tab w:val="left" w:pos="567"/>
        </w:tabs>
        <w:spacing w:after="0" w:line="260" w:lineRule="exact"/>
        <w:rPr>
          <w:rFonts w:ascii="Times New Roman" w:eastAsia="Times New Roman" w:hAnsi="Times New Roman" w:cs="Times New Roman"/>
          <w:i/>
          <w:snapToGrid w:val="0"/>
          <w:szCs w:val="24"/>
        </w:rPr>
      </w:pPr>
      <w:proofErr w:type="spellStart"/>
      <w:r w:rsidRPr="00633873">
        <w:rPr>
          <w:rFonts w:ascii="Times New Roman" w:eastAsia="Times New Roman" w:hAnsi="Times New Roman" w:cs="Times New Roman"/>
          <w:i/>
          <w:snapToGrid w:val="0"/>
          <w:szCs w:val="24"/>
        </w:rPr>
        <w:t>Ambrisentano</w:t>
      </w:r>
      <w:proofErr w:type="spellEnd"/>
      <w:r w:rsidRPr="00633873">
        <w:rPr>
          <w:rFonts w:ascii="Times New Roman" w:eastAsia="Times New Roman" w:hAnsi="Times New Roman" w:cs="Times New Roman"/>
          <w:i/>
          <w:snapToGrid w:val="0"/>
          <w:szCs w:val="24"/>
        </w:rPr>
        <w:t xml:space="preserve"> vartojimas derinyje su </w:t>
      </w:r>
      <w:proofErr w:type="spellStart"/>
      <w:r w:rsidRPr="00633873">
        <w:rPr>
          <w:rFonts w:ascii="Times New Roman" w:eastAsia="Times New Roman" w:hAnsi="Times New Roman" w:cs="Times New Roman"/>
          <w:i/>
          <w:snapToGrid w:val="0"/>
          <w:szCs w:val="24"/>
        </w:rPr>
        <w:t>ciklosporinu</w:t>
      </w:r>
      <w:proofErr w:type="spellEnd"/>
      <w:r w:rsidRPr="00633873">
        <w:rPr>
          <w:rFonts w:ascii="Times New Roman" w:eastAsia="Times New Roman" w:hAnsi="Times New Roman" w:cs="Times New Roman"/>
          <w:i/>
          <w:snapToGrid w:val="0"/>
          <w:szCs w:val="24"/>
        </w:rPr>
        <w:t xml:space="preserve"> A</w:t>
      </w:r>
    </w:p>
    <w:p w14:paraId="4E89B79F" w14:textId="6277BAF2" w:rsidR="004B529C" w:rsidRPr="00633873" w:rsidRDefault="007D0772"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 xml:space="preserve">Vaikams ir paaugliams vartojant kartu su </w:t>
      </w:r>
      <w:proofErr w:type="spellStart"/>
      <w:r w:rsidRPr="00633873">
        <w:rPr>
          <w:rFonts w:ascii="Times New Roman" w:eastAsia="Times New Roman" w:hAnsi="Times New Roman" w:cs="Times New Roman"/>
          <w:iCs/>
          <w:snapToGrid w:val="0"/>
          <w:szCs w:val="24"/>
        </w:rPr>
        <w:t>ciklosporinu</w:t>
      </w:r>
      <w:proofErr w:type="spellEnd"/>
      <w:r w:rsidRPr="00633873">
        <w:rPr>
          <w:rFonts w:ascii="Times New Roman" w:eastAsia="Times New Roman" w:hAnsi="Times New Roman" w:cs="Times New Roman"/>
          <w:iCs/>
          <w:snapToGrid w:val="0"/>
          <w:szCs w:val="24"/>
        </w:rPr>
        <w:t xml:space="preserve"> A, galima vartoti ne didesnę kaip 5 mg </w:t>
      </w:r>
      <w:proofErr w:type="spellStart"/>
      <w:r w:rsidRPr="00633873">
        <w:rPr>
          <w:rFonts w:ascii="Times New Roman" w:eastAsia="Times New Roman" w:hAnsi="Times New Roman" w:cs="Times New Roman"/>
          <w:iCs/>
          <w:snapToGrid w:val="0"/>
          <w:szCs w:val="24"/>
        </w:rPr>
        <w:t>ambrisentano</w:t>
      </w:r>
      <w:proofErr w:type="spellEnd"/>
      <w:r w:rsidRPr="00633873">
        <w:rPr>
          <w:rFonts w:ascii="Times New Roman" w:eastAsia="Times New Roman" w:hAnsi="Times New Roman" w:cs="Times New Roman"/>
          <w:iCs/>
          <w:snapToGrid w:val="0"/>
          <w:szCs w:val="24"/>
        </w:rPr>
        <w:t xml:space="preserve"> dozę vieną kartą per parą pacientams, sveriantiems ≥ 50 kg, arba ne didesnę kaip 2,5 mg </w:t>
      </w:r>
      <w:proofErr w:type="spellStart"/>
      <w:r w:rsidRPr="00633873">
        <w:rPr>
          <w:rFonts w:ascii="Times New Roman" w:eastAsia="Times New Roman" w:hAnsi="Times New Roman" w:cs="Times New Roman"/>
          <w:iCs/>
          <w:snapToGrid w:val="0"/>
          <w:szCs w:val="24"/>
        </w:rPr>
        <w:t>ambrisentano</w:t>
      </w:r>
      <w:proofErr w:type="spellEnd"/>
      <w:r w:rsidRPr="00633873">
        <w:rPr>
          <w:rFonts w:ascii="Times New Roman" w:eastAsia="Times New Roman" w:hAnsi="Times New Roman" w:cs="Times New Roman"/>
          <w:iCs/>
          <w:snapToGrid w:val="0"/>
          <w:szCs w:val="24"/>
        </w:rPr>
        <w:t xml:space="preserve"> dozę vieną kartą per parą pacientams, sveriantiems nuo ≥ 20 iki &lt; 50 kg. Pacientą reikia atidžiai stebėti (žr. 4.5 ir 5.2 skyrius).</w:t>
      </w:r>
    </w:p>
    <w:p w14:paraId="29107B72" w14:textId="2570FACA" w:rsidR="007D0772" w:rsidRPr="00633873" w:rsidRDefault="007D0772"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 Jei reikalinga 2,5 mg ar 7,5 mg dozė, turi būti vartojamas kitas rinkoje esantis produktas.</w:t>
      </w:r>
    </w:p>
    <w:p w14:paraId="7A51F03F" w14:textId="77777777" w:rsidR="007D0772" w:rsidRPr="00633873" w:rsidRDefault="007D0772" w:rsidP="00A35A18">
      <w:pPr>
        <w:tabs>
          <w:tab w:val="left" w:pos="567"/>
        </w:tabs>
        <w:spacing w:after="0" w:line="260" w:lineRule="exact"/>
        <w:rPr>
          <w:rFonts w:ascii="Times New Roman" w:eastAsia="Times New Roman" w:hAnsi="Times New Roman" w:cs="Times New Roman"/>
          <w:iCs/>
          <w:snapToGrid w:val="0"/>
          <w:szCs w:val="24"/>
        </w:rPr>
      </w:pPr>
    </w:p>
    <w:p w14:paraId="4E0C09D3" w14:textId="354B173E"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u w:val="single"/>
        </w:rPr>
      </w:pPr>
      <w:r w:rsidRPr="00633873">
        <w:rPr>
          <w:rFonts w:ascii="Times New Roman" w:eastAsia="Times New Roman" w:hAnsi="Times New Roman" w:cs="Times New Roman"/>
          <w:iCs/>
          <w:snapToGrid w:val="0"/>
          <w:szCs w:val="24"/>
          <w:u w:val="single"/>
        </w:rPr>
        <w:t>Ypatingos populiacijos</w:t>
      </w:r>
    </w:p>
    <w:p w14:paraId="7701077E" w14:textId="77777777" w:rsidR="00A35A18" w:rsidRPr="00570F2A" w:rsidRDefault="00A35A18" w:rsidP="00A35A18">
      <w:pPr>
        <w:tabs>
          <w:tab w:val="left" w:pos="567"/>
        </w:tabs>
        <w:spacing w:after="0" w:line="260" w:lineRule="exact"/>
        <w:rPr>
          <w:rFonts w:ascii="Times New Roman" w:eastAsia="Times New Roman" w:hAnsi="Times New Roman" w:cs="Times New Roman"/>
          <w:i/>
          <w:snapToGrid w:val="0"/>
          <w:szCs w:val="24"/>
        </w:rPr>
      </w:pPr>
      <w:r w:rsidRPr="00570F2A">
        <w:rPr>
          <w:rFonts w:ascii="Times New Roman" w:eastAsia="Times New Roman" w:hAnsi="Times New Roman" w:cs="Times New Roman"/>
          <w:i/>
          <w:snapToGrid w:val="0"/>
          <w:szCs w:val="24"/>
        </w:rPr>
        <w:t>Senyviems pacientams</w:t>
      </w:r>
    </w:p>
    <w:p w14:paraId="7D895D16"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Vyresniems kaip 65 metų pacientams dozės koreguoti nereikia (žr. 5.2</w:t>
      </w:r>
      <w:r w:rsidR="002D3ECE" w:rsidRPr="00633873">
        <w:rPr>
          <w:rFonts w:ascii="Times New Roman" w:eastAsia="Times New Roman" w:hAnsi="Times New Roman" w:cs="Times New Roman"/>
          <w:iCs/>
          <w:snapToGrid w:val="0"/>
          <w:szCs w:val="24"/>
        </w:rPr>
        <w:t> skyri</w:t>
      </w:r>
      <w:r w:rsidRPr="00633873">
        <w:rPr>
          <w:rFonts w:ascii="Times New Roman" w:eastAsia="Times New Roman" w:hAnsi="Times New Roman" w:cs="Times New Roman"/>
          <w:iCs/>
          <w:snapToGrid w:val="0"/>
          <w:szCs w:val="24"/>
        </w:rPr>
        <w:t>ų).</w:t>
      </w:r>
    </w:p>
    <w:p w14:paraId="19C51FFD"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3A68DE4A" w14:textId="77777777" w:rsidR="00A35A18" w:rsidRPr="00570F2A" w:rsidRDefault="00A35A18" w:rsidP="00A35A18">
      <w:pPr>
        <w:tabs>
          <w:tab w:val="left" w:pos="567"/>
        </w:tabs>
        <w:spacing w:after="0" w:line="260" w:lineRule="exact"/>
        <w:rPr>
          <w:rFonts w:ascii="Times New Roman" w:eastAsia="Times New Roman" w:hAnsi="Times New Roman" w:cs="Times New Roman"/>
          <w:i/>
          <w:snapToGrid w:val="0"/>
          <w:szCs w:val="24"/>
        </w:rPr>
      </w:pPr>
      <w:r w:rsidRPr="00570F2A">
        <w:rPr>
          <w:rFonts w:ascii="Times New Roman" w:eastAsia="Times New Roman" w:hAnsi="Times New Roman" w:cs="Times New Roman"/>
          <w:i/>
          <w:snapToGrid w:val="0"/>
          <w:szCs w:val="24"/>
        </w:rPr>
        <w:t>Pacientams, kurių inkstų funkcija sutrikusi</w:t>
      </w:r>
    </w:p>
    <w:p w14:paraId="64248B42" w14:textId="62546CD5"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Pacientams, kurių inkstų funkcija yra sutrikusi, dozės koreguoti nereikia (žr. 5.2</w:t>
      </w:r>
      <w:r w:rsidR="002D3ECE" w:rsidRPr="00633873">
        <w:rPr>
          <w:rFonts w:ascii="Times New Roman" w:eastAsia="Times New Roman" w:hAnsi="Times New Roman" w:cs="Times New Roman"/>
          <w:iCs/>
          <w:snapToGrid w:val="0"/>
          <w:szCs w:val="24"/>
        </w:rPr>
        <w:t> skyri</w:t>
      </w:r>
      <w:r w:rsidRPr="00633873">
        <w:rPr>
          <w:rFonts w:ascii="Times New Roman" w:eastAsia="Times New Roman" w:hAnsi="Times New Roman" w:cs="Times New Roman"/>
          <w:iCs/>
          <w:snapToGrid w:val="0"/>
          <w:szCs w:val="24"/>
        </w:rPr>
        <w:t xml:space="preserve">ų). </w:t>
      </w:r>
      <w:r w:rsidR="00436FE9" w:rsidRPr="00633873">
        <w:rPr>
          <w:rFonts w:ascii="Times New Roman" w:eastAsia="Times New Roman" w:hAnsi="Times New Roman" w:cs="Times New Roman"/>
          <w:iCs/>
          <w:snapToGrid w:val="0"/>
          <w:szCs w:val="24"/>
        </w:rPr>
        <w:t xml:space="preserve">Patirties gydant </w:t>
      </w:r>
      <w:proofErr w:type="spellStart"/>
      <w:r w:rsidR="00436FE9" w:rsidRPr="00633873">
        <w:rPr>
          <w:rFonts w:ascii="Times New Roman" w:eastAsia="Times New Roman" w:hAnsi="Times New Roman" w:cs="Times New Roman"/>
          <w:iCs/>
          <w:snapToGrid w:val="0"/>
          <w:szCs w:val="24"/>
        </w:rPr>
        <w:t>ambrisentanu</w:t>
      </w:r>
      <w:proofErr w:type="spellEnd"/>
      <w:r w:rsidR="00C67EE3" w:rsidRPr="00633873">
        <w:rPr>
          <w:rFonts w:ascii="Times New Roman" w:eastAsia="Times New Roman" w:hAnsi="Times New Roman" w:cs="Times New Roman"/>
          <w:iCs/>
          <w:snapToGrid w:val="0"/>
          <w:szCs w:val="24"/>
        </w:rPr>
        <w:t xml:space="preserve"> </w:t>
      </w:r>
      <w:r w:rsidRPr="00633873">
        <w:rPr>
          <w:rFonts w:ascii="Times New Roman" w:eastAsia="Times New Roman" w:hAnsi="Times New Roman" w:cs="Times New Roman"/>
          <w:iCs/>
          <w:snapToGrid w:val="0"/>
          <w:szCs w:val="24"/>
        </w:rPr>
        <w:t>pacient</w:t>
      </w:r>
      <w:r w:rsidR="00436FE9" w:rsidRPr="00633873">
        <w:rPr>
          <w:rFonts w:ascii="Times New Roman" w:eastAsia="Times New Roman" w:hAnsi="Times New Roman" w:cs="Times New Roman"/>
          <w:iCs/>
          <w:snapToGrid w:val="0"/>
          <w:szCs w:val="24"/>
        </w:rPr>
        <w:t>us</w:t>
      </w:r>
      <w:r w:rsidRPr="00633873">
        <w:rPr>
          <w:rFonts w:ascii="Times New Roman" w:eastAsia="Times New Roman" w:hAnsi="Times New Roman" w:cs="Times New Roman"/>
          <w:iCs/>
          <w:snapToGrid w:val="0"/>
          <w:szCs w:val="24"/>
        </w:rPr>
        <w:t xml:space="preserve">, </w:t>
      </w:r>
      <w:r w:rsidR="00C67EE3" w:rsidRPr="00633873">
        <w:rPr>
          <w:rFonts w:ascii="Times New Roman" w:eastAsia="Times New Roman" w:hAnsi="Times New Roman" w:cs="Times New Roman"/>
          <w:iCs/>
          <w:snapToGrid w:val="0"/>
          <w:szCs w:val="24"/>
        </w:rPr>
        <w:t>kuriems yra sunkus</w:t>
      </w:r>
      <w:r w:rsidRPr="00633873">
        <w:rPr>
          <w:rFonts w:ascii="Times New Roman" w:eastAsia="Times New Roman" w:hAnsi="Times New Roman" w:cs="Times New Roman"/>
          <w:iCs/>
          <w:snapToGrid w:val="0"/>
          <w:szCs w:val="24"/>
        </w:rPr>
        <w:t xml:space="preserve"> inkstų funkcijos sutrikim</w:t>
      </w:r>
      <w:r w:rsidR="00C67EE3" w:rsidRPr="00633873">
        <w:rPr>
          <w:rFonts w:ascii="Times New Roman" w:eastAsia="Times New Roman" w:hAnsi="Times New Roman" w:cs="Times New Roman"/>
          <w:iCs/>
          <w:snapToGrid w:val="0"/>
          <w:szCs w:val="24"/>
        </w:rPr>
        <w:t>as</w:t>
      </w:r>
      <w:r w:rsidRPr="00633873">
        <w:rPr>
          <w:rFonts w:ascii="Times New Roman" w:eastAsia="Times New Roman" w:hAnsi="Times New Roman" w:cs="Times New Roman"/>
          <w:iCs/>
          <w:snapToGrid w:val="0"/>
          <w:szCs w:val="24"/>
        </w:rPr>
        <w:t xml:space="preserve"> (kreatinino klirensas &lt; 30 ml/min.), </w:t>
      </w:r>
      <w:r w:rsidR="00436FE9" w:rsidRPr="00633873">
        <w:rPr>
          <w:rFonts w:ascii="Times New Roman" w:eastAsia="Times New Roman" w:hAnsi="Times New Roman" w:cs="Times New Roman"/>
          <w:iCs/>
          <w:snapToGrid w:val="0"/>
          <w:szCs w:val="24"/>
        </w:rPr>
        <w:t>nepakanka</w:t>
      </w:r>
      <w:r w:rsidRPr="00633873">
        <w:rPr>
          <w:rFonts w:ascii="Times New Roman" w:eastAsia="Times New Roman" w:hAnsi="Times New Roman" w:cs="Times New Roman"/>
          <w:iCs/>
          <w:snapToGrid w:val="0"/>
          <w:szCs w:val="24"/>
        </w:rPr>
        <w:t xml:space="preserve">. Šio pogrupio pacientų gydymą pradėti reikia labai atsargiai ir reikia imtis ypatingų atsargumo priemonių, kai dozė padidinama iki 10 mg </w:t>
      </w:r>
      <w:proofErr w:type="spellStart"/>
      <w:r w:rsidRPr="00633873">
        <w:rPr>
          <w:rFonts w:ascii="Times New Roman" w:eastAsia="Times New Roman" w:hAnsi="Times New Roman" w:cs="Times New Roman"/>
          <w:iCs/>
          <w:snapToGrid w:val="0"/>
          <w:szCs w:val="24"/>
        </w:rPr>
        <w:t>ambrisentano</w:t>
      </w:r>
      <w:proofErr w:type="spellEnd"/>
      <w:r w:rsidRPr="00633873">
        <w:rPr>
          <w:rFonts w:ascii="Times New Roman" w:eastAsia="Times New Roman" w:hAnsi="Times New Roman" w:cs="Times New Roman"/>
          <w:iCs/>
          <w:snapToGrid w:val="0"/>
          <w:szCs w:val="24"/>
        </w:rPr>
        <w:t>.</w:t>
      </w:r>
    </w:p>
    <w:p w14:paraId="68FF3CAA"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22C72FDC" w14:textId="77777777" w:rsidR="00A35A18" w:rsidRPr="00570F2A" w:rsidRDefault="00A35A18" w:rsidP="009F7541">
      <w:pPr>
        <w:keepNext/>
        <w:tabs>
          <w:tab w:val="left" w:pos="567"/>
        </w:tabs>
        <w:spacing w:after="0" w:line="260" w:lineRule="exact"/>
        <w:rPr>
          <w:rFonts w:ascii="Times New Roman" w:eastAsia="Times New Roman" w:hAnsi="Times New Roman" w:cs="Times New Roman"/>
          <w:i/>
          <w:snapToGrid w:val="0"/>
          <w:szCs w:val="24"/>
        </w:rPr>
      </w:pPr>
      <w:r w:rsidRPr="00570F2A">
        <w:rPr>
          <w:rFonts w:ascii="Times New Roman" w:eastAsia="Times New Roman" w:hAnsi="Times New Roman" w:cs="Times New Roman"/>
          <w:i/>
          <w:snapToGrid w:val="0"/>
          <w:szCs w:val="24"/>
        </w:rPr>
        <w:lastRenderedPageBreak/>
        <w:t>Pacientams, kurių kepenų funkcija sutrikusi</w:t>
      </w:r>
    </w:p>
    <w:p w14:paraId="4E83C631" w14:textId="77777777" w:rsidR="00A35A18" w:rsidRPr="00633873" w:rsidRDefault="00C67EE3" w:rsidP="00A35A18">
      <w:pPr>
        <w:tabs>
          <w:tab w:val="left" w:pos="567"/>
        </w:tabs>
        <w:spacing w:after="0" w:line="260" w:lineRule="exact"/>
        <w:rPr>
          <w:rFonts w:ascii="Times New Roman" w:eastAsia="Times New Roman" w:hAnsi="Times New Roman" w:cs="Times New Roman"/>
          <w:iCs/>
          <w:snapToGrid w:val="0"/>
          <w:szCs w:val="24"/>
        </w:rPr>
      </w:pPr>
      <w:proofErr w:type="spellStart"/>
      <w:r w:rsidRPr="00633873">
        <w:rPr>
          <w:rFonts w:ascii="Times New Roman" w:eastAsia="Times New Roman" w:hAnsi="Times New Roman" w:cs="Times New Roman"/>
          <w:iCs/>
          <w:snapToGrid w:val="0"/>
          <w:szCs w:val="24"/>
        </w:rPr>
        <w:t>A</w:t>
      </w:r>
      <w:r w:rsidR="00A35A18" w:rsidRPr="00633873">
        <w:rPr>
          <w:rFonts w:ascii="Times New Roman" w:eastAsia="Times New Roman" w:hAnsi="Times New Roman" w:cs="Times New Roman"/>
          <w:iCs/>
          <w:snapToGrid w:val="0"/>
          <w:szCs w:val="24"/>
        </w:rPr>
        <w:t>mbrisentano</w:t>
      </w:r>
      <w:proofErr w:type="spellEnd"/>
      <w:r w:rsidRPr="00633873">
        <w:rPr>
          <w:rFonts w:ascii="Times New Roman" w:eastAsia="Times New Roman" w:hAnsi="Times New Roman" w:cs="Times New Roman"/>
          <w:iCs/>
          <w:snapToGrid w:val="0"/>
          <w:szCs w:val="24"/>
        </w:rPr>
        <w:t xml:space="preserve"> poveikis</w:t>
      </w:r>
      <w:r w:rsidR="00A35A18" w:rsidRPr="00633873">
        <w:rPr>
          <w:rFonts w:ascii="Times New Roman" w:eastAsia="Times New Roman" w:hAnsi="Times New Roman" w:cs="Times New Roman"/>
          <w:iCs/>
          <w:snapToGrid w:val="0"/>
          <w:szCs w:val="24"/>
        </w:rPr>
        <w:t xml:space="preserve"> pacientams, kuriems yra </w:t>
      </w:r>
      <w:r w:rsidR="00436FE9" w:rsidRPr="00633873">
        <w:rPr>
          <w:rFonts w:ascii="Times New Roman" w:eastAsia="Times New Roman" w:hAnsi="Times New Roman" w:cs="Times New Roman"/>
          <w:iCs/>
          <w:snapToGrid w:val="0"/>
          <w:szCs w:val="24"/>
        </w:rPr>
        <w:t xml:space="preserve"> </w:t>
      </w:r>
      <w:r w:rsidR="00A35A18" w:rsidRPr="00633873">
        <w:rPr>
          <w:rFonts w:ascii="Times New Roman" w:eastAsia="Times New Roman" w:hAnsi="Times New Roman" w:cs="Times New Roman"/>
          <w:iCs/>
          <w:snapToGrid w:val="0"/>
          <w:szCs w:val="24"/>
        </w:rPr>
        <w:t xml:space="preserve">kepenų funkcijos sutrikimas (su ciroze ar be cirozės), </w:t>
      </w:r>
      <w:r w:rsidRPr="00633873">
        <w:rPr>
          <w:rFonts w:ascii="Times New Roman" w:eastAsia="Times New Roman" w:hAnsi="Times New Roman" w:cs="Times New Roman"/>
          <w:iCs/>
          <w:snapToGrid w:val="0"/>
          <w:szCs w:val="24"/>
        </w:rPr>
        <w:t>netirtas</w:t>
      </w:r>
      <w:r w:rsidR="00A35A18" w:rsidRPr="00633873">
        <w:rPr>
          <w:rFonts w:ascii="Times New Roman" w:eastAsia="Times New Roman" w:hAnsi="Times New Roman" w:cs="Times New Roman"/>
          <w:iCs/>
          <w:snapToGrid w:val="0"/>
          <w:szCs w:val="24"/>
        </w:rPr>
        <w:t xml:space="preserve">. Kadangi </w:t>
      </w:r>
      <w:proofErr w:type="spellStart"/>
      <w:r w:rsidR="00A35A18" w:rsidRPr="00633873">
        <w:rPr>
          <w:rFonts w:ascii="Times New Roman" w:eastAsia="Times New Roman" w:hAnsi="Times New Roman" w:cs="Times New Roman"/>
          <w:iCs/>
          <w:snapToGrid w:val="0"/>
          <w:szCs w:val="24"/>
        </w:rPr>
        <w:t>ambrisentanas</w:t>
      </w:r>
      <w:proofErr w:type="spellEnd"/>
      <w:r w:rsidR="00A35A18" w:rsidRPr="00633873">
        <w:rPr>
          <w:rFonts w:ascii="Times New Roman" w:eastAsia="Times New Roman" w:hAnsi="Times New Roman" w:cs="Times New Roman"/>
          <w:iCs/>
          <w:snapToGrid w:val="0"/>
          <w:szCs w:val="24"/>
        </w:rPr>
        <w:t xml:space="preserve"> daugiausia </w:t>
      </w:r>
      <w:proofErr w:type="spellStart"/>
      <w:r w:rsidR="00A35A18" w:rsidRPr="00633873">
        <w:rPr>
          <w:rFonts w:ascii="Times New Roman" w:eastAsia="Times New Roman" w:hAnsi="Times New Roman" w:cs="Times New Roman"/>
          <w:iCs/>
          <w:snapToGrid w:val="0"/>
          <w:szCs w:val="24"/>
        </w:rPr>
        <w:t>metabolizuojamas</w:t>
      </w:r>
      <w:proofErr w:type="spellEnd"/>
      <w:r w:rsidR="00A35A18" w:rsidRPr="00633873">
        <w:rPr>
          <w:rFonts w:ascii="Times New Roman" w:eastAsia="Times New Roman" w:hAnsi="Times New Roman" w:cs="Times New Roman"/>
          <w:iCs/>
          <w:snapToGrid w:val="0"/>
          <w:szCs w:val="24"/>
        </w:rPr>
        <w:t xml:space="preserve"> </w:t>
      </w:r>
      <w:proofErr w:type="spellStart"/>
      <w:r w:rsidR="00A35A18" w:rsidRPr="00633873">
        <w:rPr>
          <w:rFonts w:ascii="Times New Roman" w:eastAsia="Times New Roman" w:hAnsi="Times New Roman" w:cs="Times New Roman"/>
          <w:iCs/>
          <w:snapToGrid w:val="0"/>
          <w:szCs w:val="24"/>
        </w:rPr>
        <w:t>gliukuronizuojant</w:t>
      </w:r>
      <w:proofErr w:type="spellEnd"/>
      <w:r w:rsidR="00A35A18" w:rsidRPr="00633873">
        <w:rPr>
          <w:rFonts w:ascii="Times New Roman" w:eastAsia="Times New Roman" w:hAnsi="Times New Roman" w:cs="Times New Roman"/>
          <w:iCs/>
          <w:snapToGrid w:val="0"/>
          <w:szCs w:val="24"/>
        </w:rPr>
        <w:t xml:space="preserve"> ir oksiduojant, o vėliau šalinamas su tulžimi, galima tikėtis, kad kepenų funkcijos sutrikimas didins </w:t>
      </w:r>
      <w:proofErr w:type="spellStart"/>
      <w:r w:rsidR="00A35A18" w:rsidRPr="00633873">
        <w:rPr>
          <w:rFonts w:ascii="Times New Roman" w:eastAsia="Times New Roman" w:hAnsi="Times New Roman" w:cs="Times New Roman"/>
          <w:iCs/>
          <w:snapToGrid w:val="0"/>
          <w:szCs w:val="24"/>
        </w:rPr>
        <w:t>ambrisentano</w:t>
      </w:r>
      <w:proofErr w:type="spellEnd"/>
      <w:r w:rsidR="00A35A18" w:rsidRPr="00633873">
        <w:rPr>
          <w:rFonts w:ascii="Times New Roman" w:eastAsia="Times New Roman" w:hAnsi="Times New Roman" w:cs="Times New Roman"/>
          <w:iCs/>
          <w:snapToGrid w:val="0"/>
          <w:szCs w:val="24"/>
        </w:rPr>
        <w:t xml:space="preserve"> ekspoziciją (</w:t>
      </w:r>
      <w:proofErr w:type="spellStart"/>
      <w:r w:rsidR="00A35A18" w:rsidRPr="00633873">
        <w:rPr>
          <w:rFonts w:ascii="Times New Roman" w:eastAsia="Times New Roman" w:hAnsi="Times New Roman" w:cs="Times New Roman"/>
          <w:iCs/>
          <w:snapToGrid w:val="0"/>
          <w:szCs w:val="24"/>
        </w:rPr>
        <w:t>C</w:t>
      </w:r>
      <w:r w:rsidR="00A35A18" w:rsidRPr="00633873">
        <w:rPr>
          <w:rFonts w:ascii="Times New Roman" w:eastAsia="Times New Roman" w:hAnsi="Times New Roman" w:cs="Times New Roman"/>
          <w:iCs/>
          <w:snapToGrid w:val="0"/>
          <w:szCs w:val="24"/>
          <w:vertAlign w:val="subscript"/>
        </w:rPr>
        <w:t>max</w:t>
      </w:r>
      <w:proofErr w:type="spellEnd"/>
      <w:r w:rsidR="00A35A18" w:rsidRPr="00633873">
        <w:rPr>
          <w:rFonts w:ascii="Times New Roman" w:eastAsia="Times New Roman" w:hAnsi="Times New Roman" w:cs="Times New Roman"/>
          <w:iCs/>
          <w:snapToGrid w:val="0"/>
          <w:szCs w:val="24"/>
        </w:rPr>
        <w:t xml:space="preserve"> ir AUC). Todėl </w:t>
      </w:r>
      <w:proofErr w:type="spellStart"/>
      <w:r w:rsidR="00A35A18" w:rsidRPr="00633873">
        <w:rPr>
          <w:rFonts w:ascii="Times New Roman" w:eastAsia="Times New Roman" w:hAnsi="Times New Roman" w:cs="Times New Roman"/>
          <w:iCs/>
          <w:snapToGrid w:val="0"/>
          <w:szCs w:val="24"/>
        </w:rPr>
        <w:t>ambrisentanu</w:t>
      </w:r>
      <w:proofErr w:type="spellEnd"/>
      <w:r w:rsidR="00A35A18" w:rsidRPr="00633873">
        <w:rPr>
          <w:rFonts w:ascii="Times New Roman" w:eastAsia="Times New Roman" w:hAnsi="Times New Roman" w:cs="Times New Roman"/>
          <w:iCs/>
          <w:snapToGrid w:val="0"/>
          <w:szCs w:val="24"/>
        </w:rPr>
        <w:t xml:space="preserve">  negalima pradėti gydymo pacient</w:t>
      </w:r>
      <w:r w:rsidR="00307721" w:rsidRPr="00633873">
        <w:rPr>
          <w:rFonts w:ascii="Times New Roman" w:eastAsia="Times New Roman" w:hAnsi="Times New Roman" w:cs="Times New Roman"/>
          <w:iCs/>
          <w:snapToGrid w:val="0"/>
          <w:szCs w:val="24"/>
        </w:rPr>
        <w:t>ams</w:t>
      </w:r>
      <w:r w:rsidR="00A35A18" w:rsidRPr="00633873">
        <w:rPr>
          <w:rFonts w:ascii="Times New Roman" w:eastAsia="Times New Roman" w:hAnsi="Times New Roman" w:cs="Times New Roman"/>
          <w:iCs/>
          <w:snapToGrid w:val="0"/>
          <w:szCs w:val="24"/>
        </w:rPr>
        <w:t xml:space="preserve">, kuriems yra sunkus kepenų </w:t>
      </w:r>
      <w:r w:rsidR="00670963" w:rsidRPr="00633873">
        <w:rPr>
          <w:rFonts w:ascii="Times New Roman" w:eastAsia="Times New Roman" w:hAnsi="Times New Roman" w:cs="Times New Roman"/>
          <w:iCs/>
          <w:snapToGrid w:val="0"/>
          <w:szCs w:val="24"/>
        </w:rPr>
        <w:t xml:space="preserve">funkcijos </w:t>
      </w:r>
      <w:r w:rsidR="00A35A18" w:rsidRPr="00633873">
        <w:rPr>
          <w:rFonts w:ascii="Times New Roman" w:eastAsia="Times New Roman" w:hAnsi="Times New Roman" w:cs="Times New Roman"/>
          <w:iCs/>
          <w:snapToGrid w:val="0"/>
          <w:szCs w:val="24"/>
        </w:rPr>
        <w:t xml:space="preserve">sutrikimas ar kliniškai reikšmingas </w:t>
      </w:r>
      <w:proofErr w:type="spellStart"/>
      <w:r w:rsidR="00A35A18" w:rsidRPr="00633873">
        <w:rPr>
          <w:rFonts w:ascii="Times New Roman" w:eastAsia="Times New Roman" w:hAnsi="Times New Roman" w:cs="Times New Roman"/>
          <w:iCs/>
          <w:snapToGrid w:val="0"/>
          <w:szCs w:val="24"/>
        </w:rPr>
        <w:t>aminotransferazių</w:t>
      </w:r>
      <w:proofErr w:type="spellEnd"/>
      <w:r w:rsidR="00A35A18" w:rsidRPr="00633873">
        <w:rPr>
          <w:rFonts w:ascii="Times New Roman" w:eastAsia="Times New Roman" w:hAnsi="Times New Roman" w:cs="Times New Roman"/>
          <w:iCs/>
          <w:snapToGrid w:val="0"/>
          <w:szCs w:val="24"/>
        </w:rPr>
        <w:t xml:space="preserve"> suaktyvėjimas (daugiau kaip 3</w:t>
      </w:r>
      <w:r w:rsidRPr="00633873">
        <w:rPr>
          <w:rFonts w:ascii="Times New Roman" w:eastAsia="Times New Roman" w:hAnsi="Times New Roman" w:cs="Times New Roman"/>
          <w:iCs/>
          <w:snapToGrid w:val="0"/>
          <w:szCs w:val="24"/>
        </w:rPr>
        <w:t> </w:t>
      </w:r>
      <w:r w:rsidR="00A35A18" w:rsidRPr="00633873">
        <w:rPr>
          <w:rFonts w:ascii="Times New Roman" w:eastAsia="Times New Roman" w:hAnsi="Times New Roman" w:cs="Times New Roman"/>
          <w:iCs/>
          <w:snapToGrid w:val="0"/>
          <w:szCs w:val="24"/>
        </w:rPr>
        <w:t>kartus viršijantis viršutinę normos ribą (&gt; 3 × VNR); žr. 4.3 ir 4.4</w:t>
      </w:r>
      <w:r w:rsidR="002D3ECE" w:rsidRPr="00633873">
        <w:rPr>
          <w:rFonts w:ascii="Times New Roman" w:eastAsia="Times New Roman" w:hAnsi="Times New Roman" w:cs="Times New Roman"/>
          <w:iCs/>
          <w:snapToGrid w:val="0"/>
          <w:szCs w:val="24"/>
        </w:rPr>
        <w:t> skyri</w:t>
      </w:r>
      <w:r w:rsidR="00A35A18" w:rsidRPr="00633873">
        <w:rPr>
          <w:rFonts w:ascii="Times New Roman" w:eastAsia="Times New Roman" w:hAnsi="Times New Roman" w:cs="Times New Roman"/>
          <w:iCs/>
          <w:snapToGrid w:val="0"/>
          <w:szCs w:val="24"/>
        </w:rPr>
        <w:t>us).</w:t>
      </w:r>
    </w:p>
    <w:p w14:paraId="30571347"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178B5D97" w14:textId="77777777" w:rsidR="00A35A18" w:rsidRPr="00570F2A" w:rsidRDefault="00A35A18" w:rsidP="00A35A18">
      <w:pPr>
        <w:tabs>
          <w:tab w:val="left" w:pos="567"/>
        </w:tabs>
        <w:spacing w:after="0" w:line="260" w:lineRule="exact"/>
        <w:rPr>
          <w:rFonts w:ascii="Times New Roman" w:eastAsia="Times New Roman" w:hAnsi="Times New Roman" w:cs="Times New Roman"/>
          <w:i/>
          <w:snapToGrid w:val="0"/>
          <w:szCs w:val="24"/>
        </w:rPr>
      </w:pPr>
      <w:r w:rsidRPr="00570F2A">
        <w:rPr>
          <w:rFonts w:ascii="Times New Roman" w:eastAsia="Times New Roman" w:hAnsi="Times New Roman" w:cs="Times New Roman"/>
          <w:i/>
          <w:snapToGrid w:val="0"/>
          <w:szCs w:val="24"/>
        </w:rPr>
        <w:t>Vaikų populiacija</w:t>
      </w:r>
    </w:p>
    <w:p w14:paraId="589238AE" w14:textId="241B42F0"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roofErr w:type="spellStart"/>
      <w:r w:rsidRPr="00633873">
        <w:rPr>
          <w:rFonts w:ascii="Times New Roman" w:eastAsia="Times New Roman" w:hAnsi="Times New Roman" w:cs="Times New Roman"/>
          <w:iCs/>
          <w:snapToGrid w:val="0"/>
          <w:szCs w:val="24"/>
        </w:rPr>
        <w:t>Ambrisentano</w:t>
      </w:r>
      <w:proofErr w:type="spellEnd"/>
      <w:r w:rsidRPr="00633873">
        <w:rPr>
          <w:rFonts w:ascii="Times New Roman" w:eastAsia="Times New Roman" w:hAnsi="Times New Roman" w:cs="Times New Roman"/>
          <w:iCs/>
          <w:snapToGrid w:val="0"/>
          <w:szCs w:val="24"/>
        </w:rPr>
        <w:t xml:space="preserve"> saugumas ir veiksmingumas jaunesniems kaip 8 metų </w:t>
      </w:r>
      <w:r w:rsidR="007D0772" w:rsidRPr="00633873">
        <w:rPr>
          <w:rFonts w:ascii="Times New Roman" w:eastAsia="Times New Roman" w:hAnsi="Times New Roman" w:cs="Times New Roman"/>
          <w:iCs/>
          <w:snapToGrid w:val="0"/>
          <w:szCs w:val="24"/>
        </w:rPr>
        <w:t>vaikams</w:t>
      </w:r>
      <w:r w:rsidRPr="00633873">
        <w:rPr>
          <w:rFonts w:ascii="Times New Roman" w:eastAsia="Times New Roman" w:hAnsi="Times New Roman" w:cs="Times New Roman"/>
          <w:iCs/>
          <w:snapToGrid w:val="0"/>
          <w:szCs w:val="24"/>
        </w:rPr>
        <w:t xml:space="preserve"> neištirti. </w:t>
      </w:r>
      <w:r w:rsidR="00D574D0" w:rsidRPr="00633873">
        <w:rPr>
          <w:rFonts w:ascii="Times New Roman" w:eastAsia="Times New Roman" w:hAnsi="Times New Roman" w:cs="Times New Roman"/>
          <w:iCs/>
          <w:snapToGrid w:val="0"/>
          <w:szCs w:val="24"/>
        </w:rPr>
        <w:t>Klinikinių d</w:t>
      </w:r>
      <w:r w:rsidRPr="00633873">
        <w:rPr>
          <w:rFonts w:ascii="Times New Roman" w:eastAsia="Times New Roman" w:hAnsi="Times New Roman" w:cs="Times New Roman"/>
          <w:iCs/>
          <w:snapToGrid w:val="0"/>
          <w:szCs w:val="24"/>
        </w:rPr>
        <w:t>uomenų nėra</w:t>
      </w:r>
      <w:r w:rsidR="00D574D0" w:rsidRPr="00633873">
        <w:rPr>
          <w:rFonts w:ascii="Times New Roman" w:eastAsia="Times New Roman" w:hAnsi="Times New Roman" w:cs="Times New Roman"/>
          <w:iCs/>
          <w:snapToGrid w:val="0"/>
          <w:szCs w:val="24"/>
        </w:rPr>
        <w:t xml:space="preserve"> (duomenų apie</w:t>
      </w:r>
      <w:r w:rsidR="002D3ECE" w:rsidRPr="00633873">
        <w:rPr>
          <w:rFonts w:ascii="Times New Roman" w:eastAsia="Times New Roman" w:hAnsi="Times New Roman" w:cs="Times New Roman"/>
          <w:iCs/>
          <w:snapToGrid w:val="0"/>
          <w:szCs w:val="24"/>
        </w:rPr>
        <w:t> </w:t>
      </w:r>
      <w:r w:rsidR="00670963" w:rsidRPr="00633873">
        <w:rPr>
          <w:rFonts w:ascii="Times New Roman" w:eastAsia="Times New Roman" w:hAnsi="Times New Roman" w:cs="Times New Roman"/>
          <w:iCs/>
          <w:snapToGrid w:val="0"/>
          <w:szCs w:val="24"/>
        </w:rPr>
        <w:t>poveikį</w:t>
      </w:r>
      <w:r w:rsidR="00D574D0" w:rsidRPr="00633873">
        <w:rPr>
          <w:rFonts w:ascii="Times New Roman" w:eastAsia="Times New Roman" w:hAnsi="Times New Roman" w:cs="Times New Roman"/>
          <w:iCs/>
          <w:snapToGrid w:val="0"/>
          <w:szCs w:val="24"/>
        </w:rPr>
        <w:t xml:space="preserve"> gyvūnų jaunikliams pateikiama 5.3</w:t>
      </w:r>
      <w:r w:rsidR="002D3ECE" w:rsidRPr="00633873">
        <w:rPr>
          <w:rFonts w:ascii="Times New Roman" w:eastAsia="Times New Roman" w:hAnsi="Times New Roman" w:cs="Times New Roman"/>
          <w:iCs/>
          <w:snapToGrid w:val="0"/>
          <w:szCs w:val="24"/>
        </w:rPr>
        <w:t> skyri</w:t>
      </w:r>
      <w:r w:rsidR="00D574D0" w:rsidRPr="00633873">
        <w:rPr>
          <w:rFonts w:ascii="Times New Roman" w:eastAsia="Times New Roman" w:hAnsi="Times New Roman" w:cs="Times New Roman"/>
          <w:iCs/>
          <w:snapToGrid w:val="0"/>
          <w:szCs w:val="24"/>
        </w:rPr>
        <w:t>uje)</w:t>
      </w:r>
      <w:r w:rsidRPr="00633873">
        <w:rPr>
          <w:rFonts w:ascii="Times New Roman" w:eastAsia="Times New Roman" w:hAnsi="Times New Roman" w:cs="Times New Roman"/>
          <w:iCs/>
          <w:snapToGrid w:val="0"/>
          <w:szCs w:val="24"/>
        </w:rPr>
        <w:t>.</w:t>
      </w:r>
    </w:p>
    <w:p w14:paraId="7C954858"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p>
    <w:p w14:paraId="06054FB5" w14:textId="41B1279E" w:rsidR="00A35A18" w:rsidRDefault="00A35A18" w:rsidP="00A35A18">
      <w:pPr>
        <w:tabs>
          <w:tab w:val="left" w:pos="567"/>
        </w:tabs>
        <w:spacing w:after="0" w:line="260" w:lineRule="exact"/>
        <w:rPr>
          <w:rFonts w:ascii="Times New Roman" w:eastAsia="Times New Roman" w:hAnsi="Times New Roman" w:cs="Times New Roman"/>
          <w:iCs/>
          <w:snapToGrid w:val="0"/>
          <w:szCs w:val="24"/>
          <w:u w:val="single"/>
        </w:rPr>
      </w:pPr>
      <w:r w:rsidRPr="00633873">
        <w:rPr>
          <w:rFonts w:ascii="Times New Roman" w:eastAsia="Times New Roman" w:hAnsi="Times New Roman" w:cs="Times New Roman"/>
          <w:iCs/>
          <w:snapToGrid w:val="0"/>
          <w:szCs w:val="24"/>
          <w:u w:val="single"/>
        </w:rPr>
        <w:t>Vartojimo metodas</w:t>
      </w:r>
    </w:p>
    <w:p w14:paraId="4449B05D" w14:textId="77777777" w:rsidR="00577297" w:rsidRPr="00633873" w:rsidRDefault="00577297" w:rsidP="00A35A18">
      <w:pPr>
        <w:tabs>
          <w:tab w:val="left" w:pos="567"/>
        </w:tabs>
        <w:spacing w:after="0" w:line="260" w:lineRule="exact"/>
        <w:rPr>
          <w:rFonts w:ascii="Times New Roman" w:eastAsia="Times New Roman" w:hAnsi="Times New Roman" w:cs="Times New Roman"/>
          <w:iCs/>
          <w:snapToGrid w:val="0"/>
          <w:szCs w:val="24"/>
          <w:u w:val="single"/>
        </w:rPr>
      </w:pPr>
    </w:p>
    <w:p w14:paraId="14CF906C" w14:textId="77777777" w:rsidR="00A35A18" w:rsidRPr="00633873" w:rsidRDefault="00A35A18" w:rsidP="00A35A18">
      <w:pPr>
        <w:tabs>
          <w:tab w:val="left" w:pos="567"/>
        </w:tabs>
        <w:spacing w:after="0" w:line="260" w:lineRule="exact"/>
        <w:rPr>
          <w:rFonts w:ascii="Times New Roman" w:eastAsia="Times New Roman" w:hAnsi="Times New Roman" w:cs="Times New Roman"/>
          <w:iCs/>
          <w:snapToGrid w:val="0"/>
          <w:szCs w:val="24"/>
        </w:rPr>
      </w:pPr>
      <w:r w:rsidRPr="00633873">
        <w:rPr>
          <w:rFonts w:ascii="Times New Roman" w:eastAsia="Times New Roman" w:hAnsi="Times New Roman" w:cs="Times New Roman"/>
          <w:iCs/>
          <w:snapToGrid w:val="0"/>
          <w:szCs w:val="24"/>
        </w:rPr>
        <w:t>Rekomenduojama nuryti visą tabletę, ją galima išgerti valgant arba nevalgius. Tablečių nerekomenduojama dalyti, smulkinti arba kramtyti.</w:t>
      </w:r>
      <w:r w:rsidRPr="00633873">
        <w:rPr>
          <w:rFonts w:ascii="Times New Roman" w:eastAsia="Times New Roman" w:hAnsi="Times New Roman" w:cs="Times New Roman"/>
          <w:iCs/>
          <w:snapToGrid w:val="0"/>
          <w:szCs w:val="24"/>
        </w:rPr>
        <w:cr/>
      </w:r>
    </w:p>
    <w:p w14:paraId="79E44584"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4.3</w:t>
      </w:r>
      <w:r w:rsidRPr="00633873">
        <w:rPr>
          <w:rFonts w:ascii="Times New Roman" w:eastAsia="Times New Roman" w:hAnsi="Times New Roman" w:cs="Times New Roman"/>
          <w:b/>
          <w:kern w:val="28"/>
        </w:rPr>
        <w:tab/>
        <w:t>Kontraindikacijos</w:t>
      </w:r>
    </w:p>
    <w:p w14:paraId="454BC15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6448E68" w14:textId="77777777" w:rsidR="00A35A18" w:rsidRPr="00633873" w:rsidRDefault="00A35A18" w:rsidP="00D956B6">
      <w:pPr>
        <w:pStyle w:val="Sraopastraipa"/>
        <w:numPr>
          <w:ilvl w:val="0"/>
          <w:numId w:val="15"/>
        </w:numPr>
        <w:tabs>
          <w:tab w:val="left" w:pos="567"/>
        </w:tabs>
        <w:spacing w:after="0" w:line="260" w:lineRule="exact"/>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Padidėjęs jautrumas veikliajai medžiagai</w:t>
      </w:r>
      <w:r w:rsidR="002D3ECE"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w:t>
      </w:r>
      <w:r w:rsidR="002D3ECE" w:rsidRPr="00633873">
        <w:rPr>
          <w:rFonts w:ascii="Times New Roman" w:eastAsia="Times New Roman" w:hAnsi="Times New Roman" w:cs="Times New Roman"/>
          <w:snapToGrid w:val="0"/>
          <w:szCs w:val="24"/>
        </w:rPr>
        <w:t xml:space="preserve">žemės riešutams, sojai </w:t>
      </w:r>
      <w:r w:rsidRPr="00633873">
        <w:rPr>
          <w:rFonts w:ascii="Times New Roman" w:eastAsia="Times New Roman" w:hAnsi="Times New Roman" w:cs="Times New Roman"/>
          <w:snapToGrid w:val="0"/>
          <w:szCs w:val="24"/>
        </w:rPr>
        <w:t>arba bet kuriai 6.1</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uje nurodytai pagalbinei medžiagai.</w:t>
      </w:r>
    </w:p>
    <w:p w14:paraId="0F17EBEC" w14:textId="77777777" w:rsidR="00A35A18" w:rsidRPr="00633873" w:rsidRDefault="00A35A18" w:rsidP="00D956B6">
      <w:pPr>
        <w:pStyle w:val="Sraopastraipa"/>
        <w:numPr>
          <w:ilvl w:val="0"/>
          <w:numId w:val="15"/>
        </w:numPr>
        <w:tabs>
          <w:tab w:val="left" w:pos="567"/>
        </w:tabs>
        <w:spacing w:after="0" w:line="260" w:lineRule="exact"/>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Nėštumas (žr. 4.6</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w:t>
      </w:r>
    </w:p>
    <w:p w14:paraId="23C282CB" w14:textId="65118A3A" w:rsidR="00A35A18" w:rsidRPr="00633873" w:rsidRDefault="000A46F1" w:rsidP="00D956B6">
      <w:pPr>
        <w:pStyle w:val="Sraopastraipa"/>
        <w:numPr>
          <w:ilvl w:val="0"/>
          <w:numId w:val="15"/>
        </w:numPr>
        <w:tabs>
          <w:tab w:val="left" w:pos="567"/>
        </w:tabs>
        <w:spacing w:after="0" w:line="260" w:lineRule="exact"/>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Vaisingos m</w:t>
      </w:r>
      <w:r w:rsidR="00D956B6" w:rsidRPr="00633873">
        <w:rPr>
          <w:rFonts w:ascii="Times New Roman" w:eastAsia="Times New Roman" w:hAnsi="Times New Roman" w:cs="Times New Roman"/>
          <w:snapToGrid w:val="0"/>
          <w:szCs w:val="24"/>
        </w:rPr>
        <w:t>oter</w:t>
      </w:r>
      <w:r w:rsidRPr="00633873">
        <w:rPr>
          <w:rFonts w:ascii="Times New Roman" w:eastAsia="Times New Roman" w:hAnsi="Times New Roman" w:cs="Times New Roman"/>
          <w:snapToGrid w:val="0"/>
          <w:szCs w:val="24"/>
        </w:rPr>
        <w:t>y</w:t>
      </w:r>
      <w:r w:rsidR="00D956B6" w:rsidRPr="00633873">
        <w:rPr>
          <w:rFonts w:ascii="Times New Roman" w:eastAsia="Times New Roman" w:hAnsi="Times New Roman" w:cs="Times New Roman"/>
          <w:snapToGrid w:val="0"/>
          <w:szCs w:val="24"/>
        </w:rPr>
        <w:t>s</w:t>
      </w:r>
      <w:r w:rsidRPr="00633873">
        <w:rPr>
          <w:rFonts w:ascii="Times New Roman" w:eastAsia="Times New Roman" w:hAnsi="Times New Roman" w:cs="Times New Roman"/>
          <w:snapToGrid w:val="0"/>
          <w:szCs w:val="24"/>
        </w:rPr>
        <w:t>,</w:t>
      </w:r>
      <w:r w:rsidR="00D956B6" w:rsidRPr="00633873">
        <w:rPr>
          <w:rFonts w:ascii="Times New Roman" w:eastAsia="Times New Roman" w:hAnsi="Times New Roman" w:cs="Times New Roman"/>
          <w:snapToGrid w:val="0"/>
          <w:szCs w:val="24"/>
        </w:rPr>
        <w:t xml:space="preserve"> nevartoja</w:t>
      </w:r>
      <w:r w:rsidRPr="00633873">
        <w:rPr>
          <w:rFonts w:ascii="Times New Roman" w:eastAsia="Times New Roman" w:hAnsi="Times New Roman" w:cs="Times New Roman"/>
          <w:snapToGrid w:val="0"/>
          <w:szCs w:val="24"/>
        </w:rPr>
        <w:t>nčios</w:t>
      </w:r>
      <w:r w:rsidR="00D956B6"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veiksmingų</w:t>
      </w:r>
      <w:r w:rsidR="00A35A18" w:rsidRPr="00633873">
        <w:rPr>
          <w:rFonts w:ascii="Times New Roman" w:eastAsia="Times New Roman" w:hAnsi="Times New Roman" w:cs="Times New Roman"/>
          <w:snapToGrid w:val="0"/>
          <w:szCs w:val="24"/>
        </w:rPr>
        <w:t xml:space="preserve"> kontracepcijos priemonių (žr. 4.4 ir 4.6</w:t>
      </w:r>
      <w:r w:rsidR="002D3ECE" w:rsidRPr="00633873">
        <w:rPr>
          <w:rFonts w:ascii="Times New Roman" w:eastAsia="Times New Roman" w:hAnsi="Times New Roman" w:cs="Times New Roman"/>
          <w:snapToGrid w:val="0"/>
          <w:szCs w:val="24"/>
        </w:rPr>
        <w:t> skyri</w:t>
      </w:r>
      <w:r w:rsidR="00A35A18" w:rsidRPr="00633873">
        <w:rPr>
          <w:rFonts w:ascii="Times New Roman" w:eastAsia="Times New Roman" w:hAnsi="Times New Roman" w:cs="Times New Roman"/>
          <w:snapToGrid w:val="0"/>
          <w:szCs w:val="24"/>
        </w:rPr>
        <w:t>us).</w:t>
      </w:r>
    </w:p>
    <w:p w14:paraId="78207937" w14:textId="77777777" w:rsidR="00A35A18" w:rsidRPr="00633873" w:rsidRDefault="00A35A18" w:rsidP="00D956B6">
      <w:pPr>
        <w:pStyle w:val="Sraopastraipa"/>
        <w:numPr>
          <w:ilvl w:val="0"/>
          <w:numId w:val="15"/>
        </w:numPr>
        <w:tabs>
          <w:tab w:val="left" w:pos="567"/>
        </w:tabs>
        <w:spacing w:after="0" w:line="260" w:lineRule="exact"/>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Žindymas (žr. 4.6</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w:t>
      </w:r>
    </w:p>
    <w:p w14:paraId="10D71A29" w14:textId="77777777" w:rsidR="00A35A18" w:rsidRPr="00633873" w:rsidRDefault="00A35A18" w:rsidP="00D956B6">
      <w:pPr>
        <w:pStyle w:val="Sraopastraipa"/>
        <w:numPr>
          <w:ilvl w:val="0"/>
          <w:numId w:val="15"/>
        </w:numPr>
        <w:tabs>
          <w:tab w:val="left" w:pos="567"/>
        </w:tabs>
        <w:spacing w:after="0" w:line="260" w:lineRule="exact"/>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Sunkus kepenų funkcijos sutrikimas (su ciroze ar be cirozės) (žr. 4.2</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w:t>
      </w:r>
    </w:p>
    <w:p w14:paraId="27134F05" w14:textId="44E3A616" w:rsidR="00A35A18" w:rsidRPr="00633873" w:rsidRDefault="00A35A18" w:rsidP="00D956B6">
      <w:pPr>
        <w:pStyle w:val="Sraopastraipa"/>
        <w:numPr>
          <w:ilvl w:val="0"/>
          <w:numId w:val="15"/>
        </w:numPr>
        <w:tabs>
          <w:tab w:val="left" w:pos="567"/>
        </w:tabs>
        <w:spacing w:after="0" w:line="260" w:lineRule="exact"/>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Pradinis kepenų </w:t>
      </w:r>
      <w:proofErr w:type="spellStart"/>
      <w:r w:rsidRPr="00633873">
        <w:rPr>
          <w:rFonts w:ascii="Times New Roman" w:eastAsia="Times New Roman" w:hAnsi="Times New Roman" w:cs="Times New Roman"/>
          <w:snapToGrid w:val="0"/>
          <w:szCs w:val="24"/>
        </w:rPr>
        <w:t>aminotransferazių</w:t>
      </w:r>
      <w:proofErr w:type="spellEnd"/>
      <w:r w:rsidRPr="00633873">
        <w:rPr>
          <w:rFonts w:ascii="Times New Roman" w:eastAsia="Times New Roman" w:hAnsi="Times New Roman" w:cs="Times New Roman"/>
          <w:snapToGrid w:val="0"/>
          <w:szCs w:val="24"/>
        </w:rPr>
        <w:t xml:space="preserve"> (aspartataminotransferazės (AST) ir (arba) alaninaminotransferazės (ALT)) aktyvumas &gt; 3 </w:t>
      </w:r>
      <w:r w:rsidR="007D0772" w:rsidRPr="00633873">
        <w:rPr>
          <w:rFonts w:ascii="Times New Roman" w:eastAsia="Times New Roman" w:hAnsi="Times New Roman" w:cs="Times New Roman"/>
          <w:iCs/>
          <w:snapToGrid w:val="0"/>
          <w:szCs w:val="24"/>
        </w:rPr>
        <w:t>×</w:t>
      </w:r>
      <w:r w:rsidRPr="00633873">
        <w:rPr>
          <w:rFonts w:ascii="Times New Roman" w:eastAsia="Times New Roman" w:hAnsi="Times New Roman" w:cs="Times New Roman"/>
          <w:snapToGrid w:val="0"/>
          <w:szCs w:val="24"/>
        </w:rPr>
        <w:t> VNR (žr. 4.2 ir 4.4</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us).</w:t>
      </w:r>
    </w:p>
    <w:p w14:paraId="2ACB282B" w14:textId="77777777" w:rsidR="00A35A18" w:rsidRPr="00633873" w:rsidRDefault="00A35A18" w:rsidP="00D956B6">
      <w:pPr>
        <w:pStyle w:val="Sraopastraipa"/>
        <w:numPr>
          <w:ilvl w:val="0"/>
          <w:numId w:val="15"/>
        </w:numPr>
        <w:tabs>
          <w:tab w:val="left" w:pos="567"/>
        </w:tabs>
        <w:spacing w:after="0" w:line="260" w:lineRule="exact"/>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Idiopatinė plaučių fibrozė (IPF), su antrine </w:t>
      </w:r>
      <w:proofErr w:type="spellStart"/>
      <w:r w:rsidRPr="00633873">
        <w:rPr>
          <w:rFonts w:ascii="Times New Roman" w:eastAsia="Times New Roman" w:hAnsi="Times New Roman" w:cs="Times New Roman"/>
          <w:snapToGrid w:val="0"/>
          <w:szCs w:val="24"/>
        </w:rPr>
        <w:t>plautine</w:t>
      </w:r>
      <w:proofErr w:type="spellEnd"/>
      <w:r w:rsidRPr="00633873">
        <w:rPr>
          <w:rFonts w:ascii="Times New Roman" w:eastAsia="Times New Roman" w:hAnsi="Times New Roman" w:cs="Times New Roman"/>
          <w:snapToGrid w:val="0"/>
          <w:szCs w:val="24"/>
        </w:rPr>
        <w:t xml:space="preserve"> hipertenzija arba be antrinės </w:t>
      </w:r>
      <w:proofErr w:type="spellStart"/>
      <w:r w:rsidRPr="00633873">
        <w:rPr>
          <w:rFonts w:ascii="Times New Roman" w:eastAsia="Times New Roman" w:hAnsi="Times New Roman" w:cs="Times New Roman"/>
          <w:snapToGrid w:val="0"/>
          <w:szCs w:val="24"/>
        </w:rPr>
        <w:t>plautinės</w:t>
      </w:r>
      <w:proofErr w:type="spellEnd"/>
      <w:r w:rsidRPr="00633873">
        <w:rPr>
          <w:rFonts w:ascii="Times New Roman" w:eastAsia="Times New Roman" w:hAnsi="Times New Roman" w:cs="Times New Roman"/>
          <w:snapToGrid w:val="0"/>
          <w:szCs w:val="24"/>
        </w:rPr>
        <w:t xml:space="preserve"> hipertenzijos (žr. 5.1</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w:t>
      </w:r>
    </w:p>
    <w:p w14:paraId="4ED0B9A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8705407"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4.4</w:t>
      </w:r>
      <w:r w:rsidRPr="00633873">
        <w:rPr>
          <w:rFonts w:ascii="Times New Roman" w:eastAsia="Times New Roman" w:hAnsi="Times New Roman" w:cs="Times New Roman"/>
          <w:b/>
          <w:kern w:val="28"/>
        </w:rPr>
        <w:tab/>
        <w:t>Specialūs įspėjimai ir atsargumo priemonės</w:t>
      </w:r>
    </w:p>
    <w:p w14:paraId="4854682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92BC72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Tiriant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poveikį, PSO I funkcinės klasės PH sergančių pacientų skaičius buvo nepakankamas, kad būtų galima nustatyti naudos </w:t>
      </w:r>
      <w:r w:rsidR="00857C35" w:rsidRPr="00633873">
        <w:rPr>
          <w:rFonts w:ascii="Times New Roman" w:eastAsia="Times New Roman" w:hAnsi="Times New Roman" w:cs="Times New Roman"/>
          <w:snapToGrid w:val="0"/>
          <w:szCs w:val="20"/>
        </w:rPr>
        <w:t xml:space="preserve">ir </w:t>
      </w:r>
      <w:r w:rsidRPr="00633873">
        <w:rPr>
          <w:rFonts w:ascii="Times New Roman" w:eastAsia="Times New Roman" w:hAnsi="Times New Roman" w:cs="Times New Roman"/>
          <w:snapToGrid w:val="0"/>
          <w:szCs w:val="20"/>
        </w:rPr>
        <w:t>rizikos santykį.</w:t>
      </w:r>
    </w:p>
    <w:p w14:paraId="4F84051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6C4796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Nebuvo nustatyta, ar </w:t>
      </w:r>
      <w:proofErr w:type="spellStart"/>
      <w:r w:rsidRPr="00633873">
        <w:rPr>
          <w:rFonts w:ascii="Times New Roman" w:eastAsia="Times New Roman" w:hAnsi="Times New Roman" w:cs="Times New Roman"/>
          <w:snapToGrid w:val="0"/>
          <w:szCs w:val="20"/>
        </w:rPr>
        <w:t>monoterapija</w:t>
      </w:r>
      <w:proofErr w:type="spellEnd"/>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yra veiksminga pacientams, sergantiems PSO IV funkcinės klasės PH. Jei klinikinė būklė blogėja, reikia apsvarstyti galimybę taikyti sunkioms ligos stadijoms rekomenduojamą gydymą (pvz., </w:t>
      </w:r>
      <w:proofErr w:type="spellStart"/>
      <w:r w:rsidRPr="00633873">
        <w:rPr>
          <w:rFonts w:ascii="Times New Roman" w:eastAsia="Times New Roman" w:hAnsi="Times New Roman" w:cs="Times New Roman"/>
          <w:snapToGrid w:val="0"/>
          <w:szCs w:val="20"/>
        </w:rPr>
        <w:t>epoprostenoliu</w:t>
      </w:r>
      <w:proofErr w:type="spellEnd"/>
      <w:r w:rsidRPr="00633873">
        <w:rPr>
          <w:rFonts w:ascii="Times New Roman" w:eastAsia="Times New Roman" w:hAnsi="Times New Roman" w:cs="Times New Roman"/>
          <w:snapToGrid w:val="0"/>
          <w:szCs w:val="20"/>
        </w:rPr>
        <w:t>).</w:t>
      </w:r>
    </w:p>
    <w:p w14:paraId="0A7359A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642928B" w14:textId="34EDB8F2" w:rsidR="00A35A18" w:rsidRDefault="00A35A18" w:rsidP="00A35A18">
      <w:pPr>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Kepenų funkcija</w:t>
      </w:r>
    </w:p>
    <w:p w14:paraId="1EDCF65B"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0"/>
          <w:u w:val="single"/>
        </w:rPr>
      </w:pPr>
    </w:p>
    <w:p w14:paraId="42FC872F" w14:textId="685CD5DB"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Kepenų funkcijos sutrikimai yra siejami su PH. Vartojant </w:t>
      </w:r>
      <w:proofErr w:type="spellStart"/>
      <w:r w:rsidRPr="00633873">
        <w:rPr>
          <w:rFonts w:ascii="Times New Roman" w:eastAsia="Times New Roman" w:hAnsi="Times New Roman" w:cs="Times New Roman"/>
          <w:snapToGrid w:val="0"/>
          <w:szCs w:val="20"/>
        </w:rPr>
        <w:t>ambrisentaną</w:t>
      </w:r>
      <w:proofErr w:type="spellEnd"/>
      <w:r w:rsidRPr="00633873">
        <w:rPr>
          <w:rFonts w:ascii="Times New Roman" w:eastAsia="Times New Roman" w:hAnsi="Times New Roman" w:cs="Times New Roman"/>
          <w:snapToGrid w:val="0"/>
          <w:szCs w:val="20"/>
        </w:rPr>
        <w:t>, buvo pastebėti autoimuninio hepatito, įskaitant galimą esamo autoimuninio hepatito paūmėjimą, kepenų pažeidimo ir kepenų fermentų suaktyvėjimo atvejai, galimai susiję su gydymu (žr. 4.8 ir 5.1</w:t>
      </w:r>
      <w:r w:rsidR="002D3ECE" w:rsidRPr="00633873">
        <w:rPr>
          <w:rFonts w:ascii="Times New Roman" w:eastAsia="Times New Roman" w:hAnsi="Times New Roman" w:cs="Times New Roman"/>
          <w:snapToGrid w:val="0"/>
          <w:szCs w:val="20"/>
        </w:rPr>
        <w:t> skyri</w:t>
      </w:r>
      <w:r w:rsidRPr="00633873">
        <w:rPr>
          <w:rFonts w:ascii="Times New Roman" w:eastAsia="Times New Roman" w:hAnsi="Times New Roman" w:cs="Times New Roman"/>
          <w:snapToGrid w:val="0"/>
          <w:szCs w:val="20"/>
        </w:rPr>
        <w:t xml:space="preserve">us). Todėl prieš pradedant gydyti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reikia įvertinti kepenų </w:t>
      </w:r>
      <w:proofErr w:type="spellStart"/>
      <w:r w:rsidRPr="00633873">
        <w:rPr>
          <w:rFonts w:ascii="Times New Roman" w:eastAsia="Times New Roman" w:hAnsi="Times New Roman" w:cs="Times New Roman"/>
          <w:snapToGrid w:val="0"/>
          <w:szCs w:val="20"/>
        </w:rPr>
        <w:t>aminotransferazių</w:t>
      </w:r>
      <w:proofErr w:type="spellEnd"/>
      <w:r w:rsidRPr="00633873">
        <w:rPr>
          <w:rFonts w:ascii="Times New Roman" w:eastAsia="Times New Roman" w:hAnsi="Times New Roman" w:cs="Times New Roman"/>
          <w:snapToGrid w:val="0"/>
          <w:szCs w:val="20"/>
        </w:rPr>
        <w:t xml:space="preserve"> (ALT ir AST)</w:t>
      </w:r>
      <w:r w:rsidR="008150FE" w:rsidRPr="00633873">
        <w:rPr>
          <w:rFonts w:ascii="Times New Roman" w:eastAsia="Times New Roman" w:hAnsi="Times New Roman" w:cs="Times New Roman"/>
          <w:snapToGrid w:val="0"/>
          <w:szCs w:val="20"/>
        </w:rPr>
        <w:t xml:space="preserve"> aktyvumą</w:t>
      </w:r>
      <w:r w:rsidRPr="00633873">
        <w:rPr>
          <w:rFonts w:ascii="Times New Roman" w:eastAsia="Times New Roman" w:hAnsi="Times New Roman" w:cs="Times New Roman"/>
          <w:snapToGrid w:val="0"/>
          <w:szCs w:val="20"/>
        </w:rPr>
        <w:t xml:space="preserve"> </w:t>
      </w:r>
      <w:r w:rsidR="003D466B" w:rsidRPr="00633873">
        <w:rPr>
          <w:rFonts w:ascii="Times New Roman" w:eastAsia="Times New Roman" w:hAnsi="Times New Roman" w:cs="Times New Roman"/>
          <w:snapToGrid w:val="0"/>
          <w:szCs w:val="20"/>
        </w:rPr>
        <w:t xml:space="preserve">ir, </w:t>
      </w:r>
      <w:r w:rsidR="008150FE" w:rsidRPr="00633873">
        <w:rPr>
          <w:rFonts w:ascii="Times New Roman" w:eastAsia="Times New Roman" w:hAnsi="Times New Roman" w:cs="Times New Roman"/>
          <w:snapToGrid w:val="0"/>
          <w:szCs w:val="20"/>
        </w:rPr>
        <w:t xml:space="preserve">negalima pradėti gydyti pacientų, </w:t>
      </w:r>
      <w:r w:rsidR="003D466B" w:rsidRPr="00633873">
        <w:rPr>
          <w:rFonts w:ascii="Times New Roman" w:eastAsia="Times New Roman" w:hAnsi="Times New Roman" w:cs="Times New Roman"/>
          <w:snapToGrid w:val="0"/>
          <w:szCs w:val="20"/>
        </w:rPr>
        <w:t xml:space="preserve">jei pradinis </w:t>
      </w:r>
      <w:r w:rsidRPr="00633873">
        <w:rPr>
          <w:rFonts w:ascii="Times New Roman" w:eastAsia="Times New Roman" w:hAnsi="Times New Roman" w:cs="Times New Roman"/>
          <w:snapToGrid w:val="0"/>
          <w:szCs w:val="20"/>
        </w:rPr>
        <w:t>ALT ir (arba) AST aktyvumas &gt; 3 × VNR (žr. 4.3</w:t>
      </w:r>
      <w:r w:rsidR="002D3ECE" w:rsidRPr="00633873">
        <w:rPr>
          <w:rFonts w:ascii="Times New Roman" w:eastAsia="Times New Roman" w:hAnsi="Times New Roman" w:cs="Times New Roman"/>
          <w:snapToGrid w:val="0"/>
          <w:szCs w:val="20"/>
        </w:rPr>
        <w:t> skyri</w:t>
      </w:r>
      <w:r w:rsidRPr="00633873">
        <w:rPr>
          <w:rFonts w:ascii="Times New Roman" w:eastAsia="Times New Roman" w:hAnsi="Times New Roman" w:cs="Times New Roman"/>
          <w:snapToGrid w:val="0"/>
          <w:szCs w:val="20"/>
        </w:rPr>
        <w:t>ų).</w:t>
      </w:r>
    </w:p>
    <w:p w14:paraId="6CDAE1C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4136E2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Reikia stebėti, ar pacientams neatsiranda kepenų pažeidimo požymių, ir rekomenduojama kas mėnesį matuoti ALT ir AST aktyvumą. Jei pacientams atsiranda ilgalaikis, nepaaiškinamas ir kliniškai reikšmingas ALT ir (arba) AST aktyvumo padidėjimas, arba jei su ALT ir (arba) AST aktyvumo padidėjimu atsiranda ir kepenų pažeidimo požymiai (pvz., gelta), gydymą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reikia nutraukti.</w:t>
      </w:r>
    </w:p>
    <w:p w14:paraId="1874805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86C64B8" w14:textId="4C8530D0"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Jeigu nėra kepenų pažeidimo klinikinių simptomų ar geltos, galima apsvarstyti</w:t>
      </w:r>
      <w:r w:rsidR="003D466B" w:rsidRPr="00633873">
        <w:rPr>
          <w:rFonts w:ascii="Times New Roman" w:eastAsia="Times New Roman" w:hAnsi="Times New Roman" w:cs="Times New Roman"/>
          <w:snapToGrid w:val="0"/>
          <w:szCs w:val="20"/>
        </w:rPr>
        <w:t xml:space="preserve"> </w:t>
      </w:r>
      <w:r w:rsidRPr="00633873">
        <w:rPr>
          <w:rFonts w:ascii="Times New Roman" w:eastAsia="Times New Roman" w:hAnsi="Times New Roman" w:cs="Times New Roman"/>
          <w:snapToGrid w:val="0"/>
          <w:szCs w:val="20"/>
        </w:rPr>
        <w:t>gydym</w:t>
      </w:r>
      <w:r w:rsidR="003D466B" w:rsidRPr="00633873">
        <w:rPr>
          <w:rFonts w:ascii="Times New Roman" w:eastAsia="Times New Roman" w:hAnsi="Times New Roman" w:cs="Times New Roman"/>
          <w:snapToGrid w:val="0"/>
          <w:szCs w:val="20"/>
        </w:rPr>
        <w:t>o</w:t>
      </w:r>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w:t>
      </w:r>
      <w:r w:rsidR="003D466B" w:rsidRPr="00633873">
        <w:rPr>
          <w:rFonts w:ascii="Times New Roman" w:eastAsia="Times New Roman" w:hAnsi="Times New Roman" w:cs="Times New Roman"/>
          <w:snapToGrid w:val="0"/>
          <w:szCs w:val="20"/>
        </w:rPr>
        <w:t xml:space="preserve">atnaujinimo galimybę </w:t>
      </w:r>
      <w:r w:rsidRPr="00633873">
        <w:rPr>
          <w:rFonts w:ascii="Times New Roman" w:eastAsia="Times New Roman" w:hAnsi="Times New Roman" w:cs="Times New Roman"/>
          <w:snapToGrid w:val="0"/>
          <w:szCs w:val="20"/>
        </w:rPr>
        <w:t xml:space="preserve">tada, kai kepenų fermentų aktyvumas sunormalėja. Rekomenduojama konsultuotis su gydytoju </w:t>
      </w:r>
      <w:r w:rsidR="00212782" w:rsidRPr="00633873">
        <w:rPr>
          <w:rFonts w:ascii="Times New Roman" w:eastAsia="Times New Roman" w:hAnsi="Times New Roman" w:cs="Times New Roman"/>
          <w:snapToGrid w:val="0"/>
          <w:szCs w:val="20"/>
        </w:rPr>
        <w:t>gastroenterologu</w:t>
      </w:r>
      <w:r w:rsidRPr="00633873">
        <w:rPr>
          <w:rFonts w:ascii="Times New Roman" w:eastAsia="Times New Roman" w:hAnsi="Times New Roman" w:cs="Times New Roman"/>
          <w:snapToGrid w:val="0"/>
          <w:szCs w:val="20"/>
        </w:rPr>
        <w:t>.</w:t>
      </w:r>
    </w:p>
    <w:p w14:paraId="0160BBE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714D385" w14:textId="096C93F0" w:rsidR="00A35A18" w:rsidRDefault="00A35A18" w:rsidP="009F7541">
      <w:pPr>
        <w:keepNext/>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Hemoglobino koncentracija</w:t>
      </w:r>
    </w:p>
    <w:p w14:paraId="25741BDB" w14:textId="77777777" w:rsidR="00577297" w:rsidRPr="00633873" w:rsidRDefault="00577297" w:rsidP="009F7541">
      <w:pPr>
        <w:keepNext/>
        <w:tabs>
          <w:tab w:val="left" w:pos="567"/>
        </w:tabs>
        <w:spacing w:after="0" w:line="260" w:lineRule="exact"/>
        <w:rPr>
          <w:rFonts w:ascii="Times New Roman" w:eastAsia="Times New Roman" w:hAnsi="Times New Roman" w:cs="Times New Roman"/>
          <w:snapToGrid w:val="0"/>
          <w:szCs w:val="20"/>
          <w:u w:val="single"/>
        </w:rPr>
      </w:pPr>
    </w:p>
    <w:p w14:paraId="75039046" w14:textId="58223EB6" w:rsidR="00A35A18"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Hemoglobino koncentracijos ir </w:t>
      </w:r>
      <w:proofErr w:type="spellStart"/>
      <w:r w:rsidRPr="00633873">
        <w:rPr>
          <w:rFonts w:ascii="Times New Roman" w:eastAsia="Times New Roman" w:hAnsi="Times New Roman" w:cs="Times New Roman"/>
          <w:snapToGrid w:val="0"/>
          <w:szCs w:val="20"/>
        </w:rPr>
        <w:t>hematokrito</w:t>
      </w:r>
      <w:proofErr w:type="spellEnd"/>
      <w:r w:rsidRPr="00633873">
        <w:rPr>
          <w:rFonts w:ascii="Times New Roman" w:eastAsia="Times New Roman" w:hAnsi="Times New Roman" w:cs="Times New Roman"/>
          <w:snapToGrid w:val="0"/>
          <w:szCs w:val="20"/>
        </w:rPr>
        <w:t xml:space="preserve"> rodmens sumažėjimas siejamas su </w:t>
      </w:r>
      <w:proofErr w:type="spellStart"/>
      <w:r w:rsidRPr="00633873">
        <w:rPr>
          <w:rFonts w:ascii="Times New Roman" w:eastAsia="Times New Roman" w:hAnsi="Times New Roman" w:cs="Times New Roman"/>
          <w:snapToGrid w:val="0"/>
          <w:szCs w:val="20"/>
        </w:rPr>
        <w:t>endotelino</w:t>
      </w:r>
      <w:proofErr w:type="spellEnd"/>
      <w:r w:rsidRPr="00633873">
        <w:rPr>
          <w:rFonts w:ascii="Times New Roman" w:eastAsia="Times New Roman" w:hAnsi="Times New Roman" w:cs="Times New Roman"/>
          <w:snapToGrid w:val="0"/>
          <w:szCs w:val="20"/>
        </w:rPr>
        <w:t xml:space="preserve"> receptorių antagonistų (ERA), įskaitant </w:t>
      </w:r>
      <w:proofErr w:type="spellStart"/>
      <w:r w:rsidRPr="00633873">
        <w:rPr>
          <w:rFonts w:ascii="Times New Roman" w:eastAsia="Times New Roman" w:hAnsi="Times New Roman" w:cs="Times New Roman"/>
          <w:snapToGrid w:val="0"/>
          <w:szCs w:val="20"/>
        </w:rPr>
        <w:t>ambrisentaną</w:t>
      </w:r>
      <w:proofErr w:type="spellEnd"/>
      <w:r w:rsidRPr="00633873">
        <w:rPr>
          <w:rFonts w:ascii="Times New Roman" w:eastAsia="Times New Roman" w:hAnsi="Times New Roman" w:cs="Times New Roman"/>
          <w:snapToGrid w:val="0"/>
          <w:szCs w:val="20"/>
        </w:rPr>
        <w:t xml:space="preserve">, vartojimu. Šis sumažėjimas dažniausiai nustatomas per pirmąsias 4 gydymo savaites, o vėliau hemoglobino koncentracija paprastai stabilizuojasi. Vidutinis hemoglobino koncentracijos sumažėjimas (kitimo srities ribos nuo 0,9 iki 1,2 g/dl), palyginti su pradine koncentracija, ilgalaikių atvirų tęstinių </w:t>
      </w:r>
      <w:r w:rsidR="00E23933" w:rsidRPr="00633873">
        <w:rPr>
          <w:rFonts w:ascii="Times New Roman" w:eastAsia="Times New Roman" w:hAnsi="Times New Roman" w:cs="Times New Roman"/>
          <w:snapToGrid w:val="0"/>
          <w:szCs w:val="20"/>
        </w:rPr>
        <w:t>3 </w:t>
      </w:r>
      <w:r w:rsidRPr="00633873">
        <w:rPr>
          <w:rFonts w:ascii="Times New Roman" w:eastAsia="Times New Roman" w:hAnsi="Times New Roman" w:cs="Times New Roman"/>
          <w:snapToGrid w:val="0"/>
          <w:szCs w:val="20"/>
        </w:rPr>
        <w:t xml:space="preserve">fazės pagrindžiamųjų klinikinių tyrimų metu išliko iki 4 gydymo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metų. Po vaistinio preparato pateikimo į rinką buvo pranešta apie anemijos, dėl kurios </w:t>
      </w:r>
      <w:r w:rsidR="00212782" w:rsidRPr="00633873">
        <w:rPr>
          <w:rFonts w:ascii="Times New Roman" w:eastAsia="Times New Roman" w:hAnsi="Times New Roman" w:cs="Times New Roman"/>
          <w:snapToGrid w:val="0"/>
          <w:szCs w:val="20"/>
        </w:rPr>
        <w:t>prireikė</w:t>
      </w:r>
      <w:r w:rsidRPr="00633873">
        <w:rPr>
          <w:rFonts w:ascii="Times New Roman" w:eastAsia="Times New Roman" w:hAnsi="Times New Roman" w:cs="Times New Roman"/>
          <w:snapToGrid w:val="0"/>
          <w:szCs w:val="20"/>
        </w:rPr>
        <w:t xml:space="preserve"> atlikti kraujo ląstelių transfuziją, atvejus (žr. 4.8</w:t>
      </w:r>
      <w:r w:rsidR="002D3ECE" w:rsidRPr="00633873">
        <w:rPr>
          <w:rFonts w:ascii="Times New Roman" w:eastAsia="Times New Roman" w:hAnsi="Times New Roman" w:cs="Times New Roman"/>
          <w:snapToGrid w:val="0"/>
          <w:szCs w:val="20"/>
        </w:rPr>
        <w:t> skyri</w:t>
      </w:r>
      <w:r w:rsidRPr="00633873">
        <w:rPr>
          <w:rFonts w:ascii="Times New Roman" w:eastAsia="Times New Roman" w:hAnsi="Times New Roman" w:cs="Times New Roman"/>
          <w:snapToGrid w:val="0"/>
          <w:szCs w:val="20"/>
        </w:rPr>
        <w:t>ų).</w:t>
      </w:r>
    </w:p>
    <w:p w14:paraId="34CCB65E"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0"/>
        </w:rPr>
      </w:pPr>
    </w:p>
    <w:p w14:paraId="24C2B5A8" w14:textId="3C399DD3"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Nerekomenduojama pradėti gydyti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pacientų, kuriems yra kliniškai reikšminga anemija. Rekomenduojama matuoti hemoglobino koncentraciją ir (arba) </w:t>
      </w:r>
      <w:proofErr w:type="spellStart"/>
      <w:r w:rsidRPr="00633873">
        <w:rPr>
          <w:rFonts w:ascii="Times New Roman" w:eastAsia="Times New Roman" w:hAnsi="Times New Roman" w:cs="Times New Roman"/>
          <w:snapToGrid w:val="0"/>
          <w:szCs w:val="20"/>
        </w:rPr>
        <w:t>hematokrito</w:t>
      </w:r>
      <w:proofErr w:type="spellEnd"/>
      <w:r w:rsidRPr="00633873">
        <w:rPr>
          <w:rFonts w:ascii="Times New Roman" w:eastAsia="Times New Roman" w:hAnsi="Times New Roman" w:cs="Times New Roman"/>
          <w:snapToGrid w:val="0"/>
          <w:szCs w:val="20"/>
        </w:rPr>
        <w:t xml:space="preserve"> rodmenį gydymo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metu, pvz., </w:t>
      </w:r>
      <w:r w:rsidR="00E23933" w:rsidRPr="00633873">
        <w:rPr>
          <w:rFonts w:ascii="Times New Roman" w:eastAsia="Times New Roman" w:hAnsi="Times New Roman" w:cs="Times New Roman"/>
          <w:snapToGrid w:val="0"/>
          <w:szCs w:val="20"/>
        </w:rPr>
        <w:t>1</w:t>
      </w:r>
      <w:r w:rsidR="00E23933" w:rsidRPr="00633873">
        <w:rPr>
          <w:rFonts w:ascii="Times New Roman" w:eastAsia="Times New Roman" w:hAnsi="Times New Roman" w:cs="Times New Roman"/>
          <w:snapToGrid w:val="0"/>
          <w:szCs w:val="20"/>
        </w:rPr>
        <w:noBreakHyphen/>
        <w:t>ąjį</w:t>
      </w:r>
      <w:r w:rsidRPr="00633873">
        <w:rPr>
          <w:rFonts w:ascii="Times New Roman" w:eastAsia="Times New Roman" w:hAnsi="Times New Roman" w:cs="Times New Roman"/>
          <w:snapToGrid w:val="0"/>
          <w:szCs w:val="20"/>
        </w:rPr>
        <w:t xml:space="preserve"> mėnesį, 3</w:t>
      </w:r>
      <w:r w:rsidR="00E23933" w:rsidRPr="00633873">
        <w:rPr>
          <w:rFonts w:ascii="Times New Roman" w:eastAsia="Times New Roman" w:hAnsi="Times New Roman" w:cs="Times New Roman"/>
          <w:snapToGrid w:val="0"/>
          <w:szCs w:val="20"/>
        </w:rPr>
        <w:noBreakHyphen/>
      </w:r>
      <w:r w:rsidR="002C6317" w:rsidRPr="00633873">
        <w:rPr>
          <w:rFonts w:ascii="Times New Roman" w:eastAsia="Times New Roman" w:hAnsi="Times New Roman" w:cs="Times New Roman"/>
          <w:snapToGrid w:val="0"/>
          <w:szCs w:val="20"/>
        </w:rPr>
        <w:t>ąjį</w:t>
      </w:r>
      <w:r w:rsidR="00E23933" w:rsidRPr="00633873">
        <w:rPr>
          <w:rFonts w:ascii="Times New Roman" w:eastAsia="Times New Roman" w:hAnsi="Times New Roman" w:cs="Times New Roman"/>
          <w:snapToGrid w:val="0"/>
          <w:szCs w:val="20"/>
        </w:rPr>
        <w:t xml:space="preserve"> </w:t>
      </w:r>
      <w:r w:rsidRPr="00633873">
        <w:rPr>
          <w:rFonts w:ascii="Times New Roman" w:eastAsia="Times New Roman" w:hAnsi="Times New Roman" w:cs="Times New Roman"/>
          <w:snapToGrid w:val="0"/>
          <w:szCs w:val="20"/>
        </w:rPr>
        <w:t>mėnes</w:t>
      </w:r>
      <w:r w:rsidR="002C6317" w:rsidRPr="00633873">
        <w:rPr>
          <w:rFonts w:ascii="Times New Roman" w:eastAsia="Times New Roman" w:hAnsi="Times New Roman" w:cs="Times New Roman"/>
          <w:snapToGrid w:val="0"/>
          <w:szCs w:val="20"/>
        </w:rPr>
        <w:t>į</w:t>
      </w:r>
      <w:r w:rsidRPr="00633873">
        <w:rPr>
          <w:rFonts w:ascii="Times New Roman" w:eastAsia="Times New Roman" w:hAnsi="Times New Roman" w:cs="Times New Roman"/>
          <w:snapToGrid w:val="0"/>
          <w:szCs w:val="20"/>
        </w:rPr>
        <w:t xml:space="preserve"> ir vėliau periodiškai, atsižvelgiant į klinikinę </w:t>
      </w:r>
      <w:r w:rsidR="00E23933" w:rsidRPr="00633873">
        <w:rPr>
          <w:rFonts w:ascii="Times New Roman" w:eastAsia="Times New Roman" w:hAnsi="Times New Roman" w:cs="Times New Roman"/>
          <w:snapToGrid w:val="0"/>
          <w:szCs w:val="20"/>
        </w:rPr>
        <w:t>praktiką</w:t>
      </w:r>
      <w:r w:rsidRPr="00633873">
        <w:rPr>
          <w:rFonts w:ascii="Times New Roman" w:eastAsia="Times New Roman" w:hAnsi="Times New Roman" w:cs="Times New Roman"/>
          <w:snapToGrid w:val="0"/>
          <w:szCs w:val="20"/>
        </w:rPr>
        <w:t xml:space="preserve">. Jei pastebimas kliniškai reikšmingas hemoglobino koncentracijos ar </w:t>
      </w:r>
      <w:proofErr w:type="spellStart"/>
      <w:r w:rsidRPr="00633873">
        <w:rPr>
          <w:rFonts w:ascii="Times New Roman" w:eastAsia="Times New Roman" w:hAnsi="Times New Roman" w:cs="Times New Roman"/>
          <w:snapToGrid w:val="0"/>
          <w:szCs w:val="20"/>
        </w:rPr>
        <w:t>hematokrito</w:t>
      </w:r>
      <w:proofErr w:type="spellEnd"/>
      <w:r w:rsidRPr="00633873">
        <w:rPr>
          <w:rFonts w:ascii="Times New Roman" w:eastAsia="Times New Roman" w:hAnsi="Times New Roman" w:cs="Times New Roman"/>
          <w:snapToGrid w:val="0"/>
          <w:szCs w:val="20"/>
        </w:rPr>
        <w:t xml:space="preserve"> rodmens sumažėjimas ir nėra kitų priežasčių, reikia apsvarstyti dozės sumažinimo ar gydymo nutraukimo galimybes. </w:t>
      </w:r>
      <w:proofErr w:type="spellStart"/>
      <w:r w:rsidRPr="00633873">
        <w:rPr>
          <w:rFonts w:ascii="Times New Roman" w:eastAsia="Times New Roman" w:hAnsi="Times New Roman" w:cs="Times New Roman"/>
          <w:snapToGrid w:val="0"/>
          <w:szCs w:val="20"/>
        </w:rPr>
        <w:t>Ambrisentaną</w:t>
      </w:r>
      <w:proofErr w:type="spellEnd"/>
      <w:r w:rsidRPr="00633873">
        <w:rPr>
          <w:rFonts w:ascii="Times New Roman" w:eastAsia="Times New Roman" w:hAnsi="Times New Roman" w:cs="Times New Roman"/>
          <w:snapToGrid w:val="0"/>
          <w:szCs w:val="20"/>
        </w:rPr>
        <w:t xml:space="preserve"> vartojant </w:t>
      </w:r>
      <w:r w:rsidR="00212782" w:rsidRPr="00633873">
        <w:rPr>
          <w:rFonts w:ascii="Times New Roman" w:eastAsia="Times New Roman" w:hAnsi="Times New Roman" w:cs="Times New Roman"/>
          <w:snapToGrid w:val="0"/>
          <w:szCs w:val="20"/>
        </w:rPr>
        <w:t>derinyje</w:t>
      </w:r>
      <w:r w:rsidR="0045177F" w:rsidRPr="00633873">
        <w:rPr>
          <w:rFonts w:ascii="Times New Roman" w:eastAsia="Times New Roman" w:hAnsi="Times New Roman" w:cs="Times New Roman"/>
          <w:snapToGrid w:val="0"/>
          <w:szCs w:val="20"/>
        </w:rPr>
        <w:t xml:space="preserve"> su </w:t>
      </w:r>
      <w:proofErr w:type="spellStart"/>
      <w:r w:rsidRPr="00633873">
        <w:rPr>
          <w:rFonts w:ascii="Times New Roman" w:eastAsia="Times New Roman" w:hAnsi="Times New Roman" w:cs="Times New Roman"/>
          <w:snapToGrid w:val="0"/>
          <w:szCs w:val="20"/>
        </w:rPr>
        <w:t>tadalafiliu</w:t>
      </w:r>
      <w:proofErr w:type="spellEnd"/>
      <w:r w:rsidRPr="00633873">
        <w:rPr>
          <w:rFonts w:ascii="Times New Roman" w:eastAsia="Times New Roman" w:hAnsi="Times New Roman" w:cs="Times New Roman"/>
          <w:snapToGrid w:val="0"/>
          <w:szCs w:val="20"/>
        </w:rPr>
        <w:t xml:space="preserve">, padažnėjo anemijos (nepageidaujamų reiškinių dažnis – 15 %), palyginti su anemijos dažniu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ar </w:t>
      </w:r>
      <w:proofErr w:type="spellStart"/>
      <w:r w:rsidRPr="00633873">
        <w:rPr>
          <w:rFonts w:ascii="Times New Roman" w:eastAsia="Times New Roman" w:hAnsi="Times New Roman" w:cs="Times New Roman"/>
          <w:snapToGrid w:val="0"/>
          <w:szCs w:val="20"/>
        </w:rPr>
        <w:t>tadalafilio</w:t>
      </w:r>
      <w:proofErr w:type="spellEnd"/>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monoterapijos</w:t>
      </w:r>
      <w:proofErr w:type="spellEnd"/>
      <w:r w:rsidRPr="00633873">
        <w:rPr>
          <w:rFonts w:ascii="Times New Roman" w:eastAsia="Times New Roman" w:hAnsi="Times New Roman" w:cs="Times New Roman"/>
          <w:snapToGrid w:val="0"/>
          <w:szCs w:val="20"/>
        </w:rPr>
        <w:t xml:space="preserve"> atveju (atitinkamai 7 % ir 11 %).</w:t>
      </w:r>
    </w:p>
    <w:p w14:paraId="5CBFBAF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2751DEE" w14:textId="5B3B88B8" w:rsidR="00A35A18" w:rsidRDefault="00A35A18" w:rsidP="00A35A18">
      <w:pPr>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Skysčių susilaikymas</w:t>
      </w:r>
    </w:p>
    <w:p w14:paraId="15F8F4AE"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0"/>
          <w:u w:val="single"/>
        </w:rPr>
      </w:pPr>
    </w:p>
    <w:p w14:paraId="2209F8C6" w14:textId="5CA41060" w:rsidR="00A35A18"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Vartojant ERA, įskaitant </w:t>
      </w:r>
      <w:proofErr w:type="spellStart"/>
      <w:r w:rsidRPr="00633873">
        <w:rPr>
          <w:rFonts w:ascii="Times New Roman" w:eastAsia="Times New Roman" w:hAnsi="Times New Roman" w:cs="Times New Roman"/>
          <w:snapToGrid w:val="0"/>
          <w:szCs w:val="20"/>
        </w:rPr>
        <w:t>ambrisentaną</w:t>
      </w:r>
      <w:proofErr w:type="spellEnd"/>
      <w:r w:rsidRPr="00633873">
        <w:rPr>
          <w:rFonts w:ascii="Times New Roman" w:eastAsia="Times New Roman" w:hAnsi="Times New Roman" w:cs="Times New Roman"/>
          <w:snapToGrid w:val="0"/>
          <w:szCs w:val="20"/>
        </w:rPr>
        <w:t xml:space="preserve">, buvo </w:t>
      </w:r>
      <w:r w:rsidR="00212782" w:rsidRPr="00633873">
        <w:rPr>
          <w:rFonts w:ascii="Times New Roman" w:eastAsia="Times New Roman" w:hAnsi="Times New Roman" w:cs="Times New Roman"/>
          <w:snapToGrid w:val="0"/>
          <w:szCs w:val="20"/>
        </w:rPr>
        <w:t>pastebėta</w:t>
      </w:r>
      <w:r w:rsidRPr="00633873">
        <w:rPr>
          <w:rFonts w:ascii="Times New Roman" w:eastAsia="Times New Roman" w:hAnsi="Times New Roman" w:cs="Times New Roman"/>
          <w:snapToGrid w:val="0"/>
          <w:szCs w:val="20"/>
        </w:rPr>
        <w:t xml:space="preserve"> periferinė</w:t>
      </w:r>
      <w:r w:rsidR="00212782" w:rsidRPr="00633873">
        <w:rPr>
          <w:rFonts w:ascii="Times New Roman" w:eastAsia="Times New Roman" w:hAnsi="Times New Roman" w:cs="Times New Roman"/>
          <w:snapToGrid w:val="0"/>
          <w:szCs w:val="20"/>
        </w:rPr>
        <w:t>s</w:t>
      </w:r>
      <w:r w:rsidRPr="00633873">
        <w:rPr>
          <w:rFonts w:ascii="Times New Roman" w:eastAsia="Times New Roman" w:hAnsi="Times New Roman" w:cs="Times New Roman"/>
          <w:snapToGrid w:val="0"/>
          <w:szCs w:val="20"/>
        </w:rPr>
        <w:t xml:space="preserve"> edem</w:t>
      </w:r>
      <w:r w:rsidR="00212782" w:rsidRPr="00633873">
        <w:rPr>
          <w:rFonts w:ascii="Times New Roman" w:eastAsia="Times New Roman" w:hAnsi="Times New Roman" w:cs="Times New Roman"/>
          <w:snapToGrid w:val="0"/>
          <w:szCs w:val="20"/>
        </w:rPr>
        <w:t>os atvejų</w:t>
      </w:r>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klinikinių tyrimų metu periferinė edema dažniausiai buvo lengva ar vidutinio sunkumo, nors gali pasireikšti dažniau ir būti sunkesnė ≥ 65 metų pacientams. Periferinė edema pasireiškė dažniau vartojant 10 mg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dozę trumpalaikių klinikinių tyrimų metu (žr. 4.8</w:t>
      </w:r>
      <w:r w:rsidR="002D3ECE" w:rsidRPr="00633873">
        <w:rPr>
          <w:rFonts w:ascii="Times New Roman" w:eastAsia="Times New Roman" w:hAnsi="Times New Roman" w:cs="Times New Roman"/>
          <w:snapToGrid w:val="0"/>
          <w:szCs w:val="20"/>
        </w:rPr>
        <w:t> skyri</w:t>
      </w:r>
      <w:r w:rsidRPr="00633873">
        <w:rPr>
          <w:rFonts w:ascii="Times New Roman" w:eastAsia="Times New Roman" w:hAnsi="Times New Roman" w:cs="Times New Roman"/>
          <w:snapToGrid w:val="0"/>
          <w:szCs w:val="20"/>
        </w:rPr>
        <w:t>ų).</w:t>
      </w:r>
    </w:p>
    <w:p w14:paraId="1D151422"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0"/>
        </w:rPr>
      </w:pPr>
    </w:p>
    <w:p w14:paraId="7399781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Po vaistinio preparato pateikimo į rinką buvo gauta pranešimų apie skysčių susilaikymą organizme per keletą savaičių nuo gydymo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pradžios. Kai kuriais atvejais prireikė skirti diuretikų arba hospitalizuoti dėl skysčių kiekio kontrolės ar dėl </w:t>
      </w:r>
      <w:proofErr w:type="spellStart"/>
      <w:r w:rsidRPr="00633873">
        <w:rPr>
          <w:rFonts w:ascii="Times New Roman" w:eastAsia="Times New Roman" w:hAnsi="Times New Roman" w:cs="Times New Roman"/>
          <w:snapToGrid w:val="0"/>
          <w:szCs w:val="20"/>
        </w:rPr>
        <w:t>dekompensuoto</w:t>
      </w:r>
      <w:proofErr w:type="spellEnd"/>
      <w:r w:rsidRPr="00633873">
        <w:rPr>
          <w:rFonts w:ascii="Times New Roman" w:eastAsia="Times New Roman" w:hAnsi="Times New Roman" w:cs="Times New Roman"/>
          <w:snapToGrid w:val="0"/>
          <w:szCs w:val="20"/>
        </w:rPr>
        <w:t xml:space="preserve"> širdies nepakankamumo. Prieš pradedant gydyti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pacientus, kuriems yra per didelė skysčių sankaupa organizme, atsižvelgiant į paciento klinikinę būklę, reikia atitinkamai sureguliuoti skysčių kiekį.</w:t>
      </w:r>
    </w:p>
    <w:p w14:paraId="61A0814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58CCE9E" w14:textId="386FF46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Jeigu gydant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pasireiškia kliniškai reikšmingas skysčių susilaikymas, dėl kurio padidėja arba nepadidėja kūno svoris, reikia atlikti papildomus tyrimus, norint nustatyti priežastį (pvz., ar tai sukėlė </w:t>
      </w: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ar širdies nepakankamumas) ir ar reikia </w:t>
      </w:r>
      <w:r w:rsidR="00D62047" w:rsidRPr="00633873">
        <w:rPr>
          <w:rFonts w:ascii="Times New Roman" w:eastAsia="Times New Roman" w:hAnsi="Times New Roman" w:cs="Times New Roman"/>
          <w:snapToGrid w:val="0"/>
          <w:szCs w:val="20"/>
        </w:rPr>
        <w:t>specifinio</w:t>
      </w:r>
      <w:r w:rsidRPr="00633873">
        <w:rPr>
          <w:rFonts w:ascii="Times New Roman" w:eastAsia="Times New Roman" w:hAnsi="Times New Roman" w:cs="Times New Roman"/>
          <w:snapToGrid w:val="0"/>
          <w:szCs w:val="20"/>
        </w:rPr>
        <w:t xml:space="preserve"> gydymo arba gydymo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nutraukimo. </w:t>
      </w:r>
      <w:proofErr w:type="spellStart"/>
      <w:r w:rsidRPr="00633873">
        <w:rPr>
          <w:rFonts w:ascii="Times New Roman" w:eastAsia="Times New Roman" w:hAnsi="Times New Roman" w:cs="Times New Roman"/>
          <w:snapToGrid w:val="0"/>
          <w:szCs w:val="20"/>
        </w:rPr>
        <w:t>Ambrisentaną</w:t>
      </w:r>
      <w:proofErr w:type="spellEnd"/>
      <w:r w:rsidRPr="00633873">
        <w:rPr>
          <w:rFonts w:ascii="Times New Roman" w:eastAsia="Times New Roman" w:hAnsi="Times New Roman" w:cs="Times New Roman"/>
          <w:snapToGrid w:val="0"/>
          <w:szCs w:val="20"/>
        </w:rPr>
        <w:t xml:space="preserve"> vartojant </w:t>
      </w:r>
      <w:r w:rsidR="00212782" w:rsidRPr="00633873">
        <w:rPr>
          <w:rFonts w:ascii="Times New Roman" w:eastAsia="Times New Roman" w:hAnsi="Times New Roman" w:cs="Times New Roman"/>
          <w:snapToGrid w:val="0"/>
          <w:szCs w:val="20"/>
        </w:rPr>
        <w:t>derinyje</w:t>
      </w:r>
      <w:r w:rsidR="0045177F" w:rsidRPr="00633873">
        <w:rPr>
          <w:rFonts w:ascii="Times New Roman" w:eastAsia="Times New Roman" w:hAnsi="Times New Roman" w:cs="Times New Roman"/>
          <w:snapToGrid w:val="0"/>
          <w:szCs w:val="20"/>
        </w:rPr>
        <w:t xml:space="preserve"> su </w:t>
      </w:r>
      <w:proofErr w:type="spellStart"/>
      <w:r w:rsidRPr="00633873">
        <w:rPr>
          <w:rFonts w:ascii="Times New Roman" w:eastAsia="Times New Roman" w:hAnsi="Times New Roman" w:cs="Times New Roman"/>
          <w:snapToGrid w:val="0"/>
          <w:szCs w:val="20"/>
        </w:rPr>
        <w:t>tadalafiliu</w:t>
      </w:r>
      <w:proofErr w:type="spellEnd"/>
      <w:r w:rsidRPr="00633873">
        <w:rPr>
          <w:rFonts w:ascii="Times New Roman" w:eastAsia="Times New Roman" w:hAnsi="Times New Roman" w:cs="Times New Roman"/>
          <w:snapToGrid w:val="0"/>
          <w:szCs w:val="20"/>
        </w:rPr>
        <w:t xml:space="preserve">, padažnėjo periferinės edemos atvejų (nepageidaujamų reiškinių dažnis – 45 %), palyginti su periferinės edemos dažniu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ar </w:t>
      </w:r>
      <w:proofErr w:type="spellStart"/>
      <w:r w:rsidRPr="00633873">
        <w:rPr>
          <w:rFonts w:ascii="Times New Roman" w:eastAsia="Times New Roman" w:hAnsi="Times New Roman" w:cs="Times New Roman"/>
          <w:snapToGrid w:val="0"/>
          <w:szCs w:val="20"/>
        </w:rPr>
        <w:t>tadalafilio</w:t>
      </w:r>
      <w:proofErr w:type="spellEnd"/>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monoterapijos</w:t>
      </w:r>
      <w:proofErr w:type="spellEnd"/>
      <w:r w:rsidRPr="00633873">
        <w:rPr>
          <w:rFonts w:ascii="Times New Roman" w:eastAsia="Times New Roman" w:hAnsi="Times New Roman" w:cs="Times New Roman"/>
          <w:snapToGrid w:val="0"/>
          <w:szCs w:val="20"/>
        </w:rPr>
        <w:t xml:space="preserve"> atveju (atitinkamai 38 % ir 28 %). Periferinė</w:t>
      </w:r>
      <w:r w:rsidR="00212782" w:rsidRPr="00633873">
        <w:rPr>
          <w:rFonts w:ascii="Times New Roman" w:eastAsia="Times New Roman" w:hAnsi="Times New Roman" w:cs="Times New Roman"/>
          <w:snapToGrid w:val="0"/>
          <w:szCs w:val="20"/>
        </w:rPr>
        <w:t>s</w:t>
      </w:r>
      <w:r w:rsidRPr="00633873">
        <w:rPr>
          <w:rFonts w:ascii="Times New Roman" w:eastAsia="Times New Roman" w:hAnsi="Times New Roman" w:cs="Times New Roman"/>
          <w:snapToGrid w:val="0"/>
          <w:szCs w:val="20"/>
        </w:rPr>
        <w:t xml:space="preserve"> edem</w:t>
      </w:r>
      <w:r w:rsidR="00212782" w:rsidRPr="00633873">
        <w:rPr>
          <w:rFonts w:ascii="Times New Roman" w:eastAsia="Times New Roman" w:hAnsi="Times New Roman" w:cs="Times New Roman"/>
          <w:snapToGrid w:val="0"/>
          <w:szCs w:val="20"/>
        </w:rPr>
        <w:t>os</w:t>
      </w:r>
      <w:r w:rsidRPr="00633873">
        <w:rPr>
          <w:rFonts w:ascii="Times New Roman" w:eastAsia="Times New Roman" w:hAnsi="Times New Roman" w:cs="Times New Roman"/>
          <w:snapToGrid w:val="0"/>
          <w:szCs w:val="20"/>
        </w:rPr>
        <w:t xml:space="preserve"> pasireiškė dažniausiai per pirmąjį mėnesį </w:t>
      </w:r>
      <w:r w:rsidR="00D62047" w:rsidRPr="00633873">
        <w:rPr>
          <w:rFonts w:ascii="Times New Roman" w:eastAsia="Times New Roman" w:hAnsi="Times New Roman" w:cs="Times New Roman"/>
          <w:snapToGrid w:val="0"/>
          <w:szCs w:val="20"/>
        </w:rPr>
        <w:t>po gydymo prad</w:t>
      </w:r>
      <w:r w:rsidR="00212782" w:rsidRPr="00633873">
        <w:rPr>
          <w:rFonts w:ascii="Times New Roman" w:eastAsia="Times New Roman" w:hAnsi="Times New Roman" w:cs="Times New Roman"/>
          <w:snapToGrid w:val="0"/>
          <w:szCs w:val="20"/>
        </w:rPr>
        <w:t>žios</w:t>
      </w:r>
      <w:r w:rsidRPr="00633873">
        <w:rPr>
          <w:rFonts w:ascii="Times New Roman" w:eastAsia="Times New Roman" w:hAnsi="Times New Roman" w:cs="Times New Roman"/>
          <w:snapToGrid w:val="0"/>
          <w:szCs w:val="20"/>
        </w:rPr>
        <w:t>.</w:t>
      </w:r>
    </w:p>
    <w:p w14:paraId="65DF825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A979ED1" w14:textId="4DD6D489" w:rsidR="00A35A18" w:rsidRDefault="00A35A18" w:rsidP="00A35A18">
      <w:pPr>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Vaisingos moterys</w:t>
      </w:r>
    </w:p>
    <w:p w14:paraId="45A45A85"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0"/>
          <w:u w:val="single"/>
        </w:rPr>
      </w:pPr>
    </w:p>
    <w:p w14:paraId="35B48AA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Vaisingoms moterims pradėti gydymo </w:t>
      </w:r>
      <w:proofErr w:type="spellStart"/>
      <w:r w:rsidR="00470E35" w:rsidRPr="00633873">
        <w:rPr>
          <w:rFonts w:ascii="Times New Roman" w:eastAsia="Times New Roman" w:hAnsi="Times New Roman" w:cs="Times New Roman"/>
          <w:snapToGrid w:val="0"/>
          <w:szCs w:val="20"/>
        </w:rPr>
        <w:t>a</w:t>
      </w:r>
      <w:r w:rsidRPr="00633873">
        <w:rPr>
          <w:rFonts w:ascii="Times New Roman" w:eastAsia="Times New Roman" w:hAnsi="Times New Roman" w:cs="Times New Roman"/>
          <w:snapToGrid w:val="0"/>
          <w:szCs w:val="20"/>
        </w:rPr>
        <w:t>mbrisentan</w:t>
      </w:r>
      <w:r w:rsidR="00470E35" w:rsidRPr="00633873">
        <w:rPr>
          <w:rFonts w:ascii="Times New Roman" w:eastAsia="Times New Roman" w:hAnsi="Times New Roman" w:cs="Times New Roman"/>
          <w:snapToGrid w:val="0"/>
          <w:szCs w:val="20"/>
        </w:rPr>
        <w:t>u</w:t>
      </w:r>
      <w:proofErr w:type="spellEnd"/>
      <w:r w:rsidRPr="00633873">
        <w:rPr>
          <w:rFonts w:ascii="Times New Roman" w:eastAsia="Times New Roman" w:hAnsi="Times New Roman" w:cs="Times New Roman"/>
          <w:snapToGrid w:val="0"/>
          <w:szCs w:val="20"/>
        </w:rPr>
        <w:t xml:space="preserve"> negalima, išskyrus atvejus, kai yra neigiamas prieš gydymą atlikto nėštumo testo rezultatas ir moteris naudoja veiksmingą kontracepcijos metodą. Jei abejojama, kokie kontracepcijos metodai tinkami </w:t>
      </w:r>
      <w:r w:rsidR="00470E35" w:rsidRPr="00633873">
        <w:rPr>
          <w:rFonts w:ascii="Times New Roman" w:eastAsia="Times New Roman" w:hAnsi="Times New Roman" w:cs="Times New Roman"/>
          <w:snapToGrid w:val="0"/>
          <w:szCs w:val="20"/>
        </w:rPr>
        <w:t>konkrečiai</w:t>
      </w:r>
      <w:r w:rsidRPr="00633873">
        <w:rPr>
          <w:rFonts w:ascii="Times New Roman" w:eastAsia="Times New Roman" w:hAnsi="Times New Roman" w:cs="Times New Roman"/>
          <w:snapToGrid w:val="0"/>
          <w:szCs w:val="20"/>
        </w:rPr>
        <w:t xml:space="preserve"> pacientei, reikia apsvarstyti konsultacijos su ginekologu tikslingumą. Gydant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rekomenduojama kas mėnesį atlikti nėštumo testus (žr. 4.3 ir 4.6</w:t>
      </w:r>
      <w:r w:rsidR="002D3ECE" w:rsidRPr="00633873">
        <w:rPr>
          <w:rFonts w:ascii="Times New Roman" w:eastAsia="Times New Roman" w:hAnsi="Times New Roman" w:cs="Times New Roman"/>
          <w:snapToGrid w:val="0"/>
          <w:szCs w:val="20"/>
        </w:rPr>
        <w:t> skyri</w:t>
      </w:r>
      <w:r w:rsidRPr="00633873">
        <w:rPr>
          <w:rFonts w:ascii="Times New Roman" w:eastAsia="Times New Roman" w:hAnsi="Times New Roman" w:cs="Times New Roman"/>
          <w:snapToGrid w:val="0"/>
          <w:szCs w:val="20"/>
        </w:rPr>
        <w:t>us).</w:t>
      </w:r>
    </w:p>
    <w:p w14:paraId="6A37CA2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953682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 xml:space="preserve">Plaučių venų </w:t>
      </w:r>
      <w:proofErr w:type="spellStart"/>
      <w:r w:rsidRPr="00633873">
        <w:rPr>
          <w:rFonts w:ascii="Times New Roman" w:eastAsia="Times New Roman" w:hAnsi="Times New Roman" w:cs="Times New Roman"/>
          <w:snapToGrid w:val="0"/>
          <w:szCs w:val="20"/>
          <w:u w:val="single"/>
        </w:rPr>
        <w:t>okliuzinė</w:t>
      </w:r>
      <w:proofErr w:type="spellEnd"/>
      <w:r w:rsidRPr="00633873">
        <w:rPr>
          <w:rFonts w:ascii="Times New Roman" w:eastAsia="Times New Roman" w:hAnsi="Times New Roman" w:cs="Times New Roman"/>
          <w:snapToGrid w:val="0"/>
          <w:szCs w:val="20"/>
          <w:u w:val="single"/>
        </w:rPr>
        <w:t xml:space="preserve"> liga</w:t>
      </w:r>
    </w:p>
    <w:p w14:paraId="0FCF712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Pranešta apie plaučių edemos atvejus pacientams, sergantiems plaučių venų </w:t>
      </w:r>
      <w:proofErr w:type="spellStart"/>
      <w:r w:rsidRPr="00633873">
        <w:rPr>
          <w:rFonts w:ascii="Times New Roman" w:eastAsia="Times New Roman" w:hAnsi="Times New Roman" w:cs="Times New Roman"/>
          <w:snapToGrid w:val="0"/>
          <w:szCs w:val="20"/>
        </w:rPr>
        <w:t>okliuzine</w:t>
      </w:r>
      <w:proofErr w:type="spellEnd"/>
      <w:r w:rsidRPr="00633873">
        <w:rPr>
          <w:rFonts w:ascii="Times New Roman" w:eastAsia="Times New Roman" w:hAnsi="Times New Roman" w:cs="Times New Roman"/>
          <w:snapToGrid w:val="0"/>
          <w:szCs w:val="20"/>
        </w:rPr>
        <w:t xml:space="preserve"> liga</w:t>
      </w:r>
      <w:r w:rsidR="00470E35" w:rsidRPr="00633873">
        <w:rPr>
          <w:rFonts w:ascii="Times New Roman" w:eastAsia="Times New Roman" w:hAnsi="Times New Roman" w:cs="Times New Roman"/>
          <w:snapToGrid w:val="0"/>
          <w:szCs w:val="20"/>
        </w:rPr>
        <w:t xml:space="preserve"> ir</w:t>
      </w:r>
      <w:r w:rsidRPr="00633873">
        <w:rPr>
          <w:rFonts w:ascii="Times New Roman" w:eastAsia="Times New Roman" w:hAnsi="Times New Roman" w:cs="Times New Roman"/>
          <w:snapToGrid w:val="0"/>
          <w:szCs w:val="20"/>
        </w:rPr>
        <w:t xml:space="preserve"> vartojantiems </w:t>
      </w:r>
      <w:proofErr w:type="spellStart"/>
      <w:r w:rsidRPr="00633873">
        <w:rPr>
          <w:rFonts w:ascii="Times New Roman" w:eastAsia="Times New Roman" w:hAnsi="Times New Roman" w:cs="Times New Roman"/>
          <w:snapToGrid w:val="0"/>
          <w:szCs w:val="20"/>
        </w:rPr>
        <w:t>vazodilataciją</w:t>
      </w:r>
      <w:proofErr w:type="spellEnd"/>
      <w:r w:rsidRPr="00633873">
        <w:rPr>
          <w:rFonts w:ascii="Times New Roman" w:eastAsia="Times New Roman" w:hAnsi="Times New Roman" w:cs="Times New Roman"/>
          <w:snapToGrid w:val="0"/>
          <w:szCs w:val="20"/>
        </w:rPr>
        <w:t xml:space="preserve"> sukeliančių vaistinių preparatų, pvz., ERA. Todėl, jeigu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gydomiems pacientams, kuriems yra PH, pasireiškia ūminė plaučių edema, reikia apsvarstyti plaučių venų </w:t>
      </w:r>
      <w:proofErr w:type="spellStart"/>
      <w:r w:rsidRPr="00633873">
        <w:rPr>
          <w:rFonts w:ascii="Times New Roman" w:eastAsia="Times New Roman" w:hAnsi="Times New Roman" w:cs="Times New Roman"/>
          <w:snapToGrid w:val="0"/>
          <w:szCs w:val="20"/>
        </w:rPr>
        <w:t>okliuzinės</w:t>
      </w:r>
      <w:proofErr w:type="spellEnd"/>
      <w:r w:rsidRPr="00633873">
        <w:rPr>
          <w:rFonts w:ascii="Times New Roman" w:eastAsia="Times New Roman" w:hAnsi="Times New Roman" w:cs="Times New Roman"/>
          <w:snapToGrid w:val="0"/>
          <w:szCs w:val="20"/>
        </w:rPr>
        <w:t xml:space="preserve"> ligos galimybę.</w:t>
      </w:r>
    </w:p>
    <w:p w14:paraId="24353FB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9DAE338" w14:textId="20EDAE02" w:rsidR="00A35A18" w:rsidRDefault="00A35A18" w:rsidP="00484ABB">
      <w:pPr>
        <w:keepNext/>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lastRenderedPageBreak/>
        <w:t xml:space="preserve">Vartojimas </w:t>
      </w:r>
      <w:r w:rsidR="00947A83" w:rsidRPr="00633873">
        <w:rPr>
          <w:rFonts w:ascii="Times New Roman" w:eastAsia="Times New Roman" w:hAnsi="Times New Roman" w:cs="Times New Roman"/>
          <w:snapToGrid w:val="0"/>
          <w:szCs w:val="20"/>
          <w:u w:val="single"/>
        </w:rPr>
        <w:t>derinyje</w:t>
      </w:r>
      <w:r w:rsidRPr="00633873">
        <w:rPr>
          <w:rFonts w:ascii="Times New Roman" w:eastAsia="Times New Roman" w:hAnsi="Times New Roman" w:cs="Times New Roman"/>
          <w:snapToGrid w:val="0"/>
          <w:szCs w:val="20"/>
          <w:u w:val="single"/>
        </w:rPr>
        <w:t xml:space="preserve"> su kitais vaistiniais preparatais</w:t>
      </w:r>
    </w:p>
    <w:p w14:paraId="593934DA" w14:textId="77777777" w:rsidR="00577297" w:rsidRPr="00633873" w:rsidRDefault="00577297" w:rsidP="00570F2A">
      <w:pPr>
        <w:keepNext/>
        <w:tabs>
          <w:tab w:val="left" w:pos="567"/>
        </w:tabs>
        <w:spacing w:after="0" w:line="260" w:lineRule="exact"/>
        <w:rPr>
          <w:rFonts w:ascii="Times New Roman" w:eastAsia="Times New Roman" w:hAnsi="Times New Roman" w:cs="Times New Roman"/>
          <w:snapToGrid w:val="0"/>
          <w:szCs w:val="20"/>
          <w:u w:val="single"/>
        </w:rPr>
      </w:pPr>
    </w:p>
    <w:p w14:paraId="4D4B9F9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Pacientai, kuriems yra skiriamas </w:t>
      </w: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turi būti atidžiai stebimi pradėjus gydymą </w:t>
      </w:r>
      <w:proofErr w:type="spellStart"/>
      <w:r w:rsidRPr="00633873">
        <w:rPr>
          <w:rFonts w:ascii="Times New Roman" w:eastAsia="Times New Roman" w:hAnsi="Times New Roman" w:cs="Times New Roman"/>
          <w:snapToGrid w:val="0"/>
          <w:szCs w:val="20"/>
        </w:rPr>
        <w:t>rifampicinu</w:t>
      </w:r>
      <w:proofErr w:type="spellEnd"/>
      <w:r w:rsidRPr="00633873">
        <w:rPr>
          <w:rFonts w:ascii="Times New Roman" w:eastAsia="Times New Roman" w:hAnsi="Times New Roman" w:cs="Times New Roman"/>
          <w:snapToGrid w:val="0"/>
          <w:szCs w:val="20"/>
        </w:rPr>
        <w:t xml:space="preserve"> (žr. 4.5 ir 5.2</w:t>
      </w:r>
      <w:r w:rsidR="002D3ECE" w:rsidRPr="00633873">
        <w:rPr>
          <w:rFonts w:ascii="Times New Roman" w:eastAsia="Times New Roman" w:hAnsi="Times New Roman" w:cs="Times New Roman"/>
          <w:snapToGrid w:val="0"/>
          <w:szCs w:val="20"/>
        </w:rPr>
        <w:t> skyri</w:t>
      </w:r>
      <w:r w:rsidRPr="00633873">
        <w:rPr>
          <w:rFonts w:ascii="Times New Roman" w:eastAsia="Times New Roman" w:hAnsi="Times New Roman" w:cs="Times New Roman"/>
          <w:snapToGrid w:val="0"/>
          <w:szCs w:val="20"/>
        </w:rPr>
        <w:t>us).</w:t>
      </w:r>
    </w:p>
    <w:p w14:paraId="6936C2F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4E36143" w14:textId="33A57828" w:rsidR="00A35A18" w:rsidRDefault="00A35A18" w:rsidP="009F7541">
      <w:pPr>
        <w:keepNext/>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Pagalbinės medžiagos</w:t>
      </w:r>
    </w:p>
    <w:p w14:paraId="6DFF5565" w14:textId="77777777" w:rsidR="00577297" w:rsidRPr="00633873" w:rsidRDefault="00577297" w:rsidP="009F7541">
      <w:pPr>
        <w:keepNext/>
        <w:tabs>
          <w:tab w:val="left" w:pos="567"/>
        </w:tabs>
        <w:spacing w:after="0" w:line="260" w:lineRule="exact"/>
        <w:rPr>
          <w:rFonts w:ascii="Times New Roman" w:eastAsia="Times New Roman" w:hAnsi="Times New Roman" w:cs="Times New Roman"/>
          <w:snapToGrid w:val="0"/>
          <w:szCs w:val="20"/>
          <w:u w:val="single"/>
        </w:rPr>
      </w:pPr>
    </w:p>
    <w:p w14:paraId="5217431F" w14:textId="37C17023" w:rsidR="00A35A18" w:rsidRDefault="00A35A18" w:rsidP="00A35A18">
      <w:pPr>
        <w:tabs>
          <w:tab w:val="left" w:pos="567"/>
        </w:tabs>
        <w:spacing w:after="0" w:line="260" w:lineRule="exact"/>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Ambrisentan</w:t>
      </w:r>
      <w:proofErr w:type="spellEnd"/>
      <w:r w:rsidRPr="00633873">
        <w:rPr>
          <w:rFonts w:ascii="Times New Roman" w:eastAsia="Times New Roman" w:hAnsi="Times New Roman" w:cs="Times New Roman"/>
          <w:snapToGrid w:val="0"/>
          <w:szCs w:val="20"/>
        </w:rPr>
        <w:t xml:space="preserve"> </w:t>
      </w:r>
      <w:proofErr w:type="spellStart"/>
      <w:r w:rsidR="00E62DAA" w:rsidRPr="00633873">
        <w:rPr>
          <w:rFonts w:ascii="Times New Roman" w:eastAsia="Times New Roman" w:hAnsi="Times New Roman" w:cs="Times New Roman"/>
          <w:snapToGrid w:val="0"/>
          <w:szCs w:val="20"/>
        </w:rPr>
        <w:t>Zentiva</w:t>
      </w:r>
      <w:proofErr w:type="spellEnd"/>
      <w:r w:rsidRPr="00633873">
        <w:rPr>
          <w:rFonts w:ascii="Times New Roman" w:eastAsia="Times New Roman" w:hAnsi="Times New Roman" w:cs="Times New Roman"/>
          <w:snapToGrid w:val="0"/>
          <w:szCs w:val="20"/>
        </w:rPr>
        <w:t xml:space="preserve"> tablečių sudėtyje yra laktozės</w:t>
      </w:r>
      <w:r w:rsidR="00470E35" w:rsidRPr="00633873">
        <w:rPr>
          <w:rFonts w:ascii="Times New Roman" w:eastAsia="Times New Roman" w:hAnsi="Times New Roman" w:cs="Times New Roman"/>
          <w:snapToGrid w:val="0"/>
          <w:szCs w:val="20"/>
        </w:rPr>
        <w:t xml:space="preserve"> </w:t>
      </w:r>
      <w:proofErr w:type="spellStart"/>
      <w:r w:rsidR="00470E35" w:rsidRPr="00633873">
        <w:rPr>
          <w:rFonts w:ascii="Times New Roman" w:eastAsia="Times New Roman" w:hAnsi="Times New Roman" w:cs="Times New Roman"/>
          <w:snapToGrid w:val="0"/>
          <w:szCs w:val="20"/>
        </w:rPr>
        <w:t>monohidrato</w:t>
      </w:r>
      <w:proofErr w:type="spellEnd"/>
      <w:r w:rsidRPr="00633873">
        <w:rPr>
          <w:rFonts w:ascii="Times New Roman" w:eastAsia="Times New Roman" w:hAnsi="Times New Roman" w:cs="Times New Roman"/>
          <w:snapToGrid w:val="0"/>
          <w:szCs w:val="20"/>
        </w:rPr>
        <w:t xml:space="preserve">. Šio vaistinio preparato negalima vartoti pacientams, kuriems nustatytas retas paveldimas sutrikimas – </w:t>
      </w:r>
      <w:proofErr w:type="spellStart"/>
      <w:r w:rsidRPr="00633873">
        <w:rPr>
          <w:rFonts w:ascii="Times New Roman" w:eastAsia="Times New Roman" w:hAnsi="Times New Roman" w:cs="Times New Roman"/>
          <w:snapToGrid w:val="0"/>
          <w:szCs w:val="20"/>
        </w:rPr>
        <w:t>galaktozės</w:t>
      </w:r>
      <w:proofErr w:type="spellEnd"/>
      <w:r w:rsidRPr="00633873">
        <w:rPr>
          <w:rFonts w:ascii="Times New Roman" w:eastAsia="Times New Roman" w:hAnsi="Times New Roman" w:cs="Times New Roman"/>
          <w:snapToGrid w:val="0"/>
          <w:szCs w:val="20"/>
        </w:rPr>
        <w:t xml:space="preserve"> netoleravimas, visiškas laktazės stygius arba gliukozės ir </w:t>
      </w:r>
      <w:proofErr w:type="spellStart"/>
      <w:r w:rsidRPr="00633873">
        <w:rPr>
          <w:rFonts w:ascii="Times New Roman" w:eastAsia="Times New Roman" w:hAnsi="Times New Roman" w:cs="Times New Roman"/>
          <w:snapToGrid w:val="0"/>
          <w:szCs w:val="20"/>
        </w:rPr>
        <w:t>galaktozės</w:t>
      </w:r>
      <w:proofErr w:type="spellEnd"/>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malabsorbcija</w:t>
      </w:r>
      <w:proofErr w:type="spellEnd"/>
      <w:r w:rsidRPr="00633873">
        <w:rPr>
          <w:rFonts w:ascii="Times New Roman" w:eastAsia="Times New Roman" w:hAnsi="Times New Roman" w:cs="Times New Roman"/>
          <w:snapToGrid w:val="0"/>
          <w:szCs w:val="20"/>
        </w:rPr>
        <w:t>.</w:t>
      </w:r>
    </w:p>
    <w:p w14:paraId="12F7B0F4" w14:textId="77777777" w:rsidR="0010512E" w:rsidRPr="00633873" w:rsidRDefault="0010512E" w:rsidP="00A35A18">
      <w:pPr>
        <w:tabs>
          <w:tab w:val="left" w:pos="567"/>
        </w:tabs>
        <w:spacing w:after="0" w:line="260" w:lineRule="exact"/>
        <w:rPr>
          <w:rFonts w:ascii="Times New Roman" w:eastAsia="Times New Roman" w:hAnsi="Times New Roman" w:cs="Times New Roman"/>
          <w:snapToGrid w:val="0"/>
          <w:szCs w:val="20"/>
        </w:rPr>
      </w:pPr>
    </w:p>
    <w:p w14:paraId="0716953B" w14:textId="77777777" w:rsidR="0010512E" w:rsidRDefault="00470E35" w:rsidP="00470E35">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Šio vaistinio preparato </w:t>
      </w:r>
      <w:r w:rsidR="00947A83" w:rsidRPr="00633873">
        <w:rPr>
          <w:rFonts w:ascii="Times New Roman" w:eastAsia="Times New Roman" w:hAnsi="Times New Roman" w:cs="Times New Roman"/>
          <w:snapToGrid w:val="0"/>
          <w:szCs w:val="20"/>
        </w:rPr>
        <w:t xml:space="preserve">vienoje </w:t>
      </w:r>
      <w:r w:rsidRPr="00633873">
        <w:rPr>
          <w:rFonts w:ascii="Times New Roman" w:eastAsia="Times New Roman" w:hAnsi="Times New Roman" w:cs="Times New Roman"/>
          <w:snapToGrid w:val="0"/>
          <w:szCs w:val="20"/>
        </w:rPr>
        <w:t>tabletėje yra mažiau kaip 1 </w:t>
      </w:r>
      <w:proofErr w:type="spellStart"/>
      <w:r w:rsidRPr="00633873">
        <w:rPr>
          <w:rFonts w:ascii="Times New Roman" w:eastAsia="Times New Roman" w:hAnsi="Times New Roman" w:cs="Times New Roman"/>
          <w:snapToGrid w:val="0"/>
          <w:szCs w:val="20"/>
        </w:rPr>
        <w:t>mmol</w:t>
      </w:r>
      <w:proofErr w:type="spellEnd"/>
      <w:r w:rsidRPr="00633873">
        <w:rPr>
          <w:rFonts w:ascii="Times New Roman" w:eastAsia="Times New Roman" w:hAnsi="Times New Roman" w:cs="Times New Roman"/>
          <w:snapToGrid w:val="0"/>
          <w:szCs w:val="20"/>
        </w:rPr>
        <w:t xml:space="preserve"> (23 mg) natrio, t. y. jis beveik neturi reikšmės.</w:t>
      </w:r>
      <w:r w:rsidRPr="00633873">
        <w:rPr>
          <w:rFonts w:ascii="Times New Roman" w:eastAsia="Times New Roman" w:hAnsi="Times New Roman" w:cs="Times New Roman"/>
          <w:snapToGrid w:val="0"/>
          <w:szCs w:val="20"/>
        </w:rPr>
        <w:cr/>
      </w:r>
    </w:p>
    <w:p w14:paraId="6176D8CC" w14:textId="7D30839A" w:rsidR="00470E35" w:rsidRDefault="00470E35" w:rsidP="00470E35">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Šio vaistinio preparato sudėtyje yra sojų </w:t>
      </w:r>
      <w:proofErr w:type="spellStart"/>
      <w:r w:rsidRPr="00633873">
        <w:rPr>
          <w:rFonts w:ascii="Times New Roman" w:eastAsia="Times New Roman" w:hAnsi="Times New Roman" w:cs="Times New Roman"/>
          <w:snapToGrid w:val="0"/>
          <w:szCs w:val="20"/>
        </w:rPr>
        <w:t>lecitino</w:t>
      </w:r>
      <w:proofErr w:type="spellEnd"/>
      <w:r w:rsidRPr="00633873">
        <w:rPr>
          <w:rFonts w:ascii="Times New Roman" w:eastAsia="Times New Roman" w:hAnsi="Times New Roman" w:cs="Times New Roman"/>
          <w:snapToGrid w:val="0"/>
          <w:szCs w:val="20"/>
        </w:rPr>
        <w:t>. So</w:t>
      </w:r>
      <w:r w:rsidR="00C50C1A" w:rsidRPr="00633873">
        <w:rPr>
          <w:rFonts w:ascii="Times New Roman" w:eastAsia="Times New Roman" w:hAnsi="Times New Roman" w:cs="Times New Roman"/>
          <w:snapToGrid w:val="0"/>
          <w:szCs w:val="20"/>
        </w:rPr>
        <w:t>j</w:t>
      </w:r>
      <w:r w:rsidRPr="00633873">
        <w:rPr>
          <w:rFonts w:ascii="Times New Roman" w:eastAsia="Times New Roman" w:hAnsi="Times New Roman" w:cs="Times New Roman"/>
          <w:snapToGrid w:val="0"/>
          <w:szCs w:val="20"/>
        </w:rPr>
        <w:t xml:space="preserve">ų </w:t>
      </w:r>
      <w:proofErr w:type="spellStart"/>
      <w:r w:rsidRPr="00633873">
        <w:rPr>
          <w:rFonts w:ascii="Times New Roman" w:eastAsia="Times New Roman" w:hAnsi="Times New Roman" w:cs="Times New Roman"/>
          <w:snapToGrid w:val="0"/>
          <w:szCs w:val="20"/>
        </w:rPr>
        <w:t>lecitine</w:t>
      </w:r>
      <w:proofErr w:type="spellEnd"/>
      <w:r w:rsidRPr="00633873">
        <w:rPr>
          <w:rFonts w:ascii="Times New Roman" w:eastAsia="Times New Roman" w:hAnsi="Times New Roman" w:cs="Times New Roman"/>
          <w:snapToGrid w:val="0"/>
          <w:szCs w:val="20"/>
        </w:rPr>
        <w:t xml:space="preserve"> gali būti sojų baltymų </w:t>
      </w:r>
      <w:r w:rsidR="00C50C1A" w:rsidRPr="00633873">
        <w:rPr>
          <w:rFonts w:ascii="Times New Roman" w:eastAsia="Times New Roman" w:hAnsi="Times New Roman" w:cs="Times New Roman"/>
          <w:snapToGrid w:val="0"/>
          <w:szCs w:val="20"/>
        </w:rPr>
        <w:t>l</w:t>
      </w:r>
      <w:r w:rsidRPr="00633873">
        <w:rPr>
          <w:rFonts w:ascii="Times New Roman" w:eastAsia="Times New Roman" w:hAnsi="Times New Roman" w:cs="Times New Roman"/>
          <w:snapToGrid w:val="0"/>
          <w:szCs w:val="20"/>
        </w:rPr>
        <w:t xml:space="preserve">ikučių </w:t>
      </w:r>
      <w:r w:rsidR="00C50C1A" w:rsidRPr="00633873">
        <w:rPr>
          <w:rFonts w:ascii="Times New Roman" w:eastAsia="Times New Roman" w:hAnsi="Times New Roman" w:cs="Times New Roman"/>
          <w:snapToGrid w:val="0"/>
          <w:szCs w:val="20"/>
        </w:rPr>
        <w:t>ir todėl</w:t>
      </w:r>
      <w:r w:rsidR="003D2556" w:rsidRPr="00633873">
        <w:rPr>
          <w:rFonts w:ascii="Times New Roman" w:eastAsia="Times New Roman" w:hAnsi="Times New Roman" w:cs="Times New Roman"/>
          <w:snapToGrid w:val="0"/>
          <w:szCs w:val="20"/>
        </w:rPr>
        <w:t>,</w:t>
      </w:r>
      <w:r w:rsidR="00C50C1A" w:rsidRPr="00633873">
        <w:rPr>
          <w:rFonts w:ascii="Times New Roman" w:eastAsia="Times New Roman" w:hAnsi="Times New Roman" w:cs="Times New Roman"/>
          <w:snapToGrid w:val="0"/>
          <w:szCs w:val="20"/>
        </w:rPr>
        <w:t xml:space="preserve"> j</w:t>
      </w:r>
      <w:r w:rsidRPr="00633873">
        <w:rPr>
          <w:rFonts w:ascii="Times New Roman" w:eastAsia="Times New Roman" w:hAnsi="Times New Roman" w:cs="Times New Roman"/>
          <w:snapToGrid w:val="0"/>
          <w:szCs w:val="20"/>
        </w:rPr>
        <w:t xml:space="preserve">ei pacientas yra alergiškas žemės riešutams arba sojai, jam </w:t>
      </w:r>
      <w:r w:rsidR="00C50C1A" w:rsidRPr="00633873">
        <w:rPr>
          <w:rFonts w:ascii="Times New Roman" w:eastAsia="Times New Roman" w:hAnsi="Times New Roman" w:cs="Times New Roman"/>
          <w:snapToGrid w:val="0"/>
          <w:szCs w:val="20"/>
        </w:rPr>
        <w:t xml:space="preserve">šio vaistinio preparato </w:t>
      </w:r>
      <w:r w:rsidRPr="00633873">
        <w:rPr>
          <w:rFonts w:ascii="Times New Roman" w:eastAsia="Times New Roman" w:hAnsi="Times New Roman" w:cs="Times New Roman"/>
          <w:snapToGrid w:val="0"/>
          <w:szCs w:val="20"/>
        </w:rPr>
        <w:t>vartoti negalima (žr. 4.3 skyrių).</w:t>
      </w:r>
    </w:p>
    <w:p w14:paraId="4935B723" w14:textId="77777777" w:rsidR="0010512E" w:rsidRPr="00633873" w:rsidRDefault="0010512E" w:rsidP="00470E35">
      <w:pPr>
        <w:tabs>
          <w:tab w:val="left" w:pos="567"/>
        </w:tabs>
        <w:spacing w:after="0" w:line="260" w:lineRule="exact"/>
        <w:rPr>
          <w:rFonts w:ascii="Times New Roman" w:eastAsia="Times New Roman" w:hAnsi="Times New Roman" w:cs="Times New Roman"/>
          <w:snapToGrid w:val="0"/>
          <w:szCs w:val="20"/>
        </w:rPr>
      </w:pPr>
    </w:p>
    <w:p w14:paraId="2767F077" w14:textId="77777777" w:rsidR="00A35A18" w:rsidRPr="00633873" w:rsidRDefault="00C50C1A"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Šio vaistinio preparato sudėtyje </w:t>
      </w:r>
      <w:r w:rsidR="00A35A18" w:rsidRPr="00633873">
        <w:rPr>
          <w:rFonts w:ascii="Times New Roman" w:eastAsia="Times New Roman" w:hAnsi="Times New Roman" w:cs="Times New Roman"/>
          <w:snapToGrid w:val="0"/>
          <w:szCs w:val="20"/>
        </w:rPr>
        <w:t xml:space="preserve">yra </w:t>
      </w:r>
      <w:proofErr w:type="spellStart"/>
      <w:r w:rsidR="00A35A18" w:rsidRPr="00633873">
        <w:rPr>
          <w:rFonts w:ascii="Times New Roman" w:eastAsia="Times New Roman" w:hAnsi="Times New Roman" w:cs="Times New Roman"/>
          <w:snapToGrid w:val="0"/>
          <w:szCs w:val="20"/>
        </w:rPr>
        <w:t>azodažiklio</w:t>
      </w:r>
      <w:proofErr w:type="spellEnd"/>
      <w:r w:rsidR="00A35A18" w:rsidRPr="00633873">
        <w:rPr>
          <w:rFonts w:ascii="Times New Roman" w:eastAsia="Times New Roman" w:hAnsi="Times New Roman" w:cs="Times New Roman"/>
          <w:snapToGrid w:val="0"/>
          <w:szCs w:val="20"/>
        </w:rPr>
        <w:t xml:space="preserve"> </w:t>
      </w:r>
      <w:proofErr w:type="spellStart"/>
      <w:r w:rsidR="00A35A18" w:rsidRPr="00633873">
        <w:rPr>
          <w:rFonts w:ascii="Times New Roman" w:eastAsia="Times New Roman" w:hAnsi="Times New Roman" w:cs="Times New Roman"/>
          <w:snapToGrid w:val="0"/>
          <w:szCs w:val="20"/>
        </w:rPr>
        <w:t>Alura</w:t>
      </w:r>
      <w:proofErr w:type="spellEnd"/>
      <w:r w:rsidR="00A35A18" w:rsidRPr="00633873">
        <w:rPr>
          <w:rFonts w:ascii="Times New Roman" w:eastAsia="Times New Roman" w:hAnsi="Times New Roman" w:cs="Times New Roman"/>
          <w:snapToGrid w:val="0"/>
          <w:szCs w:val="20"/>
        </w:rPr>
        <w:t xml:space="preserve"> raudonojo AC (E129), kuris gali sukelti alerginių reakcijų.</w:t>
      </w:r>
    </w:p>
    <w:p w14:paraId="5980BD5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AED0168"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4.5</w:t>
      </w:r>
      <w:r w:rsidRPr="00633873">
        <w:rPr>
          <w:rFonts w:ascii="Times New Roman" w:eastAsia="Times New Roman" w:hAnsi="Times New Roman" w:cs="Times New Roman"/>
          <w:b/>
          <w:kern w:val="28"/>
        </w:rPr>
        <w:tab/>
        <w:t>Sąveika su kitais vaistiniais preparatais ir kitokia sąveika</w:t>
      </w:r>
    </w:p>
    <w:p w14:paraId="315BD93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BA8ABB5" w14:textId="77777777" w:rsidR="00A35A18" w:rsidRPr="00633873" w:rsidRDefault="00BE38AE"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I</w:t>
      </w:r>
      <w:r w:rsidR="00A35A18" w:rsidRPr="00633873">
        <w:rPr>
          <w:rFonts w:ascii="Times New Roman" w:eastAsia="Times New Roman" w:hAnsi="Times New Roman" w:cs="Times New Roman"/>
          <w:snapToGrid w:val="0"/>
          <w:szCs w:val="24"/>
        </w:rPr>
        <w:t>kiklinikini</w:t>
      </w:r>
      <w:r w:rsidRPr="00633873">
        <w:rPr>
          <w:rFonts w:ascii="Times New Roman" w:eastAsia="Times New Roman" w:hAnsi="Times New Roman" w:cs="Times New Roman"/>
          <w:snapToGrid w:val="0"/>
          <w:szCs w:val="24"/>
        </w:rPr>
        <w:t>ų</w:t>
      </w:r>
      <w:proofErr w:type="spellEnd"/>
      <w:r w:rsidR="00A35A18" w:rsidRPr="00633873">
        <w:rPr>
          <w:rFonts w:ascii="Times New Roman" w:eastAsia="Times New Roman" w:hAnsi="Times New Roman" w:cs="Times New Roman"/>
          <w:snapToGrid w:val="0"/>
          <w:szCs w:val="24"/>
        </w:rPr>
        <w:t xml:space="preserve"> tyrim</w:t>
      </w:r>
      <w:r w:rsidRPr="00633873">
        <w:rPr>
          <w:rFonts w:ascii="Times New Roman" w:eastAsia="Times New Roman" w:hAnsi="Times New Roman" w:cs="Times New Roman"/>
          <w:snapToGrid w:val="0"/>
          <w:szCs w:val="24"/>
        </w:rPr>
        <w:t>ų</w:t>
      </w:r>
      <w:r w:rsidR="00A35A18" w:rsidRPr="00633873">
        <w:rPr>
          <w:rFonts w:ascii="Times New Roman" w:eastAsia="Times New Roman" w:hAnsi="Times New Roman" w:cs="Times New Roman"/>
          <w:snapToGrid w:val="0"/>
          <w:szCs w:val="24"/>
        </w:rPr>
        <w:t xml:space="preserve"> </w:t>
      </w:r>
      <w:proofErr w:type="spellStart"/>
      <w:r w:rsidR="00A35A18" w:rsidRPr="00633873">
        <w:rPr>
          <w:rFonts w:ascii="Times New Roman" w:eastAsia="Times New Roman" w:hAnsi="Times New Roman" w:cs="Times New Roman"/>
          <w:i/>
          <w:iCs/>
          <w:snapToGrid w:val="0"/>
          <w:szCs w:val="24"/>
        </w:rPr>
        <w:t>in</w:t>
      </w:r>
      <w:proofErr w:type="spellEnd"/>
      <w:r w:rsidR="00A35A18" w:rsidRPr="00633873">
        <w:rPr>
          <w:rFonts w:ascii="Times New Roman" w:eastAsia="Times New Roman" w:hAnsi="Times New Roman" w:cs="Times New Roman"/>
          <w:i/>
          <w:iCs/>
          <w:snapToGrid w:val="0"/>
          <w:szCs w:val="24"/>
        </w:rPr>
        <w:t xml:space="preserve"> </w:t>
      </w:r>
      <w:proofErr w:type="spellStart"/>
      <w:r w:rsidR="00A35A18" w:rsidRPr="00633873">
        <w:rPr>
          <w:rFonts w:ascii="Times New Roman" w:eastAsia="Times New Roman" w:hAnsi="Times New Roman" w:cs="Times New Roman"/>
          <w:i/>
          <w:iCs/>
          <w:snapToGrid w:val="0"/>
          <w:szCs w:val="24"/>
        </w:rPr>
        <w:t>vitro</w:t>
      </w:r>
      <w:proofErr w:type="spellEnd"/>
      <w:r w:rsidR="00A35A18" w:rsidRPr="00633873">
        <w:rPr>
          <w:rFonts w:ascii="Times New Roman" w:eastAsia="Times New Roman" w:hAnsi="Times New Roman" w:cs="Times New Roman"/>
          <w:snapToGrid w:val="0"/>
          <w:szCs w:val="24"/>
        </w:rPr>
        <w:t xml:space="preserve"> ir </w:t>
      </w:r>
      <w:proofErr w:type="spellStart"/>
      <w:r w:rsidR="00A35A18" w:rsidRPr="00633873">
        <w:rPr>
          <w:rFonts w:ascii="Times New Roman" w:eastAsia="Times New Roman" w:hAnsi="Times New Roman" w:cs="Times New Roman"/>
          <w:i/>
          <w:iCs/>
          <w:snapToGrid w:val="0"/>
          <w:szCs w:val="24"/>
        </w:rPr>
        <w:t>in</w:t>
      </w:r>
      <w:proofErr w:type="spellEnd"/>
      <w:r w:rsidR="00A35A18" w:rsidRPr="00633873">
        <w:rPr>
          <w:rFonts w:ascii="Times New Roman" w:eastAsia="Times New Roman" w:hAnsi="Times New Roman" w:cs="Times New Roman"/>
          <w:i/>
          <w:iCs/>
          <w:snapToGrid w:val="0"/>
          <w:szCs w:val="24"/>
        </w:rPr>
        <w:t xml:space="preserve"> </w:t>
      </w:r>
      <w:proofErr w:type="spellStart"/>
      <w:r w:rsidR="00A35A18" w:rsidRPr="00633873">
        <w:rPr>
          <w:rFonts w:ascii="Times New Roman" w:eastAsia="Times New Roman" w:hAnsi="Times New Roman" w:cs="Times New Roman"/>
          <w:i/>
          <w:iCs/>
          <w:snapToGrid w:val="0"/>
          <w:szCs w:val="24"/>
        </w:rPr>
        <w:t>vivo</w:t>
      </w:r>
      <w:proofErr w:type="spellEnd"/>
      <w:r w:rsidRPr="00633873">
        <w:rPr>
          <w:rFonts w:ascii="Times New Roman" w:eastAsia="Times New Roman" w:hAnsi="Times New Roman" w:cs="Times New Roman"/>
          <w:i/>
          <w:iCs/>
          <w:snapToGrid w:val="0"/>
          <w:szCs w:val="24"/>
        </w:rPr>
        <w:t xml:space="preserve"> </w:t>
      </w:r>
      <w:r w:rsidRPr="00633873">
        <w:rPr>
          <w:rFonts w:ascii="Times New Roman" w:eastAsia="Times New Roman" w:hAnsi="Times New Roman" w:cs="Times New Roman"/>
          <w:snapToGrid w:val="0"/>
          <w:szCs w:val="24"/>
        </w:rPr>
        <w:t>metu</w:t>
      </w:r>
      <w:r w:rsidR="00A35A18" w:rsidRPr="00633873">
        <w:rPr>
          <w:rFonts w:ascii="Times New Roman" w:eastAsia="Times New Roman" w:hAnsi="Times New Roman" w:cs="Times New Roman"/>
          <w:snapToGrid w:val="0"/>
          <w:szCs w:val="24"/>
        </w:rPr>
        <w:t xml:space="preserve"> </w:t>
      </w:r>
      <w:proofErr w:type="spellStart"/>
      <w:r w:rsidR="00A35A18" w:rsidRPr="00633873">
        <w:rPr>
          <w:rFonts w:ascii="Times New Roman" w:eastAsia="Times New Roman" w:hAnsi="Times New Roman" w:cs="Times New Roman"/>
          <w:snapToGrid w:val="0"/>
          <w:szCs w:val="24"/>
        </w:rPr>
        <w:t>ambrisentanas</w:t>
      </w:r>
      <w:proofErr w:type="spellEnd"/>
      <w:r w:rsidR="00A35A18" w:rsidRPr="00633873">
        <w:rPr>
          <w:rFonts w:ascii="Times New Roman" w:eastAsia="Times New Roman" w:hAnsi="Times New Roman" w:cs="Times New Roman"/>
          <w:snapToGrid w:val="0"/>
          <w:szCs w:val="24"/>
        </w:rPr>
        <w:t xml:space="preserve"> kliniškai reikšmingomis koncentracijomis neslopino ir nesužadino I ar II fazės vaistinį preparatą </w:t>
      </w:r>
      <w:proofErr w:type="spellStart"/>
      <w:r w:rsidR="00A35A18" w:rsidRPr="00633873">
        <w:rPr>
          <w:rFonts w:ascii="Times New Roman" w:eastAsia="Times New Roman" w:hAnsi="Times New Roman" w:cs="Times New Roman"/>
          <w:snapToGrid w:val="0"/>
          <w:szCs w:val="24"/>
        </w:rPr>
        <w:t>metabolizuojančių</w:t>
      </w:r>
      <w:proofErr w:type="spellEnd"/>
      <w:r w:rsidR="00A35A18" w:rsidRPr="00633873">
        <w:rPr>
          <w:rFonts w:ascii="Times New Roman" w:eastAsia="Times New Roman" w:hAnsi="Times New Roman" w:cs="Times New Roman"/>
          <w:snapToGrid w:val="0"/>
          <w:szCs w:val="24"/>
        </w:rPr>
        <w:t xml:space="preserve"> fermentų, o tai rodo, kad </w:t>
      </w:r>
      <w:proofErr w:type="spellStart"/>
      <w:r w:rsidR="00A35A18" w:rsidRPr="00633873">
        <w:rPr>
          <w:rFonts w:ascii="Times New Roman" w:eastAsia="Times New Roman" w:hAnsi="Times New Roman" w:cs="Times New Roman"/>
          <w:snapToGrid w:val="0"/>
          <w:szCs w:val="24"/>
        </w:rPr>
        <w:t>ambrisentanas</w:t>
      </w:r>
      <w:proofErr w:type="spellEnd"/>
      <w:r w:rsidR="00A35A18" w:rsidRPr="00633873">
        <w:rPr>
          <w:rFonts w:ascii="Times New Roman" w:eastAsia="Times New Roman" w:hAnsi="Times New Roman" w:cs="Times New Roman"/>
          <w:snapToGrid w:val="0"/>
          <w:szCs w:val="24"/>
        </w:rPr>
        <w:t xml:space="preserve"> mažai gali pakeisti šiuo būdu </w:t>
      </w:r>
      <w:proofErr w:type="spellStart"/>
      <w:r w:rsidR="00A35A18" w:rsidRPr="00633873">
        <w:rPr>
          <w:rFonts w:ascii="Times New Roman" w:eastAsia="Times New Roman" w:hAnsi="Times New Roman" w:cs="Times New Roman"/>
          <w:snapToGrid w:val="0"/>
          <w:szCs w:val="24"/>
        </w:rPr>
        <w:t>metabolizuojamų</w:t>
      </w:r>
      <w:proofErr w:type="spellEnd"/>
      <w:r w:rsidR="00A35A18" w:rsidRPr="00633873">
        <w:rPr>
          <w:rFonts w:ascii="Times New Roman" w:eastAsia="Times New Roman" w:hAnsi="Times New Roman" w:cs="Times New Roman"/>
          <w:snapToGrid w:val="0"/>
          <w:szCs w:val="24"/>
        </w:rPr>
        <w:t xml:space="preserve"> vaistinių preparatų </w:t>
      </w:r>
      <w:proofErr w:type="spellStart"/>
      <w:r w:rsidR="00A35A18" w:rsidRPr="00633873">
        <w:rPr>
          <w:rFonts w:ascii="Times New Roman" w:eastAsia="Times New Roman" w:hAnsi="Times New Roman" w:cs="Times New Roman"/>
          <w:snapToGrid w:val="0"/>
          <w:szCs w:val="24"/>
        </w:rPr>
        <w:t>metabolinį</w:t>
      </w:r>
      <w:proofErr w:type="spellEnd"/>
      <w:r w:rsidR="00A35A18" w:rsidRPr="00633873">
        <w:rPr>
          <w:rFonts w:ascii="Times New Roman" w:eastAsia="Times New Roman" w:hAnsi="Times New Roman" w:cs="Times New Roman"/>
          <w:snapToGrid w:val="0"/>
          <w:szCs w:val="24"/>
        </w:rPr>
        <w:t xml:space="preserve"> procesą.</w:t>
      </w:r>
    </w:p>
    <w:p w14:paraId="00D0165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9F614C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Atliekant tyrimus su sveikais savanoriais, buvo tirta, ar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gali sužadinti CYP3A4 aktyvumą; rezultatai rodo, kad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nesužadina CYP3A4 </w:t>
      </w:r>
      <w:proofErr w:type="spellStart"/>
      <w:r w:rsidRPr="00633873">
        <w:rPr>
          <w:rFonts w:ascii="Times New Roman" w:eastAsia="Times New Roman" w:hAnsi="Times New Roman" w:cs="Times New Roman"/>
          <w:snapToGrid w:val="0"/>
          <w:szCs w:val="24"/>
        </w:rPr>
        <w:t>izofermento</w:t>
      </w:r>
      <w:proofErr w:type="spellEnd"/>
      <w:r w:rsidRPr="00633873">
        <w:rPr>
          <w:rFonts w:ascii="Times New Roman" w:eastAsia="Times New Roman" w:hAnsi="Times New Roman" w:cs="Times New Roman"/>
          <w:snapToGrid w:val="0"/>
          <w:szCs w:val="24"/>
        </w:rPr>
        <w:t>.</w:t>
      </w:r>
    </w:p>
    <w:p w14:paraId="0087AB8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FCB1BF3" w14:textId="400EE991"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Ciklosporinas</w:t>
      </w:r>
      <w:proofErr w:type="spellEnd"/>
      <w:r w:rsidRPr="00633873">
        <w:rPr>
          <w:rFonts w:ascii="Times New Roman" w:eastAsia="Times New Roman" w:hAnsi="Times New Roman" w:cs="Times New Roman"/>
          <w:snapToGrid w:val="0"/>
          <w:szCs w:val="24"/>
          <w:u w:val="single"/>
        </w:rPr>
        <w:t xml:space="preserve"> A</w:t>
      </w:r>
    </w:p>
    <w:p w14:paraId="17233E17"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5DFC19EF" w14:textId="230B68F1"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r w:rsidR="00BE38AE" w:rsidRPr="00633873">
        <w:rPr>
          <w:rFonts w:ascii="Times New Roman" w:eastAsia="Times New Roman" w:hAnsi="Times New Roman" w:cs="Times New Roman"/>
          <w:snapToGrid w:val="0"/>
          <w:szCs w:val="24"/>
        </w:rPr>
        <w:t>o</w:t>
      </w:r>
      <w:proofErr w:type="spellEnd"/>
      <w:r w:rsidR="00BE38AE"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 xml:space="preserve">nusistovėjus </w:t>
      </w:r>
      <w:proofErr w:type="spellStart"/>
      <w:r w:rsidR="008E0F7A" w:rsidRPr="00633873">
        <w:rPr>
          <w:rFonts w:ascii="Times New Roman" w:eastAsia="Times New Roman" w:hAnsi="Times New Roman" w:cs="Times New Roman"/>
          <w:snapToGrid w:val="0"/>
          <w:szCs w:val="24"/>
        </w:rPr>
        <w:t>pusiausvyr</w:t>
      </w:r>
      <w:r w:rsidR="00720D3F" w:rsidRPr="00633873">
        <w:rPr>
          <w:rFonts w:ascii="Times New Roman" w:eastAsia="Times New Roman" w:hAnsi="Times New Roman" w:cs="Times New Roman"/>
          <w:snapToGrid w:val="0"/>
          <w:szCs w:val="24"/>
        </w:rPr>
        <w:t>inei</w:t>
      </w:r>
      <w:proofErr w:type="spellEnd"/>
      <w:r w:rsidR="008E0F7A" w:rsidRPr="00633873">
        <w:rPr>
          <w:rFonts w:ascii="Times New Roman" w:eastAsia="Times New Roman" w:hAnsi="Times New Roman" w:cs="Times New Roman"/>
          <w:snapToGrid w:val="0"/>
          <w:szCs w:val="24"/>
        </w:rPr>
        <w:t xml:space="preserve"> </w:t>
      </w:r>
      <w:r w:rsidR="00720D3F" w:rsidRPr="00633873">
        <w:rPr>
          <w:rFonts w:ascii="Times New Roman" w:eastAsia="Times New Roman" w:hAnsi="Times New Roman" w:cs="Times New Roman"/>
          <w:snapToGrid w:val="0"/>
          <w:szCs w:val="24"/>
        </w:rPr>
        <w:t>koncentracijai</w:t>
      </w:r>
      <w:r w:rsidR="00BE38AE"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w:t>
      </w:r>
      <w:r w:rsidR="00BE38AE" w:rsidRPr="00633873">
        <w:rPr>
          <w:rFonts w:ascii="Times New Roman" w:eastAsia="Times New Roman" w:hAnsi="Times New Roman" w:cs="Times New Roman"/>
          <w:snapToGrid w:val="0"/>
          <w:szCs w:val="24"/>
        </w:rPr>
        <w:t>vartojimas</w:t>
      </w:r>
      <w:r w:rsidRPr="00633873">
        <w:rPr>
          <w:rFonts w:ascii="Times New Roman" w:eastAsia="Times New Roman" w:hAnsi="Times New Roman" w:cs="Times New Roman"/>
          <w:snapToGrid w:val="0"/>
          <w:szCs w:val="24"/>
        </w:rPr>
        <w:t xml:space="preserve"> </w:t>
      </w:r>
      <w:r w:rsidR="00720D3F" w:rsidRPr="00633873">
        <w:rPr>
          <w:rFonts w:ascii="Times New Roman" w:eastAsia="Times New Roman" w:hAnsi="Times New Roman" w:cs="Times New Roman"/>
          <w:snapToGrid w:val="0"/>
          <w:szCs w:val="24"/>
        </w:rPr>
        <w:t>derinyje</w:t>
      </w:r>
      <w:r w:rsidRPr="00633873">
        <w:rPr>
          <w:rFonts w:ascii="Times New Roman" w:eastAsia="Times New Roman" w:hAnsi="Times New Roman" w:cs="Times New Roman"/>
          <w:snapToGrid w:val="0"/>
          <w:szCs w:val="24"/>
        </w:rPr>
        <w:t xml:space="preserve"> su </w:t>
      </w:r>
      <w:proofErr w:type="spellStart"/>
      <w:r w:rsidRPr="00633873">
        <w:rPr>
          <w:rFonts w:ascii="Times New Roman" w:eastAsia="Times New Roman" w:hAnsi="Times New Roman" w:cs="Times New Roman"/>
          <w:snapToGrid w:val="0"/>
          <w:szCs w:val="24"/>
        </w:rPr>
        <w:t>ciklosporinu</w:t>
      </w:r>
      <w:proofErr w:type="spellEnd"/>
      <w:r w:rsidRPr="00633873">
        <w:rPr>
          <w:rFonts w:ascii="Times New Roman" w:eastAsia="Times New Roman" w:hAnsi="Times New Roman" w:cs="Times New Roman"/>
          <w:snapToGrid w:val="0"/>
          <w:szCs w:val="24"/>
        </w:rPr>
        <w:t xml:space="preserve"> A </w:t>
      </w:r>
      <w:r w:rsidR="00BE38AE" w:rsidRPr="00633873">
        <w:rPr>
          <w:rFonts w:ascii="Times New Roman" w:eastAsia="Times New Roman" w:hAnsi="Times New Roman" w:cs="Times New Roman"/>
          <w:snapToGrid w:val="0"/>
          <w:szCs w:val="24"/>
        </w:rPr>
        <w:t xml:space="preserve">sukėlė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ekspozicij</w:t>
      </w:r>
      <w:r w:rsidR="00BE38AE" w:rsidRPr="00633873">
        <w:rPr>
          <w:rFonts w:ascii="Times New Roman" w:eastAsia="Times New Roman" w:hAnsi="Times New Roman" w:cs="Times New Roman"/>
          <w:snapToGrid w:val="0"/>
          <w:szCs w:val="24"/>
        </w:rPr>
        <w:t>os</w:t>
      </w:r>
      <w:r w:rsidRPr="00633873">
        <w:rPr>
          <w:rFonts w:ascii="Times New Roman" w:eastAsia="Times New Roman" w:hAnsi="Times New Roman" w:cs="Times New Roman"/>
          <w:snapToGrid w:val="0"/>
          <w:szCs w:val="24"/>
        </w:rPr>
        <w:t xml:space="preserve"> sveikų savanorių organizme padidėj</w:t>
      </w:r>
      <w:r w:rsidR="00BE38AE" w:rsidRPr="00633873">
        <w:rPr>
          <w:rFonts w:ascii="Times New Roman" w:eastAsia="Times New Roman" w:hAnsi="Times New Roman" w:cs="Times New Roman"/>
          <w:snapToGrid w:val="0"/>
          <w:szCs w:val="24"/>
        </w:rPr>
        <w:t>imą</w:t>
      </w:r>
      <w:r w:rsidRPr="00633873">
        <w:rPr>
          <w:rFonts w:ascii="Times New Roman" w:eastAsia="Times New Roman" w:hAnsi="Times New Roman" w:cs="Times New Roman"/>
          <w:snapToGrid w:val="0"/>
          <w:szCs w:val="24"/>
        </w:rPr>
        <w:t xml:space="preserve"> 2 kartus. Tai gali pasireikšti dėl to, kad </w:t>
      </w:r>
      <w:proofErr w:type="spellStart"/>
      <w:r w:rsidRPr="00633873">
        <w:rPr>
          <w:rFonts w:ascii="Times New Roman" w:eastAsia="Times New Roman" w:hAnsi="Times New Roman" w:cs="Times New Roman"/>
          <w:snapToGrid w:val="0"/>
          <w:szCs w:val="24"/>
        </w:rPr>
        <w:t>ciklosporinas</w:t>
      </w:r>
      <w:proofErr w:type="spellEnd"/>
      <w:r w:rsidRPr="00633873">
        <w:rPr>
          <w:rFonts w:ascii="Times New Roman" w:eastAsia="Times New Roman" w:hAnsi="Times New Roman" w:cs="Times New Roman"/>
          <w:snapToGrid w:val="0"/>
          <w:szCs w:val="24"/>
        </w:rPr>
        <w:t xml:space="preserve"> A slopina nešiklius ir metabolizmą veikiančius fermentus, susijusius su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farmakokinetika. Dėl to </w:t>
      </w:r>
      <w:r w:rsidR="00720D3F" w:rsidRPr="00633873">
        <w:rPr>
          <w:rFonts w:ascii="Times New Roman" w:eastAsia="Times New Roman" w:hAnsi="Times New Roman" w:cs="Times New Roman"/>
          <w:snapToGrid w:val="0"/>
          <w:szCs w:val="24"/>
        </w:rPr>
        <w:t>derinyje</w:t>
      </w:r>
      <w:r w:rsidRPr="00633873">
        <w:rPr>
          <w:rFonts w:ascii="Times New Roman" w:eastAsia="Times New Roman" w:hAnsi="Times New Roman" w:cs="Times New Roman"/>
          <w:snapToGrid w:val="0"/>
          <w:szCs w:val="24"/>
        </w:rPr>
        <w:t xml:space="preserve"> su </w:t>
      </w:r>
      <w:proofErr w:type="spellStart"/>
      <w:r w:rsidRPr="00633873">
        <w:rPr>
          <w:rFonts w:ascii="Times New Roman" w:eastAsia="Times New Roman" w:hAnsi="Times New Roman" w:cs="Times New Roman"/>
          <w:snapToGrid w:val="0"/>
          <w:szCs w:val="24"/>
        </w:rPr>
        <w:t>ciklosporinu</w:t>
      </w:r>
      <w:proofErr w:type="spellEnd"/>
      <w:r w:rsidRPr="00633873">
        <w:rPr>
          <w:rFonts w:ascii="Times New Roman" w:eastAsia="Times New Roman" w:hAnsi="Times New Roman" w:cs="Times New Roman"/>
          <w:snapToGrid w:val="0"/>
          <w:szCs w:val="24"/>
        </w:rPr>
        <w:t xml:space="preserve"> A </w:t>
      </w:r>
      <w:r w:rsidR="00E160F9" w:rsidRPr="00633873">
        <w:rPr>
          <w:rFonts w:ascii="Times New Roman" w:eastAsia="Times New Roman" w:hAnsi="Times New Roman" w:cs="Times New Roman"/>
          <w:snapToGrid w:val="0"/>
          <w:szCs w:val="24"/>
        </w:rPr>
        <w:t>s</w:t>
      </w:r>
      <w:r w:rsidR="007D0772" w:rsidRPr="00633873">
        <w:rPr>
          <w:rFonts w:ascii="Times New Roman" w:eastAsia="Times New Roman" w:hAnsi="Times New Roman" w:cs="Times New Roman"/>
          <w:snapToGrid w:val="0"/>
          <w:szCs w:val="24"/>
        </w:rPr>
        <w:t>uaugusiesiems ar vaikų populiacijos pacientams, kurių kūno svoris yra ≥</w:t>
      </w:r>
      <w:r w:rsidR="00E160F9" w:rsidRPr="00633873">
        <w:rPr>
          <w:rFonts w:ascii="Times New Roman" w:eastAsia="Times New Roman" w:hAnsi="Times New Roman" w:cs="Times New Roman"/>
          <w:snapToGrid w:val="0"/>
          <w:szCs w:val="24"/>
        </w:rPr>
        <w:t> </w:t>
      </w:r>
      <w:r w:rsidR="007D0772" w:rsidRPr="00633873">
        <w:rPr>
          <w:rFonts w:ascii="Times New Roman" w:eastAsia="Times New Roman" w:hAnsi="Times New Roman" w:cs="Times New Roman"/>
          <w:snapToGrid w:val="0"/>
          <w:szCs w:val="24"/>
        </w:rPr>
        <w:t>50</w:t>
      </w:r>
      <w:r w:rsidR="00E160F9" w:rsidRPr="00633873">
        <w:rPr>
          <w:rFonts w:ascii="Times New Roman" w:eastAsia="Times New Roman" w:hAnsi="Times New Roman" w:cs="Times New Roman"/>
          <w:snapToGrid w:val="0"/>
          <w:szCs w:val="24"/>
        </w:rPr>
        <w:t> </w:t>
      </w:r>
      <w:r w:rsidR="007D0772" w:rsidRPr="00633873">
        <w:rPr>
          <w:rFonts w:ascii="Times New Roman" w:eastAsia="Times New Roman" w:hAnsi="Times New Roman" w:cs="Times New Roman"/>
          <w:snapToGrid w:val="0"/>
          <w:szCs w:val="24"/>
        </w:rPr>
        <w:t>kg,</w:t>
      </w:r>
      <w:r w:rsidR="00E160F9"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 xml:space="preserve">galima vartoti ne didesnę kaip 5 mg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dozę </w:t>
      </w:r>
      <w:r w:rsidR="00BE38AE" w:rsidRPr="00633873">
        <w:rPr>
          <w:rFonts w:ascii="Times New Roman" w:eastAsia="Times New Roman" w:hAnsi="Times New Roman" w:cs="Times New Roman"/>
          <w:snapToGrid w:val="0"/>
          <w:szCs w:val="24"/>
        </w:rPr>
        <w:t xml:space="preserve">vieną </w:t>
      </w:r>
      <w:r w:rsidRPr="00633873">
        <w:rPr>
          <w:rFonts w:ascii="Times New Roman" w:eastAsia="Times New Roman" w:hAnsi="Times New Roman" w:cs="Times New Roman"/>
          <w:snapToGrid w:val="0"/>
          <w:szCs w:val="24"/>
        </w:rPr>
        <w:t>kartą per parą</w:t>
      </w:r>
      <w:r w:rsidR="00E160F9" w:rsidRPr="00633873">
        <w:rPr>
          <w:rFonts w:ascii="Times New Roman" w:eastAsia="Times New Roman" w:hAnsi="Times New Roman" w:cs="Times New Roman"/>
          <w:snapToGrid w:val="0"/>
          <w:szCs w:val="24"/>
        </w:rPr>
        <w:t xml:space="preserve">; vaikų populiacijos pacientams, kurių kūno svoris yra nuo ≥ 20 kg iki &lt; 50 kg, galima vartoti ne didesnę kaip 2,5 mg </w:t>
      </w:r>
      <w:proofErr w:type="spellStart"/>
      <w:r w:rsidR="00E160F9" w:rsidRPr="00633873">
        <w:rPr>
          <w:rFonts w:ascii="Times New Roman" w:eastAsia="Times New Roman" w:hAnsi="Times New Roman" w:cs="Times New Roman"/>
          <w:snapToGrid w:val="0"/>
          <w:szCs w:val="24"/>
        </w:rPr>
        <w:t>ambrisentano</w:t>
      </w:r>
      <w:proofErr w:type="spellEnd"/>
      <w:r w:rsidR="00E160F9" w:rsidRPr="00633873">
        <w:rPr>
          <w:rFonts w:ascii="Times New Roman" w:eastAsia="Times New Roman" w:hAnsi="Times New Roman" w:cs="Times New Roman"/>
          <w:snapToGrid w:val="0"/>
          <w:szCs w:val="24"/>
        </w:rPr>
        <w:t xml:space="preserve"> dozę vieną kartą per parą</w:t>
      </w:r>
      <w:r w:rsidRPr="00633873">
        <w:rPr>
          <w:rFonts w:ascii="Times New Roman" w:eastAsia="Times New Roman" w:hAnsi="Times New Roman" w:cs="Times New Roman"/>
          <w:snapToGrid w:val="0"/>
          <w:szCs w:val="24"/>
        </w:rPr>
        <w:t xml:space="preserve"> (žr. 4.2</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 xml:space="preserve">ų). Kartotinės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dozės įtakos </w:t>
      </w:r>
      <w:proofErr w:type="spellStart"/>
      <w:r w:rsidRPr="00633873">
        <w:rPr>
          <w:rFonts w:ascii="Times New Roman" w:eastAsia="Times New Roman" w:hAnsi="Times New Roman" w:cs="Times New Roman"/>
          <w:snapToGrid w:val="0"/>
          <w:szCs w:val="24"/>
        </w:rPr>
        <w:t>ciklosporino</w:t>
      </w:r>
      <w:proofErr w:type="spellEnd"/>
      <w:r w:rsidRPr="00633873">
        <w:rPr>
          <w:rFonts w:ascii="Times New Roman" w:eastAsia="Times New Roman" w:hAnsi="Times New Roman" w:cs="Times New Roman"/>
          <w:snapToGrid w:val="0"/>
          <w:szCs w:val="24"/>
        </w:rPr>
        <w:t xml:space="preserve"> A ekspozicijai neturėjo, dėl to </w:t>
      </w:r>
      <w:proofErr w:type="spellStart"/>
      <w:r w:rsidRPr="00633873">
        <w:rPr>
          <w:rFonts w:ascii="Times New Roman" w:eastAsia="Times New Roman" w:hAnsi="Times New Roman" w:cs="Times New Roman"/>
          <w:snapToGrid w:val="0"/>
          <w:szCs w:val="24"/>
        </w:rPr>
        <w:t>ciklosporino</w:t>
      </w:r>
      <w:proofErr w:type="spellEnd"/>
      <w:r w:rsidRPr="00633873">
        <w:rPr>
          <w:rFonts w:ascii="Times New Roman" w:eastAsia="Times New Roman" w:hAnsi="Times New Roman" w:cs="Times New Roman"/>
          <w:snapToGrid w:val="0"/>
          <w:szCs w:val="24"/>
        </w:rPr>
        <w:t xml:space="preserve"> A dozės keisti nereikia.</w:t>
      </w:r>
    </w:p>
    <w:p w14:paraId="2B7BD75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9010590" w14:textId="273AD18D"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Rifampicinas</w:t>
      </w:r>
      <w:proofErr w:type="spellEnd"/>
    </w:p>
    <w:p w14:paraId="1685C9DE"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473F40CD" w14:textId="56F5804F"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Sveikiems savanoriams </w:t>
      </w:r>
      <w:r w:rsidR="00136A40" w:rsidRPr="00633873">
        <w:rPr>
          <w:rFonts w:ascii="Times New Roman" w:eastAsia="Times New Roman" w:hAnsi="Times New Roman" w:cs="Times New Roman"/>
          <w:snapToGrid w:val="0"/>
          <w:szCs w:val="24"/>
        </w:rPr>
        <w:t>derinyje</w:t>
      </w:r>
      <w:r w:rsidRPr="00633873">
        <w:rPr>
          <w:rFonts w:ascii="Times New Roman" w:eastAsia="Times New Roman" w:hAnsi="Times New Roman" w:cs="Times New Roman"/>
          <w:snapToGrid w:val="0"/>
          <w:szCs w:val="24"/>
        </w:rPr>
        <w:t xml:space="preserve"> skiriant </w:t>
      </w:r>
      <w:proofErr w:type="spellStart"/>
      <w:r w:rsidRPr="00633873">
        <w:rPr>
          <w:rFonts w:ascii="Times New Roman" w:eastAsia="Times New Roman" w:hAnsi="Times New Roman" w:cs="Times New Roman"/>
          <w:snapToGrid w:val="0"/>
          <w:szCs w:val="24"/>
        </w:rPr>
        <w:t>rifampiciną</w:t>
      </w:r>
      <w:proofErr w:type="spellEnd"/>
      <w:r w:rsidRPr="00633873">
        <w:rPr>
          <w:rFonts w:ascii="Times New Roman" w:eastAsia="Times New Roman" w:hAnsi="Times New Roman" w:cs="Times New Roman"/>
          <w:snapToGrid w:val="0"/>
          <w:szCs w:val="24"/>
        </w:rPr>
        <w:t xml:space="preserve"> (organinių anijonų</w:t>
      </w:r>
      <w:r w:rsidR="00BE38AE" w:rsidRPr="00633873">
        <w:rPr>
          <w:rFonts w:ascii="Times New Roman" w:eastAsia="Times New Roman" w:hAnsi="Times New Roman" w:cs="Times New Roman"/>
          <w:snapToGrid w:val="0"/>
          <w:szCs w:val="24"/>
        </w:rPr>
        <w:t xml:space="preserve"> </w:t>
      </w:r>
      <w:proofErr w:type="spellStart"/>
      <w:r w:rsidR="00BE38AE" w:rsidRPr="00633873">
        <w:rPr>
          <w:rFonts w:ascii="Times New Roman" w:eastAsia="Times New Roman" w:hAnsi="Times New Roman" w:cs="Times New Roman"/>
          <w:snapToGrid w:val="0"/>
          <w:szCs w:val="24"/>
        </w:rPr>
        <w:t>polipeptid</w:t>
      </w:r>
      <w:r w:rsidR="00136A40" w:rsidRPr="00633873">
        <w:rPr>
          <w:rFonts w:ascii="Times New Roman" w:eastAsia="Times New Roman" w:hAnsi="Times New Roman" w:cs="Times New Roman"/>
          <w:snapToGrid w:val="0"/>
          <w:szCs w:val="24"/>
        </w:rPr>
        <w:t>ini</w:t>
      </w:r>
      <w:r w:rsidR="00BE38AE" w:rsidRPr="00633873">
        <w:rPr>
          <w:rFonts w:ascii="Times New Roman" w:eastAsia="Times New Roman" w:hAnsi="Times New Roman" w:cs="Times New Roman"/>
          <w:snapToGrid w:val="0"/>
          <w:szCs w:val="24"/>
        </w:rPr>
        <w:t>o</w:t>
      </w:r>
      <w:proofErr w:type="spellEnd"/>
      <w:r w:rsidR="00136A40" w:rsidRPr="00633873">
        <w:rPr>
          <w:rFonts w:ascii="Times New Roman" w:eastAsia="Times New Roman" w:hAnsi="Times New Roman" w:cs="Times New Roman"/>
          <w:snapToGrid w:val="0"/>
          <w:szCs w:val="24"/>
        </w:rPr>
        <w:t xml:space="preserve"> nešiklio</w:t>
      </w:r>
      <w:r w:rsidRPr="00633873">
        <w:rPr>
          <w:rFonts w:ascii="Times New Roman" w:eastAsia="Times New Roman" w:hAnsi="Times New Roman" w:cs="Times New Roman"/>
          <w:snapToGrid w:val="0"/>
          <w:szCs w:val="24"/>
        </w:rPr>
        <w:t xml:space="preserve"> </w:t>
      </w:r>
      <w:r w:rsidR="00BE38AE"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angl. </w:t>
      </w:r>
      <w:proofErr w:type="spellStart"/>
      <w:r w:rsidRPr="00633873">
        <w:rPr>
          <w:rFonts w:ascii="Times New Roman" w:eastAsia="Times New Roman" w:hAnsi="Times New Roman" w:cs="Times New Roman"/>
          <w:i/>
          <w:iCs/>
          <w:snapToGrid w:val="0"/>
          <w:szCs w:val="24"/>
        </w:rPr>
        <w:t>Organic</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Anion</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Transporting</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Polypeptide</w:t>
      </w:r>
      <w:proofErr w:type="spellEnd"/>
      <w:r w:rsidRPr="00633873">
        <w:rPr>
          <w:rFonts w:ascii="Times New Roman" w:eastAsia="Times New Roman" w:hAnsi="Times New Roman" w:cs="Times New Roman"/>
          <w:snapToGrid w:val="0"/>
          <w:szCs w:val="24"/>
        </w:rPr>
        <w:t>, OATP</w:t>
      </w:r>
      <w:r w:rsidR="00BE38AE"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inhibitorių, stiprų CYP3A ir 2C19 </w:t>
      </w:r>
      <w:proofErr w:type="spellStart"/>
      <w:r w:rsidRPr="00633873">
        <w:rPr>
          <w:rFonts w:ascii="Times New Roman" w:eastAsia="Times New Roman" w:hAnsi="Times New Roman" w:cs="Times New Roman"/>
          <w:snapToGrid w:val="0"/>
          <w:szCs w:val="24"/>
        </w:rPr>
        <w:t>induktorių</w:t>
      </w:r>
      <w:proofErr w:type="spellEnd"/>
      <w:r w:rsidRPr="00633873">
        <w:rPr>
          <w:rFonts w:ascii="Times New Roman" w:eastAsia="Times New Roman" w:hAnsi="Times New Roman" w:cs="Times New Roman"/>
          <w:snapToGrid w:val="0"/>
          <w:szCs w:val="24"/>
        </w:rPr>
        <w:t xml:space="preserve"> bei P-</w:t>
      </w:r>
      <w:proofErr w:type="spellStart"/>
      <w:r w:rsidRPr="00633873">
        <w:rPr>
          <w:rFonts w:ascii="Times New Roman" w:eastAsia="Times New Roman" w:hAnsi="Times New Roman" w:cs="Times New Roman"/>
          <w:snapToGrid w:val="0"/>
          <w:szCs w:val="24"/>
        </w:rPr>
        <w:t>gp</w:t>
      </w:r>
      <w:proofErr w:type="spellEnd"/>
      <w:r w:rsidRPr="00633873">
        <w:rPr>
          <w:rFonts w:ascii="Times New Roman" w:eastAsia="Times New Roman" w:hAnsi="Times New Roman" w:cs="Times New Roman"/>
          <w:snapToGrid w:val="0"/>
          <w:szCs w:val="24"/>
        </w:rPr>
        <w:t xml:space="preserve"> ir </w:t>
      </w:r>
      <w:proofErr w:type="spellStart"/>
      <w:r w:rsidRPr="00633873">
        <w:rPr>
          <w:rFonts w:ascii="Times New Roman" w:eastAsia="Times New Roman" w:hAnsi="Times New Roman" w:cs="Times New Roman"/>
          <w:snapToGrid w:val="0"/>
          <w:szCs w:val="24"/>
        </w:rPr>
        <w:t>uridin-difosfo-gliukuronoziltransferazių</w:t>
      </w:r>
      <w:proofErr w:type="spellEnd"/>
      <w:r w:rsidRPr="00633873">
        <w:rPr>
          <w:rFonts w:ascii="Times New Roman" w:eastAsia="Times New Roman" w:hAnsi="Times New Roman" w:cs="Times New Roman"/>
          <w:snapToGrid w:val="0"/>
          <w:szCs w:val="24"/>
        </w:rPr>
        <w:t xml:space="preserve"> </w:t>
      </w:r>
      <w:r w:rsidR="00BE38AE"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angl. </w:t>
      </w:r>
      <w:proofErr w:type="spellStart"/>
      <w:r w:rsidRPr="00633873">
        <w:rPr>
          <w:rFonts w:ascii="Times New Roman" w:eastAsia="Times New Roman" w:hAnsi="Times New Roman" w:cs="Times New Roman"/>
          <w:i/>
          <w:iCs/>
          <w:snapToGrid w:val="0"/>
          <w:lang w:eastAsia="da-DK"/>
        </w:rPr>
        <w:t>uridine-diphospho-glucuronosyltransferase</w:t>
      </w:r>
      <w:proofErr w:type="spellEnd"/>
      <w:r w:rsidRPr="00633873">
        <w:rPr>
          <w:rFonts w:ascii="Times New Roman" w:eastAsia="Times New Roman" w:hAnsi="Times New Roman" w:cs="Times New Roman"/>
          <w:snapToGrid w:val="0"/>
        </w:rPr>
        <w:t>,</w:t>
      </w:r>
      <w:r w:rsidRPr="00633873">
        <w:rPr>
          <w:rFonts w:ascii="Times New Roman" w:eastAsia="Times New Roman" w:hAnsi="Times New Roman" w:cs="Times New Roman"/>
          <w:snapToGrid w:val="0"/>
          <w:szCs w:val="24"/>
        </w:rPr>
        <w:t xml:space="preserve"> UGT</w:t>
      </w:r>
      <w:r w:rsidR="00BE38AE"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induktorių</w:t>
      </w:r>
      <w:proofErr w:type="spellEnd"/>
      <w:r w:rsidRPr="00633873">
        <w:rPr>
          <w:rFonts w:ascii="Times New Roman" w:eastAsia="Times New Roman" w:hAnsi="Times New Roman" w:cs="Times New Roman"/>
          <w:snapToGrid w:val="0"/>
          <w:szCs w:val="24"/>
        </w:rPr>
        <w:t xml:space="preserve">), po pradinės dozės paskyrimo buvo stebimas laikinas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ekspozicijos padidėjimas (maždaug 2 kartus). </w:t>
      </w:r>
      <w:r w:rsidR="00BE38AE" w:rsidRPr="00633873">
        <w:rPr>
          <w:rFonts w:ascii="Times New Roman" w:eastAsia="Times New Roman" w:hAnsi="Times New Roman" w:cs="Times New Roman"/>
          <w:snapToGrid w:val="0"/>
          <w:szCs w:val="24"/>
        </w:rPr>
        <w:t>Vis dėlto</w:t>
      </w:r>
      <w:r w:rsidRPr="00633873">
        <w:rPr>
          <w:rFonts w:ascii="Times New Roman" w:eastAsia="Times New Roman" w:hAnsi="Times New Roman" w:cs="Times New Roman"/>
          <w:snapToGrid w:val="0"/>
          <w:szCs w:val="24"/>
        </w:rPr>
        <w:t xml:space="preserve"> 8 dieną, nusistovėjus </w:t>
      </w:r>
      <w:proofErr w:type="spellStart"/>
      <w:r w:rsidRPr="00633873">
        <w:rPr>
          <w:rFonts w:ascii="Times New Roman" w:eastAsia="Times New Roman" w:hAnsi="Times New Roman" w:cs="Times New Roman"/>
          <w:snapToGrid w:val="0"/>
          <w:szCs w:val="24"/>
        </w:rPr>
        <w:t>rifampicino</w:t>
      </w:r>
      <w:proofErr w:type="spellEnd"/>
      <w:r w:rsidRPr="00633873">
        <w:rPr>
          <w:rFonts w:ascii="Times New Roman" w:eastAsia="Times New Roman" w:hAnsi="Times New Roman" w:cs="Times New Roman"/>
          <w:snapToGrid w:val="0"/>
          <w:szCs w:val="24"/>
        </w:rPr>
        <w:t xml:space="preserve"> </w:t>
      </w:r>
      <w:proofErr w:type="spellStart"/>
      <w:r w:rsidR="008E0F7A" w:rsidRPr="00633873">
        <w:rPr>
          <w:rFonts w:ascii="Times New Roman" w:eastAsia="Times New Roman" w:hAnsi="Times New Roman" w:cs="Times New Roman"/>
          <w:snapToGrid w:val="0"/>
          <w:szCs w:val="24"/>
        </w:rPr>
        <w:t>pusiausvyr</w:t>
      </w:r>
      <w:r w:rsidR="00136A40" w:rsidRPr="00633873">
        <w:rPr>
          <w:rFonts w:ascii="Times New Roman" w:eastAsia="Times New Roman" w:hAnsi="Times New Roman" w:cs="Times New Roman"/>
          <w:snapToGrid w:val="0"/>
          <w:szCs w:val="24"/>
        </w:rPr>
        <w:t>inei</w:t>
      </w:r>
      <w:proofErr w:type="spellEnd"/>
      <w:r w:rsidR="008E0F7A" w:rsidRPr="00633873">
        <w:rPr>
          <w:rFonts w:ascii="Times New Roman" w:eastAsia="Times New Roman" w:hAnsi="Times New Roman" w:cs="Times New Roman"/>
          <w:snapToGrid w:val="0"/>
          <w:szCs w:val="24"/>
        </w:rPr>
        <w:t xml:space="preserve"> </w:t>
      </w:r>
      <w:r w:rsidR="00136A40" w:rsidRPr="00633873">
        <w:rPr>
          <w:rFonts w:ascii="Times New Roman" w:eastAsia="Times New Roman" w:hAnsi="Times New Roman" w:cs="Times New Roman"/>
          <w:snapToGrid w:val="0"/>
          <w:szCs w:val="24"/>
        </w:rPr>
        <w:t>koncentracijai</w:t>
      </w:r>
      <w:r w:rsidRPr="00633873">
        <w:rPr>
          <w:rFonts w:ascii="Times New Roman" w:eastAsia="Times New Roman" w:hAnsi="Times New Roman" w:cs="Times New Roman"/>
          <w:snapToGrid w:val="0"/>
          <w:szCs w:val="24"/>
        </w:rPr>
        <w:t xml:space="preserve">, kliniškai reikšmingo poveikio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ekspozicijai nebuvo. Pacientai, kuriems yra skiriamas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turi būti atidžiai stebimi pradėjus juos gydyti </w:t>
      </w:r>
      <w:proofErr w:type="spellStart"/>
      <w:r w:rsidRPr="00633873">
        <w:rPr>
          <w:rFonts w:ascii="Times New Roman" w:eastAsia="Times New Roman" w:hAnsi="Times New Roman" w:cs="Times New Roman"/>
          <w:snapToGrid w:val="0"/>
          <w:szCs w:val="24"/>
        </w:rPr>
        <w:t>rifampicinu</w:t>
      </w:r>
      <w:proofErr w:type="spellEnd"/>
      <w:r w:rsidRPr="00633873">
        <w:rPr>
          <w:rFonts w:ascii="Times New Roman" w:eastAsia="Times New Roman" w:hAnsi="Times New Roman" w:cs="Times New Roman"/>
          <w:snapToGrid w:val="0"/>
          <w:szCs w:val="24"/>
        </w:rPr>
        <w:t xml:space="preserve"> (žr. 4.4 ir 5.2</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us).</w:t>
      </w:r>
    </w:p>
    <w:p w14:paraId="60A5C9F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3430717" w14:textId="3D758E08" w:rsidR="00A35A18" w:rsidRDefault="00A35A18" w:rsidP="00484ABB">
      <w:pPr>
        <w:keepNext/>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lastRenderedPageBreak/>
        <w:t>Fosfodiesterazės</w:t>
      </w:r>
      <w:proofErr w:type="spellEnd"/>
      <w:r w:rsidRPr="00633873">
        <w:rPr>
          <w:rFonts w:ascii="Times New Roman" w:eastAsia="Times New Roman" w:hAnsi="Times New Roman" w:cs="Times New Roman"/>
          <w:snapToGrid w:val="0"/>
          <w:szCs w:val="24"/>
          <w:u w:val="single"/>
        </w:rPr>
        <w:t xml:space="preserve"> inhibitoriai</w:t>
      </w:r>
    </w:p>
    <w:p w14:paraId="61D6A9A3" w14:textId="77777777" w:rsidR="00577297" w:rsidRPr="00633873" w:rsidRDefault="00577297" w:rsidP="00570F2A">
      <w:pPr>
        <w:keepNext/>
        <w:tabs>
          <w:tab w:val="left" w:pos="567"/>
        </w:tabs>
        <w:spacing w:after="0" w:line="260" w:lineRule="exact"/>
        <w:rPr>
          <w:rFonts w:ascii="Times New Roman" w:eastAsia="Times New Roman" w:hAnsi="Times New Roman" w:cs="Times New Roman"/>
          <w:snapToGrid w:val="0"/>
          <w:szCs w:val="24"/>
          <w:u w:val="single"/>
        </w:rPr>
      </w:pPr>
    </w:p>
    <w:p w14:paraId="4D73D3D2" w14:textId="23A8EDBD" w:rsidR="00A35A18" w:rsidRPr="00633873" w:rsidRDefault="00136A40"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Derinyje</w:t>
      </w:r>
      <w:r w:rsidR="00A35A18" w:rsidRPr="00633873">
        <w:rPr>
          <w:rFonts w:ascii="Times New Roman" w:eastAsia="Times New Roman" w:hAnsi="Times New Roman" w:cs="Times New Roman"/>
          <w:snapToGrid w:val="0"/>
          <w:szCs w:val="24"/>
        </w:rPr>
        <w:t xml:space="preserve"> su </w:t>
      </w:r>
      <w:proofErr w:type="spellStart"/>
      <w:r w:rsidR="00A35A18" w:rsidRPr="00633873">
        <w:rPr>
          <w:rFonts w:ascii="Times New Roman" w:eastAsia="Times New Roman" w:hAnsi="Times New Roman" w:cs="Times New Roman"/>
          <w:snapToGrid w:val="0"/>
          <w:szCs w:val="24"/>
        </w:rPr>
        <w:t>ambrisentanu</w:t>
      </w:r>
      <w:proofErr w:type="spellEnd"/>
      <w:r w:rsidR="00A35A18" w:rsidRPr="00633873">
        <w:rPr>
          <w:rFonts w:ascii="Times New Roman" w:eastAsia="Times New Roman" w:hAnsi="Times New Roman" w:cs="Times New Roman"/>
          <w:snapToGrid w:val="0"/>
          <w:szCs w:val="24"/>
        </w:rPr>
        <w:t xml:space="preserve"> sveikiems savanoriams skiriant </w:t>
      </w:r>
      <w:proofErr w:type="spellStart"/>
      <w:r w:rsidR="00A35A18" w:rsidRPr="00633873">
        <w:rPr>
          <w:rFonts w:ascii="Times New Roman" w:eastAsia="Times New Roman" w:hAnsi="Times New Roman" w:cs="Times New Roman"/>
          <w:snapToGrid w:val="0"/>
          <w:szCs w:val="24"/>
        </w:rPr>
        <w:t>fosfodiesterazės</w:t>
      </w:r>
      <w:proofErr w:type="spellEnd"/>
      <w:r w:rsidR="00A35A18" w:rsidRPr="00633873">
        <w:rPr>
          <w:rFonts w:ascii="Times New Roman" w:eastAsia="Times New Roman" w:hAnsi="Times New Roman" w:cs="Times New Roman"/>
          <w:snapToGrid w:val="0"/>
          <w:szCs w:val="24"/>
        </w:rPr>
        <w:t xml:space="preserve"> inhibitori</w:t>
      </w:r>
      <w:r w:rsidRPr="00633873">
        <w:rPr>
          <w:rFonts w:ascii="Times New Roman" w:eastAsia="Times New Roman" w:hAnsi="Times New Roman" w:cs="Times New Roman"/>
          <w:snapToGrid w:val="0"/>
          <w:szCs w:val="24"/>
        </w:rPr>
        <w:t>ų</w:t>
      </w:r>
      <w:r w:rsidR="00A35A18" w:rsidRPr="00633873">
        <w:rPr>
          <w:rFonts w:ascii="Times New Roman" w:eastAsia="Times New Roman" w:hAnsi="Times New Roman" w:cs="Times New Roman"/>
          <w:snapToGrid w:val="0"/>
          <w:szCs w:val="24"/>
        </w:rPr>
        <w:t xml:space="preserve"> </w:t>
      </w:r>
      <w:proofErr w:type="spellStart"/>
      <w:r w:rsidR="00A35A18" w:rsidRPr="00633873">
        <w:rPr>
          <w:rFonts w:ascii="Times New Roman" w:eastAsia="Times New Roman" w:hAnsi="Times New Roman" w:cs="Times New Roman"/>
          <w:snapToGrid w:val="0"/>
          <w:szCs w:val="24"/>
        </w:rPr>
        <w:t>sildenafilį</w:t>
      </w:r>
      <w:proofErr w:type="spellEnd"/>
      <w:r w:rsidR="00A35A18" w:rsidRPr="00633873">
        <w:rPr>
          <w:rFonts w:ascii="Times New Roman" w:eastAsia="Times New Roman" w:hAnsi="Times New Roman" w:cs="Times New Roman"/>
          <w:snapToGrid w:val="0"/>
          <w:szCs w:val="24"/>
        </w:rPr>
        <w:t xml:space="preserve"> ar </w:t>
      </w:r>
      <w:proofErr w:type="spellStart"/>
      <w:r w:rsidR="00A35A18" w:rsidRPr="00633873">
        <w:rPr>
          <w:rFonts w:ascii="Times New Roman" w:eastAsia="Times New Roman" w:hAnsi="Times New Roman" w:cs="Times New Roman"/>
          <w:snapToGrid w:val="0"/>
          <w:szCs w:val="24"/>
        </w:rPr>
        <w:t>tadalafilį</w:t>
      </w:r>
      <w:proofErr w:type="spellEnd"/>
      <w:r w:rsidR="00A35A18" w:rsidRPr="00633873">
        <w:rPr>
          <w:rFonts w:ascii="Times New Roman" w:eastAsia="Times New Roman" w:hAnsi="Times New Roman" w:cs="Times New Roman"/>
          <w:snapToGrid w:val="0"/>
          <w:szCs w:val="24"/>
        </w:rPr>
        <w:t xml:space="preserve"> (abu yra CYP3A4 substratai), </w:t>
      </w:r>
      <w:proofErr w:type="spellStart"/>
      <w:r w:rsidR="00A35A18" w:rsidRPr="00633873">
        <w:rPr>
          <w:rFonts w:ascii="Times New Roman" w:eastAsia="Times New Roman" w:hAnsi="Times New Roman" w:cs="Times New Roman"/>
          <w:snapToGrid w:val="0"/>
          <w:szCs w:val="24"/>
        </w:rPr>
        <w:t>fosfodiesterazės</w:t>
      </w:r>
      <w:proofErr w:type="spellEnd"/>
      <w:r w:rsidR="00A35A18" w:rsidRPr="00633873">
        <w:rPr>
          <w:rFonts w:ascii="Times New Roman" w:eastAsia="Times New Roman" w:hAnsi="Times New Roman" w:cs="Times New Roman"/>
          <w:snapToGrid w:val="0"/>
          <w:szCs w:val="24"/>
        </w:rPr>
        <w:t xml:space="preserve"> inhibitorių</w:t>
      </w:r>
      <w:r w:rsidR="00BE38AE" w:rsidRPr="00633873">
        <w:rPr>
          <w:rFonts w:ascii="Times New Roman" w:eastAsia="Times New Roman" w:hAnsi="Times New Roman" w:cs="Times New Roman"/>
          <w:snapToGrid w:val="0"/>
          <w:szCs w:val="24"/>
        </w:rPr>
        <w:t xml:space="preserve"> ar</w:t>
      </w:r>
      <w:r w:rsidR="00A35A18" w:rsidRPr="00633873">
        <w:rPr>
          <w:rFonts w:ascii="Times New Roman" w:eastAsia="Times New Roman" w:hAnsi="Times New Roman" w:cs="Times New Roman"/>
          <w:snapToGrid w:val="0"/>
          <w:szCs w:val="24"/>
        </w:rPr>
        <w:t xml:space="preserve"> </w:t>
      </w:r>
      <w:proofErr w:type="spellStart"/>
      <w:r w:rsidR="00A35A18" w:rsidRPr="00633873">
        <w:rPr>
          <w:rFonts w:ascii="Times New Roman" w:eastAsia="Times New Roman" w:hAnsi="Times New Roman" w:cs="Times New Roman"/>
          <w:snapToGrid w:val="0"/>
          <w:szCs w:val="24"/>
        </w:rPr>
        <w:t>ambrisentano</w:t>
      </w:r>
      <w:proofErr w:type="spellEnd"/>
      <w:r w:rsidR="00A35A18" w:rsidRPr="00633873">
        <w:rPr>
          <w:rFonts w:ascii="Times New Roman" w:eastAsia="Times New Roman" w:hAnsi="Times New Roman" w:cs="Times New Roman"/>
          <w:snapToGrid w:val="0"/>
          <w:szCs w:val="24"/>
        </w:rPr>
        <w:t xml:space="preserve"> farmakokinetika reikšmingai nepakito (žr. 5.2</w:t>
      </w:r>
      <w:r w:rsidR="002D3ECE" w:rsidRPr="00633873">
        <w:rPr>
          <w:rFonts w:ascii="Times New Roman" w:eastAsia="Times New Roman" w:hAnsi="Times New Roman" w:cs="Times New Roman"/>
          <w:snapToGrid w:val="0"/>
          <w:szCs w:val="24"/>
        </w:rPr>
        <w:t> skyri</w:t>
      </w:r>
      <w:r w:rsidR="00A35A18" w:rsidRPr="00633873">
        <w:rPr>
          <w:rFonts w:ascii="Times New Roman" w:eastAsia="Times New Roman" w:hAnsi="Times New Roman" w:cs="Times New Roman"/>
          <w:snapToGrid w:val="0"/>
          <w:szCs w:val="24"/>
        </w:rPr>
        <w:t>ų).</w:t>
      </w:r>
    </w:p>
    <w:p w14:paraId="6F9210A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195D00D" w14:textId="42CEEEBA"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Kiti vaistiniai preparatai, skiriami PH gydyti</w:t>
      </w:r>
    </w:p>
    <w:p w14:paraId="17A9266C"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7B5B6673" w14:textId="3E23CEAC"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Kontroliuojamųjų klinikinių tyrimų metu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vartojamo </w:t>
      </w:r>
      <w:r w:rsidR="00136A40" w:rsidRPr="00633873">
        <w:rPr>
          <w:rFonts w:ascii="Times New Roman" w:eastAsia="Times New Roman" w:hAnsi="Times New Roman" w:cs="Times New Roman"/>
          <w:snapToGrid w:val="0"/>
          <w:szCs w:val="24"/>
        </w:rPr>
        <w:t>derinyje</w:t>
      </w:r>
      <w:r w:rsidR="0045177F" w:rsidRPr="00633873">
        <w:rPr>
          <w:rFonts w:ascii="Times New Roman" w:eastAsia="Times New Roman" w:hAnsi="Times New Roman" w:cs="Times New Roman"/>
          <w:snapToGrid w:val="0"/>
          <w:szCs w:val="24"/>
        </w:rPr>
        <w:t xml:space="preserve"> su </w:t>
      </w:r>
      <w:r w:rsidRPr="00633873">
        <w:rPr>
          <w:rFonts w:ascii="Times New Roman" w:eastAsia="Times New Roman" w:hAnsi="Times New Roman" w:cs="Times New Roman"/>
          <w:snapToGrid w:val="0"/>
          <w:szCs w:val="24"/>
        </w:rPr>
        <w:t xml:space="preserve">kitais vaistiniais preparatais, kurie skiriami PH gydyti (pvz., </w:t>
      </w:r>
      <w:proofErr w:type="spellStart"/>
      <w:r w:rsidRPr="00633873">
        <w:rPr>
          <w:rFonts w:ascii="Times New Roman" w:eastAsia="Times New Roman" w:hAnsi="Times New Roman" w:cs="Times New Roman"/>
          <w:snapToGrid w:val="0"/>
          <w:szCs w:val="24"/>
        </w:rPr>
        <w:t>prostanoidais</w:t>
      </w:r>
      <w:proofErr w:type="spellEnd"/>
      <w:r w:rsidRPr="00633873">
        <w:rPr>
          <w:rFonts w:ascii="Times New Roman" w:eastAsia="Times New Roman" w:hAnsi="Times New Roman" w:cs="Times New Roman"/>
          <w:snapToGrid w:val="0"/>
          <w:szCs w:val="24"/>
        </w:rPr>
        <w:t xml:space="preserve"> ir tirpiaisiais </w:t>
      </w:r>
      <w:proofErr w:type="spellStart"/>
      <w:r w:rsidRPr="00633873">
        <w:rPr>
          <w:rFonts w:ascii="Times New Roman" w:eastAsia="Times New Roman" w:hAnsi="Times New Roman" w:cs="Times New Roman"/>
          <w:snapToGrid w:val="0"/>
          <w:szCs w:val="24"/>
        </w:rPr>
        <w:t>guanilatciklazę</w:t>
      </w:r>
      <w:proofErr w:type="spellEnd"/>
      <w:r w:rsidRPr="00633873">
        <w:rPr>
          <w:rFonts w:ascii="Times New Roman" w:eastAsia="Times New Roman" w:hAnsi="Times New Roman" w:cs="Times New Roman"/>
          <w:snapToGrid w:val="0"/>
          <w:szCs w:val="24"/>
        </w:rPr>
        <w:t xml:space="preserve"> aktyvinančiais vaistiniais preparatais), veiksmingumas ir saugumas PH sergantiems pacientams </w:t>
      </w:r>
      <w:r w:rsidR="00BE38AE" w:rsidRPr="00633873">
        <w:rPr>
          <w:rFonts w:ascii="Times New Roman" w:eastAsia="Times New Roman" w:hAnsi="Times New Roman" w:cs="Times New Roman"/>
          <w:snapToGrid w:val="0"/>
          <w:szCs w:val="24"/>
        </w:rPr>
        <w:t>specifiškai</w:t>
      </w:r>
      <w:r w:rsidRPr="00633873">
        <w:rPr>
          <w:rFonts w:ascii="Times New Roman" w:eastAsia="Times New Roman" w:hAnsi="Times New Roman" w:cs="Times New Roman"/>
          <w:snapToGrid w:val="0"/>
          <w:szCs w:val="24"/>
        </w:rPr>
        <w:t xml:space="preserve"> tirtas nebuvo (žr. 5.1</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 xml:space="preserve">ų). Atsižvelgiant į žinomus </w:t>
      </w:r>
      <w:proofErr w:type="spellStart"/>
      <w:r w:rsidRPr="00633873">
        <w:rPr>
          <w:rFonts w:ascii="Times New Roman" w:eastAsia="Times New Roman" w:hAnsi="Times New Roman" w:cs="Times New Roman"/>
          <w:snapToGrid w:val="0"/>
          <w:szCs w:val="24"/>
        </w:rPr>
        <w:t>biotransformacijos</w:t>
      </w:r>
      <w:proofErr w:type="spellEnd"/>
      <w:r w:rsidRPr="00633873">
        <w:rPr>
          <w:rFonts w:ascii="Times New Roman" w:eastAsia="Times New Roman" w:hAnsi="Times New Roman" w:cs="Times New Roman"/>
          <w:snapToGrid w:val="0"/>
          <w:szCs w:val="24"/>
        </w:rPr>
        <w:t xml:space="preserve"> duomenis, specifinės</w:t>
      </w:r>
      <w:r w:rsidR="00E160F9" w:rsidRPr="00633873">
        <w:rPr>
          <w:rFonts w:ascii="Times New Roman" w:eastAsia="Times New Roman" w:hAnsi="Times New Roman" w:cs="Times New Roman"/>
          <w:snapToGrid w:val="0"/>
          <w:szCs w:val="24"/>
        </w:rPr>
        <w:t xml:space="preserve"> </w:t>
      </w:r>
      <w:proofErr w:type="spellStart"/>
      <w:r w:rsidR="00E160F9" w:rsidRPr="00633873">
        <w:rPr>
          <w:rFonts w:ascii="Times New Roman" w:eastAsia="Times New Roman" w:hAnsi="Times New Roman" w:cs="Times New Roman"/>
          <w:snapToGrid w:val="0"/>
          <w:szCs w:val="24"/>
        </w:rPr>
        <w:t>ambrisentano</w:t>
      </w:r>
      <w:proofErr w:type="spellEnd"/>
      <w:r w:rsidR="00E160F9" w:rsidRPr="00633873">
        <w:rPr>
          <w:rFonts w:ascii="Times New Roman" w:eastAsia="Times New Roman" w:hAnsi="Times New Roman" w:cs="Times New Roman"/>
          <w:snapToGrid w:val="0"/>
          <w:szCs w:val="24"/>
        </w:rPr>
        <w:t xml:space="preserve"> ir </w:t>
      </w:r>
      <w:r w:rsidRPr="00633873">
        <w:rPr>
          <w:rFonts w:ascii="Times New Roman" w:eastAsia="Times New Roman" w:hAnsi="Times New Roman" w:cs="Times New Roman"/>
          <w:snapToGrid w:val="0"/>
          <w:szCs w:val="24"/>
        </w:rPr>
        <w:t>tirpi</w:t>
      </w:r>
      <w:r w:rsidR="00E160F9" w:rsidRPr="00633873">
        <w:rPr>
          <w:rFonts w:ascii="Times New Roman" w:eastAsia="Times New Roman" w:hAnsi="Times New Roman" w:cs="Times New Roman"/>
          <w:snapToGrid w:val="0"/>
          <w:szCs w:val="24"/>
        </w:rPr>
        <w:t>ų</w:t>
      </w:r>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guanilatciklaz</w:t>
      </w:r>
      <w:r w:rsidR="00E160F9" w:rsidRPr="00633873">
        <w:rPr>
          <w:rFonts w:ascii="Times New Roman" w:eastAsia="Times New Roman" w:hAnsi="Times New Roman" w:cs="Times New Roman"/>
          <w:snapToGrid w:val="0"/>
          <w:szCs w:val="24"/>
        </w:rPr>
        <w:t>ę</w:t>
      </w:r>
      <w:proofErr w:type="spellEnd"/>
      <w:r w:rsidRPr="00633873">
        <w:rPr>
          <w:rFonts w:ascii="Times New Roman" w:eastAsia="Times New Roman" w:hAnsi="Times New Roman" w:cs="Times New Roman"/>
          <w:snapToGrid w:val="0"/>
          <w:szCs w:val="24"/>
        </w:rPr>
        <w:t xml:space="preserve"> aktyvinanči</w:t>
      </w:r>
      <w:r w:rsidR="00E160F9" w:rsidRPr="00633873">
        <w:rPr>
          <w:rFonts w:ascii="Times New Roman" w:eastAsia="Times New Roman" w:hAnsi="Times New Roman" w:cs="Times New Roman"/>
          <w:snapToGrid w:val="0"/>
          <w:szCs w:val="24"/>
        </w:rPr>
        <w:t>ų</w:t>
      </w:r>
      <w:r w:rsidRPr="00633873">
        <w:rPr>
          <w:rFonts w:ascii="Times New Roman" w:eastAsia="Times New Roman" w:hAnsi="Times New Roman" w:cs="Times New Roman"/>
          <w:snapToGrid w:val="0"/>
          <w:szCs w:val="24"/>
        </w:rPr>
        <w:t xml:space="preserve"> vaistini</w:t>
      </w:r>
      <w:r w:rsidR="00E160F9" w:rsidRPr="00633873">
        <w:rPr>
          <w:rFonts w:ascii="Times New Roman" w:eastAsia="Times New Roman" w:hAnsi="Times New Roman" w:cs="Times New Roman"/>
          <w:snapToGrid w:val="0"/>
          <w:szCs w:val="24"/>
        </w:rPr>
        <w:t>ų</w:t>
      </w:r>
      <w:r w:rsidRPr="00633873">
        <w:rPr>
          <w:rFonts w:ascii="Times New Roman" w:eastAsia="Times New Roman" w:hAnsi="Times New Roman" w:cs="Times New Roman"/>
          <w:snapToGrid w:val="0"/>
          <w:szCs w:val="24"/>
        </w:rPr>
        <w:t xml:space="preserve"> preparat</w:t>
      </w:r>
      <w:r w:rsidR="00E160F9" w:rsidRPr="00633873">
        <w:rPr>
          <w:rFonts w:ascii="Times New Roman" w:eastAsia="Times New Roman" w:hAnsi="Times New Roman" w:cs="Times New Roman"/>
          <w:snapToGrid w:val="0"/>
          <w:szCs w:val="24"/>
        </w:rPr>
        <w:t>ų</w:t>
      </w:r>
      <w:r w:rsidRPr="00633873">
        <w:rPr>
          <w:rFonts w:ascii="Times New Roman" w:eastAsia="Times New Roman" w:hAnsi="Times New Roman" w:cs="Times New Roman"/>
          <w:snapToGrid w:val="0"/>
          <w:szCs w:val="24"/>
        </w:rPr>
        <w:t xml:space="preserve"> ar </w:t>
      </w:r>
      <w:proofErr w:type="spellStart"/>
      <w:r w:rsidRPr="00633873">
        <w:rPr>
          <w:rFonts w:ascii="Times New Roman" w:eastAsia="Times New Roman" w:hAnsi="Times New Roman" w:cs="Times New Roman"/>
          <w:snapToGrid w:val="0"/>
          <w:szCs w:val="24"/>
        </w:rPr>
        <w:t>prostanoid</w:t>
      </w:r>
      <w:r w:rsidR="00E160F9" w:rsidRPr="00633873">
        <w:rPr>
          <w:rFonts w:ascii="Times New Roman" w:eastAsia="Times New Roman" w:hAnsi="Times New Roman" w:cs="Times New Roman"/>
          <w:snapToGrid w:val="0"/>
          <w:szCs w:val="24"/>
        </w:rPr>
        <w:t>ų</w:t>
      </w:r>
      <w:proofErr w:type="spellEnd"/>
      <w:r w:rsidR="00E160F9" w:rsidRPr="00633873">
        <w:rPr>
          <w:rFonts w:ascii="Times New Roman" w:eastAsia="Times New Roman" w:hAnsi="Times New Roman" w:cs="Times New Roman"/>
          <w:snapToGrid w:val="0"/>
          <w:szCs w:val="24"/>
        </w:rPr>
        <w:t xml:space="preserve"> sąveikos</w:t>
      </w:r>
      <w:r w:rsidRPr="00633873">
        <w:rPr>
          <w:rFonts w:ascii="Times New Roman" w:eastAsia="Times New Roman" w:hAnsi="Times New Roman" w:cs="Times New Roman"/>
          <w:snapToGrid w:val="0"/>
          <w:szCs w:val="24"/>
        </w:rPr>
        <w:t xml:space="preserve"> nesitikima (žr. 5.2</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 xml:space="preserve">ų). Vis dėlto </w:t>
      </w:r>
      <w:r w:rsidR="00BE38AE" w:rsidRPr="00633873">
        <w:rPr>
          <w:rFonts w:ascii="Times New Roman" w:eastAsia="Times New Roman" w:hAnsi="Times New Roman" w:cs="Times New Roman"/>
          <w:snapToGrid w:val="0"/>
          <w:szCs w:val="24"/>
        </w:rPr>
        <w:t>specifinių</w:t>
      </w:r>
      <w:r w:rsidRPr="00633873">
        <w:rPr>
          <w:rFonts w:ascii="Times New Roman" w:eastAsia="Times New Roman" w:hAnsi="Times New Roman" w:cs="Times New Roman"/>
          <w:snapToGrid w:val="0"/>
          <w:szCs w:val="24"/>
        </w:rPr>
        <w:t xml:space="preserve"> sąveikos tyrimų su </w:t>
      </w:r>
      <w:r w:rsidR="00BE38AE" w:rsidRPr="00633873">
        <w:rPr>
          <w:rFonts w:ascii="Times New Roman" w:eastAsia="Times New Roman" w:hAnsi="Times New Roman" w:cs="Times New Roman"/>
          <w:snapToGrid w:val="0"/>
          <w:szCs w:val="24"/>
        </w:rPr>
        <w:t>šiais vaistiniais preparatais</w:t>
      </w:r>
      <w:r w:rsidRPr="00633873">
        <w:rPr>
          <w:rFonts w:ascii="Times New Roman" w:eastAsia="Times New Roman" w:hAnsi="Times New Roman" w:cs="Times New Roman"/>
          <w:snapToGrid w:val="0"/>
          <w:szCs w:val="24"/>
        </w:rPr>
        <w:t xml:space="preserve"> neatlikta. Todėl</w:t>
      </w:r>
      <w:r w:rsidR="00BE38AE" w:rsidRPr="00633873">
        <w:rPr>
          <w:rFonts w:ascii="Times New Roman" w:eastAsia="Times New Roman" w:hAnsi="Times New Roman" w:cs="Times New Roman"/>
          <w:snapToGrid w:val="0"/>
          <w:szCs w:val="24"/>
        </w:rPr>
        <w:t xml:space="preserve"> gydymo</w:t>
      </w:r>
      <w:r w:rsidRPr="00633873">
        <w:rPr>
          <w:rFonts w:ascii="Times New Roman" w:eastAsia="Times New Roman" w:hAnsi="Times New Roman" w:cs="Times New Roman"/>
          <w:snapToGrid w:val="0"/>
          <w:szCs w:val="24"/>
        </w:rPr>
        <w:t xml:space="preserve"> </w:t>
      </w:r>
      <w:r w:rsidR="00385ED6" w:rsidRPr="00633873">
        <w:rPr>
          <w:rFonts w:ascii="Times New Roman" w:eastAsia="Times New Roman" w:hAnsi="Times New Roman" w:cs="Times New Roman"/>
          <w:snapToGrid w:val="0"/>
          <w:szCs w:val="24"/>
        </w:rPr>
        <w:t xml:space="preserve">derinyje </w:t>
      </w:r>
      <w:r w:rsidRPr="00633873">
        <w:rPr>
          <w:rFonts w:ascii="Times New Roman" w:eastAsia="Times New Roman" w:hAnsi="Times New Roman" w:cs="Times New Roman"/>
          <w:snapToGrid w:val="0"/>
          <w:szCs w:val="24"/>
        </w:rPr>
        <w:t>atvejais gydyti rekomenduojama atsargiai.</w:t>
      </w:r>
    </w:p>
    <w:p w14:paraId="7C7640E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FA523A7" w14:textId="4CE416D7"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Geriamieji kontraceptikai</w:t>
      </w:r>
    </w:p>
    <w:p w14:paraId="654D1CE8"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5D55A4FE" w14:textId="264DE832"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Klinikinio tyrimo su sveikomis savanorėmis duomenimis,  vartojant 10 mg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dozę </w:t>
      </w:r>
      <w:r w:rsidR="00D8128A" w:rsidRPr="00633873">
        <w:rPr>
          <w:rFonts w:ascii="Times New Roman" w:eastAsia="Times New Roman" w:hAnsi="Times New Roman" w:cs="Times New Roman"/>
          <w:snapToGrid w:val="0"/>
          <w:szCs w:val="24"/>
        </w:rPr>
        <w:t xml:space="preserve">vieną </w:t>
      </w:r>
      <w:r w:rsidRPr="00633873">
        <w:rPr>
          <w:rFonts w:ascii="Times New Roman" w:eastAsia="Times New Roman" w:hAnsi="Times New Roman" w:cs="Times New Roman"/>
          <w:snapToGrid w:val="0"/>
          <w:szCs w:val="24"/>
        </w:rPr>
        <w:t>kartą per parą,</w:t>
      </w:r>
      <w:r w:rsidR="00927661" w:rsidRPr="00633873">
        <w:rPr>
          <w:rFonts w:ascii="Times New Roman" w:eastAsia="Times New Roman" w:hAnsi="Times New Roman" w:cs="Times New Roman"/>
          <w:snapToGrid w:val="0"/>
          <w:szCs w:val="24"/>
        </w:rPr>
        <w:t xml:space="preserve"> nusistovėjus </w:t>
      </w:r>
      <w:proofErr w:type="spellStart"/>
      <w:r w:rsidR="00927661" w:rsidRPr="00633873">
        <w:rPr>
          <w:rFonts w:ascii="Times New Roman" w:eastAsia="Times New Roman" w:hAnsi="Times New Roman" w:cs="Times New Roman"/>
          <w:snapToGrid w:val="0"/>
          <w:szCs w:val="24"/>
        </w:rPr>
        <w:t>pusiausvyrinei</w:t>
      </w:r>
      <w:proofErr w:type="spellEnd"/>
      <w:r w:rsidR="00927661" w:rsidRPr="00633873">
        <w:rPr>
          <w:rFonts w:ascii="Times New Roman" w:eastAsia="Times New Roman" w:hAnsi="Times New Roman" w:cs="Times New Roman"/>
          <w:snapToGrid w:val="0"/>
          <w:szCs w:val="24"/>
        </w:rPr>
        <w:t xml:space="preserve"> </w:t>
      </w:r>
      <w:proofErr w:type="spellStart"/>
      <w:r w:rsidR="00927661" w:rsidRPr="00633873">
        <w:rPr>
          <w:rFonts w:ascii="Times New Roman" w:eastAsia="Times New Roman" w:hAnsi="Times New Roman" w:cs="Times New Roman"/>
          <w:snapToGrid w:val="0"/>
          <w:szCs w:val="24"/>
        </w:rPr>
        <w:t>ambrisentano</w:t>
      </w:r>
      <w:proofErr w:type="spellEnd"/>
      <w:r w:rsidR="00927661" w:rsidRPr="00633873">
        <w:rPr>
          <w:rFonts w:ascii="Times New Roman" w:eastAsia="Times New Roman" w:hAnsi="Times New Roman" w:cs="Times New Roman"/>
          <w:snapToGrid w:val="0"/>
          <w:szCs w:val="24"/>
        </w:rPr>
        <w:t xml:space="preserve"> koncentracijai,</w:t>
      </w:r>
      <w:r w:rsidRPr="00633873">
        <w:rPr>
          <w:rFonts w:ascii="Times New Roman" w:eastAsia="Times New Roman" w:hAnsi="Times New Roman" w:cs="Times New Roman"/>
          <w:snapToGrid w:val="0"/>
          <w:szCs w:val="24"/>
        </w:rPr>
        <w:t xml:space="preserve"> kliniškai reikšmingo poveikio geriamojo sudėtinio kontraceptiko sudėtyje esančių </w:t>
      </w:r>
      <w:proofErr w:type="spellStart"/>
      <w:r w:rsidRPr="00633873">
        <w:rPr>
          <w:rFonts w:ascii="Times New Roman" w:eastAsia="Times New Roman" w:hAnsi="Times New Roman" w:cs="Times New Roman"/>
          <w:snapToGrid w:val="0"/>
          <w:szCs w:val="24"/>
        </w:rPr>
        <w:t>etinilestradiolio</w:t>
      </w:r>
      <w:proofErr w:type="spellEnd"/>
      <w:r w:rsidRPr="00633873">
        <w:rPr>
          <w:rFonts w:ascii="Times New Roman" w:eastAsia="Times New Roman" w:hAnsi="Times New Roman" w:cs="Times New Roman"/>
          <w:snapToGrid w:val="0"/>
          <w:szCs w:val="24"/>
        </w:rPr>
        <w:t xml:space="preserve"> ir </w:t>
      </w:r>
      <w:proofErr w:type="spellStart"/>
      <w:r w:rsidRPr="00633873">
        <w:rPr>
          <w:rFonts w:ascii="Times New Roman" w:eastAsia="Times New Roman" w:hAnsi="Times New Roman" w:cs="Times New Roman"/>
          <w:snapToGrid w:val="0"/>
          <w:szCs w:val="24"/>
        </w:rPr>
        <w:t>noretindrono</w:t>
      </w:r>
      <w:proofErr w:type="spellEnd"/>
      <w:r w:rsidRPr="00633873">
        <w:rPr>
          <w:rFonts w:ascii="Times New Roman" w:eastAsia="Times New Roman" w:hAnsi="Times New Roman" w:cs="Times New Roman"/>
          <w:snapToGrid w:val="0"/>
          <w:szCs w:val="24"/>
        </w:rPr>
        <w:t xml:space="preserve"> vienkartinių dozių farmakokinetikai nebuvo (žr. 5.2</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 xml:space="preserve">ų). Remiantis šiuo farmakokinetikos tyrimu, nesitikima, kad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reikšmingai veiktų kontraceptikų, kurių sudėtyje yra estrogenas ar </w:t>
      </w:r>
      <w:proofErr w:type="spellStart"/>
      <w:r w:rsidRPr="00633873">
        <w:rPr>
          <w:rFonts w:ascii="Times New Roman" w:eastAsia="Times New Roman" w:hAnsi="Times New Roman" w:cs="Times New Roman"/>
          <w:snapToGrid w:val="0"/>
          <w:szCs w:val="24"/>
        </w:rPr>
        <w:t>progestogenas</w:t>
      </w:r>
      <w:proofErr w:type="spellEnd"/>
      <w:r w:rsidRPr="00633873">
        <w:rPr>
          <w:rFonts w:ascii="Times New Roman" w:eastAsia="Times New Roman" w:hAnsi="Times New Roman" w:cs="Times New Roman"/>
          <w:snapToGrid w:val="0"/>
          <w:szCs w:val="24"/>
        </w:rPr>
        <w:t>, ekspoziciją.</w:t>
      </w:r>
    </w:p>
    <w:p w14:paraId="39A7909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C63F043" w14:textId="6F73F57B"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Varfarinas</w:t>
      </w:r>
    </w:p>
    <w:p w14:paraId="4E9D6F10"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510525A3" w14:textId="232E17FB"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Atliekant tyrimą su sveikais savanoriais, nustatyta, kad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nusistovėjus </w:t>
      </w:r>
      <w:proofErr w:type="spellStart"/>
      <w:r w:rsidR="008E0F7A" w:rsidRPr="00633873">
        <w:rPr>
          <w:rFonts w:ascii="Times New Roman" w:eastAsia="Times New Roman" w:hAnsi="Times New Roman" w:cs="Times New Roman"/>
          <w:snapToGrid w:val="0"/>
          <w:szCs w:val="24"/>
        </w:rPr>
        <w:t>pusiausvyr</w:t>
      </w:r>
      <w:r w:rsidR="00927661" w:rsidRPr="00633873">
        <w:rPr>
          <w:rFonts w:ascii="Times New Roman" w:eastAsia="Times New Roman" w:hAnsi="Times New Roman" w:cs="Times New Roman"/>
          <w:snapToGrid w:val="0"/>
          <w:szCs w:val="24"/>
        </w:rPr>
        <w:t>inei</w:t>
      </w:r>
      <w:proofErr w:type="spellEnd"/>
      <w:r w:rsidR="008E0F7A" w:rsidRPr="00633873">
        <w:rPr>
          <w:rFonts w:ascii="Times New Roman" w:eastAsia="Times New Roman" w:hAnsi="Times New Roman" w:cs="Times New Roman"/>
          <w:snapToGrid w:val="0"/>
          <w:szCs w:val="24"/>
        </w:rPr>
        <w:t xml:space="preserve"> </w:t>
      </w:r>
      <w:r w:rsidR="00927661" w:rsidRPr="00633873">
        <w:rPr>
          <w:rFonts w:ascii="Times New Roman" w:eastAsia="Times New Roman" w:hAnsi="Times New Roman" w:cs="Times New Roman"/>
          <w:snapToGrid w:val="0"/>
          <w:szCs w:val="24"/>
        </w:rPr>
        <w:t>varfarino koncentracijai</w:t>
      </w:r>
      <w:r w:rsidRPr="00633873">
        <w:rPr>
          <w:rFonts w:ascii="Times New Roman" w:eastAsia="Times New Roman" w:hAnsi="Times New Roman" w:cs="Times New Roman"/>
          <w:snapToGrid w:val="0"/>
          <w:szCs w:val="24"/>
        </w:rPr>
        <w:t xml:space="preserve">, nedaro poveikio varfarino farmakokinetikai ir </w:t>
      </w:r>
      <w:proofErr w:type="spellStart"/>
      <w:r w:rsidRPr="00633873">
        <w:rPr>
          <w:rFonts w:ascii="Times New Roman" w:eastAsia="Times New Roman" w:hAnsi="Times New Roman" w:cs="Times New Roman"/>
          <w:snapToGrid w:val="0"/>
          <w:szCs w:val="24"/>
        </w:rPr>
        <w:t>antikoaguliaciniam</w:t>
      </w:r>
      <w:proofErr w:type="spellEnd"/>
      <w:r w:rsidRPr="00633873">
        <w:rPr>
          <w:rFonts w:ascii="Times New Roman" w:eastAsia="Times New Roman" w:hAnsi="Times New Roman" w:cs="Times New Roman"/>
          <w:snapToGrid w:val="0"/>
          <w:szCs w:val="24"/>
        </w:rPr>
        <w:t xml:space="preserve"> poveikiui (žr. 5.2</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 xml:space="preserve">ų). Varfarinas taip pat nedaro kliniškai reikšmingo poveikio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farmakokinetikai. Be to,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apskritai neturi įtakos savaitinei varfarino tipo antikoaguliantų dozei,</w:t>
      </w:r>
      <w:r w:rsidR="00D8128A"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protrombino</w:t>
      </w:r>
      <w:proofErr w:type="spellEnd"/>
      <w:r w:rsidRPr="00633873">
        <w:rPr>
          <w:rFonts w:ascii="Times New Roman" w:eastAsia="Times New Roman" w:hAnsi="Times New Roman" w:cs="Times New Roman"/>
          <w:snapToGrid w:val="0"/>
          <w:szCs w:val="24"/>
        </w:rPr>
        <w:t xml:space="preserve"> laikui (PL) ir tarptautiniam normalizuotajam santykiui (TNS).</w:t>
      </w:r>
    </w:p>
    <w:p w14:paraId="4D81BC4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51FBB85" w14:textId="79ABE08D"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Ketokonazolas</w:t>
      </w:r>
      <w:proofErr w:type="spellEnd"/>
    </w:p>
    <w:p w14:paraId="51D2840C"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2D698FBF" w14:textId="28F1440B" w:rsidR="00A35A18" w:rsidRPr="00633873" w:rsidRDefault="002322D0"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V</w:t>
      </w:r>
      <w:r w:rsidR="00A35A18" w:rsidRPr="00633873">
        <w:rPr>
          <w:rFonts w:ascii="Times New Roman" w:eastAsia="Times New Roman" w:hAnsi="Times New Roman" w:cs="Times New Roman"/>
          <w:snapToGrid w:val="0"/>
          <w:szCs w:val="24"/>
        </w:rPr>
        <w:t xml:space="preserve">artojant </w:t>
      </w:r>
      <w:proofErr w:type="spellStart"/>
      <w:r w:rsidR="00A35A18" w:rsidRPr="00633873">
        <w:rPr>
          <w:rFonts w:ascii="Times New Roman" w:eastAsia="Times New Roman" w:hAnsi="Times New Roman" w:cs="Times New Roman"/>
          <w:snapToGrid w:val="0"/>
          <w:szCs w:val="24"/>
        </w:rPr>
        <w:t>ketokonazolą</w:t>
      </w:r>
      <w:proofErr w:type="spellEnd"/>
      <w:r w:rsidR="00A35A18" w:rsidRPr="00633873">
        <w:rPr>
          <w:rFonts w:ascii="Times New Roman" w:eastAsia="Times New Roman" w:hAnsi="Times New Roman" w:cs="Times New Roman"/>
          <w:snapToGrid w:val="0"/>
          <w:szCs w:val="24"/>
        </w:rPr>
        <w:t xml:space="preserve"> (stipraus poveikio CYP3A4 inhibitori</w:t>
      </w:r>
      <w:r w:rsidRPr="00633873">
        <w:rPr>
          <w:rFonts w:ascii="Times New Roman" w:eastAsia="Times New Roman" w:hAnsi="Times New Roman" w:cs="Times New Roman"/>
          <w:snapToGrid w:val="0"/>
          <w:szCs w:val="24"/>
        </w:rPr>
        <w:t>ų</w:t>
      </w:r>
      <w:r w:rsidR="00A35A18"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 xml:space="preserve">nusistovėjus jo </w:t>
      </w:r>
      <w:proofErr w:type="spellStart"/>
      <w:r w:rsidRPr="00633873">
        <w:rPr>
          <w:rFonts w:ascii="Times New Roman" w:eastAsia="Times New Roman" w:hAnsi="Times New Roman" w:cs="Times New Roman"/>
          <w:snapToGrid w:val="0"/>
          <w:szCs w:val="24"/>
        </w:rPr>
        <w:t>pusiausvyrinei</w:t>
      </w:r>
      <w:proofErr w:type="spellEnd"/>
      <w:r w:rsidRPr="00633873">
        <w:rPr>
          <w:rFonts w:ascii="Times New Roman" w:eastAsia="Times New Roman" w:hAnsi="Times New Roman" w:cs="Times New Roman"/>
          <w:snapToGrid w:val="0"/>
          <w:szCs w:val="24"/>
        </w:rPr>
        <w:t xml:space="preserve"> koncentracijai, </w:t>
      </w:r>
      <w:proofErr w:type="spellStart"/>
      <w:r w:rsidR="00A35A18" w:rsidRPr="00633873">
        <w:rPr>
          <w:rFonts w:ascii="Times New Roman" w:eastAsia="Times New Roman" w:hAnsi="Times New Roman" w:cs="Times New Roman"/>
          <w:snapToGrid w:val="0"/>
          <w:szCs w:val="24"/>
        </w:rPr>
        <w:t>ambrisentano</w:t>
      </w:r>
      <w:proofErr w:type="spellEnd"/>
      <w:r w:rsidR="00A35A18" w:rsidRPr="00633873">
        <w:rPr>
          <w:rFonts w:ascii="Times New Roman" w:eastAsia="Times New Roman" w:hAnsi="Times New Roman" w:cs="Times New Roman"/>
          <w:snapToGrid w:val="0"/>
          <w:szCs w:val="24"/>
        </w:rPr>
        <w:t xml:space="preserve"> ekspozicija kliniškai reikšmingai nepadidėjo (žr. 5.2</w:t>
      </w:r>
      <w:r w:rsidR="002D3ECE" w:rsidRPr="00633873">
        <w:rPr>
          <w:rFonts w:ascii="Times New Roman" w:eastAsia="Times New Roman" w:hAnsi="Times New Roman" w:cs="Times New Roman"/>
          <w:snapToGrid w:val="0"/>
          <w:szCs w:val="24"/>
        </w:rPr>
        <w:t> skyri</w:t>
      </w:r>
      <w:r w:rsidR="00A35A18" w:rsidRPr="00633873">
        <w:rPr>
          <w:rFonts w:ascii="Times New Roman" w:eastAsia="Times New Roman" w:hAnsi="Times New Roman" w:cs="Times New Roman"/>
          <w:snapToGrid w:val="0"/>
          <w:szCs w:val="24"/>
        </w:rPr>
        <w:t>ų).</w:t>
      </w:r>
    </w:p>
    <w:p w14:paraId="45BC4F3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43850CA" w14:textId="42AA9E48"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Ambrisentano</w:t>
      </w:r>
      <w:proofErr w:type="spellEnd"/>
      <w:r w:rsidRPr="00633873">
        <w:rPr>
          <w:rFonts w:ascii="Times New Roman" w:eastAsia="Times New Roman" w:hAnsi="Times New Roman" w:cs="Times New Roman"/>
          <w:snapToGrid w:val="0"/>
          <w:szCs w:val="24"/>
          <w:u w:val="single"/>
        </w:rPr>
        <w:t xml:space="preserve"> poveikis </w:t>
      </w:r>
      <w:proofErr w:type="spellStart"/>
      <w:r w:rsidRPr="00633873">
        <w:rPr>
          <w:rFonts w:ascii="Times New Roman" w:eastAsia="Times New Roman" w:hAnsi="Times New Roman" w:cs="Times New Roman"/>
          <w:snapToGrid w:val="0"/>
          <w:szCs w:val="24"/>
          <w:u w:val="single"/>
        </w:rPr>
        <w:t>ksenobiotikų</w:t>
      </w:r>
      <w:proofErr w:type="spellEnd"/>
      <w:r w:rsidRPr="00633873">
        <w:rPr>
          <w:rFonts w:ascii="Times New Roman" w:eastAsia="Times New Roman" w:hAnsi="Times New Roman" w:cs="Times New Roman"/>
          <w:snapToGrid w:val="0"/>
          <w:szCs w:val="24"/>
          <w:u w:val="single"/>
        </w:rPr>
        <w:t xml:space="preserve"> nešikliams</w:t>
      </w:r>
    </w:p>
    <w:p w14:paraId="26870833"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5F8044BA" w14:textId="4ACC1244"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Kliniškai reikšmingos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koncentracijos </w:t>
      </w:r>
      <w:proofErr w:type="spellStart"/>
      <w:r w:rsidRPr="00633873">
        <w:rPr>
          <w:rFonts w:ascii="Times New Roman" w:eastAsia="Times New Roman" w:hAnsi="Times New Roman" w:cs="Times New Roman"/>
          <w:i/>
          <w:iCs/>
          <w:snapToGrid w:val="0"/>
          <w:szCs w:val="24"/>
        </w:rPr>
        <w:t>in</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vitro</w:t>
      </w:r>
      <w:proofErr w:type="spellEnd"/>
      <w:r w:rsidRPr="00633873">
        <w:rPr>
          <w:rFonts w:ascii="Times New Roman" w:eastAsia="Times New Roman" w:hAnsi="Times New Roman" w:cs="Times New Roman"/>
          <w:snapToGrid w:val="0"/>
          <w:szCs w:val="24"/>
        </w:rPr>
        <w:t xml:space="preserve"> neslopina žmogaus organizmo nešiklių, įskaitant P-</w:t>
      </w:r>
      <w:proofErr w:type="spellStart"/>
      <w:r w:rsidRPr="00633873">
        <w:rPr>
          <w:rFonts w:ascii="Times New Roman" w:eastAsia="Times New Roman" w:hAnsi="Times New Roman" w:cs="Times New Roman"/>
          <w:snapToGrid w:val="0"/>
          <w:szCs w:val="24"/>
        </w:rPr>
        <w:t>glikoproteiną</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Pgp</w:t>
      </w:r>
      <w:proofErr w:type="spellEnd"/>
      <w:r w:rsidRPr="00633873">
        <w:rPr>
          <w:rFonts w:ascii="Times New Roman" w:eastAsia="Times New Roman" w:hAnsi="Times New Roman" w:cs="Times New Roman"/>
          <w:snapToGrid w:val="0"/>
          <w:szCs w:val="24"/>
        </w:rPr>
        <w:t xml:space="preserve">), krūties vėžio atsparumo baltymą (angl. </w:t>
      </w:r>
      <w:proofErr w:type="spellStart"/>
      <w:r w:rsidRPr="00633873">
        <w:rPr>
          <w:rFonts w:ascii="Times New Roman" w:eastAsia="Times New Roman" w:hAnsi="Times New Roman" w:cs="Times New Roman"/>
          <w:i/>
          <w:iCs/>
          <w:snapToGrid w:val="0"/>
          <w:szCs w:val="24"/>
        </w:rPr>
        <w:t>Breast</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cancer</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resistance</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protein</w:t>
      </w:r>
      <w:proofErr w:type="spellEnd"/>
      <w:r w:rsidRPr="00633873">
        <w:rPr>
          <w:rFonts w:ascii="Times New Roman" w:eastAsia="Times New Roman" w:hAnsi="Times New Roman" w:cs="Times New Roman"/>
          <w:snapToGrid w:val="0"/>
          <w:szCs w:val="24"/>
        </w:rPr>
        <w:t xml:space="preserve">, BCRP), su atsparumu įvairiems </w:t>
      </w:r>
      <w:r w:rsidR="00D8128A" w:rsidRPr="00633873">
        <w:rPr>
          <w:rFonts w:ascii="Times New Roman" w:eastAsia="Times New Roman" w:hAnsi="Times New Roman" w:cs="Times New Roman"/>
          <w:snapToGrid w:val="0"/>
          <w:szCs w:val="24"/>
        </w:rPr>
        <w:t>vaistiniams preparatams</w:t>
      </w:r>
      <w:r w:rsidRPr="00633873">
        <w:rPr>
          <w:rFonts w:ascii="Times New Roman" w:eastAsia="Times New Roman" w:hAnsi="Times New Roman" w:cs="Times New Roman"/>
          <w:snapToGrid w:val="0"/>
          <w:szCs w:val="24"/>
        </w:rPr>
        <w:t xml:space="preserve"> susijusį baltymą </w:t>
      </w:r>
      <w:r w:rsidR="00D8128A" w:rsidRPr="00633873">
        <w:rPr>
          <w:rFonts w:ascii="Times New Roman" w:eastAsia="Times New Roman" w:hAnsi="Times New Roman" w:cs="Times New Roman"/>
          <w:snapToGrid w:val="0"/>
          <w:szCs w:val="24"/>
        </w:rPr>
        <w:t xml:space="preserve">2 </w:t>
      </w:r>
      <w:r w:rsidRPr="00633873">
        <w:rPr>
          <w:rFonts w:ascii="Times New Roman" w:eastAsia="Times New Roman" w:hAnsi="Times New Roman" w:cs="Times New Roman"/>
          <w:snapToGrid w:val="0"/>
          <w:szCs w:val="24"/>
        </w:rPr>
        <w:t xml:space="preserve">(angl. </w:t>
      </w:r>
      <w:proofErr w:type="spellStart"/>
      <w:r w:rsidRPr="00633873">
        <w:rPr>
          <w:rFonts w:ascii="Times New Roman" w:eastAsia="Times New Roman" w:hAnsi="Times New Roman" w:cs="Times New Roman"/>
          <w:i/>
          <w:iCs/>
          <w:snapToGrid w:val="0"/>
          <w:szCs w:val="24"/>
        </w:rPr>
        <w:t>Multi-drug</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resistance</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related</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protein</w:t>
      </w:r>
      <w:proofErr w:type="spellEnd"/>
      <w:r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i/>
          <w:iCs/>
          <w:snapToGrid w:val="0"/>
          <w:szCs w:val="24"/>
        </w:rPr>
        <w:t>2</w:t>
      </w:r>
      <w:r w:rsidRPr="00633873">
        <w:rPr>
          <w:rFonts w:ascii="Times New Roman" w:eastAsia="Times New Roman" w:hAnsi="Times New Roman" w:cs="Times New Roman"/>
          <w:snapToGrid w:val="0"/>
          <w:szCs w:val="24"/>
        </w:rPr>
        <w:t xml:space="preserve">, MRP2), tulžies druskų šalinimo siurblį (angl. </w:t>
      </w:r>
      <w:r w:rsidRPr="00633873">
        <w:rPr>
          <w:rFonts w:ascii="Times New Roman" w:eastAsia="Times New Roman" w:hAnsi="Times New Roman" w:cs="Times New Roman"/>
          <w:i/>
          <w:iCs/>
          <w:snapToGrid w:val="0"/>
          <w:szCs w:val="24"/>
        </w:rPr>
        <w:t xml:space="preserve">Bile salt </w:t>
      </w:r>
      <w:proofErr w:type="spellStart"/>
      <w:r w:rsidRPr="00633873">
        <w:rPr>
          <w:rFonts w:ascii="Times New Roman" w:eastAsia="Times New Roman" w:hAnsi="Times New Roman" w:cs="Times New Roman"/>
          <w:i/>
          <w:iCs/>
          <w:snapToGrid w:val="0"/>
          <w:szCs w:val="24"/>
        </w:rPr>
        <w:t>export</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pump</w:t>
      </w:r>
      <w:proofErr w:type="spellEnd"/>
      <w:r w:rsidRPr="00633873">
        <w:rPr>
          <w:rFonts w:ascii="Times New Roman" w:eastAsia="Times New Roman" w:hAnsi="Times New Roman" w:cs="Times New Roman"/>
          <w:snapToGrid w:val="0"/>
          <w:szCs w:val="24"/>
        </w:rPr>
        <w:t xml:space="preserve">, BSEP), organinių anijonų </w:t>
      </w:r>
      <w:proofErr w:type="spellStart"/>
      <w:r w:rsidR="00D8128A" w:rsidRPr="00633873">
        <w:rPr>
          <w:rFonts w:ascii="Times New Roman" w:eastAsia="Times New Roman" w:hAnsi="Times New Roman" w:cs="Times New Roman"/>
          <w:snapToGrid w:val="0"/>
          <w:szCs w:val="24"/>
        </w:rPr>
        <w:t>polipeptid</w:t>
      </w:r>
      <w:r w:rsidR="00D933F0" w:rsidRPr="00633873">
        <w:rPr>
          <w:rFonts w:ascii="Times New Roman" w:eastAsia="Times New Roman" w:hAnsi="Times New Roman" w:cs="Times New Roman"/>
          <w:snapToGrid w:val="0"/>
          <w:szCs w:val="24"/>
        </w:rPr>
        <w:t>ini</w:t>
      </w:r>
      <w:r w:rsidR="00D8128A" w:rsidRPr="00633873">
        <w:rPr>
          <w:rFonts w:ascii="Times New Roman" w:eastAsia="Times New Roman" w:hAnsi="Times New Roman" w:cs="Times New Roman"/>
          <w:snapToGrid w:val="0"/>
          <w:szCs w:val="24"/>
        </w:rPr>
        <w:t>us</w:t>
      </w:r>
      <w:proofErr w:type="spellEnd"/>
      <w:r w:rsidRPr="00633873">
        <w:rPr>
          <w:rFonts w:ascii="Times New Roman" w:eastAsia="Times New Roman" w:hAnsi="Times New Roman" w:cs="Times New Roman"/>
          <w:snapToGrid w:val="0"/>
          <w:szCs w:val="24"/>
        </w:rPr>
        <w:t xml:space="preserve"> </w:t>
      </w:r>
      <w:r w:rsidR="00D933F0" w:rsidRPr="00633873">
        <w:rPr>
          <w:rFonts w:ascii="Times New Roman" w:eastAsia="Times New Roman" w:hAnsi="Times New Roman" w:cs="Times New Roman"/>
          <w:snapToGrid w:val="0"/>
          <w:szCs w:val="24"/>
        </w:rPr>
        <w:t xml:space="preserve">nešiklius </w:t>
      </w:r>
      <w:r w:rsidRPr="00633873">
        <w:rPr>
          <w:rFonts w:ascii="Times New Roman" w:eastAsia="Times New Roman" w:hAnsi="Times New Roman" w:cs="Times New Roman"/>
          <w:snapToGrid w:val="0"/>
          <w:szCs w:val="24"/>
        </w:rPr>
        <w:t xml:space="preserve">(angl. </w:t>
      </w:r>
      <w:proofErr w:type="spellStart"/>
      <w:r w:rsidRPr="00633873">
        <w:rPr>
          <w:rFonts w:ascii="Times New Roman" w:eastAsia="Times New Roman" w:hAnsi="Times New Roman" w:cs="Times New Roman"/>
          <w:i/>
          <w:iCs/>
          <w:snapToGrid w:val="0"/>
          <w:szCs w:val="24"/>
        </w:rPr>
        <w:t>Organic</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anion</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transporting</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polypeptides</w:t>
      </w:r>
      <w:proofErr w:type="spellEnd"/>
      <w:r w:rsidRPr="00633873">
        <w:rPr>
          <w:rFonts w:ascii="Times New Roman" w:eastAsia="Times New Roman" w:hAnsi="Times New Roman" w:cs="Times New Roman"/>
          <w:snapToGrid w:val="0"/>
          <w:szCs w:val="24"/>
        </w:rPr>
        <w:t xml:space="preserve"> (OATP1B1, OATP1B3)) ir nuo natrio priklausomos </w:t>
      </w:r>
      <w:proofErr w:type="spellStart"/>
      <w:r w:rsidRPr="00633873">
        <w:rPr>
          <w:rFonts w:ascii="Times New Roman" w:eastAsia="Times New Roman" w:hAnsi="Times New Roman" w:cs="Times New Roman"/>
          <w:snapToGrid w:val="0"/>
          <w:szCs w:val="24"/>
        </w:rPr>
        <w:t>taurocholato</w:t>
      </w:r>
      <w:proofErr w:type="spellEnd"/>
      <w:r w:rsidRPr="00633873">
        <w:rPr>
          <w:rFonts w:ascii="Times New Roman" w:eastAsia="Times New Roman" w:hAnsi="Times New Roman" w:cs="Times New Roman"/>
          <w:snapToGrid w:val="0"/>
          <w:szCs w:val="24"/>
        </w:rPr>
        <w:t xml:space="preserve"> bendros pernašos </w:t>
      </w:r>
      <w:proofErr w:type="spellStart"/>
      <w:r w:rsidRPr="00633873">
        <w:rPr>
          <w:rFonts w:ascii="Times New Roman" w:eastAsia="Times New Roman" w:hAnsi="Times New Roman" w:cs="Times New Roman"/>
          <w:snapToGrid w:val="0"/>
          <w:szCs w:val="24"/>
        </w:rPr>
        <w:t>polipeptidą</w:t>
      </w:r>
      <w:proofErr w:type="spellEnd"/>
      <w:r w:rsidRPr="00633873">
        <w:rPr>
          <w:rFonts w:ascii="Times New Roman" w:eastAsia="Times New Roman" w:hAnsi="Times New Roman" w:cs="Times New Roman"/>
          <w:snapToGrid w:val="0"/>
          <w:szCs w:val="24"/>
        </w:rPr>
        <w:t xml:space="preserve"> (angl. </w:t>
      </w:r>
      <w:proofErr w:type="spellStart"/>
      <w:r w:rsidRPr="00633873">
        <w:rPr>
          <w:rFonts w:ascii="Times New Roman" w:eastAsia="Times New Roman" w:hAnsi="Times New Roman" w:cs="Times New Roman"/>
          <w:i/>
          <w:iCs/>
          <w:snapToGrid w:val="0"/>
          <w:szCs w:val="24"/>
        </w:rPr>
        <w:t>sodium-dependent</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taurocholate</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co-transporting</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polypeptide</w:t>
      </w:r>
      <w:proofErr w:type="spellEnd"/>
      <w:r w:rsidRPr="00633873">
        <w:rPr>
          <w:rFonts w:ascii="Times New Roman" w:eastAsia="Times New Roman" w:hAnsi="Times New Roman" w:cs="Times New Roman"/>
          <w:snapToGrid w:val="0"/>
          <w:szCs w:val="24"/>
        </w:rPr>
        <w:t xml:space="preserve"> (NTCP)).</w:t>
      </w:r>
    </w:p>
    <w:p w14:paraId="56D96A4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DCE6C3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yra </w:t>
      </w:r>
      <w:proofErr w:type="spellStart"/>
      <w:r w:rsidRPr="00633873">
        <w:rPr>
          <w:rFonts w:ascii="Times New Roman" w:eastAsia="Times New Roman" w:hAnsi="Times New Roman" w:cs="Times New Roman"/>
          <w:snapToGrid w:val="0"/>
          <w:szCs w:val="24"/>
        </w:rPr>
        <w:t>Pgp</w:t>
      </w:r>
      <w:proofErr w:type="spellEnd"/>
      <w:r w:rsidRPr="00633873">
        <w:rPr>
          <w:rFonts w:ascii="Times New Roman" w:eastAsia="Times New Roman" w:hAnsi="Times New Roman" w:cs="Times New Roman"/>
          <w:snapToGrid w:val="0"/>
          <w:szCs w:val="24"/>
        </w:rPr>
        <w:t xml:space="preserve"> veikiamo šalinimo iš ląstelės substratas.</w:t>
      </w:r>
    </w:p>
    <w:p w14:paraId="231B99E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4EC3E3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i/>
          <w:iCs/>
          <w:snapToGrid w:val="0"/>
          <w:szCs w:val="24"/>
        </w:rPr>
        <w:t>In</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vitro</w:t>
      </w:r>
      <w:proofErr w:type="spellEnd"/>
      <w:r w:rsidRPr="00633873">
        <w:rPr>
          <w:rFonts w:ascii="Times New Roman" w:eastAsia="Times New Roman" w:hAnsi="Times New Roman" w:cs="Times New Roman"/>
          <w:snapToGrid w:val="0"/>
          <w:szCs w:val="24"/>
        </w:rPr>
        <w:t xml:space="preserve"> tyrimai su žiurkių kepenų ląstelėmis taip pat parodė, kad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nesužadina </w:t>
      </w:r>
      <w:proofErr w:type="spellStart"/>
      <w:r w:rsidRPr="00633873">
        <w:rPr>
          <w:rFonts w:ascii="Times New Roman" w:eastAsia="Times New Roman" w:hAnsi="Times New Roman" w:cs="Times New Roman"/>
          <w:snapToGrid w:val="0"/>
          <w:szCs w:val="24"/>
        </w:rPr>
        <w:t>Pgp</w:t>
      </w:r>
      <w:proofErr w:type="spellEnd"/>
      <w:r w:rsidRPr="00633873">
        <w:rPr>
          <w:rFonts w:ascii="Times New Roman" w:eastAsia="Times New Roman" w:hAnsi="Times New Roman" w:cs="Times New Roman"/>
          <w:snapToGrid w:val="0"/>
          <w:szCs w:val="24"/>
        </w:rPr>
        <w:t>, BSEP ar MRP2 baltymų raiškos.</w:t>
      </w:r>
    </w:p>
    <w:p w14:paraId="261B6AC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4DCCB30" w14:textId="628C8318"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Vartojant </w:t>
      </w:r>
      <w:proofErr w:type="spellStart"/>
      <w:r w:rsidRPr="00633873">
        <w:rPr>
          <w:rFonts w:ascii="Times New Roman" w:eastAsia="Times New Roman" w:hAnsi="Times New Roman" w:cs="Times New Roman"/>
          <w:snapToGrid w:val="0"/>
          <w:szCs w:val="24"/>
        </w:rPr>
        <w:t>ambrisentaną</w:t>
      </w:r>
      <w:proofErr w:type="spellEnd"/>
      <w:r w:rsidRPr="00633873">
        <w:rPr>
          <w:rFonts w:ascii="Times New Roman" w:eastAsia="Times New Roman" w:hAnsi="Times New Roman" w:cs="Times New Roman"/>
          <w:snapToGrid w:val="0"/>
          <w:szCs w:val="24"/>
        </w:rPr>
        <w:t xml:space="preserve"> sveikiems savanoriams</w:t>
      </w:r>
      <w:r w:rsidR="00D933F0"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w:t>
      </w:r>
      <w:r w:rsidR="00D8128A" w:rsidRPr="00633873">
        <w:rPr>
          <w:rFonts w:ascii="Times New Roman" w:eastAsia="Times New Roman" w:hAnsi="Times New Roman" w:cs="Times New Roman"/>
          <w:snapToGrid w:val="0"/>
          <w:szCs w:val="24"/>
        </w:rPr>
        <w:t xml:space="preserve">nusistovėjus </w:t>
      </w:r>
      <w:r w:rsidR="00D933F0" w:rsidRPr="00633873">
        <w:rPr>
          <w:rFonts w:ascii="Times New Roman" w:eastAsia="Times New Roman" w:hAnsi="Times New Roman" w:cs="Times New Roman"/>
          <w:snapToGrid w:val="0"/>
          <w:szCs w:val="24"/>
        </w:rPr>
        <w:t xml:space="preserve">jo </w:t>
      </w:r>
      <w:proofErr w:type="spellStart"/>
      <w:r w:rsidR="008E0F7A" w:rsidRPr="00633873">
        <w:rPr>
          <w:rFonts w:ascii="Times New Roman" w:eastAsia="Times New Roman" w:hAnsi="Times New Roman" w:cs="Times New Roman"/>
          <w:snapToGrid w:val="0"/>
          <w:szCs w:val="24"/>
        </w:rPr>
        <w:t>pusiausvyr</w:t>
      </w:r>
      <w:r w:rsidR="00D933F0" w:rsidRPr="00633873">
        <w:rPr>
          <w:rFonts w:ascii="Times New Roman" w:eastAsia="Times New Roman" w:hAnsi="Times New Roman" w:cs="Times New Roman"/>
          <w:snapToGrid w:val="0"/>
          <w:szCs w:val="24"/>
        </w:rPr>
        <w:t>inei</w:t>
      </w:r>
      <w:proofErr w:type="spellEnd"/>
      <w:r w:rsidR="008E0F7A" w:rsidRPr="00633873">
        <w:rPr>
          <w:rFonts w:ascii="Times New Roman" w:eastAsia="Times New Roman" w:hAnsi="Times New Roman" w:cs="Times New Roman"/>
          <w:snapToGrid w:val="0"/>
          <w:szCs w:val="24"/>
        </w:rPr>
        <w:t xml:space="preserve"> </w:t>
      </w:r>
      <w:r w:rsidR="00D933F0" w:rsidRPr="00633873">
        <w:rPr>
          <w:rFonts w:ascii="Times New Roman" w:eastAsia="Times New Roman" w:hAnsi="Times New Roman" w:cs="Times New Roman"/>
          <w:snapToGrid w:val="0"/>
          <w:szCs w:val="24"/>
        </w:rPr>
        <w:t>koncentracijai</w:t>
      </w:r>
      <w:r w:rsidRPr="00633873">
        <w:rPr>
          <w:rFonts w:ascii="Times New Roman" w:eastAsia="Times New Roman" w:hAnsi="Times New Roman" w:cs="Times New Roman"/>
          <w:snapToGrid w:val="0"/>
          <w:szCs w:val="24"/>
        </w:rPr>
        <w:t xml:space="preserve">, nebuvo kliniškai reikšmingo poveikio vienkartinės </w:t>
      </w:r>
      <w:proofErr w:type="spellStart"/>
      <w:r w:rsidRPr="00633873">
        <w:rPr>
          <w:rFonts w:ascii="Times New Roman" w:eastAsia="Times New Roman" w:hAnsi="Times New Roman" w:cs="Times New Roman"/>
          <w:snapToGrid w:val="0"/>
          <w:szCs w:val="24"/>
        </w:rPr>
        <w:t>Pgp</w:t>
      </w:r>
      <w:proofErr w:type="spellEnd"/>
      <w:r w:rsidRPr="00633873">
        <w:rPr>
          <w:rFonts w:ascii="Times New Roman" w:eastAsia="Times New Roman" w:hAnsi="Times New Roman" w:cs="Times New Roman"/>
          <w:snapToGrid w:val="0"/>
          <w:szCs w:val="24"/>
        </w:rPr>
        <w:t xml:space="preserve"> substrato </w:t>
      </w:r>
      <w:proofErr w:type="spellStart"/>
      <w:r w:rsidRPr="00633873">
        <w:rPr>
          <w:rFonts w:ascii="Times New Roman" w:eastAsia="Times New Roman" w:hAnsi="Times New Roman" w:cs="Times New Roman"/>
          <w:snapToGrid w:val="0"/>
          <w:szCs w:val="24"/>
        </w:rPr>
        <w:t>digoksino</w:t>
      </w:r>
      <w:proofErr w:type="spellEnd"/>
      <w:r w:rsidRPr="00633873">
        <w:rPr>
          <w:rFonts w:ascii="Times New Roman" w:eastAsia="Times New Roman" w:hAnsi="Times New Roman" w:cs="Times New Roman"/>
          <w:snapToGrid w:val="0"/>
          <w:szCs w:val="24"/>
        </w:rPr>
        <w:t xml:space="preserve"> dozės farmakokinetikai (žr. </w:t>
      </w:r>
      <w:r w:rsidRPr="00633873">
        <w:rPr>
          <w:rFonts w:ascii="Times New Roman" w:eastAsia="Times New Roman" w:hAnsi="Times New Roman" w:cs="Times New Roman"/>
          <w:snapToGrid w:val="0"/>
          <w:szCs w:val="24"/>
        </w:rPr>
        <w:lastRenderedPageBreak/>
        <w:t>5.2</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w:t>
      </w:r>
      <w:r w:rsidRPr="00633873">
        <w:rPr>
          <w:rFonts w:ascii="Times New Roman" w:eastAsia="Times New Roman" w:hAnsi="Times New Roman" w:cs="Times New Roman"/>
          <w:snapToGrid w:val="0"/>
          <w:szCs w:val="24"/>
        </w:rPr>
        <w:cr/>
      </w:r>
    </w:p>
    <w:p w14:paraId="438E18FE" w14:textId="65D91C5A" w:rsidR="00E160F9" w:rsidRDefault="00E160F9" w:rsidP="00A35A18">
      <w:pPr>
        <w:tabs>
          <w:tab w:val="left" w:pos="567"/>
        </w:tabs>
        <w:spacing w:after="0" w:line="260" w:lineRule="exact"/>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Vaikų populiacija</w:t>
      </w:r>
    </w:p>
    <w:p w14:paraId="5521A740"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rPr>
      </w:pPr>
    </w:p>
    <w:p w14:paraId="4978D21B" w14:textId="4B667C7F" w:rsidR="00E160F9" w:rsidRPr="00633873" w:rsidRDefault="00E160F9"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Sąveikos tyrimai atlikti tik suaugusiesiems.</w:t>
      </w:r>
    </w:p>
    <w:p w14:paraId="7D4CB906" w14:textId="77777777" w:rsidR="00E160F9" w:rsidRPr="00633873" w:rsidRDefault="00E160F9" w:rsidP="00A35A18">
      <w:pPr>
        <w:tabs>
          <w:tab w:val="left" w:pos="567"/>
        </w:tabs>
        <w:spacing w:after="0" w:line="260" w:lineRule="exact"/>
        <w:rPr>
          <w:rFonts w:ascii="Times New Roman" w:eastAsia="Times New Roman" w:hAnsi="Times New Roman" w:cs="Times New Roman"/>
          <w:snapToGrid w:val="0"/>
          <w:szCs w:val="24"/>
        </w:rPr>
      </w:pPr>
    </w:p>
    <w:p w14:paraId="256B90F5"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4.6</w:t>
      </w:r>
      <w:r w:rsidRPr="00633873">
        <w:rPr>
          <w:rFonts w:ascii="Times New Roman" w:eastAsia="Times New Roman" w:hAnsi="Times New Roman" w:cs="Times New Roman"/>
          <w:b/>
          <w:kern w:val="28"/>
        </w:rPr>
        <w:tab/>
        <w:t>Vaisingumas, nėštumo ir žindymo laikotarpis</w:t>
      </w:r>
    </w:p>
    <w:p w14:paraId="2AA4DA6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15B5B44" w14:textId="49AF1362" w:rsidR="00A35A18" w:rsidRDefault="00A35A18" w:rsidP="00A35A18">
      <w:pPr>
        <w:tabs>
          <w:tab w:val="left" w:pos="567"/>
        </w:tabs>
        <w:spacing w:after="0" w:line="260" w:lineRule="exact"/>
        <w:rPr>
          <w:rFonts w:ascii="Times New Roman" w:eastAsia="Times New Roman" w:hAnsi="Times New Roman" w:cs="Times New Roman"/>
          <w:snapToGrid w:val="0"/>
          <w:color w:val="0D0D0D"/>
          <w:szCs w:val="24"/>
          <w:u w:val="single"/>
        </w:rPr>
      </w:pPr>
      <w:r w:rsidRPr="00633873">
        <w:rPr>
          <w:rFonts w:ascii="Times New Roman" w:eastAsia="Times New Roman" w:hAnsi="Times New Roman" w:cs="Times New Roman"/>
          <w:snapToGrid w:val="0"/>
          <w:color w:val="0D0D0D"/>
          <w:szCs w:val="24"/>
          <w:u w:val="single"/>
        </w:rPr>
        <w:t>Vaisingos moterys</w:t>
      </w:r>
    </w:p>
    <w:p w14:paraId="5C876E31"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color w:val="0D0D0D"/>
          <w:szCs w:val="24"/>
          <w:u w:val="single"/>
        </w:rPr>
      </w:pPr>
    </w:p>
    <w:p w14:paraId="78C8FBD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color w:val="0D0D0D"/>
          <w:szCs w:val="24"/>
        </w:rPr>
      </w:pPr>
      <w:r w:rsidRPr="00633873">
        <w:rPr>
          <w:rFonts w:ascii="Times New Roman" w:eastAsia="Times New Roman" w:hAnsi="Times New Roman" w:cs="Times New Roman"/>
          <w:snapToGrid w:val="0"/>
          <w:color w:val="0D0D0D"/>
          <w:szCs w:val="24"/>
        </w:rPr>
        <w:t>Vaisingoms moterims pradėti gydym</w:t>
      </w:r>
      <w:r w:rsidR="00D8128A" w:rsidRPr="00633873">
        <w:rPr>
          <w:rFonts w:ascii="Times New Roman" w:eastAsia="Times New Roman" w:hAnsi="Times New Roman" w:cs="Times New Roman"/>
          <w:snapToGrid w:val="0"/>
          <w:color w:val="0D0D0D"/>
          <w:szCs w:val="24"/>
        </w:rPr>
        <w:t>o</w:t>
      </w:r>
      <w:r w:rsidRPr="00633873">
        <w:rPr>
          <w:rFonts w:ascii="Times New Roman" w:eastAsia="Times New Roman" w:hAnsi="Times New Roman" w:cs="Times New Roman"/>
          <w:snapToGrid w:val="0"/>
          <w:color w:val="0D0D0D"/>
          <w:szCs w:val="24"/>
        </w:rPr>
        <w:t xml:space="preserve"> </w:t>
      </w:r>
      <w:proofErr w:type="spellStart"/>
      <w:r w:rsidRPr="00633873">
        <w:rPr>
          <w:rFonts w:ascii="Times New Roman" w:eastAsia="Times New Roman" w:hAnsi="Times New Roman" w:cs="Times New Roman"/>
          <w:snapToGrid w:val="0"/>
          <w:color w:val="0D0D0D"/>
          <w:szCs w:val="24"/>
        </w:rPr>
        <w:t>ambrisentanu</w:t>
      </w:r>
      <w:proofErr w:type="spellEnd"/>
      <w:r w:rsidRPr="00633873">
        <w:rPr>
          <w:rFonts w:ascii="Times New Roman" w:eastAsia="Times New Roman" w:hAnsi="Times New Roman" w:cs="Times New Roman"/>
          <w:snapToGrid w:val="0"/>
          <w:color w:val="0D0D0D"/>
          <w:szCs w:val="24"/>
        </w:rPr>
        <w:t xml:space="preserve"> negalima, išskyrus atvejus, kai yra neigiamas prieš gydymą atlikto nėštumo testo rezultatas ir moteris naudoja veiksmingą kontracepcijos metodą. Gydymo </w:t>
      </w:r>
      <w:proofErr w:type="spellStart"/>
      <w:r w:rsidRPr="00633873">
        <w:rPr>
          <w:rFonts w:ascii="Times New Roman" w:eastAsia="Times New Roman" w:hAnsi="Times New Roman" w:cs="Times New Roman"/>
          <w:snapToGrid w:val="0"/>
          <w:color w:val="0D0D0D"/>
          <w:szCs w:val="24"/>
        </w:rPr>
        <w:t>ambrisentanu</w:t>
      </w:r>
      <w:proofErr w:type="spellEnd"/>
      <w:r w:rsidRPr="00633873">
        <w:rPr>
          <w:rFonts w:ascii="Times New Roman" w:eastAsia="Times New Roman" w:hAnsi="Times New Roman" w:cs="Times New Roman"/>
          <w:snapToGrid w:val="0"/>
          <w:color w:val="0D0D0D"/>
          <w:szCs w:val="24"/>
        </w:rPr>
        <w:t xml:space="preserve"> metu rekomenduojama kas mėnesį atlikti nėštumo testą.</w:t>
      </w:r>
    </w:p>
    <w:p w14:paraId="51736E6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color w:val="0D0D0D"/>
          <w:szCs w:val="24"/>
        </w:rPr>
      </w:pPr>
    </w:p>
    <w:p w14:paraId="545E6D75" w14:textId="553384B3" w:rsidR="00A35A18" w:rsidRDefault="00A35A18" w:rsidP="00A35A18">
      <w:pPr>
        <w:tabs>
          <w:tab w:val="left" w:pos="567"/>
        </w:tabs>
        <w:spacing w:after="0" w:line="260" w:lineRule="exact"/>
        <w:rPr>
          <w:rFonts w:ascii="Times New Roman" w:eastAsia="Times New Roman" w:hAnsi="Times New Roman" w:cs="Times New Roman"/>
          <w:snapToGrid w:val="0"/>
          <w:color w:val="0D0D0D"/>
          <w:szCs w:val="24"/>
          <w:u w:val="single"/>
        </w:rPr>
      </w:pPr>
      <w:r w:rsidRPr="00633873">
        <w:rPr>
          <w:rFonts w:ascii="Times New Roman" w:eastAsia="Times New Roman" w:hAnsi="Times New Roman" w:cs="Times New Roman"/>
          <w:snapToGrid w:val="0"/>
          <w:color w:val="0D0D0D"/>
          <w:szCs w:val="24"/>
          <w:u w:val="single"/>
        </w:rPr>
        <w:t>Nėštumas</w:t>
      </w:r>
    </w:p>
    <w:p w14:paraId="3476A4B1"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color w:val="0D0D0D"/>
          <w:szCs w:val="24"/>
          <w:u w:val="single"/>
        </w:rPr>
      </w:pPr>
    </w:p>
    <w:p w14:paraId="459A02C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color w:val="0D0D0D"/>
          <w:szCs w:val="24"/>
        </w:rPr>
      </w:pPr>
      <w:proofErr w:type="spellStart"/>
      <w:r w:rsidRPr="00633873">
        <w:rPr>
          <w:rFonts w:ascii="Times New Roman" w:eastAsia="Times New Roman" w:hAnsi="Times New Roman" w:cs="Times New Roman"/>
          <w:snapToGrid w:val="0"/>
          <w:color w:val="0D0D0D"/>
          <w:szCs w:val="24"/>
        </w:rPr>
        <w:t>Ambrisentano</w:t>
      </w:r>
      <w:proofErr w:type="spellEnd"/>
      <w:r w:rsidRPr="00633873">
        <w:rPr>
          <w:rFonts w:ascii="Times New Roman" w:eastAsia="Times New Roman" w:hAnsi="Times New Roman" w:cs="Times New Roman"/>
          <w:snapToGrid w:val="0"/>
          <w:color w:val="0D0D0D"/>
          <w:szCs w:val="24"/>
        </w:rPr>
        <w:t xml:space="preserve"> negalima vartoti nėštumo metu (žr. 4.3</w:t>
      </w:r>
      <w:r w:rsidR="002D3ECE" w:rsidRPr="00633873">
        <w:rPr>
          <w:rFonts w:ascii="Times New Roman" w:eastAsia="Times New Roman" w:hAnsi="Times New Roman" w:cs="Times New Roman"/>
          <w:snapToGrid w:val="0"/>
          <w:color w:val="0D0D0D"/>
          <w:szCs w:val="24"/>
        </w:rPr>
        <w:t> skyri</w:t>
      </w:r>
      <w:r w:rsidRPr="00633873">
        <w:rPr>
          <w:rFonts w:ascii="Times New Roman" w:eastAsia="Times New Roman" w:hAnsi="Times New Roman" w:cs="Times New Roman"/>
          <w:snapToGrid w:val="0"/>
          <w:color w:val="0D0D0D"/>
          <w:szCs w:val="24"/>
        </w:rPr>
        <w:t xml:space="preserve">ų). Su gyvūnais atlikti tyrimai parodė, kad </w:t>
      </w:r>
      <w:proofErr w:type="spellStart"/>
      <w:r w:rsidRPr="00633873">
        <w:rPr>
          <w:rFonts w:ascii="Times New Roman" w:eastAsia="Times New Roman" w:hAnsi="Times New Roman" w:cs="Times New Roman"/>
          <w:snapToGrid w:val="0"/>
          <w:color w:val="0D0D0D"/>
          <w:szCs w:val="24"/>
        </w:rPr>
        <w:t>ambrisentanas</w:t>
      </w:r>
      <w:proofErr w:type="spellEnd"/>
      <w:r w:rsidRPr="00633873">
        <w:rPr>
          <w:rFonts w:ascii="Times New Roman" w:eastAsia="Times New Roman" w:hAnsi="Times New Roman" w:cs="Times New Roman"/>
          <w:snapToGrid w:val="0"/>
          <w:color w:val="0D0D0D"/>
          <w:szCs w:val="24"/>
        </w:rPr>
        <w:t xml:space="preserve"> daro </w:t>
      </w:r>
      <w:proofErr w:type="spellStart"/>
      <w:r w:rsidRPr="00633873">
        <w:rPr>
          <w:rFonts w:ascii="Times New Roman" w:eastAsia="Times New Roman" w:hAnsi="Times New Roman" w:cs="Times New Roman"/>
          <w:snapToGrid w:val="0"/>
          <w:color w:val="0D0D0D"/>
          <w:szCs w:val="24"/>
        </w:rPr>
        <w:t>teratogeninį</w:t>
      </w:r>
      <w:proofErr w:type="spellEnd"/>
      <w:r w:rsidRPr="00633873">
        <w:rPr>
          <w:rFonts w:ascii="Times New Roman" w:eastAsia="Times New Roman" w:hAnsi="Times New Roman" w:cs="Times New Roman"/>
          <w:snapToGrid w:val="0"/>
          <w:color w:val="0D0D0D"/>
          <w:szCs w:val="24"/>
        </w:rPr>
        <w:t xml:space="preserve"> poveikį. Patirties su žmonėmis nėra.</w:t>
      </w:r>
    </w:p>
    <w:p w14:paraId="4068C3D6" w14:textId="362CD51A" w:rsidR="00A35A18" w:rsidRPr="00633873" w:rsidRDefault="00A35A18" w:rsidP="00A35A18">
      <w:pPr>
        <w:tabs>
          <w:tab w:val="left" w:pos="567"/>
        </w:tabs>
        <w:spacing w:after="0" w:line="260" w:lineRule="exact"/>
        <w:rPr>
          <w:rFonts w:ascii="Times New Roman" w:eastAsia="Times New Roman" w:hAnsi="Times New Roman" w:cs="Times New Roman"/>
          <w:snapToGrid w:val="0"/>
          <w:color w:val="0D0D0D"/>
          <w:szCs w:val="24"/>
        </w:rPr>
      </w:pPr>
      <w:proofErr w:type="spellStart"/>
      <w:r w:rsidRPr="00633873">
        <w:rPr>
          <w:rFonts w:ascii="Times New Roman" w:eastAsia="Times New Roman" w:hAnsi="Times New Roman" w:cs="Times New Roman"/>
          <w:snapToGrid w:val="0"/>
          <w:color w:val="0D0D0D"/>
          <w:szCs w:val="24"/>
        </w:rPr>
        <w:t>Ambrisentanu</w:t>
      </w:r>
      <w:proofErr w:type="spellEnd"/>
      <w:r w:rsidRPr="00633873">
        <w:rPr>
          <w:rFonts w:ascii="Times New Roman" w:eastAsia="Times New Roman" w:hAnsi="Times New Roman" w:cs="Times New Roman"/>
          <w:snapToGrid w:val="0"/>
          <w:color w:val="0D0D0D"/>
          <w:szCs w:val="24"/>
        </w:rPr>
        <w:t xml:space="preserve"> gydomoms moterims reikia paaiškinti apie toksin</w:t>
      </w:r>
      <w:r w:rsidR="00D933F0" w:rsidRPr="00633873">
        <w:rPr>
          <w:rFonts w:ascii="Times New Roman" w:eastAsia="Times New Roman" w:hAnsi="Times New Roman" w:cs="Times New Roman"/>
          <w:snapToGrid w:val="0"/>
          <w:color w:val="0D0D0D"/>
          <w:szCs w:val="24"/>
        </w:rPr>
        <w:t>io</w:t>
      </w:r>
      <w:r w:rsidRPr="00633873">
        <w:rPr>
          <w:rFonts w:ascii="Times New Roman" w:eastAsia="Times New Roman" w:hAnsi="Times New Roman" w:cs="Times New Roman"/>
          <w:snapToGrid w:val="0"/>
          <w:color w:val="0D0D0D"/>
          <w:szCs w:val="24"/>
        </w:rPr>
        <w:t xml:space="preserve"> poveik</w:t>
      </w:r>
      <w:r w:rsidR="00D933F0" w:rsidRPr="00633873">
        <w:rPr>
          <w:rFonts w:ascii="Times New Roman" w:eastAsia="Times New Roman" w:hAnsi="Times New Roman" w:cs="Times New Roman"/>
          <w:snapToGrid w:val="0"/>
          <w:color w:val="0D0D0D"/>
          <w:szCs w:val="24"/>
        </w:rPr>
        <w:t>io</w:t>
      </w:r>
      <w:r w:rsidRPr="00633873">
        <w:rPr>
          <w:rFonts w:ascii="Times New Roman" w:eastAsia="Times New Roman" w:hAnsi="Times New Roman" w:cs="Times New Roman"/>
          <w:snapToGrid w:val="0"/>
          <w:color w:val="0D0D0D"/>
          <w:szCs w:val="24"/>
        </w:rPr>
        <w:t xml:space="preserve"> </w:t>
      </w:r>
      <w:r w:rsidR="00D933F0" w:rsidRPr="00633873">
        <w:rPr>
          <w:rFonts w:ascii="Times New Roman" w:eastAsia="Times New Roman" w:hAnsi="Times New Roman" w:cs="Times New Roman"/>
          <w:snapToGrid w:val="0"/>
          <w:color w:val="0D0D0D"/>
          <w:szCs w:val="24"/>
        </w:rPr>
        <w:t xml:space="preserve">riziką </w:t>
      </w:r>
      <w:r w:rsidRPr="00633873">
        <w:rPr>
          <w:rFonts w:ascii="Times New Roman" w:eastAsia="Times New Roman" w:hAnsi="Times New Roman" w:cs="Times New Roman"/>
          <w:snapToGrid w:val="0"/>
          <w:color w:val="0D0D0D"/>
          <w:szCs w:val="24"/>
        </w:rPr>
        <w:t>vaisiui ir, jeigu jos pastoja, pradėti kitokį gydymą (žr. 4.3, 4.4 ir 5.3</w:t>
      </w:r>
      <w:r w:rsidR="002D3ECE" w:rsidRPr="00633873">
        <w:rPr>
          <w:rFonts w:ascii="Times New Roman" w:eastAsia="Times New Roman" w:hAnsi="Times New Roman" w:cs="Times New Roman"/>
          <w:snapToGrid w:val="0"/>
          <w:color w:val="0D0D0D"/>
          <w:szCs w:val="24"/>
        </w:rPr>
        <w:t> skyri</w:t>
      </w:r>
      <w:r w:rsidRPr="00633873">
        <w:rPr>
          <w:rFonts w:ascii="Times New Roman" w:eastAsia="Times New Roman" w:hAnsi="Times New Roman" w:cs="Times New Roman"/>
          <w:snapToGrid w:val="0"/>
          <w:color w:val="0D0D0D"/>
          <w:szCs w:val="24"/>
        </w:rPr>
        <w:t>us).</w:t>
      </w:r>
    </w:p>
    <w:p w14:paraId="0E2DD02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color w:val="0D0D0D"/>
          <w:szCs w:val="24"/>
        </w:rPr>
      </w:pPr>
    </w:p>
    <w:p w14:paraId="0E96E865" w14:textId="2E10B263" w:rsidR="00A35A18" w:rsidRDefault="00A35A18" w:rsidP="00A35A18">
      <w:pPr>
        <w:tabs>
          <w:tab w:val="left" w:pos="567"/>
        </w:tabs>
        <w:spacing w:after="0" w:line="260" w:lineRule="exact"/>
        <w:rPr>
          <w:rFonts w:ascii="Times New Roman" w:eastAsia="Times New Roman" w:hAnsi="Times New Roman" w:cs="Times New Roman"/>
          <w:snapToGrid w:val="0"/>
          <w:color w:val="0D0D0D"/>
          <w:szCs w:val="24"/>
          <w:u w:val="single"/>
        </w:rPr>
      </w:pPr>
      <w:r w:rsidRPr="00633873">
        <w:rPr>
          <w:rFonts w:ascii="Times New Roman" w:eastAsia="Times New Roman" w:hAnsi="Times New Roman" w:cs="Times New Roman"/>
          <w:snapToGrid w:val="0"/>
          <w:color w:val="0D0D0D"/>
          <w:szCs w:val="24"/>
          <w:u w:val="single"/>
        </w:rPr>
        <w:t>Žindymas</w:t>
      </w:r>
    </w:p>
    <w:p w14:paraId="5198438D"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color w:val="0D0D0D"/>
          <w:szCs w:val="24"/>
          <w:u w:val="single"/>
        </w:rPr>
      </w:pPr>
    </w:p>
    <w:p w14:paraId="4E5E331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color w:val="0D0D0D"/>
          <w:szCs w:val="24"/>
        </w:rPr>
      </w:pPr>
      <w:r w:rsidRPr="00633873">
        <w:rPr>
          <w:rFonts w:ascii="Times New Roman" w:eastAsia="Times New Roman" w:hAnsi="Times New Roman" w:cs="Times New Roman"/>
          <w:snapToGrid w:val="0"/>
          <w:color w:val="0D0D0D"/>
          <w:szCs w:val="24"/>
        </w:rPr>
        <w:t xml:space="preserve">Nežinoma, ar </w:t>
      </w:r>
      <w:proofErr w:type="spellStart"/>
      <w:r w:rsidRPr="00633873">
        <w:rPr>
          <w:rFonts w:ascii="Times New Roman" w:eastAsia="Times New Roman" w:hAnsi="Times New Roman" w:cs="Times New Roman"/>
          <w:snapToGrid w:val="0"/>
          <w:color w:val="0D0D0D"/>
          <w:szCs w:val="24"/>
        </w:rPr>
        <w:t>ambrisentano</w:t>
      </w:r>
      <w:proofErr w:type="spellEnd"/>
      <w:r w:rsidRPr="00633873">
        <w:rPr>
          <w:rFonts w:ascii="Times New Roman" w:eastAsia="Times New Roman" w:hAnsi="Times New Roman" w:cs="Times New Roman"/>
          <w:snapToGrid w:val="0"/>
          <w:color w:val="0D0D0D"/>
          <w:szCs w:val="24"/>
        </w:rPr>
        <w:t xml:space="preserve"> išsiskiria į motinos pieną. </w:t>
      </w:r>
      <w:proofErr w:type="spellStart"/>
      <w:r w:rsidRPr="00633873">
        <w:rPr>
          <w:rFonts w:ascii="Times New Roman" w:eastAsia="Times New Roman" w:hAnsi="Times New Roman" w:cs="Times New Roman"/>
          <w:snapToGrid w:val="0"/>
          <w:color w:val="0D0D0D"/>
          <w:szCs w:val="24"/>
        </w:rPr>
        <w:t>Ambrisentano</w:t>
      </w:r>
      <w:proofErr w:type="spellEnd"/>
      <w:r w:rsidRPr="00633873">
        <w:rPr>
          <w:rFonts w:ascii="Times New Roman" w:eastAsia="Times New Roman" w:hAnsi="Times New Roman" w:cs="Times New Roman"/>
          <w:snapToGrid w:val="0"/>
          <w:color w:val="0D0D0D"/>
          <w:szCs w:val="24"/>
        </w:rPr>
        <w:t xml:space="preserve"> išskyrimas į gyvūnų pieną nebuvo tirtas,</w:t>
      </w:r>
      <w:r w:rsidR="00D8128A" w:rsidRPr="00633873">
        <w:rPr>
          <w:rFonts w:ascii="Times New Roman" w:eastAsia="Times New Roman" w:hAnsi="Times New Roman" w:cs="Times New Roman"/>
          <w:snapToGrid w:val="0"/>
          <w:color w:val="0D0D0D"/>
          <w:szCs w:val="24"/>
        </w:rPr>
        <w:t xml:space="preserve"> </w:t>
      </w:r>
      <w:r w:rsidRPr="00633873">
        <w:rPr>
          <w:rFonts w:ascii="Times New Roman" w:eastAsia="Times New Roman" w:hAnsi="Times New Roman" w:cs="Times New Roman"/>
          <w:snapToGrid w:val="0"/>
          <w:color w:val="0D0D0D"/>
          <w:szCs w:val="24"/>
        </w:rPr>
        <w:t xml:space="preserve">todėl </w:t>
      </w:r>
      <w:proofErr w:type="spellStart"/>
      <w:r w:rsidRPr="00633873">
        <w:rPr>
          <w:rFonts w:ascii="Times New Roman" w:eastAsia="Times New Roman" w:hAnsi="Times New Roman" w:cs="Times New Roman"/>
          <w:snapToGrid w:val="0"/>
          <w:color w:val="0D0D0D"/>
          <w:szCs w:val="24"/>
        </w:rPr>
        <w:t>ambrisentanu</w:t>
      </w:r>
      <w:proofErr w:type="spellEnd"/>
      <w:r w:rsidRPr="00633873">
        <w:rPr>
          <w:rFonts w:ascii="Times New Roman" w:eastAsia="Times New Roman" w:hAnsi="Times New Roman" w:cs="Times New Roman"/>
          <w:snapToGrid w:val="0"/>
          <w:color w:val="0D0D0D"/>
          <w:szCs w:val="24"/>
        </w:rPr>
        <w:t xml:space="preserve"> gydomoms pacientėms </w:t>
      </w:r>
      <w:r w:rsidR="00D8128A" w:rsidRPr="00633873">
        <w:rPr>
          <w:rFonts w:ascii="Times New Roman" w:eastAsia="Times New Roman" w:hAnsi="Times New Roman" w:cs="Times New Roman"/>
          <w:snapToGrid w:val="0"/>
          <w:color w:val="0D0D0D"/>
          <w:szCs w:val="24"/>
        </w:rPr>
        <w:t xml:space="preserve">žindyti </w:t>
      </w:r>
      <w:r w:rsidRPr="00633873">
        <w:rPr>
          <w:rFonts w:ascii="Times New Roman" w:eastAsia="Times New Roman" w:hAnsi="Times New Roman" w:cs="Times New Roman"/>
          <w:snapToGrid w:val="0"/>
          <w:color w:val="0D0D0D"/>
          <w:szCs w:val="24"/>
        </w:rPr>
        <w:t>negalima (žr. 4.3</w:t>
      </w:r>
      <w:r w:rsidR="002D3ECE" w:rsidRPr="00633873">
        <w:rPr>
          <w:rFonts w:ascii="Times New Roman" w:eastAsia="Times New Roman" w:hAnsi="Times New Roman" w:cs="Times New Roman"/>
          <w:snapToGrid w:val="0"/>
          <w:color w:val="0D0D0D"/>
          <w:szCs w:val="24"/>
        </w:rPr>
        <w:t> skyri</w:t>
      </w:r>
      <w:r w:rsidRPr="00633873">
        <w:rPr>
          <w:rFonts w:ascii="Times New Roman" w:eastAsia="Times New Roman" w:hAnsi="Times New Roman" w:cs="Times New Roman"/>
          <w:snapToGrid w:val="0"/>
          <w:color w:val="0D0D0D"/>
          <w:szCs w:val="24"/>
        </w:rPr>
        <w:t>ų).</w:t>
      </w:r>
    </w:p>
    <w:p w14:paraId="0EDA253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color w:val="0D0D0D"/>
          <w:szCs w:val="24"/>
        </w:rPr>
      </w:pPr>
    </w:p>
    <w:p w14:paraId="61D26321" w14:textId="40576BE4" w:rsidR="00A35A18" w:rsidRDefault="00A35A18" w:rsidP="00A35A18">
      <w:pPr>
        <w:tabs>
          <w:tab w:val="left" w:pos="567"/>
        </w:tabs>
        <w:spacing w:after="0" w:line="260" w:lineRule="exact"/>
        <w:rPr>
          <w:rFonts w:ascii="Times New Roman" w:eastAsia="Times New Roman" w:hAnsi="Times New Roman" w:cs="Times New Roman"/>
          <w:snapToGrid w:val="0"/>
          <w:color w:val="0D0D0D"/>
          <w:szCs w:val="24"/>
          <w:u w:val="single"/>
        </w:rPr>
      </w:pPr>
      <w:r w:rsidRPr="00633873">
        <w:rPr>
          <w:rFonts w:ascii="Times New Roman" w:eastAsia="Times New Roman" w:hAnsi="Times New Roman" w:cs="Times New Roman"/>
          <w:snapToGrid w:val="0"/>
          <w:color w:val="0D0D0D"/>
          <w:szCs w:val="24"/>
          <w:u w:val="single"/>
        </w:rPr>
        <w:t>Vyrų vaisingumas</w:t>
      </w:r>
    </w:p>
    <w:p w14:paraId="74D2F14D"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color w:val="0D0D0D"/>
          <w:szCs w:val="24"/>
          <w:u w:val="single"/>
        </w:rPr>
      </w:pPr>
    </w:p>
    <w:p w14:paraId="5F31D30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color w:val="0D0D0D"/>
          <w:szCs w:val="24"/>
        </w:rPr>
        <w:t xml:space="preserve">Gyvūnų patinams skiriant ilgą laiką ERA, įskaitant </w:t>
      </w:r>
      <w:proofErr w:type="spellStart"/>
      <w:r w:rsidRPr="00633873">
        <w:rPr>
          <w:rFonts w:ascii="Times New Roman" w:eastAsia="Times New Roman" w:hAnsi="Times New Roman" w:cs="Times New Roman"/>
          <w:snapToGrid w:val="0"/>
          <w:color w:val="0D0D0D"/>
          <w:szCs w:val="24"/>
        </w:rPr>
        <w:t>ambrisentaną</w:t>
      </w:r>
      <w:proofErr w:type="spellEnd"/>
      <w:r w:rsidRPr="00633873">
        <w:rPr>
          <w:rFonts w:ascii="Times New Roman" w:eastAsia="Times New Roman" w:hAnsi="Times New Roman" w:cs="Times New Roman"/>
          <w:snapToGrid w:val="0"/>
          <w:color w:val="0D0D0D"/>
          <w:szCs w:val="24"/>
        </w:rPr>
        <w:t>, pasireiškia sėklidžių kanalėlių atrofija (žr. 5.3</w:t>
      </w:r>
      <w:r w:rsidR="002D3ECE" w:rsidRPr="00633873">
        <w:rPr>
          <w:rFonts w:ascii="Times New Roman" w:eastAsia="Times New Roman" w:hAnsi="Times New Roman" w:cs="Times New Roman"/>
          <w:snapToGrid w:val="0"/>
          <w:color w:val="0D0D0D"/>
          <w:szCs w:val="24"/>
        </w:rPr>
        <w:t> skyri</w:t>
      </w:r>
      <w:r w:rsidRPr="00633873">
        <w:rPr>
          <w:rFonts w:ascii="Times New Roman" w:eastAsia="Times New Roman" w:hAnsi="Times New Roman" w:cs="Times New Roman"/>
          <w:snapToGrid w:val="0"/>
          <w:color w:val="0D0D0D"/>
          <w:szCs w:val="24"/>
        </w:rPr>
        <w:t xml:space="preserve">ų). Nors ARIES-E tyrimo metu nebuvo gauta aiškių įrodymų, kad ilgalaikis </w:t>
      </w:r>
      <w:proofErr w:type="spellStart"/>
      <w:r w:rsidRPr="00633873">
        <w:rPr>
          <w:rFonts w:ascii="Times New Roman" w:eastAsia="Times New Roman" w:hAnsi="Times New Roman" w:cs="Times New Roman"/>
          <w:snapToGrid w:val="0"/>
          <w:color w:val="0D0D0D"/>
          <w:szCs w:val="24"/>
        </w:rPr>
        <w:t>ambrisentano</w:t>
      </w:r>
      <w:proofErr w:type="spellEnd"/>
      <w:r w:rsidRPr="00633873">
        <w:rPr>
          <w:rFonts w:ascii="Times New Roman" w:eastAsia="Times New Roman" w:hAnsi="Times New Roman" w:cs="Times New Roman"/>
          <w:snapToGrid w:val="0"/>
          <w:color w:val="0D0D0D"/>
          <w:szCs w:val="24"/>
        </w:rPr>
        <w:t xml:space="preserve"> vartojimas sukelia žalingą poveikį spermatozoidų skaičiui, tačiau ilgalaikis </w:t>
      </w:r>
      <w:proofErr w:type="spellStart"/>
      <w:r w:rsidRPr="00633873">
        <w:rPr>
          <w:rFonts w:ascii="Times New Roman" w:eastAsia="Times New Roman" w:hAnsi="Times New Roman" w:cs="Times New Roman"/>
          <w:snapToGrid w:val="0"/>
          <w:color w:val="0D0D0D"/>
          <w:szCs w:val="24"/>
        </w:rPr>
        <w:t>ambrisentano</w:t>
      </w:r>
      <w:proofErr w:type="spellEnd"/>
      <w:r w:rsidR="00D8128A" w:rsidRPr="00633873">
        <w:rPr>
          <w:rFonts w:ascii="Times New Roman" w:eastAsia="Times New Roman" w:hAnsi="Times New Roman" w:cs="Times New Roman"/>
          <w:snapToGrid w:val="0"/>
          <w:color w:val="0D0D0D"/>
          <w:szCs w:val="24"/>
        </w:rPr>
        <w:t xml:space="preserve"> </w:t>
      </w:r>
      <w:r w:rsidR="002D3ECE" w:rsidRPr="00633873">
        <w:rPr>
          <w:rFonts w:ascii="Times New Roman" w:eastAsia="Times New Roman" w:hAnsi="Times New Roman" w:cs="Times New Roman"/>
          <w:snapToGrid w:val="0"/>
          <w:color w:val="0D0D0D"/>
          <w:szCs w:val="24"/>
        </w:rPr>
        <w:t>skyri</w:t>
      </w:r>
      <w:r w:rsidRPr="00633873">
        <w:rPr>
          <w:rFonts w:ascii="Times New Roman" w:eastAsia="Times New Roman" w:hAnsi="Times New Roman" w:cs="Times New Roman"/>
          <w:snapToGrid w:val="0"/>
          <w:color w:val="0D0D0D"/>
          <w:szCs w:val="24"/>
        </w:rPr>
        <w:t xml:space="preserve">mas buvo susijęs su </w:t>
      </w:r>
      <w:proofErr w:type="spellStart"/>
      <w:r w:rsidRPr="00633873">
        <w:rPr>
          <w:rFonts w:ascii="Times New Roman" w:eastAsia="Times New Roman" w:hAnsi="Times New Roman" w:cs="Times New Roman"/>
          <w:snapToGrid w:val="0"/>
          <w:color w:val="0D0D0D"/>
          <w:szCs w:val="24"/>
        </w:rPr>
        <w:t>spermatogenezės</w:t>
      </w:r>
      <w:proofErr w:type="spellEnd"/>
      <w:r w:rsidRPr="00633873">
        <w:rPr>
          <w:rFonts w:ascii="Times New Roman" w:eastAsia="Times New Roman" w:hAnsi="Times New Roman" w:cs="Times New Roman"/>
          <w:snapToGrid w:val="0"/>
          <w:color w:val="0D0D0D"/>
          <w:szCs w:val="24"/>
        </w:rPr>
        <w:t xml:space="preserve"> žymenų pokyčiais. Buvo stebėtas </w:t>
      </w:r>
      <w:proofErr w:type="spellStart"/>
      <w:r w:rsidRPr="00633873">
        <w:rPr>
          <w:rFonts w:ascii="Times New Roman" w:eastAsia="Times New Roman" w:hAnsi="Times New Roman" w:cs="Times New Roman"/>
          <w:snapToGrid w:val="0"/>
          <w:color w:val="0D0D0D"/>
          <w:szCs w:val="24"/>
        </w:rPr>
        <w:t>inhibino</w:t>
      </w:r>
      <w:proofErr w:type="spellEnd"/>
      <w:r w:rsidRPr="00633873">
        <w:rPr>
          <w:rFonts w:ascii="Times New Roman" w:eastAsia="Times New Roman" w:hAnsi="Times New Roman" w:cs="Times New Roman"/>
          <w:snapToGrid w:val="0"/>
          <w:color w:val="0D0D0D"/>
          <w:szCs w:val="24"/>
        </w:rPr>
        <w:t xml:space="preserve">-B koncentracijos kraujo plazmoje sumažėjimas ir FSH koncentracijos kraujo plazmoje padidėjimas. Poveikis vyrų vaisingumui nežinomas, bet žalingo poveikio </w:t>
      </w:r>
      <w:proofErr w:type="spellStart"/>
      <w:r w:rsidRPr="00633873">
        <w:rPr>
          <w:rFonts w:ascii="Times New Roman" w:eastAsia="Times New Roman" w:hAnsi="Times New Roman" w:cs="Times New Roman"/>
          <w:snapToGrid w:val="0"/>
          <w:color w:val="0D0D0D"/>
          <w:szCs w:val="24"/>
        </w:rPr>
        <w:t>spermatogenezei</w:t>
      </w:r>
      <w:proofErr w:type="spellEnd"/>
      <w:r w:rsidRPr="00633873">
        <w:rPr>
          <w:rFonts w:ascii="Times New Roman" w:eastAsia="Times New Roman" w:hAnsi="Times New Roman" w:cs="Times New Roman"/>
          <w:snapToGrid w:val="0"/>
          <w:color w:val="0D0D0D"/>
          <w:szCs w:val="24"/>
        </w:rPr>
        <w:t xml:space="preserve"> atmesti negalima. Klinikinių tyrimų metu ilgai skiriant </w:t>
      </w:r>
      <w:proofErr w:type="spellStart"/>
      <w:r w:rsidRPr="00633873">
        <w:rPr>
          <w:rFonts w:ascii="Times New Roman" w:eastAsia="Times New Roman" w:hAnsi="Times New Roman" w:cs="Times New Roman"/>
          <w:snapToGrid w:val="0"/>
          <w:color w:val="0D0D0D"/>
          <w:szCs w:val="24"/>
        </w:rPr>
        <w:t>ambrisentaną</w:t>
      </w:r>
      <w:proofErr w:type="spellEnd"/>
      <w:r w:rsidRPr="00633873">
        <w:rPr>
          <w:rFonts w:ascii="Times New Roman" w:eastAsia="Times New Roman" w:hAnsi="Times New Roman" w:cs="Times New Roman"/>
          <w:snapToGrid w:val="0"/>
          <w:color w:val="0D0D0D"/>
          <w:szCs w:val="24"/>
        </w:rPr>
        <w:t xml:space="preserve"> testosterono koncentracijos kraujo plazmoje pokyčių nestebėta.</w:t>
      </w:r>
      <w:r w:rsidRPr="00633873">
        <w:rPr>
          <w:rFonts w:ascii="Times New Roman" w:eastAsia="Times New Roman" w:hAnsi="Times New Roman" w:cs="Times New Roman"/>
          <w:snapToGrid w:val="0"/>
          <w:color w:val="0D0D0D"/>
          <w:szCs w:val="24"/>
        </w:rPr>
        <w:cr/>
      </w:r>
    </w:p>
    <w:p w14:paraId="1578F4C2"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4.7</w:t>
      </w:r>
      <w:r w:rsidRPr="00633873">
        <w:rPr>
          <w:rFonts w:ascii="Times New Roman" w:eastAsia="Times New Roman" w:hAnsi="Times New Roman" w:cs="Times New Roman"/>
          <w:b/>
          <w:kern w:val="28"/>
        </w:rPr>
        <w:tab/>
        <w:t>Poveikis gebėjimui vairuoti ir valdyti mechanizmus</w:t>
      </w:r>
    </w:p>
    <w:p w14:paraId="5C5261B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F7B558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gebėjimą vairuoti ir valdyti mechanizmus veikia silpnai arba vidutiniškai. Prieš nusprendžiant, ar pacientas gali užsiimti veikla, kuriai atlikti būtini gebėjimas apsispręsti bei motoriniai ir pažintiniai įgūdžiai, reikia atsižvelgti į paciento klinikinę būklę ir duomenis apie nepageidaujamas reakcijas į </w:t>
      </w:r>
      <w:proofErr w:type="spellStart"/>
      <w:r w:rsidRPr="00633873">
        <w:rPr>
          <w:rFonts w:ascii="Times New Roman" w:eastAsia="Times New Roman" w:hAnsi="Times New Roman" w:cs="Times New Roman"/>
          <w:snapToGrid w:val="0"/>
          <w:szCs w:val="24"/>
        </w:rPr>
        <w:t>ambrisentaną</w:t>
      </w:r>
      <w:proofErr w:type="spellEnd"/>
      <w:r w:rsidRPr="00633873">
        <w:rPr>
          <w:rFonts w:ascii="Times New Roman" w:eastAsia="Times New Roman" w:hAnsi="Times New Roman" w:cs="Times New Roman"/>
          <w:snapToGrid w:val="0"/>
          <w:szCs w:val="24"/>
        </w:rPr>
        <w:t xml:space="preserve"> (tokias kaip </w:t>
      </w:r>
      <w:proofErr w:type="spellStart"/>
      <w:r w:rsidRPr="00633873">
        <w:rPr>
          <w:rFonts w:ascii="Times New Roman" w:eastAsia="Times New Roman" w:hAnsi="Times New Roman" w:cs="Times New Roman"/>
          <w:snapToGrid w:val="0"/>
          <w:szCs w:val="24"/>
        </w:rPr>
        <w:t>hipotenzija</w:t>
      </w:r>
      <w:proofErr w:type="spellEnd"/>
      <w:r w:rsidRPr="00633873">
        <w:rPr>
          <w:rFonts w:ascii="Times New Roman" w:eastAsia="Times New Roman" w:hAnsi="Times New Roman" w:cs="Times New Roman"/>
          <w:snapToGrid w:val="0"/>
          <w:szCs w:val="24"/>
        </w:rPr>
        <w:t xml:space="preserve">, svaigulys, </w:t>
      </w:r>
      <w:proofErr w:type="spellStart"/>
      <w:r w:rsidRPr="00633873">
        <w:rPr>
          <w:rFonts w:ascii="Times New Roman" w:eastAsia="Times New Roman" w:hAnsi="Times New Roman" w:cs="Times New Roman"/>
          <w:snapToGrid w:val="0"/>
          <w:szCs w:val="24"/>
        </w:rPr>
        <w:t>astenija</w:t>
      </w:r>
      <w:proofErr w:type="spellEnd"/>
      <w:r w:rsidRPr="00633873">
        <w:rPr>
          <w:rFonts w:ascii="Times New Roman" w:eastAsia="Times New Roman" w:hAnsi="Times New Roman" w:cs="Times New Roman"/>
          <w:snapToGrid w:val="0"/>
          <w:szCs w:val="24"/>
        </w:rPr>
        <w:t>, nuovargis) (žr. 4.8</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 xml:space="preserve">ų). Prieš vairavimą arba mechanizmų valdymą pacientus reikia perspėti apie tai, kaip juos gali paveikti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w:t>
      </w:r>
    </w:p>
    <w:p w14:paraId="198D617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FE1770F"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4.8</w:t>
      </w:r>
      <w:r w:rsidRPr="00633873">
        <w:rPr>
          <w:rFonts w:ascii="Times New Roman" w:eastAsia="Times New Roman" w:hAnsi="Times New Roman" w:cs="Times New Roman"/>
          <w:b/>
          <w:kern w:val="28"/>
        </w:rPr>
        <w:tab/>
        <w:t>Nepageidaujamas poveikis</w:t>
      </w:r>
    </w:p>
    <w:p w14:paraId="67A1704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75E7C30" w14:textId="318A74B6" w:rsidR="00A35A18" w:rsidRDefault="00A35A18" w:rsidP="00A35A18">
      <w:pPr>
        <w:tabs>
          <w:tab w:val="left" w:pos="567"/>
        </w:tabs>
        <w:spacing w:after="0" w:line="260" w:lineRule="exact"/>
        <w:rPr>
          <w:rFonts w:ascii="Times New Roman" w:eastAsia="Times New Roman" w:hAnsi="Times New Roman" w:cs="Times New Roman"/>
          <w:snapToGrid w:val="0"/>
          <w:u w:val="single"/>
        </w:rPr>
      </w:pPr>
      <w:r w:rsidRPr="00633873">
        <w:rPr>
          <w:rFonts w:ascii="Times New Roman" w:eastAsia="Times New Roman" w:hAnsi="Times New Roman" w:cs="Times New Roman"/>
          <w:snapToGrid w:val="0"/>
          <w:u w:val="single"/>
        </w:rPr>
        <w:t>Saugumo duomenų santrauka</w:t>
      </w:r>
    </w:p>
    <w:p w14:paraId="27AC3EB7"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u w:val="single"/>
        </w:rPr>
      </w:pPr>
    </w:p>
    <w:p w14:paraId="712E891D" w14:textId="028BE6F8" w:rsidR="00A35A18"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rPr>
        <w:t xml:space="preserve">Nepageidaujamos reakcijos, dažniausiai stebėtos vartojant </w:t>
      </w:r>
      <w:proofErr w:type="spellStart"/>
      <w:r w:rsidRPr="00633873">
        <w:rPr>
          <w:rFonts w:ascii="Times New Roman" w:eastAsia="Times New Roman" w:hAnsi="Times New Roman" w:cs="Times New Roman"/>
          <w:snapToGrid w:val="0"/>
        </w:rPr>
        <w:t>ambrisentaną</w:t>
      </w:r>
      <w:proofErr w:type="spellEnd"/>
      <w:r w:rsidRPr="00633873">
        <w:rPr>
          <w:rFonts w:ascii="Times New Roman" w:eastAsia="Times New Roman" w:hAnsi="Times New Roman" w:cs="Times New Roman"/>
          <w:snapToGrid w:val="0"/>
        </w:rPr>
        <w:t>, yra periferinė edema</w:t>
      </w:r>
      <w:r w:rsidR="00E160F9" w:rsidRPr="00633873">
        <w:rPr>
          <w:rFonts w:ascii="Times New Roman" w:eastAsia="Times New Roman" w:hAnsi="Times New Roman" w:cs="Times New Roman"/>
          <w:snapToGrid w:val="0"/>
        </w:rPr>
        <w:t xml:space="preserve"> (37 %)</w:t>
      </w:r>
      <w:r w:rsidRPr="00633873">
        <w:rPr>
          <w:rFonts w:ascii="Times New Roman" w:eastAsia="Times New Roman" w:hAnsi="Times New Roman" w:cs="Times New Roman"/>
          <w:snapToGrid w:val="0"/>
        </w:rPr>
        <w:t xml:space="preserve"> ir galvos skausmas </w:t>
      </w:r>
      <w:r w:rsidR="00E160F9" w:rsidRPr="00633873">
        <w:rPr>
          <w:rFonts w:ascii="Times New Roman" w:eastAsia="Times New Roman" w:hAnsi="Times New Roman" w:cs="Times New Roman"/>
          <w:snapToGrid w:val="0"/>
        </w:rPr>
        <w:t>(28 %)</w:t>
      </w:r>
      <w:r w:rsidRPr="00633873">
        <w:rPr>
          <w:rFonts w:ascii="Times New Roman" w:eastAsia="Times New Roman" w:hAnsi="Times New Roman" w:cs="Times New Roman"/>
          <w:snapToGrid w:val="0"/>
        </w:rPr>
        <w:t>. Didesnė dozė (10 mg) buvo susijusi su dažnesniu šių nepageidaujamų reakcijų pasireiškimu ir stebėta sunkesnės periferinės edemos tendencija ≥ 65 metų pacientams trumpalaikių klinikinių tyrimų metu (žr. 4.4</w:t>
      </w:r>
      <w:r w:rsidR="002D3ECE" w:rsidRPr="00633873">
        <w:rPr>
          <w:rFonts w:ascii="Times New Roman" w:eastAsia="Times New Roman" w:hAnsi="Times New Roman" w:cs="Times New Roman"/>
          <w:snapToGrid w:val="0"/>
        </w:rPr>
        <w:t> skyri</w:t>
      </w:r>
      <w:r w:rsidRPr="00633873">
        <w:rPr>
          <w:rFonts w:ascii="Times New Roman" w:eastAsia="Times New Roman" w:hAnsi="Times New Roman" w:cs="Times New Roman"/>
          <w:snapToGrid w:val="0"/>
        </w:rPr>
        <w:t>ų).</w:t>
      </w:r>
    </w:p>
    <w:p w14:paraId="4C28632D" w14:textId="77777777" w:rsidR="00057907" w:rsidRPr="00633873" w:rsidRDefault="00057907" w:rsidP="00A35A18">
      <w:pPr>
        <w:tabs>
          <w:tab w:val="left" w:pos="567"/>
        </w:tabs>
        <w:spacing w:after="0" w:line="260" w:lineRule="exact"/>
        <w:rPr>
          <w:rFonts w:ascii="Times New Roman" w:eastAsia="Times New Roman" w:hAnsi="Times New Roman" w:cs="Times New Roman"/>
          <w:snapToGrid w:val="0"/>
        </w:rPr>
      </w:pPr>
    </w:p>
    <w:p w14:paraId="00531A45" w14:textId="37359295" w:rsidR="00E160F9" w:rsidRDefault="00E160F9" w:rsidP="00E160F9">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rPr>
        <w:lastRenderedPageBreak/>
        <w:t xml:space="preserve">Sunkios su </w:t>
      </w:r>
      <w:proofErr w:type="spellStart"/>
      <w:r w:rsidRPr="00633873">
        <w:rPr>
          <w:rFonts w:ascii="Times New Roman" w:eastAsia="Times New Roman" w:hAnsi="Times New Roman" w:cs="Times New Roman"/>
          <w:snapToGrid w:val="0"/>
        </w:rPr>
        <w:t>ambrisentano</w:t>
      </w:r>
      <w:proofErr w:type="spellEnd"/>
      <w:r w:rsidRPr="00633873">
        <w:rPr>
          <w:rFonts w:ascii="Times New Roman" w:eastAsia="Times New Roman" w:hAnsi="Times New Roman" w:cs="Times New Roman"/>
          <w:snapToGrid w:val="0"/>
        </w:rPr>
        <w:t xml:space="preserve"> vartojimu susijusios nepageidaujamos reakcijos yra anemija (sumažėjusi hemoglobino koncentracija, sumažėjęs </w:t>
      </w:r>
      <w:proofErr w:type="spellStart"/>
      <w:r w:rsidRPr="00633873">
        <w:rPr>
          <w:rFonts w:ascii="Times New Roman" w:eastAsia="Times New Roman" w:hAnsi="Times New Roman" w:cs="Times New Roman"/>
          <w:snapToGrid w:val="0"/>
        </w:rPr>
        <w:t>hematokrito</w:t>
      </w:r>
      <w:proofErr w:type="spellEnd"/>
      <w:r w:rsidRPr="00633873">
        <w:rPr>
          <w:rFonts w:ascii="Times New Roman" w:eastAsia="Times New Roman" w:hAnsi="Times New Roman" w:cs="Times New Roman"/>
          <w:snapToGrid w:val="0"/>
        </w:rPr>
        <w:t xml:space="preserve"> rodmuo) ir toksinis poveikis kepenims.</w:t>
      </w:r>
    </w:p>
    <w:p w14:paraId="1D453D4A" w14:textId="77777777" w:rsidR="00057907" w:rsidRPr="00633873" w:rsidRDefault="00057907" w:rsidP="00E160F9">
      <w:pPr>
        <w:tabs>
          <w:tab w:val="left" w:pos="567"/>
        </w:tabs>
        <w:spacing w:after="0" w:line="260" w:lineRule="exact"/>
        <w:rPr>
          <w:rFonts w:ascii="Times New Roman" w:eastAsia="Times New Roman" w:hAnsi="Times New Roman" w:cs="Times New Roman"/>
          <w:snapToGrid w:val="0"/>
        </w:rPr>
      </w:pPr>
    </w:p>
    <w:p w14:paraId="0F2374C1" w14:textId="0856FDC7" w:rsidR="00E160F9" w:rsidRDefault="00E160F9" w:rsidP="00E160F9">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rPr>
        <w:t xml:space="preserve">Buvo su ERA, įskaitant </w:t>
      </w:r>
      <w:proofErr w:type="spellStart"/>
      <w:r w:rsidRPr="00633873">
        <w:rPr>
          <w:rFonts w:ascii="Times New Roman" w:eastAsia="Times New Roman" w:hAnsi="Times New Roman" w:cs="Times New Roman"/>
          <w:snapToGrid w:val="0"/>
        </w:rPr>
        <w:t>ambrisentaną</w:t>
      </w:r>
      <w:proofErr w:type="spellEnd"/>
      <w:r w:rsidRPr="00633873">
        <w:rPr>
          <w:rFonts w:ascii="Times New Roman" w:eastAsia="Times New Roman" w:hAnsi="Times New Roman" w:cs="Times New Roman"/>
          <w:snapToGrid w:val="0"/>
        </w:rPr>
        <w:t xml:space="preserve">, vartojimu susijusio hemoglobino koncentracijos ir </w:t>
      </w:r>
      <w:proofErr w:type="spellStart"/>
      <w:r w:rsidRPr="00633873">
        <w:rPr>
          <w:rFonts w:ascii="Times New Roman" w:eastAsia="Times New Roman" w:hAnsi="Times New Roman" w:cs="Times New Roman"/>
          <w:snapToGrid w:val="0"/>
        </w:rPr>
        <w:t>hematokrito</w:t>
      </w:r>
      <w:proofErr w:type="spellEnd"/>
      <w:r w:rsidRPr="00633873">
        <w:rPr>
          <w:rFonts w:ascii="Times New Roman" w:eastAsia="Times New Roman" w:hAnsi="Times New Roman" w:cs="Times New Roman"/>
          <w:snapToGrid w:val="0"/>
        </w:rPr>
        <w:t xml:space="preserve"> rodmens sumažėjimo atvejų (10 %). Dažniausiai toks sumažėjimas būdavo nustatomas per pirmąsias 4 gydymo savaites ir po to hemoglobino koncentracija paprastai stabilizuodavosi (žr. 4.4 skyrių).</w:t>
      </w:r>
    </w:p>
    <w:p w14:paraId="0C5272D1" w14:textId="77777777" w:rsidR="00057907" w:rsidRPr="00633873" w:rsidRDefault="00057907" w:rsidP="00E160F9">
      <w:pPr>
        <w:tabs>
          <w:tab w:val="left" w:pos="567"/>
        </w:tabs>
        <w:spacing w:after="0" w:line="260" w:lineRule="exact"/>
        <w:rPr>
          <w:rFonts w:ascii="Times New Roman" w:eastAsia="Times New Roman" w:hAnsi="Times New Roman" w:cs="Times New Roman"/>
          <w:snapToGrid w:val="0"/>
        </w:rPr>
      </w:pPr>
    </w:p>
    <w:p w14:paraId="214F1486" w14:textId="41BDFEC0" w:rsidR="00A35A18" w:rsidRPr="00633873" w:rsidRDefault="00E160F9" w:rsidP="00E160F9">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rPr>
        <w:t xml:space="preserve">Vartojant </w:t>
      </w:r>
      <w:proofErr w:type="spellStart"/>
      <w:r w:rsidRPr="00633873">
        <w:rPr>
          <w:rFonts w:ascii="Times New Roman" w:eastAsia="Times New Roman" w:hAnsi="Times New Roman" w:cs="Times New Roman"/>
          <w:snapToGrid w:val="0"/>
        </w:rPr>
        <w:t>ambrisentano</w:t>
      </w:r>
      <w:proofErr w:type="spellEnd"/>
      <w:r w:rsidRPr="00633873">
        <w:rPr>
          <w:rFonts w:ascii="Times New Roman" w:eastAsia="Times New Roman" w:hAnsi="Times New Roman" w:cs="Times New Roman"/>
          <w:snapToGrid w:val="0"/>
        </w:rPr>
        <w:t xml:space="preserve"> buvo kepenų fermentų aktyvumo padidėjimo (2 %), kepenų pažeidimo ir autoimuninio hepatito (įskaitant esamos ligos paūmėjimą) atvejų (žr. 4.4 ir 5.1 skyrius).</w:t>
      </w:r>
    </w:p>
    <w:p w14:paraId="30E2DC73" w14:textId="77777777" w:rsidR="00E160F9" w:rsidRPr="00633873" w:rsidRDefault="00E160F9" w:rsidP="00E160F9">
      <w:pPr>
        <w:tabs>
          <w:tab w:val="left" w:pos="567"/>
        </w:tabs>
        <w:spacing w:after="0" w:line="260" w:lineRule="exact"/>
        <w:rPr>
          <w:rFonts w:ascii="Times New Roman" w:eastAsia="Times New Roman" w:hAnsi="Times New Roman" w:cs="Times New Roman"/>
          <w:snapToGrid w:val="0"/>
        </w:rPr>
      </w:pPr>
    </w:p>
    <w:p w14:paraId="71D31D3D" w14:textId="0FFCA502" w:rsidR="00A35A18" w:rsidRDefault="00A35A18" w:rsidP="00A35A18">
      <w:pPr>
        <w:tabs>
          <w:tab w:val="left" w:pos="567"/>
        </w:tabs>
        <w:spacing w:after="0" w:line="260" w:lineRule="exact"/>
        <w:rPr>
          <w:rFonts w:ascii="Times New Roman" w:eastAsia="Times New Roman" w:hAnsi="Times New Roman" w:cs="Times New Roman"/>
          <w:snapToGrid w:val="0"/>
          <w:u w:val="single"/>
        </w:rPr>
      </w:pPr>
      <w:r w:rsidRPr="00633873">
        <w:rPr>
          <w:rFonts w:ascii="Times New Roman" w:eastAsia="Times New Roman" w:hAnsi="Times New Roman" w:cs="Times New Roman"/>
          <w:snapToGrid w:val="0"/>
          <w:u w:val="single"/>
        </w:rPr>
        <w:t xml:space="preserve">Nepageidaujamų reakcijų </w:t>
      </w:r>
      <w:r w:rsidR="00D806F4" w:rsidRPr="00633873">
        <w:rPr>
          <w:rFonts w:ascii="Times New Roman" w:eastAsia="Times New Roman" w:hAnsi="Times New Roman" w:cs="Times New Roman"/>
          <w:snapToGrid w:val="0"/>
          <w:u w:val="single"/>
        </w:rPr>
        <w:t>santrauka</w:t>
      </w:r>
      <w:r w:rsidRPr="00633873">
        <w:rPr>
          <w:rFonts w:ascii="Times New Roman" w:eastAsia="Times New Roman" w:hAnsi="Times New Roman" w:cs="Times New Roman"/>
          <w:snapToGrid w:val="0"/>
          <w:u w:val="single"/>
        </w:rPr>
        <w:t xml:space="preserve"> lentelėje</w:t>
      </w:r>
    </w:p>
    <w:p w14:paraId="6A52E92F"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u w:val="single"/>
        </w:rPr>
      </w:pPr>
    </w:p>
    <w:p w14:paraId="4B158EB7" w14:textId="1B2BD086"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rPr>
        <w:t xml:space="preserve">Nepageidaujamo poveikio </w:t>
      </w:r>
      <w:r w:rsidRPr="00633873">
        <w:rPr>
          <w:rFonts w:ascii="Times New Roman" w:eastAsia="Times New Roman" w:hAnsi="Times New Roman" w:cs="Times New Roman"/>
          <w:snapToGrid w:val="0"/>
          <w:szCs w:val="20"/>
        </w:rPr>
        <w:t>dažnis apibūdinamas taip: labai dažnas (≥ 1/10), dažnas (nuo ≥ 1/100 iki &lt; 1/10), nedažnas (nuo ≥ 1/1</w:t>
      </w:r>
      <w:r w:rsidR="00E160F9"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000 iki &lt; 1/100), retas (nuo ≥ 1/10</w:t>
      </w:r>
      <w:r w:rsidR="00E160F9"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000 iki &lt; 1/1</w:t>
      </w:r>
      <w:r w:rsidR="00E160F9"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000), labai retas (&lt; 1/10</w:t>
      </w:r>
      <w:r w:rsidR="00E160F9"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000) ir nežinomas (negali būti apskaičiuotas pagal turimus duomenis</w:t>
      </w:r>
      <w:r w:rsidRPr="00633873">
        <w:rPr>
          <w:rFonts w:ascii="Times New Roman" w:eastAsia="Times New Roman" w:hAnsi="Times New Roman" w:cs="Times New Roman"/>
          <w:snapToGrid w:val="0"/>
        </w:rPr>
        <w:t xml:space="preserve">). Kiekvienoje dažnio grupėje nepageidaujamos reakcijos pateikiamos mažėjančio sunkumo tvarka. </w:t>
      </w:r>
    </w:p>
    <w:p w14:paraId="1510EF8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u w:val="single"/>
        </w:rPr>
      </w:pPr>
    </w:p>
    <w:tbl>
      <w:tblPr>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1725"/>
        <w:gridCol w:w="5365"/>
      </w:tblGrid>
      <w:tr w:rsidR="002D597B" w:rsidRPr="00633873" w14:paraId="5973D75F" w14:textId="77777777" w:rsidTr="00683000">
        <w:tc>
          <w:tcPr>
            <w:tcW w:w="2304" w:type="dxa"/>
          </w:tcPr>
          <w:p w14:paraId="1923441F" w14:textId="7B58CAD1" w:rsidR="002D597B" w:rsidRPr="00633873" w:rsidRDefault="002D597B" w:rsidP="001E7EFF">
            <w:pPr>
              <w:contextualSpacing/>
              <w:rPr>
                <w:rFonts w:ascii="Times New Roman" w:eastAsia="Times New Roman" w:hAnsi="Times New Roman" w:cs="Times New Roman"/>
              </w:rPr>
            </w:pPr>
            <w:r w:rsidRPr="00633873">
              <w:rPr>
                <w:rFonts w:ascii="Times New Roman" w:hAnsi="Times New Roman" w:cs="Times New Roman"/>
                <w:b/>
              </w:rPr>
              <w:t>Organų sistemų klasė</w:t>
            </w:r>
          </w:p>
        </w:tc>
        <w:tc>
          <w:tcPr>
            <w:tcW w:w="1725" w:type="dxa"/>
          </w:tcPr>
          <w:p w14:paraId="78F91F2B" w14:textId="19BA91F6" w:rsidR="002D597B" w:rsidRPr="00633873" w:rsidRDefault="002D597B" w:rsidP="001E7EFF">
            <w:pPr>
              <w:contextualSpacing/>
              <w:rPr>
                <w:rFonts w:ascii="Times New Roman" w:eastAsia="Times New Roman" w:hAnsi="Times New Roman" w:cs="Times New Roman"/>
              </w:rPr>
            </w:pPr>
            <w:r w:rsidRPr="00633873">
              <w:rPr>
                <w:rFonts w:ascii="Times New Roman" w:hAnsi="Times New Roman" w:cs="Times New Roman"/>
                <w:b/>
              </w:rPr>
              <w:t>Dažnis</w:t>
            </w:r>
          </w:p>
        </w:tc>
        <w:tc>
          <w:tcPr>
            <w:tcW w:w="5365" w:type="dxa"/>
          </w:tcPr>
          <w:p w14:paraId="082DA086" w14:textId="5B04F61C" w:rsidR="002D597B" w:rsidRPr="00633873" w:rsidRDefault="002D597B" w:rsidP="001E7EFF">
            <w:pPr>
              <w:contextualSpacing/>
              <w:rPr>
                <w:rFonts w:ascii="Times New Roman" w:eastAsia="Times New Roman" w:hAnsi="Times New Roman" w:cs="Times New Roman"/>
                <w:b/>
                <w:bCs/>
              </w:rPr>
            </w:pPr>
            <w:r w:rsidRPr="00633873">
              <w:rPr>
                <w:rFonts w:ascii="Times New Roman" w:eastAsia="Times New Roman" w:hAnsi="Times New Roman" w:cs="Times New Roman"/>
                <w:b/>
                <w:bCs/>
              </w:rPr>
              <w:t>Nepageidaujama (</w:t>
            </w:r>
            <w:r w:rsidRPr="00633873">
              <w:rPr>
                <w:rFonts w:ascii="Times New Roman" w:eastAsia="Times New Roman" w:hAnsi="Times New Roman" w:cs="Times New Roman"/>
                <w:b/>
                <w:bCs/>
              </w:rPr>
              <w:noBreakHyphen/>
            </w:r>
            <w:proofErr w:type="spellStart"/>
            <w:r w:rsidRPr="00633873">
              <w:rPr>
                <w:rFonts w:ascii="Times New Roman" w:eastAsia="Times New Roman" w:hAnsi="Times New Roman" w:cs="Times New Roman"/>
                <w:b/>
                <w:bCs/>
              </w:rPr>
              <w:t>os</w:t>
            </w:r>
            <w:proofErr w:type="spellEnd"/>
            <w:r w:rsidRPr="00633873">
              <w:rPr>
                <w:rFonts w:ascii="Times New Roman" w:eastAsia="Times New Roman" w:hAnsi="Times New Roman" w:cs="Times New Roman"/>
                <w:b/>
                <w:bCs/>
              </w:rPr>
              <w:t>) reakcija (</w:t>
            </w:r>
            <w:r w:rsidRPr="00633873">
              <w:rPr>
                <w:rFonts w:ascii="Times New Roman" w:eastAsia="Times New Roman" w:hAnsi="Times New Roman" w:cs="Times New Roman"/>
                <w:b/>
                <w:bCs/>
              </w:rPr>
              <w:noBreakHyphen/>
            </w:r>
            <w:proofErr w:type="spellStart"/>
            <w:r w:rsidRPr="00633873">
              <w:rPr>
                <w:rFonts w:ascii="Times New Roman" w:eastAsia="Times New Roman" w:hAnsi="Times New Roman" w:cs="Times New Roman"/>
                <w:b/>
                <w:bCs/>
              </w:rPr>
              <w:t>os</w:t>
            </w:r>
            <w:proofErr w:type="spellEnd"/>
            <w:r w:rsidRPr="00633873">
              <w:rPr>
                <w:rFonts w:ascii="Times New Roman" w:eastAsia="Times New Roman" w:hAnsi="Times New Roman" w:cs="Times New Roman"/>
                <w:b/>
                <w:bCs/>
              </w:rPr>
              <w:t>)</w:t>
            </w:r>
          </w:p>
        </w:tc>
      </w:tr>
      <w:tr w:rsidR="002D597B" w:rsidRPr="00633873" w14:paraId="56A07CB3" w14:textId="77777777" w:rsidTr="00683000">
        <w:tc>
          <w:tcPr>
            <w:tcW w:w="2304" w:type="dxa"/>
          </w:tcPr>
          <w:p w14:paraId="4C1A352C" w14:textId="7118D82B" w:rsidR="002D597B" w:rsidRPr="00633873" w:rsidRDefault="002D597B" w:rsidP="001E7EFF">
            <w:pPr>
              <w:contextualSpacing/>
              <w:rPr>
                <w:rFonts w:ascii="Times New Roman" w:eastAsia="Times New Roman" w:hAnsi="Times New Roman" w:cs="Times New Roman"/>
              </w:rPr>
            </w:pPr>
            <w:r w:rsidRPr="00633873">
              <w:rPr>
                <w:rFonts w:ascii="Times New Roman" w:hAnsi="Times New Roman" w:cs="Times New Roman"/>
              </w:rPr>
              <w:t>Kraujo limfinės sistemos sutrikimai</w:t>
            </w:r>
          </w:p>
        </w:tc>
        <w:tc>
          <w:tcPr>
            <w:tcW w:w="1725" w:type="dxa"/>
          </w:tcPr>
          <w:p w14:paraId="2476B4C6" w14:textId="350F74B0" w:rsidR="002D597B" w:rsidRPr="00633873" w:rsidRDefault="002D597B" w:rsidP="001E7EFF">
            <w:pPr>
              <w:contextualSpacing/>
              <w:rPr>
                <w:rFonts w:ascii="Times New Roman" w:eastAsia="Times New Roman" w:hAnsi="Times New Roman" w:cs="Times New Roman"/>
              </w:rPr>
            </w:pPr>
            <w:r w:rsidRPr="00633873">
              <w:rPr>
                <w:rFonts w:ascii="Times New Roman" w:hAnsi="Times New Roman" w:cs="Times New Roman"/>
              </w:rPr>
              <w:t>Labai dažnas</w:t>
            </w:r>
          </w:p>
        </w:tc>
        <w:tc>
          <w:tcPr>
            <w:tcW w:w="5365" w:type="dxa"/>
          </w:tcPr>
          <w:p w14:paraId="7901D6F5" w14:textId="60E1FAE3" w:rsidR="002D597B" w:rsidRPr="00633873" w:rsidRDefault="002D597B" w:rsidP="001E7EFF">
            <w:pPr>
              <w:contextualSpacing/>
              <w:rPr>
                <w:rFonts w:ascii="Times New Roman" w:eastAsia="MS Mincho" w:hAnsi="Times New Roman" w:cs="Times New Roman"/>
              </w:rPr>
            </w:pPr>
            <w:r w:rsidRPr="00633873">
              <w:rPr>
                <w:rFonts w:ascii="Times New Roman" w:hAnsi="Times New Roman" w:cs="Times New Roman"/>
              </w:rPr>
              <w:t xml:space="preserve">Anemija (hemoglobino koncentracijos sumažėjimas, </w:t>
            </w:r>
            <w:proofErr w:type="spellStart"/>
            <w:r w:rsidRPr="00633873">
              <w:rPr>
                <w:rFonts w:ascii="Times New Roman" w:hAnsi="Times New Roman" w:cs="Times New Roman"/>
              </w:rPr>
              <w:t>hematokrito</w:t>
            </w:r>
            <w:proofErr w:type="spellEnd"/>
            <w:r w:rsidRPr="00633873">
              <w:rPr>
                <w:rFonts w:ascii="Times New Roman" w:hAnsi="Times New Roman" w:cs="Times New Roman"/>
              </w:rPr>
              <w:t xml:space="preserve"> rodmens sumažėjimas)</w:t>
            </w:r>
            <w:r w:rsidRPr="00633873">
              <w:rPr>
                <w:rFonts w:ascii="Times New Roman" w:hAnsi="Times New Roman" w:cs="Times New Roman"/>
                <w:vertAlign w:val="superscript"/>
              </w:rPr>
              <w:t>1</w:t>
            </w:r>
          </w:p>
        </w:tc>
      </w:tr>
      <w:tr w:rsidR="002D597B" w:rsidRPr="00633873" w14:paraId="3BBCC312" w14:textId="77777777" w:rsidTr="00683000">
        <w:tc>
          <w:tcPr>
            <w:tcW w:w="2304" w:type="dxa"/>
          </w:tcPr>
          <w:p w14:paraId="65DCB711" w14:textId="424A4F31" w:rsidR="002D597B" w:rsidRPr="00633873" w:rsidRDefault="002D597B" w:rsidP="001E7EFF">
            <w:pPr>
              <w:contextualSpacing/>
              <w:rPr>
                <w:rFonts w:ascii="Times New Roman" w:eastAsia="Times New Roman" w:hAnsi="Times New Roman" w:cs="Times New Roman"/>
              </w:rPr>
            </w:pPr>
            <w:r w:rsidRPr="00633873">
              <w:rPr>
                <w:rFonts w:ascii="Times New Roman" w:hAnsi="Times New Roman" w:cs="Times New Roman"/>
              </w:rPr>
              <w:t>Imuninės sistemos sutrikimai</w:t>
            </w:r>
          </w:p>
        </w:tc>
        <w:tc>
          <w:tcPr>
            <w:tcW w:w="1725" w:type="dxa"/>
          </w:tcPr>
          <w:p w14:paraId="5F67F16C" w14:textId="4A603F47" w:rsidR="002D597B" w:rsidRPr="00633873" w:rsidRDefault="002D597B" w:rsidP="001E7EFF">
            <w:pPr>
              <w:contextualSpacing/>
              <w:rPr>
                <w:rFonts w:ascii="Times New Roman" w:eastAsia="Times New Roman" w:hAnsi="Times New Roman" w:cs="Times New Roman"/>
              </w:rPr>
            </w:pPr>
            <w:r w:rsidRPr="00633873">
              <w:rPr>
                <w:rFonts w:ascii="Times New Roman" w:hAnsi="Times New Roman" w:cs="Times New Roman"/>
              </w:rPr>
              <w:t>Dažnas</w:t>
            </w:r>
          </w:p>
        </w:tc>
        <w:tc>
          <w:tcPr>
            <w:tcW w:w="5365" w:type="dxa"/>
          </w:tcPr>
          <w:p w14:paraId="31A5ABCE" w14:textId="7EAFC5FF" w:rsidR="002D597B" w:rsidRPr="00633873" w:rsidRDefault="002D597B" w:rsidP="001E7EFF">
            <w:pPr>
              <w:contextualSpacing/>
              <w:rPr>
                <w:rFonts w:ascii="Times New Roman" w:eastAsia="MS Mincho" w:hAnsi="Times New Roman" w:cs="Times New Roman"/>
              </w:rPr>
            </w:pPr>
            <w:r w:rsidRPr="00633873">
              <w:rPr>
                <w:rFonts w:ascii="Times New Roman" w:hAnsi="Times New Roman" w:cs="Times New Roman"/>
              </w:rPr>
              <w:t xml:space="preserve">Padidėjusio jautrumo reakcijos (pvz., </w:t>
            </w:r>
            <w:proofErr w:type="spellStart"/>
            <w:r w:rsidRPr="00633873">
              <w:rPr>
                <w:rFonts w:ascii="Times New Roman" w:hAnsi="Times New Roman" w:cs="Times New Roman"/>
              </w:rPr>
              <w:t>angioneurozinė</w:t>
            </w:r>
            <w:proofErr w:type="spellEnd"/>
            <w:r w:rsidRPr="00633873">
              <w:rPr>
                <w:rFonts w:ascii="Times New Roman" w:hAnsi="Times New Roman" w:cs="Times New Roman"/>
              </w:rPr>
              <w:t xml:space="preserve"> edema, išbėrimas, niežėjimas)</w:t>
            </w:r>
          </w:p>
        </w:tc>
      </w:tr>
      <w:tr w:rsidR="002D597B" w:rsidRPr="00683000" w14:paraId="459FA38A" w14:textId="77777777" w:rsidTr="00683000">
        <w:tc>
          <w:tcPr>
            <w:tcW w:w="2304" w:type="dxa"/>
          </w:tcPr>
          <w:p w14:paraId="53945D15" w14:textId="238D542A"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Nervų sistemos sutrikimai</w:t>
            </w:r>
          </w:p>
        </w:tc>
        <w:tc>
          <w:tcPr>
            <w:tcW w:w="1725" w:type="dxa"/>
          </w:tcPr>
          <w:p w14:paraId="7DC3DCC5" w14:textId="286D84D2"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Labai dažnas</w:t>
            </w:r>
          </w:p>
        </w:tc>
        <w:tc>
          <w:tcPr>
            <w:tcW w:w="5365" w:type="dxa"/>
          </w:tcPr>
          <w:p w14:paraId="5DF97237" w14:textId="541F315D" w:rsidR="002D597B" w:rsidRPr="00633873" w:rsidRDefault="002D597B" w:rsidP="002D597B">
            <w:pPr>
              <w:pStyle w:val="Default"/>
              <w:rPr>
                <w:lang w:val="lt-LT"/>
              </w:rPr>
            </w:pPr>
            <w:r w:rsidRPr="00633873">
              <w:rPr>
                <w:sz w:val="22"/>
                <w:szCs w:val="22"/>
                <w:lang w:val="lt-LT"/>
              </w:rPr>
              <w:t>Galvos skausmas (įskaitant galvos skausmą prienosinių ančių srityje, migreną)</w:t>
            </w:r>
            <w:r w:rsidRPr="00633873">
              <w:rPr>
                <w:sz w:val="22"/>
                <w:szCs w:val="22"/>
                <w:vertAlign w:val="superscript"/>
                <w:lang w:val="lt-LT"/>
              </w:rPr>
              <w:t>2</w:t>
            </w:r>
            <w:r w:rsidRPr="00633873">
              <w:rPr>
                <w:sz w:val="22"/>
                <w:szCs w:val="22"/>
                <w:lang w:val="lt-LT"/>
              </w:rPr>
              <w:t xml:space="preserve">, svaigulys </w:t>
            </w:r>
          </w:p>
        </w:tc>
      </w:tr>
      <w:tr w:rsidR="002D597B" w:rsidRPr="00683000" w14:paraId="1EC35D32" w14:textId="77777777" w:rsidTr="00683000">
        <w:tc>
          <w:tcPr>
            <w:tcW w:w="2304" w:type="dxa"/>
          </w:tcPr>
          <w:p w14:paraId="1851ACC4" w14:textId="7F8631A6"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Akių sutrikimai</w:t>
            </w:r>
          </w:p>
        </w:tc>
        <w:tc>
          <w:tcPr>
            <w:tcW w:w="1725" w:type="dxa"/>
          </w:tcPr>
          <w:p w14:paraId="105DA78F" w14:textId="4216CEA1"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73F1CFF2" w14:textId="0FCEC686"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Miglotas matymas, regėjimo sutrikimas</w:t>
            </w:r>
          </w:p>
        </w:tc>
      </w:tr>
      <w:tr w:rsidR="002D597B" w:rsidRPr="00683000" w14:paraId="337EDAB9" w14:textId="77777777" w:rsidTr="00683000">
        <w:tc>
          <w:tcPr>
            <w:tcW w:w="2304" w:type="dxa"/>
            <w:vMerge w:val="restart"/>
          </w:tcPr>
          <w:p w14:paraId="47DAF864" w14:textId="3718D5E9"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Ausų ir labirintų sutrikimai</w:t>
            </w:r>
          </w:p>
        </w:tc>
        <w:tc>
          <w:tcPr>
            <w:tcW w:w="1725" w:type="dxa"/>
          </w:tcPr>
          <w:p w14:paraId="3677FB21" w14:textId="44F3A883"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33EA02EC" w14:textId="5C191ABF"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Ūžesys (</w:t>
            </w:r>
            <w:proofErr w:type="spellStart"/>
            <w:r w:rsidRPr="00633873">
              <w:rPr>
                <w:rFonts w:ascii="Times New Roman" w:hAnsi="Times New Roman" w:cs="Times New Roman"/>
                <w:i/>
                <w:iCs/>
              </w:rPr>
              <w:t>tinnitus</w:t>
            </w:r>
            <w:proofErr w:type="spellEnd"/>
            <w:r w:rsidRPr="00633873">
              <w:rPr>
                <w:rFonts w:ascii="Times New Roman" w:hAnsi="Times New Roman" w:cs="Times New Roman"/>
              </w:rPr>
              <w:t>)</w:t>
            </w:r>
            <w:r w:rsidRPr="00633873">
              <w:rPr>
                <w:rFonts w:ascii="Times New Roman" w:hAnsi="Times New Roman" w:cs="Times New Roman"/>
                <w:vertAlign w:val="superscript"/>
              </w:rPr>
              <w:t>3</w:t>
            </w:r>
          </w:p>
        </w:tc>
      </w:tr>
      <w:tr w:rsidR="002D597B" w:rsidRPr="00683000" w14:paraId="1C69152B" w14:textId="77777777" w:rsidTr="00683000">
        <w:tc>
          <w:tcPr>
            <w:tcW w:w="2304" w:type="dxa"/>
            <w:vMerge/>
          </w:tcPr>
          <w:p w14:paraId="2499AD85" w14:textId="77777777" w:rsidR="002D597B" w:rsidRPr="009F7541" w:rsidRDefault="002D597B" w:rsidP="001E7EFF">
            <w:pPr>
              <w:contextualSpacing/>
              <w:rPr>
                <w:rFonts w:ascii="Times New Roman" w:hAnsi="Times New Roman" w:cs="Times New Roman"/>
              </w:rPr>
            </w:pPr>
          </w:p>
        </w:tc>
        <w:tc>
          <w:tcPr>
            <w:tcW w:w="1725" w:type="dxa"/>
          </w:tcPr>
          <w:p w14:paraId="36A297A4" w14:textId="14CE63AB"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Nedažnas</w:t>
            </w:r>
          </w:p>
        </w:tc>
        <w:tc>
          <w:tcPr>
            <w:tcW w:w="5365" w:type="dxa"/>
          </w:tcPr>
          <w:p w14:paraId="16A03DA1" w14:textId="701D08C9" w:rsidR="002D597B" w:rsidRPr="00633873" w:rsidRDefault="007A08E9" w:rsidP="001E7EFF">
            <w:pPr>
              <w:contextualSpacing/>
              <w:rPr>
                <w:rFonts w:ascii="Times New Roman" w:hAnsi="Times New Roman" w:cs="Times New Roman"/>
              </w:rPr>
            </w:pPr>
            <w:r w:rsidRPr="00633873">
              <w:rPr>
                <w:rFonts w:ascii="Times New Roman" w:hAnsi="Times New Roman" w:cs="Times New Roman"/>
              </w:rPr>
              <w:t>Staigus apkurtimas</w:t>
            </w:r>
            <w:r w:rsidR="002D597B" w:rsidRPr="00633873">
              <w:rPr>
                <w:rFonts w:ascii="Times New Roman" w:hAnsi="Times New Roman" w:cs="Times New Roman"/>
                <w:vertAlign w:val="superscript"/>
              </w:rPr>
              <w:t>3</w:t>
            </w:r>
          </w:p>
        </w:tc>
      </w:tr>
      <w:tr w:rsidR="002D597B" w:rsidRPr="00683000" w14:paraId="2F21F18A" w14:textId="77777777" w:rsidTr="00683000">
        <w:tc>
          <w:tcPr>
            <w:tcW w:w="2304" w:type="dxa"/>
            <w:vMerge w:val="restart"/>
          </w:tcPr>
          <w:p w14:paraId="065DD7A2" w14:textId="4D3DDD61"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Širdies sutrikimai</w:t>
            </w:r>
          </w:p>
        </w:tc>
        <w:tc>
          <w:tcPr>
            <w:tcW w:w="1725" w:type="dxa"/>
          </w:tcPr>
          <w:p w14:paraId="5926207E" w14:textId="0E209D08"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Labai dažnas</w:t>
            </w:r>
          </w:p>
        </w:tc>
        <w:tc>
          <w:tcPr>
            <w:tcW w:w="5365" w:type="dxa"/>
          </w:tcPr>
          <w:p w14:paraId="26B955EB" w14:textId="4B51CF23" w:rsidR="002D597B" w:rsidRPr="00633873" w:rsidRDefault="002D597B" w:rsidP="001E7EFF">
            <w:pPr>
              <w:contextualSpacing/>
              <w:rPr>
                <w:rFonts w:ascii="Times New Roman" w:hAnsi="Times New Roman" w:cs="Times New Roman"/>
              </w:rPr>
            </w:pPr>
            <w:proofErr w:type="spellStart"/>
            <w:r w:rsidRPr="00633873">
              <w:rPr>
                <w:rFonts w:ascii="Times New Roman" w:hAnsi="Times New Roman" w:cs="Times New Roman"/>
              </w:rPr>
              <w:t>Palpita</w:t>
            </w:r>
            <w:r w:rsidR="007A08E9" w:rsidRPr="00633873">
              <w:rPr>
                <w:rFonts w:ascii="Times New Roman" w:hAnsi="Times New Roman" w:cs="Times New Roman"/>
              </w:rPr>
              <w:t>cijos</w:t>
            </w:r>
            <w:proofErr w:type="spellEnd"/>
          </w:p>
        </w:tc>
      </w:tr>
      <w:tr w:rsidR="002D597B" w:rsidRPr="00683000" w14:paraId="79973476" w14:textId="77777777" w:rsidTr="00683000">
        <w:tc>
          <w:tcPr>
            <w:tcW w:w="2304" w:type="dxa"/>
            <w:vMerge/>
          </w:tcPr>
          <w:p w14:paraId="443BF474" w14:textId="77777777" w:rsidR="002D597B" w:rsidRPr="009F7541" w:rsidRDefault="002D597B" w:rsidP="001E7EFF">
            <w:pPr>
              <w:contextualSpacing/>
              <w:rPr>
                <w:rFonts w:ascii="Times New Roman" w:hAnsi="Times New Roman" w:cs="Times New Roman"/>
              </w:rPr>
            </w:pPr>
          </w:p>
        </w:tc>
        <w:tc>
          <w:tcPr>
            <w:tcW w:w="1725" w:type="dxa"/>
          </w:tcPr>
          <w:p w14:paraId="4B1DDE42" w14:textId="0181EEF8"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53E454D4" w14:textId="214A65E3" w:rsidR="002D597B" w:rsidRPr="00633873" w:rsidRDefault="007A08E9" w:rsidP="001E7EFF">
            <w:pPr>
              <w:contextualSpacing/>
              <w:rPr>
                <w:rFonts w:ascii="Times New Roman" w:hAnsi="Times New Roman" w:cs="Times New Roman"/>
              </w:rPr>
            </w:pPr>
            <w:r w:rsidRPr="00633873">
              <w:rPr>
                <w:rFonts w:ascii="Times New Roman" w:hAnsi="Times New Roman" w:cs="Times New Roman"/>
              </w:rPr>
              <w:t>Širdies nepakankamumas</w:t>
            </w:r>
            <w:r w:rsidR="002D597B" w:rsidRPr="00633873">
              <w:rPr>
                <w:rFonts w:ascii="Times New Roman" w:hAnsi="Times New Roman" w:cs="Times New Roman"/>
                <w:vertAlign w:val="superscript"/>
              </w:rPr>
              <w:t>4</w:t>
            </w:r>
          </w:p>
        </w:tc>
      </w:tr>
      <w:tr w:rsidR="002D597B" w:rsidRPr="00683000" w14:paraId="0889FE19" w14:textId="77777777" w:rsidTr="00683000">
        <w:tc>
          <w:tcPr>
            <w:tcW w:w="2304" w:type="dxa"/>
            <w:vMerge w:val="restart"/>
          </w:tcPr>
          <w:p w14:paraId="38C47ED7" w14:textId="59D04DAF" w:rsidR="002D597B" w:rsidRPr="00633873" w:rsidRDefault="002D597B" w:rsidP="002D597B">
            <w:pPr>
              <w:contextualSpacing/>
              <w:rPr>
                <w:rFonts w:ascii="Times New Roman" w:hAnsi="Times New Roman" w:cs="Times New Roman"/>
              </w:rPr>
            </w:pPr>
            <w:r w:rsidRPr="00633873">
              <w:rPr>
                <w:rFonts w:ascii="Times New Roman" w:hAnsi="Times New Roman" w:cs="Times New Roman"/>
              </w:rPr>
              <w:t>Kraujagyslių sutrikimai</w:t>
            </w:r>
          </w:p>
        </w:tc>
        <w:tc>
          <w:tcPr>
            <w:tcW w:w="1725" w:type="dxa"/>
          </w:tcPr>
          <w:p w14:paraId="6542CE34" w14:textId="66F3B304" w:rsidR="002D597B" w:rsidRPr="00633873" w:rsidRDefault="002D597B" w:rsidP="002D597B">
            <w:pPr>
              <w:contextualSpacing/>
              <w:rPr>
                <w:rFonts w:ascii="Times New Roman" w:hAnsi="Times New Roman" w:cs="Times New Roman"/>
              </w:rPr>
            </w:pPr>
            <w:r w:rsidRPr="00633873">
              <w:rPr>
                <w:rFonts w:ascii="Times New Roman" w:hAnsi="Times New Roman" w:cs="Times New Roman"/>
              </w:rPr>
              <w:t>Labai dažnas</w:t>
            </w:r>
          </w:p>
        </w:tc>
        <w:tc>
          <w:tcPr>
            <w:tcW w:w="5365" w:type="dxa"/>
          </w:tcPr>
          <w:p w14:paraId="4EED8166" w14:textId="2002FE21" w:rsidR="002D597B" w:rsidRPr="00633873" w:rsidRDefault="007A08E9" w:rsidP="002D597B">
            <w:pPr>
              <w:contextualSpacing/>
              <w:rPr>
                <w:rFonts w:ascii="Times New Roman" w:hAnsi="Times New Roman" w:cs="Times New Roman"/>
              </w:rPr>
            </w:pPr>
            <w:r w:rsidRPr="00633873">
              <w:rPr>
                <w:rFonts w:ascii="Times New Roman" w:hAnsi="Times New Roman" w:cs="Times New Roman"/>
              </w:rPr>
              <w:t>Išraudimas</w:t>
            </w:r>
            <w:r w:rsidR="002D597B" w:rsidRPr="00633873">
              <w:rPr>
                <w:rFonts w:ascii="Times New Roman" w:hAnsi="Times New Roman" w:cs="Times New Roman"/>
                <w:vertAlign w:val="superscript"/>
              </w:rPr>
              <w:t>5</w:t>
            </w:r>
          </w:p>
        </w:tc>
      </w:tr>
      <w:tr w:rsidR="002D597B" w:rsidRPr="00683000" w14:paraId="66FF2ACC" w14:textId="77777777" w:rsidTr="00683000">
        <w:tc>
          <w:tcPr>
            <w:tcW w:w="2304" w:type="dxa"/>
            <w:vMerge/>
          </w:tcPr>
          <w:p w14:paraId="30E5C8F8" w14:textId="77777777" w:rsidR="002D597B" w:rsidRPr="009F7541" w:rsidRDefault="002D597B" w:rsidP="001E7EFF">
            <w:pPr>
              <w:contextualSpacing/>
              <w:rPr>
                <w:rFonts w:ascii="Times New Roman" w:hAnsi="Times New Roman" w:cs="Times New Roman"/>
              </w:rPr>
            </w:pPr>
          </w:p>
        </w:tc>
        <w:tc>
          <w:tcPr>
            <w:tcW w:w="1725" w:type="dxa"/>
          </w:tcPr>
          <w:p w14:paraId="7A5B9B4C" w14:textId="2E576017"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27619E35" w14:textId="147F3262" w:rsidR="002D597B" w:rsidRPr="00633873" w:rsidRDefault="007A08E9" w:rsidP="001E7EFF">
            <w:pPr>
              <w:contextualSpacing/>
              <w:rPr>
                <w:rFonts w:ascii="Times New Roman" w:hAnsi="Times New Roman" w:cs="Times New Roman"/>
              </w:rPr>
            </w:pPr>
            <w:proofErr w:type="spellStart"/>
            <w:r w:rsidRPr="00633873">
              <w:rPr>
                <w:rFonts w:ascii="Times New Roman" w:hAnsi="Times New Roman" w:cs="Times New Roman"/>
              </w:rPr>
              <w:t>Hipotenzija</w:t>
            </w:r>
            <w:proofErr w:type="spellEnd"/>
            <w:r w:rsidRPr="00633873">
              <w:rPr>
                <w:rFonts w:ascii="Times New Roman" w:hAnsi="Times New Roman" w:cs="Times New Roman"/>
              </w:rPr>
              <w:t>, apalpimas</w:t>
            </w:r>
          </w:p>
        </w:tc>
      </w:tr>
      <w:tr w:rsidR="002D597B" w:rsidRPr="00683000" w14:paraId="25A5604C" w14:textId="77777777" w:rsidTr="00683000">
        <w:tc>
          <w:tcPr>
            <w:tcW w:w="2304" w:type="dxa"/>
            <w:vMerge w:val="restart"/>
          </w:tcPr>
          <w:p w14:paraId="6619C241" w14:textId="235DA43E"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Kvėpavimo sistemos, krūtinės ląstos ir tarpuplaučio sutrikimai</w:t>
            </w:r>
          </w:p>
        </w:tc>
        <w:tc>
          <w:tcPr>
            <w:tcW w:w="1725" w:type="dxa"/>
          </w:tcPr>
          <w:p w14:paraId="053E11E8" w14:textId="13CA37AD"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Labai dažnas</w:t>
            </w:r>
          </w:p>
        </w:tc>
        <w:tc>
          <w:tcPr>
            <w:tcW w:w="5365" w:type="dxa"/>
          </w:tcPr>
          <w:p w14:paraId="3941A00A" w14:textId="79029B78" w:rsidR="002D597B" w:rsidRPr="00633873" w:rsidRDefault="007A08E9" w:rsidP="001E7EFF">
            <w:pPr>
              <w:pStyle w:val="TableParagraph"/>
              <w:spacing w:before="24" w:line="255" w:lineRule="exact"/>
              <w:ind w:left="27"/>
              <w:rPr>
                <w:lang w:val="lt-LT"/>
              </w:rPr>
            </w:pPr>
            <w:r w:rsidRPr="00633873">
              <w:rPr>
                <w:lang w:val="lt-LT"/>
              </w:rPr>
              <w:t>Dusulys</w:t>
            </w:r>
            <w:r w:rsidRPr="00633873">
              <w:rPr>
                <w:vertAlign w:val="superscript"/>
                <w:lang w:val="lt-LT"/>
              </w:rPr>
              <w:t>6</w:t>
            </w:r>
            <w:r w:rsidRPr="00633873">
              <w:rPr>
                <w:lang w:val="lt-LT"/>
              </w:rPr>
              <w:t>, viršutinių kvėpavimo takų (pvz., nosies, prienosinių ančių) užsikimšimas</w:t>
            </w:r>
            <w:r w:rsidRPr="00633873">
              <w:rPr>
                <w:vertAlign w:val="superscript"/>
                <w:lang w:val="lt-LT"/>
              </w:rPr>
              <w:t>7</w:t>
            </w:r>
            <w:r w:rsidRPr="00633873">
              <w:rPr>
                <w:lang w:val="lt-LT"/>
              </w:rPr>
              <w:t>, nazofaringitas</w:t>
            </w:r>
            <w:r w:rsidRPr="00633873">
              <w:rPr>
                <w:vertAlign w:val="superscript"/>
                <w:lang w:val="lt-LT"/>
              </w:rPr>
              <w:t>7</w:t>
            </w:r>
          </w:p>
        </w:tc>
      </w:tr>
      <w:tr w:rsidR="002D597B" w:rsidRPr="00683000" w14:paraId="00D17D81" w14:textId="77777777" w:rsidTr="00683000">
        <w:tc>
          <w:tcPr>
            <w:tcW w:w="2304" w:type="dxa"/>
            <w:vMerge/>
          </w:tcPr>
          <w:p w14:paraId="546C1415" w14:textId="77777777" w:rsidR="002D597B" w:rsidRPr="009F7541" w:rsidRDefault="002D597B" w:rsidP="001E7EFF">
            <w:pPr>
              <w:contextualSpacing/>
              <w:rPr>
                <w:rFonts w:ascii="Times New Roman" w:hAnsi="Times New Roman" w:cs="Times New Roman"/>
              </w:rPr>
            </w:pPr>
          </w:p>
        </w:tc>
        <w:tc>
          <w:tcPr>
            <w:tcW w:w="1725" w:type="dxa"/>
          </w:tcPr>
          <w:p w14:paraId="514B469D" w14:textId="31CF8CC3"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4FE0DED5" w14:textId="4688C4B0" w:rsidR="002D597B" w:rsidRPr="00633873" w:rsidRDefault="007A08E9" w:rsidP="001E7EFF">
            <w:pPr>
              <w:contextualSpacing/>
              <w:rPr>
                <w:rFonts w:ascii="Times New Roman" w:eastAsia="Times New Roman" w:hAnsi="Times New Roman" w:cs="Times New Roman"/>
              </w:rPr>
            </w:pPr>
            <w:r w:rsidRPr="00633873">
              <w:rPr>
                <w:rFonts w:ascii="Times New Roman" w:eastAsia="Times New Roman" w:hAnsi="Times New Roman" w:cs="Times New Roman"/>
              </w:rPr>
              <w:t>Kraujavimas iš nosies, rinitas</w:t>
            </w:r>
            <w:r w:rsidRPr="00633873">
              <w:rPr>
                <w:rFonts w:ascii="Times New Roman" w:eastAsia="Times New Roman" w:hAnsi="Times New Roman" w:cs="Times New Roman"/>
                <w:vertAlign w:val="superscript"/>
              </w:rPr>
              <w:t>7</w:t>
            </w:r>
            <w:r w:rsidRPr="00633873">
              <w:rPr>
                <w:rFonts w:ascii="Times New Roman" w:eastAsia="Times New Roman" w:hAnsi="Times New Roman" w:cs="Times New Roman"/>
              </w:rPr>
              <w:t>, sinusitas</w:t>
            </w:r>
            <w:r w:rsidR="002D597B" w:rsidRPr="00633873">
              <w:rPr>
                <w:rFonts w:ascii="Times New Roman" w:eastAsia="Times New Roman" w:hAnsi="Times New Roman" w:cs="Times New Roman"/>
                <w:vertAlign w:val="superscript"/>
              </w:rPr>
              <w:t>7</w:t>
            </w:r>
          </w:p>
        </w:tc>
      </w:tr>
      <w:tr w:rsidR="002D597B" w:rsidRPr="00683000" w14:paraId="237B3168" w14:textId="77777777" w:rsidTr="00683000">
        <w:tc>
          <w:tcPr>
            <w:tcW w:w="2304" w:type="dxa"/>
            <w:vMerge w:val="restart"/>
          </w:tcPr>
          <w:p w14:paraId="7FC87575" w14:textId="6EB256A4"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Virškinimo trakto sutrikimai</w:t>
            </w:r>
          </w:p>
        </w:tc>
        <w:tc>
          <w:tcPr>
            <w:tcW w:w="1725" w:type="dxa"/>
          </w:tcPr>
          <w:p w14:paraId="484F012A" w14:textId="37C5C032"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Labai dažnas</w:t>
            </w:r>
          </w:p>
        </w:tc>
        <w:tc>
          <w:tcPr>
            <w:tcW w:w="5365" w:type="dxa"/>
          </w:tcPr>
          <w:p w14:paraId="19EC90C9" w14:textId="18E2AC58" w:rsidR="002D597B" w:rsidRPr="00633873" w:rsidRDefault="007A08E9" w:rsidP="001E7EFF">
            <w:pPr>
              <w:contextualSpacing/>
              <w:rPr>
                <w:rFonts w:ascii="Times New Roman" w:eastAsia="Times New Roman" w:hAnsi="Times New Roman" w:cs="Times New Roman"/>
              </w:rPr>
            </w:pPr>
            <w:r w:rsidRPr="00633873">
              <w:rPr>
                <w:rFonts w:ascii="Times New Roman" w:eastAsia="Times New Roman" w:hAnsi="Times New Roman" w:cs="Times New Roman"/>
              </w:rPr>
              <w:t>Pykinimas, viduriavimas, vėmimas</w:t>
            </w:r>
            <w:r w:rsidR="002D597B" w:rsidRPr="00633873">
              <w:rPr>
                <w:rFonts w:ascii="Times New Roman" w:eastAsia="Times New Roman" w:hAnsi="Times New Roman" w:cs="Times New Roman"/>
                <w:vertAlign w:val="superscript"/>
              </w:rPr>
              <w:t>5</w:t>
            </w:r>
          </w:p>
        </w:tc>
      </w:tr>
      <w:tr w:rsidR="002D597B" w:rsidRPr="00683000" w14:paraId="4123FBD0" w14:textId="77777777" w:rsidTr="00683000">
        <w:tc>
          <w:tcPr>
            <w:tcW w:w="2304" w:type="dxa"/>
            <w:vMerge/>
          </w:tcPr>
          <w:p w14:paraId="48233A13" w14:textId="77777777" w:rsidR="002D597B" w:rsidRPr="009F7541" w:rsidRDefault="002D597B" w:rsidP="001E7EFF">
            <w:pPr>
              <w:contextualSpacing/>
              <w:rPr>
                <w:rFonts w:ascii="Times New Roman" w:hAnsi="Times New Roman" w:cs="Times New Roman"/>
              </w:rPr>
            </w:pPr>
          </w:p>
        </w:tc>
        <w:tc>
          <w:tcPr>
            <w:tcW w:w="1725" w:type="dxa"/>
          </w:tcPr>
          <w:p w14:paraId="0A77B5D6" w14:textId="411A936C"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2D87786F" w14:textId="59BAA3FD" w:rsidR="002D597B" w:rsidRPr="00633873" w:rsidRDefault="007A08E9" w:rsidP="001E7EFF">
            <w:pPr>
              <w:contextualSpacing/>
              <w:rPr>
                <w:rFonts w:ascii="Times New Roman" w:eastAsia="Times New Roman" w:hAnsi="Times New Roman" w:cs="Times New Roman"/>
              </w:rPr>
            </w:pPr>
            <w:r w:rsidRPr="00633873">
              <w:rPr>
                <w:rFonts w:ascii="Times New Roman" w:eastAsia="Times New Roman" w:hAnsi="Times New Roman" w:cs="Times New Roman"/>
              </w:rPr>
              <w:t>Pilvo skausmas, vidurių užkietėjimas</w:t>
            </w:r>
          </w:p>
        </w:tc>
      </w:tr>
      <w:tr w:rsidR="002D597B" w:rsidRPr="00683000" w14:paraId="72F44023" w14:textId="77777777" w:rsidTr="00683000">
        <w:tc>
          <w:tcPr>
            <w:tcW w:w="2304" w:type="dxa"/>
            <w:vMerge w:val="restart"/>
          </w:tcPr>
          <w:p w14:paraId="1C802AF7" w14:textId="2D9C0E74"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Kepenų, tulžies pūslės ir latakų sutrikimai</w:t>
            </w:r>
          </w:p>
        </w:tc>
        <w:tc>
          <w:tcPr>
            <w:tcW w:w="1725" w:type="dxa"/>
          </w:tcPr>
          <w:p w14:paraId="7BFCF562" w14:textId="406A05E8"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325E9E86" w14:textId="1C2F74CF" w:rsidR="002D597B" w:rsidRPr="00633873" w:rsidRDefault="007A08E9" w:rsidP="001E7EFF">
            <w:pPr>
              <w:contextualSpacing/>
              <w:rPr>
                <w:rFonts w:ascii="Times New Roman" w:eastAsia="Times New Roman" w:hAnsi="Times New Roman" w:cs="Times New Roman"/>
              </w:rPr>
            </w:pPr>
            <w:r w:rsidRPr="00633873">
              <w:rPr>
                <w:rFonts w:ascii="Times New Roman" w:eastAsia="Times New Roman" w:hAnsi="Times New Roman" w:cs="Times New Roman"/>
              </w:rPr>
              <w:t xml:space="preserve">Kepenų </w:t>
            </w:r>
            <w:proofErr w:type="spellStart"/>
            <w:r w:rsidRPr="00633873">
              <w:rPr>
                <w:rFonts w:ascii="Times New Roman" w:eastAsia="Times New Roman" w:hAnsi="Times New Roman" w:cs="Times New Roman"/>
              </w:rPr>
              <w:t>transaminazių</w:t>
            </w:r>
            <w:proofErr w:type="spellEnd"/>
            <w:r w:rsidRPr="00633873">
              <w:rPr>
                <w:rFonts w:ascii="Times New Roman" w:eastAsia="Times New Roman" w:hAnsi="Times New Roman" w:cs="Times New Roman"/>
              </w:rPr>
              <w:t xml:space="preserve"> suaktyvėjimas</w:t>
            </w:r>
          </w:p>
        </w:tc>
      </w:tr>
      <w:tr w:rsidR="002D597B" w:rsidRPr="00683000" w14:paraId="6496D1D8" w14:textId="77777777" w:rsidTr="00683000">
        <w:tc>
          <w:tcPr>
            <w:tcW w:w="2304" w:type="dxa"/>
            <w:vMerge/>
          </w:tcPr>
          <w:p w14:paraId="1F4D672B" w14:textId="77777777" w:rsidR="002D597B" w:rsidRPr="009F7541" w:rsidRDefault="002D597B" w:rsidP="001E7EFF">
            <w:pPr>
              <w:contextualSpacing/>
              <w:rPr>
                <w:rFonts w:ascii="Times New Roman" w:hAnsi="Times New Roman" w:cs="Times New Roman"/>
              </w:rPr>
            </w:pPr>
          </w:p>
        </w:tc>
        <w:tc>
          <w:tcPr>
            <w:tcW w:w="1725" w:type="dxa"/>
          </w:tcPr>
          <w:p w14:paraId="777B9830" w14:textId="25AAC2DD"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Nedažnas</w:t>
            </w:r>
          </w:p>
        </w:tc>
        <w:tc>
          <w:tcPr>
            <w:tcW w:w="5365" w:type="dxa"/>
          </w:tcPr>
          <w:p w14:paraId="5B8A52C9" w14:textId="3E628D89" w:rsidR="002D597B" w:rsidRPr="00633873" w:rsidRDefault="007A08E9" w:rsidP="001E7EFF">
            <w:pPr>
              <w:contextualSpacing/>
              <w:rPr>
                <w:rFonts w:ascii="Times New Roman" w:eastAsia="Times New Roman" w:hAnsi="Times New Roman" w:cs="Times New Roman"/>
              </w:rPr>
            </w:pPr>
            <w:r w:rsidRPr="00633873">
              <w:rPr>
                <w:rFonts w:ascii="Times New Roman" w:eastAsia="Times New Roman" w:hAnsi="Times New Roman" w:cs="Times New Roman"/>
              </w:rPr>
              <w:t>Kepenų pažeidimas (žr. 4.4 skyrių), autoimuninis hepatitas (žr. 4.4 skyrių)</w:t>
            </w:r>
          </w:p>
        </w:tc>
      </w:tr>
      <w:tr w:rsidR="002D597B" w:rsidRPr="00683000" w14:paraId="7EF82A1A" w14:textId="77777777" w:rsidTr="00683000">
        <w:tc>
          <w:tcPr>
            <w:tcW w:w="2304" w:type="dxa"/>
          </w:tcPr>
          <w:p w14:paraId="08FD29BB" w14:textId="3A064AC7" w:rsidR="002D597B" w:rsidRPr="00633873" w:rsidRDefault="002D597B" w:rsidP="001E7EFF">
            <w:pPr>
              <w:ind w:right="-144"/>
              <w:contextualSpacing/>
              <w:rPr>
                <w:rFonts w:ascii="Times New Roman" w:hAnsi="Times New Roman" w:cs="Times New Roman"/>
              </w:rPr>
            </w:pPr>
            <w:r w:rsidRPr="00633873">
              <w:rPr>
                <w:rFonts w:ascii="Times New Roman" w:hAnsi="Times New Roman" w:cs="Times New Roman"/>
              </w:rPr>
              <w:t>Odos ir poodinio audinio sutrikimai</w:t>
            </w:r>
          </w:p>
        </w:tc>
        <w:tc>
          <w:tcPr>
            <w:tcW w:w="1725" w:type="dxa"/>
          </w:tcPr>
          <w:p w14:paraId="7336B1BD" w14:textId="4FCE2517"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144D9274" w14:textId="36913529" w:rsidR="002D597B" w:rsidRPr="00633873" w:rsidRDefault="007A08E9" w:rsidP="001E7EFF">
            <w:pPr>
              <w:contextualSpacing/>
              <w:rPr>
                <w:rFonts w:ascii="Times New Roman" w:eastAsia="Times New Roman" w:hAnsi="Times New Roman" w:cs="Times New Roman"/>
              </w:rPr>
            </w:pPr>
            <w:r w:rsidRPr="00633873">
              <w:rPr>
                <w:rFonts w:ascii="Times New Roman" w:eastAsia="Times New Roman" w:hAnsi="Times New Roman" w:cs="Times New Roman"/>
              </w:rPr>
              <w:t>Išbėrimas</w:t>
            </w:r>
            <w:r w:rsidR="002D597B" w:rsidRPr="00633873">
              <w:rPr>
                <w:rFonts w:ascii="Times New Roman" w:eastAsia="Times New Roman" w:hAnsi="Times New Roman" w:cs="Times New Roman"/>
                <w:vertAlign w:val="superscript"/>
              </w:rPr>
              <w:t>8</w:t>
            </w:r>
          </w:p>
        </w:tc>
      </w:tr>
      <w:tr w:rsidR="002D597B" w:rsidRPr="00683000" w14:paraId="2CE14C22" w14:textId="77777777" w:rsidTr="00683000">
        <w:tc>
          <w:tcPr>
            <w:tcW w:w="2304" w:type="dxa"/>
            <w:vMerge w:val="restart"/>
          </w:tcPr>
          <w:p w14:paraId="11742FF8" w14:textId="6EA9FF38"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 xml:space="preserve">Bendrieji sutrikimai </w:t>
            </w:r>
            <w:proofErr w:type="spellStart"/>
            <w:r w:rsidRPr="00633873">
              <w:rPr>
                <w:rFonts w:ascii="Times New Roman" w:hAnsi="Times New Roman" w:cs="Times New Roman"/>
              </w:rPr>
              <w:t>ri</w:t>
            </w:r>
            <w:proofErr w:type="spellEnd"/>
            <w:r w:rsidRPr="00633873">
              <w:rPr>
                <w:rFonts w:ascii="Times New Roman" w:hAnsi="Times New Roman" w:cs="Times New Roman"/>
              </w:rPr>
              <w:t xml:space="preserve"> vartojimo vietos pažeidimai</w:t>
            </w:r>
          </w:p>
        </w:tc>
        <w:tc>
          <w:tcPr>
            <w:tcW w:w="1725" w:type="dxa"/>
          </w:tcPr>
          <w:p w14:paraId="3160EEC6" w14:textId="1031221A"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Labai dažnas</w:t>
            </w:r>
          </w:p>
        </w:tc>
        <w:tc>
          <w:tcPr>
            <w:tcW w:w="5365" w:type="dxa"/>
          </w:tcPr>
          <w:p w14:paraId="6EB4E5D0" w14:textId="5D98C51F" w:rsidR="002D597B" w:rsidRPr="00633873" w:rsidRDefault="007A08E9" w:rsidP="001E7EFF">
            <w:pPr>
              <w:pStyle w:val="TableParagraph"/>
              <w:spacing w:before="21"/>
              <w:ind w:left="28" w:right="52"/>
              <w:rPr>
                <w:lang w:val="lt-LT"/>
              </w:rPr>
            </w:pPr>
            <w:r w:rsidRPr="00633873">
              <w:rPr>
                <w:lang w:val="lt-LT"/>
              </w:rPr>
              <w:t>Periferinė edema, skysčių susilaikymas, krūtinės skausmas/diskomfortas</w:t>
            </w:r>
            <w:r w:rsidRPr="00633873">
              <w:rPr>
                <w:vertAlign w:val="superscript"/>
                <w:lang w:val="lt-LT"/>
              </w:rPr>
              <w:t>5</w:t>
            </w:r>
            <w:r w:rsidRPr="00633873">
              <w:rPr>
                <w:lang w:val="lt-LT"/>
              </w:rPr>
              <w:t>, nuovargis</w:t>
            </w:r>
          </w:p>
        </w:tc>
      </w:tr>
      <w:tr w:rsidR="002D597B" w:rsidRPr="00683000" w14:paraId="0EF57301" w14:textId="77777777" w:rsidTr="00683000">
        <w:tc>
          <w:tcPr>
            <w:tcW w:w="2304" w:type="dxa"/>
            <w:vMerge/>
          </w:tcPr>
          <w:p w14:paraId="5A3279A9" w14:textId="77777777" w:rsidR="002D597B" w:rsidRPr="009F7541" w:rsidRDefault="002D597B" w:rsidP="001E7EFF">
            <w:pPr>
              <w:contextualSpacing/>
              <w:rPr>
                <w:rFonts w:ascii="Times New Roman" w:hAnsi="Times New Roman" w:cs="Times New Roman"/>
              </w:rPr>
            </w:pPr>
          </w:p>
        </w:tc>
        <w:tc>
          <w:tcPr>
            <w:tcW w:w="1725" w:type="dxa"/>
          </w:tcPr>
          <w:p w14:paraId="5D7222E8" w14:textId="434DD311" w:rsidR="002D597B" w:rsidRPr="00633873" w:rsidRDefault="002D597B" w:rsidP="001E7EFF">
            <w:pPr>
              <w:contextualSpacing/>
              <w:rPr>
                <w:rFonts w:ascii="Times New Roman" w:hAnsi="Times New Roman" w:cs="Times New Roman"/>
              </w:rPr>
            </w:pPr>
            <w:r w:rsidRPr="00633873">
              <w:rPr>
                <w:rFonts w:ascii="Times New Roman" w:hAnsi="Times New Roman" w:cs="Times New Roman"/>
              </w:rPr>
              <w:t>Dažnas</w:t>
            </w:r>
          </w:p>
        </w:tc>
        <w:tc>
          <w:tcPr>
            <w:tcW w:w="5365" w:type="dxa"/>
          </w:tcPr>
          <w:p w14:paraId="7EB2084D" w14:textId="71FFD629" w:rsidR="002D597B" w:rsidRPr="00633873" w:rsidRDefault="002D597B" w:rsidP="001E7EFF">
            <w:pPr>
              <w:pStyle w:val="TableParagraph"/>
              <w:spacing w:before="21"/>
              <w:ind w:left="28" w:right="2774"/>
              <w:rPr>
                <w:lang w:val="lt-LT"/>
              </w:rPr>
            </w:pPr>
            <w:proofErr w:type="spellStart"/>
            <w:r w:rsidRPr="00633873">
              <w:rPr>
                <w:lang w:val="lt-LT"/>
              </w:rPr>
              <w:t>Asteni</w:t>
            </w:r>
            <w:r w:rsidR="007A08E9" w:rsidRPr="00633873">
              <w:rPr>
                <w:lang w:val="lt-LT"/>
              </w:rPr>
              <w:t>j</w:t>
            </w:r>
            <w:r w:rsidRPr="00633873">
              <w:rPr>
                <w:lang w:val="lt-LT"/>
              </w:rPr>
              <w:t>a</w:t>
            </w:r>
            <w:proofErr w:type="spellEnd"/>
          </w:p>
        </w:tc>
      </w:tr>
    </w:tbl>
    <w:p w14:paraId="762E947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t>1</w:t>
      </w:r>
      <w:r w:rsidR="004F6B54" w:rsidRPr="00633873">
        <w:rPr>
          <w:rFonts w:ascii="Times New Roman" w:eastAsia="Times New Roman" w:hAnsi="Times New Roman" w:cs="Times New Roman"/>
          <w:snapToGrid w:val="0"/>
        </w:rPr>
        <w:t xml:space="preserve"> </w:t>
      </w:r>
      <w:r w:rsidRPr="00633873">
        <w:rPr>
          <w:rFonts w:ascii="Times New Roman" w:eastAsia="Times New Roman" w:hAnsi="Times New Roman" w:cs="Times New Roman"/>
          <w:snapToGrid w:val="0"/>
        </w:rPr>
        <w:t>Žr.</w:t>
      </w:r>
      <w:r w:rsidR="002D3ECE" w:rsidRPr="00633873">
        <w:rPr>
          <w:rFonts w:ascii="Times New Roman" w:eastAsia="Times New Roman" w:hAnsi="Times New Roman" w:cs="Times New Roman"/>
          <w:snapToGrid w:val="0"/>
        </w:rPr>
        <w:t> skyri</w:t>
      </w:r>
      <w:r w:rsidRPr="00633873">
        <w:rPr>
          <w:rFonts w:ascii="Times New Roman" w:eastAsia="Times New Roman" w:hAnsi="Times New Roman" w:cs="Times New Roman"/>
          <w:snapToGrid w:val="0"/>
        </w:rPr>
        <w:t>ų „</w:t>
      </w:r>
      <w:r w:rsidRPr="00633873">
        <w:rPr>
          <w:rFonts w:ascii="Times New Roman" w:eastAsia="Times New Roman" w:hAnsi="Times New Roman" w:cs="Times New Roman"/>
          <w:i/>
          <w:iCs/>
          <w:snapToGrid w:val="0"/>
        </w:rPr>
        <w:t>Atrinktų nepageidaujamų reakcijų apibūdinimas</w:t>
      </w:r>
      <w:r w:rsidRPr="00633873">
        <w:rPr>
          <w:rFonts w:ascii="Times New Roman" w:eastAsia="Times New Roman" w:hAnsi="Times New Roman" w:cs="Times New Roman"/>
          <w:snapToGrid w:val="0"/>
        </w:rPr>
        <w:t>“.</w:t>
      </w:r>
    </w:p>
    <w:p w14:paraId="74029E1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t>2</w:t>
      </w:r>
      <w:r w:rsidR="00CF1A2A" w:rsidRPr="00633873">
        <w:rPr>
          <w:rFonts w:ascii="Times New Roman" w:eastAsia="Times New Roman" w:hAnsi="Times New Roman" w:cs="Times New Roman"/>
          <w:snapToGrid w:val="0"/>
        </w:rPr>
        <w:t xml:space="preserve"> </w:t>
      </w:r>
      <w:r w:rsidRPr="00633873">
        <w:rPr>
          <w:rFonts w:ascii="Times New Roman" w:eastAsia="Times New Roman" w:hAnsi="Times New Roman" w:cs="Times New Roman"/>
          <w:snapToGrid w:val="0"/>
        </w:rPr>
        <w:t xml:space="preserve">Galvos skausmas dažniau pasireiškė vartojant 10 mg </w:t>
      </w:r>
      <w:proofErr w:type="spellStart"/>
      <w:r w:rsidRPr="00633873">
        <w:rPr>
          <w:rFonts w:ascii="Times New Roman" w:eastAsia="Times New Roman" w:hAnsi="Times New Roman" w:cs="Times New Roman"/>
          <w:snapToGrid w:val="0"/>
        </w:rPr>
        <w:t>ambrisentano</w:t>
      </w:r>
      <w:proofErr w:type="spellEnd"/>
      <w:r w:rsidRPr="00633873">
        <w:rPr>
          <w:rFonts w:ascii="Times New Roman" w:eastAsia="Times New Roman" w:hAnsi="Times New Roman" w:cs="Times New Roman"/>
          <w:snapToGrid w:val="0"/>
        </w:rPr>
        <w:t xml:space="preserve"> dozę.</w:t>
      </w:r>
    </w:p>
    <w:p w14:paraId="2377410E" w14:textId="41BA780D"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t>3</w:t>
      </w:r>
      <w:r w:rsidR="00CF1A2A" w:rsidRPr="00633873">
        <w:rPr>
          <w:rFonts w:ascii="Times New Roman" w:eastAsia="Times New Roman" w:hAnsi="Times New Roman" w:cs="Times New Roman"/>
          <w:snapToGrid w:val="0"/>
        </w:rPr>
        <w:t xml:space="preserve"> </w:t>
      </w:r>
      <w:r w:rsidR="007A08E9" w:rsidRPr="00633873">
        <w:rPr>
          <w:rFonts w:ascii="Times New Roman" w:eastAsia="Times New Roman" w:hAnsi="Times New Roman" w:cs="Times New Roman"/>
          <w:snapToGrid w:val="0"/>
        </w:rPr>
        <w:t xml:space="preserve">Atvejai stebėti tik </w:t>
      </w:r>
      <w:r w:rsidRPr="00633873">
        <w:rPr>
          <w:rFonts w:ascii="Times New Roman" w:eastAsia="Times New Roman" w:hAnsi="Times New Roman" w:cs="Times New Roman"/>
          <w:snapToGrid w:val="0"/>
        </w:rPr>
        <w:t>placebu kontroliuo</w:t>
      </w:r>
      <w:r w:rsidR="007A08E9" w:rsidRPr="00633873">
        <w:rPr>
          <w:rFonts w:ascii="Times New Roman" w:eastAsia="Times New Roman" w:hAnsi="Times New Roman" w:cs="Times New Roman"/>
          <w:snapToGrid w:val="0"/>
        </w:rPr>
        <w:t xml:space="preserve">to </w:t>
      </w:r>
      <w:proofErr w:type="spellStart"/>
      <w:r w:rsidR="007A08E9" w:rsidRPr="00633873">
        <w:rPr>
          <w:rFonts w:ascii="Times New Roman" w:eastAsia="Times New Roman" w:hAnsi="Times New Roman" w:cs="Times New Roman"/>
          <w:snapToGrid w:val="0"/>
        </w:rPr>
        <w:t>ambrisentano</w:t>
      </w:r>
      <w:proofErr w:type="spellEnd"/>
      <w:r w:rsidR="007A08E9" w:rsidRPr="00633873">
        <w:rPr>
          <w:rFonts w:ascii="Times New Roman" w:eastAsia="Times New Roman" w:hAnsi="Times New Roman" w:cs="Times New Roman"/>
          <w:snapToGrid w:val="0"/>
        </w:rPr>
        <w:t xml:space="preserve"> vartojimo derinyje su </w:t>
      </w:r>
      <w:proofErr w:type="spellStart"/>
      <w:r w:rsidR="007A08E9" w:rsidRPr="00633873">
        <w:rPr>
          <w:rFonts w:ascii="Times New Roman" w:eastAsia="Times New Roman" w:hAnsi="Times New Roman" w:cs="Times New Roman"/>
          <w:snapToGrid w:val="0"/>
        </w:rPr>
        <w:t>tadalafiliu</w:t>
      </w:r>
      <w:proofErr w:type="spellEnd"/>
      <w:r w:rsidRPr="00633873">
        <w:rPr>
          <w:rFonts w:ascii="Times New Roman" w:eastAsia="Times New Roman" w:hAnsi="Times New Roman" w:cs="Times New Roman"/>
          <w:snapToGrid w:val="0"/>
        </w:rPr>
        <w:t xml:space="preserve"> klinikini</w:t>
      </w:r>
      <w:r w:rsidR="007A08E9" w:rsidRPr="00633873">
        <w:rPr>
          <w:rFonts w:ascii="Times New Roman" w:eastAsia="Times New Roman" w:hAnsi="Times New Roman" w:cs="Times New Roman"/>
          <w:snapToGrid w:val="0"/>
        </w:rPr>
        <w:t>o</w:t>
      </w:r>
      <w:r w:rsidRPr="00633873">
        <w:rPr>
          <w:rFonts w:ascii="Times New Roman" w:eastAsia="Times New Roman" w:hAnsi="Times New Roman" w:cs="Times New Roman"/>
          <w:snapToGrid w:val="0"/>
        </w:rPr>
        <w:t xml:space="preserve"> tyrim</w:t>
      </w:r>
      <w:r w:rsidR="007A08E9" w:rsidRPr="00633873">
        <w:rPr>
          <w:rFonts w:ascii="Times New Roman" w:eastAsia="Times New Roman" w:hAnsi="Times New Roman" w:cs="Times New Roman"/>
          <w:snapToGrid w:val="0"/>
        </w:rPr>
        <w:t>o</w:t>
      </w:r>
      <w:r w:rsidRPr="00633873">
        <w:rPr>
          <w:rFonts w:ascii="Times New Roman" w:eastAsia="Times New Roman" w:hAnsi="Times New Roman" w:cs="Times New Roman"/>
          <w:snapToGrid w:val="0"/>
        </w:rPr>
        <w:t xml:space="preserve"> </w:t>
      </w:r>
      <w:r w:rsidR="007A08E9" w:rsidRPr="00633873">
        <w:rPr>
          <w:rFonts w:ascii="Times New Roman" w:eastAsia="Times New Roman" w:hAnsi="Times New Roman" w:cs="Times New Roman"/>
          <w:snapToGrid w:val="0"/>
        </w:rPr>
        <w:t>metu</w:t>
      </w:r>
      <w:r w:rsidRPr="00633873">
        <w:rPr>
          <w:rFonts w:ascii="Times New Roman" w:eastAsia="Times New Roman" w:hAnsi="Times New Roman" w:cs="Times New Roman"/>
          <w:snapToGrid w:val="0"/>
        </w:rPr>
        <w:t>.</w:t>
      </w:r>
    </w:p>
    <w:p w14:paraId="075AA91B" w14:textId="34211F19" w:rsidR="00A35A18" w:rsidRPr="00633873" w:rsidRDefault="00A35A18" w:rsidP="007A08E9">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t>4</w:t>
      </w:r>
      <w:r w:rsidR="007A08E9" w:rsidRPr="00633873">
        <w:rPr>
          <w:rFonts w:ascii="Times New Roman" w:eastAsia="Times New Roman" w:hAnsi="Times New Roman" w:cs="Times New Roman"/>
          <w:snapToGrid w:val="0"/>
        </w:rPr>
        <w:t xml:space="preserve"> </w:t>
      </w:r>
      <w:r w:rsidRPr="00633873">
        <w:rPr>
          <w:rFonts w:ascii="Times New Roman" w:eastAsia="Times New Roman" w:hAnsi="Times New Roman" w:cs="Times New Roman"/>
          <w:snapToGrid w:val="0"/>
        </w:rPr>
        <w:t xml:space="preserve">Dauguma širdies nepakankamumo atvejų, apie kuriuos pranešta, buvo susiję su skysčių susilaikymu. </w:t>
      </w:r>
    </w:p>
    <w:p w14:paraId="74C10D2D" w14:textId="162A2C85" w:rsidR="007A08E9" w:rsidRPr="00633873" w:rsidRDefault="007A08E9" w:rsidP="007A08E9">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t>5</w:t>
      </w:r>
      <w:r w:rsidRPr="00633873">
        <w:rPr>
          <w:rFonts w:ascii="Times New Roman" w:eastAsia="Times New Roman" w:hAnsi="Times New Roman" w:cs="Times New Roman"/>
          <w:snapToGrid w:val="0"/>
        </w:rPr>
        <w:t xml:space="preserve"> Dažnis nustatytas placebu kontroliuoto </w:t>
      </w:r>
      <w:proofErr w:type="spellStart"/>
      <w:r w:rsidRPr="00633873">
        <w:rPr>
          <w:rFonts w:ascii="Times New Roman" w:eastAsia="Times New Roman" w:hAnsi="Times New Roman" w:cs="Times New Roman"/>
          <w:snapToGrid w:val="0"/>
        </w:rPr>
        <w:t>ambrisentano</w:t>
      </w:r>
      <w:proofErr w:type="spellEnd"/>
      <w:r w:rsidRPr="00633873">
        <w:rPr>
          <w:rFonts w:ascii="Times New Roman" w:eastAsia="Times New Roman" w:hAnsi="Times New Roman" w:cs="Times New Roman"/>
          <w:snapToGrid w:val="0"/>
        </w:rPr>
        <w:t xml:space="preserve"> vartojimo derinyje su </w:t>
      </w:r>
      <w:proofErr w:type="spellStart"/>
      <w:r w:rsidRPr="00633873">
        <w:rPr>
          <w:rFonts w:ascii="Times New Roman" w:eastAsia="Times New Roman" w:hAnsi="Times New Roman" w:cs="Times New Roman"/>
          <w:snapToGrid w:val="0"/>
        </w:rPr>
        <w:t>tadalafiliu</w:t>
      </w:r>
      <w:proofErr w:type="spellEnd"/>
      <w:r w:rsidRPr="00633873">
        <w:rPr>
          <w:rFonts w:ascii="Times New Roman" w:eastAsia="Times New Roman" w:hAnsi="Times New Roman" w:cs="Times New Roman"/>
          <w:snapToGrid w:val="0"/>
        </w:rPr>
        <w:t xml:space="preserve"> klinikinio tyrimo metu. Taikant </w:t>
      </w:r>
      <w:proofErr w:type="spellStart"/>
      <w:r w:rsidRPr="00633873">
        <w:rPr>
          <w:rFonts w:ascii="Times New Roman" w:eastAsia="Times New Roman" w:hAnsi="Times New Roman" w:cs="Times New Roman"/>
          <w:snapToGrid w:val="0"/>
        </w:rPr>
        <w:t>ambrisentano</w:t>
      </w:r>
      <w:proofErr w:type="spellEnd"/>
      <w:r w:rsidRPr="00633873">
        <w:rPr>
          <w:rFonts w:ascii="Times New Roman" w:eastAsia="Times New Roman" w:hAnsi="Times New Roman" w:cs="Times New Roman"/>
          <w:snapToGrid w:val="0"/>
        </w:rPr>
        <w:t xml:space="preserve"> </w:t>
      </w:r>
      <w:proofErr w:type="spellStart"/>
      <w:r w:rsidRPr="00633873">
        <w:rPr>
          <w:rFonts w:ascii="Times New Roman" w:eastAsia="Times New Roman" w:hAnsi="Times New Roman" w:cs="Times New Roman"/>
          <w:snapToGrid w:val="0"/>
        </w:rPr>
        <w:t>monoterapiją</w:t>
      </w:r>
      <w:proofErr w:type="spellEnd"/>
      <w:r w:rsidRPr="00633873">
        <w:rPr>
          <w:rFonts w:ascii="Times New Roman" w:eastAsia="Times New Roman" w:hAnsi="Times New Roman" w:cs="Times New Roman"/>
          <w:snapToGrid w:val="0"/>
        </w:rPr>
        <w:t>, dažnis buvo mažesnis.</w:t>
      </w:r>
    </w:p>
    <w:p w14:paraId="3C161E4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t>6</w:t>
      </w:r>
      <w:r w:rsidR="00CF1A2A" w:rsidRPr="00633873">
        <w:rPr>
          <w:rFonts w:ascii="Times New Roman" w:eastAsia="Times New Roman" w:hAnsi="Times New Roman" w:cs="Times New Roman"/>
          <w:snapToGrid w:val="0"/>
        </w:rPr>
        <w:t xml:space="preserve"> </w:t>
      </w:r>
      <w:r w:rsidRPr="00633873">
        <w:rPr>
          <w:rFonts w:ascii="Times New Roman" w:eastAsia="Times New Roman" w:hAnsi="Times New Roman" w:cs="Times New Roman"/>
          <w:snapToGrid w:val="0"/>
        </w:rPr>
        <w:t xml:space="preserve">Buvo pranešta apie neaiškios etiologijos dusulio pasunkėjimo atvejus netrukus po to, kai buvo pradėtas gydymas </w:t>
      </w:r>
      <w:proofErr w:type="spellStart"/>
      <w:r w:rsidRPr="00633873">
        <w:rPr>
          <w:rFonts w:ascii="Times New Roman" w:eastAsia="Times New Roman" w:hAnsi="Times New Roman" w:cs="Times New Roman"/>
          <w:snapToGrid w:val="0"/>
        </w:rPr>
        <w:t>ambrisentanu</w:t>
      </w:r>
      <w:proofErr w:type="spellEnd"/>
      <w:r w:rsidRPr="00633873">
        <w:rPr>
          <w:rFonts w:ascii="Times New Roman" w:eastAsia="Times New Roman" w:hAnsi="Times New Roman" w:cs="Times New Roman"/>
          <w:snapToGrid w:val="0"/>
        </w:rPr>
        <w:t>.</w:t>
      </w:r>
    </w:p>
    <w:p w14:paraId="3794E08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lastRenderedPageBreak/>
        <w:t>7</w:t>
      </w:r>
      <w:r w:rsidR="00CF1A2A" w:rsidRPr="00633873">
        <w:rPr>
          <w:rFonts w:ascii="Times New Roman" w:eastAsia="Times New Roman" w:hAnsi="Times New Roman" w:cs="Times New Roman"/>
          <w:snapToGrid w:val="0"/>
        </w:rPr>
        <w:t xml:space="preserve"> </w:t>
      </w:r>
      <w:r w:rsidRPr="00633873">
        <w:rPr>
          <w:rFonts w:ascii="Times New Roman" w:eastAsia="Times New Roman" w:hAnsi="Times New Roman" w:cs="Times New Roman"/>
          <w:snapToGrid w:val="0"/>
        </w:rPr>
        <w:t xml:space="preserve">Nosies paburkimo dažnis gydymo </w:t>
      </w:r>
      <w:proofErr w:type="spellStart"/>
      <w:r w:rsidRPr="00633873">
        <w:rPr>
          <w:rFonts w:ascii="Times New Roman" w:eastAsia="Times New Roman" w:hAnsi="Times New Roman" w:cs="Times New Roman"/>
          <w:snapToGrid w:val="0"/>
        </w:rPr>
        <w:t>ambrisentanu</w:t>
      </w:r>
      <w:proofErr w:type="spellEnd"/>
      <w:r w:rsidRPr="00633873">
        <w:rPr>
          <w:rFonts w:ascii="Times New Roman" w:eastAsia="Times New Roman" w:hAnsi="Times New Roman" w:cs="Times New Roman"/>
          <w:snapToGrid w:val="0"/>
        </w:rPr>
        <w:t xml:space="preserve"> metu priklausė nuo dozės.</w:t>
      </w:r>
    </w:p>
    <w:p w14:paraId="1B46E8CF" w14:textId="3FC478C8" w:rsidR="00A35A18" w:rsidRPr="00633873" w:rsidRDefault="00A35A18" w:rsidP="007A08E9">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vertAlign w:val="superscript"/>
        </w:rPr>
        <w:t>8</w:t>
      </w:r>
      <w:r w:rsidR="00CF1A2A" w:rsidRPr="00633873">
        <w:rPr>
          <w:rFonts w:ascii="Times New Roman" w:eastAsia="Times New Roman" w:hAnsi="Times New Roman" w:cs="Times New Roman"/>
          <w:snapToGrid w:val="0"/>
        </w:rPr>
        <w:t xml:space="preserve"> </w:t>
      </w:r>
      <w:r w:rsidRPr="00633873">
        <w:rPr>
          <w:rFonts w:ascii="Times New Roman" w:eastAsia="Times New Roman" w:hAnsi="Times New Roman" w:cs="Times New Roman"/>
          <w:snapToGrid w:val="0"/>
        </w:rPr>
        <w:t xml:space="preserve">Išbėrimas apima </w:t>
      </w:r>
      <w:proofErr w:type="spellStart"/>
      <w:r w:rsidRPr="00633873">
        <w:rPr>
          <w:rFonts w:ascii="Times New Roman" w:eastAsia="Times New Roman" w:hAnsi="Times New Roman" w:cs="Times New Roman"/>
          <w:snapToGrid w:val="0"/>
        </w:rPr>
        <w:t>eriteminį</w:t>
      </w:r>
      <w:proofErr w:type="spellEnd"/>
      <w:r w:rsidRPr="00633873">
        <w:rPr>
          <w:rFonts w:ascii="Times New Roman" w:eastAsia="Times New Roman" w:hAnsi="Times New Roman" w:cs="Times New Roman"/>
          <w:snapToGrid w:val="0"/>
        </w:rPr>
        <w:t xml:space="preserve"> išbėrimą, </w:t>
      </w:r>
      <w:proofErr w:type="spellStart"/>
      <w:r w:rsidRPr="00633873">
        <w:rPr>
          <w:rFonts w:ascii="Times New Roman" w:eastAsia="Times New Roman" w:hAnsi="Times New Roman" w:cs="Times New Roman"/>
          <w:snapToGrid w:val="0"/>
        </w:rPr>
        <w:t>generalizuotą</w:t>
      </w:r>
      <w:proofErr w:type="spellEnd"/>
      <w:r w:rsidRPr="00633873">
        <w:rPr>
          <w:rFonts w:ascii="Times New Roman" w:eastAsia="Times New Roman" w:hAnsi="Times New Roman" w:cs="Times New Roman"/>
          <w:snapToGrid w:val="0"/>
        </w:rPr>
        <w:t xml:space="preserve"> išbėrimą, </w:t>
      </w:r>
      <w:proofErr w:type="spellStart"/>
      <w:r w:rsidRPr="00633873">
        <w:rPr>
          <w:rFonts w:ascii="Times New Roman" w:eastAsia="Times New Roman" w:hAnsi="Times New Roman" w:cs="Times New Roman"/>
          <w:snapToGrid w:val="0"/>
        </w:rPr>
        <w:t>papulinį</w:t>
      </w:r>
      <w:proofErr w:type="spellEnd"/>
      <w:r w:rsidRPr="00633873">
        <w:rPr>
          <w:rFonts w:ascii="Times New Roman" w:eastAsia="Times New Roman" w:hAnsi="Times New Roman" w:cs="Times New Roman"/>
          <w:snapToGrid w:val="0"/>
        </w:rPr>
        <w:t xml:space="preserve"> išbėrimą ir išbėrimą su niež</w:t>
      </w:r>
      <w:r w:rsidR="0081522D" w:rsidRPr="00633873">
        <w:rPr>
          <w:rFonts w:ascii="Times New Roman" w:eastAsia="Times New Roman" w:hAnsi="Times New Roman" w:cs="Times New Roman"/>
          <w:snapToGrid w:val="0"/>
        </w:rPr>
        <w:t>ėjimu</w:t>
      </w:r>
      <w:r w:rsidRPr="00633873">
        <w:rPr>
          <w:rFonts w:ascii="Times New Roman" w:eastAsia="Times New Roman" w:hAnsi="Times New Roman" w:cs="Times New Roman"/>
          <w:snapToGrid w:val="0"/>
        </w:rPr>
        <w:t>.</w:t>
      </w:r>
    </w:p>
    <w:p w14:paraId="0A5DFFC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p>
    <w:p w14:paraId="532A4012" w14:textId="66AC69B4" w:rsidR="00A35A18" w:rsidRDefault="00A35A18" w:rsidP="00A35A18">
      <w:pPr>
        <w:tabs>
          <w:tab w:val="left" w:pos="567"/>
        </w:tabs>
        <w:spacing w:after="0" w:line="260" w:lineRule="exact"/>
        <w:rPr>
          <w:rFonts w:ascii="Times New Roman" w:eastAsia="Times New Roman" w:hAnsi="Times New Roman" w:cs="Times New Roman"/>
          <w:snapToGrid w:val="0"/>
          <w:u w:val="single"/>
        </w:rPr>
      </w:pPr>
      <w:r w:rsidRPr="00633873">
        <w:rPr>
          <w:rFonts w:ascii="Times New Roman" w:eastAsia="Times New Roman" w:hAnsi="Times New Roman" w:cs="Times New Roman"/>
          <w:snapToGrid w:val="0"/>
          <w:u w:val="single"/>
        </w:rPr>
        <w:t>Atrinktų nepageidaujamų reakcijų apibūdinimas</w:t>
      </w:r>
    </w:p>
    <w:p w14:paraId="7F601D51"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u w:val="single"/>
        </w:rPr>
      </w:pPr>
    </w:p>
    <w:p w14:paraId="16E8D705" w14:textId="77777777" w:rsidR="00A35A18" w:rsidRPr="00633873" w:rsidRDefault="00A35A18" w:rsidP="00A35A18">
      <w:pPr>
        <w:tabs>
          <w:tab w:val="left" w:pos="567"/>
        </w:tabs>
        <w:spacing w:after="0" w:line="260" w:lineRule="exact"/>
        <w:rPr>
          <w:rFonts w:ascii="Times New Roman" w:eastAsia="Times New Roman" w:hAnsi="Times New Roman" w:cs="Times New Roman"/>
          <w:i/>
          <w:iCs/>
          <w:snapToGrid w:val="0"/>
          <w:u w:val="single"/>
        </w:rPr>
      </w:pPr>
      <w:r w:rsidRPr="00633873">
        <w:rPr>
          <w:rFonts w:ascii="Times New Roman" w:eastAsia="Times New Roman" w:hAnsi="Times New Roman" w:cs="Times New Roman"/>
          <w:i/>
          <w:iCs/>
          <w:snapToGrid w:val="0"/>
          <w:u w:val="single"/>
        </w:rPr>
        <w:t>Hemoglobino koncentracijos sumažėjimas</w:t>
      </w:r>
    </w:p>
    <w:p w14:paraId="7D8DA48B" w14:textId="4BA9B94D" w:rsidR="003229C0"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rPr>
        <w:t xml:space="preserve">Po vaistinio preparato pateikimo į rinką buvo pranešta apie anemijos, dėl kurios teko </w:t>
      </w:r>
      <w:r w:rsidR="0081522D" w:rsidRPr="00633873">
        <w:rPr>
          <w:rFonts w:ascii="Times New Roman" w:eastAsia="Times New Roman" w:hAnsi="Times New Roman" w:cs="Times New Roman"/>
          <w:snapToGrid w:val="0"/>
        </w:rPr>
        <w:t>atlikti</w:t>
      </w:r>
      <w:r w:rsidRPr="00633873">
        <w:rPr>
          <w:rFonts w:ascii="Times New Roman" w:eastAsia="Times New Roman" w:hAnsi="Times New Roman" w:cs="Times New Roman"/>
          <w:snapToGrid w:val="0"/>
        </w:rPr>
        <w:t xml:space="preserve"> kraujo ląstel</w:t>
      </w:r>
      <w:r w:rsidR="0081522D" w:rsidRPr="00633873">
        <w:rPr>
          <w:rFonts w:ascii="Times New Roman" w:eastAsia="Times New Roman" w:hAnsi="Times New Roman" w:cs="Times New Roman"/>
          <w:snapToGrid w:val="0"/>
        </w:rPr>
        <w:t>ių transfuziją</w:t>
      </w:r>
      <w:r w:rsidRPr="00633873">
        <w:rPr>
          <w:rFonts w:ascii="Times New Roman" w:eastAsia="Times New Roman" w:hAnsi="Times New Roman" w:cs="Times New Roman"/>
          <w:snapToGrid w:val="0"/>
        </w:rPr>
        <w:t>, atvejus (žr. 4.4</w:t>
      </w:r>
      <w:r w:rsidR="002D3ECE" w:rsidRPr="00633873">
        <w:rPr>
          <w:rFonts w:ascii="Times New Roman" w:eastAsia="Times New Roman" w:hAnsi="Times New Roman" w:cs="Times New Roman"/>
          <w:snapToGrid w:val="0"/>
        </w:rPr>
        <w:t> skyri</w:t>
      </w:r>
      <w:r w:rsidRPr="00633873">
        <w:rPr>
          <w:rFonts w:ascii="Times New Roman" w:eastAsia="Times New Roman" w:hAnsi="Times New Roman" w:cs="Times New Roman"/>
          <w:snapToGrid w:val="0"/>
        </w:rPr>
        <w:t xml:space="preserve">ų). Hemoglobino koncentracijos sumažėjimas (anemija) dažniau pasireiškė vartojant 10 mg </w:t>
      </w:r>
      <w:proofErr w:type="spellStart"/>
      <w:r w:rsidRPr="00633873">
        <w:rPr>
          <w:rFonts w:ascii="Times New Roman" w:eastAsia="Times New Roman" w:hAnsi="Times New Roman" w:cs="Times New Roman"/>
          <w:snapToGrid w:val="0"/>
        </w:rPr>
        <w:t>ambrisentano</w:t>
      </w:r>
      <w:proofErr w:type="spellEnd"/>
      <w:r w:rsidRPr="00633873">
        <w:rPr>
          <w:rFonts w:ascii="Times New Roman" w:eastAsia="Times New Roman" w:hAnsi="Times New Roman" w:cs="Times New Roman"/>
          <w:snapToGrid w:val="0"/>
        </w:rPr>
        <w:t xml:space="preserve"> dozę.</w:t>
      </w:r>
    </w:p>
    <w:p w14:paraId="3DEE5E8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rPr>
      </w:pPr>
      <w:r w:rsidRPr="00633873">
        <w:rPr>
          <w:rFonts w:ascii="Times New Roman" w:eastAsia="Times New Roman" w:hAnsi="Times New Roman" w:cs="Times New Roman"/>
          <w:snapToGrid w:val="0"/>
        </w:rPr>
        <w:t xml:space="preserve">Remiantis 12 savaičių placebu kontroliuojamųjų </w:t>
      </w:r>
      <w:r w:rsidR="003229C0" w:rsidRPr="00633873">
        <w:rPr>
          <w:rFonts w:ascii="Times New Roman" w:eastAsia="Times New Roman" w:hAnsi="Times New Roman" w:cs="Times New Roman"/>
          <w:snapToGrid w:val="0"/>
        </w:rPr>
        <w:t>3 </w:t>
      </w:r>
      <w:r w:rsidRPr="00633873">
        <w:rPr>
          <w:rFonts w:ascii="Times New Roman" w:eastAsia="Times New Roman" w:hAnsi="Times New Roman" w:cs="Times New Roman"/>
          <w:snapToGrid w:val="0"/>
        </w:rPr>
        <w:t xml:space="preserve">fazės klinikinių tyrimų duomenimis, vidutinė hemoglobino koncentracija </w:t>
      </w:r>
      <w:proofErr w:type="spellStart"/>
      <w:r w:rsidRPr="00633873">
        <w:rPr>
          <w:rFonts w:ascii="Times New Roman" w:eastAsia="Times New Roman" w:hAnsi="Times New Roman" w:cs="Times New Roman"/>
          <w:snapToGrid w:val="0"/>
        </w:rPr>
        <w:t>ambrisentano</w:t>
      </w:r>
      <w:proofErr w:type="spellEnd"/>
      <w:r w:rsidRPr="00633873">
        <w:rPr>
          <w:rFonts w:ascii="Times New Roman" w:eastAsia="Times New Roman" w:hAnsi="Times New Roman" w:cs="Times New Roman"/>
          <w:snapToGrid w:val="0"/>
        </w:rPr>
        <w:t xml:space="preserve"> grupėje sumažėjo ir tai buvo nustatyta jau 4 savaitę (sumažėjo 0,83 g/dl). Vidutiniai pradinių rodmenų pokyčiai stabilizavosi per kitas 8 savaites. Iš viso 17 pacientų (6,5 %) gydymo </w:t>
      </w:r>
      <w:proofErr w:type="spellStart"/>
      <w:r w:rsidRPr="00633873">
        <w:rPr>
          <w:rFonts w:ascii="Times New Roman" w:eastAsia="Times New Roman" w:hAnsi="Times New Roman" w:cs="Times New Roman"/>
          <w:snapToGrid w:val="0"/>
        </w:rPr>
        <w:t>ambrisentanu</w:t>
      </w:r>
      <w:proofErr w:type="spellEnd"/>
      <w:r w:rsidRPr="00633873">
        <w:rPr>
          <w:rFonts w:ascii="Times New Roman" w:eastAsia="Times New Roman" w:hAnsi="Times New Roman" w:cs="Times New Roman"/>
          <w:snapToGrid w:val="0"/>
        </w:rPr>
        <w:t xml:space="preserve"> grupėje hemoglobino koncentracija sumažėjo ≥ 15 % nuo pradinio rodmens ir sumažėjo žemiau apatinės normos ribos.</w:t>
      </w:r>
    </w:p>
    <w:p w14:paraId="7CAC7E5C" w14:textId="65FD8B13"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u w:val="single"/>
        </w:rPr>
      </w:pPr>
    </w:p>
    <w:p w14:paraId="76B6395D" w14:textId="5259CF71" w:rsidR="004737D3" w:rsidRDefault="004737D3" w:rsidP="004737D3">
      <w:pPr>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Vaikų populiacija</w:t>
      </w:r>
    </w:p>
    <w:p w14:paraId="5A780195" w14:textId="77777777" w:rsidR="00577297" w:rsidRPr="00633873" w:rsidRDefault="00577297" w:rsidP="004737D3">
      <w:pPr>
        <w:tabs>
          <w:tab w:val="left" w:pos="567"/>
        </w:tabs>
        <w:spacing w:after="0" w:line="260" w:lineRule="exact"/>
        <w:rPr>
          <w:rFonts w:ascii="Times New Roman" w:eastAsia="Times New Roman" w:hAnsi="Times New Roman" w:cs="Times New Roman"/>
          <w:snapToGrid w:val="0"/>
          <w:szCs w:val="20"/>
          <w:u w:val="single"/>
        </w:rPr>
      </w:pPr>
    </w:p>
    <w:p w14:paraId="4ACD4AD8" w14:textId="0584F2A4" w:rsidR="004737D3" w:rsidRPr="00633873" w:rsidRDefault="004737D3" w:rsidP="004737D3">
      <w:pPr>
        <w:tabs>
          <w:tab w:val="left" w:pos="567"/>
        </w:tabs>
        <w:spacing w:after="0" w:line="260" w:lineRule="exact"/>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saugumas gydant PH sergančius vaikų populiacijos pacientus (nuo 8 iki mažiau kaip 18 metų amžiaus) buvo įvertintas su 41 pacientu, kuris 2b fazės atviro tyrimo metu 24 savaites kartą per parą vartojo 2,</w:t>
      </w:r>
      <w:r w:rsidRPr="00633873">
        <w:rPr>
          <w:rFonts w:ascii="Times New Roman" w:hAnsi="Times New Roman" w:cs="Times New Roman"/>
        </w:rPr>
        <w:t>5 mg</w:t>
      </w:r>
      <w:r w:rsidRPr="00633873">
        <w:rPr>
          <w:rFonts w:ascii="Times New Roman" w:eastAsia="Times New Roman" w:hAnsi="Times New Roman" w:cs="Times New Roman"/>
          <w:snapToGrid w:val="0"/>
          <w:szCs w:val="20"/>
        </w:rPr>
        <w:t xml:space="preserve"> arba 5 mg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dozę (mažos dozės grupė) arba kartą per parą vartojo 2,5 mg arba 5 mg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dozę ir po to ji buvo didinama iki 5 mg, 7,5 mg ar 10 mg, atsižvelgiant į kūno svorį (didelės dozės grupė), taikant </w:t>
      </w:r>
      <w:proofErr w:type="spellStart"/>
      <w:r w:rsidRPr="00633873">
        <w:rPr>
          <w:rFonts w:ascii="Times New Roman" w:eastAsia="Times New Roman" w:hAnsi="Times New Roman" w:cs="Times New Roman"/>
          <w:snapToGrid w:val="0"/>
          <w:szCs w:val="20"/>
        </w:rPr>
        <w:t>monoterapiją</w:t>
      </w:r>
      <w:proofErr w:type="spellEnd"/>
      <w:r w:rsidRPr="00633873">
        <w:rPr>
          <w:rFonts w:ascii="Times New Roman" w:eastAsia="Times New Roman" w:hAnsi="Times New Roman" w:cs="Times New Roman"/>
          <w:snapToGrid w:val="0"/>
          <w:szCs w:val="20"/>
        </w:rPr>
        <w:t xml:space="preserve"> ar kartu vartojant kitų vaistinių preparatų nuo PH. Vėliau saugumas 38 iš 41 tiriamųjų buvo vertinamas ilgalaikio tyrimo pratęsimo metu. Pastebėtos nepageidaujamos reakcijos, įvertintos kaip susijusios su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atitiko nustatytas kontroliuotų tyrimų su suaugusiaisiais metu, dažniausiai pasireiškė galvos skausmas (15 %, 6 iš 41 tiriamojo per 2b fazės atviro tyrimo 24 savaites ir 8 %, 3 iš 38 tiriamųjų ilgalaikio tyrimo pratęsimo metu) ir nosies užsikimšimas (</w:t>
      </w:r>
      <w:r w:rsidR="00057907">
        <w:rPr>
          <w:rFonts w:ascii="Times New Roman" w:eastAsia="Times New Roman" w:hAnsi="Times New Roman" w:cs="Times New Roman"/>
          <w:snapToGrid w:val="0"/>
          <w:szCs w:val="20"/>
        </w:rPr>
        <w:t>7</w:t>
      </w:r>
      <w:r w:rsidRPr="00633873">
        <w:rPr>
          <w:rFonts w:ascii="Times New Roman" w:eastAsia="Times New Roman" w:hAnsi="Times New Roman" w:cs="Times New Roman"/>
          <w:snapToGrid w:val="0"/>
          <w:szCs w:val="20"/>
        </w:rPr>
        <w:t> %, 3 iš 41 tiriamojo per 2b fazės atviro tyrimo 24 savaites).</w:t>
      </w:r>
    </w:p>
    <w:p w14:paraId="28E14995" w14:textId="77777777" w:rsidR="004737D3" w:rsidRPr="00633873" w:rsidRDefault="004737D3" w:rsidP="004737D3">
      <w:pPr>
        <w:tabs>
          <w:tab w:val="left" w:pos="567"/>
        </w:tabs>
        <w:spacing w:after="0" w:line="260" w:lineRule="exact"/>
        <w:rPr>
          <w:rFonts w:ascii="Times New Roman" w:eastAsia="Times New Roman" w:hAnsi="Times New Roman" w:cs="Times New Roman"/>
          <w:snapToGrid w:val="0"/>
          <w:szCs w:val="20"/>
          <w:u w:val="single"/>
        </w:rPr>
      </w:pPr>
    </w:p>
    <w:p w14:paraId="00788729" w14:textId="06C7624A" w:rsidR="00A35A18" w:rsidRDefault="00A35A18" w:rsidP="00A35A18">
      <w:pPr>
        <w:tabs>
          <w:tab w:val="left" w:pos="567"/>
        </w:tabs>
        <w:spacing w:after="0" w:line="260" w:lineRule="exact"/>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Pranešimas apie įtariamas nepageidaujamas reakcijas</w:t>
      </w:r>
    </w:p>
    <w:p w14:paraId="2A126B41" w14:textId="77777777" w:rsidR="00577297" w:rsidRPr="00633873" w:rsidRDefault="00577297" w:rsidP="00A35A18">
      <w:pPr>
        <w:tabs>
          <w:tab w:val="left" w:pos="567"/>
        </w:tabs>
        <w:spacing w:after="0" w:line="260" w:lineRule="exact"/>
        <w:rPr>
          <w:rFonts w:ascii="Times New Roman" w:eastAsia="Times New Roman" w:hAnsi="Times New Roman" w:cs="Times New Roman"/>
          <w:snapToGrid w:val="0"/>
          <w:szCs w:val="24"/>
          <w:u w:val="single"/>
        </w:rPr>
      </w:pPr>
    </w:p>
    <w:p w14:paraId="319EFFF2" w14:textId="354525D6" w:rsidR="004737D3" w:rsidRPr="00057907" w:rsidRDefault="00A35A18" w:rsidP="004737D3">
      <w:pPr>
        <w:tabs>
          <w:tab w:val="left" w:pos="567"/>
        </w:tabs>
        <w:spacing w:after="0" w:line="240" w:lineRule="auto"/>
        <w:rPr>
          <w:rFonts w:ascii="Times New Roman" w:eastAsia="Times New Roman" w:hAnsi="Times New Roman" w:cs="Times New Roman"/>
        </w:rPr>
      </w:pPr>
      <w:r w:rsidRPr="00633873">
        <w:rPr>
          <w:rFonts w:ascii="Times New Roman" w:eastAsia="Times New Roman" w:hAnsi="Times New Roman" w:cs="Times New Roman"/>
          <w:snapToGrid w:val="0"/>
          <w:szCs w:val="24"/>
        </w:rPr>
        <w:t xml:space="preserve">Svarbu pranešti apie įtariamas nepageidaujamas reakcijas, pastebėtas po vaistinio preparato </w:t>
      </w:r>
      <w:r w:rsidRPr="00057907">
        <w:rPr>
          <w:rFonts w:ascii="Times New Roman" w:eastAsia="Times New Roman" w:hAnsi="Times New Roman" w:cs="Times New Roman"/>
          <w:snapToGrid w:val="0"/>
        </w:rPr>
        <w:t xml:space="preserve">registracijos, nes tai leidžia nuolat stebėti vaistinio preparato naudos ir rizikos santykį. </w:t>
      </w:r>
      <w:r w:rsidR="00057907" w:rsidRPr="00057907">
        <w:rPr>
          <w:rFonts w:ascii="Times New Roman" w:eastAsia="Times New Roman" w:hAnsi="Times New Roman" w:cs="Times New Roman"/>
        </w:rPr>
        <w:t xml:space="preserve">Sveikatos priežiūros ar farmacijos specialistai turi pranešti apie bet kokias įtariamas nepageidaujamas reakcijas, </w:t>
      </w:r>
      <w:r w:rsidR="00057907" w:rsidRPr="00570F2A">
        <w:rPr>
          <w:rFonts w:ascii="Times New Roman" w:eastAsia="Times New Roman" w:hAnsi="Times New Roman" w:cs="Times New Roman"/>
          <w:color w:val="000000"/>
        </w:rPr>
        <w:t>užpildę ir pateikę pranešimo formą Valstybinės vaistų kontrolės tarnybos prie Lietuvos Respublikos sveikatos apsaugos ministerijos tinklalapyje </w:t>
      </w:r>
      <w:r w:rsidR="00057907" w:rsidRPr="00570F2A">
        <w:rPr>
          <w:rFonts w:ascii="Times New Roman" w:eastAsia="Times New Roman" w:hAnsi="Times New Roman" w:cs="Times New Roman"/>
          <w:color w:val="0000EE"/>
          <w:u w:val="single"/>
        </w:rPr>
        <w:t>https://vvkt.lrv.lt/lt/</w:t>
      </w:r>
      <w:r w:rsidR="00057907" w:rsidRPr="00570F2A">
        <w:rPr>
          <w:rFonts w:ascii="Times New Roman" w:eastAsia="Times New Roman" w:hAnsi="Times New Roman" w:cs="Times New Roman"/>
          <w:color w:val="000000"/>
        </w:rPr>
        <w:t> nurodytais būdais.</w:t>
      </w:r>
    </w:p>
    <w:p w14:paraId="51D7739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17A8218"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4.9</w:t>
      </w:r>
      <w:r w:rsidRPr="00633873">
        <w:rPr>
          <w:rFonts w:ascii="Times New Roman" w:eastAsia="Times New Roman" w:hAnsi="Times New Roman" w:cs="Times New Roman"/>
          <w:b/>
          <w:kern w:val="28"/>
        </w:rPr>
        <w:tab/>
        <w:t>Perdozavimas</w:t>
      </w:r>
    </w:p>
    <w:p w14:paraId="63DDBC3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C8A8097" w14:textId="6F380E82"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Sveikiems savanoriams skiriant vienkartines 50 mg ir 100 mg dozes (nuo 5 iki 10 kartų didesnes už didžiausią rekomenduojamą dozę), pasireiškė galvos skausmas, </w:t>
      </w:r>
      <w:r w:rsidR="0081522D" w:rsidRPr="00633873">
        <w:rPr>
          <w:rFonts w:ascii="Times New Roman" w:eastAsia="Times New Roman" w:hAnsi="Times New Roman" w:cs="Times New Roman"/>
          <w:snapToGrid w:val="0"/>
          <w:szCs w:val="20"/>
        </w:rPr>
        <w:t xml:space="preserve">veido ir kaklo </w:t>
      </w:r>
      <w:r w:rsidRPr="00633873">
        <w:rPr>
          <w:rFonts w:ascii="Times New Roman" w:eastAsia="Times New Roman" w:hAnsi="Times New Roman" w:cs="Times New Roman"/>
          <w:snapToGrid w:val="0"/>
          <w:szCs w:val="20"/>
        </w:rPr>
        <w:t>paraudimas, svaigulys, pykinimas ir nosies užgulimas.</w:t>
      </w:r>
    </w:p>
    <w:p w14:paraId="78740F4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77BCCC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perdozavimas dėl jo veikimo mechanizmo gali sukelti </w:t>
      </w:r>
      <w:proofErr w:type="spellStart"/>
      <w:r w:rsidRPr="00633873">
        <w:rPr>
          <w:rFonts w:ascii="Times New Roman" w:eastAsia="Times New Roman" w:hAnsi="Times New Roman" w:cs="Times New Roman"/>
          <w:snapToGrid w:val="0"/>
          <w:szCs w:val="20"/>
        </w:rPr>
        <w:t>hipotenziją</w:t>
      </w:r>
      <w:proofErr w:type="spellEnd"/>
      <w:r w:rsidRPr="00633873">
        <w:rPr>
          <w:rFonts w:ascii="Times New Roman" w:eastAsia="Times New Roman" w:hAnsi="Times New Roman" w:cs="Times New Roman"/>
          <w:snapToGrid w:val="0"/>
          <w:szCs w:val="20"/>
        </w:rPr>
        <w:t xml:space="preserve"> (žr. 5.3</w:t>
      </w:r>
      <w:r w:rsidR="002D3ECE" w:rsidRPr="00633873">
        <w:rPr>
          <w:rFonts w:ascii="Times New Roman" w:eastAsia="Times New Roman" w:hAnsi="Times New Roman" w:cs="Times New Roman"/>
          <w:snapToGrid w:val="0"/>
          <w:szCs w:val="20"/>
        </w:rPr>
        <w:t> skyri</w:t>
      </w:r>
      <w:r w:rsidRPr="00633873">
        <w:rPr>
          <w:rFonts w:ascii="Times New Roman" w:eastAsia="Times New Roman" w:hAnsi="Times New Roman" w:cs="Times New Roman"/>
          <w:snapToGrid w:val="0"/>
          <w:szCs w:val="20"/>
        </w:rPr>
        <w:t xml:space="preserve">ų). Esant išreikštai </w:t>
      </w:r>
      <w:proofErr w:type="spellStart"/>
      <w:r w:rsidRPr="00633873">
        <w:rPr>
          <w:rFonts w:ascii="Times New Roman" w:eastAsia="Times New Roman" w:hAnsi="Times New Roman" w:cs="Times New Roman"/>
          <w:snapToGrid w:val="0"/>
          <w:szCs w:val="20"/>
        </w:rPr>
        <w:t>hipotenzijai</w:t>
      </w:r>
      <w:proofErr w:type="spellEnd"/>
      <w:r w:rsidRPr="00633873">
        <w:rPr>
          <w:rFonts w:ascii="Times New Roman" w:eastAsia="Times New Roman" w:hAnsi="Times New Roman" w:cs="Times New Roman"/>
          <w:snapToGrid w:val="0"/>
          <w:szCs w:val="20"/>
        </w:rPr>
        <w:t>, gali prireikti aktyvaus širdies ir kraujagyslių sistemą palaikomojo gydymo. Specifinio priešnuodžio nėra.</w:t>
      </w:r>
    </w:p>
    <w:p w14:paraId="036B8CA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FFF38B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D2F5C63"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5.</w:t>
      </w:r>
      <w:r w:rsidRPr="00633873">
        <w:rPr>
          <w:rFonts w:ascii="Times New Roman" w:eastAsia="Times New Roman" w:hAnsi="Times New Roman" w:cs="Times New Roman"/>
          <w:b/>
          <w:bCs/>
        </w:rPr>
        <w:tab/>
        <w:t>FARMAKOLOGINĖS SAVYBĖS</w:t>
      </w:r>
    </w:p>
    <w:p w14:paraId="6CF7F34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F3C6578"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 xml:space="preserve">5.1 </w:t>
      </w:r>
      <w:r w:rsidRPr="00633873">
        <w:rPr>
          <w:rFonts w:ascii="Times New Roman" w:eastAsia="Times New Roman" w:hAnsi="Times New Roman" w:cs="Times New Roman"/>
          <w:b/>
          <w:kern w:val="28"/>
        </w:rPr>
        <w:tab/>
      </w:r>
      <w:proofErr w:type="spellStart"/>
      <w:r w:rsidRPr="00633873">
        <w:rPr>
          <w:rFonts w:ascii="Times New Roman" w:eastAsia="Times New Roman" w:hAnsi="Times New Roman" w:cs="Times New Roman"/>
          <w:b/>
          <w:kern w:val="28"/>
        </w:rPr>
        <w:t>Farmakodinaminės</w:t>
      </w:r>
      <w:proofErr w:type="spellEnd"/>
      <w:r w:rsidRPr="00633873">
        <w:rPr>
          <w:rFonts w:ascii="Times New Roman" w:eastAsia="Times New Roman" w:hAnsi="Times New Roman" w:cs="Times New Roman"/>
          <w:b/>
          <w:kern w:val="28"/>
        </w:rPr>
        <w:t xml:space="preserve"> savybės</w:t>
      </w:r>
    </w:p>
    <w:p w14:paraId="4B0DB0D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74618D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Farmakoterapinė</w:t>
      </w:r>
      <w:proofErr w:type="spellEnd"/>
      <w:r w:rsidRPr="00633873">
        <w:rPr>
          <w:rFonts w:ascii="Times New Roman" w:eastAsia="Times New Roman" w:hAnsi="Times New Roman" w:cs="Times New Roman"/>
          <w:snapToGrid w:val="0"/>
          <w:szCs w:val="20"/>
        </w:rPr>
        <w:t xml:space="preserve"> grupė – </w:t>
      </w:r>
      <w:proofErr w:type="spellStart"/>
      <w:r w:rsidRPr="00633873">
        <w:rPr>
          <w:rFonts w:ascii="Times New Roman" w:eastAsia="Times New Roman" w:hAnsi="Times New Roman" w:cs="Times New Roman"/>
          <w:snapToGrid w:val="0"/>
          <w:szCs w:val="20"/>
        </w:rPr>
        <w:t>antihipertenziniai</w:t>
      </w:r>
      <w:proofErr w:type="spellEnd"/>
      <w:r w:rsidRPr="00633873">
        <w:rPr>
          <w:rFonts w:ascii="Times New Roman" w:eastAsia="Times New Roman" w:hAnsi="Times New Roman" w:cs="Times New Roman"/>
          <w:snapToGrid w:val="0"/>
          <w:szCs w:val="20"/>
        </w:rPr>
        <w:t xml:space="preserve"> vaistiniai preparatai, kiti </w:t>
      </w:r>
      <w:proofErr w:type="spellStart"/>
      <w:r w:rsidRPr="00633873">
        <w:rPr>
          <w:rFonts w:ascii="Times New Roman" w:eastAsia="Times New Roman" w:hAnsi="Times New Roman" w:cs="Times New Roman"/>
          <w:snapToGrid w:val="0"/>
          <w:szCs w:val="20"/>
        </w:rPr>
        <w:t>antihipertenziniai</w:t>
      </w:r>
      <w:proofErr w:type="spellEnd"/>
      <w:r w:rsidRPr="00633873">
        <w:rPr>
          <w:rFonts w:ascii="Times New Roman" w:eastAsia="Times New Roman" w:hAnsi="Times New Roman" w:cs="Times New Roman"/>
          <w:snapToGrid w:val="0"/>
          <w:szCs w:val="20"/>
        </w:rPr>
        <w:t xml:space="preserve"> vaistiniai preparatai, ATC kodas – C02KX02.</w:t>
      </w:r>
    </w:p>
    <w:p w14:paraId="07350B0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8F4506D" w14:textId="7098B89C" w:rsidR="00A35A18" w:rsidRDefault="00A35A18" w:rsidP="00570F2A">
      <w:pPr>
        <w:keepNext/>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lastRenderedPageBreak/>
        <w:t>Veikimo mechanizmas</w:t>
      </w:r>
    </w:p>
    <w:p w14:paraId="2DEF2ACA" w14:textId="77777777" w:rsidR="00057907" w:rsidRPr="00633873" w:rsidRDefault="00057907" w:rsidP="00A35A18">
      <w:pPr>
        <w:tabs>
          <w:tab w:val="left" w:pos="567"/>
        </w:tabs>
        <w:spacing w:after="0" w:line="260" w:lineRule="exact"/>
        <w:rPr>
          <w:rFonts w:ascii="Times New Roman" w:eastAsia="Times New Roman" w:hAnsi="Times New Roman" w:cs="Times New Roman"/>
          <w:snapToGrid w:val="0"/>
          <w:szCs w:val="20"/>
          <w:u w:val="single"/>
        </w:rPr>
      </w:pPr>
    </w:p>
    <w:p w14:paraId="6FBE335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yra aktyvus per burną vartojamas </w:t>
      </w:r>
      <w:proofErr w:type="spellStart"/>
      <w:r w:rsidRPr="00633873">
        <w:rPr>
          <w:rFonts w:ascii="Times New Roman" w:eastAsia="Times New Roman" w:hAnsi="Times New Roman" w:cs="Times New Roman"/>
          <w:snapToGrid w:val="0"/>
          <w:szCs w:val="20"/>
        </w:rPr>
        <w:t>propiono</w:t>
      </w:r>
      <w:proofErr w:type="spellEnd"/>
      <w:r w:rsidRPr="00633873">
        <w:rPr>
          <w:rFonts w:ascii="Times New Roman" w:eastAsia="Times New Roman" w:hAnsi="Times New Roman" w:cs="Times New Roman"/>
          <w:snapToGrid w:val="0"/>
          <w:szCs w:val="20"/>
        </w:rPr>
        <w:t xml:space="preserve"> rūgšties grupės selektyvusis </w:t>
      </w:r>
      <w:proofErr w:type="spellStart"/>
      <w:r w:rsidRPr="00633873">
        <w:rPr>
          <w:rFonts w:ascii="Times New Roman" w:eastAsia="Times New Roman" w:hAnsi="Times New Roman" w:cs="Times New Roman"/>
          <w:snapToGrid w:val="0"/>
          <w:szCs w:val="20"/>
        </w:rPr>
        <w:t>endotelino</w:t>
      </w:r>
      <w:proofErr w:type="spellEnd"/>
      <w:r w:rsidRPr="00633873">
        <w:rPr>
          <w:rFonts w:ascii="Times New Roman" w:eastAsia="Times New Roman" w:hAnsi="Times New Roman" w:cs="Times New Roman"/>
          <w:snapToGrid w:val="0"/>
          <w:szCs w:val="20"/>
        </w:rPr>
        <w:t xml:space="preserve"> A (ET</w:t>
      </w:r>
      <w:r w:rsidRPr="00633873">
        <w:rPr>
          <w:rFonts w:ascii="Times New Roman" w:eastAsia="Times New Roman" w:hAnsi="Times New Roman" w:cs="Times New Roman"/>
          <w:snapToGrid w:val="0"/>
          <w:szCs w:val="20"/>
          <w:vertAlign w:val="subscript"/>
        </w:rPr>
        <w:t>A</w:t>
      </w:r>
      <w:r w:rsidRPr="00633873">
        <w:rPr>
          <w:rFonts w:ascii="Times New Roman" w:eastAsia="Times New Roman" w:hAnsi="Times New Roman" w:cs="Times New Roman"/>
          <w:snapToGrid w:val="0"/>
          <w:szCs w:val="20"/>
        </w:rPr>
        <w:t xml:space="preserve">) receptorių antagonistas (ERA). </w:t>
      </w:r>
      <w:proofErr w:type="spellStart"/>
      <w:r w:rsidRPr="00633873">
        <w:rPr>
          <w:rFonts w:ascii="Times New Roman" w:eastAsia="Times New Roman" w:hAnsi="Times New Roman" w:cs="Times New Roman"/>
          <w:snapToGrid w:val="0"/>
          <w:szCs w:val="20"/>
        </w:rPr>
        <w:t>Endotelinas</w:t>
      </w:r>
      <w:proofErr w:type="spellEnd"/>
      <w:r w:rsidRPr="00633873">
        <w:rPr>
          <w:rFonts w:ascii="Times New Roman" w:eastAsia="Times New Roman" w:hAnsi="Times New Roman" w:cs="Times New Roman"/>
          <w:snapToGrid w:val="0"/>
          <w:szCs w:val="20"/>
        </w:rPr>
        <w:t xml:space="preserve"> yra svarbus PH pato</w:t>
      </w:r>
      <w:r w:rsidR="003229C0" w:rsidRPr="00633873">
        <w:rPr>
          <w:rFonts w:ascii="Times New Roman" w:eastAsia="Times New Roman" w:hAnsi="Times New Roman" w:cs="Times New Roman"/>
          <w:snapToGrid w:val="0"/>
          <w:szCs w:val="20"/>
        </w:rPr>
        <w:t xml:space="preserve">loginėje </w:t>
      </w:r>
      <w:r w:rsidRPr="00633873">
        <w:rPr>
          <w:rFonts w:ascii="Times New Roman" w:eastAsia="Times New Roman" w:hAnsi="Times New Roman" w:cs="Times New Roman"/>
          <w:snapToGrid w:val="0"/>
          <w:szCs w:val="20"/>
        </w:rPr>
        <w:t>fiziologijoje.</w:t>
      </w:r>
    </w:p>
    <w:p w14:paraId="6EC5B22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151737E" w14:textId="5491776E" w:rsidR="00A35A18" w:rsidRPr="00633873" w:rsidRDefault="00A35A18" w:rsidP="009F7541">
      <w:pPr>
        <w:numPr>
          <w:ilvl w:val="0"/>
          <w:numId w:val="17"/>
        </w:numPr>
        <w:tabs>
          <w:tab w:val="left" w:pos="567"/>
        </w:tabs>
        <w:spacing w:after="0" w:line="260" w:lineRule="exact"/>
        <w:ind w:left="567" w:hanging="567"/>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yra ET</w:t>
      </w:r>
      <w:r w:rsidRPr="00633873">
        <w:rPr>
          <w:rFonts w:ascii="Times New Roman" w:eastAsia="Times New Roman" w:hAnsi="Times New Roman" w:cs="Times New Roman"/>
          <w:snapToGrid w:val="0"/>
          <w:szCs w:val="20"/>
          <w:vertAlign w:val="subscript"/>
        </w:rPr>
        <w:t>A</w:t>
      </w:r>
      <w:r w:rsidRPr="00633873">
        <w:rPr>
          <w:rFonts w:ascii="Times New Roman" w:eastAsia="Times New Roman" w:hAnsi="Times New Roman" w:cs="Times New Roman"/>
          <w:snapToGrid w:val="0"/>
          <w:szCs w:val="20"/>
        </w:rPr>
        <w:t xml:space="preserve"> antagonistas (maždaug 4000</w:t>
      </w:r>
      <w:r w:rsidR="00BF180B"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kartų selektyvesnis ET</w:t>
      </w:r>
      <w:r w:rsidRPr="00633873">
        <w:rPr>
          <w:rFonts w:ascii="Times New Roman" w:eastAsia="Times New Roman" w:hAnsi="Times New Roman" w:cs="Times New Roman"/>
          <w:snapToGrid w:val="0"/>
          <w:szCs w:val="20"/>
          <w:vertAlign w:val="subscript"/>
        </w:rPr>
        <w:t>A</w:t>
      </w:r>
      <w:r w:rsidRPr="00633873">
        <w:rPr>
          <w:rFonts w:ascii="Times New Roman" w:eastAsia="Times New Roman" w:hAnsi="Times New Roman" w:cs="Times New Roman"/>
          <w:snapToGrid w:val="0"/>
          <w:szCs w:val="20"/>
        </w:rPr>
        <w:t xml:space="preserve"> negu ET</w:t>
      </w:r>
      <w:r w:rsidRPr="00633873">
        <w:rPr>
          <w:rFonts w:ascii="Times New Roman" w:eastAsia="Times New Roman" w:hAnsi="Times New Roman" w:cs="Times New Roman"/>
          <w:snapToGrid w:val="0"/>
          <w:szCs w:val="20"/>
          <w:vertAlign w:val="subscript"/>
        </w:rPr>
        <w:t>B</w:t>
      </w:r>
      <w:r w:rsidRPr="00633873">
        <w:rPr>
          <w:rFonts w:ascii="Times New Roman" w:eastAsia="Times New Roman" w:hAnsi="Times New Roman" w:cs="Times New Roman"/>
          <w:snapToGrid w:val="0"/>
          <w:szCs w:val="20"/>
        </w:rPr>
        <w:t>).</w:t>
      </w:r>
    </w:p>
    <w:p w14:paraId="1CC86817" w14:textId="77777777" w:rsidR="00A35A18" w:rsidRPr="00633873" w:rsidRDefault="00A35A18" w:rsidP="009F7541">
      <w:pPr>
        <w:numPr>
          <w:ilvl w:val="0"/>
          <w:numId w:val="17"/>
        </w:numPr>
        <w:tabs>
          <w:tab w:val="left" w:pos="567"/>
        </w:tabs>
        <w:spacing w:after="0" w:line="260" w:lineRule="exact"/>
        <w:ind w:left="567" w:hanging="567"/>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blokuoja ET</w:t>
      </w:r>
      <w:r w:rsidRPr="00633873">
        <w:rPr>
          <w:rFonts w:ascii="Times New Roman" w:eastAsia="Times New Roman" w:hAnsi="Times New Roman" w:cs="Times New Roman"/>
          <w:snapToGrid w:val="0"/>
          <w:szCs w:val="20"/>
          <w:vertAlign w:val="subscript"/>
        </w:rPr>
        <w:t>A</w:t>
      </w:r>
      <w:r w:rsidRPr="00633873">
        <w:rPr>
          <w:rFonts w:ascii="Times New Roman" w:eastAsia="Times New Roman" w:hAnsi="Times New Roman" w:cs="Times New Roman"/>
          <w:snapToGrid w:val="0"/>
          <w:szCs w:val="20"/>
        </w:rPr>
        <w:t xml:space="preserve"> receptorių potipį, kuris daugiausia išsidėstęs kraujagyslių lygiųjų raumenų ląstelėse ir širdies </w:t>
      </w:r>
      <w:proofErr w:type="spellStart"/>
      <w:r w:rsidRPr="00633873">
        <w:rPr>
          <w:rFonts w:ascii="Times New Roman" w:eastAsia="Times New Roman" w:hAnsi="Times New Roman" w:cs="Times New Roman"/>
          <w:snapToGrid w:val="0"/>
          <w:szCs w:val="20"/>
        </w:rPr>
        <w:t>miocituose</w:t>
      </w:r>
      <w:proofErr w:type="spellEnd"/>
      <w:r w:rsidRPr="00633873">
        <w:rPr>
          <w:rFonts w:ascii="Times New Roman" w:eastAsia="Times New Roman" w:hAnsi="Times New Roman" w:cs="Times New Roman"/>
          <w:snapToGrid w:val="0"/>
          <w:szCs w:val="20"/>
        </w:rPr>
        <w:t xml:space="preserve">. Tai neleidžia </w:t>
      </w:r>
      <w:proofErr w:type="spellStart"/>
      <w:r w:rsidRPr="00633873">
        <w:rPr>
          <w:rFonts w:ascii="Times New Roman" w:eastAsia="Times New Roman" w:hAnsi="Times New Roman" w:cs="Times New Roman"/>
          <w:snapToGrid w:val="0"/>
          <w:szCs w:val="20"/>
        </w:rPr>
        <w:t>endotelinui</w:t>
      </w:r>
      <w:proofErr w:type="spellEnd"/>
      <w:r w:rsidRPr="00633873">
        <w:rPr>
          <w:rFonts w:ascii="Times New Roman" w:eastAsia="Times New Roman" w:hAnsi="Times New Roman" w:cs="Times New Roman"/>
          <w:snapToGrid w:val="0"/>
          <w:szCs w:val="20"/>
        </w:rPr>
        <w:t xml:space="preserve"> sužadinti antrinių signalinių sistemų, kurių aktyvinimas sukelia </w:t>
      </w:r>
      <w:proofErr w:type="spellStart"/>
      <w:r w:rsidRPr="00633873">
        <w:rPr>
          <w:rFonts w:ascii="Times New Roman" w:eastAsia="Times New Roman" w:hAnsi="Times New Roman" w:cs="Times New Roman"/>
          <w:snapToGrid w:val="0"/>
          <w:szCs w:val="20"/>
        </w:rPr>
        <w:t>vazokonstrikciją</w:t>
      </w:r>
      <w:proofErr w:type="spellEnd"/>
      <w:r w:rsidRPr="00633873">
        <w:rPr>
          <w:rFonts w:ascii="Times New Roman" w:eastAsia="Times New Roman" w:hAnsi="Times New Roman" w:cs="Times New Roman"/>
          <w:snapToGrid w:val="0"/>
          <w:szCs w:val="20"/>
        </w:rPr>
        <w:t xml:space="preserve"> ir lygiųjų raumenų ląstelių </w:t>
      </w:r>
      <w:proofErr w:type="spellStart"/>
      <w:r w:rsidRPr="00633873">
        <w:rPr>
          <w:rFonts w:ascii="Times New Roman" w:eastAsia="Times New Roman" w:hAnsi="Times New Roman" w:cs="Times New Roman"/>
          <w:snapToGrid w:val="0"/>
          <w:szCs w:val="20"/>
        </w:rPr>
        <w:t>proliferaciją</w:t>
      </w:r>
      <w:proofErr w:type="spellEnd"/>
      <w:r w:rsidRPr="00633873">
        <w:rPr>
          <w:rFonts w:ascii="Times New Roman" w:eastAsia="Times New Roman" w:hAnsi="Times New Roman" w:cs="Times New Roman"/>
          <w:snapToGrid w:val="0"/>
          <w:szCs w:val="20"/>
        </w:rPr>
        <w:t>.</w:t>
      </w:r>
    </w:p>
    <w:p w14:paraId="4F4E007D" w14:textId="4001B959" w:rsidR="00A35A18" w:rsidRPr="00633873" w:rsidRDefault="00CF2289" w:rsidP="009F7541">
      <w:pPr>
        <w:numPr>
          <w:ilvl w:val="0"/>
          <w:numId w:val="17"/>
        </w:numPr>
        <w:tabs>
          <w:tab w:val="left" w:pos="567"/>
        </w:tabs>
        <w:spacing w:after="0" w:line="260" w:lineRule="exact"/>
        <w:ind w:left="567" w:hanging="567"/>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K</w:t>
      </w:r>
      <w:r w:rsidR="00A35A18" w:rsidRPr="00633873">
        <w:rPr>
          <w:rFonts w:ascii="Times New Roman" w:eastAsia="Times New Roman" w:hAnsi="Times New Roman" w:cs="Times New Roman"/>
          <w:snapToGrid w:val="0"/>
          <w:szCs w:val="20"/>
        </w:rPr>
        <w:t>ad</w:t>
      </w:r>
      <w:r w:rsidRPr="00633873">
        <w:rPr>
          <w:rFonts w:ascii="Times New Roman" w:eastAsia="Times New Roman" w:hAnsi="Times New Roman" w:cs="Times New Roman"/>
          <w:snapToGrid w:val="0"/>
          <w:szCs w:val="20"/>
        </w:rPr>
        <w:t>angi</w:t>
      </w:r>
      <w:r w:rsidR="00A35A18" w:rsidRPr="00633873">
        <w:rPr>
          <w:rFonts w:ascii="Times New Roman" w:eastAsia="Times New Roman" w:hAnsi="Times New Roman" w:cs="Times New Roman"/>
          <w:snapToGrid w:val="0"/>
          <w:szCs w:val="20"/>
        </w:rPr>
        <w:t xml:space="preserve"> </w:t>
      </w:r>
      <w:proofErr w:type="spellStart"/>
      <w:r w:rsidR="00A35A18"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yra</w:t>
      </w:r>
      <w:r w:rsidR="00A35A18" w:rsidRPr="00633873">
        <w:rPr>
          <w:rFonts w:ascii="Times New Roman" w:eastAsia="Times New Roman" w:hAnsi="Times New Roman" w:cs="Times New Roman"/>
          <w:snapToGrid w:val="0"/>
          <w:szCs w:val="20"/>
        </w:rPr>
        <w:t xml:space="preserve"> selektyvesnis ET</w:t>
      </w:r>
      <w:r w:rsidR="00A35A18" w:rsidRPr="00633873">
        <w:rPr>
          <w:rFonts w:ascii="Times New Roman" w:eastAsia="Times New Roman" w:hAnsi="Times New Roman" w:cs="Times New Roman"/>
          <w:snapToGrid w:val="0"/>
          <w:szCs w:val="20"/>
          <w:vertAlign w:val="subscript"/>
        </w:rPr>
        <w:t>A</w:t>
      </w:r>
      <w:r w:rsidR="00A35A18" w:rsidRPr="00633873">
        <w:rPr>
          <w:rFonts w:ascii="Times New Roman" w:eastAsia="Times New Roman" w:hAnsi="Times New Roman" w:cs="Times New Roman"/>
          <w:snapToGrid w:val="0"/>
          <w:szCs w:val="20"/>
        </w:rPr>
        <w:t xml:space="preserve"> negu ET</w:t>
      </w:r>
      <w:r w:rsidR="00A35A18" w:rsidRPr="00633873">
        <w:rPr>
          <w:rFonts w:ascii="Times New Roman" w:eastAsia="Times New Roman" w:hAnsi="Times New Roman" w:cs="Times New Roman"/>
          <w:snapToGrid w:val="0"/>
          <w:szCs w:val="20"/>
          <w:vertAlign w:val="subscript"/>
        </w:rPr>
        <w:t>B</w:t>
      </w:r>
      <w:r w:rsidR="00A35A18" w:rsidRPr="00633873">
        <w:rPr>
          <w:rFonts w:ascii="Times New Roman" w:eastAsia="Times New Roman" w:hAnsi="Times New Roman" w:cs="Times New Roman"/>
          <w:snapToGrid w:val="0"/>
          <w:szCs w:val="20"/>
        </w:rPr>
        <w:t xml:space="preserve"> receptoriams, </w:t>
      </w:r>
      <w:r w:rsidRPr="00633873">
        <w:rPr>
          <w:rFonts w:ascii="Times New Roman" w:eastAsia="Times New Roman" w:hAnsi="Times New Roman" w:cs="Times New Roman"/>
          <w:snapToGrid w:val="0"/>
          <w:szCs w:val="20"/>
        </w:rPr>
        <w:t>tikimasi, kad išliks</w:t>
      </w:r>
      <w:r w:rsidR="00A35A18" w:rsidRPr="00633873">
        <w:rPr>
          <w:rFonts w:ascii="Times New Roman" w:eastAsia="Times New Roman" w:hAnsi="Times New Roman" w:cs="Times New Roman"/>
          <w:snapToGrid w:val="0"/>
          <w:szCs w:val="20"/>
        </w:rPr>
        <w:t xml:space="preserve"> ET</w:t>
      </w:r>
      <w:r w:rsidR="00A35A18" w:rsidRPr="00633873">
        <w:rPr>
          <w:rFonts w:ascii="Times New Roman" w:eastAsia="Times New Roman" w:hAnsi="Times New Roman" w:cs="Times New Roman"/>
          <w:snapToGrid w:val="0"/>
          <w:szCs w:val="20"/>
          <w:vertAlign w:val="subscript"/>
        </w:rPr>
        <w:t>B</w:t>
      </w:r>
      <w:r w:rsidR="00A35A18" w:rsidRPr="00633873">
        <w:rPr>
          <w:rFonts w:ascii="Times New Roman" w:eastAsia="Times New Roman" w:hAnsi="Times New Roman" w:cs="Times New Roman"/>
          <w:snapToGrid w:val="0"/>
          <w:szCs w:val="20"/>
        </w:rPr>
        <w:t xml:space="preserve"> receptorių sukeliam</w:t>
      </w:r>
      <w:r w:rsidRPr="00633873">
        <w:rPr>
          <w:rFonts w:ascii="Times New Roman" w:eastAsia="Times New Roman" w:hAnsi="Times New Roman" w:cs="Times New Roman"/>
          <w:snapToGrid w:val="0"/>
          <w:szCs w:val="20"/>
        </w:rPr>
        <w:t>a</w:t>
      </w:r>
      <w:r w:rsidR="00A35A18" w:rsidRPr="00633873">
        <w:rPr>
          <w:rFonts w:ascii="Times New Roman" w:eastAsia="Times New Roman" w:hAnsi="Times New Roman" w:cs="Times New Roman"/>
          <w:snapToGrid w:val="0"/>
          <w:szCs w:val="20"/>
        </w:rPr>
        <w:t xml:space="preserve"> kraujagysles plečiančio azoto oksido ir </w:t>
      </w:r>
      <w:proofErr w:type="spellStart"/>
      <w:r w:rsidR="00A35A18" w:rsidRPr="00633873">
        <w:rPr>
          <w:rFonts w:ascii="Times New Roman" w:eastAsia="Times New Roman" w:hAnsi="Times New Roman" w:cs="Times New Roman"/>
          <w:snapToGrid w:val="0"/>
          <w:szCs w:val="20"/>
        </w:rPr>
        <w:t>prostaciklino</w:t>
      </w:r>
      <w:proofErr w:type="spellEnd"/>
      <w:r w:rsidR="00A35A18" w:rsidRPr="00633873">
        <w:rPr>
          <w:rFonts w:ascii="Times New Roman" w:eastAsia="Times New Roman" w:hAnsi="Times New Roman" w:cs="Times New Roman"/>
          <w:snapToGrid w:val="0"/>
          <w:szCs w:val="20"/>
        </w:rPr>
        <w:t xml:space="preserve"> gamyb</w:t>
      </w:r>
      <w:r w:rsidRPr="00633873">
        <w:rPr>
          <w:rFonts w:ascii="Times New Roman" w:eastAsia="Times New Roman" w:hAnsi="Times New Roman" w:cs="Times New Roman"/>
          <w:snapToGrid w:val="0"/>
          <w:szCs w:val="20"/>
        </w:rPr>
        <w:t>a</w:t>
      </w:r>
      <w:r w:rsidR="00A35A18" w:rsidRPr="00633873">
        <w:rPr>
          <w:rFonts w:ascii="Times New Roman" w:eastAsia="Times New Roman" w:hAnsi="Times New Roman" w:cs="Times New Roman"/>
          <w:snapToGrid w:val="0"/>
          <w:szCs w:val="20"/>
        </w:rPr>
        <w:t>.</w:t>
      </w:r>
    </w:p>
    <w:p w14:paraId="7E7595D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00288E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u w:val="single"/>
        </w:rPr>
      </w:pPr>
      <w:r w:rsidRPr="00633873">
        <w:rPr>
          <w:rFonts w:ascii="Times New Roman" w:eastAsia="Times New Roman" w:hAnsi="Times New Roman" w:cs="Times New Roman"/>
          <w:snapToGrid w:val="0"/>
          <w:szCs w:val="20"/>
          <w:u w:val="single"/>
        </w:rPr>
        <w:t>Klinikinis veiksmingumas ir saugumas</w:t>
      </w:r>
    </w:p>
    <w:p w14:paraId="7C4A4B6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93B6737" w14:textId="640DC182"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Buvo atlikti du dvigubai koduoti, </w:t>
      </w:r>
      <w:proofErr w:type="spellStart"/>
      <w:r w:rsidRPr="00633873">
        <w:rPr>
          <w:rFonts w:ascii="Times New Roman" w:eastAsia="Times New Roman" w:hAnsi="Times New Roman" w:cs="Times New Roman"/>
          <w:snapToGrid w:val="0"/>
          <w:szCs w:val="20"/>
        </w:rPr>
        <w:t>daugiacentriai</w:t>
      </w:r>
      <w:proofErr w:type="spellEnd"/>
      <w:r w:rsidRPr="00633873">
        <w:rPr>
          <w:rFonts w:ascii="Times New Roman" w:eastAsia="Times New Roman" w:hAnsi="Times New Roman" w:cs="Times New Roman"/>
          <w:snapToGrid w:val="0"/>
          <w:szCs w:val="20"/>
        </w:rPr>
        <w:t>, placebu kontroliuojamieji, 3 fazės pagrindžiamieji tyrimai (ARIES-1 ir 2). ARIES-1 tyrime</w:t>
      </w:r>
      <w:r w:rsidR="0017479E" w:rsidRPr="00633873">
        <w:rPr>
          <w:rFonts w:ascii="Times New Roman" w:eastAsia="Times New Roman" w:hAnsi="Times New Roman" w:cs="Times New Roman"/>
          <w:snapToGrid w:val="0"/>
          <w:szCs w:val="20"/>
        </w:rPr>
        <w:t xml:space="preserve"> </w:t>
      </w:r>
      <w:r w:rsidRPr="00633873">
        <w:rPr>
          <w:rFonts w:ascii="Times New Roman" w:eastAsia="Times New Roman" w:hAnsi="Times New Roman" w:cs="Times New Roman"/>
          <w:snapToGrid w:val="0"/>
          <w:szCs w:val="20"/>
        </w:rPr>
        <w:t xml:space="preserve">dalyvavo 201 pacientas, </w:t>
      </w:r>
      <w:r w:rsidR="0017479E" w:rsidRPr="00633873">
        <w:rPr>
          <w:rFonts w:ascii="Times New Roman" w:eastAsia="Times New Roman" w:hAnsi="Times New Roman" w:cs="Times New Roman"/>
          <w:snapToGrid w:val="0"/>
          <w:szCs w:val="20"/>
        </w:rPr>
        <w:t>jo metu</w:t>
      </w:r>
      <w:r w:rsidRPr="00633873">
        <w:rPr>
          <w:rFonts w:ascii="Times New Roman" w:eastAsia="Times New Roman" w:hAnsi="Times New Roman" w:cs="Times New Roman"/>
          <w:snapToGrid w:val="0"/>
          <w:szCs w:val="20"/>
        </w:rPr>
        <w:t xml:space="preserve"> 5 mg ir 10 mg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dozių poveikis buvo palygintas su placebu. ARIES-2 tyrime dalyvavo 192 pacientai, </w:t>
      </w:r>
      <w:r w:rsidR="0017479E" w:rsidRPr="00633873">
        <w:rPr>
          <w:rFonts w:ascii="Times New Roman" w:eastAsia="Times New Roman" w:hAnsi="Times New Roman" w:cs="Times New Roman"/>
          <w:snapToGrid w:val="0"/>
          <w:szCs w:val="20"/>
        </w:rPr>
        <w:t>jo metu</w:t>
      </w:r>
      <w:r w:rsidRPr="00633873">
        <w:rPr>
          <w:rFonts w:ascii="Times New Roman" w:eastAsia="Times New Roman" w:hAnsi="Times New Roman" w:cs="Times New Roman"/>
          <w:snapToGrid w:val="0"/>
          <w:szCs w:val="20"/>
        </w:rPr>
        <w:t xml:space="preserve"> 2,5 mg ir 5 mg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dozių poveikis buvo palygintas su placebu. Abiejų tyrimų metu </w:t>
      </w: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buvo papildomai skiriamas pacientams, kuriems jau buvo taikomas pagrindinis/palaikomasis gydymas, kurį galėjo sudaryti </w:t>
      </w:r>
      <w:proofErr w:type="spellStart"/>
      <w:r w:rsidRPr="00633873">
        <w:rPr>
          <w:rFonts w:ascii="Times New Roman" w:eastAsia="Times New Roman" w:hAnsi="Times New Roman" w:cs="Times New Roman"/>
          <w:snapToGrid w:val="0"/>
          <w:szCs w:val="20"/>
        </w:rPr>
        <w:t>digoksino</w:t>
      </w:r>
      <w:proofErr w:type="spellEnd"/>
      <w:r w:rsidRPr="00633873">
        <w:rPr>
          <w:rFonts w:ascii="Times New Roman" w:eastAsia="Times New Roman" w:hAnsi="Times New Roman" w:cs="Times New Roman"/>
          <w:snapToGrid w:val="0"/>
          <w:szCs w:val="20"/>
        </w:rPr>
        <w:t>, antikoaguliantų, diuretikų, deguonies ir kraujagysles plečiančių vaistinių preparatų (kalcio kanalų blokatorių, AKF inhibitorių) derinys. Tiriami pacientai sirgo IPH ar PH, susijusia su jungiamojo audinio liga (PH-JAL). Daugumai pacientų buvo nustatyta PSO II (38,4 %) arba III (55,0 %) funkcin</w:t>
      </w:r>
      <w:r w:rsidR="00CF2289" w:rsidRPr="00633873">
        <w:rPr>
          <w:rFonts w:ascii="Times New Roman" w:eastAsia="Times New Roman" w:hAnsi="Times New Roman" w:cs="Times New Roman"/>
          <w:snapToGrid w:val="0"/>
          <w:szCs w:val="20"/>
        </w:rPr>
        <w:t>ės</w:t>
      </w:r>
      <w:r w:rsidRPr="00633873">
        <w:rPr>
          <w:rFonts w:ascii="Times New Roman" w:eastAsia="Times New Roman" w:hAnsi="Times New Roman" w:cs="Times New Roman"/>
          <w:snapToGrid w:val="0"/>
          <w:szCs w:val="20"/>
        </w:rPr>
        <w:t xml:space="preserve"> klas</w:t>
      </w:r>
      <w:r w:rsidR="00CF2289" w:rsidRPr="00633873">
        <w:rPr>
          <w:rFonts w:ascii="Times New Roman" w:eastAsia="Times New Roman" w:hAnsi="Times New Roman" w:cs="Times New Roman"/>
          <w:snapToGrid w:val="0"/>
          <w:szCs w:val="20"/>
        </w:rPr>
        <w:t>ės</w:t>
      </w:r>
      <w:r w:rsidRPr="00633873">
        <w:rPr>
          <w:rFonts w:ascii="Times New Roman" w:eastAsia="Times New Roman" w:hAnsi="Times New Roman" w:cs="Times New Roman"/>
          <w:snapToGrid w:val="0"/>
          <w:szCs w:val="20"/>
        </w:rPr>
        <w:t xml:space="preserve"> simptomai. Tyrime nedalyvavo pacientai, sergantys kepenų liga (ciroze ar esant kliniškai reikšmingam </w:t>
      </w:r>
      <w:proofErr w:type="spellStart"/>
      <w:r w:rsidRPr="00633873">
        <w:rPr>
          <w:rFonts w:ascii="Times New Roman" w:eastAsia="Times New Roman" w:hAnsi="Times New Roman" w:cs="Times New Roman"/>
          <w:snapToGrid w:val="0"/>
          <w:szCs w:val="20"/>
        </w:rPr>
        <w:t>aminotransferazių</w:t>
      </w:r>
      <w:proofErr w:type="spellEnd"/>
      <w:r w:rsidRPr="00633873">
        <w:rPr>
          <w:rFonts w:ascii="Times New Roman" w:eastAsia="Times New Roman" w:hAnsi="Times New Roman" w:cs="Times New Roman"/>
          <w:snapToGrid w:val="0"/>
          <w:szCs w:val="20"/>
        </w:rPr>
        <w:t xml:space="preserve"> aktyvumo padidėjimui), ir pacientai, gydomi kitais vaist</w:t>
      </w:r>
      <w:r w:rsidR="00CF2289" w:rsidRPr="00633873">
        <w:rPr>
          <w:rFonts w:ascii="Times New Roman" w:eastAsia="Times New Roman" w:hAnsi="Times New Roman" w:cs="Times New Roman"/>
          <w:snapToGrid w:val="0"/>
          <w:szCs w:val="20"/>
        </w:rPr>
        <w:t>ini</w:t>
      </w:r>
      <w:r w:rsidRPr="00633873">
        <w:rPr>
          <w:rFonts w:ascii="Times New Roman" w:eastAsia="Times New Roman" w:hAnsi="Times New Roman" w:cs="Times New Roman"/>
          <w:snapToGrid w:val="0"/>
          <w:szCs w:val="20"/>
        </w:rPr>
        <w:t xml:space="preserve">ais </w:t>
      </w:r>
      <w:r w:rsidR="00CF2289" w:rsidRPr="00633873">
        <w:rPr>
          <w:rFonts w:ascii="Times New Roman" w:eastAsia="Times New Roman" w:hAnsi="Times New Roman" w:cs="Times New Roman"/>
          <w:snapToGrid w:val="0"/>
          <w:szCs w:val="20"/>
        </w:rPr>
        <w:t xml:space="preserve">preparatais </w:t>
      </w:r>
      <w:r w:rsidRPr="00633873">
        <w:rPr>
          <w:rFonts w:ascii="Times New Roman" w:eastAsia="Times New Roman" w:hAnsi="Times New Roman" w:cs="Times New Roman"/>
          <w:snapToGrid w:val="0"/>
          <w:szCs w:val="20"/>
        </w:rPr>
        <w:t xml:space="preserve">nuo PH (pvz., </w:t>
      </w:r>
      <w:proofErr w:type="spellStart"/>
      <w:r w:rsidRPr="00633873">
        <w:rPr>
          <w:rFonts w:ascii="Times New Roman" w:eastAsia="Times New Roman" w:hAnsi="Times New Roman" w:cs="Times New Roman"/>
          <w:snapToGrid w:val="0"/>
          <w:szCs w:val="20"/>
        </w:rPr>
        <w:t>prostanoidais</w:t>
      </w:r>
      <w:proofErr w:type="spellEnd"/>
      <w:r w:rsidRPr="00633873">
        <w:rPr>
          <w:rFonts w:ascii="Times New Roman" w:eastAsia="Times New Roman" w:hAnsi="Times New Roman" w:cs="Times New Roman"/>
          <w:snapToGrid w:val="0"/>
          <w:szCs w:val="20"/>
        </w:rPr>
        <w:t>). Šiuose tyrimuose nebuvo vertinami hemodinamikos parametrai.</w:t>
      </w:r>
    </w:p>
    <w:p w14:paraId="06F3849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73380DB" w14:textId="702D8413" w:rsidR="00A35A18"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Pagrindinė 3 fazės tyrimų vertinamoji baigtis buvo fizinio pajėgumo pagerėjimas </w:t>
      </w:r>
      <w:bookmarkStart w:id="0" w:name="_Hlk27429857"/>
      <w:r w:rsidR="00A605A5" w:rsidRPr="00633873">
        <w:rPr>
          <w:rFonts w:ascii="Times New Roman" w:eastAsia="Times New Roman" w:hAnsi="Times New Roman" w:cs="Times New Roman"/>
          <w:snapToGrid w:val="0"/>
          <w:szCs w:val="20"/>
        </w:rPr>
        <w:t xml:space="preserve">per </w:t>
      </w:r>
      <w:r w:rsidRPr="00633873">
        <w:rPr>
          <w:rFonts w:ascii="Times New Roman" w:eastAsia="Times New Roman" w:hAnsi="Times New Roman" w:cs="Times New Roman"/>
          <w:snapToGrid w:val="0"/>
          <w:szCs w:val="20"/>
        </w:rPr>
        <w:t>6 minu</w:t>
      </w:r>
      <w:r w:rsidR="00A605A5" w:rsidRPr="00633873">
        <w:rPr>
          <w:rFonts w:ascii="Times New Roman" w:eastAsia="Times New Roman" w:hAnsi="Times New Roman" w:cs="Times New Roman"/>
          <w:snapToGrid w:val="0"/>
          <w:szCs w:val="20"/>
        </w:rPr>
        <w:t>tes nueinamo</w:t>
      </w:r>
      <w:r w:rsidRPr="00633873">
        <w:rPr>
          <w:rFonts w:ascii="Times New Roman" w:eastAsia="Times New Roman" w:hAnsi="Times New Roman" w:cs="Times New Roman"/>
          <w:snapToGrid w:val="0"/>
          <w:szCs w:val="20"/>
        </w:rPr>
        <w:t xml:space="preserve"> </w:t>
      </w:r>
      <w:bookmarkEnd w:id="0"/>
      <w:r w:rsidR="00A605A5" w:rsidRPr="00633873">
        <w:rPr>
          <w:rFonts w:ascii="Times New Roman" w:eastAsia="Times New Roman" w:hAnsi="Times New Roman" w:cs="Times New Roman"/>
          <w:snapToGrid w:val="0"/>
          <w:szCs w:val="20"/>
        </w:rPr>
        <w:t xml:space="preserve">atstumo testo </w:t>
      </w:r>
      <w:r w:rsidRPr="00633873">
        <w:rPr>
          <w:rFonts w:ascii="Times New Roman" w:eastAsia="Times New Roman" w:hAnsi="Times New Roman" w:cs="Times New Roman"/>
          <w:snapToGrid w:val="0"/>
          <w:szCs w:val="20"/>
        </w:rPr>
        <w:t xml:space="preserve">(angl. </w:t>
      </w:r>
      <w:r w:rsidRPr="00633873">
        <w:rPr>
          <w:rFonts w:ascii="Times New Roman" w:eastAsia="Times New Roman" w:hAnsi="Times New Roman" w:cs="Times New Roman"/>
          <w:i/>
          <w:iCs/>
          <w:snapToGrid w:val="0"/>
          <w:szCs w:val="20"/>
        </w:rPr>
        <w:t xml:space="preserve">6-minute </w:t>
      </w:r>
      <w:proofErr w:type="spellStart"/>
      <w:r w:rsidRPr="00633873">
        <w:rPr>
          <w:rFonts w:ascii="Times New Roman" w:eastAsia="Times New Roman" w:hAnsi="Times New Roman" w:cs="Times New Roman"/>
          <w:i/>
          <w:iCs/>
          <w:snapToGrid w:val="0"/>
          <w:szCs w:val="20"/>
        </w:rPr>
        <w:t>walk</w:t>
      </w:r>
      <w:proofErr w:type="spellEnd"/>
      <w:r w:rsidRPr="00633873">
        <w:rPr>
          <w:rFonts w:ascii="Times New Roman" w:eastAsia="Times New Roman" w:hAnsi="Times New Roman" w:cs="Times New Roman"/>
          <w:i/>
          <w:iCs/>
          <w:snapToGrid w:val="0"/>
          <w:szCs w:val="20"/>
        </w:rPr>
        <w:t xml:space="preserve"> </w:t>
      </w:r>
      <w:proofErr w:type="spellStart"/>
      <w:r w:rsidRPr="00633873">
        <w:rPr>
          <w:rFonts w:ascii="Times New Roman" w:eastAsia="Times New Roman" w:hAnsi="Times New Roman" w:cs="Times New Roman"/>
          <w:i/>
          <w:iCs/>
          <w:snapToGrid w:val="0"/>
          <w:szCs w:val="20"/>
        </w:rPr>
        <w:t>distance</w:t>
      </w:r>
      <w:proofErr w:type="spellEnd"/>
      <w:r w:rsidRPr="00633873">
        <w:rPr>
          <w:rFonts w:ascii="Times New Roman" w:eastAsia="Times New Roman" w:hAnsi="Times New Roman" w:cs="Times New Roman"/>
          <w:snapToGrid w:val="0"/>
          <w:szCs w:val="20"/>
        </w:rPr>
        <w:t xml:space="preserve">, 6MWD) metu 12 savaitę, vertinant pokyčius nuo pradinio rodmens. Abiejų tyrimų metu gydymas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reikšmingai pagerino 6MWD</w:t>
      </w:r>
      <w:bookmarkStart w:id="1" w:name="_Hlk27431875"/>
      <w:r w:rsidRPr="00633873">
        <w:rPr>
          <w:rFonts w:ascii="Times New Roman" w:eastAsia="Times New Roman" w:hAnsi="Times New Roman" w:cs="Times New Roman"/>
          <w:snapToGrid w:val="0"/>
          <w:szCs w:val="20"/>
        </w:rPr>
        <w:t xml:space="preserve"> </w:t>
      </w:r>
      <w:bookmarkEnd w:id="1"/>
      <w:r w:rsidRPr="00633873">
        <w:rPr>
          <w:rFonts w:ascii="Times New Roman" w:eastAsia="Times New Roman" w:hAnsi="Times New Roman" w:cs="Times New Roman"/>
          <w:snapToGrid w:val="0"/>
          <w:szCs w:val="20"/>
        </w:rPr>
        <w:t xml:space="preserve">rezultatus, vartojant kiekvieną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dozę.</w:t>
      </w:r>
    </w:p>
    <w:p w14:paraId="1D30BC19" w14:textId="77777777" w:rsidR="00057907" w:rsidRPr="00633873" w:rsidRDefault="00057907" w:rsidP="00A35A18">
      <w:pPr>
        <w:tabs>
          <w:tab w:val="left" w:pos="567"/>
        </w:tabs>
        <w:spacing w:after="0" w:line="260" w:lineRule="exact"/>
        <w:rPr>
          <w:rFonts w:ascii="Times New Roman" w:eastAsia="Times New Roman" w:hAnsi="Times New Roman" w:cs="Times New Roman"/>
          <w:snapToGrid w:val="0"/>
          <w:szCs w:val="20"/>
        </w:rPr>
      </w:pPr>
    </w:p>
    <w:p w14:paraId="1DE33B23" w14:textId="194D157B"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12 savaitę </w:t>
      </w:r>
      <w:r w:rsidR="00C863B3" w:rsidRPr="00633873">
        <w:rPr>
          <w:rFonts w:ascii="Times New Roman" w:eastAsia="Times New Roman" w:hAnsi="Times New Roman" w:cs="Times New Roman"/>
          <w:snapToGrid w:val="0"/>
          <w:szCs w:val="20"/>
        </w:rPr>
        <w:t>pagal placebo duomenis koreguotas</w:t>
      </w:r>
      <w:r w:rsidRPr="00633873">
        <w:rPr>
          <w:rFonts w:ascii="Times New Roman" w:eastAsia="Times New Roman" w:hAnsi="Times New Roman" w:cs="Times New Roman"/>
          <w:snapToGrid w:val="0"/>
          <w:szCs w:val="20"/>
        </w:rPr>
        <w:t xml:space="preserve"> pacientų 6MWD </w:t>
      </w:r>
      <w:r w:rsidR="00C863B3" w:rsidRPr="00633873">
        <w:rPr>
          <w:rFonts w:ascii="Times New Roman" w:eastAsia="Times New Roman" w:hAnsi="Times New Roman" w:cs="Times New Roman"/>
          <w:snapToGrid w:val="0"/>
          <w:szCs w:val="20"/>
        </w:rPr>
        <w:t>atstumas</w:t>
      </w:r>
      <w:r w:rsidRPr="00633873">
        <w:rPr>
          <w:rFonts w:ascii="Times New Roman" w:eastAsia="Times New Roman" w:hAnsi="Times New Roman" w:cs="Times New Roman"/>
          <w:snapToGrid w:val="0"/>
          <w:szCs w:val="20"/>
        </w:rPr>
        <w:t>, palyginti su pradiniais rodmenimis, vidutiniškai pailgėjo 30,6 m (95 % PI: 2,9</w:t>
      </w:r>
      <w:r w:rsidRPr="00633873">
        <w:rPr>
          <w:rFonts w:ascii="Times New Roman" w:eastAsia="Times New Roman" w:hAnsi="Times New Roman" w:cs="Times New Roman"/>
          <w:snapToGrid w:val="0"/>
          <w:szCs w:val="20"/>
        </w:rPr>
        <w:noBreakHyphen/>
        <w:t>58,3; p</w:t>
      </w:r>
      <w:r w:rsidR="004737D3"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w:t>
      </w:r>
      <w:r w:rsidR="004737D3"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0,008) ir 59,4 m (95 % PI: 29,6</w:t>
      </w:r>
      <w:r w:rsidRPr="00633873">
        <w:rPr>
          <w:rFonts w:ascii="Times New Roman" w:eastAsia="Times New Roman" w:hAnsi="Times New Roman" w:cs="Times New Roman"/>
          <w:snapToGrid w:val="0"/>
          <w:szCs w:val="20"/>
        </w:rPr>
        <w:noBreakHyphen/>
        <w:t>89,3; p &lt; 0,001) 5 mg grupėje atitinkamai ARIES-1 ir 2 tyrimuose. ARIES-1 tyrimo duomenimis, placebu koreguota</w:t>
      </w:r>
      <w:r w:rsidR="00C863B3" w:rsidRPr="00633873">
        <w:rPr>
          <w:rFonts w:ascii="Times New Roman" w:eastAsia="Times New Roman" w:hAnsi="Times New Roman" w:cs="Times New Roman"/>
          <w:snapToGrid w:val="0"/>
          <w:szCs w:val="20"/>
        </w:rPr>
        <w:t>s</w:t>
      </w:r>
      <w:r w:rsidRPr="00633873">
        <w:rPr>
          <w:rFonts w:ascii="Times New Roman" w:eastAsia="Times New Roman" w:hAnsi="Times New Roman" w:cs="Times New Roman"/>
          <w:snapToGrid w:val="0"/>
          <w:szCs w:val="20"/>
        </w:rPr>
        <w:t xml:space="preserve"> pacientų 6MWD </w:t>
      </w:r>
      <w:r w:rsidR="00C863B3" w:rsidRPr="00633873">
        <w:rPr>
          <w:rFonts w:ascii="Times New Roman" w:eastAsia="Times New Roman" w:hAnsi="Times New Roman" w:cs="Times New Roman"/>
          <w:snapToGrid w:val="0"/>
          <w:szCs w:val="20"/>
        </w:rPr>
        <w:t>atstumas</w:t>
      </w:r>
      <w:r w:rsidRPr="00633873">
        <w:rPr>
          <w:rFonts w:ascii="Times New Roman" w:eastAsia="Times New Roman" w:hAnsi="Times New Roman" w:cs="Times New Roman"/>
          <w:snapToGrid w:val="0"/>
          <w:szCs w:val="20"/>
        </w:rPr>
        <w:t xml:space="preserve"> 12 savaitę 10 mg grupėje vidutiniškai pailgėjo 51,4 m (95 % PI: 26,6</w:t>
      </w:r>
      <w:r w:rsidRPr="00633873">
        <w:rPr>
          <w:rFonts w:ascii="Times New Roman" w:eastAsia="Times New Roman" w:hAnsi="Times New Roman" w:cs="Times New Roman"/>
          <w:snapToGrid w:val="0"/>
          <w:szCs w:val="20"/>
        </w:rPr>
        <w:noBreakHyphen/>
        <w:t>76,2; p &lt; 0,001).</w:t>
      </w:r>
    </w:p>
    <w:p w14:paraId="31605E9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918CAFF" w14:textId="6034F4A4"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Buvo atlikta iš anksto </w:t>
      </w:r>
      <w:r w:rsidR="00C863B3" w:rsidRPr="00633873">
        <w:rPr>
          <w:rFonts w:ascii="Times New Roman" w:eastAsia="Times New Roman" w:hAnsi="Times New Roman" w:cs="Times New Roman"/>
          <w:snapToGrid w:val="0"/>
          <w:szCs w:val="20"/>
        </w:rPr>
        <w:t>numatyta</w:t>
      </w:r>
      <w:r w:rsidRPr="00633873">
        <w:rPr>
          <w:rFonts w:ascii="Times New Roman" w:eastAsia="Times New Roman" w:hAnsi="Times New Roman" w:cs="Times New Roman"/>
          <w:snapToGrid w:val="0"/>
          <w:szCs w:val="20"/>
        </w:rPr>
        <w:t xml:space="preserve"> jungtinė 3 fazės tyrimų (ARIES-C) analizė. </w:t>
      </w:r>
      <w:r w:rsidR="00C863B3" w:rsidRPr="00633873">
        <w:rPr>
          <w:rFonts w:ascii="Times New Roman" w:eastAsia="Times New Roman" w:hAnsi="Times New Roman" w:cs="Times New Roman"/>
          <w:snapToGrid w:val="0"/>
          <w:szCs w:val="20"/>
        </w:rPr>
        <w:t xml:space="preserve">Pagal placebo duomenis koreguotas </w:t>
      </w:r>
      <w:r w:rsidRPr="00633873">
        <w:rPr>
          <w:rFonts w:ascii="Times New Roman" w:eastAsia="Times New Roman" w:hAnsi="Times New Roman" w:cs="Times New Roman"/>
          <w:snapToGrid w:val="0"/>
          <w:szCs w:val="20"/>
        </w:rPr>
        <w:t xml:space="preserve">6MWD </w:t>
      </w:r>
      <w:r w:rsidR="00C863B3" w:rsidRPr="00633873">
        <w:rPr>
          <w:rFonts w:ascii="Times New Roman" w:eastAsia="Times New Roman" w:hAnsi="Times New Roman" w:cs="Times New Roman"/>
          <w:snapToGrid w:val="0"/>
          <w:szCs w:val="20"/>
        </w:rPr>
        <w:t>atstumas</w:t>
      </w:r>
      <w:r w:rsidRPr="00633873">
        <w:rPr>
          <w:rFonts w:ascii="Times New Roman" w:eastAsia="Times New Roman" w:hAnsi="Times New Roman" w:cs="Times New Roman"/>
          <w:snapToGrid w:val="0"/>
          <w:szCs w:val="20"/>
        </w:rPr>
        <w:t xml:space="preserve"> vidutiniškai pailgėjo 44,6 m (95 % PI: 24,3</w:t>
      </w:r>
      <w:r w:rsidRPr="00633873">
        <w:rPr>
          <w:rFonts w:ascii="Times New Roman" w:eastAsia="Times New Roman" w:hAnsi="Times New Roman" w:cs="Times New Roman"/>
          <w:snapToGrid w:val="0"/>
          <w:szCs w:val="20"/>
        </w:rPr>
        <w:noBreakHyphen/>
        <w:t>64,9</w:t>
      </w:r>
      <w:r w:rsidR="00C863B3"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 p &lt; 0,001) 5 mg dozės grupėje ir 52,5 m (95 % PI: 28,8</w:t>
      </w:r>
      <w:r w:rsidRPr="00633873">
        <w:rPr>
          <w:rFonts w:ascii="Times New Roman" w:eastAsia="Times New Roman" w:hAnsi="Times New Roman" w:cs="Times New Roman"/>
          <w:snapToGrid w:val="0"/>
          <w:szCs w:val="20"/>
        </w:rPr>
        <w:noBreakHyphen/>
        <w:t>76,2 ; p &lt; 0,001) 10 mg dozės grupėje.</w:t>
      </w:r>
    </w:p>
    <w:p w14:paraId="27308F2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CF17277" w14:textId="6B9F8782"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ARIES-2 tyrimo duomenimis, </w:t>
      </w: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(kombinuotos dozės grupėje) reikšmingai atitolino laiką iki klinikinio PH pablogėjimo, palyginti su placebu (p &lt; 0,001), rizikos santykis sumažėjo 80 %  (95 % PI: 47–92 %). Buvo vertinam</w:t>
      </w:r>
      <w:r w:rsidR="00C863B3" w:rsidRPr="00633873">
        <w:rPr>
          <w:rFonts w:ascii="Times New Roman" w:eastAsia="Times New Roman" w:hAnsi="Times New Roman" w:cs="Times New Roman"/>
          <w:snapToGrid w:val="0"/>
          <w:szCs w:val="20"/>
        </w:rPr>
        <w:t xml:space="preserve">i šie kriterijai: </w:t>
      </w:r>
      <w:r w:rsidRPr="00633873">
        <w:rPr>
          <w:rFonts w:ascii="Times New Roman" w:eastAsia="Times New Roman" w:hAnsi="Times New Roman" w:cs="Times New Roman"/>
          <w:snapToGrid w:val="0"/>
          <w:szCs w:val="20"/>
        </w:rPr>
        <w:t xml:space="preserve">mirtis, plaučių transplantacija, hospitalizacija dėl PH, prieširdžių </w:t>
      </w:r>
      <w:proofErr w:type="spellStart"/>
      <w:r w:rsidRPr="00633873">
        <w:rPr>
          <w:rFonts w:ascii="Times New Roman" w:eastAsia="Times New Roman" w:hAnsi="Times New Roman" w:cs="Times New Roman"/>
          <w:snapToGrid w:val="0"/>
          <w:szCs w:val="20"/>
        </w:rPr>
        <w:t>septostomija</w:t>
      </w:r>
      <w:proofErr w:type="spellEnd"/>
      <w:r w:rsidRPr="00633873">
        <w:rPr>
          <w:rFonts w:ascii="Times New Roman" w:eastAsia="Times New Roman" w:hAnsi="Times New Roman" w:cs="Times New Roman"/>
          <w:snapToGrid w:val="0"/>
          <w:szCs w:val="20"/>
        </w:rPr>
        <w:t xml:space="preserve">, papildomas kitų vaistinių preparatų PH gydyti paskyrimas ir ankstyvas pasitraukimas iš tyrimo. Kombinuotos dozės grupėje buvo stebėtas statistiškai reikšmingas SF-36 </w:t>
      </w:r>
      <w:proofErr w:type="spellStart"/>
      <w:r w:rsidRPr="00633873">
        <w:rPr>
          <w:rFonts w:ascii="Times New Roman" w:eastAsia="Times New Roman" w:hAnsi="Times New Roman" w:cs="Times New Roman"/>
          <w:i/>
          <w:iCs/>
          <w:snapToGrid w:val="0"/>
          <w:szCs w:val="20"/>
        </w:rPr>
        <w:t>Health</w:t>
      </w:r>
      <w:proofErr w:type="spellEnd"/>
      <w:r w:rsidRPr="00633873">
        <w:rPr>
          <w:rFonts w:ascii="Times New Roman" w:eastAsia="Times New Roman" w:hAnsi="Times New Roman" w:cs="Times New Roman"/>
          <w:i/>
          <w:iCs/>
          <w:snapToGrid w:val="0"/>
          <w:szCs w:val="20"/>
        </w:rPr>
        <w:t xml:space="preserve"> </w:t>
      </w:r>
      <w:proofErr w:type="spellStart"/>
      <w:r w:rsidRPr="00633873">
        <w:rPr>
          <w:rFonts w:ascii="Times New Roman" w:eastAsia="Times New Roman" w:hAnsi="Times New Roman" w:cs="Times New Roman"/>
          <w:i/>
          <w:iCs/>
          <w:snapToGrid w:val="0"/>
          <w:szCs w:val="20"/>
        </w:rPr>
        <w:t>Survey</w:t>
      </w:r>
      <w:proofErr w:type="spellEnd"/>
      <w:r w:rsidRPr="00633873">
        <w:rPr>
          <w:rFonts w:ascii="Times New Roman" w:eastAsia="Times New Roman" w:hAnsi="Times New Roman" w:cs="Times New Roman"/>
          <w:snapToGrid w:val="0"/>
          <w:szCs w:val="20"/>
        </w:rPr>
        <w:t xml:space="preserve"> fizinės funkcijos skalės įvertinimo padidėjimas (3,41 ± 6,96), palyginti su placebu (</w:t>
      </w:r>
      <w:r w:rsidR="004737D3" w:rsidRPr="00633873">
        <w:rPr>
          <w:rFonts w:ascii="Times New Roman" w:eastAsia="Times New Roman" w:hAnsi="Times New Roman" w:cs="Times New Roman"/>
          <w:snapToGrid w:val="0"/>
          <w:szCs w:val="20"/>
        </w:rPr>
        <w:noBreakHyphen/>
      </w:r>
      <w:r w:rsidRPr="00633873">
        <w:rPr>
          <w:rFonts w:ascii="Times New Roman" w:eastAsia="Times New Roman" w:hAnsi="Times New Roman" w:cs="Times New Roman"/>
          <w:snapToGrid w:val="0"/>
          <w:szCs w:val="20"/>
        </w:rPr>
        <w:t>0,20 ± 8,14, p</w:t>
      </w:r>
      <w:r w:rsidR="004737D3"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w:t>
      </w:r>
      <w:r w:rsidR="004737D3"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 xml:space="preserve">0,005). Gydant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12 savaitę statistiškai reikšmingai pagerėjo </w:t>
      </w:r>
      <w:proofErr w:type="spellStart"/>
      <w:r w:rsidRPr="00633873">
        <w:rPr>
          <w:rFonts w:ascii="Times New Roman" w:eastAsia="Times New Roman" w:hAnsi="Times New Roman" w:cs="Times New Roman"/>
          <w:i/>
          <w:iCs/>
          <w:snapToGrid w:val="0"/>
          <w:szCs w:val="20"/>
        </w:rPr>
        <w:t>Borg</w:t>
      </w:r>
      <w:proofErr w:type="spellEnd"/>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dispnėjos</w:t>
      </w:r>
      <w:proofErr w:type="spellEnd"/>
      <w:r w:rsidRPr="00633873">
        <w:rPr>
          <w:rFonts w:ascii="Times New Roman" w:eastAsia="Times New Roman" w:hAnsi="Times New Roman" w:cs="Times New Roman"/>
          <w:snapToGrid w:val="0"/>
          <w:szCs w:val="20"/>
        </w:rPr>
        <w:t xml:space="preserve"> indeksas (BDI) (</w:t>
      </w:r>
      <w:r w:rsidR="00C863B3" w:rsidRPr="00633873">
        <w:rPr>
          <w:rFonts w:ascii="Times New Roman" w:eastAsia="Times New Roman" w:hAnsi="Times New Roman" w:cs="Times New Roman"/>
          <w:snapToGrid w:val="0"/>
          <w:szCs w:val="20"/>
        </w:rPr>
        <w:t>pagal placebo duomenis</w:t>
      </w:r>
      <w:r w:rsidRPr="00633873">
        <w:rPr>
          <w:rFonts w:ascii="Times New Roman" w:eastAsia="Times New Roman" w:hAnsi="Times New Roman" w:cs="Times New Roman"/>
          <w:snapToGrid w:val="0"/>
          <w:szCs w:val="20"/>
        </w:rPr>
        <w:t xml:space="preserve"> koreguotas BDI -1,1 (95 % PI: nuo-1,8 iki -0,4; p</w:t>
      </w:r>
      <w:r w:rsidR="004737D3"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w:t>
      </w:r>
      <w:r w:rsidR="004737D3" w:rsidRPr="00633873">
        <w:rPr>
          <w:rFonts w:ascii="Times New Roman" w:eastAsia="Times New Roman" w:hAnsi="Times New Roman" w:cs="Times New Roman"/>
          <w:snapToGrid w:val="0"/>
          <w:szCs w:val="20"/>
        </w:rPr>
        <w:t> </w:t>
      </w:r>
      <w:r w:rsidRPr="00633873">
        <w:rPr>
          <w:rFonts w:ascii="Times New Roman" w:eastAsia="Times New Roman" w:hAnsi="Times New Roman" w:cs="Times New Roman"/>
          <w:snapToGrid w:val="0"/>
          <w:szCs w:val="20"/>
        </w:rPr>
        <w:t>0,019, kombinuotos dozės grupė).</w:t>
      </w:r>
    </w:p>
    <w:p w14:paraId="25C0ECC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548C5A4" w14:textId="77777777" w:rsidR="00A35A18" w:rsidRPr="00570F2A" w:rsidRDefault="00A35A18" w:rsidP="00A35A18">
      <w:pPr>
        <w:tabs>
          <w:tab w:val="left" w:pos="567"/>
        </w:tabs>
        <w:spacing w:after="0" w:line="260" w:lineRule="exact"/>
        <w:rPr>
          <w:rFonts w:ascii="Times New Roman" w:eastAsia="Times New Roman" w:hAnsi="Times New Roman" w:cs="Times New Roman"/>
          <w:i/>
          <w:iCs/>
          <w:snapToGrid w:val="0"/>
          <w:szCs w:val="20"/>
          <w:u w:val="single"/>
        </w:rPr>
      </w:pPr>
      <w:r w:rsidRPr="00570F2A">
        <w:rPr>
          <w:rFonts w:ascii="Times New Roman" w:eastAsia="Times New Roman" w:hAnsi="Times New Roman" w:cs="Times New Roman"/>
          <w:i/>
          <w:iCs/>
          <w:snapToGrid w:val="0"/>
          <w:szCs w:val="20"/>
          <w:u w:val="single"/>
        </w:rPr>
        <w:t>Ilgalaikio gydymo duomenys</w:t>
      </w:r>
    </w:p>
    <w:p w14:paraId="03D310A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Pacientai, dalyvavę ARIES-1 ir 2 tyrimu</w:t>
      </w:r>
      <w:r w:rsidR="00C863B3" w:rsidRPr="00633873">
        <w:rPr>
          <w:rFonts w:ascii="Times New Roman" w:eastAsia="Times New Roman" w:hAnsi="Times New Roman" w:cs="Times New Roman"/>
          <w:snapToGrid w:val="0"/>
          <w:szCs w:val="20"/>
        </w:rPr>
        <w:t>ose</w:t>
      </w:r>
      <w:r w:rsidRPr="00633873">
        <w:rPr>
          <w:rFonts w:ascii="Times New Roman" w:eastAsia="Times New Roman" w:hAnsi="Times New Roman" w:cs="Times New Roman"/>
          <w:snapToGrid w:val="0"/>
          <w:szCs w:val="20"/>
        </w:rPr>
        <w:t xml:space="preserve">, buvo tinkami ilgalaikiam atviram tęstiniam ARIES-E (n=383) tyrimui. Bendroji vidutinė ekspozicija buvo maždaug 145 ± 80 savaičių, o didžiausia ekspozicija – maždaug 295 savaitės. Šio tyrimo svarbiausioji pagrindinė vertinamoji baigtis buvo </w:t>
      </w:r>
      <w:r w:rsidRPr="00633873">
        <w:rPr>
          <w:rFonts w:ascii="Times New Roman" w:eastAsia="Times New Roman" w:hAnsi="Times New Roman" w:cs="Times New Roman"/>
          <w:snapToGrid w:val="0"/>
          <w:szCs w:val="20"/>
        </w:rPr>
        <w:lastRenderedPageBreak/>
        <w:t xml:space="preserve">nepageidaujamų reiškinių, susijusių su ilgalaike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ekspozicija, dažnis ir sunkumas tiriamiesiems</w:t>
      </w:r>
      <w:r w:rsidR="00C863B3" w:rsidRPr="00633873">
        <w:rPr>
          <w:rFonts w:ascii="Times New Roman" w:eastAsia="Times New Roman" w:hAnsi="Times New Roman" w:cs="Times New Roman"/>
          <w:snapToGrid w:val="0"/>
          <w:szCs w:val="20"/>
        </w:rPr>
        <w:t xml:space="preserve"> (vertinti ir</w:t>
      </w:r>
      <w:r w:rsidRPr="00633873">
        <w:rPr>
          <w:rFonts w:ascii="Times New Roman" w:eastAsia="Times New Roman" w:hAnsi="Times New Roman" w:cs="Times New Roman"/>
          <w:snapToGrid w:val="0"/>
          <w:szCs w:val="20"/>
        </w:rPr>
        <w:t xml:space="preserve"> kepenų funkcijos rodmen</w:t>
      </w:r>
      <w:r w:rsidR="00C863B3" w:rsidRPr="00633873">
        <w:rPr>
          <w:rFonts w:ascii="Times New Roman" w:eastAsia="Times New Roman" w:hAnsi="Times New Roman" w:cs="Times New Roman"/>
          <w:snapToGrid w:val="0"/>
          <w:szCs w:val="20"/>
        </w:rPr>
        <w:t>y</w:t>
      </w:r>
      <w:r w:rsidRPr="00633873">
        <w:rPr>
          <w:rFonts w:ascii="Times New Roman" w:eastAsia="Times New Roman" w:hAnsi="Times New Roman" w:cs="Times New Roman"/>
          <w:snapToGrid w:val="0"/>
          <w:szCs w:val="20"/>
        </w:rPr>
        <w:t>s kraujo serume</w:t>
      </w:r>
      <w:r w:rsidR="00C863B3" w:rsidRPr="00633873">
        <w:rPr>
          <w:rFonts w:ascii="Times New Roman" w:eastAsia="Times New Roman" w:hAnsi="Times New Roman" w:cs="Times New Roman"/>
          <w:snapToGrid w:val="0"/>
          <w:szCs w:val="20"/>
        </w:rPr>
        <w:t>)</w:t>
      </w:r>
      <w:r w:rsidRPr="00633873">
        <w:rPr>
          <w:rFonts w:ascii="Times New Roman" w:eastAsia="Times New Roman" w:hAnsi="Times New Roman" w:cs="Times New Roman"/>
          <w:snapToGrid w:val="0"/>
          <w:szCs w:val="20"/>
        </w:rPr>
        <w:t>. Šio tyrimo metu gauti saugumo</w:t>
      </w:r>
      <w:r w:rsidR="001C22A0" w:rsidRPr="00633873">
        <w:rPr>
          <w:rFonts w:ascii="Times New Roman" w:eastAsia="Times New Roman" w:hAnsi="Times New Roman" w:cs="Times New Roman"/>
          <w:snapToGrid w:val="0"/>
          <w:szCs w:val="20"/>
        </w:rPr>
        <w:t xml:space="preserve"> duomenys</w:t>
      </w:r>
      <w:r w:rsidRPr="00633873">
        <w:rPr>
          <w:rFonts w:ascii="Times New Roman" w:eastAsia="Times New Roman" w:hAnsi="Times New Roman" w:cs="Times New Roman"/>
          <w:snapToGrid w:val="0"/>
          <w:szCs w:val="20"/>
        </w:rPr>
        <w:t xml:space="preserve"> esant ilgalaikei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ekspozicijai </w:t>
      </w:r>
      <w:r w:rsidR="001C22A0" w:rsidRPr="00633873">
        <w:rPr>
          <w:rFonts w:ascii="Times New Roman" w:eastAsia="Times New Roman" w:hAnsi="Times New Roman" w:cs="Times New Roman"/>
          <w:snapToGrid w:val="0"/>
          <w:szCs w:val="20"/>
        </w:rPr>
        <w:t>iš esmės</w:t>
      </w:r>
      <w:r w:rsidRPr="00633873">
        <w:rPr>
          <w:rFonts w:ascii="Times New Roman" w:eastAsia="Times New Roman" w:hAnsi="Times New Roman" w:cs="Times New Roman"/>
          <w:snapToGrid w:val="0"/>
          <w:szCs w:val="20"/>
        </w:rPr>
        <w:t xml:space="preserve"> atitiko </w:t>
      </w:r>
      <w:r w:rsidR="001C22A0" w:rsidRPr="00633873">
        <w:rPr>
          <w:rFonts w:ascii="Times New Roman" w:eastAsia="Times New Roman" w:hAnsi="Times New Roman" w:cs="Times New Roman"/>
          <w:snapToGrid w:val="0"/>
          <w:szCs w:val="20"/>
        </w:rPr>
        <w:t>saugumo duomenis, gautus</w:t>
      </w:r>
      <w:r w:rsidRPr="00633873">
        <w:rPr>
          <w:rFonts w:ascii="Times New Roman" w:eastAsia="Times New Roman" w:hAnsi="Times New Roman" w:cs="Times New Roman"/>
          <w:snapToGrid w:val="0"/>
          <w:szCs w:val="20"/>
        </w:rPr>
        <w:t xml:space="preserve"> 12 savaičių placebu kontroliuojam</w:t>
      </w:r>
      <w:r w:rsidR="001C22A0" w:rsidRPr="00633873">
        <w:rPr>
          <w:rFonts w:ascii="Times New Roman" w:eastAsia="Times New Roman" w:hAnsi="Times New Roman" w:cs="Times New Roman"/>
          <w:snapToGrid w:val="0"/>
          <w:szCs w:val="20"/>
        </w:rPr>
        <w:t>ųjų tyrimų metu</w:t>
      </w:r>
      <w:r w:rsidRPr="00633873">
        <w:rPr>
          <w:rFonts w:ascii="Times New Roman" w:eastAsia="Times New Roman" w:hAnsi="Times New Roman" w:cs="Times New Roman"/>
          <w:snapToGrid w:val="0"/>
          <w:szCs w:val="20"/>
        </w:rPr>
        <w:t>.</w:t>
      </w:r>
    </w:p>
    <w:p w14:paraId="5331A14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204910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Nustatyta, kad </w:t>
      </w:r>
      <w:proofErr w:type="spellStart"/>
      <w:r w:rsidRPr="00633873">
        <w:rPr>
          <w:rFonts w:ascii="Times New Roman" w:eastAsia="Times New Roman" w:hAnsi="Times New Roman" w:cs="Times New Roman"/>
          <w:snapToGrid w:val="0"/>
          <w:szCs w:val="20"/>
        </w:rPr>
        <w:t>ambrisentaną</w:t>
      </w:r>
      <w:proofErr w:type="spellEnd"/>
      <w:r w:rsidRPr="00633873">
        <w:rPr>
          <w:rFonts w:ascii="Times New Roman" w:eastAsia="Times New Roman" w:hAnsi="Times New Roman" w:cs="Times New Roman"/>
          <w:snapToGrid w:val="0"/>
          <w:szCs w:val="20"/>
        </w:rPr>
        <w:t xml:space="preserve"> vartojančių (</w:t>
      </w:r>
      <w:r w:rsidR="009D0D0B" w:rsidRPr="00633873">
        <w:rPr>
          <w:rFonts w:ascii="Times New Roman" w:eastAsia="Times New Roman" w:hAnsi="Times New Roman" w:cs="Times New Roman"/>
          <w:snapToGrid w:val="0"/>
          <w:szCs w:val="20"/>
        </w:rPr>
        <w:t>kombinuotos dozės grupėje</w:t>
      </w:r>
      <w:r w:rsidRPr="00633873">
        <w:rPr>
          <w:rFonts w:ascii="Times New Roman" w:eastAsia="Times New Roman" w:hAnsi="Times New Roman" w:cs="Times New Roman"/>
          <w:snapToGrid w:val="0"/>
          <w:szCs w:val="20"/>
        </w:rPr>
        <w:t>) tiriamųjų tikimybė išgyventi pirmaisiais, antraisiais ir trečiaisiais metais buvo atitinkamai 93 %, 85 % ir 79 %.</w:t>
      </w:r>
    </w:p>
    <w:p w14:paraId="743DC0B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0182021" w14:textId="34FFE538" w:rsidR="00A35A18"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Atviro</w:t>
      </w:r>
      <w:r w:rsidR="004527CE" w:rsidRPr="00633873">
        <w:rPr>
          <w:rFonts w:ascii="Times New Roman" w:eastAsia="Times New Roman" w:hAnsi="Times New Roman" w:cs="Times New Roman"/>
          <w:snapToGrid w:val="0"/>
          <w:szCs w:val="20"/>
        </w:rPr>
        <w:t>jo</w:t>
      </w:r>
      <w:r w:rsidRPr="00633873">
        <w:rPr>
          <w:rFonts w:ascii="Times New Roman" w:eastAsia="Times New Roman" w:hAnsi="Times New Roman" w:cs="Times New Roman"/>
          <w:snapToGrid w:val="0"/>
          <w:szCs w:val="20"/>
        </w:rPr>
        <w:t xml:space="preserve"> tyrimo (AMB222) metu buvo tiriami 36 pacientai, </w:t>
      </w:r>
      <w:r w:rsidR="00080FFD" w:rsidRPr="00633873">
        <w:rPr>
          <w:rFonts w:ascii="Times New Roman" w:eastAsia="Times New Roman" w:hAnsi="Times New Roman" w:cs="Times New Roman"/>
          <w:snapToGrid w:val="0"/>
          <w:szCs w:val="20"/>
        </w:rPr>
        <w:t>siekiant</w:t>
      </w:r>
      <w:r w:rsidRPr="00633873">
        <w:rPr>
          <w:rFonts w:ascii="Times New Roman" w:eastAsia="Times New Roman" w:hAnsi="Times New Roman" w:cs="Times New Roman"/>
          <w:snapToGrid w:val="0"/>
          <w:szCs w:val="20"/>
        </w:rPr>
        <w:t xml:space="preserve"> nustatyti padidėjusio </w:t>
      </w:r>
      <w:proofErr w:type="spellStart"/>
      <w:r w:rsidRPr="00633873">
        <w:rPr>
          <w:rFonts w:ascii="Times New Roman" w:eastAsia="Times New Roman" w:hAnsi="Times New Roman" w:cs="Times New Roman"/>
          <w:snapToGrid w:val="0"/>
          <w:szCs w:val="20"/>
        </w:rPr>
        <w:t>aminotransferazių</w:t>
      </w:r>
      <w:proofErr w:type="spellEnd"/>
      <w:r w:rsidRPr="00633873">
        <w:rPr>
          <w:rFonts w:ascii="Times New Roman" w:eastAsia="Times New Roman" w:hAnsi="Times New Roman" w:cs="Times New Roman"/>
          <w:snapToGrid w:val="0"/>
          <w:szCs w:val="20"/>
        </w:rPr>
        <w:t xml:space="preserve"> aktyvumo kraujo serume atvejus pacientams, kuriems anksčiau buvo nutrauktas gydymas kitais ERA dėl </w:t>
      </w:r>
      <w:proofErr w:type="spellStart"/>
      <w:r w:rsidRPr="00633873">
        <w:rPr>
          <w:rFonts w:ascii="Times New Roman" w:eastAsia="Times New Roman" w:hAnsi="Times New Roman" w:cs="Times New Roman"/>
          <w:snapToGrid w:val="0"/>
          <w:szCs w:val="20"/>
        </w:rPr>
        <w:t>aminotransferazių</w:t>
      </w:r>
      <w:proofErr w:type="spellEnd"/>
      <w:r w:rsidRPr="00633873">
        <w:rPr>
          <w:rFonts w:ascii="Times New Roman" w:eastAsia="Times New Roman" w:hAnsi="Times New Roman" w:cs="Times New Roman"/>
          <w:snapToGrid w:val="0"/>
          <w:szCs w:val="20"/>
        </w:rPr>
        <w:t xml:space="preserve"> aktyvumo pokyčių.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gydant vidutiniškai 53 savaites, nė vienam </w:t>
      </w:r>
      <w:r w:rsidR="00EF1036" w:rsidRPr="00633873">
        <w:rPr>
          <w:rFonts w:ascii="Times New Roman" w:eastAsia="Times New Roman" w:hAnsi="Times New Roman" w:cs="Times New Roman"/>
          <w:snapToGrid w:val="0"/>
          <w:szCs w:val="20"/>
        </w:rPr>
        <w:t xml:space="preserve">į tyrimą įtrauktam </w:t>
      </w:r>
      <w:r w:rsidRPr="00633873">
        <w:rPr>
          <w:rFonts w:ascii="Times New Roman" w:eastAsia="Times New Roman" w:hAnsi="Times New Roman" w:cs="Times New Roman"/>
          <w:snapToGrid w:val="0"/>
          <w:szCs w:val="20"/>
        </w:rPr>
        <w:t xml:space="preserve">pacientui </w:t>
      </w:r>
      <w:r w:rsidR="00EF1036" w:rsidRPr="00633873">
        <w:rPr>
          <w:rFonts w:ascii="Times New Roman" w:eastAsia="Times New Roman" w:hAnsi="Times New Roman" w:cs="Times New Roman"/>
          <w:snapToGrid w:val="0"/>
          <w:szCs w:val="20"/>
        </w:rPr>
        <w:t xml:space="preserve">kraujo </w:t>
      </w:r>
      <w:r w:rsidRPr="00633873">
        <w:rPr>
          <w:rFonts w:ascii="Times New Roman" w:eastAsia="Times New Roman" w:hAnsi="Times New Roman" w:cs="Times New Roman"/>
          <w:snapToGrid w:val="0"/>
          <w:szCs w:val="20"/>
        </w:rPr>
        <w:t xml:space="preserve">serumo ALT </w:t>
      </w:r>
      <w:r w:rsidR="00EF1036" w:rsidRPr="00633873">
        <w:rPr>
          <w:rFonts w:ascii="Times New Roman" w:eastAsia="Times New Roman" w:hAnsi="Times New Roman" w:cs="Times New Roman"/>
          <w:snapToGrid w:val="0"/>
          <w:szCs w:val="20"/>
        </w:rPr>
        <w:t xml:space="preserve">aktyvumas nepadidėjo </w:t>
      </w:r>
      <w:r w:rsidRPr="00633873">
        <w:rPr>
          <w:rFonts w:ascii="Times New Roman" w:eastAsia="Times New Roman" w:hAnsi="Times New Roman" w:cs="Times New Roman"/>
          <w:snapToGrid w:val="0"/>
          <w:szCs w:val="20"/>
        </w:rPr>
        <w:t xml:space="preserve">&gt; 3 × VNR, </w:t>
      </w:r>
      <w:r w:rsidR="00EF1036" w:rsidRPr="00633873">
        <w:rPr>
          <w:rFonts w:ascii="Times New Roman" w:eastAsia="Times New Roman" w:hAnsi="Times New Roman" w:cs="Times New Roman"/>
          <w:snapToGrid w:val="0"/>
          <w:szCs w:val="20"/>
        </w:rPr>
        <w:t>kad būtų reikėję</w:t>
      </w:r>
      <w:r w:rsidRPr="00633873">
        <w:rPr>
          <w:rFonts w:ascii="Times New Roman" w:eastAsia="Times New Roman" w:hAnsi="Times New Roman" w:cs="Times New Roman"/>
          <w:snapToGrid w:val="0"/>
          <w:szCs w:val="20"/>
        </w:rPr>
        <w:t xml:space="preserve"> visiškai nutraukti gydymą. Per šį laikotarpį penkiasdešimt procentų pacientų padidino </w:t>
      </w:r>
      <w:proofErr w:type="spellStart"/>
      <w:r w:rsidR="00EF1036" w:rsidRPr="00633873">
        <w:rPr>
          <w:rFonts w:ascii="Times New Roman" w:eastAsia="Times New Roman" w:hAnsi="Times New Roman" w:cs="Times New Roman"/>
          <w:snapToGrid w:val="0"/>
          <w:szCs w:val="20"/>
        </w:rPr>
        <w:t>ambrisentano</w:t>
      </w:r>
      <w:proofErr w:type="spellEnd"/>
      <w:r w:rsidR="00EF1036" w:rsidRPr="00633873">
        <w:rPr>
          <w:rFonts w:ascii="Times New Roman" w:eastAsia="Times New Roman" w:hAnsi="Times New Roman" w:cs="Times New Roman"/>
          <w:snapToGrid w:val="0"/>
          <w:szCs w:val="20"/>
        </w:rPr>
        <w:t xml:space="preserve"> </w:t>
      </w:r>
      <w:r w:rsidRPr="00633873">
        <w:rPr>
          <w:rFonts w:ascii="Times New Roman" w:eastAsia="Times New Roman" w:hAnsi="Times New Roman" w:cs="Times New Roman"/>
          <w:snapToGrid w:val="0"/>
          <w:szCs w:val="20"/>
        </w:rPr>
        <w:t>dozę nuo 5 mg iki 10 mg.</w:t>
      </w:r>
    </w:p>
    <w:p w14:paraId="58095A80" w14:textId="77777777" w:rsidR="00057907" w:rsidRPr="00633873" w:rsidRDefault="00057907" w:rsidP="00A35A18">
      <w:pPr>
        <w:tabs>
          <w:tab w:val="left" w:pos="567"/>
        </w:tabs>
        <w:spacing w:after="0" w:line="260" w:lineRule="exact"/>
        <w:rPr>
          <w:rFonts w:ascii="Times New Roman" w:eastAsia="Times New Roman" w:hAnsi="Times New Roman" w:cs="Times New Roman"/>
          <w:snapToGrid w:val="0"/>
          <w:szCs w:val="20"/>
        </w:rPr>
      </w:pPr>
    </w:p>
    <w:p w14:paraId="38954311" w14:textId="1DD51963"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Kumuliacinis kraujo serumo </w:t>
      </w:r>
      <w:proofErr w:type="spellStart"/>
      <w:r w:rsidRPr="00633873">
        <w:rPr>
          <w:rFonts w:ascii="Times New Roman" w:eastAsia="Times New Roman" w:hAnsi="Times New Roman" w:cs="Times New Roman"/>
          <w:snapToGrid w:val="0"/>
          <w:szCs w:val="20"/>
        </w:rPr>
        <w:t>aminotransferazių</w:t>
      </w:r>
      <w:proofErr w:type="spellEnd"/>
      <w:r w:rsidRPr="00633873">
        <w:rPr>
          <w:rFonts w:ascii="Times New Roman" w:eastAsia="Times New Roman" w:hAnsi="Times New Roman" w:cs="Times New Roman"/>
          <w:snapToGrid w:val="0"/>
          <w:szCs w:val="20"/>
        </w:rPr>
        <w:t xml:space="preserve"> </w:t>
      </w:r>
      <w:r w:rsidR="00EF1036" w:rsidRPr="00633873">
        <w:rPr>
          <w:rFonts w:ascii="Times New Roman" w:eastAsia="Times New Roman" w:hAnsi="Times New Roman" w:cs="Times New Roman"/>
          <w:snapToGrid w:val="0"/>
          <w:szCs w:val="20"/>
        </w:rPr>
        <w:t xml:space="preserve">aktyvumo </w:t>
      </w:r>
      <w:r w:rsidRPr="00633873">
        <w:rPr>
          <w:rFonts w:ascii="Times New Roman" w:eastAsia="Times New Roman" w:hAnsi="Times New Roman" w:cs="Times New Roman"/>
          <w:snapToGrid w:val="0"/>
          <w:szCs w:val="20"/>
        </w:rPr>
        <w:t>pokyčių &gt; 3 × VNR atvejų skaičius visuose 2 ir 3 fazės tyrimuose (įskaitant atitinkamus atvirus tęstinius tyrimus) buvo 17 iš 483 asmenų, kuriems vidutinė vaistinio preparato ekspozicija truko 79,5 savait</w:t>
      </w:r>
      <w:r w:rsidR="00D35BFB" w:rsidRPr="00633873">
        <w:rPr>
          <w:rFonts w:ascii="Times New Roman" w:eastAsia="Times New Roman" w:hAnsi="Times New Roman" w:cs="Times New Roman"/>
          <w:snapToGrid w:val="0"/>
          <w:szCs w:val="20"/>
        </w:rPr>
        <w:t>ė</w:t>
      </w:r>
      <w:r w:rsidRPr="00633873">
        <w:rPr>
          <w:rFonts w:ascii="Times New Roman" w:eastAsia="Times New Roman" w:hAnsi="Times New Roman" w:cs="Times New Roman"/>
          <w:snapToGrid w:val="0"/>
          <w:szCs w:val="20"/>
        </w:rPr>
        <w:t>s. Tai atitinka 2,3 atvejo 100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ekspozicijos paciento metų. ARIES-E atviro ilgalaikio tęstinio tyrimo duomenimis, </w:t>
      </w:r>
      <w:proofErr w:type="spellStart"/>
      <w:r w:rsidRPr="00633873">
        <w:rPr>
          <w:rFonts w:ascii="Times New Roman" w:eastAsia="Times New Roman" w:hAnsi="Times New Roman" w:cs="Times New Roman"/>
          <w:snapToGrid w:val="0"/>
          <w:szCs w:val="20"/>
        </w:rPr>
        <w:t>aminotransferazių</w:t>
      </w:r>
      <w:proofErr w:type="spellEnd"/>
      <w:r w:rsidRPr="00633873">
        <w:rPr>
          <w:rFonts w:ascii="Times New Roman" w:eastAsia="Times New Roman" w:hAnsi="Times New Roman" w:cs="Times New Roman"/>
          <w:snapToGrid w:val="0"/>
          <w:szCs w:val="20"/>
        </w:rPr>
        <w:t xml:space="preserve"> suaktyvėjimo kraujo serume &gt; 3 × VNR rizika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dvejus metus gydytiems pacientams yra 3,9 %.</w:t>
      </w:r>
    </w:p>
    <w:p w14:paraId="513ABC0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54CC371" w14:textId="77777777" w:rsidR="00A35A18" w:rsidRPr="00570F2A" w:rsidRDefault="00A35A18" w:rsidP="00A35A18">
      <w:pPr>
        <w:tabs>
          <w:tab w:val="left" w:pos="567"/>
        </w:tabs>
        <w:spacing w:after="0" w:line="260" w:lineRule="exact"/>
        <w:rPr>
          <w:rFonts w:ascii="Times New Roman" w:eastAsia="Times New Roman" w:hAnsi="Times New Roman" w:cs="Times New Roman"/>
          <w:i/>
          <w:iCs/>
          <w:snapToGrid w:val="0"/>
          <w:szCs w:val="20"/>
          <w:u w:val="single"/>
        </w:rPr>
      </w:pPr>
      <w:r w:rsidRPr="00570F2A">
        <w:rPr>
          <w:rFonts w:ascii="Times New Roman" w:eastAsia="Times New Roman" w:hAnsi="Times New Roman" w:cs="Times New Roman"/>
          <w:i/>
          <w:iCs/>
          <w:snapToGrid w:val="0"/>
          <w:szCs w:val="20"/>
          <w:u w:val="single"/>
        </w:rPr>
        <w:t>Kita klinikinė informacija</w:t>
      </w:r>
    </w:p>
    <w:p w14:paraId="7CF2B0E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2 fazės tyrimo metu (AMB220) po 12 savaičių buvo pastebėtas hemodinamikos parametrų pagerėjimas pacientams, sergantiems PH (n=29). </w:t>
      </w:r>
      <w:r w:rsidR="00C61A88" w:rsidRPr="00633873">
        <w:rPr>
          <w:rFonts w:ascii="Times New Roman" w:eastAsia="Times New Roman" w:hAnsi="Times New Roman" w:cs="Times New Roman"/>
          <w:snapToGrid w:val="0"/>
          <w:szCs w:val="20"/>
        </w:rPr>
        <w:t>Gydant</w:t>
      </w:r>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padidėjo vidutinis širdies indeksas, sumažėjo vidutinis spaudimas plaučių arterijoje ir sumažėjo vidutinis plaučių kraujagyslių pasipriešinimas.</w:t>
      </w:r>
    </w:p>
    <w:p w14:paraId="0579422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7EB5026" w14:textId="7F11AA29" w:rsidR="00A35A18"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Gydant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buvo pranešta apie </w:t>
      </w:r>
      <w:proofErr w:type="spellStart"/>
      <w:r w:rsidRPr="00633873">
        <w:rPr>
          <w:rFonts w:ascii="Times New Roman" w:eastAsia="Times New Roman" w:hAnsi="Times New Roman" w:cs="Times New Roman"/>
          <w:snapToGrid w:val="0"/>
          <w:szCs w:val="20"/>
        </w:rPr>
        <w:t>sistolinio</w:t>
      </w:r>
      <w:proofErr w:type="spellEnd"/>
      <w:r w:rsidRPr="00633873">
        <w:rPr>
          <w:rFonts w:ascii="Times New Roman" w:eastAsia="Times New Roman" w:hAnsi="Times New Roman" w:cs="Times New Roman"/>
          <w:snapToGrid w:val="0"/>
          <w:szCs w:val="20"/>
        </w:rPr>
        <w:t xml:space="preserve"> ir </w:t>
      </w:r>
      <w:proofErr w:type="spellStart"/>
      <w:r w:rsidRPr="00633873">
        <w:rPr>
          <w:rFonts w:ascii="Times New Roman" w:eastAsia="Times New Roman" w:hAnsi="Times New Roman" w:cs="Times New Roman"/>
          <w:snapToGrid w:val="0"/>
          <w:szCs w:val="20"/>
        </w:rPr>
        <w:t>diastolinio</w:t>
      </w:r>
      <w:proofErr w:type="spellEnd"/>
      <w:r w:rsidRPr="00633873">
        <w:rPr>
          <w:rFonts w:ascii="Times New Roman" w:eastAsia="Times New Roman" w:hAnsi="Times New Roman" w:cs="Times New Roman"/>
          <w:snapToGrid w:val="0"/>
          <w:szCs w:val="20"/>
        </w:rPr>
        <w:t xml:space="preserve"> kraujospūdžio sumažėjimą. Placebu kontroliuojamų 12 savaičių trukusių klinikinių tyrimų metu </w:t>
      </w:r>
      <w:proofErr w:type="spellStart"/>
      <w:r w:rsidRPr="00633873">
        <w:rPr>
          <w:rFonts w:ascii="Times New Roman" w:eastAsia="Times New Roman" w:hAnsi="Times New Roman" w:cs="Times New Roman"/>
          <w:snapToGrid w:val="0"/>
          <w:szCs w:val="20"/>
        </w:rPr>
        <w:t>sistolinis</w:t>
      </w:r>
      <w:proofErr w:type="spellEnd"/>
      <w:r w:rsidRPr="00633873">
        <w:rPr>
          <w:rFonts w:ascii="Times New Roman" w:eastAsia="Times New Roman" w:hAnsi="Times New Roman" w:cs="Times New Roman"/>
          <w:snapToGrid w:val="0"/>
          <w:szCs w:val="20"/>
        </w:rPr>
        <w:t xml:space="preserve"> ir </w:t>
      </w:r>
      <w:proofErr w:type="spellStart"/>
      <w:r w:rsidRPr="00633873">
        <w:rPr>
          <w:rFonts w:ascii="Times New Roman" w:eastAsia="Times New Roman" w:hAnsi="Times New Roman" w:cs="Times New Roman"/>
          <w:snapToGrid w:val="0"/>
          <w:szCs w:val="20"/>
        </w:rPr>
        <w:t>diastolinis</w:t>
      </w:r>
      <w:proofErr w:type="spellEnd"/>
      <w:r w:rsidRPr="00633873">
        <w:rPr>
          <w:rFonts w:ascii="Times New Roman" w:eastAsia="Times New Roman" w:hAnsi="Times New Roman" w:cs="Times New Roman"/>
          <w:snapToGrid w:val="0"/>
          <w:szCs w:val="20"/>
        </w:rPr>
        <w:t xml:space="preserve"> kraujospūdis gydymo pabaigoje, palyginti su pradiniais rodmenimis, sumažėjo vidutiniškai atitinkamai 3 </w:t>
      </w:r>
      <w:proofErr w:type="spellStart"/>
      <w:r w:rsidRPr="00633873">
        <w:rPr>
          <w:rFonts w:ascii="Times New Roman" w:eastAsia="Times New Roman" w:hAnsi="Times New Roman" w:cs="Times New Roman"/>
          <w:snapToGrid w:val="0"/>
          <w:szCs w:val="20"/>
        </w:rPr>
        <w:t>mmHg</w:t>
      </w:r>
      <w:proofErr w:type="spellEnd"/>
      <w:r w:rsidRPr="00633873">
        <w:rPr>
          <w:rFonts w:ascii="Times New Roman" w:eastAsia="Times New Roman" w:hAnsi="Times New Roman" w:cs="Times New Roman"/>
          <w:snapToGrid w:val="0"/>
          <w:szCs w:val="20"/>
        </w:rPr>
        <w:t xml:space="preserve"> ir 4,2 </w:t>
      </w:r>
      <w:proofErr w:type="spellStart"/>
      <w:r w:rsidRPr="00633873">
        <w:rPr>
          <w:rFonts w:ascii="Times New Roman" w:eastAsia="Times New Roman" w:hAnsi="Times New Roman" w:cs="Times New Roman"/>
          <w:snapToGrid w:val="0"/>
          <w:szCs w:val="20"/>
        </w:rPr>
        <w:t>mmHg</w:t>
      </w:r>
      <w:proofErr w:type="spellEnd"/>
      <w:r w:rsidRPr="00633873">
        <w:rPr>
          <w:rFonts w:ascii="Times New Roman" w:eastAsia="Times New Roman" w:hAnsi="Times New Roman" w:cs="Times New Roman"/>
          <w:snapToGrid w:val="0"/>
          <w:szCs w:val="20"/>
        </w:rPr>
        <w:t xml:space="preserve">. Vidutinis </w:t>
      </w:r>
      <w:proofErr w:type="spellStart"/>
      <w:r w:rsidRPr="00633873">
        <w:rPr>
          <w:rFonts w:ascii="Times New Roman" w:eastAsia="Times New Roman" w:hAnsi="Times New Roman" w:cs="Times New Roman"/>
          <w:snapToGrid w:val="0"/>
          <w:szCs w:val="20"/>
        </w:rPr>
        <w:t>sistolinio</w:t>
      </w:r>
      <w:proofErr w:type="spellEnd"/>
      <w:r w:rsidRPr="00633873">
        <w:rPr>
          <w:rFonts w:ascii="Times New Roman" w:eastAsia="Times New Roman" w:hAnsi="Times New Roman" w:cs="Times New Roman"/>
          <w:snapToGrid w:val="0"/>
          <w:szCs w:val="20"/>
        </w:rPr>
        <w:t xml:space="preserve"> ir </w:t>
      </w:r>
      <w:proofErr w:type="spellStart"/>
      <w:r w:rsidRPr="00633873">
        <w:rPr>
          <w:rFonts w:ascii="Times New Roman" w:eastAsia="Times New Roman" w:hAnsi="Times New Roman" w:cs="Times New Roman"/>
          <w:snapToGrid w:val="0"/>
          <w:szCs w:val="20"/>
        </w:rPr>
        <w:t>diastolinio</w:t>
      </w:r>
      <w:proofErr w:type="spellEnd"/>
      <w:r w:rsidRPr="00633873">
        <w:rPr>
          <w:rFonts w:ascii="Times New Roman" w:eastAsia="Times New Roman" w:hAnsi="Times New Roman" w:cs="Times New Roman"/>
          <w:snapToGrid w:val="0"/>
          <w:szCs w:val="20"/>
        </w:rPr>
        <w:t xml:space="preserve"> kraujospūdžio sumažėjimas ilgalaikio atviro</w:t>
      </w:r>
      <w:r w:rsidR="007E2561" w:rsidRPr="00633873">
        <w:rPr>
          <w:rFonts w:ascii="Times New Roman" w:eastAsia="Times New Roman" w:hAnsi="Times New Roman" w:cs="Times New Roman"/>
          <w:snapToGrid w:val="0"/>
          <w:szCs w:val="20"/>
        </w:rPr>
        <w:t>jo</w:t>
      </w:r>
      <w:r w:rsidRPr="00633873">
        <w:rPr>
          <w:rFonts w:ascii="Times New Roman" w:eastAsia="Times New Roman" w:hAnsi="Times New Roman" w:cs="Times New Roman"/>
          <w:snapToGrid w:val="0"/>
          <w:szCs w:val="20"/>
        </w:rPr>
        <w:t xml:space="preserve"> ARIES</w:t>
      </w:r>
      <w:r w:rsidRPr="00633873">
        <w:rPr>
          <w:rFonts w:ascii="Times New Roman" w:eastAsia="Times New Roman" w:hAnsi="Times New Roman" w:cs="Times New Roman"/>
          <w:snapToGrid w:val="0"/>
          <w:szCs w:val="20"/>
        </w:rPr>
        <w:noBreakHyphen/>
        <w:t xml:space="preserve">E tyrimo metu išliko iki 4 gydymo </w:t>
      </w:r>
      <w:proofErr w:type="spellStart"/>
      <w:r w:rsidRPr="00633873">
        <w:rPr>
          <w:rFonts w:ascii="Times New Roman" w:eastAsia="Times New Roman" w:hAnsi="Times New Roman" w:cs="Times New Roman"/>
          <w:snapToGrid w:val="0"/>
          <w:szCs w:val="20"/>
        </w:rPr>
        <w:t>ambrisentanu</w:t>
      </w:r>
      <w:proofErr w:type="spellEnd"/>
      <w:r w:rsidRPr="00633873">
        <w:rPr>
          <w:rFonts w:ascii="Times New Roman" w:eastAsia="Times New Roman" w:hAnsi="Times New Roman" w:cs="Times New Roman"/>
          <w:snapToGrid w:val="0"/>
          <w:szCs w:val="20"/>
        </w:rPr>
        <w:t xml:space="preserve"> metų.</w:t>
      </w:r>
    </w:p>
    <w:p w14:paraId="63B9E153" w14:textId="77777777" w:rsidR="00057907" w:rsidRPr="00633873" w:rsidRDefault="00057907" w:rsidP="00A35A18">
      <w:pPr>
        <w:tabs>
          <w:tab w:val="left" w:pos="567"/>
        </w:tabs>
        <w:spacing w:after="0" w:line="260" w:lineRule="exact"/>
        <w:rPr>
          <w:rFonts w:ascii="Times New Roman" w:eastAsia="Times New Roman" w:hAnsi="Times New Roman" w:cs="Times New Roman"/>
          <w:snapToGrid w:val="0"/>
          <w:szCs w:val="20"/>
        </w:rPr>
      </w:pPr>
    </w:p>
    <w:p w14:paraId="396E78F4" w14:textId="35864DF9"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Atliekant vaistinių preparatų sąveikos tyrimą su sveikais savanoriais nustatyta, kad </w:t>
      </w:r>
      <w:proofErr w:type="spellStart"/>
      <w:r w:rsidRPr="00633873">
        <w:rPr>
          <w:rFonts w:ascii="Times New Roman" w:eastAsia="Times New Roman" w:hAnsi="Times New Roman" w:cs="Times New Roman"/>
          <w:snapToGrid w:val="0"/>
          <w:szCs w:val="20"/>
        </w:rPr>
        <w:t>ambrisentanas</w:t>
      </w:r>
      <w:proofErr w:type="spellEnd"/>
      <w:r w:rsidRPr="00633873">
        <w:rPr>
          <w:rFonts w:ascii="Times New Roman" w:eastAsia="Times New Roman" w:hAnsi="Times New Roman" w:cs="Times New Roman"/>
          <w:snapToGrid w:val="0"/>
          <w:szCs w:val="20"/>
        </w:rPr>
        <w:t xml:space="preserve"> ar </w:t>
      </w:r>
      <w:proofErr w:type="spellStart"/>
      <w:r w:rsidRPr="00633873">
        <w:rPr>
          <w:rFonts w:ascii="Times New Roman" w:eastAsia="Times New Roman" w:hAnsi="Times New Roman" w:cs="Times New Roman"/>
          <w:snapToGrid w:val="0"/>
          <w:szCs w:val="20"/>
        </w:rPr>
        <w:t>sildenafilis</w:t>
      </w:r>
      <w:proofErr w:type="spellEnd"/>
      <w:r w:rsidRPr="00633873">
        <w:rPr>
          <w:rFonts w:ascii="Times New Roman" w:eastAsia="Times New Roman" w:hAnsi="Times New Roman" w:cs="Times New Roman"/>
          <w:snapToGrid w:val="0"/>
          <w:szCs w:val="20"/>
        </w:rPr>
        <w:t xml:space="preserve"> neturi kliniškai reikšmingo poveikio vienas kito farmakokinetikai ir jų derinys buvo gerai toleruojamas. ARIES-E ir AMB222 tyrim</w:t>
      </w:r>
      <w:r w:rsidR="007E2561" w:rsidRPr="00633873">
        <w:rPr>
          <w:rFonts w:ascii="Times New Roman" w:eastAsia="Times New Roman" w:hAnsi="Times New Roman" w:cs="Times New Roman"/>
          <w:snapToGrid w:val="0"/>
          <w:szCs w:val="20"/>
        </w:rPr>
        <w:t>o</w:t>
      </w:r>
      <w:r w:rsidRPr="00633873">
        <w:rPr>
          <w:rFonts w:ascii="Times New Roman" w:eastAsia="Times New Roman" w:hAnsi="Times New Roman" w:cs="Times New Roman"/>
          <w:snapToGrid w:val="0"/>
          <w:szCs w:val="20"/>
        </w:rPr>
        <w:t xml:space="preserve"> metu </w:t>
      </w:r>
      <w:proofErr w:type="spellStart"/>
      <w:r w:rsidRPr="00633873">
        <w:rPr>
          <w:rFonts w:ascii="Times New Roman" w:eastAsia="Times New Roman" w:hAnsi="Times New Roman" w:cs="Times New Roman"/>
          <w:snapToGrid w:val="0"/>
          <w:szCs w:val="20"/>
        </w:rPr>
        <w:t>ambrisentaną</w:t>
      </w:r>
      <w:proofErr w:type="spellEnd"/>
      <w:r w:rsidRPr="00633873">
        <w:rPr>
          <w:rFonts w:ascii="Times New Roman" w:eastAsia="Times New Roman" w:hAnsi="Times New Roman" w:cs="Times New Roman"/>
          <w:snapToGrid w:val="0"/>
          <w:szCs w:val="20"/>
        </w:rPr>
        <w:t xml:space="preserve"> </w:t>
      </w:r>
      <w:r w:rsidR="007E2561" w:rsidRPr="00633873">
        <w:rPr>
          <w:rFonts w:ascii="Times New Roman" w:eastAsia="Times New Roman" w:hAnsi="Times New Roman" w:cs="Times New Roman"/>
          <w:snapToGrid w:val="0"/>
          <w:szCs w:val="20"/>
        </w:rPr>
        <w:t>derinyje</w:t>
      </w:r>
      <w:r w:rsidRPr="00633873">
        <w:rPr>
          <w:rFonts w:ascii="Times New Roman" w:eastAsia="Times New Roman" w:hAnsi="Times New Roman" w:cs="Times New Roman"/>
          <w:snapToGrid w:val="0"/>
          <w:szCs w:val="20"/>
        </w:rPr>
        <w:t xml:space="preserve"> su </w:t>
      </w:r>
      <w:proofErr w:type="spellStart"/>
      <w:r w:rsidRPr="00633873">
        <w:rPr>
          <w:rFonts w:ascii="Times New Roman" w:eastAsia="Times New Roman" w:hAnsi="Times New Roman" w:cs="Times New Roman"/>
          <w:snapToGrid w:val="0"/>
          <w:szCs w:val="20"/>
        </w:rPr>
        <w:t>sildenafiliu</w:t>
      </w:r>
      <w:proofErr w:type="spellEnd"/>
      <w:r w:rsidRPr="00633873">
        <w:rPr>
          <w:rFonts w:ascii="Times New Roman" w:eastAsia="Times New Roman" w:hAnsi="Times New Roman" w:cs="Times New Roman"/>
          <w:snapToGrid w:val="0"/>
          <w:szCs w:val="20"/>
        </w:rPr>
        <w:t xml:space="preserve"> vartojo atitinkamai 22 pacientai (5,7 %) ir 17 pacientų (47 %). Jokių papildomų saugumo problemų šiems pacientams nenustatyta.</w:t>
      </w:r>
    </w:p>
    <w:p w14:paraId="5E22F67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E570F0B" w14:textId="7C6A20BF" w:rsidR="00A35A18" w:rsidRPr="00570F2A" w:rsidRDefault="00A35A18" w:rsidP="00A35A18">
      <w:pPr>
        <w:tabs>
          <w:tab w:val="left" w:pos="567"/>
        </w:tabs>
        <w:spacing w:after="0" w:line="260" w:lineRule="exact"/>
        <w:rPr>
          <w:rFonts w:ascii="Times New Roman" w:eastAsia="Times New Roman" w:hAnsi="Times New Roman" w:cs="Times New Roman"/>
          <w:i/>
          <w:iCs/>
          <w:snapToGrid w:val="0"/>
          <w:szCs w:val="20"/>
          <w:u w:val="single"/>
        </w:rPr>
      </w:pPr>
      <w:r w:rsidRPr="00570F2A">
        <w:rPr>
          <w:rFonts w:ascii="Times New Roman" w:eastAsia="Times New Roman" w:hAnsi="Times New Roman" w:cs="Times New Roman"/>
          <w:i/>
          <w:iCs/>
          <w:snapToGrid w:val="0"/>
          <w:szCs w:val="20"/>
          <w:u w:val="single"/>
        </w:rPr>
        <w:t xml:space="preserve">Vartojimo </w:t>
      </w:r>
      <w:r w:rsidR="00E32473" w:rsidRPr="00570F2A">
        <w:rPr>
          <w:rFonts w:ascii="Times New Roman" w:eastAsia="Times New Roman" w:hAnsi="Times New Roman" w:cs="Times New Roman"/>
          <w:i/>
          <w:iCs/>
          <w:snapToGrid w:val="0"/>
          <w:szCs w:val="20"/>
          <w:u w:val="single"/>
        </w:rPr>
        <w:t>derinyje</w:t>
      </w:r>
      <w:r w:rsidRPr="00570F2A">
        <w:rPr>
          <w:rFonts w:ascii="Times New Roman" w:eastAsia="Times New Roman" w:hAnsi="Times New Roman" w:cs="Times New Roman"/>
          <w:i/>
          <w:iCs/>
          <w:snapToGrid w:val="0"/>
          <w:szCs w:val="20"/>
          <w:u w:val="single"/>
        </w:rPr>
        <w:t xml:space="preserve"> su </w:t>
      </w:r>
      <w:proofErr w:type="spellStart"/>
      <w:r w:rsidRPr="00570F2A">
        <w:rPr>
          <w:rFonts w:ascii="Times New Roman" w:eastAsia="Times New Roman" w:hAnsi="Times New Roman" w:cs="Times New Roman"/>
          <w:i/>
          <w:iCs/>
          <w:snapToGrid w:val="0"/>
          <w:szCs w:val="20"/>
          <w:u w:val="single"/>
        </w:rPr>
        <w:t>tadalafiliu</w:t>
      </w:r>
      <w:proofErr w:type="spellEnd"/>
      <w:r w:rsidRPr="00570F2A">
        <w:rPr>
          <w:rFonts w:ascii="Times New Roman" w:eastAsia="Times New Roman" w:hAnsi="Times New Roman" w:cs="Times New Roman"/>
          <w:i/>
          <w:iCs/>
          <w:snapToGrid w:val="0"/>
          <w:szCs w:val="20"/>
          <w:u w:val="single"/>
        </w:rPr>
        <w:t xml:space="preserve"> klinikinis veiksmingumas</w:t>
      </w:r>
    </w:p>
    <w:p w14:paraId="6CE91FF1" w14:textId="6754A530"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roofErr w:type="spellStart"/>
      <w:r w:rsidRPr="00633873">
        <w:rPr>
          <w:rFonts w:ascii="Times New Roman" w:eastAsia="Times New Roman" w:hAnsi="Times New Roman" w:cs="Times New Roman"/>
          <w:snapToGrid w:val="0"/>
          <w:szCs w:val="20"/>
        </w:rPr>
        <w:t>Daugiacentris</w:t>
      </w:r>
      <w:proofErr w:type="spellEnd"/>
      <w:r w:rsidRPr="00633873">
        <w:rPr>
          <w:rFonts w:ascii="Times New Roman" w:eastAsia="Times New Roman" w:hAnsi="Times New Roman" w:cs="Times New Roman"/>
          <w:snapToGrid w:val="0"/>
          <w:szCs w:val="20"/>
        </w:rPr>
        <w:t xml:space="preserve"> dvigubai koduotas veikliuoju palyginamuoju vaistiniu preparatu kontroliuojamasis reiškiniais paremtas 3 fazės baigčių tyrimas (AMB112565 / AMBITION) buvo atliktas, siekiant įvertinti pradinio gydymo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ir </w:t>
      </w:r>
      <w:proofErr w:type="spellStart"/>
      <w:r w:rsidRPr="00633873">
        <w:rPr>
          <w:rFonts w:ascii="Times New Roman" w:eastAsia="Times New Roman" w:hAnsi="Times New Roman" w:cs="Times New Roman"/>
          <w:snapToGrid w:val="0"/>
          <w:szCs w:val="20"/>
        </w:rPr>
        <w:t>tadalafilio</w:t>
      </w:r>
      <w:proofErr w:type="spellEnd"/>
      <w:r w:rsidRPr="00633873">
        <w:rPr>
          <w:rFonts w:ascii="Times New Roman" w:eastAsia="Times New Roman" w:hAnsi="Times New Roman" w:cs="Times New Roman"/>
          <w:snapToGrid w:val="0"/>
          <w:szCs w:val="20"/>
        </w:rPr>
        <w:t xml:space="preserve"> deriniu veiksmingumą, palyginti su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ar </w:t>
      </w:r>
      <w:proofErr w:type="spellStart"/>
      <w:r w:rsidRPr="00633873">
        <w:rPr>
          <w:rFonts w:ascii="Times New Roman" w:eastAsia="Times New Roman" w:hAnsi="Times New Roman" w:cs="Times New Roman"/>
          <w:snapToGrid w:val="0"/>
          <w:szCs w:val="20"/>
        </w:rPr>
        <w:t>tadalafilio</w:t>
      </w:r>
      <w:proofErr w:type="spellEnd"/>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monoterapija</w:t>
      </w:r>
      <w:proofErr w:type="spellEnd"/>
      <w:r w:rsidR="00AA02E9" w:rsidRPr="00633873">
        <w:rPr>
          <w:rFonts w:ascii="Times New Roman" w:eastAsia="Times New Roman" w:hAnsi="Times New Roman" w:cs="Times New Roman"/>
          <w:snapToGrid w:val="0"/>
          <w:szCs w:val="20"/>
        </w:rPr>
        <w:t>.</w:t>
      </w:r>
      <w:r w:rsidRPr="00633873">
        <w:rPr>
          <w:rFonts w:ascii="Times New Roman" w:eastAsia="Times New Roman" w:hAnsi="Times New Roman" w:cs="Times New Roman"/>
          <w:snapToGrid w:val="0"/>
          <w:szCs w:val="20"/>
        </w:rPr>
        <w:t xml:space="preserve"> 500 anksčiau negydytų </w:t>
      </w:r>
      <w:r w:rsidR="00AA02E9" w:rsidRPr="00633873">
        <w:rPr>
          <w:rFonts w:ascii="Times New Roman" w:eastAsia="Times New Roman" w:hAnsi="Times New Roman" w:cs="Times New Roman"/>
          <w:snapToGrid w:val="0"/>
          <w:szCs w:val="20"/>
        </w:rPr>
        <w:t xml:space="preserve">PH sergančių </w:t>
      </w:r>
      <w:r w:rsidRPr="00633873">
        <w:rPr>
          <w:rFonts w:ascii="Times New Roman" w:eastAsia="Times New Roman" w:hAnsi="Times New Roman" w:cs="Times New Roman"/>
          <w:snapToGrid w:val="0"/>
          <w:szCs w:val="20"/>
        </w:rPr>
        <w:t xml:space="preserve">pacientų atsitiktiniu būdu buvo suskirstyti į grupes atitinkamai santykiu 2:1:1. Vien placebo nevartojo nė vienas pacientas. </w:t>
      </w:r>
      <w:r w:rsidR="00AA02E9" w:rsidRPr="00633873">
        <w:rPr>
          <w:rFonts w:ascii="Times New Roman" w:eastAsia="Times New Roman" w:hAnsi="Times New Roman" w:cs="Times New Roman"/>
          <w:snapToGrid w:val="0"/>
          <w:szCs w:val="20"/>
        </w:rPr>
        <w:t>P</w:t>
      </w:r>
      <w:r w:rsidR="00170B42" w:rsidRPr="00633873">
        <w:rPr>
          <w:rFonts w:ascii="Times New Roman" w:eastAsia="Times New Roman" w:hAnsi="Times New Roman" w:cs="Times New Roman"/>
          <w:snapToGrid w:val="0"/>
          <w:szCs w:val="20"/>
        </w:rPr>
        <w:t>irminė</w:t>
      </w:r>
      <w:r w:rsidR="00AA02E9" w:rsidRPr="00633873">
        <w:rPr>
          <w:rFonts w:ascii="Times New Roman" w:eastAsia="Times New Roman" w:hAnsi="Times New Roman" w:cs="Times New Roman"/>
          <w:snapToGrid w:val="0"/>
          <w:szCs w:val="20"/>
        </w:rPr>
        <w:t xml:space="preserve"> analizė apėmė</w:t>
      </w:r>
      <w:r w:rsidRPr="00633873">
        <w:rPr>
          <w:rFonts w:ascii="Times New Roman" w:eastAsia="Times New Roman" w:hAnsi="Times New Roman" w:cs="Times New Roman"/>
          <w:snapToGrid w:val="0"/>
          <w:szCs w:val="20"/>
        </w:rPr>
        <w:t xml:space="preserve"> gydymo vaistinių preparatų deriniu grupės duomenų </w:t>
      </w:r>
      <w:r w:rsidR="00AA02E9" w:rsidRPr="00633873">
        <w:rPr>
          <w:rFonts w:ascii="Times New Roman" w:eastAsia="Times New Roman" w:hAnsi="Times New Roman" w:cs="Times New Roman"/>
          <w:snapToGrid w:val="0"/>
          <w:szCs w:val="20"/>
        </w:rPr>
        <w:t>ir</w:t>
      </w:r>
      <w:r w:rsidRPr="00633873">
        <w:rPr>
          <w:rFonts w:ascii="Times New Roman" w:eastAsia="Times New Roman" w:hAnsi="Times New Roman" w:cs="Times New Roman"/>
          <w:snapToGrid w:val="0"/>
          <w:szCs w:val="20"/>
        </w:rPr>
        <w:t xml:space="preserve"> jungtin</w:t>
      </w:r>
      <w:r w:rsidR="00AA02E9" w:rsidRPr="00633873">
        <w:rPr>
          <w:rFonts w:ascii="Times New Roman" w:eastAsia="Times New Roman" w:hAnsi="Times New Roman" w:cs="Times New Roman"/>
          <w:snapToGrid w:val="0"/>
          <w:szCs w:val="20"/>
        </w:rPr>
        <w:t>ių</w:t>
      </w:r>
      <w:r w:rsidRPr="00633873">
        <w:rPr>
          <w:rFonts w:ascii="Times New Roman" w:eastAsia="Times New Roman" w:hAnsi="Times New Roman" w:cs="Times New Roman"/>
          <w:snapToGrid w:val="0"/>
          <w:szCs w:val="20"/>
        </w:rPr>
        <w:t xml:space="preserve"> </w:t>
      </w:r>
      <w:proofErr w:type="spellStart"/>
      <w:r w:rsidRPr="00633873">
        <w:rPr>
          <w:rFonts w:ascii="Times New Roman" w:eastAsia="Times New Roman" w:hAnsi="Times New Roman" w:cs="Times New Roman"/>
          <w:snapToGrid w:val="0"/>
          <w:szCs w:val="20"/>
        </w:rPr>
        <w:t>monoterapijų</w:t>
      </w:r>
      <w:proofErr w:type="spellEnd"/>
      <w:r w:rsidRPr="00633873">
        <w:rPr>
          <w:rFonts w:ascii="Times New Roman" w:eastAsia="Times New Roman" w:hAnsi="Times New Roman" w:cs="Times New Roman"/>
          <w:snapToGrid w:val="0"/>
          <w:szCs w:val="20"/>
        </w:rPr>
        <w:t xml:space="preserve"> grupių duomen</w:t>
      </w:r>
      <w:r w:rsidR="00AA02E9" w:rsidRPr="00633873">
        <w:rPr>
          <w:rFonts w:ascii="Times New Roman" w:eastAsia="Times New Roman" w:hAnsi="Times New Roman" w:cs="Times New Roman"/>
          <w:snapToGrid w:val="0"/>
          <w:szCs w:val="20"/>
        </w:rPr>
        <w:t>ų palyginimą</w:t>
      </w:r>
      <w:r w:rsidRPr="00633873">
        <w:rPr>
          <w:rFonts w:ascii="Times New Roman" w:eastAsia="Times New Roman" w:hAnsi="Times New Roman" w:cs="Times New Roman"/>
          <w:snapToGrid w:val="0"/>
          <w:szCs w:val="20"/>
        </w:rPr>
        <w:t xml:space="preserve">. Be to, buvo atliktas papildomas gydymo vaistinių preparatų deriniu grupės duomenų palyginimas su kiekvienos </w:t>
      </w:r>
      <w:proofErr w:type="spellStart"/>
      <w:r w:rsidRPr="00633873">
        <w:rPr>
          <w:rFonts w:ascii="Times New Roman" w:eastAsia="Times New Roman" w:hAnsi="Times New Roman" w:cs="Times New Roman"/>
          <w:snapToGrid w:val="0"/>
          <w:szCs w:val="20"/>
        </w:rPr>
        <w:t>monoterapijos</w:t>
      </w:r>
      <w:proofErr w:type="spellEnd"/>
      <w:r w:rsidRPr="00633873">
        <w:rPr>
          <w:rFonts w:ascii="Times New Roman" w:eastAsia="Times New Roman" w:hAnsi="Times New Roman" w:cs="Times New Roman"/>
          <w:snapToGrid w:val="0"/>
          <w:szCs w:val="20"/>
        </w:rPr>
        <w:t xml:space="preserve"> grupės duomenimis. Pacientai, kuriems pasireiškė reikšminga anemija, skysčių kaupimasis ar retos tinklainės ligos, nebuvo įtraukti, remiantis tyrėjo kriterijais. Taip pat nebuvo įtraukti pacientai, kurių pradiniai ALT ir AST rodmenys buvo &gt; 2 × VNR.</w:t>
      </w:r>
    </w:p>
    <w:p w14:paraId="467B3FA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145170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Pradedant tyrimą, 96 % pacientų anksčiau nebuvo taikytas joks specifinis PH gydymas, o laikotarpio nuo ligos diagnozavimo iki įtraukimo į tyrimą mediana buvo 22 dienos. Pacientams iš pradžių buvo skirtos 5 mg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ir 20 mg </w:t>
      </w:r>
      <w:proofErr w:type="spellStart"/>
      <w:r w:rsidRPr="00633873">
        <w:rPr>
          <w:rFonts w:ascii="Times New Roman" w:eastAsia="Times New Roman" w:hAnsi="Times New Roman" w:cs="Times New Roman"/>
          <w:snapToGrid w:val="0"/>
          <w:szCs w:val="20"/>
        </w:rPr>
        <w:t>tadalafilio</w:t>
      </w:r>
      <w:proofErr w:type="spellEnd"/>
      <w:r w:rsidRPr="00633873">
        <w:rPr>
          <w:rFonts w:ascii="Times New Roman" w:eastAsia="Times New Roman" w:hAnsi="Times New Roman" w:cs="Times New Roman"/>
          <w:snapToGrid w:val="0"/>
          <w:szCs w:val="20"/>
        </w:rPr>
        <w:t xml:space="preserve"> dozės, kurios buvo padidintos iki 40 mg </w:t>
      </w:r>
      <w:proofErr w:type="spellStart"/>
      <w:r w:rsidRPr="00633873">
        <w:rPr>
          <w:rFonts w:ascii="Times New Roman" w:eastAsia="Times New Roman" w:hAnsi="Times New Roman" w:cs="Times New Roman"/>
          <w:snapToGrid w:val="0"/>
          <w:szCs w:val="20"/>
        </w:rPr>
        <w:t>tadalafilio</w:t>
      </w:r>
      <w:proofErr w:type="spellEnd"/>
      <w:r w:rsidRPr="00633873">
        <w:rPr>
          <w:rFonts w:ascii="Times New Roman" w:eastAsia="Times New Roman" w:hAnsi="Times New Roman" w:cs="Times New Roman"/>
          <w:snapToGrid w:val="0"/>
          <w:szCs w:val="20"/>
        </w:rPr>
        <w:t xml:space="preserve"> 4 savaitę ir 10 mg </w:t>
      </w:r>
      <w:proofErr w:type="spellStart"/>
      <w:r w:rsidRPr="00633873">
        <w:rPr>
          <w:rFonts w:ascii="Times New Roman" w:eastAsia="Times New Roman" w:hAnsi="Times New Roman" w:cs="Times New Roman"/>
          <w:snapToGrid w:val="0"/>
          <w:szCs w:val="20"/>
        </w:rPr>
        <w:t>ambrisentano</w:t>
      </w:r>
      <w:proofErr w:type="spellEnd"/>
      <w:r w:rsidRPr="00633873">
        <w:rPr>
          <w:rFonts w:ascii="Times New Roman" w:eastAsia="Times New Roman" w:hAnsi="Times New Roman" w:cs="Times New Roman"/>
          <w:snapToGrid w:val="0"/>
          <w:szCs w:val="20"/>
        </w:rPr>
        <w:t xml:space="preserve"> 8 savaitę, išskyrus atvejus, kai to nebuvo galima padaryti dėl </w:t>
      </w:r>
      <w:r w:rsidRPr="00633873">
        <w:rPr>
          <w:rFonts w:ascii="Times New Roman" w:eastAsia="Times New Roman" w:hAnsi="Times New Roman" w:cs="Times New Roman"/>
          <w:snapToGrid w:val="0"/>
          <w:szCs w:val="20"/>
        </w:rPr>
        <w:lastRenderedPageBreak/>
        <w:t>toleravimo problemų. Dvigubai koduoto gydymo vaistinių preparatų deriniu trukmės mediana buvo ilgesnė kaip 1,5 metų.</w:t>
      </w:r>
    </w:p>
    <w:p w14:paraId="52910D9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1C3D7A4" w14:textId="35521933"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P</w:t>
      </w:r>
      <w:r w:rsidR="00DB4572" w:rsidRPr="00633873">
        <w:rPr>
          <w:rFonts w:ascii="Times New Roman" w:eastAsia="Times New Roman" w:hAnsi="Times New Roman" w:cs="Times New Roman"/>
          <w:snapToGrid w:val="0"/>
          <w:szCs w:val="20"/>
        </w:rPr>
        <w:t>irminė</w:t>
      </w:r>
      <w:r w:rsidRPr="00633873">
        <w:rPr>
          <w:rFonts w:ascii="Times New Roman" w:eastAsia="Times New Roman" w:hAnsi="Times New Roman" w:cs="Times New Roman"/>
          <w:snapToGrid w:val="0"/>
          <w:szCs w:val="20"/>
        </w:rPr>
        <w:t xml:space="preserve"> vertinamoji baigtis buvo laikotarpis iki pirmojo reiškinio atsiradimo, rodančio klinikinį neveiksmingumą, kuris apibūdinamas kaip:</w:t>
      </w:r>
    </w:p>
    <w:p w14:paraId="713475D5" w14:textId="77777777" w:rsidR="00A35A18" w:rsidRPr="00633873" w:rsidRDefault="00A35A18" w:rsidP="00A35A18">
      <w:pPr>
        <w:numPr>
          <w:ilvl w:val="0"/>
          <w:numId w:val="7"/>
        </w:numPr>
        <w:tabs>
          <w:tab w:val="left" w:pos="567"/>
        </w:tabs>
        <w:spacing w:after="0" w:line="260" w:lineRule="exact"/>
        <w:ind w:left="567" w:hanging="567"/>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mirtis; arba</w:t>
      </w:r>
    </w:p>
    <w:p w14:paraId="0499629F" w14:textId="77777777" w:rsidR="00A35A18" w:rsidRPr="00633873" w:rsidRDefault="00813E19" w:rsidP="00A35A18">
      <w:pPr>
        <w:numPr>
          <w:ilvl w:val="0"/>
          <w:numId w:val="7"/>
        </w:numPr>
        <w:tabs>
          <w:tab w:val="left" w:pos="567"/>
        </w:tabs>
        <w:spacing w:after="0" w:line="260" w:lineRule="exact"/>
        <w:ind w:left="567" w:hanging="567"/>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ho</w:t>
      </w:r>
      <w:r w:rsidR="003D2556" w:rsidRPr="00633873">
        <w:rPr>
          <w:rFonts w:ascii="Times New Roman" w:eastAsia="Times New Roman" w:hAnsi="Times New Roman" w:cs="Times New Roman"/>
          <w:snapToGrid w:val="0"/>
          <w:szCs w:val="20"/>
        </w:rPr>
        <w:t>s</w:t>
      </w:r>
      <w:r w:rsidRPr="00633873">
        <w:rPr>
          <w:rFonts w:ascii="Times New Roman" w:eastAsia="Times New Roman" w:hAnsi="Times New Roman" w:cs="Times New Roman"/>
          <w:snapToGrid w:val="0"/>
          <w:szCs w:val="20"/>
        </w:rPr>
        <w:t>pitalizavimas</w:t>
      </w:r>
      <w:r w:rsidR="00A35A18" w:rsidRPr="00633873">
        <w:rPr>
          <w:rFonts w:ascii="Times New Roman" w:eastAsia="Times New Roman" w:hAnsi="Times New Roman" w:cs="Times New Roman"/>
          <w:snapToGrid w:val="0"/>
          <w:szCs w:val="20"/>
        </w:rPr>
        <w:t xml:space="preserve"> dėl PH pasunkėjimo;</w:t>
      </w:r>
    </w:p>
    <w:p w14:paraId="0B691328" w14:textId="77777777" w:rsidR="00A35A18" w:rsidRPr="00633873" w:rsidRDefault="00A35A18" w:rsidP="00A35A18">
      <w:pPr>
        <w:numPr>
          <w:ilvl w:val="0"/>
          <w:numId w:val="7"/>
        </w:numPr>
        <w:tabs>
          <w:tab w:val="left" w:pos="567"/>
        </w:tabs>
        <w:spacing w:after="0" w:line="260" w:lineRule="exact"/>
        <w:ind w:left="567" w:hanging="567"/>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ligos progresavimas;</w:t>
      </w:r>
    </w:p>
    <w:p w14:paraId="59108B25" w14:textId="77777777" w:rsidR="00A35A18" w:rsidRPr="00633873" w:rsidRDefault="00A35A18" w:rsidP="00A35A18">
      <w:pPr>
        <w:numPr>
          <w:ilvl w:val="0"/>
          <w:numId w:val="7"/>
        </w:numPr>
        <w:tabs>
          <w:tab w:val="left" w:pos="567"/>
        </w:tabs>
        <w:spacing w:after="0" w:line="260" w:lineRule="exact"/>
        <w:ind w:left="567" w:hanging="567"/>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nepatenkinamas ilgalaikis klinikinis atsakas.</w:t>
      </w:r>
    </w:p>
    <w:p w14:paraId="6AB6EB5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66EA3AD" w14:textId="621E6A2E"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Visų pacientų vidutinis amžius buvo 54 metai (SN 15; ribos 18–75 metai). Pradinė pacientų būklė pagal PSO buvo II FK (31 %) ir III FK (69 %). Tiriamojoje populiacijoje dažniausiai buvo nustatyta idiopatinė arba paveldima PH (56 %), rečiau – PH dėl jungiamojo audinio sutrikimų (37 %), PH, susijusi su vaistiniais preparatais ir toksinais (3 %), koreguota paprasta įgimta širdies liga (2 %) ir ŽIV (2 %). Pacientų, kuriems buvo II FK ir III FK pagal PSO, vidutin</w:t>
      </w:r>
      <w:r w:rsidR="00813E19" w:rsidRPr="00633873">
        <w:rPr>
          <w:rFonts w:ascii="Times New Roman" w:eastAsia="Times New Roman" w:hAnsi="Times New Roman" w:cs="Times New Roman"/>
          <w:snapToGrid w:val="0"/>
          <w:szCs w:val="20"/>
        </w:rPr>
        <w:t>is</w:t>
      </w:r>
      <w:r w:rsidRPr="00633873">
        <w:rPr>
          <w:rFonts w:ascii="Times New Roman" w:eastAsia="Times New Roman" w:hAnsi="Times New Roman" w:cs="Times New Roman"/>
          <w:snapToGrid w:val="0"/>
          <w:szCs w:val="20"/>
        </w:rPr>
        <w:t xml:space="preserve"> pradin</w:t>
      </w:r>
      <w:r w:rsidR="00813E19" w:rsidRPr="00633873">
        <w:rPr>
          <w:rFonts w:ascii="Times New Roman" w:eastAsia="Times New Roman" w:hAnsi="Times New Roman" w:cs="Times New Roman"/>
          <w:snapToGrid w:val="0"/>
          <w:szCs w:val="20"/>
        </w:rPr>
        <w:t>is</w:t>
      </w:r>
      <w:r w:rsidRPr="00633873">
        <w:rPr>
          <w:rFonts w:ascii="Times New Roman" w:eastAsia="Times New Roman" w:hAnsi="Times New Roman" w:cs="Times New Roman"/>
          <w:snapToGrid w:val="0"/>
          <w:szCs w:val="20"/>
        </w:rPr>
        <w:t xml:space="preserve"> 6MWD </w:t>
      </w:r>
      <w:r w:rsidR="00813E19" w:rsidRPr="00633873">
        <w:rPr>
          <w:rFonts w:ascii="Times New Roman" w:eastAsia="Times New Roman" w:hAnsi="Times New Roman" w:cs="Times New Roman"/>
          <w:snapToGrid w:val="0"/>
          <w:szCs w:val="20"/>
        </w:rPr>
        <w:t xml:space="preserve">atstumas </w:t>
      </w:r>
      <w:r w:rsidRPr="00633873">
        <w:rPr>
          <w:rFonts w:ascii="Times New Roman" w:eastAsia="Times New Roman" w:hAnsi="Times New Roman" w:cs="Times New Roman"/>
          <w:snapToGrid w:val="0"/>
          <w:szCs w:val="20"/>
        </w:rPr>
        <w:t>buvo 353 m.</w:t>
      </w:r>
    </w:p>
    <w:p w14:paraId="5D89D32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B756412" w14:textId="299D8F8C" w:rsidR="00A35A18" w:rsidRPr="00633873" w:rsidRDefault="00E2378A" w:rsidP="00A35A18">
      <w:pPr>
        <w:tabs>
          <w:tab w:val="left" w:pos="567"/>
        </w:tabs>
        <w:spacing w:after="0" w:line="260" w:lineRule="exact"/>
        <w:rPr>
          <w:rFonts w:ascii="Times New Roman" w:eastAsia="Times New Roman" w:hAnsi="Times New Roman" w:cs="Times New Roman"/>
          <w:i/>
          <w:iCs/>
          <w:snapToGrid w:val="0"/>
          <w:szCs w:val="20"/>
          <w:u w:val="single"/>
        </w:rPr>
      </w:pPr>
      <w:r w:rsidRPr="00633873">
        <w:rPr>
          <w:rFonts w:ascii="Times New Roman" w:eastAsia="Times New Roman" w:hAnsi="Times New Roman" w:cs="Times New Roman"/>
          <w:i/>
          <w:iCs/>
          <w:snapToGrid w:val="0"/>
          <w:szCs w:val="20"/>
          <w:u w:val="single"/>
        </w:rPr>
        <w:t>Išeičių</w:t>
      </w:r>
      <w:r w:rsidR="00A35A18" w:rsidRPr="00633873">
        <w:rPr>
          <w:rFonts w:ascii="Times New Roman" w:eastAsia="Times New Roman" w:hAnsi="Times New Roman" w:cs="Times New Roman"/>
          <w:i/>
          <w:iCs/>
          <w:snapToGrid w:val="0"/>
          <w:szCs w:val="20"/>
          <w:u w:val="single"/>
        </w:rPr>
        <w:t xml:space="preserve"> vertinamosios baigtys</w:t>
      </w:r>
    </w:p>
    <w:p w14:paraId="318CBA2A" w14:textId="29748F42"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Gydymas vaistinių preparatų deriniu lėmė sudėtinės klinikinės nesėkmės </w:t>
      </w:r>
      <w:r w:rsidR="0031351D" w:rsidRPr="00633873">
        <w:rPr>
          <w:rFonts w:ascii="Times New Roman" w:eastAsia="Times New Roman" w:hAnsi="Times New Roman" w:cs="Times New Roman"/>
          <w:snapToGrid w:val="0"/>
          <w:szCs w:val="20"/>
        </w:rPr>
        <w:t xml:space="preserve">vertinamosios </w:t>
      </w:r>
      <w:r w:rsidRPr="00633873">
        <w:rPr>
          <w:rFonts w:ascii="Times New Roman" w:eastAsia="Times New Roman" w:hAnsi="Times New Roman" w:cs="Times New Roman"/>
          <w:snapToGrid w:val="0"/>
          <w:szCs w:val="20"/>
        </w:rPr>
        <w:t xml:space="preserve">baigties rizikos sumažėjimą 50 % (rizikos santykis [RS] 0,502; 95 % PI: nuo 0,348 iki 0,724; p=0,0002) iki galutinio įvertinimo </w:t>
      </w:r>
      <w:r w:rsidR="00E2378A" w:rsidRPr="00633873">
        <w:rPr>
          <w:rFonts w:ascii="Times New Roman" w:eastAsia="Times New Roman" w:hAnsi="Times New Roman" w:cs="Times New Roman"/>
          <w:snapToGrid w:val="0"/>
          <w:szCs w:val="20"/>
        </w:rPr>
        <w:t>apsilankymo</w:t>
      </w:r>
      <w:r w:rsidRPr="00633873">
        <w:rPr>
          <w:rFonts w:ascii="Times New Roman" w:eastAsia="Times New Roman" w:hAnsi="Times New Roman" w:cs="Times New Roman"/>
          <w:snapToGrid w:val="0"/>
          <w:szCs w:val="20"/>
        </w:rPr>
        <w:t xml:space="preserve">, palyginti su jungtiniais </w:t>
      </w:r>
      <w:proofErr w:type="spellStart"/>
      <w:r w:rsidRPr="00633873">
        <w:rPr>
          <w:rFonts w:ascii="Times New Roman" w:eastAsia="Times New Roman" w:hAnsi="Times New Roman" w:cs="Times New Roman"/>
          <w:snapToGrid w:val="0"/>
          <w:szCs w:val="20"/>
        </w:rPr>
        <w:t>monoterapijos</w:t>
      </w:r>
      <w:proofErr w:type="spellEnd"/>
      <w:r w:rsidRPr="00633873">
        <w:rPr>
          <w:rFonts w:ascii="Times New Roman" w:eastAsia="Times New Roman" w:hAnsi="Times New Roman" w:cs="Times New Roman"/>
          <w:snapToGrid w:val="0"/>
          <w:szCs w:val="20"/>
        </w:rPr>
        <w:t xml:space="preserve"> grupės duomenimis [1 paveikslas ir 1 lentelė]. Gydymo </w:t>
      </w:r>
      <w:r w:rsidR="00E2378A" w:rsidRPr="00633873">
        <w:rPr>
          <w:rFonts w:ascii="Times New Roman" w:eastAsia="Times New Roman" w:hAnsi="Times New Roman" w:cs="Times New Roman"/>
          <w:snapToGrid w:val="0"/>
          <w:szCs w:val="20"/>
        </w:rPr>
        <w:t>poveikį</w:t>
      </w:r>
      <w:r w:rsidRPr="00633873">
        <w:rPr>
          <w:rFonts w:ascii="Times New Roman" w:eastAsia="Times New Roman" w:hAnsi="Times New Roman" w:cs="Times New Roman"/>
          <w:snapToGrid w:val="0"/>
          <w:szCs w:val="20"/>
        </w:rPr>
        <w:t xml:space="preserve"> nulėmė </w:t>
      </w:r>
      <w:r w:rsidR="0031351D" w:rsidRPr="00633873">
        <w:rPr>
          <w:rFonts w:ascii="Times New Roman" w:eastAsia="Times New Roman" w:hAnsi="Times New Roman" w:cs="Times New Roman"/>
          <w:snapToGrid w:val="0"/>
          <w:szCs w:val="20"/>
        </w:rPr>
        <w:t>hospitalizavimo</w:t>
      </w:r>
      <w:r w:rsidRPr="00633873">
        <w:rPr>
          <w:rFonts w:ascii="Times New Roman" w:eastAsia="Times New Roman" w:hAnsi="Times New Roman" w:cs="Times New Roman"/>
          <w:snapToGrid w:val="0"/>
          <w:szCs w:val="20"/>
        </w:rPr>
        <w:t xml:space="preserve"> atvejų sumažėjimas 63 % gydymo vaistinių preparatų deriniu grupėje, jis buvo pastebėtas anksti ir išliko. Įvertinus pagrindinę vertinamąją baigtį, gydymo vaistinių preparatų deriniu veiksmingumas buvo pastovus, palyginti su kiekvieno vaistinio preparato </w:t>
      </w:r>
      <w:proofErr w:type="spellStart"/>
      <w:r w:rsidRPr="00633873">
        <w:rPr>
          <w:rFonts w:ascii="Times New Roman" w:eastAsia="Times New Roman" w:hAnsi="Times New Roman" w:cs="Times New Roman"/>
          <w:snapToGrid w:val="0"/>
          <w:szCs w:val="20"/>
        </w:rPr>
        <w:t>monoterapija</w:t>
      </w:r>
      <w:proofErr w:type="spellEnd"/>
      <w:r w:rsidRPr="00633873">
        <w:rPr>
          <w:rFonts w:ascii="Times New Roman" w:eastAsia="Times New Roman" w:hAnsi="Times New Roman" w:cs="Times New Roman"/>
          <w:snapToGrid w:val="0"/>
          <w:szCs w:val="20"/>
        </w:rPr>
        <w:t xml:space="preserve"> ir visuose pogrupiuose pagal amžių, etninę kilmę, geografinį regioną, etiologiją (</w:t>
      </w:r>
      <w:proofErr w:type="spellStart"/>
      <w:r w:rsidRPr="00633873">
        <w:rPr>
          <w:rFonts w:ascii="Times New Roman" w:eastAsia="Times New Roman" w:hAnsi="Times New Roman" w:cs="Times New Roman"/>
          <w:snapToGrid w:val="0"/>
          <w:szCs w:val="20"/>
        </w:rPr>
        <w:t>iPH</w:t>
      </w:r>
      <w:proofErr w:type="spellEnd"/>
      <w:r w:rsidRPr="00633873">
        <w:rPr>
          <w:rFonts w:ascii="Times New Roman" w:eastAsia="Times New Roman" w:hAnsi="Times New Roman" w:cs="Times New Roman"/>
          <w:snapToGrid w:val="0"/>
          <w:szCs w:val="20"/>
        </w:rPr>
        <w:t>/</w:t>
      </w:r>
      <w:proofErr w:type="spellStart"/>
      <w:r w:rsidRPr="00633873">
        <w:rPr>
          <w:rFonts w:ascii="Times New Roman" w:eastAsia="Times New Roman" w:hAnsi="Times New Roman" w:cs="Times New Roman"/>
          <w:snapToGrid w:val="0"/>
          <w:szCs w:val="20"/>
        </w:rPr>
        <w:t>pPH</w:t>
      </w:r>
      <w:proofErr w:type="spellEnd"/>
      <w:r w:rsidRPr="00633873">
        <w:rPr>
          <w:rFonts w:ascii="Times New Roman" w:eastAsia="Times New Roman" w:hAnsi="Times New Roman" w:cs="Times New Roman"/>
          <w:snapToGrid w:val="0"/>
          <w:szCs w:val="20"/>
        </w:rPr>
        <w:t xml:space="preserve"> (paveldima PH) ir PH-JAL). Poveikis buvo reikšmingas ir II FK, ir III FK pacientams.</w:t>
      </w:r>
    </w:p>
    <w:p w14:paraId="7ECEBCD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C3061CB" w14:textId="43DC4C8A" w:rsidR="00A35A18" w:rsidRPr="00633873" w:rsidRDefault="00A35A18" w:rsidP="009F7541">
      <w:pPr>
        <w:keepNext/>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1 paveiksl</w:t>
      </w:r>
      <w:r w:rsidR="004737D3" w:rsidRPr="00633873">
        <w:rPr>
          <w:rFonts w:ascii="Times New Roman" w:eastAsia="Times New Roman" w:hAnsi="Times New Roman" w:cs="Times New Roman"/>
          <w:snapToGrid w:val="0"/>
          <w:szCs w:val="20"/>
        </w:rPr>
        <w:t>ė</w:t>
      </w:r>
      <w:r w:rsidR="00E2378A" w:rsidRPr="00633873">
        <w:rPr>
          <w:rFonts w:ascii="Times New Roman" w:eastAsia="Times New Roman" w:hAnsi="Times New Roman" w:cs="Times New Roman"/>
          <w:snapToGrid w:val="0"/>
          <w:szCs w:val="20"/>
        </w:rPr>
        <w:t>li</w:t>
      </w:r>
      <w:r w:rsidRPr="00633873">
        <w:rPr>
          <w:rFonts w:ascii="Times New Roman" w:eastAsia="Times New Roman" w:hAnsi="Times New Roman" w:cs="Times New Roman"/>
          <w:snapToGrid w:val="0"/>
          <w:szCs w:val="20"/>
        </w:rPr>
        <w:t>s</w:t>
      </w:r>
    </w:p>
    <w:p w14:paraId="47249E29" w14:textId="77777777" w:rsidR="00A35A18" w:rsidRPr="00633873" w:rsidRDefault="00A35A18" w:rsidP="009F7541">
      <w:pPr>
        <w:keepNext/>
        <w:tabs>
          <w:tab w:val="left" w:pos="567"/>
        </w:tabs>
        <w:overflowPunct w:val="0"/>
        <w:autoSpaceDE w:val="0"/>
        <w:autoSpaceDN w:val="0"/>
        <w:adjustRightInd w:val="0"/>
        <w:spacing w:after="0" w:line="276" w:lineRule="auto"/>
        <w:jc w:val="both"/>
        <w:textAlignment w:val="baseline"/>
        <w:rPr>
          <w:rFonts w:ascii="Times New Roman" w:eastAsia="Times New Roman" w:hAnsi="Times New Roman" w:cs="Times New Roman"/>
          <w:snapToGrid w:val="0"/>
          <w:sz w:val="24"/>
          <w:szCs w:val="24"/>
          <w:lang w:eastAsia="da-DK"/>
        </w:rPr>
      </w:pPr>
    </w:p>
    <w:p w14:paraId="62D45692" w14:textId="77777777" w:rsidR="00A35A18" w:rsidRPr="00633873" w:rsidRDefault="00A35A18" w:rsidP="00A35A18">
      <w:pPr>
        <w:tabs>
          <w:tab w:val="left" w:pos="567"/>
        </w:tabs>
        <w:overflowPunct w:val="0"/>
        <w:autoSpaceDE w:val="0"/>
        <w:autoSpaceDN w:val="0"/>
        <w:adjustRightInd w:val="0"/>
        <w:spacing w:after="0" w:line="276" w:lineRule="auto"/>
        <w:jc w:val="both"/>
        <w:textAlignment w:val="baseline"/>
        <w:rPr>
          <w:rFonts w:ascii="Times New Roman" w:eastAsia="Times New Roman" w:hAnsi="Times New Roman" w:cs="Times New Roman"/>
          <w:snapToGrid w:val="0"/>
          <w:sz w:val="24"/>
          <w:szCs w:val="24"/>
          <w:lang w:eastAsia="da-DK"/>
        </w:rPr>
      </w:pPr>
      <w:r w:rsidRPr="00633873">
        <w:rPr>
          <w:rFonts w:ascii="Times New Roman" w:eastAsia="Times New Roman" w:hAnsi="Times New Roman" w:cs="Times New Roman"/>
          <w:noProof/>
          <w:szCs w:val="20"/>
          <w:lang w:eastAsia="lt-LT"/>
        </w:rPr>
        <w:drawing>
          <wp:inline distT="0" distB="0" distL="0" distR="0" wp14:anchorId="69E44C20" wp14:editId="76496893">
            <wp:extent cx="5734050" cy="3514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514725"/>
                    </a:xfrm>
                    <a:prstGeom prst="rect">
                      <a:avLst/>
                    </a:prstGeom>
                    <a:noFill/>
                    <a:ln>
                      <a:noFill/>
                    </a:ln>
                  </pic:spPr>
                </pic:pic>
              </a:graphicData>
            </a:graphic>
          </wp:inline>
        </w:drawing>
      </w:r>
    </w:p>
    <w:p w14:paraId="070A0A6A"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0"/>
        </w:rPr>
      </w:pPr>
    </w:p>
    <w:p w14:paraId="273E4326"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 lentelė</w:t>
      </w:r>
    </w:p>
    <w:p w14:paraId="1AA2DCF4" w14:textId="77777777" w:rsidR="0031351D" w:rsidRPr="00633873" w:rsidRDefault="0031351D"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716"/>
        <w:gridCol w:w="1573"/>
        <w:gridCol w:w="1561"/>
        <w:gridCol w:w="1548"/>
      </w:tblGrid>
      <w:tr w:rsidR="00A35A18" w:rsidRPr="00683000" w14:paraId="1D0025C2" w14:textId="77777777" w:rsidTr="009F7541">
        <w:tc>
          <w:tcPr>
            <w:tcW w:w="2719" w:type="dxa"/>
          </w:tcPr>
          <w:p w14:paraId="75032F70" w14:textId="77777777"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
        </w:tc>
        <w:tc>
          <w:tcPr>
            <w:tcW w:w="1720" w:type="dxa"/>
          </w:tcPr>
          <w:p w14:paraId="163FE1BD" w14:textId="367E88EC"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roofErr w:type="spellStart"/>
            <w:r w:rsidRPr="009F7541">
              <w:rPr>
                <w:rFonts w:ascii="Times New Roman" w:eastAsia="Times New Roman" w:hAnsi="Times New Roman" w:cs="Times New Roman"/>
                <w:b/>
                <w:snapToGrid w:val="0"/>
                <w:lang w:eastAsia="da-DK"/>
              </w:rPr>
              <w:t>Ambrisentanas</w:t>
            </w:r>
            <w:proofErr w:type="spellEnd"/>
            <w:r w:rsidRPr="009F7541">
              <w:rPr>
                <w:rFonts w:ascii="Times New Roman" w:eastAsia="Times New Roman" w:hAnsi="Times New Roman" w:cs="Times New Roman"/>
                <w:b/>
                <w:snapToGrid w:val="0"/>
                <w:lang w:eastAsia="da-DK"/>
              </w:rPr>
              <w:t xml:space="preserve"> + </w:t>
            </w:r>
            <w:proofErr w:type="spellStart"/>
            <w:r w:rsidRPr="009F7541">
              <w:rPr>
                <w:rFonts w:ascii="Times New Roman" w:eastAsia="Times New Roman" w:hAnsi="Times New Roman" w:cs="Times New Roman"/>
                <w:b/>
                <w:snapToGrid w:val="0"/>
                <w:lang w:eastAsia="da-DK"/>
              </w:rPr>
              <w:t>tadalafilis</w:t>
            </w:r>
            <w:proofErr w:type="spellEnd"/>
          </w:p>
          <w:p w14:paraId="2F5795C2" w14:textId="77777777" w:rsidR="001E7EFF" w:rsidRPr="009F7541" w:rsidRDefault="001E7EFF"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
          <w:p w14:paraId="2BC3C17D" w14:textId="31F4B5B6"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(N</w:t>
            </w:r>
            <w:r w:rsidR="001E7EFF" w:rsidRPr="00633873">
              <w:rPr>
                <w:rFonts w:ascii="Times New Roman" w:eastAsia="Times New Roman" w:hAnsi="Times New Roman" w:cs="Times New Roman"/>
                <w:b/>
                <w:snapToGrid w:val="0"/>
                <w:lang w:eastAsia="da-DK"/>
              </w:rPr>
              <w:t> </w:t>
            </w:r>
            <w:r w:rsidRPr="009F7541">
              <w:rPr>
                <w:rFonts w:ascii="Times New Roman" w:eastAsia="Times New Roman" w:hAnsi="Times New Roman" w:cs="Times New Roman"/>
                <w:b/>
                <w:snapToGrid w:val="0"/>
                <w:lang w:eastAsia="da-DK"/>
              </w:rPr>
              <w:t>=</w:t>
            </w:r>
            <w:r w:rsidR="001E7EFF" w:rsidRPr="00633873">
              <w:rPr>
                <w:rFonts w:ascii="Times New Roman" w:eastAsia="Times New Roman" w:hAnsi="Times New Roman" w:cs="Times New Roman"/>
                <w:b/>
                <w:snapToGrid w:val="0"/>
                <w:lang w:eastAsia="da-DK"/>
              </w:rPr>
              <w:t> </w:t>
            </w:r>
            <w:r w:rsidRPr="009F7541">
              <w:rPr>
                <w:rFonts w:ascii="Times New Roman" w:eastAsia="Times New Roman" w:hAnsi="Times New Roman" w:cs="Times New Roman"/>
                <w:b/>
                <w:snapToGrid w:val="0"/>
                <w:lang w:eastAsia="da-DK"/>
              </w:rPr>
              <w:t>253)</w:t>
            </w:r>
          </w:p>
        </w:tc>
        <w:tc>
          <w:tcPr>
            <w:tcW w:w="1573" w:type="dxa"/>
          </w:tcPr>
          <w:p w14:paraId="0FE2AA3C" w14:textId="77777777"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Jungtiniai</w:t>
            </w:r>
          </w:p>
          <w:p w14:paraId="05A980C3" w14:textId="77777777"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roofErr w:type="spellStart"/>
            <w:r w:rsidRPr="009F7541">
              <w:rPr>
                <w:rFonts w:ascii="Times New Roman" w:eastAsia="Times New Roman" w:hAnsi="Times New Roman" w:cs="Times New Roman"/>
                <w:b/>
                <w:snapToGrid w:val="0"/>
                <w:lang w:eastAsia="da-DK"/>
              </w:rPr>
              <w:t>monoterapijos</w:t>
            </w:r>
            <w:proofErr w:type="spellEnd"/>
          </w:p>
          <w:p w14:paraId="52BD7ED2" w14:textId="77777777"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duomenys</w:t>
            </w:r>
          </w:p>
          <w:p w14:paraId="4AB73127" w14:textId="2F33A6BF"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(N</w:t>
            </w:r>
            <w:r w:rsidR="001E7EFF" w:rsidRPr="00633873">
              <w:rPr>
                <w:rFonts w:ascii="Times New Roman" w:eastAsia="Times New Roman" w:hAnsi="Times New Roman" w:cs="Times New Roman"/>
                <w:b/>
                <w:snapToGrid w:val="0"/>
                <w:lang w:eastAsia="da-DK"/>
              </w:rPr>
              <w:t> </w:t>
            </w:r>
            <w:r w:rsidRPr="009F7541">
              <w:rPr>
                <w:rFonts w:ascii="Times New Roman" w:eastAsia="Times New Roman" w:hAnsi="Times New Roman" w:cs="Times New Roman"/>
                <w:b/>
                <w:snapToGrid w:val="0"/>
                <w:lang w:eastAsia="da-DK"/>
              </w:rPr>
              <w:t>=</w:t>
            </w:r>
            <w:r w:rsidR="001E7EFF" w:rsidRPr="00633873">
              <w:rPr>
                <w:rFonts w:ascii="Times New Roman" w:eastAsia="Times New Roman" w:hAnsi="Times New Roman" w:cs="Times New Roman"/>
                <w:b/>
                <w:snapToGrid w:val="0"/>
                <w:lang w:eastAsia="da-DK"/>
              </w:rPr>
              <w:t> </w:t>
            </w:r>
            <w:r w:rsidRPr="009F7541">
              <w:rPr>
                <w:rFonts w:ascii="Times New Roman" w:eastAsia="Times New Roman" w:hAnsi="Times New Roman" w:cs="Times New Roman"/>
                <w:b/>
                <w:snapToGrid w:val="0"/>
                <w:lang w:eastAsia="da-DK"/>
              </w:rPr>
              <w:t>247)</w:t>
            </w:r>
          </w:p>
        </w:tc>
        <w:tc>
          <w:tcPr>
            <w:tcW w:w="1496" w:type="dxa"/>
          </w:tcPr>
          <w:p w14:paraId="44DAFF6F" w14:textId="77777777" w:rsidR="001E7EFF"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roofErr w:type="spellStart"/>
            <w:r w:rsidRPr="009F7541">
              <w:rPr>
                <w:rFonts w:ascii="Times New Roman" w:eastAsia="Times New Roman" w:hAnsi="Times New Roman" w:cs="Times New Roman"/>
                <w:b/>
                <w:snapToGrid w:val="0"/>
                <w:lang w:eastAsia="da-DK"/>
              </w:rPr>
              <w:t>Ambrisentano</w:t>
            </w:r>
            <w:proofErr w:type="spellEnd"/>
            <w:r w:rsidRPr="009F7541">
              <w:rPr>
                <w:rFonts w:ascii="Times New Roman" w:eastAsia="Times New Roman" w:hAnsi="Times New Roman" w:cs="Times New Roman"/>
                <w:b/>
                <w:snapToGrid w:val="0"/>
                <w:lang w:eastAsia="da-DK"/>
              </w:rPr>
              <w:t xml:space="preserve"> </w:t>
            </w:r>
            <w:proofErr w:type="spellStart"/>
            <w:r w:rsidRPr="009F7541">
              <w:rPr>
                <w:rFonts w:ascii="Times New Roman" w:eastAsia="Times New Roman" w:hAnsi="Times New Roman" w:cs="Times New Roman"/>
                <w:b/>
                <w:snapToGrid w:val="0"/>
                <w:lang w:eastAsia="da-DK"/>
              </w:rPr>
              <w:t>monoterapija</w:t>
            </w:r>
            <w:proofErr w:type="spellEnd"/>
          </w:p>
          <w:p w14:paraId="684778BF" w14:textId="75711E33" w:rsidR="001E7EFF" w:rsidRPr="00633873" w:rsidRDefault="001E7EFF"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
          <w:p w14:paraId="70E59076" w14:textId="0753EB3C"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(N</w:t>
            </w:r>
            <w:r w:rsidR="001E7EFF" w:rsidRPr="00633873">
              <w:rPr>
                <w:rFonts w:ascii="Times New Roman" w:eastAsia="Times New Roman" w:hAnsi="Times New Roman" w:cs="Times New Roman"/>
                <w:b/>
                <w:snapToGrid w:val="0"/>
                <w:lang w:eastAsia="da-DK"/>
              </w:rPr>
              <w:t> </w:t>
            </w:r>
            <w:r w:rsidRPr="009F7541">
              <w:rPr>
                <w:rFonts w:ascii="Times New Roman" w:eastAsia="Times New Roman" w:hAnsi="Times New Roman" w:cs="Times New Roman"/>
                <w:b/>
                <w:snapToGrid w:val="0"/>
                <w:lang w:eastAsia="da-DK"/>
              </w:rPr>
              <w:t>=</w:t>
            </w:r>
            <w:r w:rsidR="001E7EFF" w:rsidRPr="00633873">
              <w:rPr>
                <w:rFonts w:ascii="Times New Roman" w:eastAsia="Times New Roman" w:hAnsi="Times New Roman" w:cs="Times New Roman"/>
                <w:b/>
                <w:snapToGrid w:val="0"/>
                <w:lang w:eastAsia="da-DK"/>
              </w:rPr>
              <w:t> </w:t>
            </w:r>
            <w:r w:rsidRPr="009F7541">
              <w:rPr>
                <w:rFonts w:ascii="Times New Roman" w:eastAsia="Times New Roman" w:hAnsi="Times New Roman" w:cs="Times New Roman"/>
                <w:b/>
                <w:snapToGrid w:val="0"/>
                <w:lang w:eastAsia="da-DK"/>
              </w:rPr>
              <w:t>126)</w:t>
            </w:r>
          </w:p>
        </w:tc>
        <w:tc>
          <w:tcPr>
            <w:tcW w:w="1552" w:type="dxa"/>
          </w:tcPr>
          <w:p w14:paraId="31E40344" w14:textId="3B17127C"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roofErr w:type="spellStart"/>
            <w:r w:rsidRPr="009F7541">
              <w:rPr>
                <w:rFonts w:ascii="Times New Roman" w:eastAsia="Times New Roman" w:hAnsi="Times New Roman" w:cs="Times New Roman"/>
                <w:b/>
                <w:snapToGrid w:val="0"/>
                <w:lang w:eastAsia="da-DK"/>
              </w:rPr>
              <w:t>Tadalafilio</w:t>
            </w:r>
            <w:proofErr w:type="spellEnd"/>
            <w:r w:rsidRPr="009F7541">
              <w:rPr>
                <w:rFonts w:ascii="Times New Roman" w:eastAsia="Times New Roman" w:hAnsi="Times New Roman" w:cs="Times New Roman"/>
                <w:b/>
                <w:snapToGrid w:val="0"/>
                <w:lang w:eastAsia="da-DK"/>
              </w:rPr>
              <w:t xml:space="preserve"> </w:t>
            </w:r>
            <w:proofErr w:type="spellStart"/>
            <w:r w:rsidRPr="009F7541">
              <w:rPr>
                <w:rFonts w:ascii="Times New Roman" w:eastAsia="Times New Roman" w:hAnsi="Times New Roman" w:cs="Times New Roman"/>
                <w:b/>
                <w:snapToGrid w:val="0"/>
                <w:lang w:eastAsia="da-DK"/>
              </w:rPr>
              <w:t>monoterapija</w:t>
            </w:r>
            <w:proofErr w:type="spellEnd"/>
          </w:p>
          <w:p w14:paraId="7F2CF416" w14:textId="77777777" w:rsidR="001E7EFF" w:rsidRPr="009F7541" w:rsidRDefault="001E7EFF"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p>
          <w:p w14:paraId="135E200C" w14:textId="4CCFA681"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(N</w:t>
            </w:r>
            <w:r w:rsidR="001E7EFF" w:rsidRPr="00633873">
              <w:rPr>
                <w:rFonts w:ascii="Times New Roman" w:eastAsia="Times New Roman" w:hAnsi="Times New Roman" w:cs="Times New Roman"/>
                <w:b/>
                <w:snapToGrid w:val="0"/>
                <w:lang w:eastAsia="da-DK"/>
              </w:rPr>
              <w:t> </w:t>
            </w:r>
            <w:r w:rsidRPr="009F7541">
              <w:rPr>
                <w:rFonts w:ascii="Times New Roman" w:eastAsia="Times New Roman" w:hAnsi="Times New Roman" w:cs="Times New Roman"/>
                <w:b/>
                <w:snapToGrid w:val="0"/>
                <w:lang w:eastAsia="da-DK"/>
              </w:rPr>
              <w:t>=</w:t>
            </w:r>
            <w:r w:rsidR="001E7EFF" w:rsidRPr="00633873">
              <w:rPr>
                <w:rFonts w:ascii="Times New Roman" w:eastAsia="Times New Roman" w:hAnsi="Times New Roman" w:cs="Times New Roman"/>
                <w:b/>
                <w:snapToGrid w:val="0"/>
                <w:lang w:eastAsia="da-DK"/>
              </w:rPr>
              <w:t xml:space="preserve"> </w:t>
            </w:r>
            <w:r w:rsidRPr="009F7541">
              <w:rPr>
                <w:rFonts w:ascii="Times New Roman" w:eastAsia="Times New Roman" w:hAnsi="Times New Roman" w:cs="Times New Roman"/>
                <w:b/>
                <w:snapToGrid w:val="0"/>
                <w:lang w:eastAsia="da-DK"/>
              </w:rPr>
              <w:t>121)</w:t>
            </w:r>
          </w:p>
        </w:tc>
      </w:tr>
      <w:tr w:rsidR="00A35A18" w:rsidRPr="00683000" w14:paraId="28D33743" w14:textId="77777777" w:rsidTr="009F7541">
        <w:tc>
          <w:tcPr>
            <w:tcW w:w="9060" w:type="dxa"/>
            <w:gridSpan w:val="5"/>
          </w:tcPr>
          <w:p w14:paraId="29B53C33" w14:textId="77777777" w:rsidR="00A35A18" w:rsidRPr="009F7541"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Laikotarpis iki pirmojo klinikinės nesėkmės reiškinio (patvirtinto)</w:t>
            </w:r>
          </w:p>
        </w:tc>
      </w:tr>
      <w:tr w:rsidR="00A35A18" w:rsidRPr="00633873" w14:paraId="460C440A" w14:textId="77777777" w:rsidTr="009F7541">
        <w:tc>
          <w:tcPr>
            <w:tcW w:w="2719" w:type="dxa"/>
          </w:tcPr>
          <w:p w14:paraId="49FBCACC"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Klinikinė nesėkmė, atvejų skaičius (%)</w:t>
            </w:r>
          </w:p>
        </w:tc>
        <w:tc>
          <w:tcPr>
            <w:tcW w:w="1720" w:type="dxa"/>
            <w:vAlign w:val="center"/>
          </w:tcPr>
          <w:p w14:paraId="5B9FDC8F" w14:textId="0FA0831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46 (18)</w:t>
            </w:r>
          </w:p>
        </w:tc>
        <w:tc>
          <w:tcPr>
            <w:tcW w:w="1573" w:type="dxa"/>
            <w:vAlign w:val="center"/>
          </w:tcPr>
          <w:p w14:paraId="1EDD3BBC" w14:textId="1BD1C6E0"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77 (31)</w:t>
            </w:r>
          </w:p>
        </w:tc>
        <w:tc>
          <w:tcPr>
            <w:tcW w:w="1496" w:type="dxa"/>
            <w:vAlign w:val="center"/>
          </w:tcPr>
          <w:p w14:paraId="28495059"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43 (34)</w:t>
            </w:r>
          </w:p>
        </w:tc>
        <w:tc>
          <w:tcPr>
            <w:tcW w:w="1552" w:type="dxa"/>
            <w:vAlign w:val="center"/>
          </w:tcPr>
          <w:p w14:paraId="1F9C30E3"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34 (28)</w:t>
            </w:r>
          </w:p>
        </w:tc>
      </w:tr>
      <w:tr w:rsidR="00A35A18" w:rsidRPr="00633873" w14:paraId="7924C3D5" w14:textId="77777777" w:rsidTr="009F7541">
        <w:tc>
          <w:tcPr>
            <w:tcW w:w="2719" w:type="dxa"/>
            <w:vAlign w:val="center"/>
          </w:tcPr>
          <w:p w14:paraId="5F9B09B9"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Rizikos santykis (95 % PI)</w:t>
            </w:r>
          </w:p>
        </w:tc>
        <w:tc>
          <w:tcPr>
            <w:tcW w:w="1720" w:type="dxa"/>
            <w:vAlign w:val="center"/>
          </w:tcPr>
          <w:p w14:paraId="59D0F318"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p>
        </w:tc>
        <w:tc>
          <w:tcPr>
            <w:tcW w:w="1573" w:type="dxa"/>
            <w:vAlign w:val="center"/>
          </w:tcPr>
          <w:p w14:paraId="400AC758"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0,502</w:t>
            </w:r>
          </w:p>
          <w:p w14:paraId="788E5CD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(0,348, 0,724)</w:t>
            </w:r>
          </w:p>
        </w:tc>
        <w:tc>
          <w:tcPr>
            <w:tcW w:w="1496" w:type="dxa"/>
            <w:vAlign w:val="center"/>
          </w:tcPr>
          <w:p w14:paraId="088BED09"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0,477</w:t>
            </w:r>
          </w:p>
          <w:p w14:paraId="7B1138C6"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(0,314, 0,723)</w:t>
            </w:r>
          </w:p>
        </w:tc>
        <w:tc>
          <w:tcPr>
            <w:tcW w:w="1552" w:type="dxa"/>
            <w:vAlign w:val="center"/>
          </w:tcPr>
          <w:p w14:paraId="5EBC0135"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0,528</w:t>
            </w:r>
          </w:p>
          <w:p w14:paraId="6D874311"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(0,338, 0,827)</w:t>
            </w:r>
          </w:p>
        </w:tc>
      </w:tr>
      <w:tr w:rsidR="00A35A18" w:rsidRPr="00633873" w14:paraId="14DE68E0" w14:textId="77777777" w:rsidTr="009F7541">
        <w:tc>
          <w:tcPr>
            <w:tcW w:w="2719" w:type="dxa"/>
          </w:tcPr>
          <w:p w14:paraId="1279A882"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P rodmuo, </w:t>
            </w:r>
            <w:proofErr w:type="spellStart"/>
            <w:r w:rsidRPr="00633873">
              <w:rPr>
                <w:rFonts w:ascii="Times New Roman" w:eastAsia="Times New Roman" w:hAnsi="Times New Roman" w:cs="Times New Roman"/>
                <w:i/>
                <w:iCs/>
                <w:snapToGrid w:val="0"/>
                <w:lang w:eastAsia="da-DK"/>
              </w:rPr>
              <w:t>Log-rank</w:t>
            </w:r>
            <w:proofErr w:type="spellEnd"/>
            <w:r w:rsidRPr="00633873">
              <w:rPr>
                <w:rFonts w:ascii="Times New Roman" w:eastAsia="Times New Roman" w:hAnsi="Times New Roman" w:cs="Times New Roman"/>
                <w:snapToGrid w:val="0"/>
                <w:lang w:eastAsia="da-DK"/>
              </w:rPr>
              <w:t xml:space="preserve"> testas</w:t>
            </w:r>
          </w:p>
        </w:tc>
        <w:tc>
          <w:tcPr>
            <w:tcW w:w="1720" w:type="dxa"/>
            <w:vAlign w:val="center"/>
          </w:tcPr>
          <w:p w14:paraId="60424CE1"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p>
        </w:tc>
        <w:tc>
          <w:tcPr>
            <w:tcW w:w="1573" w:type="dxa"/>
            <w:vAlign w:val="center"/>
          </w:tcPr>
          <w:p w14:paraId="6A8C42C8"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0,0002</w:t>
            </w:r>
          </w:p>
        </w:tc>
        <w:tc>
          <w:tcPr>
            <w:tcW w:w="1496" w:type="dxa"/>
            <w:vAlign w:val="center"/>
          </w:tcPr>
          <w:p w14:paraId="21EAD3D7"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0,0004</w:t>
            </w:r>
          </w:p>
        </w:tc>
        <w:tc>
          <w:tcPr>
            <w:tcW w:w="1552" w:type="dxa"/>
            <w:vAlign w:val="center"/>
          </w:tcPr>
          <w:p w14:paraId="48CDA92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0,0045</w:t>
            </w:r>
          </w:p>
        </w:tc>
      </w:tr>
      <w:tr w:rsidR="00A35A18" w:rsidRPr="00683000" w14:paraId="0A3ECD8C" w14:textId="77777777" w:rsidTr="009F7541">
        <w:tc>
          <w:tcPr>
            <w:tcW w:w="9060" w:type="dxa"/>
            <w:gridSpan w:val="5"/>
          </w:tcPr>
          <w:p w14:paraId="336A25F4" w14:textId="77777777" w:rsidR="00A35A18" w:rsidRPr="009F7541"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Pirmojo klinikinės nesėkmės reiškinio sudedamoji dalis (patvirtinta)</w:t>
            </w:r>
          </w:p>
        </w:tc>
      </w:tr>
      <w:tr w:rsidR="00A35A18" w:rsidRPr="00633873" w14:paraId="5C1DCA87" w14:textId="77777777" w:rsidTr="009F7541">
        <w:tc>
          <w:tcPr>
            <w:tcW w:w="2719" w:type="dxa"/>
          </w:tcPr>
          <w:p w14:paraId="26602769"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Mirtis (visos priežastys)</w:t>
            </w:r>
          </w:p>
        </w:tc>
        <w:tc>
          <w:tcPr>
            <w:tcW w:w="1720" w:type="dxa"/>
          </w:tcPr>
          <w:p w14:paraId="51D4BFC9"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9 (4 %)</w:t>
            </w:r>
          </w:p>
        </w:tc>
        <w:tc>
          <w:tcPr>
            <w:tcW w:w="1573" w:type="dxa"/>
          </w:tcPr>
          <w:p w14:paraId="69CE5749"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8 (3 %)</w:t>
            </w:r>
          </w:p>
        </w:tc>
        <w:tc>
          <w:tcPr>
            <w:tcW w:w="1496" w:type="dxa"/>
          </w:tcPr>
          <w:p w14:paraId="2BF7807C" w14:textId="6D1DC9E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2 (2</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w:t>
            </w:r>
          </w:p>
        </w:tc>
        <w:tc>
          <w:tcPr>
            <w:tcW w:w="1552" w:type="dxa"/>
          </w:tcPr>
          <w:p w14:paraId="5108DD47" w14:textId="7019A6EF"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6 (5</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 xml:space="preserve">) </w:t>
            </w:r>
          </w:p>
        </w:tc>
      </w:tr>
      <w:tr w:rsidR="00A35A18" w:rsidRPr="00633873" w14:paraId="29CC6661" w14:textId="77777777" w:rsidTr="009F7541">
        <w:tc>
          <w:tcPr>
            <w:tcW w:w="2719" w:type="dxa"/>
            <w:vAlign w:val="bottom"/>
          </w:tcPr>
          <w:p w14:paraId="7DEF7FCC" w14:textId="77777777" w:rsidR="00A35A18" w:rsidRPr="00633873" w:rsidRDefault="0031351D"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Hospitalizavimas</w:t>
            </w:r>
            <w:r w:rsidR="00A35A18" w:rsidRPr="00633873">
              <w:rPr>
                <w:rFonts w:ascii="Times New Roman" w:eastAsia="Times New Roman" w:hAnsi="Times New Roman" w:cs="Times New Roman"/>
                <w:snapToGrid w:val="0"/>
                <w:lang w:eastAsia="da-DK"/>
              </w:rPr>
              <w:t xml:space="preserve"> dėl PH pasunkėjimo</w:t>
            </w:r>
          </w:p>
        </w:tc>
        <w:tc>
          <w:tcPr>
            <w:tcW w:w="1720" w:type="dxa"/>
          </w:tcPr>
          <w:p w14:paraId="68069E6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10 (4 %)</w:t>
            </w:r>
          </w:p>
        </w:tc>
        <w:tc>
          <w:tcPr>
            <w:tcW w:w="1573" w:type="dxa"/>
          </w:tcPr>
          <w:p w14:paraId="60F6F76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30 (12 %)</w:t>
            </w:r>
          </w:p>
        </w:tc>
        <w:tc>
          <w:tcPr>
            <w:tcW w:w="1496" w:type="dxa"/>
          </w:tcPr>
          <w:p w14:paraId="7D7D4603" w14:textId="1571A578"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18 (14</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w:t>
            </w:r>
          </w:p>
        </w:tc>
        <w:tc>
          <w:tcPr>
            <w:tcW w:w="1552" w:type="dxa"/>
          </w:tcPr>
          <w:p w14:paraId="49F3D202" w14:textId="66EDE7B2"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12 (10</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w:t>
            </w:r>
          </w:p>
        </w:tc>
      </w:tr>
      <w:tr w:rsidR="00A35A18" w:rsidRPr="00633873" w14:paraId="008EC18E" w14:textId="77777777" w:rsidTr="009F7541">
        <w:tc>
          <w:tcPr>
            <w:tcW w:w="2719" w:type="dxa"/>
          </w:tcPr>
          <w:p w14:paraId="21804DF0"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Ligos progresavimas</w:t>
            </w:r>
          </w:p>
        </w:tc>
        <w:tc>
          <w:tcPr>
            <w:tcW w:w="1720" w:type="dxa"/>
          </w:tcPr>
          <w:p w14:paraId="523ABA97"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10 (4 %)</w:t>
            </w:r>
          </w:p>
        </w:tc>
        <w:tc>
          <w:tcPr>
            <w:tcW w:w="1573" w:type="dxa"/>
          </w:tcPr>
          <w:p w14:paraId="32151ADB"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16 (6 %)</w:t>
            </w:r>
          </w:p>
        </w:tc>
        <w:tc>
          <w:tcPr>
            <w:tcW w:w="1496" w:type="dxa"/>
          </w:tcPr>
          <w:p w14:paraId="6EB421E4" w14:textId="2CF3F13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12 (10</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w:t>
            </w:r>
          </w:p>
        </w:tc>
        <w:tc>
          <w:tcPr>
            <w:tcW w:w="1552" w:type="dxa"/>
          </w:tcPr>
          <w:p w14:paraId="0F851BF8" w14:textId="6EEAE246"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4 (3</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w:t>
            </w:r>
          </w:p>
        </w:tc>
      </w:tr>
      <w:tr w:rsidR="00A35A18" w:rsidRPr="00633873" w14:paraId="43BEFCEC" w14:textId="77777777" w:rsidTr="009F7541">
        <w:tc>
          <w:tcPr>
            <w:tcW w:w="2719" w:type="dxa"/>
            <w:vAlign w:val="bottom"/>
          </w:tcPr>
          <w:p w14:paraId="7FA40A7F"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Nepatenkinamas ilgalaikis klinikinis atsakas</w:t>
            </w:r>
          </w:p>
        </w:tc>
        <w:tc>
          <w:tcPr>
            <w:tcW w:w="1720" w:type="dxa"/>
          </w:tcPr>
          <w:p w14:paraId="5333A6E5"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17 (7 %)</w:t>
            </w:r>
          </w:p>
        </w:tc>
        <w:tc>
          <w:tcPr>
            <w:tcW w:w="1573" w:type="dxa"/>
          </w:tcPr>
          <w:p w14:paraId="7F966ED6"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23 (9 %)</w:t>
            </w:r>
          </w:p>
        </w:tc>
        <w:tc>
          <w:tcPr>
            <w:tcW w:w="1496" w:type="dxa"/>
          </w:tcPr>
          <w:p w14:paraId="49270B2B" w14:textId="2F935A63"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11 (9</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w:t>
            </w:r>
          </w:p>
        </w:tc>
        <w:tc>
          <w:tcPr>
            <w:tcW w:w="1552" w:type="dxa"/>
          </w:tcPr>
          <w:p w14:paraId="79E43B2C" w14:textId="28435FA3"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12 (10</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w:t>
            </w:r>
          </w:p>
        </w:tc>
      </w:tr>
      <w:tr w:rsidR="00A35A18" w:rsidRPr="00683000" w14:paraId="5846B648" w14:textId="77777777" w:rsidTr="009F7541">
        <w:tc>
          <w:tcPr>
            <w:tcW w:w="9060" w:type="dxa"/>
            <w:gridSpan w:val="5"/>
          </w:tcPr>
          <w:p w14:paraId="10F9BFFB" w14:textId="77777777" w:rsidR="00A35A18" w:rsidRPr="009F7541"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snapToGrid w:val="0"/>
                <w:lang w:eastAsia="da-DK"/>
              </w:rPr>
            </w:pPr>
            <w:r w:rsidRPr="009F7541">
              <w:rPr>
                <w:rFonts w:ascii="Times New Roman" w:eastAsia="Times New Roman" w:hAnsi="Times New Roman" w:cs="Times New Roman"/>
                <w:b/>
                <w:snapToGrid w:val="0"/>
                <w:lang w:eastAsia="da-DK"/>
              </w:rPr>
              <w:t xml:space="preserve">Laikotarpis iki pirmojo </w:t>
            </w:r>
            <w:r w:rsidR="0031351D" w:rsidRPr="009F7541">
              <w:rPr>
                <w:rFonts w:ascii="Times New Roman" w:eastAsia="Times New Roman" w:hAnsi="Times New Roman" w:cs="Times New Roman"/>
                <w:b/>
                <w:snapToGrid w:val="0"/>
                <w:lang w:eastAsia="da-DK"/>
              </w:rPr>
              <w:t>hospitalizavimo</w:t>
            </w:r>
            <w:r w:rsidRPr="009F7541">
              <w:rPr>
                <w:rFonts w:ascii="Times New Roman" w:eastAsia="Times New Roman" w:hAnsi="Times New Roman" w:cs="Times New Roman"/>
                <w:b/>
                <w:snapToGrid w:val="0"/>
                <w:lang w:eastAsia="da-DK"/>
              </w:rPr>
              <w:t xml:space="preserve"> dėl PH pasunkėjimo atvejo (patvirtinto)</w:t>
            </w:r>
          </w:p>
        </w:tc>
      </w:tr>
      <w:tr w:rsidR="00A35A18" w:rsidRPr="00633873" w14:paraId="13572929" w14:textId="77777777" w:rsidTr="009F7541">
        <w:tc>
          <w:tcPr>
            <w:tcW w:w="2719" w:type="dxa"/>
          </w:tcPr>
          <w:p w14:paraId="2BCBC78B"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Pirmasis </w:t>
            </w:r>
            <w:r w:rsidR="0031351D" w:rsidRPr="00633873">
              <w:rPr>
                <w:rFonts w:ascii="Times New Roman" w:eastAsia="Times New Roman" w:hAnsi="Times New Roman" w:cs="Times New Roman"/>
                <w:snapToGrid w:val="0"/>
                <w:lang w:eastAsia="da-DK"/>
              </w:rPr>
              <w:t>hospitalizavimas</w:t>
            </w:r>
            <w:r w:rsidRPr="00633873">
              <w:rPr>
                <w:rFonts w:ascii="Times New Roman" w:eastAsia="Times New Roman" w:hAnsi="Times New Roman" w:cs="Times New Roman"/>
                <w:snapToGrid w:val="0"/>
                <w:lang w:eastAsia="da-DK"/>
              </w:rPr>
              <w:t>, atvejų skaičius (%)</w:t>
            </w:r>
          </w:p>
        </w:tc>
        <w:tc>
          <w:tcPr>
            <w:tcW w:w="1720" w:type="dxa"/>
          </w:tcPr>
          <w:p w14:paraId="43B2DBBD"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19 (8 %)</w:t>
            </w:r>
          </w:p>
        </w:tc>
        <w:tc>
          <w:tcPr>
            <w:tcW w:w="1573" w:type="dxa"/>
          </w:tcPr>
          <w:p w14:paraId="3FA4BD00"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44 (18 %)</w:t>
            </w:r>
          </w:p>
        </w:tc>
        <w:tc>
          <w:tcPr>
            <w:tcW w:w="1496" w:type="dxa"/>
          </w:tcPr>
          <w:p w14:paraId="2DF36C96"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27 (21 %)</w:t>
            </w:r>
          </w:p>
        </w:tc>
        <w:tc>
          <w:tcPr>
            <w:tcW w:w="1552" w:type="dxa"/>
          </w:tcPr>
          <w:p w14:paraId="6E998A2F"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17 (14 %)</w:t>
            </w:r>
          </w:p>
        </w:tc>
      </w:tr>
      <w:tr w:rsidR="00A35A18" w:rsidRPr="00633873" w14:paraId="0C8DDBB0" w14:textId="77777777" w:rsidTr="009F7541">
        <w:tc>
          <w:tcPr>
            <w:tcW w:w="2719" w:type="dxa"/>
          </w:tcPr>
          <w:p w14:paraId="11D2B595"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Rizikos santykis (95 % PI)</w:t>
            </w:r>
          </w:p>
        </w:tc>
        <w:tc>
          <w:tcPr>
            <w:tcW w:w="1720" w:type="dxa"/>
          </w:tcPr>
          <w:p w14:paraId="5B8CC4A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 </w:t>
            </w:r>
          </w:p>
        </w:tc>
        <w:tc>
          <w:tcPr>
            <w:tcW w:w="1573" w:type="dxa"/>
          </w:tcPr>
          <w:p w14:paraId="42605AD6"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0,372</w:t>
            </w:r>
          </w:p>
        </w:tc>
        <w:tc>
          <w:tcPr>
            <w:tcW w:w="1496" w:type="dxa"/>
          </w:tcPr>
          <w:p w14:paraId="0589915F"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0,323</w:t>
            </w:r>
          </w:p>
        </w:tc>
        <w:tc>
          <w:tcPr>
            <w:tcW w:w="1552" w:type="dxa"/>
          </w:tcPr>
          <w:p w14:paraId="099AA3E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0,442</w:t>
            </w:r>
          </w:p>
        </w:tc>
      </w:tr>
      <w:tr w:rsidR="00A35A18" w:rsidRPr="00633873" w14:paraId="57334616" w14:textId="77777777" w:rsidTr="009F7541">
        <w:tc>
          <w:tcPr>
            <w:tcW w:w="2719" w:type="dxa"/>
          </w:tcPr>
          <w:p w14:paraId="3931A676"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P rodmuo, </w:t>
            </w:r>
            <w:proofErr w:type="spellStart"/>
            <w:r w:rsidRPr="00633873">
              <w:rPr>
                <w:rFonts w:ascii="Times New Roman" w:eastAsia="Times New Roman" w:hAnsi="Times New Roman" w:cs="Times New Roman"/>
                <w:i/>
                <w:iCs/>
                <w:snapToGrid w:val="0"/>
                <w:lang w:eastAsia="da-DK"/>
              </w:rPr>
              <w:t>Log-rank</w:t>
            </w:r>
            <w:proofErr w:type="spellEnd"/>
            <w:r w:rsidRPr="00633873">
              <w:rPr>
                <w:rFonts w:ascii="Times New Roman" w:eastAsia="Times New Roman" w:hAnsi="Times New Roman" w:cs="Times New Roman"/>
                <w:snapToGrid w:val="0"/>
                <w:lang w:eastAsia="da-DK"/>
              </w:rPr>
              <w:t xml:space="preserve"> testas</w:t>
            </w:r>
          </w:p>
        </w:tc>
        <w:tc>
          <w:tcPr>
            <w:tcW w:w="1720" w:type="dxa"/>
          </w:tcPr>
          <w:p w14:paraId="40CBC73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 </w:t>
            </w:r>
          </w:p>
        </w:tc>
        <w:tc>
          <w:tcPr>
            <w:tcW w:w="1573" w:type="dxa"/>
          </w:tcPr>
          <w:p w14:paraId="64A5AA3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0,0002</w:t>
            </w:r>
          </w:p>
        </w:tc>
        <w:tc>
          <w:tcPr>
            <w:tcW w:w="1496" w:type="dxa"/>
          </w:tcPr>
          <w:p w14:paraId="427F229F"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&lt;0,0001</w:t>
            </w:r>
          </w:p>
        </w:tc>
        <w:tc>
          <w:tcPr>
            <w:tcW w:w="1552" w:type="dxa"/>
          </w:tcPr>
          <w:p w14:paraId="225FFB2A"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0,0124</w:t>
            </w:r>
          </w:p>
        </w:tc>
      </w:tr>
    </w:tbl>
    <w:p w14:paraId="65148CF0"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p>
    <w:p w14:paraId="606FAFF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i/>
          <w:snapToGrid w:val="0"/>
          <w:u w:val="single"/>
          <w:lang w:eastAsia="da-DK"/>
        </w:rPr>
        <w:t>Antrinės vertinamosios baigtys</w:t>
      </w:r>
    </w:p>
    <w:p w14:paraId="37BDD22C"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Buvo įvertintos toliau nurodytos antrinės vertinamosios baigtys.</w:t>
      </w:r>
    </w:p>
    <w:p w14:paraId="0834B41C"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p>
    <w:p w14:paraId="68EE4CA4" w14:textId="77777777" w:rsidR="00A35A18" w:rsidRPr="00633873" w:rsidRDefault="00A35A18" w:rsidP="009F7541">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2 lentelė</w:t>
      </w:r>
    </w:p>
    <w:p w14:paraId="18FF31CE" w14:textId="77777777" w:rsidR="00FB5D03" w:rsidRPr="00633873" w:rsidRDefault="00FB5D03" w:rsidP="009F7541">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466"/>
        <w:gridCol w:w="1566"/>
        <w:gridCol w:w="1620"/>
        <w:gridCol w:w="2252"/>
        <w:gridCol w:w="1134"/>
      </w:tblGrid>
      <w:tr w:rsidR="00A35A18" w:rsidRPr="00633873" w14:paraId="21A976F3" w14:textId="77777777" w:rsidTr="002D3ECE">
        <w:trPr>
          <w:trHeight w:val="533"/>
        </w:trPr>
        <w:tc>
          <w:tcPr>
            <w:tcW w:w="2466" w:type="dxa"/>
            <w:vAlign w:val="center"/>
          </w:tcPr>
          <w:p w14:paraId="112679D7"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Antrinės vertinamosios baigtys (pokytis 24 savaitę, palyginti su pradiniu rodmeniu)</w:t>
            </w:r>
          </w:p>
        </w:tc>
        <w:tc>
          <w:tcPr>
            <w:tcW w:w="1566" w:type="dxa"/>
            <w:vAlign w:val="center"/>
          </w:tcPr>
          <w:p w14:paraId="0C1CE3F5"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Cs/>
                <w:snapToGrid w:val="0"/>
                <w:lang w:eastAsia="da-DK"/>
              </w:rPr>
            </w:pPr>
            <w:proofErr w:type="spellStart"/>
            <w:r w:rsidRPr="00633873">
              <w:rPr>
                <w:rFonts w:ascii="Times New Roman" w:eastAsia="Times New Roman" w:hAnsi="Times New Roman" w:cs="Times New Roman"/>
                <w:bCs/>
                <w:snapToGrid w:val="0"/>
                <w:lang w:eastAsia="da-DK"/>
              </w:rPr>
              <w:t>Ambrisentanas</w:t>
            </w:r>
            <w:proofErr w:type="spellEnd"/>
            <w:r w:rsidRPr="00633873">
              <w:rPr>
                <w:rFonts w:ascii="Times New Roman" w:eastAsia="Times New Roman" w:hAnsi="Times New Roman" w:cs="Times New Roman"/>
                <w:bCs/>
                <w:snapToGrid w:val="0"/>
                <w:lang w:eastAsia="da-DK"/>
              </w:rPr>
              <w:t xml:space="preserve"> + </w:t>
            </w:r>
            <w:proofErr w:type="spellStart"/>
            <w:r w:rsidRPr="00633873">
              <w:rPr>
                <w:rFonts w:ascii="Times New Roman" w:eastAsia="Times New Roman" w:hAnsi="Times New Roman" w:cs="Times New Roman"/>
                <w:bCs/>
                <w:snapToGrid w:val="0"/>
                <w:lang w:eastAsia="da-DK"/>
              </w:rPr>
              <w:t>tadalafilis</w:t>
            </w:r>
            <w:proofErr w:type="spellEnd"/>
          </w:p>
        </w:tc>
        <w:tc>
          <w:tcPr>
            <w:tcW w:w="1620" w:type="dxa"/>
            <w:vAlign w:val="center"/>
          </w:tcPr>
          <w:p w14:paraId="4B61DFFB"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Cs/>
                <w:snapToGrid w:val="0"/>
                <w:lang w:eastAsia="da-DK"/>
              </w:rPr>
            </w:pPr>
            <w:r w:rsidRPr="00633873">
              <w:rPr>
                <w:rFonts w:ascii="Times New Roman" w:eastAsia="Times New Roman" w:hAnsi="Times New Roman" w:cs="Times New Roman"/>
                <w:bCs/>
                <w:snapToGrid w:val="0"/>
                <w:lang w:eastAsia="da-DK"/>
              </w:rPr>
              <w:t xml:space="preserve">Jungtiniai </w:t>
            </w:r>
            <w:proofErr w:type="spellStart"/>
            <w:r w:rsidRPr="00633873">
              <w:rPr>
                <w:rFonts w:ascii="Times New Roman" w:eastAsia="Times New Roman" w:hAnsi="Times New Roman" w:cs="Times New Roman"/>
                <w:bCs/>
                <w:snapToGrid w:val="0"/>
                <w:lang w:eastAsia="da-DK"/>
              </w:rPr>
              <w:t>monoterapijos</w:t>
            </w:r>
            <w:proofErr w:type="spellEnd"/>
            <w:r w:rsidRPr="00633873">
              <w:rPr>
                <w:rFonts w:ascii="Times New Roman" w:eastAsia="Times New Roman" w:hAnsi="Times New Roman" w:cs="Times New Roman"/>
                <w:bCs/>
                <w:snapToGrid w:val="0"/>
                <w:lang w:eastAsia="da-DK"/>
              </w:rPr>
              <w:t xml:space="preserve"> duomenys</w:t>
            </w:r>
          </w:p>
        </w:tc>
        <w:tc>
          <w:tcPr>
            <w:tcW w:w="2252" w:type="dxa"/>
            <w:vAlign w:val="center"/>
          </w:tcPr>
          <w:p w14:paraId="04DA7FF2"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Skirtumas ir </w:t>
            </w:r>
            <w:proofErr w:type="spellStart"/>
            <w:r w:rsidRPr="00633873">
              <w:rPr>
                <w:rFonts w:ascii="Times New Roman" w:eastAsia="Times New Roman" w:hAnsi="Times New Roman" w:cs="Times New Roman"/>
                <w:snapToGrid w:val="0"/>
                <w:lang w:eastAsia="da-DK"/>
              </w:rPr>
              <w:t>pasikliautinasis</w:t>
            </w:r>
            <w:proofErr w:type="spellEnd"/>
            <w:r w:rsidRPr="00633873">
              <w:rPr>
                <w:rFonts w:ascii="Times New Roman" w:eastAsia="Times New Roman" w:hAnsi="Times New Roman" w:cs="Times New Roman"/>
                <w:snapToGrid w:val="0"/>
                <w:lang w:eastAsia="da-DK"/>
              </w:rPr>
              <w:t xml:space="preserve"> intervalas</w:t>
            </w:r>
          </w:p>
        </w:tc>
        <w:tc>
          <w:tcPr>
            <w:tcW w:w="1134" w:type="dxa"/>
            <w:vAlign w:val="center"/>
          </w:tcPr>
          <w:p w14:paraId="4D6B1FA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p rodmuo</w:t>
            </w:r>
          </w:p>
        </w:tc>
      </w:tr>
      <w:tr w:rsidR="00A35A18" w:rsidRPr="00633873" w14:paraId="03C01CA3" w14:textId="77777777" w:rsidTr="002D3ECE">
        <w:trPr>
          <w:trHeight w:val="388"/>
        </w:trPr>
        <w:tc>
          <w:tcPr>
            <w:tcW w:w="2466" w:type="dxa"/>
            <w:vAlign w:val="center"/>
          </w:tcPr>
          <w:p w14:paraId="7D450DBC"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NT-</w:t>
            </w:r>
            <w:proofErr w:type="spellStart"/>
            <w:r w:rsidRPr="00633873">
              <w:rPr>
                <w:rFonts w:ascii="Times New Roman" w:eastAsia="Times New Roman" w:hAnsi="Times New Roman" w:cs="Times New Roman"/>
                <w:snapToGrid w:val="0"/>
                <w:lang w:eastAsia="da-DK"/>
              </w:rPr>
              <w:t>proBNP</w:t>
            </w:r>
            <w:proofErr w:type="spellEnd"/>
            <w:r w:rsidRPr="00633873">
              <w:rPr>
                <w:rFonts w:ascii="Times New Roman" w:eastAsia="Times New Roman" w:hAnsi="Times New Roman" w:cs="Times New Roman"/>
                <w:snapToGrid w:val="0"/>
                <w:lang w:eastAsia="da-DK"/>
              </w:rPr>
              <w:t xml:space="preserve"> (% sumažėjimas) </w:t>
            </w:r>
          </w:p>
        </w:tc>
        <w:tc>
          <w:tcPr>
            <w:tcW w:w="1566" w:type="dxa"/>
            <w:vAlign w:val="center"/>
          </w:tcPr>
          <w:p w14:paraId="5D2CCDBF"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-67,2</w:t>
            </w:r>
          </w:p>
        </w:tc>
        <w:tc>
          <w:tcPr>
            <w:tcW w:w="1620" w:type="dxa"/>
            <w:vAlign w:val="center"/>
          </w:tcPr>
          <w:p w14:paraId="1ADDFA52"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-50,4</w:t>
            </w:r>
          </w:p>
        </w:tc>
        <w:tc>
          <w:tcPr>
            <w:tcW w:w="2252" w:type="dxa"/>
            <w:vAlign w:val="center"/>
          </w:tcPr>
          <w:p w14:paraId="50D8DEC6"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 </w:t>
            </w:r>
            <w:r w:rsidRPr="00633873">
              <w:rPr>
                <w:rFonts w:ascii="Times New Roman" w:eastAsia="Times New Roman" w:hAnsi="Times New Roman" w:cs="Arial"/>
                <w:snapToGrid w:val="0"/>
              </w:rPr>
              <w:t>skirtumas</w:t>
            </w:r>
            <w:r w:rsidRPr="00633873">
              <w:rPr>
                <w:rFonts w:ascii="Times New Roman" w:eastAsia="Times New Roman" w:hAnsi="Times New Roman" w:cs="Times New Roman"/>
                <w:snapToGrid w:val="0"/>
                <w:lang w:eastAsia="da-DK"/>
              </w:rPr>
              <w:t xml:space="preserve"> -33,8; 95 % PI: -44,8, -20,7</w:t>
            </w:r>
          </w:p>
        </w:tc>
        <w:tc>
          <w:tcPr>
            <w:tcW w:w="1134" w:type="dxa"/>
            <w:vAlign w:val="center"/>
          </w:tcPr>
          <w:p w14:paraId="2AE73A9B" w14:textId="59C737B8" w:rsidR="00A35A18" w:rsidRPr="00633873" w:rsidRDefault="001E7EFF"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p </w:t>
            </w:r>
            <w:r w:rsidR="00A35A18" w:rsidRPr="00633873">
              <w:rPr>
                <w:rFonts w:ascii="Times New Roman" w:eastAsia="Times New Roman" w:hAnsi="Times New Roman" w:cs="Times New Roman"/>
                <w:snapToGrid w:val="0"/>
                <w:lang w:eastAsia="da-DK"/>
              </w:rPr>
              <w:t>&lt; 0,0001</w:t>
            </w:r>
          </w:p>
        </w:tc>
      </w:tr>
      <w:tr w:rsidR="00A35A18" w:rsidRPr="00633873" w14:paraId="6DF3EE06" w14:textId="77777777" w:rsidTr="002D3ECE">
        <w:trPr>
          <w:trHeight w:val="416"/>
        </w:trPr>
        <w:tc>
          <w:tcPr>
            <w:tcW w:w="2466" w:type="dxa"/>
            <w:vAlign w:val="center"/>
          </w:tcPr>
          <w:p w14:paraId="7C1741E6"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tiriamųjų, kuriems pasireiškė patenkinamas klinikinis atsakas 24 savaitę</w:t>
            </w:r>
          </w:p>
        </w:tc>
        <w:tc>
          <w:tcPr>
            <w:tcW w:w="1566" w:type="dxa"/>
            <w:vAlign w:val="center"/>
          </w:tcPr>
          <w:p w14:paraId="23480699"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39</w:t>
            </w:r>
          </w:p>
        </w:tc>
        <w:tc>
          <w:tcPr>
            <w:tcW w:w="1620" w:type="dxa"/>
            <w:vAlign w:val="center"/>
          </w:tcPr>
          <w:p w14:paraId="1D31E0BE"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29</w:t>
            </w:r>
          </w:p>
        </w:tc>
        <w:tc>
          <w:tcPr>
            <w:tcW w:w="2252" w:type="dxa"/>
            <w:vAlign w:val="center"/>
          </w:tcPr>
          <w:p w14:paraId="1D87A59A"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Šansų santykis 1,56;</w:t>
            </w:r>
          </w:p>
          <w:p w14:paraId="77E8D0D8"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95 % PI: 1,05, 2,32</w:t>
            </w:r>
          </w:p>
        </w:tc>
        <w:tc>
          <w:tcPr>
            <w:tcW w:w="1134" w:type="dxa"/>
            <w:vAlign w:val="center"/>
          </w:tcPr>
          <w:p w14:paraId="39A0EEBF" w14:textId="4AB17E76" w:rsidR="00A35A18" w:rsidRPr="00633873" w:rsidRDefault="001E7EFF"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p </w:t>
            </w:r>
            <w:r w:rsidR="00A35A18" w:rsidRPr="00633873">
              <w:rPr>
                <w:rFonts w:ascii="Times New Roman" w:eastAsia="Times New Roman" w:hAnsi="Times New Roman" w:cs="Times New Roman"/>
                <w:snapToGrid w:val="0"/>
                <w:lang w:eastAsia="da-DK"/>
              </w:rPr>
              <w:t>=</w:t>
            </w:r>
            <w:r w:rsidRPr="00633873">
              <w:rPr>
                <w:rFonts w:ascii="Times New Roman" w:eastAsia="Times New Roman" w:hAnsi="Times New Roman" w:cs="Times New Roman"/>
                <w:snapToGrid w:val="0"/>
                <w:lang w:eastAsia="da-DK"/>
              </w:rPr>
              <w:t> </w:t>
            </w:r>
            <w:r w:rsidR="00A35A18" w:rsidRPr="00633873">
              <w:rPr>
                <w:rFonts w:ascii="Times New Roman" w:eastAsia="Times New Roman" w:hAnsi="Times New Roman" w:cs="Times New Roman"/>
                <w:snapToGrid w:val="0"/>
                <w:lang w:eastAsia="da-DK"/>
              </w:rPr>
              <w:t>0,026</w:t>
            </w:r>
          </w:p>
        </w:tc>
      </w:tr>
      <w:tr w:rsidR="00A35A18" w:rsidRPr="00633873" w14:paraId="7335CA5A" w14:textId="77777777" w:rsidTr="002D3ECE">
        <w:trPr>
          <w:trHeight w:val="297"/>
        </w:trPr>
        <w:tc>
          <w:tcPr>
            <w:tcW w:w="2466" w:type="dxa"/>
            <w:vAlign w:val="center"/>
          </w:tcPr>
          <w:p w14:paraId="41FF57D0" w14:textId="164D4EEF"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6MWD (m, pokyčio mediana)</w:t>
            </w:r>
          </w:p>
        </w:tc>
        <w:tc>
          <w:tcPr>
            <w:tcW w:w="1566" w:type="dxa"/>
            <w:vAlign w:val="center"/>
          </w:tcPr>
          <w:p w14:paraId="7BD8954F"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49,0</w:t>
            </w:r>
          </w:p>
        </w:tc>
        <w:tc>
          <w:tcPr>
            <w:tcW w:w="1620" w:type="dxa"/>
            <w:vAlign w:val="center"/>
          </w:tcPr>
          <w:p w14:paraId="3EE4F43B"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23,8</w:t>
            </w:r>
          </w:p>
        </w:tc>
        <w:tc>
          <w:tcPr>
            <w:tcW w:w="2252" w:type="dxa"/>
            <w:vAlign w:val="center"/>
          </w:tcPr>
          <w:p w14:paraId="707A5113"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22,75 m; </w:t>
            </w:r>
          </w:p>
          <w:p w14:paraId="1F853759" w14:textId="03A81C3D"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95</w:t>
            </w:r>
            <w:r w:rsidR="001E7EFF"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 PI: 12,00, 33,50</w:t>
            </w:r>
          </w:p>
        </w:tc>
        <w:tc>
          <w:tcPr>
            <w:tcW w:w="1134" w:type="dxa"/>
            <w:vAlign w:val="center"/>
          </w:tcPr>
          <w:p w14:paraId="54A9051B" w14:textId="2ED9E70A" w:rsidR="00A35A18" w:rsidRPr="00633873" w:rsidRDefault="001E7EFF"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p </w:t>
            </w:r>
            <w:r w:rsidR="00A35A18" w:rsidRPr="00633873">
              <w:rPr>
                <w:rFonts w:ascii="Times New Roman" w:eastAsia="Times New Roman" w:hAnsi="Times New Roman" w:cs="Times New Roman"/>
                <w:snapToGrid w:val="0"/>
                <w:lang w:eastAsia="da-DK"/>
              </w:rPr>
              <w:t>&lt; 0,0001</w:t>
            </w:r>
          </w:p>
        </w:tc>
      </w:tr>
    </w:tbl>
    <w:p w14:paraId="71A0CDF6"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p>
    <w:p w14:paraId="410A4C88" w14:textId="77777777"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u w:val="single"/>
          <w:lang w:eastAsia="da-DK"/>
        </w:rPr>
      </w:pPr>
      <w:r w:rsidRPr="00633873">
        <w:rPr>
          <w:rFonts w:ascii="Times New Roman" w:eastAsia="Times New Roman" w:hAnsi="Times New Roman" w:cs="Times New Roman"/>
          <w:snapToGrid w:val="0"/>
          <w:u w:val="single"/>
          <w:lang w:eastAsia="da-DK"/>
        </w:rPr>
        <w:t>Idiopatinė plaučių fibrozė</w:t>
      </w:r>
    </w:p>
    <w:p w14:paraId="4326C21E" w14:textId="18F988A0" w:rsidR="00A35A18" w:rsidRPr="00633873" w:rsidRDefault="00A35A18" w:rsidP="00A35A18">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Buvo atliktas tyrimas, kuriame dalyvavo 492 pacientai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grupėje n=329, placebo grupėje n=163), sergantys idiopatine plaučių fibroze (IPF), iš kurių 11 % pasireiškė antrinė </w:t>
      </w:r>
      <w:proofErr w:type="spellStart"/>
      <w:r w:rsidRPr="00633873">
        <w:rPr>
          <w:rFonts w:ascii="Times New Roman" w:eastAsia="Times New Roman" w:hAnsi="Times New Roman" w:cs="Times New Roman"/>
          <w:snapToGrid w:val="0"/>
          <w:lang w:eastAsia="da-DK"/>
        </w:rPr>
        <w:t>plau</w:t>
      </w:r>
      <w:r w:rsidR="00E2378A" w:rsidRPr="00633873">
        <w:rPr>
          <w:rFonts w:ascii="Times New Roman" w:eastAsia="Times New Roman" w:hAnsi="Times New Roman" w:cs="Times New Roman"/>
          <w:snapToGrid w:val="0"/>
          <w:lang w:eastAsia="da-DK"/>
        </w:rPr>
        <w:t>tinė</w:t>
      </w:r>
      <w:proofErr w:type="spellEnd"/>
      <w:r w:rsidRPr="00633873">
        <w:rPr>
          <w:rFonts w:ascii="Times New Roman" w:eastAsia="Times New Roman" w:hAnsi="Times New Roman" w:cs="Times New Roman"/>
          <w:snapToGrid w:val="0"/>
          <w:lang w:eastAsia="da-DK"/>
        </w:rPr>
        <w:t xml:space="preserve"> hipertenzija (pagal PSO 3 grupė), </w:t>
      </w:r>
      <w:r w:rsidR="00634190" w:rsidRPr="00633873">
        <w:rPr>
          <w:rFonts w:ascii="Times New Roman" w:eastAsia="Times New Roman" w:hAnsi="Times New Roman" w:cs="Times New Roman"/>
          <w:snapToGrid w:val="0"/>
          <w:lang w:eastAsia="da-DK"/>
        </w:rPr>
        <w:t>tačiau tyrimas buvo nutrauktas anksčiau nei numatyta</w:t>
      </w:r>
      <w:r w:rsidRPr="00633873">
        <w:rPr>
          <w:rFonts w:ascii="Times New Roman" w:eastAsia="Times New Roman" w:hAnsi="Times New Roman" w:cs="Times New Roman"/>
          <w:snapToGrid w:val="0"/>
          <w:lang w:eastAsia="da-DK"/>
        </w:rPr>
        <w:t xml:space="preserve">, kai paaiškėjo, kad negalėjo būti pasiekta pagrindinė vertinamoji veiksmingumo baigtis (ARTEMIS-IPF tyrimas).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grupėje buvo stebėta 90 IPF progresavimo (įskaitant </w:t>
      </w:r>
      <w:r w:rsidR="00634190" w:rsidRPr="00633873">
        <w:rPr>
          <w:rFonts w:ascii="Times New Roman" w:eastAsia="Times New Roman" w:hAnsi="Times New Roman" w:cs="Times New Roman"/>
          <w:snapToGrid w:val="0"/>
          <w:lang w:eastAsia="da-DK"/>
        </w:rPr>
        <w:t>hospitalizavimą</w:t>
      </w:r>
      <w:r w:rsidRPr="00633873">
        <w:rPr>
          <w:rFonts w:ascii="Times New Roman" w:eastAsia="Times New Roman" w:hAnsi="Times New Roman" w:cs="Times New Roman"/>
          <w:snapToGrid w:val="0"/>
          <w:lang w:eastAsia="da-DK"/>
        </w:rPr>
        <w:t xml:space="preserve"> dėl kvėpavimo sutrikimo) arba mirties reiškinių (27 %), palyginti su 28 reiškiniais (17 %) placebo grupėje. Todėl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negalima vartoti pacientams, kurie</w:t>
      </w:r>
      <w:r w:rsidR="00634190" w:rsidRPr="00633873">
        <w:rPr>
          <w:rFonts w:ascii="Times New Roman" w:eastAsia="Times New Roman" w:hAnsi="Times New Roman" w:cs="Times New Roman"/>
          <w:snapToGrid w:val="0"/>
          <w:lang w:eastAsia="da-DK"/>
        </w:rPr>
        <w:t xml:space="preserve"> serga</w:t>
      </w:r>
      <w:r w:rsidRPr="00633873">
        <w:rPr>
          <w:rFonts w:ascii="Times New Roman" w:eastAsia="Times New Roman" w:hAnsi="Times New Roman" w:cs="Times New Roman"/>
          <w:snapToGrid w:val="0"/>
          <w:lang w:eastAsia="da-DK"/>
        </w:rPr>
        <w:t xml:space="preserve"> IPF su antrine </w:t>
      </w:r>
      <w:proofErr w:type="spellStart"/>
      <w:r w:rsidRPr="00633873">
        <w:rPr>
          <w:rFonts w:ascii="Times New Roman" w:eastAsia="Times New Roman" w:hAnsi="Times New Roman" w:cs="Times New Roman"/>
          <w:snapToGrid w:val="0"/>
          <w:lang w:eastAsia="da-DK"/>
        </w:rPr>
        <w:t>plautine</w:t>
      </w:r>
      <w:proofErr w:type="spellEnd"/>
      <w:r w:rsidRPr="00633873">
        <w:rPr>
          <w:rFonts w:ascii="Times New Roman" w:eastAsia="Times New Roman" w:hAnsi="Times New Roman" w:cs="Times New Roman"/>
          <w:snapToGrid w:val="0"/>
          <w:lang w:eastAsia="da-DK"/>
        </w:rPr>
        <w:t xml:space="preserve"> hipertenzija arba be antrinės </w:t>
      </w:r>
      <w:proofErr w:type="spellStart"/>
      <w:r w:rsidRPr="00633873">
        <w:rPr>
          <w:rFonts w:ascii="Times New Roman" w:eastAsia="Times New Roman" w:hAnsi="Times New Roman" w:cs="Times New Roman"/>
          <w:snapToGrid w:val="0"/>
          <w:lang w:eastAsia="da-DK"/>
        </w:rPr>
        <w:t>plautinės</w:t>
      </w:r>
      <w:proofErr w:type="spellEnd"/>
      <w:r w:rsidRPr="00633873">
        <w:rPr>
          <w:rFonts w:ascii="Times New Roman" w:eastAsia="Times New Roman" w:hAnsi="Times New Roman" w:cs="Times New Roman"/>
          <w:snapToGrid w:val="0"/>
          <w:lang w:eastAsia="da-DK"/>
        </w:rPr>
        <w:t xml:space="preserve"> hipertenzijos (žr. 4.3</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40F1C207" w14:textId="65B839F6" w:rsidR="00A35A18" w:rsidRPr="00633873" w:rsidRDefault="00A35A18" w:rsidP="00A35A18">
      <w:pPr>
        <w:spacing w:after="0" w:line="240" w:lineRule="auto"/>
        <w:rPr>
          <w:rFonts w:ascii="Times New Roman" w:eastAsia="Times New Roman" w:hAnsi="Times New Roman" w:cs="Times New Roman"/>
          <w:snapToGrid w:val="0"/>
        </w:rPr>
      </w:pPr>
    </w:p>
    <w:p w14:paraId="31AEADF3" w14:textId="2BE2A8E0" w:rsidR="001E7EFF" w:rsidRDefault="001E7EFF" w:rsidP="001E7EFF">
      <w:pPr>
        <w:autoSpaceDE w:val="0"/>
        <w:autoSpaceDN w:val="0"/>
        <w:adjustRightInd w:val="0"/>
        <w:spacing w:after="0" w:line="240" w:lineRule="auto"/>
        <w:rPr>
          <w:rFonts w:ascii="Times New Roman" w:hAnsi="Times New Roman" w:cs="Times New Roman"/>
          <w:color w:val="000000"/>
          <w:u w:val="single"/>
        </w:rPr>
      </w:pPr>
      <w:r w:rsidRPr="00633873">
        <w:rPr>
          <w:rFonts w:ascii="Times New Roman" w:hAnsi="Times New Roman" w:cs="Times New Roman"/>
          <w:color w:val="000000"/>
          <w:u w:val="single"/>
        </w:rPr>
        <w:t xml:space="preserve">Vaikų populiacija </w:t>
      </w:r>
    </w:p>
    <w:p w14:paraId="317561D5" w14:textId="77777777" w:rsidR="00057907" w:rsidRPr="00633873" w:rsidRDefault="00057907" w:rsidP="001E7EFF">
      <w:pPr>
        <w:autoSpaceDE w:val="0"/>
        <w:autoSpaceDN w:val="0"/>
        <w:adjustRightInd w:val="0"/>
        <w:spacing w:after="0" w:line="240" w:lineRule="auto"/>
        <w:rPr>
          <w:rFonts w:ascii="Times New Roman" w:hAnsi="Times New Roman" w:cs="Times New Roman"/>
          <w:color w:val="000000"/>
          <w:u w:val="single"/>
        </w:rPr>
      </w:pPr>
    </w:p>
    <w:p w14:paraId="1554145A" w14:textId="77777777" w:rsidR="001E7EFF" w:rsidRPr="00570F2A" w:rsidRDefault="001E7EFF" w:rsidP="001E7EFF">
      <w:pPr>
        <w:autoSpaceDE w:val="0"/>
        <w:autoSpaceDN w:val="0"/>
        <w:adjustRightInd w:val="0"/>
        <w:spacing w:after="0" w:line="240" w:lineRule="auto"/>
        <w:rPr>
          <w:rFonts w:ascii="Times New Roman" w:hAnsi="Times New Roman" w:cs="Times New Roman"/>
          <w:color w:val="000000"/>
          <w:u w:val="single"/>
        </w:rPr>
      </w:pPr>
      <w:r w:rsidRPr="00570F2A">
        <w:rPr>
          <w:rFonts w:ascii="Times New Roman" w:hAnsi="Times New Roman" w:cs="Times New Roman"/>
          <w:i/>
          <w:iCs/>
          <w:color w:val="000000"/>
          <w:u w:val="single"/>
        </w:rPr>
        <w:t xml:space="preserve">AMB112529 tyrimas </w:t>
      </w:r>
    </w:p>
    <w:p w14:paraId="604EC826" w14:textId="4C37BB3A" w:rsidR="001E7EFF" w:rsidRDefault="001E7EFF" w:rsidP="001E7EFF">
      <w:pPr>
        <w:spacing w:after="0" w:line="240" w:lineRule="auto"/>
        <w:rPr>
          <w:rFonts w:ascii="Times New Roman" w:hAnsi="Times New Roman" w:cs="Times New Roman"/>
        </w:rPr>
      </w:pPr>
      <w:r w:rsidRPr="00633873">
        <w:rPr>
          <w:rFonts w:ascii="Times New Roman" w:hAnsi="Times New Roman" w:cs="Times New Roman"/>
          <w:color w:val="000000"/>
        </w:rPr>
        <w:t xml:space="preserve">24 savaites kartą per parą vartojamo </w:t>
      </w:r>
      <w:proofErr w:type="spellStart"/>
      <w:r w:rsidRPr="00633873">
        <w:rPr>
          <w:rFonts w:ascii="Times New Roman" w:hAnsi="Times New Roman" w:cs="Times New Roman"/>
          <w:color w:val="000000"/>
        </w:rPr>
        <w:t>ambrisentano</w:t>
      </w:r>
      <w:proofErr w:type="spellEnd"/>
      <w:r w:rsidRPr="00633873">
        <w:rPr>
          <w:rFonts w:ascii="Times New Roman" w:hAnsi="Times New Roman" w:cs="Times New Roman"/>
          <w:color w:val="000000"/>
        </w:rPr>
        <w:t xml:space="preserve"> saugumas ir toleravimas buvo vertinami atviro tyrimo be kontrolinės grupės metu su 41 vaikų populiacijos pacientu, kuris sirgo PH ir buvo nuo 8 iki </w:t>
      </w:r>
      <w:r w:rsidRPr="00633873">
        <w:rPr>
          <w:rFonts w:ascii="Times New Roman" w:hAnsi="Times New Roman" w:cs="Times New Roman"/>
          <w:color w:val="000000"/>
        </w:rPr>
        <w:lastRenderedPageBreak/>
        <w:t>mažiau kaip 18 metų amžiaus (mediana: 13 metų). PH etiologija buvo: idiopatinė (n = 26; 63 %), išliekanti įgimta PH nepaisant chirurginės korekcijos (n = 11; 27 %), antrinė, susijusi su jungiamojo audinio liga (n = 1; 2 %) arba šeiminė (n = 3; 7,3</w:t>
      </w:r>
      <w:r w:rsidRPr="00633873">
        <w:t> </w:t>
      </w:r>
      <w:r w:rsidRPr="00633873">
        <w:rPr>
          <w:rFonts w:ascii="Times New Roman" w:hAnsi="Times New Roman" w:cs="Times New Roman"/>
          <w:color w:val="000000"/>
        </w:rPr>
        <w:t xml:space="preserve">%). Iš 11 tiriamųjų, kurie sirgo įgimta širdies liga, 9 buvo skilvelių pertvaros defektas, 2 – prieširdžių pertvaros defektas ir 1 – atviras arterinis latakas. Tyrimo pradžioje pacientai buvo priskiriami II funkcinei klasei (n = 32; 78 %) arba III funkcinei klasei (n = 9; 22 %) pagal PSO klasifikaciją. Įtraukimo į tyrimą metu pacientai buvo gydomi vaistiniais </w:t>
      </w:r>
      <w:r w:rsidRPr="00633873">
        <w:rPr>
          <w:rFonts w:ascii="Times New Roman" w:hAnsi="Times New Roman" w:cs="Times New Roman"/>
        </w:rPr>
        <w:t xml:space="preserve">preparatais nuo PH (dažniausiai buvo taikoma </w:t>
      </w:r>
      <w:proofErr w:type="spellStart"/>
      <w:r w:rsidRPr="00633873">
        <w:rPr>
          <w:rFonts w:ascii="Times New Roman" w:hAnsi="Times New Roman" w:cs="Times New Roman"/>
        </w:rPr>
        <w:t>monoterapija</w:t>
      </w:r>
      <w:proofErr w:type="spellEnd"/>
      <w:r w:rsidRPr="00633873">
        <w:rPr>
          <w:rFonts w:ascii="Times New Roman" w:hAnsi="Times New Roman" w:cs="Times New Roman"/>
        </w:rPr>
        <w:t xml:space="preserve"> FDE5i [n = 18; 44 %], kombinuotasis gydymas FDE5i ir </w:t>
      </w:r>
      <w:proofErr w:type="spellStart"/>
      <w:r w:rsidRPr="00633873">
        <w:rPr>
          <w:rFonts w:ascii="Times New Roman" w:hAnsi="Times New Roman" w:cs="Times New Roman"/>
        </w:rPr>
        <w:t>prostanoidu</w:t>
      </w:r>
      <w:proofErr w:type="spellEnd"/>
      <w:r w:rsidRPr="00633873">
        <w:rPr>
          <w:rFonts w:ascii="Times New Roman" w:hAnsi="Times New Roman" w:cs="Times New Roman"/>
        </w:rPr>
        <w:t xml:space="preserve"> [n = 8; 20 %]) arba </w:t>
      </w:r>
      <w:proofErr w:type="spellStart"/>
      <w:r w:rsidRPr="00633873">
        <w:rPr>
          <w:rFonts w:ascii="Times New Roman" w:hAnsi="Times New Roman" w:cs="Times New Roman"/>
        </w:rPr>
        <w:t>monoterapija</w:t>
      </w:r>
      <w:proofErr w:type="spellEnd"/>
      <w:r w:rsidRPr="00633873">
        <w:rPr>
          <w:rFonts w:ascii="Times New Roman" w:hAnsi="Times New Roman" w:cs="Times New Roman"/>
        </w:rPr>
        <w:t xml:space="preserve"> </w:t>
      </w:r>
      <w:proofErr w:type="spellStart"/>
      <w:r w:rsidRPr="00633873">
        <w:rPr>
          <w:rFonts w:ascii="Times New Roman" w:hAnsi="Times New Roman" w:cs="Times New Roman"/>
        </w:rPr>
        <w:t>prostanoidu</w:t>
      </w:r>
      <w:proofErr w:type="spellEnd"/>
      <w:r w:rsidRPr="00633873">
        <w:rPr>
          <w:rFonts w:ascii="Times New Roman" w:hAnsi="Times New Roman" w:cs="Times New Roman"/>
        </w:rPr>
        <w:t xml:space="preserve"> [n = 1; 2 %], ir jų PH gydymas buvo tęsiamas tyrimo metu. Pacientai buvo suskirstyti į dvi grupes: kartą per parą vartota 2,5 mg arba 5 mg </w:t>
      </w:r>
      <w:proofErr w:type="spellStart"/>
      <w:r w:rsidRPr="00633873">
        <w:rPr>
          <w:rFonts w:ascii="Times New Roman" w:hAnsi="Times New Roman" w:cs="Times New Roman"/>
        </w:rPr>
        <w:t>ambrisentano</w:t>
      </w:r>
      <w:proofErr w:type="spellEnd"/>
      <w:r w:rsidRPr="00633873">
        <w:rPr>
          <w:rFonts w:ascii="Times New Roman" w:hAnsi="Times New Roman" w:cs="Times New Roman"/>
        </w:rPr>
        <w:t xml:space="preserve"> dozė (maža dozė, n = 21) arba kartą per parą vartota 2,5 mg arba 5 mg </w:t>
      </w:r>
      <w:proofErr w:type="spellStart"/>
      <w:r w:rsidRPr="00633873">
        <w:rPr>
          <w:rFonts w:ascii="Times New Roman" w:hAnsi="Times New Roman" w:cs="Times New Roman"/>
        </w:rPr>
        <w:t>ambrisentano</w:t>
      </w:r>
      <w:proofErr w:type="spellEnd"/>
      <w:r w:rsidRPr="00633873">
        <w:rPr>
          <w:rFonts w:ascii="Times New Roman" w:hAnsi="Times New Roman" w:cs="Times New Roman"/>
        </w:rPr>
        <w:t xml:space="preserve"> dozė, kuri vėliau buvo didinama iki 5 mg, 7,5 mg arba 10 mg atsižvelgiant į kūno svorį (didelė dozė, n = 20). Iš viso 20 pacientų iš abiejų dozių grupių dozė po 2 savaičių buvo laipsniškai didinama atsižvelgiant į atsaką ir toleravimą; 37 pacientai pabaigė tyrimą; 4 pacientai iš tyrimo pasitraukė.</w:t>
      </w:r>
    </w:p>
    <w:p w14:paraId="11168BAC" w14:textId="77777777" w:rsidR="00057907" w:rsidRPr="00633873" w:rsidRDefault="00057907" w:rsidP="001E7EFF">
      <w:pPr>
        <w:spacing w:after="0" w:line="240" w:lineRule="auto"/>
        <w:rPr>
          <w:rFonts w:ascii="Times New Roman" w:hAnsi="Times New Roman" w:cs="Times New Roman"/>
        </w:rPr>
      </w:pPr>
    </w:p>
    <w:p w14:paraId="06DE8066" w14:textId="02EC3F1B" w:rsidR="001E7EFF" w:rsidRDefault="001E7EFF" w:rsidP="001E7EFF">
      <w:pPr>
        <w:spacing w:after="0" w:line="240" w:lineRule="auto"/>
        <w:rPr>
          <w:rFonts w:ascii="Times New Roman" w:hAnsi="Times New Roman" w:cs="Times New Roman"/>
        </w:rPr>
      </w:pPr>
      <w:r w:rsidRPr="00633873">
        <w:rPr>
          <w:rFonts w:ascii="Times New Roman" w:hAnsi="Times New Roman" w:cs="Times New Roman"/>
        </w:rPr>
        <w:t xml:space="preserve">Vertinant </w:t>
      </w:r>
      <w:proofErr w:type="spellStart"/>
      <w:r w:rsidRPr="00633873">
        <w:rPr>
          <w:rFonts w:ascii="Times New Roman" w:hAnsi="Times New Roman" w:cs="Times New Roman"/>
        </w:rPr>
        <w:t>ambrisentano</w:t>
      </w:r>
      <w:proofErr w:type="spellEnd"/>
      <w:r w:rsidRPr="00633873">
        <w:rPr>
          <w:rFonts w:ascii="Times New Roman" w:hAnsi="Times New Roman" w:cs="Times New Roman"/>
        </w:rPr>
        <w:t xml:space="preserve"> poveikį pagrindinei veiksmingumo vertinamajai baigčiai fiziniam pajėgumui (6MĖD), su doze susijusios tendencijos nenustatyta. Vidutinis 6MĖD rodmens pokytis nuo pradinio rodmens 24-ąją savaitę mažos ir didelės dozės grupėse (vertinimus atliekant tyrimo pradžioje ir 24-ąją savaitę) buvo atitinkamai +55,14 m (95 % PI: nuo 4,32 iki 105,95) 18 pacientų ir +26,25</w:t>
      </w:r>
      <w:r w:rsidR="00633873" w:rsidRPr="00633873">
        <w:rPr>
          <w:rFonts w:ascii="Times New Roman" w:hAnsi="Times New Roman" w:cs="Times New Roman"/>
        </w:rPr>
        <w:t> </w:t>
      </w:r>
      <w:r w:rsidRPr="00633873">
        <w:rPr>
          <w:rFonts w:ascii="Times New Roman" w:hAnsi="Times New Roman" w:cs="Times New Roman"/>
        </w:rPr>
        <w:t>m (95</w:t>
      </w:r>
      <w:r w:rsidR="00633873" w:rsidRPr="00633873">
        <w:rPr>
          <w:rFonts w:ascii="Times New Roman" w:hAnsi="Times New Roman" w:cs="Times New Roman"/>
        </w:rPr>
        <w:t> </w:t>
      </w:r>
      <w:r w:rsidRPr="00633873">
        <w:rPr>
          <w:rFonts w:ascii="Times New Roman" w:hAnsi="Times New Roman" w:cs="Times New Roman"/>
        </w:rPr>
        <w:t>% PI: nuo -4,59 iki 57,09) 18 pacientų. Vidutinis 6MĖD rodmens pokytis nuo pradinio rodmens 24-ąją savaitę iš viso 36 pacientams (apibendrinus abiejų dozių grupių duomenis) buvo +40,69</w:t>
      </w:r>
      <w:r w:rsidR="00633873" w:rsidRPr="00633873">
        <w:rPr>
          <w:rFonts w:ascii="Times New Roman" w:hAnsi="Times New Roman" w:cs="Times New Roman"/>
        </w:rPr>
        <w:t xml:space="preserve"> </w:t>
      </w:r>
      <w:r w:rsidRPr="00633873">
        <w:rPr>
          <w:rFonts w:ascii="Times New Roman" w:hAnsi="Times New Roman" w:cs="Times New Roman"/>
        </w:rPr>
        <w:t>m (95</w:t>
      </w:r>
      <w:r w:rsidR="00633873" w:rsidRPr="00633873">
        <w:rPr>
          <w:rFonts w:ascii="Times New Roman" w:hAnsi="Times New Roman" w:cs="Times New Roman"/>
        </w:rPr>
        <w:t> </w:t>
      </w:r>
      <w:r w:rsidRPr="00633873">
        <w:rPr>
          <w:rFonts w:ascii="Times New Roman" w:hAnsi="Times New Roman" w:cs="Times New Roman"/>
        </w:rPr>
        <w:t>% PI: nuo 12,08 iki 69,31). Šie rezultatai atitiko duomenis, gautus tyrimų su suaugusiaisiais metu. 24-ąją savaitę 95</w:t>
      </w:r>
      <w:r w:rsidR="00633873" w:rsidRPr="00633873">
        <w:rPr>
          <w:rFonts w:ascii="Times New Roman" w:hAnsi="Times New Roman" w:cs="Times New Roman"/>
        </w:rPr>
        <w:t> </w:t>
      </w:r>
      <w:r w:rsidRPr="00633873">
        <w:rPr>
          <w:rFonts w:ascii="Times New Roman" w:hAnsi="Times New Roman" w:cs="Times New Roman"/>
        </w:rPr>
        <w:t>% ir 100</w:t>
      </w:r>
      <w:r w:rsidR="00633873" w:rsidRPr="00633873">
        <w:t> </w:t>
      </w:r>
      <w:r w:rsidRPr="00633873">
        <w:rPr>
          <w:rFonts w:ascii="Times New Roman" w:hAnsi="Times New Roman" w:cs="Times New Roman"/>
        </w:rPr>
        <w:t xml:space="preserve">% pacientų būklė atitinkamai mažos ir didelės dozės grupėse išliko stabili (funkcinės klasės įvertinimas nepakito arba pagerėjo). Išgyvenamumo be reiškinių </w:t>
      </w:r>
      <w:proofErr w:type="spellStart"/>
      <w:r w:rsidRPr="00633873">
        <w:rPr>
          <w:rFonts w:ascii="Times New Roman" w:hAnsi="Times New Roman" w:cs="Times New Roman"/>
          <w:i/>
          <w:iCs/>
        </w:rPr>
        <w:t>Kaplan-Meier</w:t>
      </w:r>
      <w:proofErr w:type="spellEnd"/>
      <w:r w:rsidRPr="00633873">
        <w:rPr>
          <w:rFonts w:ascii="Times New Roman" w:hAnsi="Times New Roman" w:cs="Times New Roman"/>
          <w:i/>
          <w:iCs/>
        </w:rPr>
        <w:t xml:space="preserve"> </w:t>
      </w:r>
      <w:r w:rsidRPr="00633873">
        <w:rPr>
          <w:rFonts w:ascii="Times New Roman" w:hAnsi="Times New Roman" w:cs="Times New Roman"/>
        </w:rPr>
        <w:t>įvertis vertinant PH pablogėjimą (mirtis [nuo bet kokios priežasties], plaučių persodinimas arba hospitalizacija dėl PH ar su PH susijusio būklės pablogėjimo) 24-ąją savaitę buvo 86</w:t>
      </w:r>
      <w:r w:rsidR="00633873" w:rsidRPr="00633873">
        <w:rPr>
          <w:rFonts w:ascii="Times New Roman" w:hAnsi="Times New Roman" w:cs="Times New Roman"/>
        </w:rPr>
        <w:t> </w:t>
      </w:r>
      <w:r w:rsidRPr="00633873">
        <w:rPr>
          <w:rFonts w:ascii="Times New Roman" w:hAnsi="Times New Roman" w:cs="Times New Roman"/>
        </w:rPr>
        <w:t>% ir 85</w:t>
      </w:r>
      <w:r w:rsidR="00633873" w:rsidRPr="00633873">
        <w:rPr>
          <w:rFonts w:ascii="Times New Roman" w:hAnsi="Times New Roman" w:cs="Times New Roman"/>
        </w:rPr>
        <w:t> </w:t>
      </w:r>
      <w:r w:rsidRPr="00633873">
        <w:rPr>
          <w:rFonts w:ascii="Times New Roman" w:hAnsi="Times New Roman" w:cs="Times New Roman"/>
        </w:rPr>
        <w:t>% atitinkamai mažos ir didelės dozės grupėse.</w:t>
      </w:r>
    </w:p>
    <w:p w14:paraId="3C3DAEF3" w14:textId="77777777" w:rsidR="00057907" w:rsidRPr="00633873" w:rsidRDefault="00057907" w:rsidP="001E7EFF">
      <w:pPr>
        <w:spacing w:after="0" w:line="240" w:lineRule="auto"/>
        <w:rPr>
          <w:rFonts w:ascii="Times New Roman" w:hAnsi="Times New Roman" w:cs="Times New Roman"/>
        </w:rPr>
      </w:pPr>
    </w:p>
    <w:p w14:paraId="15B104AE" w14:textId="37FF2132" w:rsidR="001E7EFF" w:rsidRDefault="001E7EFF" w:rsidP="001E7EFF">
      <w:pPr>
        <w:autoSpaceDE w:val="0"/>
        <w:autoSpaceDN w:val="0"/>
        <w:adjustRightInd w:val="0"/>
        <w:spacing w:after="0" w:line="240" w:lineRule="auto"/>
        <w:rPr>
          <w:rFonts w:ascii="Times New Roman" w:hAnsi="Times New Roman" w:cs="Times New Roman"/>
          <w:color w:val="000000"/>
        </w:rPr>
      </w:pPr>
      <w:r w:rsidRPr="00633873">
        <w:rPr>
          <w:rFonts w:ascii="Times New Roman" w:hAnsi="Times New Roman" w:cs="Times New Roman"/>
          <w:color w:val="000000"/>
        </w:rPr>
        <w:t>Hemodinamika buvo vertinama 5 pacientams (mažos dozės grupė). Vidutinis širdies indekso padidėjimas nuo pradinio rodmens buvo +0,94</w:t>
      </w:r>
      <w:r w:rsidR="00633873" w:rsidRPr="00633873">
        <w:rPr>
          <w:rFonts w:ascii="Times New Roman" w:hAnsi="Times New Roman" w:cs="Times New Roman"/>
          <w:color w:val="000000"/>
        </w:rPr>
        <w:t> </w:t>
      </w:r>
      <w:r w:rsidRPr="00633873">
        <w:rPr>
          <w:rFonts w:ascii="Times New Roman" w:hAnsi="Times New Roman" w:cs="Times New Roman"/>
          <w:color w:val="000000"/>
        </w:rPr>
        <w:t>l/min./m</w:t>
      </w:r>
      <w:r w:rsidRPr="00633873">
        <w:rPr>
          <w:rFonts w:ascii="Times New Roman" w:hAnsi="Times New Roman" w:cs="Times New Roman"/>
          <w:color w:val="000000"/>
          <w:vertAlign w:val="superscript"/>
        </w:rPr>
        <w:t>2</w:t>
      </w:r>
      <w:r w:rsidRPr="00633873">
        <w:rPr>
          <w:rFonts w:ascii="Times New Roman" w:hAnsi="Times New Roman" w:cs="Times New Roman"/>
          <w:color w:val="000000"/>
        </w:rPr>
        <w:t>, vidutinis vidutinio spaudimo plaučių arterijoje sumažėjimas buvo -2,2</w:t>
      </w:r>
      <w:r w:rsidR="00633873" w:rsidRPr="00633873">
        <w:rPr>
          <w:rFonts w:ascii="Times New Roman" w:hAnsi="Times New Roman" w:cs="Times New Roman"/>
          <w:color w:val="000000"/>
        </w:rPr>
        <w:t> </w:t>
      </w:r>
      <w:proofErr w:type="spellStart"/>
      <w:r w:rsidRPr="00633873">
        <w:rPr>
          <w:rFonts w:ascii="Times New Roman" w:hAnsi="Times New Roman" w:cs="Times New Roman"/>
          <w:color w:val="000000"/>
        </w:rPr>
        <w:t>mmHg</w:t>
      </w:r>
      <w:proofErr w:type="spellEnd"/>
      <w:r w:rsidRPr="00633873">
        <w:rPr>
          <w:rFonts w:ascii="Times New Roman" w:hAnsi="Times New Roman" w:cs="Times New Roman"/>
          <w:color w:val="000000"/>
        </w:rPr>
        <w:t>, vidutinis plaučių kraujagyslių pasipriešinimo (PKP) sumažėjimas buvo -277 dinos s/cm</w:t>
      </w:r>
      <w:r w:rsidRPr="00633873">
        <w:rPr>
          <w:rFonts w:ascii="Times New Roman" w:hAnsi="Times New Roman" w:cs="Times New Roman"/>
          <w:color w:val="000000"/>
          <w:vertAlign w:val="superscript"/>
        </w:rPr>
        <w:t>5</w:t>
      </w:r>
      <w:r w:rsidRPr="00633873">
        <w:rPr>
          <w:rFonts w:ascii="Times New Roman" w:hAnsi="Times New Roman" w:cs="Times New Roman"/>
          <w:color w:val="000000"/>
        </w:rPr>
        <w:t xml:space="preserve"> (-3,46</w:t>
      </w:r>
      <w:r w:rsidR="00633873" w:rsidRPr="00633873">
        <w:rPr>
          <w:rFonts w:ascii="Times New Roman" w:hAnsi="Times New Roman" w:cs="Times New Roman"/>
          <w:color w:val="000000"/>
        </w:rPr>
        <w:t> </w:t>
      </w:r>
      <w:proofErr w:type="spellStart"/>
      <w:r w:rsidRPr="00633873">
        <w:rPr>
          <w:rFonts w:ascii="Times New Roman" w:hAnsi="Times New Roman" w:cs="Times New Roman"/>
          <w:color w:val="000000"/>
        </w:rPr>
        <w:t>mmHg</w:t>
      </w:r>
      <w:proofErr w:type="spellEnd"/>
      <w:r w:rsidRPr="00633873">
        <w:rPr>
          <w:rFonts w:ascii="Times New Roman" w:hAnsi="Times New Roman" w:cs="Times New Roman"/>
          <w:color w:val="000000"/>
        </w:rPr>
        <w:t xml:space="preserve">/l/min.). </w:t>
      </w:r>
    </w:p>
    <w:p w14:paraId="51A94CE9" w14:textId="77777777" w:rsidR="00057907" w:rsidRPr="00633873" w:rsidRDefault="00057907" w:rsidP="001E7EFF">
      <w:pPr>
        <w:autoSpaceDE w:val="0"/>
        <w:autoSpaceDN w:val="0"/>
        <w:adjustRightInd w:val="0"/>
        <w:spacing w:after="0" w:line="240" w:lineRule="auto"/>
        <w:rPr>
          <w:rFonts w:ascii="Times New Roman" w:hAnsi="Times New Roman" w:cs="Times New Roman"/>
          <w:color w:val="000000"/>
        </w:rPr>
      </w:pPr>
    </w:p>
    <w:p w14:paraId="430D3CA3" w14:textId="7689A629" w:rsidR="001E7EFF" w:rsidRPr="00633873" w:rsidRDefault="001E7EFF" w:rsidP="001E7EFF">
      <w:pPr>
        <w:autoSpaceDE w:val="0"/>
        <w:autoSpaceDN w:val="0"/>
        <w:adjustRightInd w:val="0"/>
        <w:spacing w:after="0" w:line="240" w:lineRule="auto"/>
        <w:rPr>
          <w:rFonts w:ascii="Times New Roman" w:hAnsi="Times New Roman" w:cs="Times New Roman"/>
          <w:color w:val="000000"/>
        </w:rPr>
      </w:pPr>
      <w:r w:rsidRPr="00633873">
        <w:rPr>
          <w:rFonts w:ascii="Times New Roman" w:hAnsi="Times New Roman" w:cs="Times New Roman"/>
          <w:color w:val="000000"/>
        </w:rPr>
        <w:t xml:space="preserve">PH sergantiems vaikų populiacijos pacientams, kurie 24 savaites vartojo </w:t>
      </w:r>
      <w:proofErr w:type="spellStart"/>
      <w:r w:rsidRPr="00633873">
        <w:rPr>
          <w:rFonts w:ascii="Times New Roman" w:hAnsi="Times New Roman" w:cs="Times New Roman"/>
          <w:color w:val="000000"/>
        </w:rPr>
        <w:t>ambrisentano</w:t>
      </w:r>
      <w:proofErr w:type="spellEnd"/>
      <w:r w:rsidRPr="00633873">
        <w:rPr>
          <w:rFonts w:ascii="Times New Roman" w:hAnsi="Times New Roman" w:cs="Times New Roman"/>
          <w:color w:val="000000"/>
        </w:rPr>
        <w:t>, NT-pro-BNP geometrinio vidurkio sumažėjimas nuo pradinio rodmens buvo 31</w:t>
      </w:r>
      <w:r w:rsidR="00633873" w:rsidRPr="00633873">
        <w:rPr>
          <w:rFonts w:ascii="Times New Roman" w:hAnsi="Times New Roman" w:cs="Times New Roman"/>
          <w:color w:val="000000"/>
        </w:rPr>
        <w:t> </w:t>
      </w:r>
      <w:r w:rsidRPr="00633873">
        <w:rPr>
          <w:rFonts w:ascii="Times New Roman" w:hAnsi="Times New Roman" w:cs="Times New Roman"/>
          <w:color w:val="000000"/>
        </w:rPr>
        <w:t>% mažos dozės grupėje (2,5</w:t>
      </w:r>
      <w:r w:rsidR="00633873" w:rsidRPr="00633873">
        <w:rPr>
          <w:rFonts w:ascii="Times New Roman" w:hAnsi="Times New Roman" w:cs="Times New Roman"/>
          <w:color w:val="000000"/>
        </w:rPr>
        <w:t> </w:t>
      </w:r>
      <w:r w:rsidRPr="00633873">
        <w:rPr>
          <w:rFonts w:ascii="Times New Roman" w:hAnsi="Times New Roman" w:cs="Times New Roman"/>
          <w:color w:val="000000"/>
        </w:rPr>
        <w:t>mg ir 5</w:t>
      </w:r>
      <w:r w:rsidR="00633873" w:rsidRPr="00633873">
        <w:rPr>
          <w:rFonts w:ascii="Times New Roman" w:hAnsi="Times New Roman" w:cs="Times New Roman"/>
          <w:color w:val="000000"/>
        </w:rPr>
        <w:t> </w:t>
      </w:r>
      <w:r w:rsidRPr="00633873">
        <w:rPr>
          <w:rFonts w:ascii="Times New Roman" w:hAnsi="Times New Roman" w:cs="Times New Roman"/>
          <w:color w:val="000000"/>
        </w:rPr>
        <w:t>mg) ir 28</w:t>
      </w:r>
      <w:r w:rsidR="00633873" w:rsidRPr="00633873">
        <w:rPr>
          <w:rFonts w:ascii="Times New Roman" w:hAnsi="Times New Roman" w:cs="Times New Roman"/>
          <w:color w:val="000000"/>
        </w:rPr>
        <w:t> </w:t>
      </w:r>
      <w:r w:rsidRPr="00633873">
        <w:rPr>
          <w:rFonts w:ascii="Times New Roman" w:hAnsi="Times New Roman" w:cs="Times New Roman"/>
          <w:color w:val="000000"/>
        </w:rPr>
        <w:t>% didelės dozės grupėje (5</w:t>
      </w:r>
      <w:r w:rsidR="00633873" w:rsidRPr="00633873">
        <w:rPr>
          <w:rFonts w:ascii="Times New Roman" w:hAnsi="Times New Roman" w:cs="Times New Roman"/>
          <w:color w:val="000000"/>
        </w:rPr>
        <w:t> </w:t>
      </w:r>
      <w:r w:rsidRPr="00633873">
        <w:rPr>
          <w:rFonts w:ascii="Times New Roman" w:hAnsi="Times New Roman" w:cs="Times New Roman"/>
          <w:color w:val="000000"/>
        </w:rPr>
        <w:t>mg, 7,5</w:t>
      </w:r>
      <w:r w:rsidR="00633873" w:rsidRPr="00633873">
        <w:rPr>
          <w:rFonts w:ascii="Times New Roman" w:hAnsi="Times New Roman" w:cs="Times New Roman"/>
          <w:color w:val="000000"/>
        </w:rPr>
        <w:t> </w:t>
      </w:r>
      <w:r w:rsidRPr="00633873">
        <w:rPr>
          <w:rFonts w:ascii="Times New Roman" w:hAnsi="Times New Roman" w:cs="Times New Roman"/>
          <w:color w:val="000000"/>
        </w:rPr>
        <w:t>mg ir 10</w:t>
      </w:r>
      <w:r w:rsidR="00633873" w:rsidRPr="00633873">
        <w:rPr>
          <w:rFonts w:ascii="Times New Roman" w:hAnsi="Times New Roman" w:cs="Times New Roman"/>
          <w:color w:val="000000"/>
        </w:rPr>
        <w:t> </w:t>
      </w:r>
      <w:r w:rsidRPr="00633873">
        <w:rPr>
          <w:rFonts w:ascii="Times New Roman" w:hAnsi="Times New Roman" w:cs="Times New Roman"/>
          <w:color w:val="000000"/>
        </w:rPr>
        <w:t xml:space="preserve">mg). </w:t>
      </w:r>
    </w:p>
    <w:p w14:paraId="19B85966" w14:textId="77777777" w:rsidR="00633873" w:rsidRPr="00633873" w:rsidRDefault="00633873" w:rsidP="001E7EFF">
      <w:pPr>
        <w:autoSpaceDE w:val="0"/>
        <w:autoSpaceDN w:val="0"/>
        <w:adjustRightInd w:val="0"/>
        <w:spacing w:after="0" w:line="240" w:lineRule="auto"/>
        <w:rPr>
          <w:rFonts w:ascii="Times New Roman" w:hAnsi="Times New Roman" w:cs="Times New Roman"/>
          <w:color w:val="000000"/>
        </w:rPr>
      </w:pPr>
    </w:p>
    <w:p w14:paraId="6DDC003F" w14:textId="38C94401" w:rsidR="001E7EFF" w:rsidRPr="00570F2A" w:rsidRDefault="001E7EFF" w:rsidP="001E7EFF">
      <w:pPr>
        <w:autoSpaceDE w:val="0"/>
        <w:autoSpaceDN w:val="0"/>
        <w:adjustRightInd w:val="0"/>
        <w:spacing w:after="0" w:line="240" w:lineRule="auto"/>
        <w:rPr>
          <w:rFonts w:ascii="Times New Roman" w:hAnsi="Times New Roman" w:cs="Times New Roman"/>
          <w:i/>
          <w:iCs/>
          <w:color w:val="000000"/>
          <w:u w:val="single"/>
        </w:rPr>
      </w:pPr>
      <w:r w:rsidRPr="00570F2A">
        <w:rPr>
          <w:rFonts w:ascii="Times New Roman" w:hAnsi="Times New Roman" w:cs="Times New Roman"/>
          <w:i/>
          <w:iCs/>
          <w:color w:val="000000"/>
          <w:u w:val="single"/>
        </w:rPr>
        <w:t>AMB11</w:t>
      </w:r>
      <w:r w:rsidR="00057907" w:rsidRPr="00570F2A">
        <w:rPr>
          <w:rFonts w:ascii="Times New Roman" w:hAnsi="Times New Roman" w:cs="Times New Roman"/>
          <w:i/>
          <w:iCs/>
          <w:color w:val="000000"/>
          <w:u w:val="single"/>
        </w:rPr>
        <w:t>4</w:t>
      </w:r>
      <w:r w:rsidRPr="00570F2A">
        <w:rPr>
          <w:rFonts w:ascii="Times New Roman" w:hAnsi="Times New Roman" w:cs="Times New Roman"/>
          <w:i/>
          <w:iCs/>
          <w:color w:val="000000"/>
          <w:u w:val="single"/>
        </w:rPr>
        <w:t xml:space="preserve">588 tyrimas </w:t>
      </w:r>
    </w:p>
    <w:p w14:paraId="71A0925E" w14:textId="0315E0C9" w:rsidR="00BC2435" w:rsidRDefault="001E7EFF" w:rsidP="001E7EFF">
      <w:pPr>
        <w:spacing w:after="0" w:line="240" w:lineRule="auto"/>
        <w:rPr>
          <w:rFonts w:ascii="Times New Roman" w:hAnsi="Times New Roman" w:cs="Times New Roman"/>
          <w:color w:val="000000"/>
        </w:rPr>
      </w:pPr>
      <w:r w:rsidRPr="00633873">
        <w:rPr>
          <w:rFonts w:ascii="Times New Roman" w:hAnsi="Times New Roman" w:cs="Times New Roman"/>
          <w:color w:val="000000"/>
        </w:rPr>
        <w:t xml:space="preserve">Ilgalaikiai duomenys buvo gauti </w:t>
      </w:r>
      <w:r w:rsidR="003C6BC5">
        <w:rPr>
          <w:rFonts w:ascii="Times New Roman" w:hAnsi="Times New Roman" w:cs="Times New Roman"/>
          <w:color w:val="000000"/>
        </w:rPr>
        <w:t>tiriant</w:t>
      </w:r>
      <w:r w:rsidRPr="00633873">
        <w:rPr>
          <w:rFonts w:ascii="Times New Roman" w:hAnsi="Times New Roman" w:cs="Times New Roman"/>
          <w:color w:val="000000"/>
        </w:rPr>
        <w:t xml:space="preserve"> 38 </w:t>
      </w:r>
      <w:r w:rsidR="003C6BC5">
        <w:rPr>
          <w:rFonts w:ascii="Times New Roman" w:hAnsi="Times New Roman" w:cs="Times New Roman"/>
          <w:color w:val="000000"/>
        </w:rPr>
        <w:t xml:space="preserve">iš </w:t>
      </w:r>
      <w:r w:rsidR="003C6BC5" w:rsidRPr="00570F2A">
        <w:rPr>
          <w:rFonts w:ascii="Times New Roman" w:hAnsi="Times New Roman" w:cs="Times New Roman"/>
          <w:color w:val="000000"/>
        </w:rPr>
        <w:t>41 PH sergan</w:t>
      </w:r>
      <w:r w:rsidR="003C6BC5">
        <w:rPr>
          <w:rFonts w:ascii="Times New Roman" w:hAnsi="Times New Roman" w:cs="Times New Roman"/>
          <w:color w:val="000000"/>
        </w:rPr>
        <w:t>čius nuo</w:t>
      </w:r>
      <w:r w:rsidR="003C6BC5" w:rsidRPr="00570F2A">
        <w:rPr>
          <w:rFonts w:ascii="Times New Roman" w:hAnsi="Times New Roman" w:cs="Times New Roman"/>
          <w:color w:val="000000"/>
        </w:rPr>
        <w:t xml:space="preserve"> 8 iki ma</w:t>
      </w:r>
      <w:r w:rsidR="003C6BC5">
        <w:rPr>
          <w:rFonts w:ascii="Times New Roman" w:hAnsi="Times New Roman" w:cs="Times New Roman"/>
          <w:color w:val="000000"/>
        </w:rPr>
        <w:t xml:space="preserve">žiau nei </w:t>
      </w:r>
      <w:r w:rsidR="003C6BC5" w:rsidRPr="00570F2A">
        <w:rPr>
          <w:rFonts w:ascii="Times New Roman" w:hAnsi="Times New Roman" w:cs="Times New Roman"/>
          <w:color w:val="000000"/>
        </w:rPr>
        <w:t>18</w:t>
      </w:r>
      <w:r w:rsidR="003C6BC5">
        <w:rPr>
          <w:rFonts w:ascii="Times New Roman" w:hAnsi="Times New Roman" w:cs="Times New Roman"/>
          <w:color w:val="000000"/>
        </w:rPr>
        <w:t xml:space="preserve"> metų vaikų populiacijos </w:t>
      </w:r>
      <w:r w:rsidRPr="00633873">
        <w:rPr>
          <w:rFonts w:ascii="Times New Roman" w:hAnsi="Times New Roman" w:cs="Times New Roman"/>
          <w:color w:val="000000"/>
        </w:rPr>
        <w:t>pacient</w:t>
      </w:r>
      <w:r w:rsidR="003C6BC5">
        <w:rPr>
          <w:rFonts w:ascii="Times New Roman" w:hAnsi="Times New Roman" w:cs="Times New Roman"/>
          <w:color w:val="000000"/>
        </w:rPr>
        <w:t>us,</w:t>
      </w:r>
      <w:r w:rsidRPr="00633873">
        <w:rPr>
          <w:rFonts w:ascii="Times New Roman" w:hAnsi="Times New Roman" w:cs="Times New Roman"/>
          <w:color w:val="000000"/>
        </w:rPr>
        <w:t xml:space="preserve"> kuri</w:t>
      </w:r>
      <w:r w:rsidR="003C6BC5">
        <w:rPr>
          <w:rFonts w:ascii="Times New Roman" w:hAnsi="Times New Roman" w:cs="Times New Roman"/>
          <w:color w:val="000000"/>
        </w:rPr>
        <w:t>e</w:t>
      </w:r>
      <w:r w:rsidRPr="00633873">
        <w:rPr>
          <w:rFonts w:ascii="Times New Roman" w:hAnsi="Times New Roman" w:cs="Times New Roman"/>
          <w:color w:val="000000"/>
        </w:rPr>
        <w:t xml:space="preserve"> buvo gyd</w:t>
      </w:r>
      <w:r w:rsidR="003C6BC5">
        <w:rPr>
          <w:rFonts w:ascii="Times New Roman" w:hAnsi="Times New Roman" w:cs="Times New Roman"/>
          <w:color w:val="000000"/>
        </w:rPr>
        <w:t>yti</w:t>
      </w:r>
      <w:r w:rsidRPr="00633873">
        <w:rPr>
          <w:rFonts w:ascii="Times New Roman" w:hAnsi="Times New Roman" w:cs="Times New Roman"/>
          <w:color w:val="000000"/>
        </w:rPr>
        <w:t xml:space="preserve"> </w:t>
      </w:r>
      <w:proofErr w:type="spellStart"/>
      <w:r w:rsidRPr="00633873">
        <w:rPr>
          <w:rFonts w:ascii="Times New Roman" w:hAnsi="Times New Roman" w:cs="Times New Roman"/>
          <w:color w:val="000000"/>
        </w:rPr>
        <w:t>ambrisentanu</w:t>
      </w:r>
      <w:proofErr w:type="spellEnd"/>
      <w:r w:rsidRPr="00633873">
        <w:rPr>
          <w:rFonts w:ascii="Times New Roman" w:hAnsi="Times New Roman" w:cs="Times New Roman"/>
          <w:color w:val="000000"/>
        </w:rPr>
        <w:t xml:space="preserve"> 24 savaičių atsitiktinių imčių tyrimo metu. </w:t>
      </w:r>
      <w:r w:rsidR="003C6BC5">
        <w:rPr>
          <w:rFonts w:ascii="Times New Roman" w:hAnsi="Times New Roman" w:cs="Times New Roman"/>
          <w:color w:val="000000"/>
        </w:rPr>
        <w:t>Daugumai tiriamųjų, kurie perėjo į šią ilgalaikio gydymo pratęsimo fazę, buvo diagnozuota idiopatinė arba paveldima PH (</w:t>
      </w:r>
      <w:r w:rsidR="003C6BC5" w:rsidRPr="00570F2A">
        <w:rPr>
          <w:rFonts w:ascii="Times New Roman" w:hAnsi="Times New Roman" w:cs="Times New Roman"/>
          <w:color w:val="000000"/>
        </w:rPr>
        <w:t>68 %)</w:t>
      </w:r>
      <w:r w:rsidR="003C6BC5">
        <w:rPr>
          <w:rFonts w:ascii="Times New Roman" w:hAnsi="Times New Roman" w:cs="Times New Roman"/>
          <w:color w:val="000000"/>
        </w:rPr>
        <w:t xml:space="preserve">, kaip ir pradedant </w:t>
      </w:r>
      <w:r w:rsidR="003C6BC5" w:rsidRPr="003C6BC5">
        <w:rPr>
          <w:rFonts w:ascii="Times New Roman" w:hAnsi="Times New Roman" w:cs="Times New Roman"/>
          <w:i/>
          <w:iCs/>
          <w:color w:val="000000"/>
        </w:rPr>
        <w:t>AMB</w:t>
      </w:r>
      <w:r w:rsidR="003C6BC5" w:rsidRPr="00570F2A">
        <w:rPr>
          <w:rFonts w:ascii="Times New Roman" w:hAnsi="Times New Roman" w:cs="Times New Roman"/>
          <w:i/>
          <w:iCs/>
          <w:color w:val="000000"/>
        </w:rPr>
        <w:t>112529</w:t>
      </w:r>
      <w:r w:rsidR="003C6BC5">
        <w:rPr>
          <w:rFonts w:ascii="Times New Roman" w:hAnsi="Times New Roman" w:cs="Times New Roman"/>
          <w:i/>
          <w:iCs/>
          <w:color w:val="000000"/>
        </w:rPr>
        <w:t xml:space="preserve">. </w:t>
      </w:r>
      <w:r w:rsidRPr="003C6BC5">
        <w:rPr>
          <w:rFonts w:ascii="Times New Roman" w:hAnsi="Times New Roman" w:cs="Times New Roman"/>
          <w:color w:val="000000"/>
        </w:rPr>
        <w:t>Vidutinė</w:t>
      </w:r>
      <w:r w:rsidRPr="00633873">
        <w:rPr>
          <w:rFonts w:ascii="Times New Roman" w:hAnsi="Times New Roman" w:cs="Times New Roman"/>
          <w:color w:val="000000"/>
        </w:rPr>
        <w:t xml:space="preserve"> gydymo </w:t>
      </w:r>
      <w:proofErr w:type="spellStart"/>
      <w:r w:rsidRPr="00633873">
        <w:rPr>
          <w:rFonts w:ascii="Times New Roman" w:hAnsi="Times New Roman" w:cs="Times New Roman"/>
          <w:color w:val="000000"/>
        </w:rPr>
        <w:t>ambrisentanu</w:t>
      </w:r>
      <w:proofErr w:type="spellEnd"/>
      <w:r w:rsidRPr="00633873">
        <w:rPr>
          <w:rFonts w:ascii="Times New Roman" w:hAnsi="Times New Roman" w:cs="Times New Roman"/>
          <w:color w:val="000000"/>
        </w:rPr>
        <w:t xml:space="preserve"> </w:t>
      </w:r>
      <w:r w:rsidR="00577297">
        <w:rPr>
          <w:rFonts w:ascii="Times New Roman" w:hAnsi="Times New Roman" w:cs="Times New Roman"/>
          <w:color w:val="000000"/>
        </w:rPr>
        <w:t xml:space="preserve">ekspozicijos </w:t>
      </w:r>
      <w:r w:rsidRPr="00633873">
        <w:rPr>
          <w:rFonts w:ascii="Times New Roman" w:hAnsi="Times New Roman" w:cs="Times New Roman"/>
          <w:color w:val="000000"/>
        </w:rPr>
        <w:t>trukmė</w:t>
      </w:r>
      <w:r w:rsidR="00577297">
        <w:rPr>
          <w:rFonts w:ascii="Times New Roman" w:hAnsi="Times New Roman" w:cs="Times New Roman"/>
          <w:color w:val="000000"/>
        </w:rPr>
        <w:t xml:space="preserve"> (</w:t>
      </w:r>
      <w:r w:rsidR="00577297" w:rsidRPr="00577297">
        <w:rPr>
          <w:rFonts w:ascii="Times New Roman" w:hAnsi="Times New Roman" w:cs="Times New Roman"/>
          <w:color w:val="000000"/>
        </w:rPr>
        <w:t>± standartinis nuokrypis</w:t>
      </w:r>
      <w:r w:rsidR="00577297">
        <w:rPr>
          <w:rFonts w:ascii="Times New Roman" w:hAnsi="Times New Roman" w:cs="Times New Roman"/>
          <w:color w:val="000000"/>
        </w:rPr>
        <w:t>)</w:t>
      </w:r>
      <w:r w:rsidRPr="00633873">
        <w:rPr>
          <w:rFonts w:ascii="Times New Roman" w:hAnsi="Times New Roman" w:cs="Times New Roman"/>
          <w:color w:val="000000"/>
        </w:rPr>
        <w:t xml:space="preserve"> buvo</w:t>
      </w:r>
      <w:r w:rsidR="00577297">
        <w:rPr>
          <w:rFonts w:ascii="Times New Roman" w:hAnsi="Times New Roman" w:cs="Times New Roman"/>
          <w:color w:val="000000"/>
        </w:rPr>
        <w:t xml:space="preserve"> maždaug</w:t>
      </w:r>
      <w:r w:rsidRPr="00633873">
        <w:rPr>
          <w:rFonts w:ascii="Times New Roman" w:hAnsi="Times New Roman" w:cs="Times New Roman"/>
          <w:color w:val="000000"/>
        </w:rPr>
        <w:t xml:space="preserve"> 4</w:t>
      </w:r>
      <w:r w:rsidR="00577297">
        <w:rPr>
          <w:rFonts w:ascii="Times New Roman" w:hAnsi="Times New Roman" w:cs="Times New Roman"/>
          <w:color w:val="000000"/>
        </w:rPr>
        <w:t>,0</w:t>
      </w:r>
      <w:r w:rsidR="00633873" w:rsidRPr="00633873">
        <w:rPr>
          <w:rFonts w:ascii="Times New Roman" w:hAnsi="Times New Roman" w:cs="Times New Roman"/>
          <w:color w:val="000000"/>
        </w:rPr>
        <w:t> </w:t>
      </w:r>
      <w:r w:rsidRPr="00633873">
        <w:rPr>
          <w:rFonts w:ascii="Times New Roman" w:hAnsi="Times New Roman" w:cs="Times New Roman"/>
          <w:color w:val="000000"/>
        </w:rPr>
        <w:t>±</w:t>
      </w:r>
      <w:r w:rsidR="00633873" w:rsidRPr="00633873">
        <w:rPr>
          <w:rFonts w:ascii="Times New Roman" w:hAnsi="Times New Roman" w:cs="Times New Roman"/>
          <w:color w:val="000000"/>
        </w:rPr>
        <w:t> </w:t>
      </w:r>
      <w:r w:rsidR="00BC2435" w:rsidRPr="00570F2A">
        <w:rPr>
          <w:rFonts w:ascii="Times New Roman" w:hAnsi="Times New Roman" w:cs="Times New Roman"/>
          <w:color w:val="000000"/>
        </w:rPr>
        <w:t>2,5</w:t>
      </w:r>
      <w:r w:rsidR="00633873" w:rsidRPr="00633873">
        <w:rPr>
          <w:rFonts w:ascii="Times New Roman" w:hAnsi="Times New Roman" w:cs="Times New Roman"/>
          <w:color w:val="000000"/>
        </w:rPr>
        <w:t> </w:t>
      </w:r>
      <w:r w:rsidRPr="00633873">
        <w:rPr>
          <w:rFonts w:ascii="Times New Roman" w:hAnsi="Times New Roman" w:cs="Times New Roman"/>
          <w:color w:val="000000"/>
        </w:rPr>
        <w:t xml:space="preserve">metų </w:t>
      </w:r>
      <w:r w:rsidR="00BC2435">
        <w:rPr>
          <w:rFonts w:ascii="Times New Roman" w:hAnsi="Times New Roman" w:cs="Times New Roman"/>
          <w:color w:val="000000"/>
        </w:rPr>
        <w:t xml:space="preserve">(kitimo sritis – nuo </w:t>
      </w:r>
      <w:r w:rsidR="00BC2435" w:rsidRPr="00570F2A">
        <w:rPr>
          <w:rFonts w:ascii="Times New Roman" w:hAnsi="Times New Roman" w:cs="Times New Roman"/>
          <w:color w:val="000000"/>
        </w:rPr>
        <w:t>3 </w:t>
      </w:r>
      <w:r w:rsidR="00BC2435">
        <w:rPr>
          <w:rFonts w:ascii="Times New Roman" w:hAnsi="Times New Roman" w:cs="Times New Roman"/>
          <w:color w:val="000000"/>
        </w:rPr>
        <w:t>mėnesi</w:t>
      </w:r>
      <w:r w:rsidR="008B6BB5">
        <w:rPr>
          <w:rFonts w:ascii="Times New Roman" w:hAnsi="Times New Roman" w:cs="Times New Roman"/>
          <w:color w:val="000000"/>
        </w:rPr>
        <w:t>ų</w:t>
      </w:r>
      <w:r w:rsidR="00BC2435">
        <w:rPr>
          <w:rFonts w:ascii="Times New Roman" w:hAnsi="Times New Roman" w:cs="Times New Roman"/>
          <w:color w:val="000000"/>
        </w:rPr>
        <w:t xml:space="preserve"> iki </w:t>
      </w:r>
      <w:r w:rsidR="00BC2435" w:rsidRPr="00570F2A">
        <w:rPr>
          <w:rFonts w:ascii="Times New Roman" w:hAnsi="Times New Roman" w:cs="Times New Roman"/>
          <w:color w:val="000000"/>
        </w:rPr>
        <w:t>10,0 </w:t>
      </w:r>
      <w:r w:rsidR="00BC2435">
        <w:rPr>
          <w:rFonts w:ascii="Times New Roman" w:hAnsi="Times New Roman" w:cs="Times New Roman"/>
          <w:color w:val="000000"/>
        </w:rPr>
        <w:t>metų)</w:t>
      </w:r>
      <w:r w:rsidRPr="00633873">
        <w:rPr>
          <w:rFonts w:ascii="Times New Roman" w:hAnsi="Times New Roman" w:cs="Times New Roman"/>
          <w:color w:val="000000"/>
        </w:rPr>
        <w:t>. Pacientams galėjo būti skiriamas papildomas gydymas nuo PH, kaip reikalaujama atviram tyrimo pratęsimui</w:t>
      </w:r>
      <w:r w:rsidR="00BC2435">
        <w:rPr>
          <w:rFonts w:ascii="Times New Roman" w:hAnsi="Times New Roman" w:cs="Times New Roman"/>
          <w:color w:val="000000"/>
        </w:rPr>
        <w:t xml:space="preserve"> ir </w:t>
      </w:r>
      <w:proofErr w:type="spellStart"/>
      <w:r w:rsidR="00BC2435">
        <w:rPr>
          <w:rFonts w:ascii="Times New Roman" w:hAnsi="Times New Roman" w:cs="Times New Roman"/>
          <w:color w:val="000000"/>
        </w:rPr>
        <w:t>ambrisentano</w:t>
      </w:r>
      <w:proofErr w:type="spellEnd"/>
      <w:r w:rsidR="00BC2435">
        <w:rPr>
          <w:rFonts w:ascii="Times New Roman" w:hAnsi="Times New Roman" w:cs="Times New Roman"/>
          <w:color w:val="000000"/>
        </w:rPr>
        <w:t xml:space="preserve"> dozę buvo galima koreguoti po </w:t>
      </w:r>
      <w:r w:rsidR="00BC2435" w:rsidRPr="00570F2A">
        <w:rPr>
          <w:rFonts w:ascii="Times New Roman" w:hAnsi="Times New Roman" w:cs="Times New Roman"/>
          <w:color w:val="000000"/>
        </w:rPr>
        <w:t>2,5</w:t>
      </w:r>
      <w:r w:rsidR="00BC2435">
        <w:rPr>
          <w:rFonts w:ascii="Times New Roman" w:hAnsi="Times New Roman" w:cs="Times New Roman"/>
          <w:color w:val="000000"/>
        </w:rPr>
        <w:t> mg</w:t>
      </w:r>
      <w:r w:rsidRPr="00633873">
        <w:rPr>
          <w:rFonts w:ascii="Times New Roman" w:hAnsi="Times New Roman" w:cs="Times New Roman"/>
          <w:color w:val="000000"/>
        </w:rPr>
        <w:t>.</w:t>
      </w:r>
      <w:r w:rsidR="00BC2435">
        <w:rPr>
          <w:rFonts w:ascii="Times New Roman" w:hAnsi="Times New Roman" w:cs="Times New Roman"/>
          <w:color w:val="000000"/>
        </w:rPr>
        <w:t xml:space="preserve"> Iš viso </w:t>
      </w:r>
      <w:r w:rsidR="00BC2435" w:rsidRPr="00570F2A">
        <w:rPr>
          <w:rFonts w:ascii="Times New Roman" w:hAnsi="Times New Roman" w:cs="Times New Roman"/>
          <w:color w:val="000000"/>
        </w:rPr>
        <w:t>66</w:t>
      </w:r>
      <w:r w:rsidR="00BC2435">
        <w:rPr>
          <w:rFonts w:ascii="Times New Roman" w:hAnsi="Times New Roman" w:cs="Times New Roman"/>
          <w:color w:val="000000"/>
        </w:rPr>
        <w:t> </w:t>
      </w:r>
      <w:r w:rsidR="00BC2435" w:rsidRPr="00570F2A">
        <w:rPr>
          <w:rFonts w:ascii="Times New Roman" w:hAnsi="Times New Roman" w:cs="Times New Roman"/>
          <w:color w:val="000000"/>
        </w:rPr>
        <w:t>%</w:t>
      </w:r>
      <w:r w:rsidR="00BC2435">
        <w:rPr>
          <w:rFonts w:ascii="Times New Roman" w:hAnsi="Times New Roman" w:cs="Times New Roman"/>
          <w:color w:val="000000"/>
        </w:rPr>
        <w:t xml:space="preserve"> pacientų, kurių gydymas buvo tęsiamas, ir toliau vartojo tokią pat </w:t>
      </w:r>
      <w:proofErr w:type="spellStart"/>
      <w:r w:rsidR="00BC2435">
        <w:rPr>
          <w:rFonts w:ascii="Times New Roman" w:hAnsi="Times New Roman" w:cs="Times New Roman"/>
          <w:color w:val="000000"/>
        </w:rPr>
        <w:t>ambrisentano</w:t>
      </w:r>
      <w:proofErr w:type="spellEnd"/>
      <w:r w:rsidR="00BC2435">
        <w:rPr>
          <w:rFonts w:ascii="Times New Roman" w:hAnsi="Times New Roman" w:cs="Times New Roman"/>
          <w:color w:val="000000"/>
        </w:rPr>
        <w:t xml:space="preserve"> dozę, kuri buvo vartojama </w:t>
      </w:r>
      <w:r w:rsidR="00BC2435">
        <w:rPr>
          <w:rFonts w:ascii="Times New Roman" w:hAnsi="Times New Roman" w:cs="Times New Roman"/>
          <w:i/>
          <w:iCs/>
          <w:color w:val="000000"/>
        </w:rPr>
        <w:t>AMB</w:t>
      </w:r>
      <w:r w:rsidR="00BC2435" w:rsidRPr="00570F2A">
        <w:rPr>
          <w:rFonts w:ascii="Times New Roman" w:hAnsi="Times New Roman" w:cs="Times New Roman"/>
          <w:i/>
          <w:iCs/>
          <w:color w:val="000000"/>
        </w:rPr>
        <w:t>112529</w:t>
      </w:r>
      <w:r w:rsidR="00BC2435">
        <w:rPr>
          <w:rFonts w:ascii="Times New Roman" w:hAnsi="Times New Roman" w:cs="Times New Roman"/>
          <w:i/>
          <w:iCs/>
          <w:color w:val="000000"/>
        </w:rPr>
        <w:t xml:space="preserve"> </w:t>
      </w:r>
      <w:r w:rsidR="00BC2435">
        <w:rPr>
          <w:rFonts w:ascii="Times New Roman" w:hAnsi="Times New Roman" w:cs="Times New Roman"/>
          <w:color w:val="000000"/>
        </w:rPr>
        <w:t>tyrimo metu.</w:t>
      </w:r>
    </w:p>
    <w:p w14:paraId="3F20B4B2" w14:textId="1A8CACB5" w:rsidR="00BC2435" w:rsidRDefault="00BC2435" w:rsidP="001E7EFF">
      <w:pPr>
        <w:spacing w:after="0" w:line="240" w:lineRule="auto"/>
        <w:rPr>
          <w:rFonts w:ascii="Times New Roman" w:hAnsi="Times New Roman" w:cs="Times New Roman"/>
          <w:color w:val="000000"/>
        </w:rPr>
      </w:pPr>
    </w:p>
    <w:p w14:paraId="71698BD8" w14:textId="66EF8836" w:rsidR="001E7EFF" w:rsidRDefault="00BC2435" w:rsidP="001E7EFF">
      <w:pPr>
        <w:spacing w:after="0" w:line="240" w:lineRule="auto"/>
        <w:rPr>
          <w:rFonts w:ascii="Times New Roman" w:hAnsi="Times New Roman" w:cs="Times New Roman"/>
          <w:color w:val="000000"/>
        </w:rPr>
      </w:pPr>
      <w:r>
        <w:rPr>
          <w:rFonts w:ascii="Times New Roman" w:hAnsi="Times New Roman" w:cs="Times New Roman"/>
          <w:color w:val="000000"/>
        </w:rPr>
        <w:t xml:space="preserve">Klinikinės būklės pablogėjimas buvo apibrėžiamas </w:t>
      </w:r>
      <w:r w:rsidR="001E7EFF" w:rsidRPr="00633873">
        <w:rPr>
          <w:rFonts w:ascii="Times New Roman" w:hAnsi="Times New Roman" w:cs="Times New Roman"/>
          <w:color w:val="000000"/>
        </w:rPr>
        <w:t>kaip mirt</w:t>
      </w:r>
      <w:r>
        <w:rPr>
          <w:rFonts w:ascii="Times New Roman" w:hAnsi="Times New Roman" w:cs="Times New Roman"/>
          <w:color w:val="000000"/>
        </w:rPr>
        <w:t>is</w:t>
      </w:r>
      <w:r w:rsidR="001E7EFF" w:rsidRPr="00633873">
        <w:rPr>
          <w:rFonts w:ascii="Times New Roman" w:hAnsi="Times New Roman" w:cs="Times New Roman"/>
          <w:color w:val="000000"/>
        </w:rPr>
        <w:t xml:space="preserve"> (</w:t>
      </w:r>
      <w:r>
        <w:rPr>
          <w:rFonts w:ascii="Times New Roman" w:hAnsi="Times New Roman" w:cs="Times New Roman"/>
          <w:color w:val="000000"/>
        </w:rPr>
        <w:t>dėl visų</w:t>
      </w:r>
      <w:r w:rsidR="001E7EFF" w:rsidRPr="00633873">
        <w:rPr>
          <w:rFonts w:ascii="Times New Roman" w:hAnsi="Times New Roman" w:cs="Times New Roman"/>
          <w:color w:val="000000"/>
        </w:rPr>
        <w:t xml:space="preserve"> priežas</w:t>
      </w:r>
      <w:r>
        <w:rPr>
          <w:rFonts w:ascii="Times New Roman" w:hAnsi="Times New Roman" w:cs="Times New Roman"/>
          <w:color w:val="000000"/>
        </w:rPr>
        <w:t>čių</w:t>
      </w:r>
      <w:r w:rsidR="001E7EFF" w:rsidRPr="00633873">
        <w:rPr>
          <w:rFonts w:ascii="Times New Roman" w:hAnsi="Times New Roman" w:cs="Times New Roman"/>
          <w:color w:val="000000"/>
        </w:rPr>
        <w:t xml:space="preserve">), plaučių persodinimo </w:t>
      </w:r>
      <w:r>
        <w:rPr>
          <w:rFonts w:ascii="Times New Roman" w:hAnsi="Times New Roman" w:cs="Times New Roman"/>
          <w:color w:val="000000"/>
        </w:rPr>
        <w:t>ar</w:t>
      </w:r>
      <w:r w:rsidR="001E7EFF" w:rsidRPr="00633873">
        <w:rPr>
          <w:rFonts w:ascii="Times New Roman" w:hAnsi="Times New Roman" w:cs="Times New Roman"/>
          <w:color w:val="000000"/>
        </w:rPr>
        <w:t xml:space="preserve"> prieširdžių </w:t>
      </w:r>
      <w:proofErr w:type="spellStart"/>
      <w:r w:rsidR="001E7EFF" w:rsidRPr="00633873">
        <w:rPr>
          <w:rFonts w:ascii="Times New Roman" w:hAnsi="Times New Roman" w:cs="Times New Roman"/>
          <w:color w:val="000000"/>
        </w:rPr>
        <w:t>septostomij</w:t>
      </w:r>
      <w:r>
        <w:rPr>
          <w:rFonts w:ascii="Times New Roman" w:hAnsi="Times New Roman" w:cs="Times New Roman"/>
          <w:color w:val="000000"/>
        </w:rPr>
        <w:t>os</w:t>
      </w:r>
      <w:proofErr w:type="spellEnd"/>
      <w:r>
        <w:rPr>
          <w:rFonts w:ascii="Times New Roman" w:hAnsi="Times New Roman" w:cs="Times New Roman"/>
          <w:color w:val="000000"/>
        </w:rPr>
        <w:t xml:space="preserve"> paskyrimas arba</w:t>
      </w:r>
      <w:r w:rsidR="001E7EFF" w:rsidRPr="00633873">
        <w:rPr>
          <w:rFonts w:ascii="Times New Roman" w:hAnsi="Times New Roman" w:cs="Times New Roman"/>
          <w:color w:val="000000"/>
        </w:rPr>
        <w:t xml:space="preserve"> PH </w:t>
      </w:r>
      <w:r>
        <w:rPr>
          <w:rFonts w:ascii="Times New Roman" w:hAnsi="Times New Roman" w:cs="Times New Roman"/>
          <w:color w:val="000000"/>
        </w:rPr>
        <w:t>pablogėjimas</w:t>
      </w:r>
      <w:r w:rsidR="001E7EFF" w:rsidRPr="00633873">
        <w:rPr>
          <w:rFonts w:ascii="Times New Roman" w:hAnsi="Times New Roman" w:cs="Times New Roman"/>
          <w:color w:val="000000"/>
        </w:rPr>
        <w:t xml:space="preserve">, dėl kurio </w:t>
      </w:r>
      <w:r>
        <w:rPr>
          <w:rFonts w:ascii="Times New Roman" w:hAnsi="Times New Roman" w:cs="Times New Roman"/>
          <w:color w:val="000000"/>
        </w:rPr>
        <w:t>pacientas buvo</w:t>
      </w:r>
      <w:r w:rsidR="001E7EFF" w:rsidRPr="00633873">
        <w:rPr>
          <w:rFonts w:ascii="Times New Roman" w:hAnsi="Times New Roman" w:cs="Times New Roman"/>
          <w:color w:val="000000"/>
        </w:rPr>
        <w:t xml:space="preserve"> hospitaliz</w:t>
      </w:r>
      <w:r>
        <w:rPr>
          <w:rFonts w:ascii="Times New Roman" w:hAnsi="Times New Roman" w:cs="Times New Roman"/>
          <w:color w:val="000000"/>
        </w:rPr>
        <w:t>uotas</w:t>
      </w:r>
      <w:r w:rsidR="001E7EFF" w:rsidRPr="00633873">
        <w:rPr>
          <w:rFonts w:ascii="Times New Roman" w:hAnsi="Times New Roman" w:cs="Times New Roman"/>
          <w:color w:val="000000"/>
        </w:rPr>
        <w:t xml:space="preserve">, </w:t>
      </w:r>
      <w:proofErr w:type="spellStart"/>
      <w:r w:rsidR="001E7EFF" w:rsidRPr="00633873">
        <w:rPr>
          <w:rFonts w:ascii="Times New Roman" w:hAnsi="Times New Roman" w:cs="Times New Roman"/>
          <w:color w:val="000000"/>
        </w:rPr>
        <w:t>ambrisentano</w:t>
      </w:r>
      <w:proofErr w:type="spellEnd"/>
      <w:r w:rsidR="001E7EFF" w:rsidRPr="00633873">
        <w:rPr>
          <w:rFonts w:ascii="Times New Roman" w:hAnsi="Times New Roman" w:cs="Times New Roman"/>
          <w:color w:val="000000"/>
        </w:rPr>
        <w:t xml:space="preserve"> dozės </w:t>
      </w:r>
      <w:r>
        <w:rPr>
          <w:rFonts w:ascii="Times New Roman" w:hAnsi="Times New Roman" w:cs="Times New Roman"/>
          <w:color w:val="000000"/>
        </w:rPr>
        <w:t>keitimas</w:t>
      </w:r>
      <w:r w:rsidR="001E7EFF" w:rsidRPr="00633873">
        <w:rPr>
          <w:rFonts w:ascii="Times New Roman" w:hAnsi="Times New Roman" w:cs="Times New Roman"/>
          <w:color w:val="000000"/>
        </w:rPr>
        <w:t xml:space="preserve">, </w:t>
      </w:r>
      <w:r>
        <w:rPr>
          <w:rFonts w:ascii="Times New Roman" w:hAnsi="Times New Roman" w:cs="Times New Roman"/>
          <w:color w:val="000000"/>
        </w:rPr>
        <w:t xml:space="preserve">esamo tikslinio </w:t>
      </w:r>
      <w:r w:rsidR="001E7EFF" w:rsidRPr="00633873">
        <w:rPr>
          <w:rFonts w:ascii="Times New Roman" w:hAnsi="Times New Roman" w:cs="Times New Roman"/>
          <w:color w:val="000000"/>
        </w:rPr>
        <w:t xml:space="preserve">PH </w:t>
      </w:r>
      <w:r>
        <w:rPr>
          <w:rFonts w:ascii="Times New Roman" w:hAnsi="Times New Roman" w:cs="Times New Roman"/>
          <w:color w:val="000000"/>
        </w:rPr>
        <w:t xml:space="preserve">gydomojo vaistinio preparato </w:t>
      </w:r>
      <w:r w:rsidR="001E7EFF" w:rsidRPr="00633873">
        <w:rPr>
          <w:rFonts w:ascii="Times New Roman" w:hAnsi="Times New Roman" w:cs="Times New Roman"/>
          <w:color w:val="000000"/>
        </w:rPr>
        <w:t xml:space="preserve">dozės </w:t>
      </w:r>
      <w:r>
        <w:rPr>
          <w:rFonts w:ascii="Times New Roman" w:hAnsi="Times New Roman" w:cs="Times New Roman"/>
          <w:color w:val="000000"/>
        </w:rPr>
        <w:t xml:space="preserve">papildymas ar </w:t>
      </w:r>
      <w:r w:rsidR="001E7EFF" w:rsidRPr="00633873">
        <w:rPr>
          <w:rFonts w:ascii="Times New Roman" w:hAnsi="Times New Roman" w:cs="Times New Roman"/>
          <w:color w:val="000000"/>
        </w:rPr>
        <w:t>keitim</w:t>
      </w:r>
      <w:r>
        <w:rPr>
          <w:rFonts w:ascii="Times New Roman" w:hAnsi="Times New Roman" w:cs="Times New Roman"/>
          <w:color w:val="000000"/>
        </w:rPr>
        <w:t>as</w:t>
      </w:r>
      <w:r w:rsidR="001E7EFF" w:rsidRPr="00633873">
        <w:rPr>
          <w:rFonts w:ascii="Times New Roman" w:hAnsi="Times New Roman" w:cs="Times New Roman"/>
          <w:color w:val="000000"/>
        </w:rPr>
        <w:t>, funkcinės klasės pagal PSO pasunkėjim</w:t>
      </w:r>
      <w:r>
        <w:rPr>
          <w:rFonts w:ascii="Times New Roman" w:hAnsi="Times New Roman" w:cs="Times New Roman"/>
          <w:color w:val="000000"/>
        </w:rPr>
        <w:t>as</w:t>
      </w:r>
      <w:r w:rsidR="001E7EFF" w:rsidRPr="00633873">
        <w:rPr>
          <w:rFonts w:ascii="Times New Roman" w:hAnsi="Times New Roman" w:cs="Times New Roman"/>
          <w:color w:val="000000"/>
        </w:rPr>
        <w:t>, 6MĖD rodmens sumažėjim</w:t>
      </w:r>
      <w:r>
        <w:rPr>
          <w:rFonts w:ascii="Times New Roman" w:hAnsi="Times New Roman" w:cs="Times New Roman"/>
          <w:color w:val="000000"/>
        </w:rPr>
        <w:t xml:space="preserve">as </w:t>
      </w:r>
      <w:r w:rsidRPr="00570F2A">
        <w:rPr>
          <w:rFonts w:ascii="Times New Roman" w:hAnsi="Times New Roman" w:cs="Times New Roman"/>
          <w:color w:val="000000"/>
        </w:rPr>
        <w:t>20 %</w:t>
      </w:r>
      <w:r w:rsidR="001E7EFF" w:rsidRPr="00633873">
        <w:rPr>
          <w:rFonts w:ascii="Times New Roman" w:hAnsi="Times New Roman" w:cs="Times New Roman"/>
          <w:color w:val="000000"/>
        </w:rPr>
        <w:t xml:space="preserve"> ar dešiniosios širdies pusės nepakankamumo požymi</w:t>
      </w:r>
      <w:r>
        <w:rPr>
          <w:rFonts w:ascii="Times New Roman" w:hAnsi="Times New Roman" w:cs="Times New Roman"/>
          <w:color w:val="000000"/>
        </w:rPr>
        <w:t>ai</w:t>
      </w:r>
      <w:r w:rsidR="001E7EFF" w:rsidRPr="00633873">
        <w:rPr>
          <w:rFonts w:ascii="Times New Roman" w:hAnsi="Times New Roman" w:cs="Times New Roman"/>
          <w:color w:val="000000"/>
        </w:rPr>
        <w:t xml:space="preserve"> ar simptom</w:t>
      </w:r>
      <w:r>
        <w:rPr>
          <w:rFonts w:ascii="Times New Roman" w:hAnsi="Times New Roman" w:cs="Times New Roman"/>
          <w:color w:val="000000"/>
        </w:rPr>
        <w:t>ai</w:t>
      </w:r>
      <w:r w:rsidR="001E7EFF" w:rsidRPr="00633873">
        <w:rPr>
          <w:rFonts w:ascii="Times New Roman" w:hAnsi="Times New Roman" w:cs="Times New Roman"/>
          <w:color w:val="000000"/>
        </w:rPr>
        <w:t>.</w:t>
      </w:r>
      <w:r w:rsidR="00B53A9F">
        <w:rPr>
          <w:rFonts w:ascii="Times New Roman" w:hAnsi="Times New Roman" w:cs="Times New Roman"/>
          <w:color w:val="000000"/>
        </w:rPr>
        <w:t xml:space="preserve"> </w:t>
      </w:r>
      <w:r w:rsidR="00B53A9F" w:rsidRPr="00B53A9F">
        <w:rPr>
          <w:rFonts w:ascii="Times New Roman" w:hAnsi="Times New Roman" w:cs="Times New Roman"/>
          <w:color w:val="000000"/>
        </w:rPr>
        <w:t>Tais pačiais laiko momentais iš viso 71</w:t>
      </w:r>
      <w:r w:rsidR="00B53A9F">
        <w:rPr>
          <w:rFonts w:ascii="Times New Roman" w:hAnsi="Times New Roman" w:cs="Times New Roman"/>
          <w:color w:val="000000"/>
        </w:rPr>
        <w:t> </w:t>
      </w:r>
      <w:r w:rsidR="00B53A9F" w:rsidRPr="00B53A9F">
        <w:rPr>
          <w:rFonts w:ascii="Times New Roman" w:hAnsi="Times New Roman" w:cs="Times New Roman"/>
          <w:color w:val="000000"/>
        </w:rPr>
        <w:t>% pacientų PH nepablogėjo, o 11</w:t>
      </w:r>
      <w:r w:rsidR="00B53A9F">
        <w:rPr>
          <w:rFonts w:ascii="Times New Roman" w:hAnsi="Times New Roman" w:cs="Times New Roman"/>
          <w:color w:val="000000"/>
        </w:rPr>
        <w:t> </w:t>
      </w:r>
      <w:r w:rsidR="00B53A9F" w:rsidRPr="00B53A9F">
        <w:rPr>
          <w:rFonts w:ascii="Times New Roman" w:hAnsi="Times New Roman" w:cs="Times New Roman"/>
          <w:color w:val="000000"/>
        </w:rPr>
        <w:t>dalyvių (29</w:t>
      </w:r>
      <w:r w:rsidR="00B53A9F">
        <w:rPr>
          <w:rFonts w:ascii="Times New Roman" w:hAnsi="Times New Roman" w:cs="Times New Roman"/>
          <w:color w:val="000000"/>
        </w:rPr>
        <w:t> </w:t>
      </w:r>
      <w:r w:rsidR="00B53A9F" w:rsidRPr="00B53A9F">
        <w:rPr>
          <w:rFonts w:ascii="Times New Roman" w:hAnsi="Times New Roman" w:cs="Times New Roman"/>
          <w:color w:val="000000"/>
        </w:rPr>
        <w:t>%) visose 4</w:t>
      </w:r>
      <w:r w:rsidR="00B53A9F">
        <w:rPr>
          <w:rFonts w:ascii="Times New Roman" w:hAnsi="Times New Roman" w:cs="Times New Roman"/>
          <w:color w:val="000000"/>
        </w:rPr>
        <w:t> </w:t>
      </w:r>
      <w:r w:rsidR="00B53A9F" w:rsidRPr="00B53A9F">
        <w:rPr>
          <w:rFonts w:ascii="Times New Roman" w:hAnsi="Times New Roman" w:cs="Times New Roman"/>
          <w:color w:val="000000"/>
        </w:rPr>
        <w:t>dozių grupėse pasireiškė klinikinis PH pablogėjimas pagal bent 1</w:t>
      </w:r>
      <w:r w:rsidR="00B53A9F">
        <w:rPr>
          <w:rFonts w:ascii="Times New Roman" w:hAnsi="Times New Roman" w:cs="Times New Roman"/>
          <w:color w:val="000000"/>
        </w:rPr>
        <w:t> </w:t>
      </w:r>
      <w:r w:rsidR="00B53A9F" w:rsidRPr="00B53A9F">
        <w:rPr>
          <w:rFonts w:ascii="Times New Roman" w:hAnsi="Times New Roman" w:cs="Times New Roman"/>
          <w:color w:val="000000"/>
        </w:rPr>
        <w:t>kriterijų, daugiau nei 1</w:t>
      </w:r>
      <w:r w:rsidR="00B53A9F">
        <w:rPr>
          <w:rFonts w:ascii="Times New Roman" w:hAnsi="Times New Roman" w:cs="Times New Roman"/>
          <w:color w:val="000000"/>
        </w:rPr>
        <w:t> </w:t>
      </w:r>
      <w:r w:rsidR="00B53A9F" w:rsidRPr="00B53A9F">
        <w:rPr>
          <w:rFonts w:ascii="Times New Roman" w:hAnsi="Times New Roman" w:cs="Times New Roman"/>
          <w:color w:val="000000"/>
        </w:rPr>
        <w:t>klinikinio pablogėjimo kriterijų atitiko 5 iš 11</w:t>
      </w:r>
      <w:r w:rsidR="00B53A9F">
        <w:rPr>
          <w:rFonts w:ascii="Times New Roman" w:hAnsi="Times New Roman" w:cs="Times New Roman"/>
          <w:color w:val="000000"/>
        </w:rPr>
        <w:t> </w:t>
      </w:r>
      <w:r w:rsidR="00B53A9F" w:rsidRPr="00B53A9F">
        <w:rPr>
          <w:rFonts w:ascii="Times New Roman" w:hAnsi="Times New Roman" w:cs="Times New Roman"/>
          <w:color w:val="000000"/>
        </w:rPr>
        <w:t>dalyvių (45</w:t>
      </w:r>
      <w:r w:rsidR="00B53A9F">
        <w:rPr>
          <w:rFonts w:ascii="Times New Roman" w:hAnsi="Times New Roman" w:cs="Times New Roman"/>
          <w:color w:val="000000"/>
        </w:rPr>
        <w:t> </w:t>
      </w:r>
      <w:r w:rsidR="00B53A9F" w:rsidRPr="00B53A9F">
        <w:rPr>
          <w:rFonts w:ascii="Times New Roman" w:hAnsi="Times New Roman" w:cs="Times New Roman"/>
          <w:color w:val="000000"/>
        </w:rPr>
        <w:t>%). Kaplano-Mejerio išgyvenamumo įverčiai praėjus 3 ir 4</w:t>
      </w:r>
      <w:r w:rsidR="00B53A9F">
        <w:rPr>
          <w:rFonts w:ascii="Times New Roman" w:hAnsi="Times New Roman" w:cs="Times New Roman"/>
          <w:color w:val="000000"/>
        </w:rPr>
        <w:t> </w:t>
      </w:r>
      <w:r w:rsidR="00B53A9F" w:rsidRPr="00B53A9F">
        <w:rPr>
          <w:rFonts w:ascii="Times New Roman" w:hAnsi="Times New Roman" w:cs="Times New Roman"/>
          <w:color w:val="000000"/>
        </w:rPr>
        <w:t>metams nuo gydymo pradžios buvo 94,74</w:t>
      </w:r>
      <w:r w:rsidR="00B53A9F">
        <w:rPr>
          <w:rFonts w:ascii="Times New Roman" w:hAnsi="Times New Roman" w:cs="Times New Roman"/>
          <w:color w:val="000000"/>
        </w:rPr>
        <w:t> </w:t>
      </w:r>
      <w:r w:rsidR="00B53A9F" w:rsidRPr="00B53A9F">
        <w:rPr>
          <w:rFonts w:ascii="Times New Roman" w:hAnsi="Times New Roman" w:cs="Times New Roman"/>
          <w:color w:val="000000"/>
        </w:rPr>
        <w:t>% ir 92,11</w:t>
      </w:r>
      <w:r w:rsidR="00B53A9F">
        <w:rPr>
          <w:rFonts w:ascii="Times New Roman" w:hAnsi="Times New Roman" w:cs="Times New Roman"/>
          <w:color w:val="000000"/>
        </w:rPr>
        <w:t> </w:t>
      </w:r>
      <w:r w:rsidR="00B53A9F" w:rsidRPr="00B53A9F">
        <w:rPr>
          <w:rFonts w:ascii="Times New Roman" w:hAnsi="Times New Roman" w:cs="Times New Roman"/>
          <w:color w:val="000000"/>
        </w:rPr>
        <w:t>%.</w:t>
      </w:r>
    </w:p>
    <w:p w14:paraId="68B6DB8F" w14:textId="4B981A15" w:rsidR="00B53A9F" w:rsidRDefault="00B53A9F" w:rsidP="001E7EFF">
      <w:pPr>
        <w:spacing w:after="0" w:line="240" w:lineRule="auto"/>
        <w:rPr>
          <w:rFonts w:ascii="Times New Roman" w:hAnsi="Times New Roman" w:cs="Times New Roman"/>
          <w:color w:val="000000"/>
        </w:rPr>
      </w:pPr>
    </w:p>
    <w:p w14:paraId="252D864D" w14:textId="0B36E32A" w:rsidR="00B53A9F" w:rsidRDefault="00B53A9F" w:rsidP="001E7EFF">
      <w:pPr>
        <w:spacing w:after="0" w:line="240" w:lineRule="auto"/>
        <w:rPr>
          <w:rFonts w:ascii="Times New Roman" w:hAnsi="Times New Roman" w:cs="Times New Roman"/>
          <w:color w:val="000000"/>
        </w:rPr>
      </w:pPr>
      <w:r w:rsidRPr="00B53A9F">
        <w:rPr>
          <w:rFonts w:ascii="Times New Roman" w:hAnsi="Times New Roman" w:cs="Times New Roman"/>
          <w:color w:val="000000"/>
        </w:rPr>
        <w:t xml:space="preserve">Pokyčiai nuo </w:t>
      </w:r>
      <w:r w:rsidRPr="00570F2A">
        <w:rPr>
          <w:rFonts w:ascii="Times New Roman" w:hAnsi="Times New Roman" w:cs="Times New Roman"/>
          <w:i/>
          <w:iCs/>
          <w:color w:val="000000"/>
        </w:rPr>
        <w:t>AMB112529</w:t>
      </w:r>
      <w:r w:rsidRPr="00B53A9F">
        <w:rPr>
          <w:rFonts w:ascii="Times New Roman" w:hAnsi="Times New Roman" w:cs="Times New Roman"/>
          <w:color w:val="000000"/>
        </w:rPr>
        <w:t xml:space="preserve"> pradžios iki pratęsimo tyrimo pabaigos atskleidė, kad visų dozių grupėse 6MĖD rodmuo vidutiniškai pailgėjo 58,4</w:t>
      </w:r>
      <w:r>
        <w:rPr>
          <w:rFonts w:ascii="Times New Roman" w:hAnsi="Times New Roman" w:cs="Times New Roman"/>
          <w:color w:val="000000"/>
        </w:rPr>
        <w:t> </w:t>
      </w:r>
      <w:r w:rsidRPr="00B53A9F">
        <w:rPr>
          <w:rFonts w:ascii="Times New Roman" w:hAnsi="Times New Roman" w:cs="Times New Roman"/>
          <w:color w:val="000000"/>
        </w:rPr>
        <w:t>±</w:t>
      </w:r>
      <w:r>
        <w:rPr>
          <w:rFonts w:ascii="Times New Roman" w:hAnsi="Times New Roman" w:cs="Times New Roman"/>
          <w:color w:val="000000"/>
        </w:rPr>
        <w:t> </w:t>
      </w:r>
      <w:r w:rsidRPr="00B53A9F">
        <w:rPr>
          <w:rFonts w:ascii="Times New Roman" w:hAnsi="Times New Roman" w:cs="Times New Roman"/>
          <w:color w:val="000000"/>
        </w:rPr>
        <w:t>88</w:t>
      </w:r>
      <w:r>
        <w:rPr>
          <w:rFonts w:ascii="Times New Roman" w:hAnsi="Times New Roman" w:cs="Times New Roman"/>
          <w:color w:val="000000"/>
        </w:rPr>
        <w:t> </w:t>
      </w:r>
      <w:r w:rsidRPr="00B53A9F">
        <w:rPr>
          <w:rFonts w:ascii="Times New Roman" w:hAnsi="Times New Roman" w:cs="Times New Roman"/>
          <w:color w:val="000000"/>
        </w:rPr>
        <w:t>metrais (17</w:t>
      </w:r>
      <w:r>
        <w:rPr>
          <w:rFonts w:ascii="Times New Roman" w:hAnsi="Times New Roman" w:cs="Times New Roman"/>
          <w:color w:val="000000"/>
        </w:rPr>
        <w:t> </w:t>
      </w:r>
      <w:r w:rsidRPr="00B53A9F">
        <w:rPr>
          <w:rFonts w:ascii="Times New Roman" w:hAnsi="Times New Roman" w:cs="Times New Roman"/>
          <w:color w:val="000000"/>
        </w:rPr>
        <w:t>% pagerėjimas, palyginti su pradiniu rodmeniu).</w:t>
      </w:r>
    </w:p>
    <w:p w14:paraId="53B57B21" w14:textId="3E0CBD5D" w:rsidR="00B53A9F" w:rsidRDefault="00B53A9F" w:rsidP="001E7EFF">
      <w:pPr>
        <w:spacing w:after="0" w:line="240" w:lineRule="auto"/>
        <w:rPr>
          <w:rFonts w:ascii="Times New Roman" w:hAnsi="Times New Roman" w:cs="Times New Roman"/>
          <w:color w:val="000000"/>
        </w:rPr>
      </w:pPr>
    </w:p>
    <w:p w14:paraId="09C97374" w14:textId="5889655C" w:rsidR="00B53A9F" w:rsidRPr="00633873" w:rsidRDefault="00B53A9F" w:rsidP="001E7EFF">
      <w:pPr>
        <w:spacing w:after="0" w:line="240" w:lineRule="auto"/>
        <w:rPr>
          <w:rFonts w:ascii="Times New Roman" w:hAnsi="Times New Roman" w:cs="Times New Roman"/>
          <w:color w:val="000000"/>
        </w:rPr>
      </w:pPr>
      <w:r w:rsidRPr="00B53A9F">
        <w:rPr>
          <w:rFonts w:ascii="Times New Roman" w:hAnsi="Times New Roman" w:cs="Times New Roman"/>
          <w:color w:val="000000"/>
        </w:rPr>
        <w:t xml:space="preserve">Įtraukiant į </w:t>
      </w:r>
      <w:r w:rsidRPr="00570F2A">
        <w:rPr>
          <w:rFonts w:ascii="Times New Roman" w:hAnsi="Times New Roman" w:cs="Times New Roman"/>
          <w:i/>
          <w:iCs/>
          <w:color w:val="000000"/>
        </w:rPr>
        <w:t>AMB114588</w:t>
      </w:r>
      <w:r w:rsidRPr="00B53A9F">
        <w:rPr>
          <w:rFonts w:ascii="Times New Roman" w:hAnsi="Times New Roman" w:cs="Times New Roman"/>
          <w:color w:val="000000"/>
        </w:rPr>
        <w:t xml:space="preserve"> tyrimą, dalyviams buvo diagnozuoti visų 4</w:t>
      </w:r>
      <w:r>
        <w:rPr>
          <w:rFonts w:ascii="Times New Roman" w:hAnsi="Times New Roman" w:cs="Times New Roman"/>
          <w:color w:val="000000"/>
        </w:rPr>
        <w:t> </w:t>
      </w:r>
      <w:r w:rsidRPr="00B53A9F">
        <w:rPr>
          <w:rFonts w:ascii="Times New Roman" w:hAnsi="Times New Roman" w:cs="Times New Roman"/>
          <w:color w:val="000000"/>
        </w:rPr>
        <w:t>PSO funkcinių klasių (I, II, III ir IV) sutrikimai, iš kurių daugiau nei pusė dalyvių atitiko II klasės reikalavimus (n</w:t>
      </w:r>
      <w:r>
        <w:rPr>
          <w:rFonts w:ascii="Times New Roman" w:hAnsi="Times New Roman" w:cs="Times New Roman"/>
          <w:color w:val="000000"/>
        </w:rPr>
        <w:t> </w:t>
      </w:r>
      <w:r w:rsidRPr="00B53A9F">
        <w:rPr>
          <w:rFonts w:ascii="Times New Roman" w:hAnsi="Times New Roman" w:cs="Times New Roman"/>
          <w:color w:val="000000"/>
        </w:rPr>
        <w:t>=</w:t>
      </w:r>
      <w:r>
        <w:rPr>
          <w:rFonts w:ascii="Times New Roman" w:hAnsi="Times New Roman" w:cs="Times New Roman"/>
          <w:color w:val="000000"/>
        </w:rPr>
        <w:t> </w:t>
      </w:r>
      <w:r w:rsidRPr="00B53A9F">
        <w:rPr>
          <w:rFonts w:ascii="Times New Roman" w:hAnsi="Times New Roman" w:cs="Times New Roman"/>
          <w:color w:val="000000"/>
        </w:rPr>
        <w:t>22; 58</w:t>
      </w:r>
      <w:r>
        <w:rPr>
          <w:rFonts w:ascii="Times New Roman" w:hAnsi="Times New Roman" w:cs="Times New Roman"/>
          <w:color w:val="000000"/>
        </w:rPr>
        <w:t> </w:t>
      </w:r>
      <w:r w:rsidRPr="00B53A9F">
        <w:rPr>
          <w:rFonts w:ascii="Times New Roman" w:hAnsi="Times New Roman" w:cs="Times New Roman"/>
          <w:color w:val="000000"/>
        </w:rPr>
        <w:t>%), o kiti dalyviai atitiko I klasės (n</w:t>
      </w:r>
      <w:r>
        <w:rPr>
          <w:rFonts w:ascii="Times New Roman" w:hAnsi="Times New Roman" w:cs="Times New Roman"/>
          <w:color w:val="000000"/>
        </w:rPr>
        <w:t> </w:t>
      </w:r>
      <w:r w:rsidRPr="00B53A9F">
        <w:rPr>
          <w:rFonts w:ascii="Times New Roman" w:hAnsi="Times New Roman" w:cs="Times New Roman"/>
          <w:color w:val="000000"/>
        </w:rPr>
        <w:t>=</w:t>
      </w:r>
      <w:r>
        <w:rPr>
          <w:rFonts w:ascii="Times New Roman" w:hAnsi="Times New Roman" w:cs="Times New Roman"/>
          <w:color w:val="000000"/>
        </w:rPr>
        <w:t> </w:t>
      </w:r>
      <w:r w:rsidRPr="00B53A9F">
        <w:rPr>
          <w:rFonts w:ascii="Times New Roman" w:hAnsi="Times New Roman" w:cs="Times New Roman"/>
          <w:color w:val="000000"/>
        </w:rPr>
        <w:t>9; 24</w:t>
      </w:r>
      <w:r>
        <w:rPr>
          <w:rFonts w:ascii="Times New Roman" w:hAnsi="Times New Roman" w:cs="Times New Roman"/>
          <w:color w:val="000000"/>
        </w:rPr>
        <w:t> </w:t>
      </w:r>
      <w:r w:rsidRPr="00B53A9F">
        <w:rPr>
          <w:rFonts w:ascii="Times New Roman" w:hAnsi="Times New Roman" w:cs="Times New Roman"/>
          <w:color w:val="000000"/>
        </w:rPr>
        <w:t>%), III klasės (n</w:t>
      </w:r>
      <w:r>
        <w:rPr>
          <w:rFonts w:ascii="Times New Roman" w:hAnsi="Times New Roman" w:cs="Times New Roman"/>
          <w:color w:val="000000"/>
        </w:rPr>
        <w:t> </w:t>
      </w:r>
      <w:r w:rsidRPr="00B53A9F">
        <w:rPr>
          <w:rFonts w:ascii="Times New Roman" w:hAnsi="Times New Roman" w:cs="Times New Roman"/>
          <w:color w:val="000000"/>
        </w:rPr>
        <w:t>=</w:t>
      </w:r>
      <w:r>
        <w:rPr>
          <w:rFonts w:ascii="Times New Roman" w:hAnsi="Times New Roman" w:cs="Times New Roman"/>
          <w:color w:val="000000"/>
        </w:rPr>
        <w:t> </w:t>
      </w:r>
      <w:r w:rsidRPr="00B53A9F">
        <w:rPr>
          <w:rFonts w:ascii="Times New Roman" w:hAnsi="Times New Roman" w:cs="Times New Roman"/>
          <w:color w:val="000000"/>
        </w:rPr>
        <w:t>6; 16</w:t>
      </w:r>
      <w:r>
        <w:rPr>
          <w:rFonts w:ascii="Times New Roman" w:hAnsi="Times New Roman" w:cs="Times New Roman"/>
          <w:color w:val="000000"/>
        </w:rPr>
        <w:t> </w:t>
      </w:r>
      <w:r w:rsidRPr="00B53A9F">
        <w:rPr>
          <w:rFonts w:ascii="Times New Roman" w:hAnsi="Times New Roman" w:cs="Times New Roman"/>
          <w:color w:val="000000"/>
        </w:rPr>
        <w:t>%) arba IV klasės (n</w:t>
      </w:r>
      <w:r>
        <w:rPr>
          <w:rFonts w:ascii="Times New Roman" w:hAnsi="Times New Roman" w:cs="Times New Roman"/>
          <w:color w:val="000000"/>
        </w:rPr>
        <w:t> </w:t>
      </w:r>
      <w:r w:rsidRPr="00B53A9F">
        <w:rPr>
          <w:rFonts w:ascii="Times New Roman" w:hAnsi="Times New Roman" w:cs="Times New Roman"/>
          <w:color w:val="000000"/>
        </w:rPr>
        <w:t>=</w:t>
      </w:r>
      <w:r>
        <w:rPr>
          <w:rFonts w:ascii="Times New Roman" w:hAnsi="Times New Roman" w:cs="Times New Roman"/>
          <w:color w:val="000000"/>
        </w:rPr>
        <w:t> </w:t>
      </w:r>
      <w:r w:rsidRPr="00B53A9F">
        <w:rPr>
          <w:rFonts w:ascii="Times New Roman" w:hAnsi="Times New Roman" w:cs="Times New Roman"/>
          <w:color w:val="000000"/>
        </w:rPr>
        <w:t>1; 3</w:t>
      </w:r>
      <w:r>
        <w:rPr>
          <w:rFonts w:ascii="Times New Roman" w:hAnsi="Times New Roman" w:cs="Times New Roman"/>
          <w:color w:val="000000"/>
        </w:rPr>
        <w:t> </w:t>
      </w:r>
      <w:r w:rsidRPr="00B53A9F">
        <w:rPr>
          <w:rFonts w:ascii="Times New Roman" w:hAnsi="Times New Roman" w:cs="Times New Roman"/>
          <w:color w:val="000000"/>
        </w:rPr>
        <w:t xml:space="preserve">%) reikalavimus. Pokyčiai per laikotarpį nuo </w:t>
      </w:r>
      <w:r w:rsidRPr="00570F2A">
        <w:rPr>
          <w:rFonts w:ascii="Times New Roman" w:hAnsi="Times New Roman" w:cs="Times New Roman"/>
          <w:i/>
          <w:iCs/>
          <w:color w:val="000000"/>
        </w:rPr>
        <w:t>AMB112529</w:t>
      </w:r>
      <w:r w:rsidRPr="00B53A9F">
        <w:rPr>
          <w:rFonts w:ascii="Times New Roman" w:hAnsi="Times New Roman" w:cs="Times New Roman"/>
          <w:color w:val="000000"/>
        </w:rPr>
        <w:t xml:space="preserve"> pradžios iki pratęsimo tyrimo pabaigos (N</w:t>
      </w:r>
      <w:r>
        <w:rPr>
          <w:rFonts w:ascii="Times New Roman" w:hAnsi="Times New Roman" w:cs="Times New Roman"/>
          <w:color w:val="000000"/>
        </w:rPr>
        <w:t> </w:t>
      </w:r>
      <w:r w:rsidRPr="00B53A9F">
        <w:rPr>
          <w:rFonts w:ascii="Times New Roman" w:hAnsi="Times New Roman" w:cs="Times New Roman"/>
          <w:color w:val="000000"/>
        </w:rPr>
        <w:t>=</w:t>
      </w:r>
      <w:r>
        <w:rPr>
          <w:rFonts w:ascii="Times New Roman" w:hAnsi="Times New Roman" w:cs="Times New Roman"/>
          <w:color w:val="000000"/>
        </w:rPr>
        <w:t> </w:t>
      </w:r>
      <w:r w:rsidRPr="00B53A9F">
        <w:rPr>
          <w:rFonts w:ascii="Times New Roman" w:hAnsi="Times New Roman" w:cs="Times New Roman"/>
          <w:color w:val="000000"/>
        </w:rPr>
        <w:t>29) parodė, kad PSO funkcinė klasė pagerėjo (45</w:t>
      </w:r>
      <w:r>
        <w:rPr>
          <w:rFonts w:ascii="Times New Roman" w:hAnsi="Times New Roman" w:cs="Times New Roman"/>
          <w:color w:val="000000"/>
        </w:rPr>
        <w:t> </w:t>
      </w:r>
      <w:r w:rsidRPr="00B53A9F">
        <w:rPr>
          <w:rFonts w:ascii="Times New Roman" w:hAnsi="Times New Roman" w:cs="Times New Roman"/>
          <w:color w:val="000000"/>
        </w:rPr>
        <w:t>%) arba nepasikeitė (55</w:t>
      </w:r>
      <w:r>
        <w:rPr>
          <w:rFonts w:ascii="Times New Roman" w:hAnsi="Times New Roman" w:cs="Times New Roman"/>
          <w:color w:val="000000"/>
        </w:rPr>
        <w:t> </w:t>
      </w:r>
      <w:r w:rsidRPr="00B53A9F">
        <w:rPr>
          <w:rFonts w:ascii="Times New Roman" w:hAnsi="Times New Roman" w:cs="Times New Roman"/>
          <w:color w:val="000000"/>
        </w:rPr>
        <w:t>%) ir nebuvo PSO funkcinės klasės pablogėjimo, be to buvo stebėtas 6MĖD rodmens vidutinis padidėjimas 17,0</w:t>
      </w:r>
      <w:r>
        <w:rPr>
          <w:rFonts w:ascii="Times New Roman" w:hAnsi="Times New Roman" w:cs="Times New Roman"/>
          <w:color w:val="000000"/>
        </w:rPr>
        <w:t> </w:t>
      </w:r>
      <w:r w:rsidRPr="00B53A9F">
        <w:rPr>
          <w:rFonts w:ascii="Times New Roman" w:hAnsi="Times New Roman" w:cs="Times New Roman"/>
          <w:color w:val="000000"/>
        </w:rPr>
        <w:t>%.</w:t>
      </w:r>
    </w:p>
    <w:p w14:paraId="486EDCBC" w14:textId="77777777" w:rsidR="001E7EFF" w:rsidRPr="00633873" w:rsidRDefault="001E7EFF" w:rsidP="001E7EFF">
      <w:pPr>
        <w:spacing w:after="0" w:line="240" w:lineRule="auto"/>
        <w:rPr>
          <w:rFonts w:ascii="Times New Roman" w:hAnsi="Times New Roman" w:cs="Times New Roman"/>
          <w:color w:val="000000"/>
        </w:rPr>
      </w:pPr>
    </w:p>
    <w:p w14:paraId="15AD6B2D"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5.2</w:t>
      </w:r>
      <w:r w:rsidRPr="00633873">
        <w:rPr>
          <w:rFonts w:ascii="Times New Roman" w:eastAsia="Times New Roman" w:hAnsi="Times New Roman" w:cs="Times New Roman"/>
          <w:b/>
          <w:kern w:val="28"/>
        </w:rPr>
        <w:tab/>
      </w:r>
      <w:proofErr w:type="spellStart"/>
      <w:r w:rsidRPr="00633873">
        <w:rPr>
          <w:rFonts w:ascii="Times New Roman" w:eastAsia="Times New Roman" w:hAnsi="Times New Roman" w:cs="Times New Roman"/>
          <w:b/>
          <w:kern w:val="28"/>
        </w:rPr>
        <w:t>Farmakokinetinės</w:t>
      </w:r>
      <w:proofErr w:type="spellEnd"/>
      <w:r w:rsidRPr="00633873">
        <w:rPr>
          <w:rFonts w:ascii="Times New Roman" w:eastAsia="Times New Roman" w:hAnsi="Times New Roman" w:cs="Times New Roman"/>
          <w:b/>
          <w:kern w:val="28"/>
        </w:rPr>
        <w:t xml:space="preserve"> savybės</w:t>
      </w:r>
    </w:p>
    <w:p w14:paraId="38F54EA7"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35D72413" w14:textId="20DACB30" w:rsidR="00A35A18"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r w:rsidRPr="00633873">
        <w:rPr>
          <w:rFonts w:ascii="Times New Roman" w:eastAsia="Times New Roman" w:hAnsi="Times New Roman" w:cs="Times New Roman"/>
          <w:snapToGrid w:val="0"/>
          <w:u w:val="single"/>
          <w:lang w:eastAsia="da-DK"/>
        </w:rPr>
        <w:t>Absorbcija</w:t>
      </w:r>
    </w:p>
    <w:p w14:paraId="04B1C0EA" w14:textId="77777777" w:rsidR="00B53A9F" w:rsidRPr="00633873" w:rsidRDefault="00B53A9F"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p>
    <w:p w14:paraId="198FCAB7" w14:textId="2D37D30A"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Žmogaus organizme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absorbuojamas greitai. Didžiausia išgerto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koncentracija </w:t>
      </w:r>
      <w:r w:rsidR="00634190" w:rsidRPr="00633873">
        <w:rPr>
          <w:rFonts w:ascii="Times New Roman" w:eastAsia="Times New Roman" w:hAnsi="Times New Roman" w:cs="Times New Roman"/>
          <w:snapToGrid w:val="0"/>
          <w:lang w:eastAsia="da-DK"/>
        </w:rPr>
        <w:t xml:space="preserve">kraujo </w:t>
      </w:r>
      <w:r w:rsidRPr="00633873">
        <w:rPr>
          <w:rFonts w:ascii="Times New Roman" w:eastAsia="Times New Roman" w:hAnsi="Times New Roman" w:cs="Times New Roman"/>
          <w:snapToGrid w:val="0"/>
          <w:lang w:eastAsia="da-DK"/>
        </w:rPr>
        <w:t>plazmoje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paprastai susidaro praėjus maždaug 1,5 valandos po dozės išgėrimo nevalgius arba pavalgius. Vartojant gydomąsias vaistinio preparato dozes,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ir plotas po koncentracijos kraujo plazmoje laiko atžvilgiu kreive (AUC) didėja proporcingai dozei. </w:t>
      </w:r>
      <w:proofErr w:type="spellStart"/>
      <w:r w:rsidRPr="00633873">
        <w:rPr>
          <w:rFonts w:ascii="Times New Roman" w:eastAsia="Times New Roman" w:hAnsi="Times New Roman" w:cs="Times New Roman"/>
          <w:snapToGrid w:val="0"/>
          <w:lang w:eastAsia="da-DK"/>
        </w:rPr>
        <w:t>Pusiausvyr</w:t>
      </w:r>
      <w:r w:rsidR="00244F5D" w:rsidRPr="00633873">
        <w:rPr>
          <w:rFonts w:ascii="Times New Roman" w:eastAsia="Times New Roman" w:hAnsi="Times New Roman" w:cs="Times New Roman"/>
          <w:snapToGrid w:val="0"/>
          <w:lang w:eastAsia="da-DK"/>
        </w:rPr>
        <w:t>inė</w:t>
      </w:r>
      <w:proofErr w:type="spellEnd"/>
      <w:r w:rsidRPr="00633873">
        <w:rPr>
          <w:rFonts w:ascii="Times New Roman" w:eastAsia="Times New Roman" w:hAnsi="Times New Roman" w:cs="Times New Roman"/>
          <w:snapToGrid w:val="0"/>
          <w:lang w:eastAsia="da-DK"/>
        </w:rPr>
        <w:t xml:space="preserve"> </w:t>
      </w:r>
      <w:r w:rsidR="00244F5D" w:rsidRPr="00633873">
        <w:rPr>
          <w:rFonts w:ascii="Times New Roman" w:eastAsia="Times New Roman" w:hAnsi="Times New Roman" w:cs="Times New Roman"/>
          <w:snapToGrid w:val="0"/>
          <w:lang w:eastAsia="da-DK"/>
        </w:rPr>
        <w:t>koncentracija</w:t>
      </w:r>
      <w:r w:rsidRPr="00633873">
        <w:rPr>
          <w:rFonts w:ascii="Times New Roman" w:eastAsia="Times New Roman" w:hAnsi="Times New Roman" w:cs="Times New Roman"/>
          <w:snapToGrid w:val="0"/>
          <w:lang w:eastAsia="da-DK"/>
        </w:rPr>
        <w:t xml:space="preserve"> paprastai </w:t>
      </w:r>
      <w:r w:rsidR="00244F5D" w:rsidRPr="00633873">
        <w:rPr>
          <w:rFonts w:ascii="Times New Roman" w:eastAsia="Times New Roman" w:hAnsi="Times New Roman" w:cs="Times New Roman"/>
          <w:snapToGrid w:val="0"/>
          <w:lang w:eastAsia="da-DK"/>
        </w:rPr>
        <w:t>susidaro</w:t>
      </w:r>
      <w:r w:rsidRPr="00633873">
        <w:rPr>
          <w:rFonts w:ascii="Times New Roman" w:eastAsia="Times New Roman" w:hAnsi="Times New Roman" w:cs="Times New Roman"/>
          <w:snapToGrid w:val="0"/>
          <w:lang w:eastAsia="da-DK"/>
        </w:rPr>
        <w:t xml:space="preserve"> vartojant kartotines vaistinio preparato dozes 4</w:t>
      </w:r>
      <w:r w:rsidR="00634190"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dienas.</w:t>
      </w:r>
    </w:p>
    <w:p w14:paraId="3C6091D7" w14:textId="51A7FADA"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Atliekant maisto poveikio </w:t>
      </w:r>
      <w:proofErr w:type="spellStart"/>
      <w:r w:rsidRPr="00633873">
        <w:rPr>
          <w:rFonts w:ascii="Times New Roman" w:eastAsia="Times New Roman" w:hAnsi="Times New Roman" w:cs="Times New Roman"/>
          <w:snapToGrid w:val="0"/>
          <w:lang w:eastAsia="da-DK"/>
        </w:rPr>
        <w:t>ambrisentanui</w:t>
      </w:r>
      <w:proofErr w:type="spellEnd"/>
      <w:r w:rsidRPr="00633873">
        <w:rPr>
          <w:rFonts w:ascii="Times New Roman" w:eastAsia="Times New Roman" w:hAnsi="Times New Roman" w:cs="Times New Roman"/>
          <w:snapToGrid w:val="0"/>
          <w:lang w:eastAsia="da-DK"/>
        </w:rPr>
        <w:t xml:space="preserve"> tyrimą su sveikais savanoriais, skiriant </w:t>
      </w:r>
      <w:proofErr w:type="spellStart"/>
      <w:r w:rsidRPr="00633873">
        <w:rPr>
          <w:rFonts w:ascii="Times New Roman" w:eastAsia="Times New Roman" w:hAnsi="Times New Roman" w:cs="Times New Roman"/>
          <w:snapToGrid w:val="0"/>
          <w:lang w:eastAsia="da-DK"/>
        </w:rPr>
        <w:t>anbrisentaną</w:t>
      </w:r>
      <w:proofErr w:type="spellEnd"/>
      <w:r w:rsidRPr="00633873">
        <w:rPr>
          <w:rFonts w:ascii="Times New Roman" w:eastAsia="Times New Roman" w:hAnsi="Times New Roman" w:cs="Times New Roman"/>
          <w:snapToGrid w:val="0"/>
          <w:lang w:eastAsia="da-DK"/>
        </w:rPr>
        <w:t xml:space="preserve"> nevalgius ir kartu su riebiu maistu, nustatyta, kad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sumažėjo 12 %, o AUC nekito. Didžiausios koncentracijos </w:t>
      </w:r>
      <w:r w:rsidR="00244F5D" w:rsidRPr="00633873">
        <w:rPr>
          <w:rFonts w:ascii="Times New Roman" w:eastAsia="Times New Roman" w:hAnsi="Times New Roman" w:cs="Times New Roman"/>
          <w:snapToGrid w:val="0"/>
          <w:lang w:eastAsia="da-DK"/>
        </w:rPr>
        <w:t>sumažėjimas</w:t>
      </w:r>
      <w:r w:rsidRPr="00633873">
        <w:rPr>
          <w:rFonts w:ascii="Times New Roman" w:eastAsia="Times New Roman" w:hAnsi="Times New Roman" w:cs="Times New Roman"/>
          <w:snapToGrid w:val="0"/>
          <w:lang w:eastAsia="da-DK"/>
        </w:rPr>
        <w:t xml:space="preserve"> nėra kliniškai reikšmingas, todėl </w:t>
      </w:r>
      <w:proofErr w:type="spellStart"/>
      <w:r w:rsidRPr="00633873">
        <w:rPr>
          <w:rFonts w:ascii="Times New Roman" w:eastAsia="Times New Roman" w:hAnsi="Times New Roman" w:cs="Times New Roman"/>
          <w:snapToGrid w:val="0"/>
          <w:lang w:eastAsia="da-DK"/>
        </w:rPr>
        <w:t>ambrisentaną</w:t>
      </w:r>
      <w:proofErr w:type="spellEnd"/>
      <w:r w:rsidRPr="00633873">
        <w:rPr>
          <w:rFonts w:ascii="Times New Roman" w:eastAsia="Times New Roman" w:hAnsi="Times New Roman" w:cs="Times New Roman"/>
          <w:snapToGrid w:val="0"/>
          <w:lang w:eastAsia="da-DK"/>
        </w:rPr>
        <w:t xml:space="preserve"> galima </w:t>
      </w:r>
      <w:r w:rsidR="0041201B" w:rsidRPr="00633873">
        <w:rPr>
          <w:rFonts w:ascii="Times New Roman" w:eastAsia="Times New Roman" w:hAnsi="Times New Roman" w:cs="Times New Roman"/>
          <w:snapToGrid w:val="0"/>
          <w:lang w:eastAsia="da-DK"/>
        </w:rPr>
        <w:t>vartoti</w:t>
      </w:r>
      <w:r w:rsidRPr="00633873">
        <w:rPr>
          <w:rFonts w:ascii="Times New Roman" w:eastAsia="Times New Roman" w:hAnsi="Times New Roman" w:cs="Times New Roman"/>
          <w:snapToGrid w:val="0"/>
          <w:lang w:eastAsia="da-DK"/>
        </w:rPr>
        <w:t xml:space="preserve"> ir su maistu, ir nevalgius.</w:t>
      </w:r>
    </w:p>
    <w:p w14:paraId="5FC7CA42"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0EA72810" w14:textId="668546F3" w:rsidR="00A35A18"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r w:rsidRPr="00633873">
        <w:rPr>
          <w:rFonts w:ascii="Times New Roman" w:eastAsia="Times New Roman" w:hAnsi="Times New Roman" w:cs="Times New Roman"/>
          <w:snapToGrid w:val="0"/>
          <w:u w:val="single"/>
          <w:lang w:eastAsia="da-DK"/>
        </w:rPr>
        <w:t>Pasiskirstymas</w:t>
      </w:r>
    </w:p>
    <w:p w14:paraId="21FFC1C7" w14:textId="77777777" w:rsidR="00B53A9F" w:rsidRPr="00633873" w:rsidRDefault="00B53A9F"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p>
    <w:p w14:paraId="3DB8985F" w14:textId="63BC3B13"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Daug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jungiasi su kraujo plazmos baltymais. </w:t>
      </w:r>
      <w:proofErr w:type="spellStart"/>
      <w:r w:rsidRPr="00633873">
        <w:rPr>
          <w:rFonts w:ascii="Times New Roman" w:eastAsia="Times New Roman" w:hAnsi="Times New Roman" w:cs="Times New Roman"/>
          <w:i/>
          <w:iCs/>
          <w:snapToGrid w:val="0"/>
          <w:lang w:eastAsia="da-DK"/>
        </w:rPr>
        <w:t>In-vitro</w:t>
      </w:r>
      <w:proofErr w:type="spellEnd"/>
      <w:r w:rsidRPr="00633873">
        <w:rPr>
          <w:rFonts w:ascii="Times New Roman" w:eastAsia="Times New Roman" w:hAnsi="Times New Roman" w:cs="Times New Roman"/>
          <w:snapToGrid w:val="0"/>
          <w:lang w:eastAsia="da-DK"/>
        </w:rPr>
        <w:t xml:space="preserve"> vidutiniškai 98,8 %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susijungia su </w:t>
      </w:r>
      <w:r w:rsidR="00296756" w:rsidRPr="00633873">
        <w:rPr>
          <w:rFonts w:ascii="Times New Roman" w:eastAsia="Times New Roman" w:hAnsi="Times New Roman" w:cs="Times New Roman"/>
          <w:snapToGrid w:val="0"/>
          <w:lang w:eastAsia="da-DK"/>
        </w:rPr>
        <w:t xml:space="preserve">kraujo </w:t>
      </w:r>
      <w:r w:rsidRPr="00633873">
        <w:rPr>
          <w:rFonts w:ascii="Times New Roman" w:eastAsia="Times New Roman" w:hAnsi="Times New Roman" w:cs="Times New Roman"/>
          <w:snapToGrid w:val="0"/>
          <w:lang w:eastAsia="da-DK"/>
        </w:rPr>
        <w:t>plazmos baltymais, nepriklausomai nuo koncentracijos (0,2–20</w:t>
      </w:r>
      <w:r w:rsidR="00296756" w:rsidRPr="00633873">
        <w:rPr>
          <w:rFonts w:ascii="Times New Roman" w:eastAsia="Times New Roman" w:hAnsi="Times New Roman" w:cs="Times New Roman"/>
          <w:snapToGrid w:val="0"/>
          <w:lang w:eastAsia="da-DK"/>
        </w:rPr>
        <w:t> </w:t>
      </w:r>
      <w:r w:rsidR="000C63E5" w:rsidRPr="00633873">
        <w:rPr>
          <w:rFonts w:ascii="Times New Roman" w:eastAsia="Times New Roman" w:hAnsi="Times New Roman" w:cs="Times New Roman"/>
          <w:snapToGrid w:val="0"/>
          <w:lang w:eastAsia="da-DK"/>
        </w:rPr>
        <w:t>µg</w:t>
      </w:r>
      <w:r w:rsidRPr="00633873">
        <w:rPr>
          <w:rFonts w:ascii="Times New Roman" w:eastAsia="Times New Roman" w:hAnsi="Times New Roman" w:cs="Times New Roman"/>
          <w:snapToGrid w:val="0"/>
          <w:lang w:eastAsia="da-DK"/>
        </w:rPr>
        <w:t>/ml ribose</w:t>
      </w:r>
      <w:r w:rsidR="00296756" w:rsidRPr="00633873">
        <w:rPr>
          <w:rFonts w:ascii="Times New Roman" w:eastAsia="Times New Roman" w:hAnsi="Times New Roman" w:cs="Times New Roman"/>
          <w:snapToGrid w:val="0"/>
          <w:lang w:eastAsia="da-DK"/>
        </w:rPr>
        <w:t>)</w:t>
      </w:r>
      <w:r w:rsidRPr="00633873">
        <w:rPr>
          <w:rFonts w:ascii="Times New Roman" w:eastAsia="Times New Roman" w:hAnsi="Times New Roman" w:cs="Times New Roman"/>
          <w:snapToGrid w:val="0"/>
          <w:lang w:eastAsia="da-DK"/>
        </w:rPr>
        <w:t>.</w:t>
      </w:r>
      <w:r w:rsidR="00601915"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pirmiausia jungiasi su </w:t>
      </w:r>
      <w:proofErr w:type="spellStart"/>
      <w:r w:rsidRPr="00633873">
        <w:rPr>
          <w:rFonts w:ascii="Times New Roman" w:eastAsia="Times New Roman" w:hAnsi="Times New Roman" w:cs="Times New Roman"/>
          <w:snapToGrid w:val="0"/>
          <w:lang w:eastAsia="da-DK"/>
        </w:rPr>
        <w:t>albuminu</w:t>
      </w:r>
      <w:proofErr w:type="spellEnd"/>
      <w:r w:rsidRPr="00633873">
        <w:rPr>
          <w:rFonts w:ascii="Times New Roman" w:eastAsia="Times New Roman" w:hAnsi="Times New Roman" w:cs="Times New Roman"/>
          <w:snapToGrid w:val="0"/>
          <w:lang w:eastAsia="da-DK"/>
        </w:rPr>
        <w:t xml:space="preserve"> (96,5 %), o mažesnė jo dalis – su alfa</w:t>
      </w:r>
      <w:r w:rsidRPr="00633873">
        <w:rPr>
          <w:rFonts w:ascii="Times New Roman" w:eastAsia="Times New Roman" w:hAnsi="Times New Roman" w:cs="Times New Roman"/>
          <w:snapToGrid w:val="0"/>
          <w:vertAlign w:val="subscript"/>
          <w:lang w:eastAsia="da-DK"/>
        </w:rPr>
        <w:t>1</w:t>
      </w:r>
      <w:r w:rsidRPr="00633873">
        <w:rPr>
          <w:rFonts w:ascii="Times New Roman" w:eastAsia="Times New Roman" w:hAnsi="Times New Roman" w:cs="Times New Roman"/>
          <w:snapToGrid w:val="0"/>
          <w:lang w:eastAsia="da-DK"/>
        </w:rPr>
        <w:t>-rūgš</w:t>
      </w:r>
      <w:r w:rsidR="000C63E5" w:rsidRPr="00633873">
        <w:rPr>
          <w:rFonts w:ascii="Times New Roman" w:eastAsia="Times New Roman" w:hAnsi="Times New Roman" w:cs="Times New Roman"/>
          <w:snapToGrid w:val="0"/>
          <w:lang w:eastAsia="da-DK"/>
        </w:rPr>
        <w:t>tiniu</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glikoproteinu</w:t>
      </w:r>
      <w:proofErr w:type="spellEnd"/>
      <w:r w:rsidRPr="00633873">
        <w:rPr>
          <w:rFonts w:ascii="Times New Roman" w:eastAsia="Times New Roman" w:hAnsi="Times New Roman" w:cs="Times New Roman"/>
          <w:snapToGrid w:val="0"/>
          <w:lang w:eastAsia="da-DK"/>
        </w:rPr>
        <w:t>.</w:t>
      </w:r>
    </w:p>
    <w:p w14:paraId="6DBA54F1"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205998FD"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nedaug pasiskirsto eritrocituose, vidutinis </w:t>
      </w:r>
      <w:r w:rsidR="00601915" w:rsidRPr="00633873">
        <w:rPr>
          <w:rFonts w:ascii="Times New Roman" w:eastAsia="Times New Roman" w:hAnsi="Times New Roman" w:cs="Times New Roman"/>
          <w:snapToGrid w:val="0"/>
          <w:lang w:eastAsia="da-DK"/>
        </w:rPr>
        <w:t xml:space="preserve">koncentracijos </w:t>
      </w:r>
      <w:r w:rsidRPr="00633873">
        <w:rPr>
          <w:rFonts w:ascii="Times New Roman" w:eastAsia="Times New Roman" w:hAnsi="Times New Roman" w:cs="Times New Roman"/>
          <w:snapToGrid w:val="0"/>
          <w:lang w:eastAsia="da-DK"/>
        </w:rPr>
        <w:t>krauj</w:t>
      </w:r>
      <w:r w:rsidR="00601915" w:rsidRPr="00633873">
        <w:rPr>
          <w:rFonts w:ascii="Times New Roman" w:eastAsia="Times New Roman" w:hAnsi="Times New Roman" w:cs="Times New Roman"/>
          <w:snapToGrid w:val="0"/>
          <w:lang w:eastAsia="da-DK"/>
        </w:rPr>
        <w:t>yje</w:t>
      </w:r>
      <w:r w:rsidRPr="00633873">
        <w:rPr>
          <w:rFonts w:ascii="Times New Roman" w:eastAsia="Times New Roman" w:hAnsi="Times New Roman" w:cs="Times New Roman"/>
          <w:snapToGrid w:val="0"/>
          <w:lang w:eastAsia="da-DK"/>
        </w:rPr>
        <w:t xml:space="preserve"> ir </w:t>
      </w:r>
      <w:r w:rsidR="00601915" w:rsidRPr="00633873">
        <w:rPr>
          <w:rFonts w:ascii="Times New Roman" w:eastAsia="Times New Roman" w:hAnsi="Times New Roman" w:cs="Times New Roman"/>
          <w:snapToGrid w:val="0"/>
          <w:lang w:eastAsia="da-DK"/>
        </w:rPr>
        <w:t xml:space="preserve">kraujo </w:t>
      </w:r>
      <w:r w:rsidRPr="00633873">
        <w:rPr>
          <w:rFonts w:ascii="Times New Roman" w:eastAsia="Times New Roman" w:hAnsi="Times New Roman" w:cs="Times New Roman"/>
          <w:snapToGrid w:val="0"/>
          <w:lang w:eastAsia="da-DK"/>
        </w:rPr>
        <w:t>plazmo</w:t>
      </w:r>
      <w:r w:rsidR="00601915" w:rsidRPr="00633873">
        <w:rPr>
          <w:rFonts w:ascii="Times New Roman" w:eastAsia="Times New Roman" w:hAnsi="Times New Roman" w:cs="Times New Roman"/>
          <w:snapToGrid w:val="0"/>
          <w:lang w:eastAsia="da-DK"/>
        </w:rPr>
        <w:t>je</w:t>
      </w:r>
      <w:r w:rsidRPr="00633873">
        <w:rPr>
          <w:rFonts w:ascii="Times New Roman" w:eastAsia="Times New Roman" w:hAnsi="Times New Roman" w:cs="Times New Roman"/>
          <w:snapToGrid w:val="0"/>
          <w:lang w:eastAsia="da-DK"/>
        </w:rPr>
        <w:t xml:space="preserve"> santykis yra 0,57 ir 0,61 atitinkamai vyrams ir moterims.</w:t>
      </w:r>
    </w:p>
    <w:p w14:paraId="284EEA11"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767664F1" w14:textId="068ECA1F" w:rsidR="00A35A18"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proofErr w:type="spellStart"/>
      <w:r w:rsidRPr="00633873">
        <w:rPr>
          <w:rFonts w:ascii="Times New Roman" w:eastAsia="Times New Roman" w:hAnsi="Times New Roman" w:cs="Times New Roman"/>
          <w:snapToGrid w:val="0"/>
          <w:u w:val="single"/>
          <w:lang w:eastAsia="da-DK"/>
        </w:rPr>
        <w:t>Biotransformacija</w:t>
      </w:r>
      <w:proofErr w:type="spellEnd"/>
    </w:p>
    <w:p w14:paraId="2EECC54E" w14:textId="77777777" w:rsidR="00B53A9F" w:rsidRPr="00633873" w:rsidRDefault="00B53A9F"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p>
    <w:p w14:paraId="370B586E"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yra ne </w:t>
      </w:r>
      <w:proofErr w:type="spellStart"/>
      <w:r w:rsidRPr="00633873">
        <w:rPr>
          <w:rFonts w:ascii="Times New Roman" w:eastAsia="Times New Roman" w:hAnsi="Times New Roman" w:cs="Times New Roman"/>
          <w:snapToGrid w:val="0"/>
          <w:lang w:eastAsia="da-DK"/>
        </w:rPr>
        <w:t>sulfonamidų</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propiono</w:t>
      </w:r>
      <w:proofErr w:type="spellEnd"/>
      <w:r w:rsidRPr="00633873">
        <w:rPr>
          <w:rFonts w:ascii="Times New Roman" w:eastAsia="Times New Roman" w:hAnsi="Times New Roman" w:cs="Times New Roman"/>
          <w:snapToGrid w:val="0"/>
          <w:lang w:eastAsia="da-DK"/>
        </w:rPr>
        <w:t xml:space="preserve"> rūgšties) ERA.</w:t>
      </w:r>
    </w:p>
    <w:p w14:paraId="494C3692"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0BD66B3D" w14:textId="1CFC801B"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metabolizuojamas</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glukuronidacijos</w:t>
      </w:r>
      <w:proofErr w:type="spellEnd"/>
      <w:r w:rsidRPr="00633873">
        <w:rPr>
          <w:rFonts w:ascii="Times New Roman" w:eastAsia="Times New Roman" w:hAnsi="Times New Roman" w:cs="Times New Roman"/>
          <w:snapToGrid w:val="0"/>
          <w:lang w:eastAsia="da-DK"/>
        </w:rPr>
        <w:t xml:space="preserve"> būdu, dalyvaujant keliems UGT </w:t>
      </w:r>
      <w:proofErr w:type="spellStart"/>
      <w:r w:rsidRPr="00633873">
        <w:rPr>
          <w:rFonts w:ascii="Times New Roman" w:eastAsia="Times New Roman" w:hAnsi="Times New Roman" w:cs="Times New Roman"/>
          <w:snapToGrid w:val="0"/>
          <w:lang w:eastAsia="da-DK"/>
        </w:rPr>
        <w:t>izofermentams</w:t>
      </w:r>
      <w:proofErr w:type="spellEnd"/>
      <w:r w:rsidRPr="00633873">
        <w:rPr>
          <w:rFonts w:ascii="Times New Roman" w:eastAsia="Times New Roman" w:hAnsi="Times New Roman" w:cs="Times New Roman"/>
          <w:snapToGrid w:val="0"/>
          <w:lang w:eastAsia="da-DK"/>
        </w:rPr>
        <w:t xml:space="preserve"> (UGT1A9S, UGT2B7S ir UGT1A3S)</w:t>
      </w:r>
      <w:r w:rsidR="00601915" w:rsidRPr="00633873">
        <w:rPr>
          <w:rFonts w:ascii="Times New Roman" w:eastAsia="Times New Roman" w:hAnsi="Times New Roman" w:cs="Times New Roman"/>
          <w:snapToGrid w:val="0"/>
          <w:lang w:eastAsia="da-DK"/>
        </w:rPr>
        <w:t xml:space="preserve">, </w:t>
      </w:r>
      <w:r w:rsidRPr="00633873">
        <w:rPr>
          <w:rFonts w:ascii="Times New Roman" w:eastAsia="Times New Roman" w:hAnsi="Times New Roman" w:cs="Times New Roman"/>
          <w:snapToGrid w:val="0"/>
          <w:lang w:eastAsia="da-DK"/>
        </w:rPr>
        <w:t xml:space="preserve">ir susidaro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gliukuronidas</w:t>
      </w:r>
      <w:proofErr w:type="spellEnd"/>
      <w:r w:rsidRPr="00633873">
        <w:rPr>
          <w:rFonts w:ascii="Times New Roman" w:eastAsia="Times New Roman" w:hAnsi="Times New Roman" w:cs="Times New Roman"/>
          <w:snapToGrid w:val="0"/>
          <w:lang w:eastAsia="da-DK"/>
        </w:rPr>
        <w:t xml:space="preserve"> (13 %).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taip pat </w:t>
      </w:r>
      <w:proofErr w:type="spellStart"/>
      <w:r w:rsidRPr="00633873">
        <w:rPr>
          <w:rFonts w:ascii="Times New Roman" w:eastAsia="Times New Roman" w:hAnsi="Times New Roman" w:cs="Times New Roman"/>
          <w:snapToGrid w:val="0"/>
          <w:lang w:eastAsia="da-DK"/>
        </w:rPr>
        <w:t>metabolizuojamas</w:t>
      </w:r>
      <w:proofErr w:type="spellEnd"/>
      <w:r w:rsidRPr="00633873">
        <w:rPr>
          <w:rFonts w:ascii="Times New Roman" w:eastAsia="Times New Roman" w:hAnsi="Times New Roman" w:cs="Times New Roman"/>
          <w:snapToGrid w:val="0"/>
          <w:lang w:eastAsia="da-DK"/>
        </w:rPr>
        <w:t xml:space="preserve"> oksidacijos būdu daugiausiai veikiant CYP3A4 ir kiek mažiau CYP3A5 bei CYP2C19</w:t>
      </w:r>
      <w:r w:rsidR="00601915" w:rsidRPr="00633873">
        <w:rPr>
          <w:rFonts w:ascii="Times New Roman" w:eastAsia="Times New Roman" w:hAnsi="Times New Roman" w:cs="Times New Roman"/>
          <w:snapToGrid w:val="0"/>
          <w:lang w:eastAsia="da-DK"/>
        </w:rPr>
        <w:t>,</w:t>
      </w:r>
      <w:r w:rsidRPr="00633873">
        <w:rPr>
          <w:rFonts w:ascii="Times New Roman" w:eastAsia="Times New Roman" w:hAnsi="Times New Roman" w:cs="Times New Roman"/>
          <w:snapToGrid w:val="0"/>
          <w:lang w:eastAsia="da-DK"/>
        </w:rPr>
        <w:t xml:space="preserve"> susidaro 4-hidroksimetilambrisentanas (21 %), kuris vėliau </w:t>
      </w:r>
      <w:proofErr w:type="spellStart"/>
      <w:r w:rsidRPr="00633873">
        <w:rPr>
          <w:rFonts w:ascii="Times New Roman" w:eastAsia="Times New Roman" w:hAnsi="Times New Roman" w:cs="Times New Roman"/>
          <w:snapToGrid w:val="0"/>
          <w:lang w:eastAsia="da-DK"/>
        </w:rPr>
        <w:t>gliukuronidacijos</w:t>
      </w:r>
      <w:proofErr w:type="spellEnd"/>
      <w:r w:rsidRPr="00633873">
        <w:rPr>
          <w:rFonts w:ascii="Times New Roman" w:eastAsia="Times New Roman" w:hAnsi="Times New Roman" w:cs="Times New Roman"/>
          <w:snapToGrid w:val="0"/>
          <w:lang w:eastAsia="da-DK"/>
        </w:rPr>
        <w:t xml:space="preserve"> būdu </w:t>
      </w:r>
      <w:r w:rsidR="007B6403" w:rsidRPr="00633873">
        <w:rPr>
          <w:rFonts w:ascii="Times New Roman" w:eastAsia="Times New Roman" w:hAnsi="Times New Roman" w:cs="Times New Roman"/>
          <w:snapToGrid w:val="0"/>
          <w:lang w:eastAsia="da-DK"/>
        </w:rPr>
        <w:t xml:space="preserve">paverčiamas </w:t>
      </w:r>
      <w:r w:rsidRPr="00633873">
        <w:rPr>
          <w:rFonts w:ascii="Times New Roman" w:eastAsia="Times New Roman" w:hAnsi="Times New Roman" w:cs="Times New Roman"/>
          <w:snapToGrid w:val="0"/>
          <w:lang w:eastAsia="da-DK"/>
        </w:rPr>
        <w:t xml:space="preserve">į 4-hidroksimetilambrisentano </w:t>
      </w:r>
      <w:proofErr w:type="spellStart"/>
      <w:r w:rsidRPr="00633873">
        <w:rPr>
          <w:rFonts w:ascii="Times New Roman" w:eastAsia="Times New Roman" w:hAnsi="Times New Roman" w:cs="Times New Roman"/>
          <w:snapToGrid w:val="0"/>
          <w:lang w:eastAsia="da-DK"/>
        </w:rPr>
        <w:t>gliukuronidą</w:t>
      </w:r>
      <w:proofErr w:type="spellEnd"/>
      <w:r w:rsidRPr="00633873">
        <w:rPr>
          <w:rFonts w:ascii="Times New Roman" w:eastAsia="Times New Roman" w:hAnsi="Times New Roman" w:cs="Times New Roman"/>
          <w:snapToGrid w:val="0"/>
          <w:lang w:eastAsia="da-DK"/>
        </w:rPr>
        <w:t xml:space="preserve"> (5 %). 4-hidroksimetilambrisentano jungimosi prie žmogaus </w:t>
      </w:r>
      <w:proofErr w:type="spellStart"/>
      <w:r w:rsidRPr="00633873">
        <w:rPr>
          <w:rFonts w:ascii="Times New Roman" w:eastAsia="Times New Roman" w:hAnsi="Times New Roman" w:cs="Times New Roman"/>
          <w:snapToGrid w:val="0"/>
          <w:lang w:eastAsia="da-DK"/>
        </w:rPr>
        <w:t>endotelino</w:t>
      </w:r>
      <w:proofErr w:type="spellEnd"/>
      <w:r w:rsidRPr="00633873">
        <w:rPr>
          <w:rFonts w:ascii="Times New Roman" w:eastAsia="Times New Roman" w:hAnsi="Times New Roman" w:cs="Times New Roman"/>
          <w:snapToGrid w:val="0"/>
          <w:lang w:eastAsia="da-DK"/>
        </w:rPr>
        <w:t xml:space="preserve"> receptorių </w:t>
      </w:r>
      <w:proofErr w:type="spellStart"/>
      <w:r w:rsidRPr="00633873">
        <w:rPr>
          <w:rFonts w:ascii="Times New Roman" w:eastAsia="Times New Roman" w:hAnsi="Times New Roman" w:cs="Times New Roman"/>
          <w:snapToGrid w:val="0"/>
          <w:lang w:eastAsia="da-DK"/>
        </w:rPr>
        <w:t>afinitetas</w:t>
      </w:r>
      <w:proofErr w:type="spellEnd"/>
      <w:r w:rsidRPr="00633873">
        <w:rPr>
          <w:rFonts w:ascii="Times New Roman" w:eastAsia="Times New Roman" w:hAnsi="Times New Roman" w:cs="Times New Roman"/>
          <w:snapToGrid w:val="0"/>
          <w:lang w:eastAsia="da-DK"/>
        </w:rPr>
        <w:t xml:space="preserve"> yra 65</w:t>
      </w:r>
      <w:r w:rsidR="007B6403"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 xml:space="preserve">kartus mažesnis negu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Todėl nėra tikėtina, kad tokios 4-hidroksimetilambrisentano koncentracijos, kurios susidaro kraujo plazmoje (maždaug 4 % pirminio </w:t>
      </w:r>
      <w:proofErr w:type="spellStart"/>
      <w:r w:rsidRPr="00633873">
        <w:rPr>
          <w:rFonts w:ascii="Times New Roman" w:eastAsia="Times New Roman" w:hAnsi="Times New Roman" w:cs="Times New Roman"/>
          <w:snapToGrid w:val="0"/>
          <w:lang w:eastAsia="da-DK"/>
        </w:rPr>
        <w:t>ambrisentano</w:t>
      </w:r>
      <w:proofErr w:type="spellEnd"/>
      <w:r w:rsidR="007B6403" w:rsidRPr="00633873">
        <w:rPr>
          <w:rFonts w:ascii="Times New Roman" w:eastAsia="Times New Roman" w:hAnsi="Times New Roman" w:cs="Times New Roman"/>
          <w:snapToGrid w:val="0"/>
          <w:lang w:eastAsia="da-DK"/>
        </w:rPr>
        <w:t xml:space="preserve"> koncentracijos</w:t>
      </w:r>
      <w:r w:rsidRPr="00633873">
        <w:rPr>
          <w:rFonts w:ascii="Times New Roman" w:eastAsia="Times New Roman" w:hAnsi="Times New Roman" w:cs="Times New Roman"/>
          <w:snapToGrid w:val="0"/>
          <w:lang w:eastAsia="da-DK"/>
        </w:rPr>
        <w:t xml:space="preserve">), gali </w:t>
      </w:r>
      <w:r w:rsidR="007B6403" w:rsidRPr="00633873">
        <w:rPr>
          <w:rFonts w:ascii="Times New Roman" w:eastAsia="Times New Roman" w:hAnsi="Times New Roman" w:cs="Times New Roman"/>
          <w:snapToGrid w:val="0"/>
          <w:lang w:eastAsia="da-DK"/>
        </w:rPr>
        <w:t>p</w:t>
      </w:r>
      <w:r w:rsidR="000C63E5" w:rsidRPr="00633873">
        <w:rPr>
          <w:rFonts w:ascii="Times New Roman" w:eastAsia="Times New Roman" w:hAnsi="Times New Roman" w:cs="Times New Roman"/>
          <w:snapToGrid w:val="0"/>
          <w:lang w:eastAsia="da-DK"/>
        </w:rPr>
        <w:t>aveikti</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farmakologin</w:t>
      </w:r>
      <w:r w:rsidR="000C63E5" w:rsidRPr="00633873">
        <w:rPr>
          <w:rFonts w:ascii="Times New Roman" w:eastAsia="Times New Roman" w:hAnsi="Times New Roman" w:cs="Times New Roman"/>
          <w:snapToGrid w:val="0"/>
          <w:lang w:eastAsia="da-DK"/>
        </w:rPr>
        <w:t>į</w:t>
      </w:r>
      <w:r w:rsidRPr="00633873">
        <w:rPr>
          <w:rFonts w:ascii="Times New Roman" w:eastAsia="Times New Roman" w:hAnsi="Times New Roman" w:cs="Times New Roman"/>
          <w:snapToGrid w:val="0"/>
          <w:lang w:eastAsia="da-DK"/>
        </w:rPr>
        <w:t xml:space="preserve"> aktyvum</w:t>
      </w:r>
      <w:r w:rsidR="000C63E5" w:rsidRPr="00633873">
        <w:rPr>
          <w:rFonts w:ascii="Times New Roman" w:eastAsia="Times New Roman" w:hAnsi="Times New Roman" w:cs="Times New Roman"/>
          <w:snapToGrid w:val="0"/>
          <w:lang w:eastAsia="da-DK"/>
        </w:rPr>
        <w:t>ą</w:t>
      </w:r>
      <w:r w:rsidRPr="00633873">
        <w:rPr>
          <w:rFonts w:ascii="Times New Roman" w:eastAsia="Times New Roman" w:hAnsi="Times New Roman" w:cs="Times New Roman"/>
          <w:snapToGrid w:val="0"/>
          <w:lang w:eastAsia="da-DK"/>
        </w:rPr>
        <w:t>.</w:t>
      </w:r>
    </w:p>
    <w:p w14:paraId="3BDCC1BA"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1F00C9C0" w14:textId="19FCBD0C" w:rsidR="00A35A18" w:rsidRPr="00633873" w:rsidRDefault="005F6B3D"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Remiantis</w:t>
      </w:r>
      <w:r w:rsidR="00A35A18" w:rsidRPr="00633873">
        <w:rPr>
          <w:rFonts w:ascii="Times New Roman" w:eastAsia="Times New Roman" w:hAnsi="Times New Roman" w:cs="Times New Roman"/>
          <w:snapToGrid w:val="0"/>
          <w:lang w:eastAsia="da-DK"/>
        </w:rPr>
        <w:t xml:space="preserve"> </w:t>
      </w:r>
      <w:r w:rsidR="000C63E5" w:rsidRPr="00633873">
        <w:rPr>
          <w:rFonts w:ascii="Times New Roman" w:eastAsia="Times New Roman" w:hAnsi="Times New Roman" w:cs="Times New Roman"/>
          <w:snapToGrid w:val="0"/>
          <w:lang w:eastAsia="da-DK"/>
        </w:rPr>
        <w:t xml:space="preserve"> </w:t>
      </w:r>
      <w:proofErr w:type="spellStart"/>
      <w:r w:rsidR="00A35A18" w:rsidRPr="00633873">
        <w:rPr>
          <w:rFonts w:ascii="Times New Roman" w:eastAsia="Times New Roman" w:hAnsi="Times New Roman" w:cs="Times New Roman"/>
          <w:i/>
          <w:iCs/>
          <w:snapToGrid w:val="0"/>
          <w:lang w:eastAsia="da-DK"/>
        </w:rPr>
        <w:t>in</w:t>
      </w:r>
      <w:proofErr w:type="spellEnd"/>
      <w:r w:rsidR="00A35A18" w:rsidRPr="00633873">
        <w:rPr>
          <w:rFonts w:ascii="Times New Roman" w:eastAsia="Times New Roman" w:hAnsi="Times New Roman" w:cs="Times New Roman"/>
          <w:i/>
          <w:iCs/>
          <w:snapToGrid w:val="0"/>
          <w:lang w:eastAsia="da-DK"/>
        </w:rPr>
        <w:t xml:space="preserve"> </w:t>
      </w:r>
      <w:proofErr w:type="spellStart"/>
      <w:r w:rsidR="00A35A18" w:rsidRPr="00633873">
        <w:rPr>
          <w:rFonts w:ascii="Times New Roman" w:eastAsia="Times New Roman" w:hAnsi="Times New Roman" w:cs="Times New Roman"/>
          <w:i/>
          <w:iCs/>
          <w:snapToGrid w:val="0"/>
          <w:lang w:eastAsia="da-DK"/>
        </w:rPr>
        <w:t>vitro</w:t>
      </w:r>
      <w:proofErr w:type="spellEnd"/>
      <w:r w:rsidR="00A35A18" w:rsidRPr="00633873">
        <w:rPr>
          <w:rFonts w:ascii="Times New Roman" w:eastAsia="Times New Roman" w:hAnsi="Times New Roman" w:cs="Times New Roman"/>
          <w:snapToGrid w:val="0"/>
          <w:lang w:eastAsia="da-DK"/>
        </w:rPr>
        <w:t xml:space="preserve"> duomeni</w:t>
      </w:r>
      <w:r w:rsidRPr="00633873">
        <w:rPr>
          <w:rFonts w:ascii="Times New Roman" w:eastAsia="Times New Roman" w:hAnsi="Times New Roman" w:cs="Times New Roman"/>
          <w:snapToGrid w:val="0"/>
          <w:lang w:eastAsia="da-DK"/>
        </w:rPr>
        <w:t>mi</w:t>
      </w:r>
      <w:r w:rsidR="00A35A18" w:rsidRPr="00633873">
        <w:rPr>
          <w:rFonts w:ascii="Times New Roman" w:eastAsia="Times New Roman" w:hAnsi="Times New Roman" w:cs="Times New Roman"/>
          <w:snapToGrid w:val="0"/>
          <w:lang w:eastAsia="da-DK"/>
        </w:rPr>
        <w:t xml:space="preserve">s, </w:t>
      </w:r>
      <w:r w:rsidRPr="00633873">
        <w:rPr>
          <w:rFonts w:ascii="Times New Roman" w:eastAsia="Times New Roman" w:hAnsi="Times New Roman" w:cs="Times New Roman"/>
          <w:snapToGrid w:val="0"/>
          <w:lang w:eastAsia="da-DK"/>
        </w:rPr>
        <w:t>esant</w:t>
      </w:r>
      <w:r w:rsidR="00A35A18" w:rsidRPr="00633873">
        <w:rPr>
          <w:rFonts w:ascii="Times New Roman" w:eastAsia="Times New Roman" w:hAnsi="Times New Roman" w:cs="Times New Roman"/>
          <w:snapToGrid w:val="0"/>
          <w:lang w:eastAsia="da-DK"/>
        </w:rPr>
        <w:t xml:space="preserve"> 300 µ</w:t>
      </w:r>
      <w:proofErr w:type="spellStart"/>
      <w:r w:rsidR="0078516E" w:rsidRPr="00633873">
        <w:rPr>
          <w:rFonts w:ascii="Times New Roman" w:eastAsia="Times New Roman" w:hAnsi="Times New Roman" w:cs="Times New Roman"/>
          <w:snapToGrid w:val="0"/>
          <w:lang w:eastAsia="da-DK"/>
        </w:rPr>
        <w:t>mol</w:t>
      </w:r>
      <w:proofErr w:type="spellEnd"/>
      <w:r w:rsidR="00A35A18" w:rsidRPr="00633873">
        <w:rPr>
          <w:rFonts w:ascii="Times New Roman" w:eastAsia="Times New Roman" w:hAnsi="Times New Roman" w:cs="Times New Roman"/>
          <w:snapToGrid w:val="0"/>
          <w:lang w:eastAsia="da-DK"/>
        </w:rPr>
        <w:t xml:space="preserve"> </w:t>
      </w:r>
      <w:proofErr w:type="spellStart"/>
      <w:r w:rsidR="00A35A18" w:rsidRPr="00633873">
        <w:rPr>
          <w:rFonts w:ascii="Times New Roman" w:eastAsia="Times New Roman" w:hAnsi="Times New Roman" w:cs="Times New Roman"/>
          <w:snapToGrid w:val="0"/>
          <w:lang w:eastAsia="da-DK"/>
        </w:rPr>
        <w:t>ambrisentano</w:t>
      </w:r>
      <w:proofErr w:type="spellEnd"/>
      <w:r w:rsidR="00A35A18" w:rsidRPr="00633873">
        <w:rPr>
          <w:rFonts w:ascii="Times New Roman" w:eastAsia="Times New Roman" w:hAnsi="Times New Roman" w:cs="Times New Roman"/>
          <w:snapToGrid w:val="0"/>
          <w:lang w:eastAsia="da-DK"/>
        </w:rPr>
        <w:t xml:space="preserve"> </w:t>
      </w:r>
      <w:r w:rsidRPr="00633873">
        <w:rPr>
          <w:rFonts w:ascii="Times New Roman" w:eastAsia="Times New Roman" w:hAnsi="Times New Roman" w:cs="Times New Roman"/>
          <w:snapToGrid w:val="0"/>
          <w:lang w:eastAsia="da-DK"/>
        </w:rPr>
        <w:t>koncentracijai</w:t>
      </w:r>
      <w:r w:rsidR="00A35A18" w:rsidRPr="00633873">
        <w:rPr>
          <w:rFonts w:ascii="Times New Roman" w:eastAsia="Times New Roman" w:hAnsi="Times New Roman" w:cs="Times New Roman"/>
          <w:snapToGrid w:val="0"/>
          <w:lang w:eastAsia="da-DK"/>
        </w:rPr>
        <w:t xml:space="preserve">, UGT1A1, UGT1A6, UGT1A9, UGT2B7 (iki 30 %) arba </w:t>
      </w:r>
      <w:proofErr w:type="spellStart"/>
      <w:r w:rsidR="00A35A18" w:rsidRPr="00633873">
        <w:rPr>
          <w:rFonts w:ascii="Times New Roman" w:eastAsia="Times New Roman" w:hAnsi="Times New Roman" w:cs="Times New Roman"/>
          <w:snapToGrid w:val="0"/>
          <w:lang w:eastAsia="da-DK"/>
        </w:rPr>
        <w:t>citochromo</w:t>
      </w:r>
      <w:proofErr w:type="spellEnd"/>
      <w:r w:rsidR="00A35A18" w:rsidRPr="00633873">
        <w:rPr>
          <w:rFonts w:ascii="Times New Roman" w:eastAsia="Times New Roman" w:hAnsi="Times New Roman" w:cs="Times New Roman"/>
          <w:snapToGrid w:val="0"/>
          <w:lang w:eastAsia="da-DK"/>
        </w:rPr>
        <w:t xml:space="preserve"> P450 fermentų 1A2, 2A6, 2B6, 2C8, 2C9, 2C19, 2D6, 2E1 ir 3A4 (iki 25 %) slopinimas buvo mažesnis nei 50 %. Kliniškai reikšmingos </w:t>
      </w:r>
      <w:proofErr w:type="spellStart"/>
      <w:r w:rsidR="00A35A18" w:rsidRPr="00633873">
        <w:rPr>
          <w:rFonts w:ascii="Times New Roman" w:eastAsia="Times New Roman" w:hAnsi="Times New Roman" w:cs="Times New Roman"/>
          <w:snapToGrid w:val="0"/>
          <w:lang w:eastAsia="da-DK"/>
        </w:rPr>
        <w:t>ambrisentano</w:t>
      </w:r>
      <w:proofErr w:type="spellEnd"/>
      <w:r w:rsidR="00A35A18" w:rsidRPr="00633873">
        <w:rPr>
          <w:rFonts w:ascii="Times New Roman" w:eastAsia="Times New Roman" w:hAnsi="Times New Roman" w:cs="Times New Roman"/>
          <w:snapToGrid w:val="0"/>
          <w:lang w:eastAsia="da-DK"/>
        </w:rPr>
        <w:t xml:space="preserve"> koncentracijos </w:t>
      </w:r>
      <w:proofErr w:type="spellStart"/>
      <w:r w:rsidR="00A35A18" w:rsidRPr="00633873">
        <w:rPr>
          <w:rFonts w:ascii="Times New Roman" w:eastAsia="Times New Roman" w:hAnsi="Times New Roman" w:cs="Times New Roman"/>
          <w:i/>
          <w:iCs/>
          <w:snapToGrid w:val="0"/>
          <w:lang w:eastAsia="da-DK"/>
        </w:rPr>
        <w:t>in</w:t>
      </w:r>
      <w:proofErr w:type="spellEnd"/>
      <w:r w:rsidR="00A35A18" w:rsidRPr="00633873">
        <w:rPr>
          <w:rFonts w:ascii="Times New Roman" w:eastAsia="Times New Roman" w:hAnsi="Times New Roman" w:cs="Times New Roman"/>
          <w:i/>
          <w:iCs/>
          <w:snapToGrid w:val="0"/>
          <w:lang w:eastAsia="da-DK"/>
        </w:rPr>
        <w:t xml:space="preserve"> </w:t>
      </w:r>
      <w:proofErr w:type="spellStart"/>
      <w:r w:rsidR="00A35A18" w:rsidRPr="00633873">
        <w:rPr>
          <w:rFonts w:ascii="Times New Roman" w:eastAsia="Times New Roman" w:hAnsi="Times New Roman" w:cs="Times New Roman"/>
          <w:i/>
          <w:iCs/>
          <w:snapToGrid w:val="0"/>
          <w:lang w:eastAsia="da-DK"/>
        </w:rPr>
        <w:t>vitro</w:t>
      </w:r>
      <w:proofErr w:type="spellEnd"/>
      <w:r w:rsidR="00A35A18" w:rsidRPr="00633873">
        <w:rPr>
          <w:rFonts w:ascii="Times New Roman" w:eastAsia="Times New Roman" w:hAnsi="Times New Roman" w:cs="Times New Roman"/>
          <w:snapToGrid w:val="0"/>
          <w:lang w:eastAsia="da-DK"/>
        </w:rPr>
        <w:t xml:space="preserve"> neslopina žmogaus organizmo nešiklių, įskaitant </w:t>
      </w:r>
      <w:proofErr w:type="spellStart"/>
      <w:r w:rsidR="00A35A18" w:rsidRPr="00633873">
        <w:rPr>
          <w:rFonts w:ascii="Times New Roman" w:eastAsia="Times New Roman" w:hAnsi="Times New Roman" w:cs="Times New Roman"/>
          <w:snapToGrid w:val="0"/>
          <w:lang w:eastAsia="da-DK"/>
        </w:rPr>
        <w:t>Pgp</w:t>
      </w:r>
      <w:proofErr w:type="spellEnd"/>
      <w:r w:rsidR="00A35A18" w:rsidRPr="00633873">
        <w:rPr>
          <w:rFonts w:ascii="Times New Roman" w:eastAsia="Times New Roman" w:hAnsi="Times New Roman" w:cs="Times New Roman"/>
          <w:snapToGrid w:val="0"/>
          <w:lang w:eastAsia="da-DK"/>
        </w:rPr>
        <w:t xml:space="preserve">, BCRP, MRP2, BSEP, OATP1B1, OATP1B3 ir NTCP. Be to, </w:t>
      </w:r>
      <w:proofErr w:type="spellStart"/>
      <w:r w:rsidR="00A35A18" w:rsidRPr="00633873">
        <w:rPr>
          <w:rFonts w:ascii="Times New Roman" w:eastAsia="Times New Roman" w:hAnsi="Times New Roman" w:cs="Times New Roman"/>
          <w:snapToGrid w:val="0"/>
          <w:lang w:eastAsia="da-DK"/>
        </w:rPr>
        <w:t>ambrisentanas</w:t>
      </w:r>
      <w:proofErr w:type="spellEnd"/>
      <w:r w:rsidR="00A35A18" w:rsidRPr="00633873">
        <w:rPr>
          <w:rFonts w:ascii="Times New Roman" w:eastAsia="Times New Roman" w:hAnsi="Times New Roman" w:cs="Times New Roman"/>
          <w:snapToGrid w:val="0"/>
          <w:lang w:eastAsia="da-DK"/>
        </w:rPr>
        <w:t xml:space="preserve"> nesužadina MRP2, </w:t>
      </w:r>
      <w:proofErr w:type="spellStart"/>
      <w:r w:rsidR="00A35A18" w:rsidRPr="00633873">
        <w:rPr>
          <w:rFonts w:ascii="Times New Roman" w:eastAsia="Times New Roman" w:hAnsi="Times New Roman" w:cs="Times New Roman"/>
          <w:snapToGrid w:val="0"/>
          <w:lang w:eastAsia="da-DK"/>
        </w:rPr>
        <w:t>Pgp</w:t>
      </w:r>
      <w:proofErr w:type="spellEnd"/>
      <w:r w:rsidR="00A35A18" w:rsidRPr="00633873">
        <w:rPr>
          <w:rFonts w:ascii="Times New Roman" w:eastAsia="Times New Roman" w:hAnsi="Times New Roman" w:cs="Times New Roman"/>
          <w:snapToGrid w:val="0"/>
          <w:lang w:eastAsia="da-DK"/>
        </w:rPr>
        <w:t xml:space="preserve"> ar BSEP baltymų raiškos žiurkių kepenų ląstelėse. Apibendrinant, tyrimų </w:t>
      </w:r>
      <w:proofErr w:type="spellStart"/>
      <w:r w:rsidR="00A35A18" w:rsidRPr="00633873">
        <w:rPr>
          <w:rFonts w:ascii="Times New Roman" w:eastAsia="Times New Roman" w:hAnsi="Times New Roman" w:cs="Times New Roman"/>
          <w:i/>
          <w:iCs/>
          <w:snapToGrid w:val="0"/>
          <w:lang w:eastAsia="da-DK"/>
        </w:rPr>
        <w:t>in</w:t>
      </w:r>
      <w:proofErr w:type="spellEnd"/>
      <w:r w:rsidR="00A35A18" w:rsidRPr="00633873">
        <w:rPr>
          <w:rFonts w:ascii="Times New Roman" w:eastAsia="Times New Roman" w:hAnsi="Times New Roman" w:cs="Times New Roman"/>
          <w:i/>
          <w:iCs/>
          <w:snapToGrid w:val="0"/>
          <w:lang w:eastAsia="da-DK"/>
        </w:rPr>
        <w:t xml:space="preserve"> </w:t>
      </w:r>
      <w:proofErr w:type="spellStart"/>
      <w:r w:rsidR="00A35A18" w:rsidRPr="00633873">
        <w:rPr>
          <w:rFonts w:ascii="Times New Roman" w:eastAsia="Times New Roman" w:hAnsi="Times New Roman" w:cs="Times New Roman"/>
          <w:i/>
          <w:iCs/>
          <w:snapToGrid w:val="0"/>
          <w:lang w:eastAsia="da-DK"/>
        </w:rPr>
        <w:t>vitro</w:t>
      </w:r>
      <w:proofErr w:type="spellEnd"/>
      <w:r w:rsidR="00A35A18" w:rsidRPr="00633873">
        <w:rPr>
          <w:rFonts w:ascii="Times New Roman" w:eastAsia="Times New Roman" w:hAnsi="Times New Roman" w:cs="Times New Roman"/>
          <w:snapToGrid w:val="0"/>
          <w:lang w:eastAsia="da-DK"/>
        </w:rPr>
        <w:t xml:space="preserve"> duomenys rodo, kad nėra tikėtina, jog kliniškai reikšmingos </w:t>
      </w:r>
      <w:proofErr w:type="spellStart"/>
      <w:r w:rsidR="00A35A18" w:rsidRPr="00633873">
        <w:rPr>
          <w:rFonts w:ascii="Times New Roman" w:eastAsia="Times New Roman" w:hAnsi="Times New Roman" w:cs="Times New Roman"/>
          <w:snapToGrid w:val="0"/>
          <w:lang w:eastAsia="da-DK"/>
        </w:rPr>
        <w:t>ambrisentano</w:t>
      </w:r>
      <w:proofErr w:type="spellEnd"/>
      <w:r w:rsidR="00A35A18" w:rsidRPr="00633873">
        <w:rPr>
          <w:rFonts w:ascii="Times New Roman" w:eastAsia="Times New Roman" w:hAnsi="Times New Roman" w:cs="Times New Roman"/>
          <w:snapToGrid w:val="0"/>
          <w:lang w:eastAsia="da-DK"/>
        </w:rPr>
        <w:t xml:space="preserve"> koncentracijos (</w:t>
      </w:r>
      <w:proofErr w:type="spellStart"/>
      <w:r w:rsidR="00A35A18" w:rsidRPr="00633873">
        <w:rPr>
          <w:rFonts w:ascii="Times New Roman" w:eastAsia="Times New Roman" w:hAnsi="Times New Roman" w:cs="Times New Roman"/>
          <w:snapToGrid w:val="0"/>
          <w:lang w:eastAsia="da-DK"/>
        </w:rPr>
        <w:t>C</w:t>
      </w:r>
      <w:r w:rsidR="00A35A18" w:rsidRPr="00633873">
        <w:rPr>
          <w:rFonts w:ascii="Times New Roman" w:eastAsia="Times New Roman" w:hAnsi="Times New Roman" w:cs="Times New Roman"/>
          <w:snapToGrid w:val="0"/>
          <w:vertAlign w:val="subscript"/>
          <w:lang w:eastAsia="da-DK"/>
        </w:rPr>
        <w:t>max</w:t>
      </w:r>
      <w:proofErr w:type="spellEnd"/>
      <w:r w:rsidR="00A35A18" w:rsidRPr="00633873">
        <w:rPr>
          <w:rFonts w:ascii="Times New Roman" w:eastAsia="Times New Roman" w:hAnsi="Times New Roman" w:cs="Times New Roman"/>
          <w:snapToGrid w:val="0"/>
          <w:lang w:eastAsia="da-DK"/>
        </w:rPr>
        <w:t xml:space="preserve"> plazmoje iki 3,2 µ</w:t>
      </w:r>
      <w:proofErr w:type="spellStart"/>
      <w:r w:rsidR="0078516E" w:rsidRPr="00633873">
        <w:rPr>
          <w:rFonts w:ascii="Times New Roman" w:eastAsia="Times New Roman" w:hAnsi="Times New Roman" w:cs="Times New Roman"/>
          <w:snapToGrid w:val="0"/>
          <w:lang w:eastAsia="da-DK"/>
        </w:rPr>
        <w:t>mol</w:t>
      </w:r>
      <w:proofErr w:type="spellEnd"/>
      <w:r w:rsidR="00A35A18" w:rsidRPr="00633873">
        <w:rPr>
          <w:rFonts w:ascii="Times New Roman" w:eastAsia="Times New Roman" w:hAnsi="Times New Roman" w:cs="Times New Roman"/>
          <w:snapToGrid w:val="0"/>
          <w:lang w:eastAsia="da-DK"/>
        </w:rPr>
        <w:t xml:space="preserve">) veiks UGT1A1, </w:t>
      </w:r>
      <w:r w:rsidR="00A35A18" w:rsidRPr="00633873">
        <w:rPr>
          <w:rFonts w:ascii="Times New Roman" w:eastAsia="Times New Roman" w:hAnsi="Times New Roman" w:cs="Times New Roman"/>
          <w:snapToGrid w:val="0"/>
          <w:lang w:eastAsia="da-DK"/>
        </w:rPr>
        <w:lastRenderedPageBreak/>
        <w:t xml:space="preserve">UGT1A6, UGT1A9, UGT2B7 ar </w:t>
      </w:r>
      <w:proofErr w:type="spellStart"/>
      <w:r w:rsidR="00A35A18" w:rsidRPr="00633873">
        <w:rPr>
          <w:rFonts w:ascii="Times New Roman" w:eastAsia="Times New Roman" w:hAnsi="Times New Roman" w:cs="Times New Roman"/>
          <w:snapToGrid w:val="0"/>
          <w:lang w:eastAsia="da-DK"/>
        </w:rPr>
        <w:t>citochromo</w:t>
      </w:r>
      <w:proofErr w:type="spellEnd"/>
      <w:r w:rsidR="00A35A18" w:rsidRPr="00633873">
        <w:rPr>
          <w:rFonts w:ascii="Times New Roman" w:eastAsia="Times New Roman" w:hAnsi="Times New Roman" w:cs="Times New Roman"/>
          <w:snapToGrid w:val="0"/>
          <w:lang w:eastAsia="da-DK"/>
        </w:rPr>
        <w:t xml:space="preserve"> P450 1A2, 2A6, 2B6, 2C8, 2C9, 2C19, 2D6, 2E1, 3A4 </w:t>
      </w:r>
      <w:proofErr w:type="spellStart"/>
      <w:r w:rsidR="00A35A18" w:rsidRPr="00633873">
        <w:rPr>
          <w:rFonts w:ascii="Times New Roman" w:eastAsia="Times New Roman" w:hAnsi="Times New Roman" w:cs="Times New Roman"/>
          <w:snapToGrid w:val="0"/>
          <w:lang w:eastAsia="da-DK"/>
        </w:rPr>
        <w:t>izoferment</w:t>
      </w:r>
      <w:r w:rsidRPr="00633873">
        <w:rPr>
          <w:rFonts w:ascii="Times New Roman" w:eastAsia="Times New Roman" w:hAnsi="Times New Roman" w:cs="Times New Roman"/>
          <w:snapToGrid w:val="0"/>
          <w:lang w:eastAsia="da-DK"/>
        </w:rPr>
        <w:t>us</w:t>
      </w:r>
      <w:proofErr w:type="spellEnd"/>
      <w:r w:rsidR="00A35A18" w:rsidRPr="00633873">
        <w:rPr>
          <w:rFonts w:ascii="Times New Roman" w:eastAsia="Times New Roman" w:hAnsi="Times New Roman" w:cs="Times New Roman"/>
          <w:snapToGrid w:val="0"/>
          <w:lang w:eastAsia="da-DK"/>
        </w:rPr>
        <w:t xml:space="preserve"> arba su BSEP, BCRP, </w:t>
      </w:r>
      <w:proofErr w:type="spellStart"/>
      <w:r w:rsidR="00A35A18" w:rsidRPr="00633873">
        <w:rPr>
          <w:rFonts w:ascii="Times New Roman" w:eastAsia="Times New Roman" w:hAnsi="Times New Roman" w:cs="Times New Roman"/>
          <w:snapToGrid w:val="0"/>
          <w:lang w:eastAsia="da-DK"/>
        </w:rPr>
        <w:t>Pgp</w:t>
      </w:r>
      <w:proofErr w:type="spellEnd"/>
      <w:r w:rsidR="00A35A18" w:rsidRPr="00633873">
        <w:rPr>
          <w:rFonts w:ascii="Times New Roman" w:eastAsia="Times New Roman" w:hAnsi="Times New Roman" w:cs="Times New Roman"/>
          <w:snapToGrid w:val="0"/>
          <w:lang w:eastAsia="da-DK"/>
        </w:rPr>
        <w:t>, MRP2, OATP1B1/3 ar NTCP susijusią pernašą.</w:t>
      </w:r>
    </w:p>
    <w:p w14:paraId="7C4881AB"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04A382CC" w14:textId="40EE588B"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20 sveikų savanorių buvo tirtas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w:t>
      </w:r>
      <w:r w:rsidR="0078516E"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10 mg </w:t>
      </w:r>
      <w:r w:rsidR="008A78F7" w:rsidRPr="00633873">
        <w:rPr>
          <w:rFonts w:ascii="Times New Roman" w:eastAsia="Times New Roman" w:hAnsi="Times New Roman" w:cs="Times New Roman"/>
          <w:snapToGrid w:val="0"/>
          <w:lang w:eastAsia="da-DK"/>
        </w:rPr>
        <w:t xml:space="preserve">vieną </w:t>
      </w:r>
      <w:r w:rsidRPr="00633873">
        <w:rPr>
          <w:rFonts w:ascii="Times New Roman" w:eastAsia="Times New Roman" w:hAnsi="Times New Roman" w:cs="Times New Roman"/>
          <w:snapToGrid w:val="0"/>
          <w:lang w:eastAsia="da-DK"/>
        </w:rPr>
        <w:t xml:space="preserve">kartą per parą), nusistovėjus jo </w:t>
      </w:r>
      <w:proofErr w:type="spellStart"/>
      <w:r w:rsidR="008E0F7A" w:rsidRPr="00633873">
        <w:rPr>
          <w:rFonts w:ascii="Times New Roman" w:eastAsia="Times New Roman" w:hAnsi="Times New Roman" w:cs="Times New Roman"/>
          <w:snapToGrid w:val="0"/>
          <w:lang w:eastAsia="da-DK"/>
        </w:rPr>
        <w:t>pusiausvyr</w:t>
      </w:r>
      <w:r w:rsidR="0078516E" w:rsidRPr="00633873">
        <w:rPr>
          <w:rFonts w:ascii="Times New Roman" w:eastAsia="Times New Roman" w:hAnsi="Times New Roman" w:cs="Times New Roman"/>
          <w:snapToGrid w:val="0"/>
          <w:lang w:eastAsia="da-DK"/>
        </w:rPr>
        <w:t>inei</w:t>
      </w:r>
      <w:proofErr w:type="spellEnd"/>
      <w:r w:rsidR="008E0F7A" w:rsidRPr="00633873">
        <w:rPr>
          <w:rFonts w:ascii="Times New Roman" w:eastAsia="Times New Roman" w:hAnsi="Times New Roman" w:cs="Times New Roman"/>
          <w:snapToGrid w:val="0"/>
          <w:lang w:eastAsia="da-DK"/>
        </w:rPr>
        <w:t xml:space="preserve"> </w:t>
      </w:r>
      <w:r w:rsidR="0078516E" w:rsidRPr="00633873">
        <w:rPr>
          <w:rFonts w:ascii="Times New Roman" w:eastAsia="Times New Roman" w:hAnsi="Times New Roman" w:cs="Times New Roman"/>
          <w:snapToGrid w:val="0"/>
          <w:lang w:eastAsia="da-DK"/>
        </w:rPr>
        <w:t>koncentracijai plazmoje</w:t>
      </w:r>
      <w:r w:rsidRPr="00633873">
        <w:rPr>
          <w:rFonts w:ascii="Times New Roman" w:eastAsia="Times New Roman" w:hAnsi="Times New Roman" w:cs="Times New Roman"/>
          <w:snapToGrid w:val="0"/>
          <w:lang w:eastAsia="da-DK"/>
        </w:rPr>
        <w:t xml:space="preserve">, poveikis vienkartinės varfarino (25 mg) dozės farmakokinetikai ir farmakodinamikai, matuojant </w:t>
      </w:r>
      <w:proofErr w:type="spellStart"/>
      <w:r w:rsidRPr="00633873">
        <w:rPr>
          <w:rFonts w:ascii="Times New Roman" w:eastAsia="Times New Roman" w:hAnsi="Times New Roman" w:cs="Times New Roman"/>
          <w:snapToGrid w:val="0"/>
          <w:lang w:eastAsia="da-DK"/>
        </w:rPr>
        <w:t>protrombino</w:t>
      </w:r>
      <w:proofErr w:type="spellEnd"/>
      <w:r w:rsidRPr="00633873">
        <w:rPr>
          <w:rFonts w:ascii="Times New Roman" w:eastAsia="Times New Roman" w:hAnsi="Times New Roman" w:cs="Times New Roman"/>
          <w:snapToGrid w:val="0"/>
          <w:lang w:eastAsia="da-DK"/>
        </w:rPr>
        <w:t xml:space="preserve"> laiką (PL) ir tarptautinį normalizuotą santykį (TNS).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nedarė kliniškai reikšmingo poveikio varfarino farmakokinetikai ar farmakodinamikai. Panašiai </w:t>
      </w:r>
      <w:r w:rsidR="0078516E" w:rsidRPr="00633873">
        <w:rPr>
          <w:rFonts w:ascii="Times New Roman" w:eastAsia="Times New Roman" w:hAnsi="Times New Roman" w:cs="Times New Roman"/>
          <w:snapToGrid w:val="0"/>
          <w:lang w:eastAsia="da-DK"/>
        </w:rPr>
        <w:t>derinyje</w:t>
      </w:r>
      <w:r w:rsidRPr="00633873">
        <w:rPr>
          <w:rFonts w:ascii="Times New Roman" w:eastAsia="Times New Roman" w:hAnsi="Times New Roman" w:cs="Times New Roman"/>
          <w:snapToGrid w:val="0"/>
          <w:lang w:eastAsia="da-DK"/>
        </w:rPr>
        <w:t xml:space="preserve"> skiriamas varfarinas neveikė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farmakokinetikos (žr. 4.5</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0FDD8163" w14:textId="527F738C"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Dalyvaujant 19 sveikų savanorių buvo tirtas </w:t>
      </w:r>
      <w:proofErr w:type="spellStart"/>
      <w:r w:rsidRPr="00633873">
        <w:rPr>
          <w:rFonts w:ascii="Times New Roman" w:eastAsia="Times New Roman" w:hAnsi="Times New Roman" w:cs="Times New Roman"/>
          <w:snapToGrid w:val="0"/>
          <w:lang w:eastAsia="da-DK"/>
        </w:rPr>
        <w:t>sildenafilio</w:t>
      </w:r>
      <w:proofErr w:type="spellEnd"/>
      <w:r w:rsidRPr="00633873">
        <w:rPr>
          <w:rFonts w:ascii="Times New Roman" w:eastAsia="Times New Roman" w:hAnsi="Times New Roman" w:cs="Times New Roman"/>
          <w:snapToGrid w:val="0"/>
          <w:lang w:eastAsia="da-DK"/>
        </w:rPr>
        <w:t xml:space="preserve"> poveikis, skiriant jį po 20 mg tris kartus per parą 7 dienas, vienkartinės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dozės farmakokinetikai</w:t>
      </w:r>
      <w:r w:rsidR="002B10DB" w:rsidRPr="00633873">
        <w:rPr>
          <w:rFonts w:ascii="Times New Roman" w:eastAsia="Times New Roman" w:hAnsi="Times New Roman" w:cs="Times New Roman"/>
          <w:snapToGrid w:val="0"/>
          <w:lang w:eastAsia="da-DK"/>
        </w:rPr>
        <w:t>, o taip pat</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w:t>
      </w:r>
      <w:r w:rsidR="002B10DB"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10 mg </w:t>
      </w:r>
      <w:r w:rsidR="008A78F7" w:rsidRPr="00633873">
        <w:rPr>
          <w:rFonts w:ascii="Times New Roman" w:eastAsia="Times New Roman" w:hAnsi="Times New Roman" w:cs="Times New Roman"/>
          <w:snapToGrid w:val="0"/>
          <w:lang w:eastAsia="da-DK"/>
        </w:rPr>
        <w:t xml:space="preserve">vieną </w:t>
      </w:r>
      <w:r w:rsidRPr="00633873">
        <w:rPr>
          <w:rFonts w:ascii="Times New Roman" w:eastAsia="Times New Roman" w:hAnsi="Times New Roman" w:cs="Times New Roman"/>
          <w:snapToGrid w:val="0"/>
          <w:lang w:eastAsia="da-DK"/>
        </w:rPr>
        <w:t>kartą per parą), skiriant jį 7</w:t>
      </w:r>
      <w:r w:rsidR="008A78F7"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dienas</w:t>
      </w:r>
      <w:r w:rsidR="008A78F7" w:rsidRPr="00633873">
        <w:rPr>
          <w:rFonts w:ascii="Times New Roman" w:eastAsia="Times New Roman" w:hAnsi="Times New Roman" w:cs="Times New Roman"/>
          <w:snapToGrid w:val="0"/>
          <w:lang w:eastAsia="da-DK"/>
        </w:rPr>
        <w:t>,</w:t>
      </w:r>
      <w:r w:rsidRPr="00633873">
        <w:rPr>
          <w:rFonts w:ascii="Times New Roman" w:eastAsia="Times New Roman" w:hAnsi="Times New Roman" w:cs="Times New Roman"/>
          <w:snapToGrid w:val="0"/>
          <w:lang w:eastAsia="da-DK"/>
        </w:rPr>
        <w:t xml:space="preserve"> poveikis vienkartinės </w:t>
      </w:r>
      <w:proofErr w:type="spellStart"/>
      <w:r w:rsidRPr="00633873">
        <w:rPr>
          <w:rFonts w:ascii="Times New Roman" w:eastAsia="Times New Roman" w:hAnsi="Times New Roman" w:cs="Times New Roman"/>
          <w:snapToGrid w:val="0"/>
          <w:lang w:eastAsia="da-DK"/>
        </w:rPr>
        <w:t>sildenafilio</w:t>
      </w:r>
      <w:proofErr w:type="spellEnd"/>
      <w:r w:rsidRPr="00633873">
        <w:rPr>
          <w:rFonts w:ascii="Times New Roman" w:eastAsia="Times New Roman" w:hAnsi="Times New Roman" w:cs="Times New Roman"/>
          <w:snapToGrid w:val="0"/>
          <w:lang w:eastAsia="da-DK"/>
        </w:rPr>
        <w:t xml:space="preserve"> dozės farmakokinetikai. Išskyrus tai, kad </w:t>
      </w:r>
      <w:r w:rsidR="002B10DB" w:rsidRPr="00633873">
        <w:rPr>
          <w:rFonts w:ascii="Times New Roman" w:eastAsia="Times New Roman" w:hAnsi="Times New Roman" w:cs="Times New Roman"/>
          <w:snapToGrid w:val="0"/>
          <w:lang w:eastAsia="da-DK"/>
        </w:rPr>
        <w:t>derinyje</w:t>
      </w:r>
      <w:r w:rsidRPr="00633873">
        <w:rPr>
          <w:rFonts w:ascii="Times New Roman" w:eastAsia="Times New Roman" w:hAnsi="Times New Roman" w:cs="Times New Roman"/>
          <w:snapToGrid w:val="0"/>
          <w:lang w:eastAsia="da-DK"/>
        </w:rPr>
        <w:t xml:space="preserve"> skiriant </w:t>
      </w:r>
      <w:proofErr w:type="spellStart"/>
      <w:r w:rsidRPr="00633873">
        <w:rPr>
          <w:rFonts w:ascii="Times New Roman" w:eastAsia="Times New Roman" w:hAnsi="Times New Roman" w:cs="Times New Roman"/>
          <w:snapToGrid w:val="0"/>
          <w:lang w:eastAsia="da-DK"/>
        </w:rPr>
        <w:t>ambrisentaną</w:t>
      </w:r>
      <w:proofErr w:type="spellEnd"/>
      <w:r w:rsidRPr="00633873">
        <w:rPr>
          <w:rFonts w:ascii="Times New Roman" w:eastAsia="Times New Roman" w:hAnsi="Times New Roman" w:cs="Times New Roman"/>
          <w:snapToGrid w:val="0"/>
          <w:lang w:eastAsia="da-DK"/>
        </w:rPr>
        <w:t xml:space="preserve"> 13 % padidėjo </w:t>
      </w:r>
      <w:proofErr w:type="spellStart"/>
      <w:r w:rsidRPr="00633873">
        <w:rPr>
          <w:rFonts w:ascii="Times New Roman" w:eastAsia="Times New Roman" w:hAnsi="Times New Roman" w:cs="Times New Roman"/>
          <w:snapToGrid w:val="0"/>
          <w:lang w:eastAsia="da-DK"/>
        </w:rPr>
        <w:t>sildenafilio</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kitų </w:t>
      </w:r>
      <w:proofErr w:type="spellStart"/>
      <w:r w:rsidRPr="00633873">
        <w:rPr>
          <w:rFonts w:ascii="Times New Roman" w:eastAsia="Times New Roman" w:hAnsi="Times New Roman" w:cs="Times New Roman"/>
          <w:snapToGrid w:val="0"/>
          <w:lang w:eastAsia="da-DK"/>
        </w:rPr>
        <w:t>sildenafilio</w:t>
      </w:r>
      <w:proofErr w:type="spellEnd"/>
      <w:r w:rsidRPr="00633873">
        <w:rPr>
          <w:rFonts w:ascii="Times New Roman" w:eastAsia="Times New Roman" w:hAnsi="Times New Roman" w:cs="Times New Roman"/>
          <w:snapToGrid w:val="0"/>
          <w:lang w:eastAsia="da-DK"/>
        </w:rPr>
        <w:t>, N-</w:t>
      </w:r>
      <w:proofErr w:type="spellStart"/>
      <w:r w:rsidRPr="00633873">
        <w:rPr>
          <w:rFonts w:ascii="Times New Roman" w:eastAsia="Times New Roman" w:hAnsi="Times New Roman" w:cs="Times New Roman"/>
          <w:snapToGrid w:val="0"/>
          <w:lang w:eastAsia="da-DK"/>
        </w:rPr>
        <w:t>desmetilsildenafilio</w:t>
      </w:r>
      <w:proofErr w:type="spellEnd"/>
      <w:r w:rsidRPr="00633873">
        <w:rPr>
          <w:rFonts w:ascii="Times New Roman" w:eastAsia="Times New Roman" w:hAnsi="Times New Roman" w:cs="Times New Roman"/>
          <w:snapToGrid w:val="0"/>
          <w:lang w:eastAsia="da-DK"/>
        </w:rPr>
        <w:t xml:space="preserve"> ir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farmakokinetikos pokyčių nepastebėta. Manoma, kad šis ne</w:t>
      </w:r>
      <w:r w:rsidR="002B10DB" w:rsidRPr="00633873">
        <w:rPr>
          <w:rFonts w:ascii="Times New Roman" w:eastAsia="Times New Roman" w:hAnsi="Times New Roman" w:cs="Times New Roman"/>
          <w:snapToGrid w:val="0"/>
          <w:lang w:eastAsia="da-DK"/>
        </w:rPr>
        <w:t>žymus</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si</w:t>
      </w:r>
      <w:r w:rsidR="002B10DB" w:rsidRPr="00633873">
        <w:rPr>
          <w:rFonts w:ascii="Times New Roman" w:eastAsia="Times New Roman" w:hAnsi="Times New Roman" w:cs="Times New Roman"/>
          <w:snapToGrid w:val="0"/>
          <w:lang w:eastAsia="da-DK"/>
        </w:rPr>
        <w:t>l</w:t>
      </w:r>
      <w:r w:rsidRPr="00633873">
        <w:rPr>
          <w:rFonts w:ascii="Times New Roman" w:eastAsia="Times New Roman" w:hAnsi="Times New Roman" w:cs="Times New Roman"/>
          <w:snapToGrid w:val="0"/>
          <w:lang w:eastAsia="da-DK"/>
        </w:rPr>
        <w:t>denafilio</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padidėjimas nėra kliniškai reikšmingas (žr. 4.5</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3FB96C10"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47736506" w14:textId="3E21B156"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23</w:t>
      </w:r>
      <w:r w:rsidR="008A78F7"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 xml:space="preserve">sveikiems savanoriams buvo tirta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10 mg </w:t>
      </w:r>
      <w:r w:rsidR="008A78F7" w:rsidRPr="00633873">
        <w:rPr>
          <w:rFonts w:ascii="Times New Roman" w:eastAsia="Times New Roman" w:hAnsi="Times New Roman" w:cs="Times New Roman"/>
          <w:snapToGrid w:val="0"/>
          <w:lang w:eastAsia="da-DK"/>
        </w:rPr>
        <w:t xml:space="preserve">vieną </w:t>
      </w:r>
      <w:r w:rsidRPr="00633873">
        <w:rPr>
          <w:rFonts w:ascii="Times New Roman" w:eastAsia="Times New Roman" w:hAnsi="Times New Roman" w:cs="Times New Roman"/>
          <w:snapToGrid w:val="0"/>
          <w:lang w:eastAsia="da-DK"/>
        </w:rPr>
        <w:t>kartą per parą)</w:t>
      </w:r>
      <w:r w:rsidR="008A78F7" w:rsidRPr="00633873">
        <w:rPr>
          <w:rFonts w:ascii="Times New Roman" w:eastAsia="Times New Roman" w:hAnsi="Times New Roman" w:cs="Times New Roman"/>
          <w:snapToGrid w:val="0"/>
          <w:lang w:eastAsia="da-DK"/>
        </w:rPr>
        <w:t>,</w:t>
      </w:r>
      <w:r w:rsidRPr="00633873">
        <w:rPr>
          <w:rFonts w:ascii="Times New Roman" w:eastAsia="Times New Roman" w:hAnsi="Times New Roman" w:cs="Times New Roman"/>
          <w:snapToGrid w:val="0"/>
          <w:lang w:eastAsia="da-DK"/>
        </w:rPr>
        <w:t xml:space="preserve"> nusistovėjus jo </w:t>
      </w:r>
      <w:proofErr w:type="spellStart"/>
      <w:r w:rsidR="008E0F7A" w:rsidRPr="00633873">
        <w:rPr>
          <w:rFonts w:ascii="Times New Roman" w:eastAsia="Times New Roman" w:hAnsi="Times New Roman" w:cs="Times New Roman"/>
          <w:snapToGrid w:val="0"/>
          <w:lang w:eastAsia="da-DK"/>
        </w:rPr>
        <w:t>pusiausvyr</w:t>
      </w:r>
      <w:r w:rsidR="00FC0099" w:rsidRPr="00633873">
        <w:rPr>
          <w:rFonts w:ascii="Times New Roman" w:eastAsia="Times New Roman" w:hAnsi="Times New Roman" w:cs="Times New Roman"/>
          <w:snapToGrid w:val="0"/>
          <w:lang w:eastAsia="da-DK"/>
        </w:rPr>
        <w:t>inei</w:t>
      </w:r>
      <w:proofErr w:type="spellEnd"/>
      <w:r w:rsidR="008E0F7A"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koncentracijai</w:t>
      </w:r>
      <w:r w:rsidR="008A78F7" w:rsidRPr="00633873">
        <w:rPr>
          <w:rFonts w:ascii="Times New Roman" w:eastAsia="Times New Roman" w:hAnsi="Times New Roman" w:cs="Times New Roman"/>
          <w:snapToGrid w:val="0"/>
          <w:lang w:eastAsia="da-DK"/>
        </w:rPr>
        <w:t>,</w:t>
      </w:r>
      <w:r w:rsidRPr="00633873">
        <w:rPr>
          <w:rFonts w:ascii="Times New Roman" w:eastAsia="Times New Roman" w:hAnsi="Times New Roman" w:cs="Times New Roman"/>
          <w:snapToGrid w:val="0"/>
          <w:lang w:eastAsia="da-DK"/>
        </w:rPr>
        <w:t xml:space="preserve"> poveikis vienkartinės </w:t>
      </w:r>
      <w:proofErr w:type="spellStart"/>
      <w:r w:rsidRPr="00633873">
        <w:rPr>
          <w:rFonts w:ascii="Times New Roman" w:eastAsia="Times New Roman" w:hAnsi="Times New Roman" w:cs="Times New Roman"/>
          <w:snapToGrid w:val="0"/>
          <w:lang w:eastAsia="da-DK"/>
        </w:rPr>
        <w:t>tadalafilio</w:t>
      </w:r>
      <w:proofErr w:type="spellEnd"/>
      <w:r w:rsidRPr="00633873">
        <w:rPr>
          <w:rFonts w:ascii="Times New Roman" w:eastAsia="Times New Roman" w:hAnsi="Times New Roman" w:cs="Times New Roman"/>
          <w:snapToGrid w:val="0"/>
          <w:lang w:eastAsia="da-DK"/>
        </w:rPr>
        <w:t xml:space="preserve"> dozės farmakokinetikai</w:t>
      </w:r>
      <w:r w:rsidR="00FC0099" w:rsidRPr="00633873">
        <w:rPr>
          <w:rFonts w:ascii="Times New Roman" w:eastAsia="Times New Roman" w:hAnsi="Times New Roman" w:cs="Times New Roman"/>
          <w:snapToGrid w:val="0"/>
          <w:lang w:eastAsia="da-DK"/>
        </w:rPr>
        <w:t>, o taip pat</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tadalafilio</w:t>
      </w:r>
      <w:proofErr w:type="spellEnd"/>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40 mg kartą per parą), nusistovėjus jo </w:t>
      </w:r>
      <w:proofErr w:type="spellStart"/>
      <w:r w:rsidR="008E0F7A" w:rsidRPr="00633873">
        <w:rPr>
          <w:rFonts w:ascii="Times New Roman" w:eastAsia="Times New Roman" w:hAnsi="Times New Roman" w:cs="Times New Roman"/>
          <w:snapToGrid w:val="0"/>
          <w:lang w:eastAsia="da-DK"/>
        </w:rPr>
        <w:t>pusiausvyr</w:t>
      </w:r>
      <w:r w:rsidR="00FC0099" w:rsidRPr="00633873">
        <w:rPr>
          <w:rFonts w:ascii="Times New Roman" w:eastAsia="Times New Roman" w:hAnsi="Times New Roman" w:cs="Times New Roman"/>
          <w:snapToGrid w:val="0"/>
          <w:lang w:eastAsia="da-DK"/>
        </w:rPr>
        <w:t>inei</w:t>
      </w:r>
      <w:proofErr w:type="spellEnd"/>
      <w:r w:rsidR="008E0F7A"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koncentracijai</w:t>
      </w:r>
      <w:r w:rsidRPr="00633873">
        <w:rPr>
          <w:rFonts w:ascii="Times New Roman" w:eastAsia="Times New Roman" w:hAnsi="Times New Roman" w:cs="Times New Roman"/>
          <w:snapToGrid w:val="0"/>
          <w:lang w:eastAsia="da-DK"/>
        </w:rPr>
        <w:t xml:space="preserve">, poveikis vienkartinės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dozės farmakokinetikai.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nedarė kliniškai reikšmingo poveikio </w:t>
      </w:r>
      <w:proofErr w:type="spellStart"/>
      <w:r w:rsidRPr="00633873">
        <w:rPr>
          <w:rFonts w:ascii="Times New Roman" w:eastAsia="Times New Roman" w:hAnsi="Times New Roman" w:cs="Times New Roman"/>
          <w:snapToGrid w:val="0"/>
          <w:lang w:eastAsia="da-DK"/>
        </w:rPr>
        <w:t>tadalafilio</w:t>
      </w:r>
      <w:proofErr w:type="spellEnd"/>
      <w:r w:rsidRPr="00633873">
        <w:rPr>
          <w:rFonts w:ascii="Times New Roman" w:eastAsia="Times New Roman" w:hAnsi="Times New Roman" w:cs="Times New Roman"/>
          <w:snapToGrid w:val="0"/>
          <w:lang w:eastAsia="da-DK"/>
        </w:rPr>
        <w:t xml:space="preserve"> farmakokinetikai. </w:t>
      </w:r>
      <w:r w:rsidR="00FC0099" w:rsidRPr="00633873">
        <w:rPr>
          <w:rFonts w:ascii="Times New Roman" w:eastAsia="Times New Roman" w:hAnsi="Times New Roman" w:cs="Times New Roman"/>
          <w:snapToGrid w:val="0"/>
          <w:lang w:eastAsia="da-DK"/>
        </w:rPr>
        <w:t>Derinyje</w:t>
      </w:r>
      <w:r w:rsidRPr="00633873">
        <w:rPr>
          <w:rFonts w:ascii="Times New Roman" w:eastAsia="Times New Roman" w:hAnsi="Times New Roman" w:cs="Times New Roman"/>
          <w:snapToGrid w:val="0"/>
          <w:lang w:eastAsia="da-DK"/>
        </w:rPr>
        <w:t xml:space="preserve"> skiriamas </w:t>
      </w:r>
      <w:proofErr w:type="spellStart"/>
      <w:r w:rsidRPr="00633873">
        <w:rPr>
          <w:rFonts w:ascii="Times New Roman" w:eastAsia="Times New Roman" w:hAnsi="Times New Roman" w:cs="Times New Roman"/>
          <w:snapToGrid w:val="0"/>
          <w:lang w:eastAsia="da-DK"/>
        </w:rPr>
        <w:t>tadalafilis</w:t>
      </w:r>
      <w:proofErr w:type="spellEnd"/>
      <w:r w:rsidRPr="00633873">
        <w:rPr>
          <w:rFonts w:ascii="Times New Roman" w:eastAsia="Times New Roman" w:hAnsi="Times New Roman" w:cs="Times New Roman"/>
          <w:snapToGrid w:val="0"/>
          <w:lang w:eastAsia="da-DK"/>
        </w:rPr>
        <w:t xml:space="preserve"> taip pat nedarė poveikio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farmakokinetikai (žr. 4.5</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30F76E66"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1F530304" w14:textId="2D9CFBB2"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Dalyvaujant 16</w:t>
      </w:r>
      <w:r w:rsidR="008A78F7"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sveikų savanorių buvo tirtas kartotin</w:t>
      </w:r>
      <w:r w:rsidR="008E0F7A" w:rsidRPr="00633873">
        <w:rPr>
          <w:rFonts w:ascii="Times New Roman" w:eastAsia="Times New Roman" w:hAnsi="Times New Roman" w:cs="Times New Roman"/>
          <w:snapToGrid w:val="0"/>
          <w:lang w:eastAsia="da-DK"/>
        </w:rPr>
        <w:t>i</w:t>
      </w:r>
      <w:r w:rsidRPr="00633873">
        <w:rPr>
          <w:rFonts w:ascii="Times New Roman" w:eastAsia="Times New Roman" w:hAnsi="Times New Roman" w:cs="Times New Roman"/>
          <w:snapToGrid w:val="0"/>
          <w:lang w:eastAsia="da-DK"/>
        </w:rPr>
        <w:t xml:space="preserve">ų </w:t>
      </w:r>
      <w:proofErr w:type="spellStart"/>
      <w:r w:rsidRPr="00633873">
        <w:rPr>
          <w:rFonts w:ascii="Times New Roman" w:eastAsia="Times New Roman" w:hAnsi="Times New Roman" w:cs="Times New Roman"/>
          <w:snapToGrid w:val="0"/>
          <w:lang w:eastAsia="da-DK"/>
        </w:rPr>
        <w:t>ketokonazolo</w:t>
      </w:r>
      <w:proofErr w:type="spellEnd"/>
      <w:r w:rsidRPr="00633873">
        <w:rPr>
          <w:rFonts w:ascii="Times New Roman" w:eastAsia="Times New Roman" w:hAnsi="Times New Roman" w:cs="Times New Roman"/>
          <w:snapToGrid w:val="0"/>
          <w:lang w:eastAsia="da-DK"/>
        </w:rPr>
        <w:t xml:space="preserve"> (400 mg </w:t>
      </w:r>
      <w:r w:rsidR="008E0F7A" w:rsidRPr="00633873">
        <w:rPr>
          <w:rFonts w:ascii="Times New Roman" w:eastAsia="Times New Roman" w:hAnsi="Times New Roman" w:cs="Times New Roman"/>
          <w:snapToGrid w:val="0"/>
          <w:lang w:eastAsia="da-DK"/>
        </w:rPr>
        <w:t xml:space="preserve">vieną </w:t>
      </w:r>
      <w:r w:rsidRPr="00633873">
        <w:rPr>
          <w:rFonts w:ascii="Times New Roman" w:eastAsia="Times New Roman" w:hAnsi="Times New Roman" w:cs="Times New Roman"/>
          <w:snapToGrid w:val="0"/>
          <w:lang w:eastAsia="da-DK"/>
        </w:rPr>
        <w:t xml:space="preserve">kartą per parą) dozių poveikis vienkartinės 10 mg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dozės farmakokinetikai. Matuojant AUC</w:t>
      </w:r>
      <w:r w:rsidRPr="00633873">
        <w:rPr>
          <w:rFonts w:ascii="Times New Roman" w:eastAsia="Times New Roman" w:hAnsi="Times New Roman" w:cs="Times New Roman"/>
          <w:snapToGrid w:val="0"/>
          <w:vertAlign w:val="subscript"/>
          <w:lang w:eastAsia="da-DK"/>
        </w:rPr>
        <w:t>(0–</w:t>
      </w:r>
      <w:proofErr w:type="spellStart"/>
      <w:r w:rsidRPr="00633873">
        <w:rPr>
          <w:rFonts w:ascii="Times New Roman" w:eastAsia="Times New Roman" w:hAnsi="Times New Roman" w:cs="Times New Roman"/>
          <w:snapToGrid w:val="0"/>
          <w:vertAlign w:val="subscript"/>
          <w:lang w:eastAsia="da-DK"/>
        </w:rPr>
        <w:t>inf</w:t>
      </w:r>
      <w:proofErr w:type="spellEnd"/>
      <w:r w:rsidRPr="00633873">
        <w:rPr>
          <w:rFonts w:ascii="Times New Roman" w:eastAsia="Times New Roman" w:hAnsi="Times New Roman" w:cs="Times New Roman"/>
          <w:snapToGrid w:val="0"/>
          <w:vertAlign w:val="subscript"/>
          <w:lang w:eastAsia="da-DK"/>
        </w:rPr>
        <w:t>)</w:t>
      </w:r>
      <w:r w:rsidRPr="00633873">
        <w:rPr>
          <w:rFonts w:ascii="Times New Roman" w:eastAsia="Times New Roman" w:hAnsi="Times New Roman" w:cs="Times New Roman"/>
          <w:snapToGrid w:val="0"/>
          <w:lang w:eastAsia="da-DK"/>
        </w:rPr>
        <w:t xml:space="preserve"> ir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ekspozicija padidėjo atitinkamai 35 % ir 20 %. Nėra tikėtina, kad šie ekspozicijos </w:t>
      </w:r>
      <w:r w:rsidR="008E0F7A" w:rsidRPr="00633873">
        <w:rPr>
          <w:rFonts w:ascii="Times New Roman" w:eastAsia="Times New Roman" w:hAnsi="Times New Roman" w:cs="Times New Roman"/>
          <w:snapToGrid w:val="0"/>
          <w:lang w:eastAsia="da-DK"/>
        </w:rPr>
        <w:t>pokyčiai</w:t>
      </w:r>
      <w:r w:rsidRPr="00633873">
        <w:rPr>
          <w:rFonts w:ascii="Times New Roman" w:eastAsia="Times New Roman" w:hAnsi="Times New Roman" w:cs="Times New Roman"/>
          <w:snapToGrid w:val="0"/>
          <w:lang w:eastAsia="da-DK"/>
        </w:rPr>
        <w:t xml:space="preserve"> bus kliniškai reikšmingi, todėl </w:t>
      </w:r>
      <w:proofErr w:type="spellStart"/>
      <w:r w:rsidRPr="00633873">
        <w:rPr>
          <w:rFonts w:ascii="Times New Roman" w:eastAsia="Times New Roman" w:hAnsi="Times New Roman" w:cs="Times New Roman"/>
          <w:snapToGrid w:val="0"/>
          <w:lang w:eastAsia="da-DK"/>
        </w:rPr>
        <w:t>ambrisentaną</w:t>
      </w:r>
      <w:proofErr w:type="spellEnd"/>
      <w:r w:rsidRPr="00633873">
        <w:rPr>
          <w:rFonts w:ascii="Times New Roman" w:eastAsia="Times New Roman" w:hAnsi="Times New Roman" w:cs="Times New Roman"/>
          <w:snapToGrid w:val="0"/>
          <w:lang w:eastAsia="da-DK"/>
        </w:rPr>
        <w:t xml:space="preserve"> galima skirti </w:t>
      </w:r>
      <w:r w:rsidR="00FC0099" w:rsidRPr="00633873">
        <w:rPr>
          <w:rFonts w:ascii="Times New Roman" w:eastAsia="Times New Roman" w:hAnsi="Times New Roman" w:cs="Times New Roman"/>
          <w:snapToGrid w:val="0"/>
          <w:lang w:eastAsia="da-DK"/>
        </w:rPr>
        <w:t>derinyje</w:t>
      </w:r>
      <w:r w:rsidRPr="00633873">
        <w:rPr>
          <w:rFonts w:ascii="Times New Roman" w:eastAsia="Times New Roman" w:hAnsi="Times New Roman" w:cs="Times New Roman"/>
          <w:snapToGrid w:val="0"/>
          <w:lang w:eastAsia="da-DK"/>
        </w:rPr>
        <w:t xml:space="preserve"> su </w:t>
      </w:r>
      <w:proofErr w:type="spellStart"/>
      <w:r w:rsidRPr="00633873">
        <w:rPr>
          <w:rFonts w:ascii="Times New Roman" w:eastAsia="Times New Roman" w:hAnsi="Times New Roman" w:cs="Times New Roman"/>
          <w:snapToGrid w:val="0"/>
          <w:lang w:eastAsia="da-DK"/>
        </w:rPr>
        <w:t>ketokonazolu</w:t>
      </w:r>
      <w:proofErr w:type="spellEnd"/>
      <w:r w:rsidRPr="00633873">
        <w:rPr>
          <w:rFonts w:ascii="Times New Roman" w:eastAsia="Times New Roman" w:hAnsi="Times New Roman" w:cs="Times New Roman"/>
          <w:snapToGrid w:val="0"/>
          <w:lang w:eastAsia="da-DK"/>
        </w:rPr>
        <w:t>.</w:t>
      </w:r>
    </w:p>
    <w:p w14:paraId="4EA780A0"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0AFE619B" w14:textId="46B68505"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Atlikti kartotinių </w:t>
      </w:r>
      <w:proofErr w:type="spellStart"/>
      <w:r w:rsidRPr="00633873">
        <w:rPr>
          <w:rFonts w:ascii="Times New Roman" w:eastAsia="Times New Roman" w:hAnsi="Times New Roman" w:cs="Times New Roman"/>
          <w:snapToGrid w:val="0"/>
          <w:lang w:eastAsia="da-DK"/>
        </w:rPr>
        <w:t>ciklosporino</w:t>
      </w:r>
      <w:proofErr w:type="spellEnd"/>
      <w:r w:rsidRPr="00633873">
        <w:rPr>
          <w:rFonts w:ascii="Times New Roman" w:eastAsia="Times New Roman" w:hAnsi="Times New Roman" w:cs="Times New Roman"/>
          <w:snapToGrid w:val="0"/>
          <w:lang w:eastAsia="da-DK"/>
        </w:rPr>
        <w:t xml:space="preserve"> A dozių (</w:t>
      </w:r>
      <w:r w:rsidR="00FC0099"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po 100–150 mg du kartus per parą) poveikio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5 mg </w:t>
      </w:r>
      <w:r w:rsidR="008E0F7A" w:rsidRPr="00633873">
        <w:rPr>
          <w:rFonts w:ascii="Times New Roman" w:eastAsia="Times New Roman" w:hAnsi="Times New Roman" w:cs="Times New Roman"/>
          <w:snapToGrid w:val="0"/>
          <w:lang w:eastAsia="da-DK"/>
        </w:rPr>
        <w:t xml:space="preserve">vieną </w:t>
      </w:r>
      <w:r w:rsidRPr="00633873">
        <w:rPr>
          <w:rFonts w:ascii="Times New Roman" w:eastAsia="Times New Roman" w:hAnsi="Times New Roman" w:cs="Times New Roman"/>
          <w:snapToGrid w:val="0"/>
          <w:lang w:eastAsia="da-DK"/>
        </w:rPr>
        <w:t xml:space="preserve">kartą per parą) farmakokinetikai, </w:t>
      </w:r>
      <w:r w:rsidR="00FC0099" w:rsidRPr="00633873">
        <w:rPr>
          <w:rFonts w:ascii="Times New Roman" w:eastAsia="Times New Roman" w:hAnsi="Times New Roman" w:cs="Times New Roman"/>
          <w:snapToGrid w:val="0"/>
          <w:lang w:eastAsia="da-DK"/>
        </w:rPr>
        <w:t>susidarius</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pusiausvyr</w:t>
      </w:r>
      <w:r w:rsidR="00FC0099" w:rsidRPr="00633873">
        <w:rPr>
          <w:rFonts w:ascii="Times New Roman" w:eastAsia="Times New Roman" w:hAnsi="Times New Roman" w:cs="Times New Roman"/>
          <w:snapToGrid w:val="0"/>
          <w:lang w:eastAsia="da-DK"/>
        </w:rPr>
        <w:t>inei</w:t>
      </w:r>
      <w:proofErr w:type="spellEnd"/>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koncentracijai</w:t>
      </w:r>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o taip pat</w:t>
      </w:r>
      <w:r w:rsidRPr="00633873">
        <w:rPr>
          <w:rFonts w:ascii="Times New Roman" w:eastAsia="Times New Roman" w:hAnsi="Times New Roman" w:cs="Times New Roman"/>
          <w:snapToGrid w:val="0"/>
          <w:lang w:eastAsia="da-DK"/>
        </w:rPr>
        <w:t xml:space="preserve"> kartotinių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dozių (5 mg vieną kartą per parą) poveikio </w:t>
      </w:r>
      <w:proofErr w:type="spellStart"/>
      <w:r w:rsidRPr="00633873">
        <w:rPr>
          <w:rFonts w:ascii="Times New Roman" w:eastAsia="Times New Roman" w:hAnsi="Times New Roman" w:cs="Times New Roman"/>
          <w:snapToGrid w:val="0"/>
          <w:lang w:eastAsia="da-DK"/>
        </w:rPr>
        <w:t>ciklosporino</w:t>
      </w:r>
      <w:proofErr w:type="spellEnd"/>
      <w:r w:rsidRPr="00633873">
        <w:rPr>
          <w:rFonts w:ascii="Times New Roman" w:eastAsia="Times New Roman" w:hAnsi="Times New Roman" w:cs="Times New Roman"/>
          <w:snapToGrid w:val="0"/>
          <w:lang w:eastAsia="da-DK"/>
        </w:rPr>
        <w:t xml:space="preserve"> A (</w:t>
      </w:r>
      <w:r w:rsidR="00FC0099"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po 100–150 mg du kartus per parą) farmakokinetikai, </w:t>
      </w:r>
      <w:r w:rsidR="00FC0099" w:rsidRPr="00633873">
        <w:rPr>
          <w:rFonts w:ascii="Times New Roman" w:eastAsia="Times New Roman" w:hAnsi="Times New Roman" w:cs="Times New Roman"/>
          <w:snapToGrid w:val="0"/>
          <w:lang w:eastAsia="da-DK"/>
        </w:rPr>
        <w:t>susidarius</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pusiausvyr</w:t>
      </w:r>
      <w:r w:rsidR="00FC0099" w:rsidRPr="00633873">
        <w:rPr>
          <w:rFonts w:ascii="Times New Roman" w:eastAsia="Times New Roman" w:hAnsi="Times New Roman" w:cs="Times New Roman"/>
          <w:snapToGrid w:val="0"/>
          <w:lang w:eastAsia="da-DK"/>
        </w:rPr>
        <w:t>inei</w:t>
      </w:r>
      <w:proofErr w:type="spellEnd"/>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koncentracijai</w:t>
      </w:r>
      <w:r w:rsidRPr="00633873">
        <w:rPr>
          <w:rFonts w:ascii="Times New Roman" w:eastAsia="Times New Roman" w:hAnsi="Times New Roman" w:cs="Times New Roman"/>
          <w:snapToGrid w:val="0"/>
          <w:lang w:eastAsia="da-DK"/>
        </w:rPr>
        <w:t xml:space="preserve">, tyrimai su sveikais savanoriais. Skiriant kartotines </w:t>
      </w:r>
      <w:proofErr w:type="spellStart"/>
      <w:r w:rsidRPr="00633873">
        <w:rPr>
          <w:rFonts w:ascii="Times New Roman" w:eastAsia="Times New Roman" w:hAnsi="Times New Roman" w:cs="Times New Roman"/>
          <w:snapToGrid w:val="0"/>
          <w:lang w:eastAsia="da-DK"/>
        </w:rPr>
        <w:t>ciklosporino</w:t>
      </w:r>
      <w:proofErr w:type="spellEnd"/>
      <w:r w:rsidRPr="00633873">
        <w:rPr>
          <w:rFonts w:ascii="Times New Roman" w:eastAsia="Times New Roman" w:hAnsi="Times New Roman" w:cs="Times New Roman"/>
          <w:snapToGrid w:val="0"/>
          <w:lang w:eastAsia="da-DK"/>
        </w:rPr>
        <w:t xml:space="preserve"> A dozes, padidėjo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ir AUC</w:t>
      </w:r>
      <w:r w:rsidRPr="00633873">
        <w:rPr>
          <w:rFonts w:ascii="Times New Roman" w:eastAsia="Times New Roman" w:hAnsi="Times New Roman" w:cs="Times New Roman"/>
          <w:snapToGrid w:val="0"/>
          <w:vertAlign w:val="subscript"/>
          <w:lang w:eastAsia="da-DK"/>
        </w:rPr>
        <w:t>(0–τ)</w:t>
      </w:r>
      <w:r w:rsidRPr="00633873">
        <w:rPr>
          <w:rFonts w:ascii="Times New Roman" w:eastAsia="Times New Roman" w:hAnsi="Times New Roman" w:cs="Times New Roman"/>
          <w:snapToGrid w:val="0"/>
          <w:lang w:eastAsia="da-DK"/>
        </w:rPr>
        <w:t xml:space="preserve"> (atitinkamai 48 % ir 121 %). Remiantis šiais pokyčiais, </w:t>
      </w:r>
      <w:r w:rsidR="00FC0099" w:rsidRPr="00633873">
        <w:rPr>
          <w:rFonts w:ascii="Times New Roman" w:eastAsia="Times New Roman" w:hAnsi="Times New Roman" w:cs="Times New Roman"/>
          <w:snapToGrid w:val="0"/>
          <w:lang w:eastAsia="da-DK"/>
        </w:rPr>
        <w:t>derinyje</w:t>
      </w:r>
      <w:r w:rsidRPr="00633873">
        <w:rPr>
          <w:rFonts w:ascii="Times New Roman" w:eastAsia="Times New Roman" w:hAnsi="Times New Roman" w:cs="Times New Roman"/>
          <w:snapToGrid w:val="0"/>
          <w:lang w:eastAsia="da-DK"/>
        </w:rPr>
        <w:t xml:space="preserve"> su </w:t>
      </w:r>
      <w:proofErr w:type="spellStart"/>
      <w:r w:rsidRPr="00633873">
        <w:rPr>
          <w:rFonts w:ascii="Times New Roman" w:eastAsia="Times New Roman" w:hAnsi="Times New Roman" w:cs="Times New Roman"/>
          <w:snapToGrid w:val="0"/>
          <w:lang w:eastAsia="da-DK"/>
        </w:rPr>
        <w:t>ciklosporinu</w:t>
      </w:r>
      <w:proofErr w:type="spellEnd"/>
      <w:r w:rsidRPr="00633873">
        <w:rPr>
          <w:rFonts w:ascii="Times New Roman" w:eastAsia="Times New Roman" w:hAnsi="Times New Roman" w:cs="Times New Roman"/>
          <w:snapToGrid w:val="0"/>
          <w:lang w:eastAsia="da-DK"/>
        </w:rPr>
        <w:t xml:space="preserve"> A</w:t>
      </w:r>
      <w:r w:rsidR="00633873">
        <w:rPr>
          <w:rFonts w:ascii="Times New Roman" w:eastAsia="Times New Roman" w:hAnsi="Times New Roman" w:cs="Times New Roman"/>
          <w:snapToGrid w:val="0"/>
          <w:lang w:eastAsia="da-DK"/>
        </w:rPr>
        <w:t xml:space="preserve"> suaugusiesiems ar vaikų populiacijos pacientams, kurių kūno svoris </w:t>
      </w:r>
      <w:r w:rsidR="003725E0" w:rsidRPr="00904BE7">
        <w:rPr>
          <w:rFonts w:ascii="Times New Roman" w:hAnsi="Times New Roman" w:cs="Times New Roman"/>
        </w:rPr>
        <w:t>≥  50 kg, galima vartoti</w:t>
      </w:r>
      <w:r w:rsidR="003725E0">
        <w:rPr>
          <w:rFonts w:ascii="Times New Roman" w:eastAsia="Times New Roman" w:hAnsi="Times New Roman" w:cs="Times New Roman"/>
          <w:snapToGrid w:val="0"/>
          <w:lang w:eastAsia="da-DK"/>
        </w:rPr>
        <w:t xml:space="preserve"> ne didesnę kaip 5  mg </w:t>
      </w:r>
      <w:proofErr w:type="spellStart"/>
      <w:r w:rsidR="003725E0">
        <w:rPr>
          <w:rFonts w:ascii="Times New Roman" w:eastAsia="Times New Roman" w:hAnsi="Times New Roman" w:cs="Times New Roman"/>
          <w:snapToGrid w:val="0"/>
          <w:lang w:eastAsia="da-DK"/>
        </w:rPr>
        <w:t>ambrisentano</w:t>
      </w:r>
      <w:proofErr w:type="spellEnd"/>
      <w:r w:rsidR="003725E0">
        <w:rPr>
          <w:rFonts w:ascii="Times New Roman" w:eastAsia="Times New Roman" w:hAnsi="Times New Roman" w:cs="Times New Roman"/>
          <w:snapToGrid w:val="0"/>
          <w:lang w:eastAsia="da-DK"/>
        </w:rPr>
        <w:t xml:space="preserve"> dozę vieną kartą per parą; vaikų populiacijos pacientams, kurių kūno svoris yra nuo </w:t>
      </w:r>
      <w:r w:rsidR="003725E0" w:rsidRPr="003725E0">
        <w:rPr>
          <w:rFonts w:ascii="Times New Roman" w:eastAsia="Times New Roman" w:hAnsi="Times New Roman" w:cs="Times New Roman"/>
          <w:snapToGrid w:val="0"/>
          <w:lang w:eastAsia="da-DK"/>
        </w:rPr>
        <w:t>≥</w:t>
      </w:r>
      <w:r w:rsidR="003725E0">
        <w:rPr>
          <w:rFonts w:ascii="Times New Roman" w:eastAsia="Times New Roman" w:hAnsi="Times New Roman" w:cs="Times New Roman"/>
          <w:snapToGrid w:val="0"/>
          <w:lang w:eastAsia="da-DK"/>
        </w:rPr>
        <w:t xml:space="preserve"> 20 kg iki &lt; 50 kg, galima vartoti ne didesnę kaip2,5 mg </w:t>
      </w:r>
      <w:proofErr w:type="spellStart"/>
      <w:r w:rsidR="003725E0">
        <w:rPr>
          <w:rFonts w:ascii="Times New Roman" w:eastAsia="Times New Roman" w:hAnsi="Times New Roman" w:cs="Times New Roman"/>
          <w:snapToGrid w:val="0"/>
          <w:lang w:eastAsia="da-DK"/>
        </w:rPr>
        <w:t>ambrisentano</w:t>
      </w:r>
      <w:proofErr w:type="spellEnd"/>
      <w:r w:rsidR="003725E0">
        <w:rPr>
          <w:rFonts w:ascii="Times New Roman" w:eastAsia="Times New Roman" w:hAnsi="Times New Roman" w:cs="Times New Roman"/>
          <w:snapToGrid w:val="0"/>
          <w:lang w:eastAsia="da-DK"/>
        </w:rPr>
        <w:t xml:space="preserve"> dozę vieną kartą per parą</w:t>
      </w:r>
      <w:r w:rsidRPr="00633873">
        <w:rPr>
          <w:rFonts w:ascii="Times New Roman" w:eastAsia="Times New Roman" w:hAnsi="Times New Roman" w:cs="Times New Roman"/>
          <w:snapToGrid w:val="0"/>
          <w:lang w:eastAsia="da-DK"/>
        </w:rPr>
        <w:t xml:space="preserve"> (žr. 4.2</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 xml:space="preserve">ų). Vis dėlto kartotinės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dozės kliniškai reikšmingo poveikio </w:t>
      </w:r>
      <w:proofErr w:type="spellStart"/>
      <w:r w:rsidRPr="00633873">
        <w:rPr>
          <w:rFonts w:ascii="Times New Roman" w:eastAsia="Times New Roman" w:hAnsi="Times New Roman" w:cs="Times New Roman"/>
          <w:snapToGrid w:val="0"/>
          <w:lang w:eastAsia="da-DK"/>
        </w:rPr>
        <w:t>ciklosporino</w:t>
      </w:r>
      <w:proofErr w:type="spellEnd"/>
      <w:r w:rsidRPr="00633873">
        <w:rPr>
          <w:rFonts w:ascii="Times New Roman" w:eastAsia="Times New Roman" w:hAnsi="Times New Roman" w:cs="Times New Roman"/>
          <w:snapToGrid w:val="0"/>
          <w:lang w:eastAsia="da-DK"/>
        </w:rPr>
        <w:t xml:space="preserve"> A ekspozicijai nedarė ir todėl </w:t>
      </w:r>
      <w:proofErr w:type="spellStart"/>
      <w:r w:rsidRPr="00633873">
        <w:rPr>
          <w:rFonts w:ascii="Times New Roman" w:eastAsia="Times New Roman" w:hAnsi="Times New Roman" w:cs="Times New Roman"/>
          <w:snapToGrid w:val="0"/>
          <w:lang w:eastAsia="da-DK"/>
        </w:rPr>
        <w:t>ciklosporino</w:t>
      </w:r>
      <w:proofErr w:type="spellEnd"/>
      <w:r w:rsidRPr="00633873">
        <w:rPr>
          <w:rFonts w:ascii="Times New Roman" w:eastAsia="Times New Roman" w:hAnsi="Times New Roman" w:cs="Times New Roman"/>
          <w:snapToGrid w:val="0"/>
          <w:lang w:eastAsia="da-DK"/>
        </w:rPr>
        <w:t xml:space="preserve"> A dozės keisti nebūtina.</w:t>
      </w:r>
    </w:p>
    <w:p w14:paraId="5BF324DD"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19DA1CE9" w14:textId="4115706B"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Su sveikais savanoriais buvo tiriamas vienkartinės ir kartotinių </w:t>
      </w:r>
      <w:proofErr w:type="spellStart"/>
      <w:r w:rsidRPr="00633873">
        <w:rPr>
          <w:rFonts w:ascii="Times New Roman" w:eastAsia="Times New Roman" w:hAnsi="Times New Roman" w:cs="Times New Roman"/>
          <w:snapToGrid w:val="0"/>
          <w:lang w:eastAsia="da-DK"/>
        </w:rPr>
        <w:t>rifampicino</w:t>
      </w:r>
      <w:proofErr w:type="spellEnd"/>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600 mg </w:t>
      </w:r>
      <w:r w:rsidR="008E0F7A" w:rsidRPr="00633873">
        <w:rPr>
          <w:rFonts w:ascii="Times New Roman" w:eastAsia="Times New Roman" w:hAnsi="Times New Roman" w:cs="Times New Roman"/>
          <w:snapToGrid w:val="0"/>
          <w:lang w:eastAsia="da-DK"/>
        </w:rPr>
        <w:t xml:space="preserve">vieną kartą </w:t>
      </w:r>
      <w:r w:rsidRPr="00633873">
        <w:rPr>
          <w:rFonts w:ascii="Times New Roman" w:eastAsia="Times New Roman" w:hAnsi="Times New Roman" w:cs="Times New Roman"/>
          <w:snapToGrid w:val="0"/>
          <w:lang w:eastAsia="da-DK"/>
        </w:rPr>
        <w:t xml:space="preserve">per parą) dozių poveikis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 xml:space="preserve">vartojamo </w:t>
      </w:r>
      <w:r w:rsidRPr="00633873">
        <w:rPr>
          <w:rFonts w:ascii="Times New Roman" w:eastAsia="Times New Roman" w:hAnsi="Times New Roman" w:cs="Times New Roman"/>
          <w:snapToGrid w:val="0"/>
          <w:lang w:eastAsia="da-DK"/>
        </w:rPr>
        <w:t xml:space="preserve">10 mg </w:t>
      </w:r>
      <w:r w:rsidR="008E0F7A" w:rsidRPr="00633873">
        <w:rPr>
          <w:rFonts w:ascii="Times New Roman" w:eastAsia="Times New Roman" w:hAnsi="Times New Roman" w:cs="Times New Roman"/>
          <w:snapToGrid w:val="0"/>
          <w:lang w:eastAsia="da-DK"/>
        </w:rPr>
        <w:t xml:space="preserve">vieną </w:t>
      </w:r>
      <w:r w:rsidRPr="00633873">
        <w:rPr>
          <w:rFonts w:ascii="Times New Roman" w:eastAsia="Times New Roman" w:hAnsi="Times New Roman" w:cs="Times New Roman"/>
          <w:snapToGrid w:val="0"/>
          <w:lang w:eastAsia="da-DK"/>
        </w:rPr>
        <w:t xml:space="preserve">kartą per parą) farmakokinetikai nusistovėjus jo </w:t>
      </w:r>
      <w:proofErr w:type="spellStart"/>
      <w:r w:rsidR="008E0F7A" w:rsidRPr="00633873">
        <w:rPr>
          <w:rFonts w:ascii="Times New Roman" w:eastAsia="Times New Roman" w:hAnsi="Times New Roman" w:cs="Times New Roman"/>
          <w:snapToGrid w:val="0"/>
          <w:lang w:eastAsia="da-DK"/>
        </w:rPr>
        <w:t>pusiausvyr</w:t>
      </w:r>
      <w:r w:rsidR="00FC0099" w:rsidRPr="00633873">
        <w:rPr>
          <w:rFonts w:ascii="Times New Roman" w:eastAsia="Times New Roman" w:hAnsi="Times New Roman" w:cs="Times New Roman"/>
          <w:snapToGrid w:val="0"/>
          <w:lang w:eastAsia="da-DK"/>
        </w:rPr>
        <w:t>inei</w:t>
      </w:r>
      <w:proofErr w:type="spellEnd"/>
      <w:r w:rsidR="008E0F7A" w:rsidRPr="00633873">
        <w:rPr>
          <w:rFonts w:ascii="Times New Roman" w:eastAsia="Times New Roman" w:hAnsi="Times New Roman" w:cs="Times New Roman"/>
          <w:snapToGrid w:val="0"/>
          <w:lang w:eastAsia="da-DK"/>
        </w:rPr>
        <w:t xml:space="preserve"> </w:t>
      </w:r>
      <w:r w:rsidR="00FC0099" w:rsidRPr="00633873">
        <w:rPr>
          <w:rFonts w:ascii="Times New Roman" w:eastAsia="Times New Roman" w:hAnsi="Times New Roman" w:cs="Times New Roman"/>
          <w:snapToGrid w:val="0"/>
          <w:lang w:eastAsia="da-DK"/>
        </w:rPr>
        <w:t>koncentracijai</w:t>
      </w:r>
      <w:r w:rsidRPr="00633873">
        <w:rPr>
          <w:rFonts w:ascii="Times New Roman" w:eastAsia="Times New Roman" w:hAnsi="Times New Roman" w:cs="Times New Roman"/>
          <w:snapToGrid w:val="0"/>
          <w:lang w:eastAsia="da-DK"/>
        </w:rPr>
        <w:t xml:space="preserve">. Pavartojus pradines </w:t>
      </w:r>
      <w:proofErr w:type="spellStart"/>
      <w:r w:rsidRPr="00633873">
        <w:rPr>
          <w:rFonts w:ascii="Times New Roman" w:eastAsia="Times New Roman" w:hAnsi="Times New Roman" w:cs="Times New Roman"/>
          <w:snapToGrid w:val="0"/>
          <w:lang w:eastAsia="da-DK"/>
        </w:rPr>
        <w:t>rifampicino</w:t>
      </w:r>
      <w:proofErr w:type="spellEnd"/>
      <w:r w:rsidRPr="00633873">
        <w:rPr>
          <w:rFonts w:ascii="Times New Roman" w:eastAsia="Times New Roman" w:hAnsi="Times New Roman" w:cs="Times New Roman"/>
          <w:snapToGrid w:val="0"/>
          <w:lang w:eastAsia="da-DK"/>
        </w:rPr>
        <w:t xml:space="preserve"> dozes, po pirmosios ir antrosios </w:t>
      </w:r>
      <w:proofErr w:type="spellStart"/>
      <w:r w:rsidRPr="00633873">
        <w:rPr>
          <w:rFonts w:ascii="Times New Roman" w:eastAsia="Times New Roman" w:hAnsi="Times New Roman" w:cs="Times New Roman"/>
          <w:snapToGrid w:val="0"/>
          <w:lang w:eastAsia="da-DK"/>
        </w:rPr>
        <w:t>rifampicino</w:t>
      </w:r>
      <w:proofErr w:type="spellEnd"/>
      <w:r w:rsidRPr="00633873">
        <w:rPr>
          <w:rFonts w:ascii="Times New Roman" w:eastAsia="Times New Roman" w:hAnsi="Times New Roman" w:cs="Times New Roman"/>
          <w:snapToGrid w:val="0"/>
          <w:lang w:eastAsia="da-DK"/>
        </w:rPr>
        <w:t xml:space="preserve"> dozių buvo pastebėtas laikinas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AUC</w:t>
      </w:r>
      <w:r w:rsidRPr="00633873">
        <w:rPr>
          <w:rFonts w:ascii="Times New Roman" w:eastAsia="Times New Roman" w:hAnsi="Times New Roman" w:cs="Times New Roman"/>
          <w:snapToGrid w:val="0"/>
          <w:vertAlign w:val="subscript"/>
          <w:lang w:eastAsia="da-DK"/>
        </w:rPr>
        <w:t>(0–τ)</w:t>
      </w:r>
      <w:r w:rsidRPr="00633873">
        <w:rPr>
          <w:rFonts w:ascii="Times New Roman" w:eastAsia="Times New Roman" w:hAnsi="Times New Roman" w:cs="Times New Roman"/>
          <w:snapToGrid w:val="0"/>
          <w:lang w:eastAsia="da-DK"/>
        </w:rPr>
        <w:t xml:space="preserve"> padidėjimas (atitinkamai 121 % ir 116 %), manoma, dėl </w:t>
      </w:r>
      <w:proofErr w:type="spellStart"/>
      <w:r w:rsidRPr="00633873">
        <w:rPr>
          <w:rFonts w:ascii="Times New Roman" w:eastAsia="Times New Roman" w:hAnsi="Times New Roman" w:cs="Times New Roman"/>
          <w:snapToGrid w:val="0"/>
          <w:lang w:eastAsia="da-DK"/>
        </w:rPr>
        <w:t>rifampicino</w:t>
      </w:r>
      <w:proofErr w:type="spellEnd"/>
      <w:r w:rsidRPr="00633873">
        <w:rPr>
          <w:rFonts w:ascii="Times New Roman" w:eastAsia="Times New Roman" w:hAnsi="Times New Roman" w:cs="Times New Roman"/>
          <w:snapToGrid w:val="0"/>
          <w:lang w:eastAsia="da-DK"/>
        </w:rPr>
        <w:t xml:space="preserve"> veikiamo OATP slopinimo. Tačiau 8 dieną po pakartotinių </w:t>
      </w:r>
      <w:proofErr w:type="spellStart"/>
      <w:r w:rsidRPr="00633873">
        <w:rPr>
          <w:rFonts w:ascii="Times New Roman" w:eastAsia="Times New Roman" w:hAnsi="Times New Roman" w:cs="Times New Roman"/>
          <w:snapToGrid w:val="0"/>
          <w:lang w:eastAsia="da-DK"/>
        </w:rPr>
        <w:t>rifampicino</w:t>
      </w:r>
      <w:proofErr w:type="spellEnd"/>
      <w:r w:rsidRPr="00633873">
        <w:rPr>
          <w:rFonts w:ascii="Times New Roman" w:eastAsia="Times New Roman" w:hAnsi="Times New Roman" w:cs="Times New Roman"/>
          <w:snapToGrid w:val="0"/>
          <w:lang w:eastAsia="da-DK"/>
        </w:rPr>
        <w:t xml:space="preserve"> dozių </w:t>
      </w:r>
      <w:r w:rsidR="008E0F7A" w:rsidRPr="00633873">
        <w:rPr>
          <w:rFonts w:ascii="Times New Roman" w:eastAsia="Times New Roman" w:hAnsi="Times New Roman" w:cs="Times New Roman"/>
          <w:snapToGrid w:val="0"/>
          <w:lang w:eastAsia="da-DK"/>
        </w:rPr>
        <w:t xml:space="preserve">vartojimo </w:t>
      </w:r>
      <w:r w:rsidRPr="00633873">
        <w:rPr>
          <w:rFonts w:ascii="Times New Roman" w:eastAsia="Times New Roman" w:hAnsi="Times New Roman" w:cs="Times New Roman"/>
          <w:snapToGrid w:val="0"/>
          <w:lang w:eastAsia="da-DK"/>
        </w:rPr>
        <w:t xml:space="preserve">nebuvo kliniškai reikšmingo poveikio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ekspozicijai. Pacientai, kuriems yra skiriamas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turi būti atidžiai stebimi pradėjus juos gydyti </w:t>
      </w:r>
      <w:proofErr w:type="spellStart"/>
      <w:r w:rsidRPr="00633873">
        <w:rPr>
          <w:rFonts w:ascii="Times New Roman" w:eastAsia="Times New Roman" w:hAnsi="Times New Roman" w:cs="Times New Roman"/>
          <w:snapToGrid w:val="0"/>
          <w:lang w:eastAsia="da-DK"/>
        </w:rPr>
        <w:t>rifampicinu</w:t>
      </w:r>
      <w:proofErr w:type="spellEnd"/>
      <w:r w:rsidRPr="00633873">
        <w:rPr>
          <w:rFonts w:ascii="Times New Roman" w:eastAsia="Times New Roman" w:hAnsi="Times New Roman" w:cs="Times New Roman"/>
          <w:snapToGrid w:val="0"/>
          <w:lang w:eastAsia="da-DK"/>
        </w:rPr>
        <w:t xml:space="preserve"> (žr. 4.4 ir 4.5</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us).</w:t>
      </w:r>
    </w:p>
    <w:p w14:paraId="5F93DC54"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46785982" w14:textId="6E8692EF"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Dalyvaujant 15</w:t>
      </w:r>
      <w:r w:rsidR="008E0F7A" w:rsidRPr="00633873">
        <w:rPr>
          <w:rFonts w:ascii="Times New Roman" w:eastAsia="Times New Roman" w:hAnsi="Times New Roman" w:cs="Times New Roman"/>
          <w:snapToGrid w:val="0"/>
          <w:lang w:eastAsia="da-DK"/>
        </w:rPr>
        <w:t> </w:t>
      </w:r>
      <w:r w:rsidRPr="00633873">
        <w:rPr>
          <w:rFonts w:ascii="Times New Roman" w:eastAsia="Times New Roman" w:hAnsi="Times New Roman" w:cs="Times New Roman"/>
          <w:snapToGrid w:val="0"/>
          <w:lang w:eastAsia="da-DK"/>
        </w:rPr>
        <w:t xml:space="preserve">sveikų savanorių buvo tirtas kartotinų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(10 mg) dozių poveikis vienkartinės </w:t>
      </w:r>
      <w:proofErr w:type="spellStart"/>
      <w:r w:rsidRPr="00633873">
        <w:rPr>
          <w:rFonts w:ascii="Times New Roman" w:eastAsia="Times New Roman" w:hAnsi="Times New Roman" w:cs="Times New Roman"/>
          <w:snapToGrid w:val="0"/>
          <w:lang w:eastAsia="da-DK"/>
        </w:rPr>
        <w:t>digoksino</w:t>
      </w:r>
      <w:proofErr w:type="spellEnd"/>
      <w:r w:rsidRPr="00633873">
        <w:rPr>
          <w:rFonts w:ascii="Times New Roman" w:eastAsia="Times New Roman" w:hAnsi="Times New Roman" w:cs="Times New Roman"/>
          <w:snapToGrid w:val="0"/>
          <w:lang w:eastAsia="da-DK"/>
        </w:rPr>
        <w:t xml:space="preserve"> dozės farmakokinetikai. Skiriant kartotines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dozes, stebėtas ne</w:t>
      </w:r>
      <w:r w:rsidR="00FC0099" w:rsidRPr="00633873">
        <w:rPr>
          <w:rFonts w:ascii="Times New Roman" w:eastAsia="Times New Roman" w:hAnsi="Times New Roman" w:cs="Times New Roman"/>
          <w:snapToGrid w:val="0"/>
          <w:lang w:eastAsia="da-DK"/>
        </w:rPr>
        <w:t>žymus</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digoksino</w:t>
      </w:r>
      <w:proofErr w:type="spellEnd"/>
      <w:r w:rsidRPr="00633873">
        <w:rPr>
          <w:rFonts w:ascii="Times New Roman" w:eastAsia="Times New Roman" w:hAnsi="Times New Roman" w:cs="Times New Roman"/>
          <w:snapToGrid w:val="0"/>
          <w:lang w:eastAsia="da-DK"/>
        </w:rPr>
        <w:t xml:space="preserve"> AUC</w:t>
      </w:r>
      <w:r w:rsidRPr="00633873">
        <w:rPr>
          <w:rFonts w:ascii="Times New Roman" w:eastAsia="Times New Roman" w:hAnsi="Times New Roman" w:cs="Times New Roman"/>
          <w:snapToGrid w:val="0"/>
          <w:vertAlign w:val="subscript"/>
          <w:lang w:eastAsia="da-DK"/>
        </w:rPr>
        <w:t>0–</w:t>
      </w:r>
      <w:proofErr w:type="spellStart"/>
      <w:r w:rsidRPr="00633873">
        <w:rPr>
          <w:rFonts w:ascii="Times New Roman" w:eastAsia="Times New Roman" w:hAnsi="Times New Roman" w:cs="Times New Roman"/>
          <w:snapToGrid w:val="0"/>
          <w:vertAlign w:val="subscript"/>
          <w:lang w:eastAsia="da-DK"/>
        </w:rPr>
        <w:t>last</w:t>
      </w:r>
      <w:proofErr w:type="spellEnd"/>
      <w:r w:rsidRPr="00633873">
        <w:rPr>
          <w:rFonts w:ascii="Times New Roman" w:eastAsia="Times New Roman" w:hAnsi="Times New Roman" w:cs="Times New Roman"/>
          <w:snapToGrid w:val="0"/>
          <w:lang w:eastAsia="da-DK"/>
        </w:rPr>
        <w:t xml:space="preserve"> ir jo mažiausios koncentracijos prieš pavartojant kitą dozę padidėjimas bei 29 % padidėjusi </w:t>
      </w:r>
      <w:proofErr w:type="spellStart"/>
      <w:r w:rsidRPr="00633873">
        <w:rPr>
          <w:rFonts w:ascii="Times New Roman" w:eastAsia="Times New Roman" w:hAnsi="Times New Roman" w:cs="Times New Roman"/>
          <w:snapToGrid w:val="0"/>
          <w:lang w:eastAsia="da-DK"/>
        </w:rPr>
        <w:t>digoksino</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Skiriant kartotines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dozes stebėta padidėjusi </w:t>
      </w:r>
      <w:proofErr w:type="spellStart"/>
      <w:r w:rsidRPr="00633873">
        <w:rPr>
          <w:rFonts w:ascii="Times New Roman" w:eastAsia="Times New Roman" w:hAnsi="Times New Roman" w:cs="Times New Roman"/>
          <w:snapToGrid w:val="0"/>
          <w:lang w:eastAsia="da-DK"/>
        </w:rPr>
        <w:t>digoksino</w:t>
      </w:r>
      <w:proofErr w:type="spellEnd"/>
      <w:r w:rsidRPr="00633873">
        <w:rPr>
          <w:rFonts w:ascii="Times New Roman" w:eastAsia="Times New Roman" w:hAnsi="Times New Roman" w:cs="Times New Roman"/>
          <w:snapToGrid w:val="0"/>
          <w:lang w:eastAsia="da-DK"/>
        </w:rPr>
        <w:t xml:space="preserve"> ekspozicija buvo laikoma kliniškai nereikšminga, todėl </w:t>
      </w:r>
      <w:proofErr w:type="spellStart"/>
      <w:r w:rsidRPr="00633873">
        <w:rPr>
          <w:rFonts w:ascii="Times New Roman" w:eastAsia="Times New Roman" w:hAnsi="Times New Roman" w:cs="Times New Roman"/>
          <w:snapToGrid w:val="0"/>
          <w:lang w:eastAsia="da-DK"/>
        </w:rPr>
        <w:t>digoksino</w:t>
      </w:r>
      <w:proofErr w:type="spellEnd"/>
      <w:r w:rsidRPr="00633873">
        <w:rPr>
          <w:rFonts w:ascii="Times New Roman" w:eastAsia="Times New Roman" w:hAnsi="Times New Roman" w:cs="Times New Roman"/>
          <w:snapToGrid w:val="0"/>
          <w:lang w:eastAsia="da-DK"/>
        </w:rPr>
        <w:t xml:space="preserve"> dozės koreguoti nereikia (žr. 4.5</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120EA5A6"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56F5877A"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lastRenderedPageBreak/>
        <w:t xml:space="preserve">Buvo tiriamas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skiriant jį po 10 mg </w:t>
      </w:r>
      <w:r w:rsidR="000824C5" w:rsidRPr="00633873">
        <w:rPr>
          <w:rFonts w:ascii="Times New Roman" w:eastAsia="Times New Roman" w:hAnsi="Times New Roman" w:cs="Times New Roman"/>
          <w:snapToGrid w:val="0"/>
          <w:lang w:eastAsia="da-DK"/>
        </w:rPr>
        <w:t xml:space="preserve">vieną </w:t>
      </w:r>
      <w:r w:rsidRPr="00633873">
        <w:rPr>
          <w:rFonts w:ascii="Times New Roman" w:eastAsia="Times New Roman" w:hAnsi="Times New Roman" w:cs="Times New Roman"/>
          <w:snapToGrid w:val="0"/>
          <w:lang w:eastAsia="da-DK"/>
        </w:rPr>
        <w:t xml:space="preserve">kartą per parą 12 dienų, poveikis geriamojo kontraceptiko, kurio sudėtyje buvo </w:t>
      </w:r>
      <w:proofErr w:type="spellStart"/>
      <w:r w:rsidRPr="00633873">
        <w:rPr>
          <w:rFonts w:ascii="Times New Roman" w:eastAsia="Times New Roman" w:hAnsi="Times New Roman" w:cs="Times New Roman"/>
          <w:snapToGrid w:val="0"/>
          <w:lang w:eastAsia="da-DK"/>
        </w:rPr>
        <w:t>etinilestradiolio</w:t>
      </w:r>
      <w:proofErr w:type="spellEnd"/>
      <w:r w:rsidRPr="00633873">
        <w:rPr>
          <w:rFonts w:ascii="Times New Roman" w:eastAsia="Times New Roman" w:hAnsi="Times New Roman" w:cs="Times New Roman"/>
          <w:snapToGrid w:val="0"/>
          <w:lang w:eastAsia="da-DK"/>
        </w:rPr>
        <w:t xml:space="preserve"> (35 µg) ir </w:t>
      </w:r>
      <w:proofErr w:type="spellStart"/>
      <w:r w:rsidRPr="00633873">
        <w:rPr>
          <w:rFonts w:ascii="Times New Roman" w:eastAsia="Times New Roman" w:hAnsi="Times New Roman" w:cs="Times New Roman"/>
          <w:snapToGrid w:val="0"/>
          <w:lang w:eastAsia="da-DK"/>
        </w:rPr>
        <w:t>noretindrono</w:t>
      </w:r>
      <w:proofErr w:type="spellEnd"/>
      <w:r w:rsidRPr="00633873">
        <w:rPr>
          <w:rFonts w:ascii="Times New Roman" w:eastAsia="Times New Roman" w:hAnsi="Times New Roman" w:cs="Times New Roman"/>
          <w:snapToGrid w:val="0"/>
          <w:lang w:eastAsia="da-DK"/>
        </w:rPr>
        <w:t xml:space="preserve"> (1 mg), vienkartinės dozės farmakokinetikai sveikų savanorių moterų organizme. Šiek tiek sumažėjo </w:t>
      </w:r>
      <w:proofErr w:type="spellStart"/>
      <w:r w:rsidRPr="00633873">
        <w:rPr>
          <w:rFonts w:ascii="Times New Roman" w:eastAsia="Times New Roman" w:hAnsi="Times New Roman" w:cs="Times New Roman"/>
          <w:snapToGrid w:val="0"/>
          <w:lang w:eastAsia="da-DK"/>
        </w:rPr>
        <w:t>etinilestradiolio</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ir AUC</w:t>
      </w:r>
      <w:r w:rsidRPr="00633873">
        <w:rPr>
          <w:rFonts w:ascii="Times New Roman" w:eastAsia="Times New Roman" w:hAnsi="Times New Roman" w:cs="Times New Roman"/>
          <w:snapToGrid w:val="0"/>
          <w:vertAlign w:val="subscript"/>
          <w:lang w:eastAsia="da-DK"/>
        </w:rPr>
        <w:t>(0–∞)</w:t>
      </w:r>
      <w:r w:rsidRPr="00633873">
        <w:rPr>
          <w:rFonts w:ascii="Times New Roman" w:eastAsia="Times New Roman" w:hAnsi="Times New Roman" w:cs="Times New Roman"/>
          <w:snapToGrid w:val="0"/>
          <w:lang w:eastAsia="da-DK"/>
        </w:rPr>
        <w:t xml:space="preserve"> (atitinkamai 8 % ir 4 %) bei nedaug padidėjo tie patys </w:t>
      </w:r>
      <w:proofErr w:type="spellStart"/>
      <w:r w:rsidRPr="00633873">
        <w:rPr>
          <w:rFonts w:ascii="Times New Roman" w:eastAsia="Times New Roman" w:hAnsi="Times New Roman" w:cs="Times New Roman"/>
          <w:snapToGrid w:val="0"/>
          <w:lang w:eastAsia="da-DK"/>
        </w:rPr>
        <w:t>noretindrono</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ir AUC</w:t>
      </w:r>
      <w:r w:rsidRPr="00633873">
        <w:rPr>
          <w:rFonts w:ascii="Times New Roman" w:eastAsia="Times New Roman" w:hAnsi="Times New Roman" w:cs="Times New Roman"/>
          <w:snapToGrid w:val="0"/>
          <w:vertAlign w:val="subscript"/>
          <w:lang w:eastAsia="da-DK"/>
        </w:rPr>
        <w:t>(0–∞)</w:t>
      </w:r>
      <w:r w:rsidRPr="00633873">
        <w:rPr>
          <w:rFonts w:ascii="Times New Roman" w:eastAsia="Times New Roman" w:hAnsi="Times New Roman" w:cs="Times New Roman"/>
          <w:snapToGrid w:val="0"/>
          <w:lang w:eastAsia="da-DK"/>
        </w:rPr>
        <w:t xml:space="preserve"> (atitinkamai 13 % ir 14 %). Šie </w:t>
      </w:r>
      <w:proofErr w:type="spellStart"/>
      <w:r w:rsidRPr="00633873">
        <w:rPr>
          <w:rFonts w:ascii="Times New Roman" w:eastAsia="Times New Roman" w:hAnsi="Times New Roman" w:cs="Times New Roman"/>
          <w:snapToGrid w:val="0"/>
          <w:lang w:eastAsia="da-DK"/>
        </w:rPr>
        <w:t>etinilestradiolio</w:t>
      </w:r>
      <w:proofErr w:type="spellEnd"/>
      <w:r w:rsidRPr="00633873">
        <w:rPr>
          <w:rFonts w:ascii="Times New Roman" w:eastAsia="Times New Roman" w:hAnsi="Times New Roman" w:cs="Times New Roman"/>
          <w:snapToGrid w:val="0"/>
          <w:lang w:eastAsia="da-DK"/>
        </w:rPr>
        <w:t xml:space="preserve"> ir </w:t>
      </w:r>
      <w:proofErr w:type="spellStart"/>
      <w:r w:rsidRPr="00633873">
        <w:rPr>
          <w:rFonts w:ascii="Times New Roman" w:eastAsia="Times New Roman" w:hAnsi="Times New Roman" w:cs="Times New Roman"/>
          <w:snapToGrid w:val="0"/>
          <w:lang w:eastAsia="da-DK"/>
        </w:rPr>
        <w:t>noretindrono</w:t>
      </w:r>
      <w:proofErr w:type="spellEnd"/>
      <w:r w:rsidRPr="00633873">
        <w:rPr>
          <w:rFonts w:ascii="Times New Roman" w:eastAsia="Times New Roman" w:hAnsi="Times New Roman" w:cs="Times New Roman"/>
          <w:snapToGrid w:val="0"/>
          <w:lang w:eastAsia="da-DK"/>
        </w:rPr>
        <w:t xml:space="preserve"> ekspozicijos pokyčiai buvo maži ir nėra tikėtina, kad tai būtų reikšminga kliniškai (žr. 4.5</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245B39AD"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5AC059F8" w14:textId="54A7FBC9" w:rsidR="00A35A18"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r w:rsidRPr="00633873">
        <w:rPr>
          <w:rFonts w:ascii="Times New Roman" w:eastAsia="Times New Roman" w:hAnsi="Times New Roman" w:cs="Times New Roman"/>
          <w:snapToGrid w:val="0"/>
          <w:u w:val="single"/>
          <w:lang w:eastAsia="da-DK"/>
        </w:rPr>
        <w:t>Eliminacija</w:t>
      </w:r>
    </w:p>
    <w:p w14:paraId="4B732682" w14:textId="77777777" w:rsidR="00B53A9F" w:rsidRPr="00633873" w:rsidRDefault="00B53A9F"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p>
    <w:p w14:paraId="20485ACF"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ir jo metabolitai daugiausia eliminuojami su tulžimi po </w:t>
      </w:r>
      <w:r w:rsidR="000824C5" w:rsidRPr="00633873">
        <w:rPr>
          <w:rFonts w:ascii="Times New Roman" w:eastAsia="Times New Roman" w:hAnsi="Times New Roman" w:cs="Times New Roman"/>
          <w:snapToGrid w:val="0"/>
          <w:lang w:eastAsia="da-DK"/>
        </w:rPr>
        <w:t>metabolizmo</w:t>
      </w:r>
      <w:r w:rsidRPr="00633873">
        <w:rPr>
          <w:rFonts w:ascii="Times New Roman" w:eastAsia="Times New Roman" w:hAnsi="Times New Roman" w:cs="Times New Roman"/>
          <w:snapToGrid w:val="0"/>
          <w:lang w:eastAsia="da-DK"/>
        </w:rPr>
        <w:t xml:space="preserve"> kepenyse ir (arba) ne kepenyse. Šlapime randama maždaug 22 % išgerto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dozės, kurios 3,3 % sudaro nepakitęs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Pusinės eliminacijos iš kraujo plazmos laiko žmogaus organizme </w:t>
      </w:r>
      <w:r w:rsidR="000824C5" w:rsidRPr="00633873">
        <w:rPr>
          <w:rFonts w:ascii="Times New Roman" w:eastAsia="Times New Roman" w:hAnsi="Times New Roman" w:cs="Times New Roman"/>
          <w:snapToGrid w:val="0"/>
          <w:lang w:eastAsia="da-DK"/>
        </w:rPr>
        <w:t>ribos</w:t>
      </w:r>
      <w:r w:rsidRPr="00633873">
        <w:rPr>
          <w:rFonts w:ascii="Times New Roman" w:eastAsia="Times New Roman" w:hAnsi="Times New Roman" w:cs="Times New Roman"/>
          <w:snapToGrid w:val="0"/>
          <w:lang w:eastAsia="da-DK"/>
        </w:rPr>
        <w:t xml:space="preserve"> yra nuo 13,6 iki 16,5 valandos.</w:t>
      </w:r>
    </w:p>
    <w:p w14:paraId="12D07744"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627C2ACA" w14:textId="2473E476" w:rsidR="00A35A18"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r w:rsidRPr="00633873">
        <w:rPr>
          <w:rFonts w:ascii="Times New Roman" w:eastAsia="Times New Roman" w:hAnsi="Times New Roman" w:cs="Times New Roman"/>
          <w:snapToGrid w:val="0"/>
          <w:u w:val="single"/>
          <w:lang w:eastAsia="da-DK"/>
        </w:rPr>
        <w:t>Ypatingos populiacijos</w:t>
      </w:r>
    </w:p>
    <w:p w14:paraId="0D10409D" w14:textId="77777777" w:rsidR="00B53A9F" w:rsidRPr="00633873" w:rsidRDefault="00B53A9F"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p>
    <w:p w14:paraId="51E35DF3" w14:textId="2C940539" w:rsidR="003725E0" w:rsidRPr="009F7541" w:rsidRDefault="003725E0"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snapToGrid w:val="0"/>
          <w:lang w:eastAsia="da-DK"/>
        </w:rPr>
      </w:pPr>
      <w:r>
        <w:rPr>
          <w:rFonts w:ascii="Times New Roman" w:eastAsia="Times New Roman" w:hAnsi="Times New Roman" w:cs="Times New Roman"/>
          <w:i/>
          <w:iCs/>
          <w:snapToGrid w:val="0"/>
          <w:lang w:eastAsia="da-DK"/>
        </w:rPr>
        <w:t>Suaugusiųjų populiacija (lytis, amžius)</w:t>
      </w:r>
    </w:p>
    <w:p w14:paraId="50828556" w14:textId="2D20798A"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Remiantis sveikų savanorių ir pacientų, sergančių PH, populiacijos farmakokinetikos analize, </w:t>
      </w:r>
      <w:r w:rsidR="000824C5" w:rsidRPr="00633873">
        <w:rPr>
          <w:rFonts w:ascii="Times New Roman" w:eastAsia="Times New Roman" w:hAnsi="Times New Roman" w:cs="Times New Roman"/>
          <w:snapToGrid w:val="0"/>
          <w:lang w:eastAsia="da-DK"/>
        </w:rPr>
        <w:t xml:space="preserve">lytis ar amžius reikšmingos įtakos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farmakokinetikai neturėjo (žr. 4.2</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3A421B0B" w14:textId="49B149B8" w:rsidR="00A35A18"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31660371" w14:textId="4E511E3C" w:rsidR="003725E0" w:rsidRPr="00570F2A" w:rsidRDefault="003725E0"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u w:val="single"/>
          <w:lang w:eastAsia="da-DK"/>
        </w:rPr>
      </w:pPr>
      <w:r w:rsidRPr="00570F2A">
        <w:rPr>
          <w:rFonts w:ascii="Times New Roman" w:eastAsia="Times New Roman" w:hAnsi="Times New Roman" w:cs="Times New Roman"/>
          <w:i/>
          <w:iCs/>
          <w:snapToGrid w:val="0"/>
          <w:u w:val="single"/>
          <w:lang w:eastAsia="da-DK"/>
        </w:rPr>
        <w:t>Vaikų populiacija</w:t>
      </w:r>
    </w:p>
    <w:p w14:paraId="7AB8F39C" w14:textId="77777777" w:rsidR="003725E0" w:rsidRPr="003725E0" w:rsidRDefault="003725E0" w:rsidP="003725E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3725E0">
        <w:rPr>
          <w:rFonts w:ascii="Times New Roman" w:eastAsia="Times New Roman" w:hAnsi="Times New Roman" w:cs="Times New Roman"/>
          <w:snapToGrid w:val="0"/>
          <w:lang w:eastAsia="da-DK"/>
        </w:rPr>
        <w:t>Farmakokinetikos vaikų populiacijoje duomenų turima nedaug. Farmakokinetika su vaikų populiacijos tiriamaisiais (nuo 8 iki mažiau kaip 18 metų amžiaus) buvo vertinama vieno klinikinio tyrimo metu (AMB112529).</w:t>
      </w:r>
    </w:p>
    <w:p w14:paraId="1901B968" w14:textId="67621D2A" w:rsidR="003725E0" w:rsidRDefault="003725E0" w:rsidP="003725E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3725E0">
        <w:rPr>
          <w:rFonts w:ascii="Times New Roman" w:eastAsia="Times New Roman" w:hAnsi="Times New Roman" w:cs="Times New Roman"/>
          <w:snapToGrid w:val="0"/>
          <w:lang w:eastAsia="da-DK"/>
        </w:rPr>
        <w:t xml:space="preserve">Per burną pavartoto </w:t>
      </w:r>
      <w:proofErr w:type="spellStart"/>
      <w:r w:rsidRPr="003725E0">
        <w:rPr>
          <w:rFonts w:ascii="Times New Roman" w:eastAsia="Times New Roman" w:hAnsi="Times New Roman" w:cs="Times New Roman"/>
          <w:snapToGrid w:val="0"/>
          <w:lang w:eastAsia="da-DK"/>
        </w:rPr>
        <w:t>ambrisentano</w:t>
      </w:r>
      <w:proofErr w:type="spellEnd"/>
      <w:r w:rsidRPr="003725E0">
        <w:rPr>
          <w:rFonts w:ascii="Times New Roman" w:eastAsia="Times New Roman" w:hAnsi="Times New Roman" w:cs="Times New Roman"/>
          <w:snapToGrid w:val="0"/>
          <w:lang w:eastAsia="da-DK"/>
        </w:rPr>
        <w:t xml:space="preserve"> farmakokinetika PH sergančių nuo 8 iki mažiau kaip 18 metų amžiaus tiriamųjų organizme didžiąja dalimi atitiko farmakokinetiką suaugusiųjų organizme, įvertinus kūno svorį. Modeliuota vaikų populiacijos ekspozicija nusistovėjus </w:t>
      </w:r>
      <w:proofErr w:type="spellStart"/>
      <w:r w:rsidRPr="003725E0">
        <w:rPr>
          <w:rFonts w:ascii="Times New Roman" w:eastAsia="Times New Roman" w:hAnsi="Times New Roman" w:cs="Times New Roman"/>
          <w:snapToGrid w:val="0"/>
          <w:lang w:eastAsia="da-DK"/>
        </w:rPr>
        <w:t>pusiausvyrinei</w:t>
      </w:r>
      <w:proofErr w:type="spellEnd"/>
      <w:r w:rsidRPr="003725E0">
        <w:rPr>
          <w:rFonts w:ascii="Times New Roman" w:eastAsia="Times New Roman" w:hAnsi="Times New Roman" w:cs="Times New Roman"/>
          <w:snapToGrid w:val="0"/>
          <w:lang w:eastAsia="da-DK"/>
        </w:rPr>
        <w:t xml:space="preserve"> apykaitai (</w:t>
      </w:r>
      <w:proofErr w:type="spellStart"/>
      <w:r w:rsidRPr="003725E0">
        <w:rPr>
          <w:rFonts w:ascii="Times New Roman" w:eastAsia="Times New Roman" w:hAnsi="Times New Roman" w:cs="Times New Roman"/>
          <w:snapToGrid w:val="0"/>
          <w:lang w:eastAsia="da-DK"/>
        </w:rPr>
        <w:t>AUCss</w:t>
      </w:r>
      <w:proofErr w:type="spellEnd"/>
      <w:r w:rsidRPr="003725E0">
        <w:rPr>
          <w:rFonts w:ascii="Times New Roman" w:eastAsia="Times New Roman" w:hAnsi="Times New Roman" w:cs="Times New Roman"/>
          <w:snapToGrid w:val="0"/>
          <w:lang w:eastAsia="da-DK"/>
        </w:rPr>
        <w:t xml:space="preserve">) vartojant mažas dozes ir dideles dozes visose kūno svorio grupėse buvo 5-osios ir 95-osios </w:t>
      </w:r>
      <w:proofErr w:type="spellStart"/>
      <w:r w:rsidRPr="003725E0">
        <w:rPr>
          <w:rFonts w:ascii="Times New Roman" w:eastAsia="Times New Roman" w:hAnsi="Times New Roman" w:cs="Times New Roman"/>
          <w:snapToGrid w:val="0"/>
          <w:lang w:eastAsia="da-DK"/>
        </w:rPr>
        <w:t>procentilių</w:t>
      </w:r>
      <w:proofErr w:type="spellEnd"/>
      <w:r w:rsidRPr="003725E0">
        <w:rPr>
          <w:rFonts w:ascii="Times New Roman" w:eastAsia="Times New Roman" w:hAnsi="Times New Roman" w:cs="Times New Roman"/>
          <w:snapToGrid w:val="0"/>
          <w:lang w:eastAsia="da-DK"/>
        </w:rPr>
        <w:t xml:space="preserve"> ribose, vertinant turimus duomenis apie suaugusiųjų ekspoziciją atitinkamai vartojant mažą dozę (5</w:t>
      </w:r>
      <w:r>
        <w:rPr>
          <w:rFonts w:ascii="Times New Roman" w:eastAsia="Times New Roman" w:hAnsi="Times New Roman" w:cs="Times New Roman"/>
          <w:snapToGrid w:val="0"/>
          <w:lang w:eastAsia="da-DK"/>
        </w:rPr>
        <w:t> </w:t>
      </w:r>
      <w:r w:rsidRPr="003725E0">
        <w:rPr>
          <w:rFonts w:ascii="Times New Roman" w:eastAsia="Times New Roman" w:hAnsi="Times New Roman" w:cs="Times New Roman"/>
          <w:snapToGrid w:val="0"/>
          <w:lang w:eastAsia="da-DK"/>
        </w:rPr>
        <w:t>mg) arba didelę dozę (10</w:t>
      </w:r>
      <w:r>
        <w:rPr>
          <w:rFonts w:ascii="Times New Roman" w:eastAsia="Times New Roman" w:hAnsi="Times New Roman" w:cs="Times New Roman"/>
          <w:snapToGrid w:val="0"/>
          <w:lang w:eastAsia="da-DK"/>
        </w:rPr>
        <w:t> </w:t>
      </w:r>
      <w:r w:rsidRPr="003725E0">
        <w:rPr>
          <w:rFonts w:ascii="Times New Roman" w:eastAsia="Times New Roman" w:hAnsi="Times New Roman" w:cs="Times New Roman"/>
          <w:snapToGrid w:val="0"/>
          <w:lang w:eastAsia="da-DK"/>
        </w:rPr>
        <w:t>mg).</w:t>
      </w:r>
    </w:p>
    <w:p w14:paraId="189AF83F" w14:textId="77777777" w:rsidR="003725E0" w:rsidRPr="003725E0" w:rsidRDefault="003725E0"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151456EE" w14:textId="77777777" w:rsidR="00A35A18" w:rsidRPr="00570F2A"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snapToGrid w:val="0"/>
          <w:u w:val="single"/>
          <w:lang w:eastAsia="da-DK"/>
        </w:rPr>
      </w:pPr>
      <w:r w:rsidRPr="00570F2A">
        <w:rPr>
          <w:rFonts w:ascii="Times New Roman" w:eastAsia="Times New Roman" w:hAnsi="Times New Roman" w:cs="Times New Roman"/>
          <w:i/>
          <w:iCs/>
          <w:snapToGrid w:val="0"/>
          <w:u w:val="single"/>
          <w:lang w:eastAsia="da-DK"/>
        </w:rPr>
        <w:t>Sutrikusi inkstų funkcija</w:t>
      </w:r>
    </w:p>
    <w:p w14:paraId="4857AB72" w14:textId="3BBFC16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Inkstuose nevyksta reikšmingas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metabolizmas arba klirensas per inkstus (</w:t>
      </w:r>
      <w:proofErr w:type="spellStart"/>
      <w:r w:rsidRPr="00633873">
        <w:rPr>
          <w:rFonts w:ascii="Times New Roman" w:eastAsia="Times New Roman" w:hAnsi="Times New Roman" w:cs="Times New Roman"/>
          <w:snapToGrid w:val="0"/>
          <w:lang w:eastAsia="da-DK"/>
        </w:rPr>
        <w:t>ekskrecija</w:t>
      </w:r>
      <w:proofErr w:type="spellEnd"/>
      <w:r w:rsidRPr="00633873">
        <w:rPr>
          <w:rFonts w:ascii="Times New Roman" w:eastAsia="Times New Roman" w:hAnsi="Times New Roman" w:cs="Times New Roman"/>
          <w:snapToGrid w:val="0"/>
          <w:lang w:eastAsia="da-DK"/>
        </w:rPr>
        <w:t xml:space="preserve">). Populiacijos farmakokinetikos analizė nerodo, kad kreatinino klirensas statistiškai reikšmingai pakeistų išgerto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klirensą. Išgerto vaistinio preparato klirenso sumažėjimas pacientų, kuriems yra vidutinio sunkumo inkstų funkcijos sutrikimas, organizme yra ne</w:t>
      </w:r>
      <w:r w:rsidR="002210FF" w:rsidRPr="00633873">
        <w:rPr>
          <w:rFonts w:ascii="Times New Roman" w:eastAsia="Times New Roman" w:hAnsi="Times New Roman" w:cs="Times New Roman"/>
          <w:snapToGrid w:val="0"/>
          <w:lang w:eastAsia="da-DK"/>
        </w:rPr>
        <w:t>žymus</w:t>
      </w:r>
      <w:r w:rsidRPr="00633873">
        <w:rPr>
          <w:rFonts w:ascii="Times New Roman" w:eastAsia="Times New Roman" w:hAnsi="Times New Roman" w:cs="Times New Roman"/>
          <w:snapToGrid w:val="0"/>
          <w:lang w:eastAsia="da-DK"/>
        </w:rPr>
        <w:t xml:space="preserve"> (20</w:t>
      </w:r>
      <w:r w:rsidRPr="00633873">
        <w:rPr>
          <w:rFonts w:ascii="Times New Roman" w:eastAsia="Times New Roman" w:hAnsi="Times New Roman" w:cs="Times New Roman"/>
          <w:snapToGrid w:val="0"/>
          <w:lang w:eastAsia="da-DK"/>
        </w:rPr>
        <w:noBreakHyphen/>
        <w:t xml:space="preserve">40 %), todėl tokio poveikio klinikinė reikšmė nėra tikėtina. Tačiau </w:t>
      </w:r>
      <w:proofErr w:type="spellStart"/>
      <w:r w:rsidRPr="00633873">
        <w:rPr>
          <w:rFonts w:ascii="Times New Roman" w:eastAsia="Times New Roman" w:hAnsi="Times New Roman" w:cs="Times New Roman"/>
          <w:snapToGrid w:val="0"/>
          <w:lang w:eastAsia="da-DK"/>
        </w:rPr>
        <w:t>ambrisentaną</w:t>
      </w:r>
      <w:proofErr w:type="spellEnd"/>
      <w:r w:rsidRPr="00633873">
        <w:rPr>
          <w:rFonts w:ascii="Times New Roman" w:eastAsia="Times New Roman" w:hAnsi="Times New Roman" w:cs="Times New Roman"/>
          <w:snapToGrid w:val="0"/>
          <w:lang w:eastAsia="da-DK"/>
        </w:rPr>
        <w:t xml:space="preserve"> reikia atsargiai skirti pacientams, kuriems yra sunkus inkstų funkcijos sutrikimas (žr. 4.2</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ų).</w:t>
      </w:r>
    </w:p>
    <w:p w14:paraId="66591D16"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03BDCBAF" w14:textId="77777777" w:rsidR="00A35A18" w:rsidRPr="00570F2A"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snapToGrid w:val="0"/>
          <w:u w:val="single"/>
          <w:lang w:eastAsia="da-DK"/>
        </w:rPr>
      </w:pPr>
      <w:r w:rsidRPr="00570F2A">
        <w:rPr>
          <w:rFonts w:ascii="Times New Roman" w:eastAsia="Times New Roman" w:hAnsi="Times New Roman" w:cs="Times New Roman"/>
          <w:i/>
          <w:iCs/>
          <w:snapToGrid w:val="0"/>
          <w:u w:val="single"/>
          <w:lang w:eastAsia="da-DK"/>
        </w:rPr>
        <w:t>Sutrikusi kepenų funkcija</w:t>
      </w:r>
    </w:p>
    <w:p w14:paraId="233BA143" w14:textId="1F5619A3"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r w:rsidRPr="00633873">
        <w:rPr>
          <w:rFonts w:ascii="Times New Roman" w:eastAsia="Times New Roman" w:hAnsi="Times New Roman" w:cs="Times New Roman"/>
          <w:snapToGrid w:val="0"/>
          <w:lang w:eastAsia="da-DK"/>
        </w:rPr>
        <w:t xml:space="preserve">Kadangi </w:t>
      </w:r>
      <w:proofErr w:type="spellStart"/>
      <w:r w:rsidRPr="00633873">
        <w:rPr>
          <w:rFonts w:ascii="Times New Roman" w:eastAsia="Times New Roman" w:hAnsi="Times New Roman" w:cs="Times New Roman"/>
          <w:snapToGrid w:val="0"/>
          <w:lang w:eastAsia="da-DK"/>
        </w:rPr>
        <w:t>ambrisentanas</w:t>
      </w:r>
      <w:proofErr w:type="spellEnd"/>
      <w:r w:rsidRPr="00633873">
        <w:rPr>
          <w:rFonts w:ascii="Times New Roman" w:eastAsia="Times New Roman" w:hAnsi="Times New Roman" w:cs="Times New Roman"/>
          <w:snapToGrid w:val="0"/>
          <w:lang w:eastAsia="da-DK"/>
        </w:rPr>
        <w:t xml:space="preserve"> daugiausia </w:t>
      </w:r>
      <w:proofErr w:type="spellStart"/>
      <w:r w:rsidRPr="00633873">
        <w:rPr>
          <w:rFonts w:ascii="Times New Roman" w:eastAsia="Times New Roman" w:hAnsi="Times New Roman" w:cs="Times New Roman"/>
          <w:snapToGrid w:val="0"/>
          <w:lang w:eastAsia="da-DK"/>
        </w:rPr>
        <w:t>metabolizuojamas</w:t>
      </w:r>
      <w:proofErr w:type="spellEnd"/>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gliukuronidacijos</w:t>
      </w:r>
      <w:proofErr w:type="spellEnd"/>
      <w:r w:rsidRPr="00633873">
        <w:rPr>
          <w:rFonts w:ascii="Times New Roman" w:eastAsia="Times New Roman" w:hAnsi="Times New Roman" w:cs="Times New Roman"/>
          <w:snapToGrid w:val="0"/>
          <w:lang w:eastAsia="da-DK"/>
        </w:rPr>
        <w:t xml:space="preserve"> ir oksidacijos būdu, o vėliau</w:t>
      </w:r>
      <w:r w:rsidR="000824C5" w:rsidRPr="00633873">
        <w:rPr>
          <w:rFonts w:ascii="Times New Roman" w:eastAsia="Times New Roman" w:hAnsi="Times New Roman" w:cs="Times New Roman"/>
          <w:snapToGrid w:val="0"/>
          <w:lang w:eastAsia="da-DK"/>
        </w:rPr>
        <w:t xml:space="preserve"> </w:t>
      </w:r>
      <w:r w:rsidRPr="00633873">
        <w:rPr>
          <w:rFonts w:ascii="Times New Roman" w:eastAsia="Times New Roman" w:hAnsi="Times New Roman" w:cs="Times New Roman"/>
          <w:snapToGrid w:val="0"/>
          <w:lang w:eastAsia="da-DK"/>
        </w:rPr>
        <w:t xml:space="preserve">išskiriamas į tulžį, galima tikėtis, kad kepenų funkcijos sutrikimas padidins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ekspoziciją (</w:t>
      </w:r>
      <w:proofErr w:type="spellStart"/>
      <w:r w:rsidRPr="00633873">
        <w:rPr>
          <w:rFonts w:ascii="Times New Roman" w:eastAsia="Times New Roman" w:hAnsi="Times New Roman" w:cs="Times New Roman"/>
          <w:snapToGrid w:val="0"/>
          <w:lang w:eastAsia="da-DK"/>
        </w:rPr>
        <w:t>C</w:t>
      </w:r>
      <w:r w:rsidRPr="00633873">
        <w:rPr>
          <w:rFonts w:ascii="Times New Roman" w:eastAsia="Times New Roman" w:hAnsi="Times New Roman" w:cs="Times New Roman"/>
          <w:snapToGrid w:val="0"/>
          <w:vertAlign w:val="subscript"/>
          <w:lang w:eastAsia="da-DK"/>
        </w:rPr>
        <w:t>max</w:t>
      </w:r>
      <w:proofErr w:type="spellEnd"/>
      <w:r w:rsidRPr="00633873">
        <w:rPr>
          <w:rFonts w:ascii="Times New Roman" w:eastAsia="Times New Roman" w:hAnsi="Times New Roman" w:cs="Times New Roman"/>
          <w:snapToGrid w:val="0"/>
          <w:lang w:eastAsia="da-DK"/>
        </w:rPr>
        <w:t xml:space="preserve"> ir AUC). Populiacijos farmakokinetikos analizė parodė, kad išgerto vaistinio preparato klirensas sumažėja padidėjus </w:t>
      </w:r>
      <w:proofErr w:type="spellStart"/>
      <w:r w:rsidRPr="00633873">
        <w:rPr>
          <w:rFonts w:ascii="Times New Roman" w:eastAsia="Times New Roman" w:hAnsi="Times New Roman" w:cs="Times New Roman"/>
          <w:snapToGrid w:val="0"/>
          <w:lang w:eastAsia="da-DK"/>
        </w:rPr>
        <w:t>bilirubino</w:t>
      </w:r>
      <w:proofErr w:type="spellEnd"/>
      <w:r w:rsidRPr="00633873">
        <w:rPr>
          <w:rFonts w:ascii="Times New Roman" w:eastAsia="Times New Roman" w:hAnsi="Times New Roman" w:cs="Times New Roman"/>
          <w:snapToGrid w:val="0"/>
          <w:lang w:eastAsia="da-DK"/>
        </w:rPr>
        <w:t xml:space="preserve"> koncentracijai. </w:t>
      </w:r>
      <w:r w:rsidR="000824C5" w:rsidRPr="00633873">
        <w:rPr>
          <w:rFonts w:ascii="Times New Roman" w:eastAsia="Times New Roman" w:hAnsi="Times New Roman" w:cs="Times New Roman"/>
          <w:snapToGrid w:val="0"/>
          <w:lang w:eastAsia="da-DK"/>
        </w:rPr>
        <w:t>Vis dėlto</w:t>
      </w:r>
      <w:r w:rsidRPr="00633873">
        <w:rPr>
          <w:rFonts w:ascii="Times New Roman" w:eastAsia="Times New Roman" w:hAnsi="Times New Roman" w:cs="Times New Roman"/>
          <w:snapToGrid w:val="0"/>
          <w:lang w:eastAsia="da-DK"/>
        </w:rPr>
        <w:t xml:space="preserve"> </w:t>
      </w:r>
      <w:proofErr w:type="spellStart"/>
      <w:r w:rsidRPr="00633873">
        <w:rPr>
          <w:rFonts w:ascii="Times New Roman" w:eastAsia="Times New Roman" w:hAnsi="Times New Roman" w:cs="Times New Roman"/>
          <w:snapToGrid w:val="0"/>
          <w:lang w:eastAsia="da-DK"/>
        </w:rPr>
        <w:t>bilirubino</w:t>
      </w:r>
      <w:proofErr w:type="spellEnd"/>
      <w:r w:rsidRPr="00633873">
        <w:rPr>
          <w:rFonts w:ascii="Times New Roman" w:eastAsia="Times New Roman" w:hAnsi="Times New Roman" w:cs="Times New Roman"/>
          <w:snapToGrid w:val="0"/>
          <w:lang w:eastAsia="da-DK"/>
        </w:rPr>
        <w:t xml:space="preserve"> poveikis yra </w:t>
      </w:r>
      <w:r w:rsidR="002210FF" w:rsidRPr="00633873">
        <w:rPr>
          <w:rFonts w:ascii="Times New Roman" w:eastAsia="Times New Roman" w:hAnsi="Times New Roman" w:cs="Times New Roman"/>
          <w:snapToGrid w:val="0"/>
          <w:lang w:eastAsia="da-DK"/>
        </w:rPr>
        <w:t>vidutinis</w:t>
      </w:r>
      <w:r w:rsidRPr="00633873">
        <w:rPr>
          <w:rFonts w:ascii="Times New Roman" w:eastAsia="Times New Roman" w:hAnsi="Times New Roman" w:cs="Times New Roman"/>
          <w:snapToGrid w:val="0"/>
          <w:lang w:eastAsia="da-DK"/>
        </w:rPr>
        <w:t xml:space="preserve"> (išgerto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klirensas paciento, kurio </w:t>
      </w:r>
      <w:proofErr w:type="spellStart"/>
      <w:r w:rsidRPr="00633873">
        <w:rPr>
          <w:rFonts w:ascii="Times New Roman" w:eastAsia="Times New Roman" w:hAnsi="Times New Roman" w:cs="Times New Roman"/>
          <w:snapToGrid w:val="0"/>
          <w:lang w:eastAsia="da-DK"/>
        </w:rPr>
        <w:t>bilirubino</w:t>
      </w:r>
      <w:proofErr w:type="spellEnd"/>
      <w:r w:rsidRPr="00633873">
        <w:rPr>
          <w:rFonts w:ascii="Times New Roman" w:eastAsia="Times New Roman" w:hAnsi="Times New Roman" w:cs="Times New Roman"/>
          <w:snapToGrid w:val="0"/>
          <w:lang w:eastAsia="da-DK"/>
        </w:rPr>
        <w:t xml:space="preserve"> koncentracija </w:t>
      </w:r>
      <w:r w:rsidR="000824C5" w:rsidRPr="00633873">
        <w:rPr>
          <w:rFonts w:ascii="Times New Roman" w:eastAsia="Times New Roman" w:hAnsi="Times New Roman" w:cs="Times New Roman"/>
          <w:snapToGrid w:val="0"/>
          <w:lang w:eastAsia="da-DK"/>
        </w:rPr>
        <w:t xml:space="preserve">yra padidėjusi iki </w:t>
      </w:r>
      <w:r w:rsidRPr="00633873">
        <w:rPr>
          <w:rFonts w:ascii="Times New Roman" w:eastAsia="Times New Roman" w:hAnsi="Times New Roman" w:cs="Times New Roman"/>
          <w:snapToGrid w:val="0"/>
          <w:lang w:eastAsia="da-DK"/>
        </w:rPr>
        <w:t xml:space="preserve">4,5 mg/dl, organizme būtų vidutiniškai 30 % mažesnis, palyginti su paciento, kurio </w:t>
      </w:r>
      <w:proofErr w:type="spellStart"/>
      <w:r w:rsidRPr="00633873">
        <w:rPr>
          <w:rFonts w:ascii="Times New Roman" w:eastAsia="Times New Roman" w:hAnsi="Times New Roman" w:cs="Times New Roman"/>
          <w:snapToGrid w:val="0"/>
          <w:lang w:eastAsia="da-DK"/>
        </w:rPr>
        <w:t>bilirubino</w:t>
      </w:r>
      <w:proofErr w:type="spellEnd"/>
      <w:r w:rsidRPr="00633873">
        <w:rPr>
          <w:rFonts w:ascii="Times New Roman" w:eastAsia="Times New Roman" w:hAnsi="Times New Roman" w:cs="Times New Roman"/>
          <w:snapToGrid w:val="0"/>
          <w:lang w:eastAsia="da-DK"/>
        </w:rPr>
        <w:t xml:space="preserve"> koncentracija yra 0,6 mg/dl). </w:t>
      </w:r>
      <w:proofErr w:type="spellStart"/>
      <w:r w:rsidRPr="00633873">
        <w:rPr>
          <w:rFonts w:ascii="Times New Roman" w:eastAsia="Times New Roman" w:hAnsi="Times New Roman" w:cs="Times New Roman"/>
          <w:snapToGrid w:val="0"/>
          <w:lang w:eastAsia="da-DK"/>
        </w:rPr>
        <w:t>Ambrisentano</w:t>
      </w:r>
      <w:proofErr w:type="spellEnd"/>
      <w:r w:rsidRPr="00633873">
        <w:rPr>
          <w:rFonts w:ascii="Times New Roman" w:eastAsia="Times New Roman" w:hAnsi="Times New Roman" w:cs="Times New Roman"/>
          <w:snapToGrid w:val="0"/>
          <w:lang w:eastAsia="da-DK"/>
        </w:rPr>
        <w:t xml:space="preserve"> farmakokinetika pacientų, kuriems yra sunkus kepenų funkcijos sutrikimas (su ciroze ar be cirozės), organizme netirta. Todėl </w:t>
      </w:r>
      <w:proofErr w:type="spellStart"/>
      <w:r w:rsidRPr="00633873">
        <w:rPr>
          <w:rFonts w:ascii="Times New Roman" w:eastAsia="Times New Roman" w:hAnsi="Times New Roman" w:cs="Times New Roman"/>
          <w:snapToGrid w:val="0"/>
          <w:lang w:eastAsia="da-DK"/>
        </w:rPr>
        <w:t>ambrisentanu</w:t>
      </w:r>
      <w:proofErr w:type="spellEnd"/>
      <w:r w:rsidRPr="00633873">
        <w:rPr>
          <w:rFonts w:ascii="Times New Roman" w:eastAsia="Times New Roman" w:hAnsi="Times New Roman" w:cs="Times New Roman"/>
          <w:snapToGrid w:val="0"/>
          <w:lang w:eastAsia="da-DK"/>
        </w:rPr>
        <w:t xml:space="preserve"> negalima pradėti gydyti pacientų, kuriems yra sunkus kepenų funkcijos sutrikimas, ar tų pacientų, kuriems nustatomas kliniškai reikšmingas </w:t>
      </w:r>
      <w:proofErr w:type="spellStart"/>
      <w:r w:rsidRPr="00633873">
        <w:rPr>
          <w:rFonts w:ascii="Times New Roman" w:eastAsia="Times New Roman" w:hAnsi="Times New Roman" w:cs="Times New Roman"/>
          <w:snapToGrid w:val="0"/>
          <w:lang w:eastAsia="da-DK"/>
        </w:rPr>
        <w:t>aminotransferazių</w:t>
      </w:r>
      <w:proofErr w:type="spellEnd"/>
      <w:r w:rsidRPr="00633873">
        <w:rPr>
          <w:rFonts w:ascii="Times New Roman" w:eastAsia="Times New Roman" w:hAnsi="Times New Roman" w:cs="Times New Roman"/>
          <w:snapToGrid w:val="0"/>
          <w:lang w:eastAsia="da-DK"/>
        </w:rPr>
        <w:t xml:space="preserve"> aktyvumo padidėjimas (&gt; 3 × VNR) (žr. 4.3 ir 4.4</w:t>
      </w:r>
      <w:r w:rsidR="002D3ECE" w:rsidRPr="00633873">
        <w:rPr>
          <w:rFonts w:ascii="Times New Roman" w:eastAsia="Times New Roman" w:hAnsi="Times New Roman" w:cs="Times New Roman"/>
          <w:snapToGrid w:val="0"/>
          <w:lang w:eastAsia="da-DK"/>
        </w:rPr>
        <w:t> skyri</w:t>
      </w:r>
      <w:r w:rsidRPr="00633873">
        <w:rPr>
          <w:rFonts w:ascii="Times New Roman" w:eastAsia="Times New Roman" w:hAnsi="Times New Roman" w:cs="Times New Roman"/>
          <w:snapToGrid w:val="0"/>
          <w:lang w:eastAsia="da-DK"/>
        </w:rPr>
        <w:t>us).</w:t>
      </w:r>
    </w:p>
    <w:p w14:paraId="41A65305" w14:textId="77777777" w:rsidR="00A35A18" w:rsidRPr="00633873" w:rsidRDefault="00A35A18" w:rsidP="00A35A1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da-DK"/>
        </w:rPr>
      </w:pPr>
    </w:p>
    <w:p w14:paraId="24CBABD4" w14:textId="77777777" w:rsidR="00A35A18" w:rsidRPr="00633873" w:rsidRDefault="00A35A18" w:rsidP="009F7541">
      <w:pPr>
        <w:keepNext/>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5.3</w:t>
      </w:r>
      <w:r w:rsidRPr="00633873">
        <w:rPr>
          <w:rFonts w:ascii="Times New Roman" w:eastAsia="Times New Roman" w:hAnsi="Times New Roman" w:cs="Times New Roman"/>
          <w:b/>
          <w:kern w:val="28"/>
        </w:rPr>
        <w:tab/>
      </w:r>
      <w:proofErr w:type="spellStart"/>
      <w:r w:rsidRPr="00633873">
        <w:rPr>
          <w:rFonts w:ascii="Times New Roman" w:eastAsia="Times New Roman" w:hAnsi="Times New Roman" w:cs="Times New Roman"/>
          <w:b/>
          <w:kern w:val="28"/>
        </w:rPr>
        <w:t>Ikiklinikinių</w:t>
      </w:r>
      <w:proofErr w:type="spellEnd"/>
      <w:r w:rsidRPr="00633873">
        <w:rPr>
          <w:rFonts w:ascii="Times New Roman" w:eastAsia="Times New Roman" w:hAnsi="Times New Roman" w:cs="Times New Roman"/>
          <w:b/>
          <w:kern w:val="28"/>
        </w:rPr>
        <w:t xml:space="preserve"> saugumo tyrimų duomenys</w:t>
      </w:r>
    </w:p>
    <w:p w14:paraId="348BA2A8"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6BEBDB2C"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Dėl pagrindinio šios grupės vaistinių preparatų farmakologinio poveikio, pavartojus didelę vienkartinę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dozę (t. y. perdozavimo atveju), gali sumažėti arterinis kraujospūdis bei gali pasireikšti </w:t>
      </w:r>
      <w:proofErr w:type="spellStart"/>
      <w:r w:rsidRPr="00633873">
        <w:rPr>
          <w:rFonts w:ascii="Times New Roman" w:eastAsia="Times New Roman" w:hAnsi="Times New Roman" w:cs="Times New Roman"/>
          <w:snapToGrid w:val="0"/>
          <w:szCs w:val="24"/>
        </w:rPr>
        <w:t>hipotenzija</w:t>
      </w:r>
      <w:proofErr w:type="spellEnd"/>
      <w:r w:rsidRPr="00633873">
        <w:rPr>
          <w:rFonts w:ascii="Times New Roman" w:eastAsia="Times New Roman" w:hAnsi="Times New Roman" w:cs="Times New Roman"/>
          <w:snapToGrid w:val="0"/>
          <w:szCs w:val="24"/>
        </w:rPr>
        <w:t xml:space="preserve"> ir kiti simptomai, susiję su </w:t>
      </w:r>
      <w:proofErr w:type="spellStart"/>
      <w:r w:rsidRPr="00633873">
        <w:rPr>
          <w:rFonts w:ascii="Times New Roman" w:eastAsia="Times New Roman" w:hAnsi="Times New Roman" w:cs="Times New Roman"/>
          <w:snapToGrid w:val="0"/>
          <w:szCs w:val="24"/>
        </w:rPr>
        <w:t>vazodilatacija</w:t>
      </w:r>
      <w:proofErr w:type="spellEnd"/>
      <w:r w:rsidRPr="00633873">
        <w:rPr>
          <w:rFonts w:ascii="Times New Roman" w:eastAsia="Times New Roman" w:hAnsi="Times New Roman" w:cs="Times New Roman"/>
          <w:snapToGrid w:val="0"/>
          <w:szCs w:val="24"/>
        </w:rPr>
        <w:t>.</w:t>
      </w:r>
    </w:p>
    <w:p w14:paraId="52442683"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590A3646" w14:textId="77777777" w:rsidR="00B53A9F" w:rsidRDefault="00A35A18" w:rsidP="00A35A18">
      <w:pPr>
        <w:tabs>
          <w:tab w:val="left" w:pos="567"/>
        </w:tabs>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lastRenderedPageBreak/>
        <w:t>Ambrisentanas</w:t>
      </w:r>
      <w:proofErr w:type="spellEnd"/>
      <w:r w:rsidRPr="00633873">
        <w:rPr>
          <w:rFonts w:ascii="Times New Roman" w:eastAsia="Times New Roman" w:hAnsi="Times New Roman" w:cs="Times New Roman"/>
          <w:snapToGrid w:val="0"/>
          <w:szCs w:val="24"/>
        </w:rPr>
        <w:t xml:space="preserve"> neslopina tulžies rūgščių pern</w:t>
      </w:r>
      <w:r w:rsidR="002210FF" w:rsidRPr="00633873">
        <w:rPr>
          <w:rFonts w:ascii="Times New Roman" w:eastAsia="Times New Roman" w:hAnsi="Times New Roman" w:cs="Times New Roman"/>
          <w:snapToGrid w:val="0"/>
          <w:szCs w:val="24"/>
        </w:rPr>
        <w:t>ašos</w:t>
      </w:r>
      <w:r w:rsidRPr="00633873">
        <w:rPr>
          <w:rFonts w:ascii="Times New Roman" w:eastAsia="Times New Roman" w:hAnsi="Times New Roman" w:cs="Times New Roman"/>
          <w:snapToGrid w:val="0"/>
          <w:szCs w:val="24"/>
        </w:rPr>
        <w:t xml:space="preserve"> bei nesukelia aiškaus toksinio poveikio kepenims.</w:t>
      </w:r>
      <w:r w:rsidR="000824C5" w:rsidRPr="00633873">
        <w:rPr>
          <w:rFonts w:ascii="Times New Roman" w:eastAsia="Times New Roman" w:hAnsi="Times New Roman" w:cs="Times New Roman"/>
          <w:snapToGrid w:val="0"/>
          <w:szCs w:val="24"/>
        </w:rPr>
        <w:t xml:space="preserve"> </w:t>
      </w:r>
    </w:p>
    <w:p w14:paraId="11F1FD12" w14:textId="77777777" w:rsidR="00B53A9F" w:rsidRDefault="00B53A9F" w:rsidP="00A35A18">
      <w:pPr>
        <w:tabs>
          <w:tab w:val="left" w:pos="567"/>
        </w:tabs>
        <w:spacing w:after="0" w:line="240" w:lineRule="auto"/>
        <w:rPr>
          <w:rFonts w:ascii="Times New Roman" w:eastAsia="Times New Roman" w:hAnsi="Times New Roman" w:cs="Times New Roman"/>
          <w:snapToGrid w:val="0"/>
          <w:szCs w:val="24"/>
        </w:rPr>
      </w:pPr>
    </w:p>
    <w:p w14:paraId="1B864F6D" w14:textId="00D54CDA"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Buvo pastebėti nosies ertmės epitelio pokyčiai ir uždegimas graužikams, ilgą laiką esant mažesnei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ekspozicijai, negu ji būna skiriant terapines dozes žmonėms. Ilgai skiriant dideles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dozes šunims, kai ekspozicija buvo daugiau kaip 20 kartų didesnė, negu </w:t>
      </w:r>
      <w:r w:rsidR="000824C5" w:rsidRPr="00633873">
        <w:rPr>
          <w:rFonts w:ascii="Times New Roman" w:eastAsia="Times New Roman" w:hAnsi="Times New Roman" w:cs="Times New Roman"/>
          <w:snapToGrid w:val="0"/>
          <w:szCs w:val="24"/>
        </w:rPr>
        <w:t xml:space="preserve">nustatoma </w:t>
      </w:r>
      <w:r w:rsidRPr="00633873">
        <w:rPr>
          <w:rFonts w:ascii="Times New Roman" w:eastAsia="Times New Roman" w:hAnsi="Times New Roman" w:cs="Times New Roman"/>
          <w:snapToGrid w:val="0"/>
          <w:szCs w:val="24"/>
        </w:rPr>
        <w:t xml:space="preserve">pacientams, buvo pastebėta </w:t>
      </w:r>
      <w:r w:rsidR="002210FF" w:rsidRPr="00633873">
        <w:rPr>
          <w:rFonts w:ascii="Times New Roman" w:eastAsia="Times New Roman" w:hAnsi="Times New Roman" w:cs="Times New Roman"/>
          <w:snapToGrid w:val="0"/>
          <w:szCs w:val="24"/>
        </w:rPr>
        <w:t>nežymi</w:t>
      </w:r>
      <w:r w:rsidRPr="00633873">
        <w:rPr>
          <w:rFonts w:ascii="Times New Roman" w:eastAsia="Times New Roman" w:hAnsi="Times New Roman" w:cs="Times New Roman"/>
          <w:snapToGrid w:val="0"/>
          <w:szCs w:val="24"/>
        </w:rPr>
        <w:t xml:space="preserve"> uždegiminė reakcija.</w:t>
      </w:r>
    </w:p>
    <w:p w14:paraId="0AA1C84A"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7B8D817E" w14:textId="1CD5AA04"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Žiurkėms, kurioms buvo skiriamos tokios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dozės, kai ekspozicijos lygis buvo 3 kartus didesnis, negu klinikin</w:t>
      </w:r>
      <w:r w:rsidR="002210FF" w:rsidRPr="00633873">
        <w:rPr>
          <w:rFonts w:ascii="Times New Roman" w:eastAsia="Times New Roman" w:hAnsi="Times New Roman" w:cs="Times New Roman"/>
          <w:snapToGrid w:val="0"/>
          <w:szCs w:val="24"/>
        </w:rPr>
        <w:t>ėmis</w:t>
      </w:r>
      <w:r w:rsidRPr="00633873">
        <w:rPr>
          <w:rFonts w:ascii="Times New Roman" w:eastAsia="Times New Roman" w:hAnsi="Times New Roman" w:cs="Times New Roman"/>
          <w:snapToGrid w:val="0"/>
          <w:szCs w:val="24"/>
        </w:rPr>
        <w:t xml:space="preserve"> </w:t>
      </w:r>
      <w:r w:rsidR="002210FF" w:rsidRPr="00633873">
        <w:rPr>
          <w:rFonts w:ascii="Times New Roman" w:eastAsia="Times New Roman" w:hAnsi="Times New Roman" w:cs="Times New Roman"/>
          <w:snapToGrid w:val="0"/>
          <w:szCs w:val="24"/>
        </w:rPr>
        <w:t xml:space="preserve">sąlygomis skiriamo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AUC, buvo pastebėta nosies kaulų </w:t>
      </w:r>
      <w:proofErr w:type="spellStart"/>
      <w:r w:rsidRPr="00633873">
        <w:rPr>
          <w:rFonts w:ascii="Times New Roman" w:eastAsia="Times New Roman" w:hAnsi="Times New Roman" w:cs="Times New Roman"/>
          <w:snapToGrid w:val="0"/>
          <w:szCs w:val="24"/>
        </w:rPr>
        <w:t>hiperplazija</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etmoidalinės</w:t>
      </w:r>
      <w:proofErr w:type="spellEnd"/>
      <w:r w:rsidRPr="00633873">
        <w:rPr>
          <w:rFonts w:ascii="Times New Roman" w:eastAsia="Times New Roman" w:hAnsi="Times New Roman" w:cs="Times New Roman"/>
          <w:snapToGrid w:val="0"/>
          <w:szCs w:val="24"/>
        </w:rPr>
        <w:t xml:space="preserve"> kriauklės nosies ertmėje. Pelėms ir šunims nosies kaulų </w:t>
      </w:r>
      <w:proofErr w:type="spellStart"/>
      <w:r w:rsidRPr="00633873">
        <w:rPr>
          <w:rFonts w:ascii="Times New Roman" w:eastAsia="Times New Roman" w:hAnsi="Times New Roman" w:cs="Times New Roman"/>
          <w:snapToGrid w:val="0"/>
          <w:szCs w:val="24"/>
        </w:rPr>
        <w:t>hiperplazijos</w:t>
      </w:r>
      <w:proofErr w:type="spellEnd"/>
      <w:r w:rsidRPr="00633873">
        <w:rPr>
          <w:rFonts w:ascii="Times New Roman" w:eastAsia="Times New Roman" w:hAnsi="Times New Roman" w:cs="Times New Roman"/>
          <w:snapToGrid w:val="0"/>
          <w:szCs w:val="24"/>
        </w:rPr>
        <w:t xml:space="preserve"> </w:t>
      </w:r>
      <w:r w:rsidR="000824C5" w:rsidRPr="00633873">
        <w:rPr>
          <w:rFonts w:ascii="Times New Roman" w:eastAsia="Times New Roman" w:hAnsi="Times New Roman" w:cs="Times New Roman"/>
          <w:snapToGrid w:val="0"/>
          <w:szCs w:val="24"/>
        </w:rPr>
        <w:t xml:space="preserve">vartojant </w:t>
      </w:r>
      <w:proofErr w:type="spellStart"/>
      <w:r w:rsidR="000824C5" w:rsidRPr="00633873">
        <w:rPr>
          <w:rFonts w:ascii="Times New Roman" w:eastAsia="Times New Roman" w:hAnsi="Times New Roman" w:cs="Times New Roman"/>
          <w:snapToGrid w:val="0"/>
          <w:szCs w:val="24"/>
        </w:rPr>
        <w:t>ambrisentano</w:t>
      </w:r>
      <w:proofErr w:type="spellEnd"/>
      <w:r w:rsidR="000824C5"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 xml:space="preserve">nebuvo pastebėta. </w:t>
      </w:r>
      <w:r w:rsidR="000824C5" w:rsidRPr="00633873">
        <w:rPr>
          <w:rFonts w:ascii="Times New Roman" w:eastAsia="Times New Roman" w:hAnsi="Times New Roman" w:cs="Times New Roman"/>
          <w:snapToGrid w:val="0"/>
          <w:szCs w:val="24"/>
        </w:rPr>
        <w:t>Remiantis patirtimi tiriant kitus junginius, m</w:t>
      </w:r>
      <w:r w:rsidRPr="00633873">
        <w:rPr>
          <w:rFonts w:ascii="Times New Roman" w:eastAsia="Times New Roman" w:hAnsi="Times New Roman" w:cs="Times New Roman"/>
          <w:snapToGrid w:val="0"/>
          <w:szCs w:val="24"/>
        </w:rPr>
        <w:t xml:space="preserve">anoma, kad žiurkių nosies kriauklės </w:t>
      </w:r>
      <w:proofErr w:type="spellStart"/>
      <w:r w:rsidRPr="00633873">
        <w:rPr>
          <w:rFonts w:ascii="Times New Roman" w:eastAsia="Times New Roman" w:hAnsi="Times New Roman" w:cs="Times New Roman"/>
          <w:snapToGrid w:val="0"/>
          <w:szCs w:val="24"/>
        </w:rPr>
        <w:t>hiperplazija</w:t>
      </w:r>
      <w:proofErr w:type="spellEnd"/>
      <w:r w:rsidRPr="00633873">
        <w:rPr>
          <w:rFonts w:ascii="Times New Roman" w:eastAsia="Times New Roman" w:hAnsi="Times New Roman" w:cs="Times New Roman"/>
          <w:snapToGrid w:val="0"/>
          <w:szCs w:val="24"/>
        </w:rPr>
        <w:t xml:space="preserve"> yra nosies uždegimo pasekmė.</w:t>
      </w:r>
    </w:p>
    <w:p w14:paraId="7EADAAF7"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6784D105"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Tiriant dideles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koncentracijas žinduolių ląstelėse </w:t>
      </w:r>
      <w:proofErr w:type="spellStart"/>
      <w:r w:rsidRPr="00633873">
        <w:rPr>
          <w:rFonts w:ascii="Times New Roman" w:eastAsia="Times New Roman" w:hAnsi="Times New Roman" w:cs="Times New Roman"/>
          <w:i/>
          <w:iCs/>
          <w:snapToGrid w:val="0"/>
          <w:szCs w:val="24"/>
        </w:rPr>
        <w:t>in</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vitro</w:t>
      </w:r>
      <w:proofErr w:type="spellEnd"/>
      <w:r w:rsidRPr="00633873">
        <w:rPr>
          <w:rFonts w:ascii="Times New Roman" w:eastAsia="Times New Roman" w:hAnsi="Times New Roman" w:cs="Times New Roman"/>
          <w:snapToGrid w:val="0"/>
          <w:szCs w:val="24"/>
        </w:rPr>
        <w:t xml:space="preserve">, nustatyta, kad jis sukelia </w:t>
      </w:r>
      <w:proofErr w:type="spellStart"/>
      <w:r w:rsidRPr="00633873">
        <w:rPr>
          <w:rFonts w:ascii="Times New Roman" w:eastAsia="Times New Roman" w:hAnsi="Times New Roman" w:cs="Times New Roman"/>
          <w:snapToGrid w:val="0"/>
          <w:szCs w:val="24"/>
        </w:rPr>
        <w:t>klastogeninį</w:t>
      </w:r>
      <w:proofErr w:type="spellEnd"/>
      <w:r w:rsidRPr="00633873">
        <w:rPr>
          <w:rFonts w:ascii="Times New Roman" w:eastAsia="Times New Roman" w:hAnsi="Times New Roman" w:cs="Times New Roman"/>
          <w:snapToGrid w:val="0"/>
          <w:szCs w:val="24"/>
        </w:rPr>
        <w:t xml:space="preserve"> poveikį.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nebuvo </w:t>
      </w:r>
      <w:proofErr w:type="spellStart"/>
      <w:r w:rsidRPr="00633873">
        <w:rPr>
          <w:rFonts w:ascii="Times New Roman" w:eastAsia="Times New Roman" w:hAnsi="Times New Roman" w:cs="Times New Roman"/>
          <w:snapToGrid w:val="0"/>
          <w:szCs w:val="24"/>
        </w:rPr>
        <w:t>mutageniškas</w:t>
      </w:r>
      <w:proofErr w:type="spellEnd"/>
      <w:r w:rsidRPr="00633873">
        <w:rPr>
          <w:rFonts w:ascii="Times New Roman" w:eastAsia="Times New Roman" w:hAnsi="Times New Roman" w:cs="Times New Roman"/>
          <w:snapToGrid w:val="0"/>
          <w:szCs w:val="24"/>
        </w:rPr>
        <w:t xml:space="preserve"> ir </w:t>
      </w:r>
      <w:proofErr w:type="spellStart"/>
      <w:r w:rsidRPr="00633873">
        <w:rPr>
          <w:rFonts w:ascii="Times New Roman" w:eastAsia="Times New Roman" w:hAnsi="Times New Roman" w:cs="Times New Roman"/>
          <w:snapToGrid w:val="0"/>
          <w:szCs w:val="24"/>
        </w:rPr>
        <w:t>genotoksiškas</w:t>
      </w:r>
      <w:proofErr w:type="spellEnd"/>
      <w:r w:rsidRPr="00633873">
        <w:rPr>
          <w:rFonts w:ascii="Times New Roman" w:eastAsia="Times New Roman" w:hAnsi="Times New Roman" w:cs="Times New Roman"/>
          <w:snapToGrid w:val="0"/>
          <w:szCs w:val="24"/>
        </w:rPr>
        <w:t xml:space="preserve"> bakterijoms bei dviejuose </w:t>
      </w:r>
      <w:proofErr w:type="spellStart"/>
      <w:r w:rsidRPr="00633873">
        <w:rPr>
          <w:rFonts w:ascii="Times New Roman" w:eastAsia="Times New Roman" w:hAnsi="Times New Roman" w:cs="Times New Roman"/>
          <w:i/>
          <w:iCs/>
          <w:snapToGrid w:val="0"/>
          <w:szCs w:val="24"/>
        </w:rPr>
        <w:t>in</w:t>
      </w:r>
      <w:proofErr w:type="spellEnd"/>
      <w:r w:rsidRPr="00633873">
        <w:rPr>
          <w:rFonts w:ascii="Times New Roman" w:eastAsia="Times New Roman" w:hAnsi="Times New Roman" w:cs="Times New Roman"/>
          <w:i/>
          <w:iCs/>
          <w:snapToGrid w:val="0"/>
          <w:szCs w:val="24"/>
        </w:rPr>
        <w:t xml:space="preserve"> </w:t>
      </w:r>
      <w:proofErr w:type="spellStart"/>
      <w:r w:rsidRPr="00633873">
        <w:rPr>
          <w:rFonts w:ascii="Times New Roman" w:eastAsia="Times New Roman" w:hAnsi="Times New Roman" w:cs="Times New Roman"/>
          <w:i/>
          <w:iCs/>
          <w:snapToGrid w:val="0"/>
          <w:szCs w:val="24"/>
        </w:rPr>
        <w:t>vivo</w:t>
      </w:r>
      <w:proofErr w:type="spellEnd"/>
      <w:r w:rsidRPr="00633873">
        <w:rPr>
          <w:rFonts w:ascii="Times New Roman" w:eastAsia="Times New Roman" w:hAnsi="Times New Roman" w:cs="Times New Roman"/>
          <w:snapToGrid w:val="0"/>
          <w:szCs w:val="24"/>
        </w:rPr>
        <w:t xml:space="preserve"> atliktuose tyrimuose su graužikais.</w:t>
      </w:r>
    </w:p>
    <w:p w14:paraId="6D53A06E"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3C3E8037" w14:textId="0DD7C6DE"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Atliekant 2 metų trukmės </w:t>
      </w:r>
      <w:r w:rsidR="002210FF" w:rsidRPr="00633873">
        <w:rPr>
          <w:rFonts w:ascii="Times New Roman" w:eastAsia="Times New Roman" w:hAnsi="Times New Roman" w:cs="Times New Roman"/>
          <w:snapToGrid w:val="0"/>
          <w:szCs w:val="24"/>
        </w:rPr>
        <w:t>geriamojo</w:t>
      </w:r>
      <w:r w:rsidRPr="00633873">
        <w:rPr>
          <w:rFonts w:ascii="Times New Roman" w:eastAsia="Times New Roman" w:hAnsi="Times New Roman" w:cs="Times New Roman"/>
          <w:snapToGrid w:val="0"/>
          <w:szCs w:val="24"/>
        </w:rPr>
        <w:t xml:space="preserve"> vaistinio preparato tyrimus</w:t>
      </w:r>
      <w:r w:rsidR="000824C5" w:rsidRPr="00633873">
        <w:rPr>
          <w:rFonts w:ascii="Times New Roman" w:eastAsia="Times New Roman" w:hAnsi="Times New Roman" w:cs="Times New Roman"/>
          <w:snapToGrid w:val="0"/>
          <w:szCs w:val="24"/>
        </w:rPr>
        <w:t xml:space="preserve"> su žiurkėmis ir pelėmis</w:t>
      </w:r>
      <w:r w:rsidRPr="00633873">
        <w:rPr>
          <w:rFonts w:ascii="Times New Roman" w:eastAsia="Times New Roman" w:hAnsi="Times New Roman" w:cs="Times New Roman"/>
          <w:snapToGrid w:val="0"/>
          <w:szCs w:val="24"/>
        </w:rPr>
        <w:t>, negauta jokių kancerogeninio poveikio įrodymų. Šiek t</w:t>
      </w:r>
      <w:r w:rsidR="00435467" w:rsidRPr="00633873">
        <w:rPr>
          <w:rFonts w:ascii="Times New Roman" w:eastAsia="Times New Roman" w:hAnsi="Times New Roman" w:cs="Times New Roman"/>
          <w:snapToGrid w:val="0"/>
          <w:szCs w:val="24"/>
        </w:rPr>
        <w:t>ie</w:t>
      </w:r>
      <w:r w:rsidRPr="00633873">
        <w:rPr>
          <w:rFonts w:ascii="Times New Roman" w:eastAsia="Times New Roman" w:hAnsi="Times New Roman" w:cs="Times New Roman"/>
          <w:snapToGrid w:val="0"/>
          <w:szCs w:val="24"/>
        </w:rPr>
        <w:t>k padaugėjo krūties liaukos fibroadenomų (gerybini</w:t>
      </w:r>
      <w:r w:rsidR="002210FF" w:rsidRPr="00633873">
        <w:rPr>
          <w:rFonts w:ascii="Times New Roman" w:eastAsia="Times New Roman" w:hAnsi="Times New Roman" w:cs="Times New Roman"/>
          <w:snapToGrid w:val="0"/>
          <w:szCs w:val="24"/>
        </w:rPr>
        <w:t>ų</w:t>
      </w:r>
      <w:r w:rsidRPr="00633873">
        <w:rPr>
          <w:rFonts w:ascii="Times New Roman" w:eastAsia="Times New Roman" w:hAnsi="Times New Roman" w:cs="Times New Roman"/>
          <w:snapToGrid w:val="0"/>
          <w:szCs w:val="24"/>
        </w:rPr>
        <w:t xml:space="preserve"> navik</w:t>
      </w:r>
      <w:r w:rsidR="002210FF" w:rsidRPr="00633873">
        <w:rPr>
          <w:rFonts w:ascii="Times New Roman" w:eastAsia="Times New Roman" w:hAnsi="Times New Roman" w:cs="Times New Roman"/>
          <w:snapToGrid w:val="0"/>
          <w:szCs w:val="24"/>
        </w:rPr>
        <w:t>ų</w:t>
      </w:r>
      <w:r w:rsidRPr="00633873">
        <w:rPr>
          <w:rFonts w:ascii="Times New Roman" w:eastAsia="Times New Roman" w:hAnsi="Times New Roman" w:cs="Times New Roman"/>
          <w:snapToGrid w:val="0"/>
          <w:szCs w:val="24"/>
        </w:rPr>
        <w:t xml:space="preserve">) žiurkių patinams tik vartojant didžiausią dozę. Sisteminė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ekspozicija žiurkių patinams vartojant šią dozę (remiantis AUC </w:t>
      </w:r>
      <w:proofErr w:type="spellStart"/>
      <w:r w:rsidR="002210FF" w:rsidRPr="00633873">
        <w:rPr>
          <w:rFonts w:ascii="Times New Roman" w:eastAsia="Times New Roman" w:hAnsi="Times New Roman" w:cs="Times New Roman"/>
          <w:snapToGrid w:val="0"/>
          <w:szCs w:val="24"/>
        </w:rPr>
        <w:t>susidarus</w:t>
      </w:r>
      <w:proofErr w:type="spellEnd"/>
      <w:r w:rsidR="002210FF"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pusiausvyr</w:t>
      </w:r>
      <w:r w:rsidR="002210FF" w:rsidRPr="00633873">
        <w:rPr>
          <w:rFonts w:ascii="Times New Roman" w:eastAsia="Times New Roman" w:hAnsi="Times New Roman" w:cs="Times New Roman"/>
          <w:snapToGrid w:val="0"/>
          <w:szCs w:val="24"/>
        </w:rPr>
        <w:t>inei</w:t>
      </w:r>
      <w:proofErr w:type="spellEnd"/>
      <w:r w:rsidRPr="00633873">
        <w:rPr>
          <w:rFonts w:ascii="Times New Roman" w:eastAsia="Times New Roman" w:hAnsi="Times New Roman" w:cs="Times New Roman"/>
          <w:snapToGrid w:val="0"/>
          <w:szCs w:val="24"/>
        </w:rPr>
        <w:t xml:space="preserve"> </w:t>
      </w:r>
      <w:r w:rsidR="002210FF" w:rsidRPr="00633873">
        <w:rPr>
          <w:rFonts w:ascii="Times New Roman" w:eastAsia="Times New Roman" w:hAnsi="Times New Roman" w:cs="Times New Roman"/>
          <w:snapToGrid w:val="0"/>
          <w:szCs w:val="24"/>
        </w:rPr>
        <w:t>koncentracijai</w:t>
      </w:r>
      <w:r w:rsidRPr="00633873">
        <w:rPr>
          <w:rFonts w:ascii="Times New Roman" w:eastAsia="Times New Roman" w:hAnsi="Times New Roman" w:cs="Times New Roman"/>
          <w:snapToGrid w:val="0"/>
          <w:szCs w:val="24"/>
        </w:rPr>
        <w:t>) buvo 6 kartus didesnė nei pasiek</w:t>
      </w:r>
      <w:r w:rsidR="000824C5" w:rsidRPr="00633873">
        <w:rPr>
          <w:rFonts w:ascii="Times New Roman" w:eastAsia="Times New Roman" w:hAnsi="Times New Roman" w:cs="Times New Roman"/>
          <w:snapToGrid w:val="0"/>
          <w:szCs w:val="24"/>
        </w:rPr>
        <w:t>iama</w:t>
      </w:r>
      <w:r w:rsidRPr="00633873">
        <w:rPr>
          <w:rFonts w:ascii="Times New Roman" w:eastAsia="Times New Roman" w:hAnsi="Times New Roman" w:cs="Times New Roman"/>
          <w:snapToGrid w:val="0"/>
          <w:szCs w:val="24"/>
        </w:rPr>
        <w:t xml:space="preserve"> skiriant klinikinę 10 mg paros dozę.</w:t>
      </w:r>
    </w:p>
    <w:p w14:paraId="44C99951"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050BA261" w14:textId="29F4E0F5"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Atliekant toksiškumo ir vaisingumo tyrimus su žiurkių ir pelių patinais, girdant kartotines dozes, nesilaikant saugumo ribų, buvo pastebėta sėklidžių kanalėlių atrofija, kartais kartu su </w:t>
      </w:r>
      <w:proofErr w:type="spellStart"/>
      <w:r w:rsidRPr="00633873">
        <w:rPr>
          <w:rFonts w:ascii="Times New Roman" w:eastAsia="Times New Roman" w:hAnsi="Times New Roman" w:cs="Times New Roman"/>
          <w:snapToGrid w:val="0"/>
          <w:szCs w:val="24"/>
        </w:rPr>
        <w:t>aspermija</w:t>
      </w:r>
      <w:proofErr w:type="spellEnd"/>
      <w:r w:rsidRPr="00633873">
        <w:rPr>
          <w:rFonts w:ascii="Times New Roman" w:eastAsia="Times New Roman" w:hAnsi="Times New Roman" w:cs="Times New Roman"/>
          <w:snapToGrid w:val="0"/>
          <w:szCs w:val="24"/>
        </w:rPr>
        <w:t xml:space="preserve">. Sėklidžių pokyčiai galutinai neišnykdavo nutraukus </w:t>
      </w:r>
      <w:r w:rsidR="002210FF" w:rsidRPr="00633873">
        <w:rPr>
          <w:rFonts w:ascii="Times New Roman" w:eastAsia="Times New Roman" w:hAnsi="Times New Roman" w:cs="Times New Roman"/>
          <w:snapToGrid w:val="0"/>
          <w:szCs w:val="24"/>
        </w:rPr>
        <w:t xml:space="preserve">vaistinio </w:t>
      </w:r>
      <w:r w:rsidRPr="00633873">
        <w:rPr>
          <w:rFonts w:ascii="Times New Roman" w:eastAsia="Times New Roman" w:hAnsi="Times New Roman" w:cs="Times New Roman"/>
          <w:snapToGrid w:val="0"/>
          <w:szCs w:val="24"/>
        </w:rPr>
        <w:t xml:space="preserve">preparato vartojimą vertinimo laikotarpio metu. Atliekant iki 39 savaičių trukmės tyrimus su šunimis, kai vaistinio preparato ekspozicija buvo 35 kartus didesnė nei būna žmonėms, remiantis AUC, nebuvo nustatyta jokių pokyčių sėklidėse.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neveikė žiurkių patinų spermatozoidų judrumo vartojant visas tirtas dozes (iki 300 mg/kg per parą). Buvo nustatytas ne</w:t>
      </w:r>
      <w:r w:rsidR="00384699" w:rsidRPr="00633873">
        <w:rPr>
          <w:rFonts w:ascii="Times New Roman" w:eastAsia="Times New Roman" w:hAnsi="Times New Roman" w:cs="Times New Roman"/>
          <w:snapToGrid w:val="0"/>
          <w:szCs w:val="24"/>
        </w:rPr>
        <w:t>žymus</w:t>
      </w:r>
      <w:r w:rsidRPr="00633873">
        <w:rPr>
          <w:rFonts w:ascii="Times New Roman" w:eastAsia="Times New Roman" w:hAnsi="Times New Roman" w:cs="Times New Roman"/>
          <w:snapToGrid w:val="0"/>
          <w:szCs w:val="24"/>
        </w:rPr>
        <w:t xml:space="preserve"> (&lt;</w:t>
      </w:r>
      <w:r w:rsidR="008038AE" w:rsidRPr="00633873">
        <w:rPr>
          <w:rFonts w:ascii="Times New Roman" w:eastAsia="Times New Roman" w:hAnsi="Times New Roman" w:cs="Times New Roman"/>
          <w:snapToGrid w:val="0"/>
          <w:szCs w:val="24"/>
        </w:rPr>
        <w:t> </w:t>
      </w:r>
      <w:r w:rsidRPr="00633873">
        <w:rPr>
          <w:rFonts w:ascii="Times New Roman" w:eastAsia="Times New Roman" w:hAnsi="Times New Roman" w:cs="Times New Roman"/>
          <w:snapToGrid w:val="0"/>
          <w:szCs w:val="24"/>
        </w:rPr>
        <w:t xml:space="preserve">10 %) normalios morfologijos spermatozoidų procentinio kiekio sumažėjimas vartojant 300 mg/kg, bet ne 100 mg/kg paros dozę (klinikinė ekspozicija &gt; 9 kartus didesnė nei vartojant 10 mg paros dozę).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poveikis vyrų vaisingumui nežinomas.</w:t>
      </w:r>
    </w:p>
    <w:p w14:paraId="2A611092"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68C586C1"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 xml:space="preserve"> sukėlė </w:t>
      </w:r>
      <w:proofErr w:type="spellStart"/>
      <w:r w:rsidRPr="00633873">
        <w:rPr>
          <w:rFonts w:ascii="Times New Roman" w:eastAsia="Times New Roman" w:hAnsi="Times New Roman" w:cs="Times New Roman"/>
          <w:snapToGrid w:val="0"/>
          <w:szCs w:val="24"/>
        </w:rPr>
        <w:t>teratogeninį</w:t>
      </w:r>
      <w:proofErr w:type="spellEnd"/>
      <w:r w:rsidRPr="00633873">
        <w:rPr>
          <w:rFonts w:ascii="Times New Roman" w:eastAsia="Times New Roman" w:hAnsi="Times New Roman" w:cs="Times New Roman"/>
          <w:snapToGrid w:val="0"/>
          <w:szCs w:val="24"/>
        </w:rPr>
        <w:t xml:space="preserve"> poveikį žiurkėms ir triušiams. Visos tiriamos dozės sukėlė apatinio žandikaulio, liežuvio ir (arba) gomurio sklaidos trūkumus. Be to, tyrimas su žiurkėmis parodė </w:t>
      </w:r>
      <w:proofErr w:type="spellStart"/>
      <w:r w:rsidRPr="00633873">
        <w:rPr>
          <w:rFonts w:ascii="Times New Roman" w:eastAsia="Times New Roman" w:hAnsi="Times New Roman" w:cs="Times New Roman"/>
          <w:snapToGrid w:val="0"/>
          <w:szCs w:val="24"/>
        </w:rPr>
        <w:t>tarpskilvelinės</w:t>
      </w:r>
      <w:proofErr w:type="spellEnd"/>
      <w:r w:rsidRPr="00633873">
        <w:rPr>
          <w:rFonts w:ascii="Times New Roman" w:eastAsia="Times New Roman" w:hAnsi="Times New Roman" w:cs="Times New Roman"/>
          <w:snapToGrid w:val="0"/>
          <w:szCs w:val="24"/>
        </w:rPr>
        <w:t xml:space="preserve"> pertvaros defektų, kraujagyslinio kamieno defektų, skydliaukės ir </w:t>
      </w:r>
      <w:proofErr w:type="spellStart"/>
      <w:r w:rsidRPr="00633873">
        <w:rPr>
          <w:rFonts w:ascii="Times New Roman" w:eastAsia="Times New Roman" w:hAnsi="Times New Roman" w:cs="Times New Roman"/>
          <w:snapToGrid w:val="0"/>
          <w:szCs w:val="24"/>
        </w:rPr>
        <w:t>užkrūčio</w:t>
      </w:r>
      <w:proofErr w:type="spellEnd"/>
      <w:r w:rsidRPr="00633873">
        <w:rPr>
          <w:rFonts w:ascii="Times New Roman" w:eastAsia="Times New Roman" w:hAnsi="Times New Roman" w:cs="Times New Roman"/>
          <w:snapToGrid w:val="0"/>
          <w:szCs w:val="24"/>
        </w:rPr>
        <w:t xml:space="preserve"> liaukos pažeidimų, apatinės </w:t>
      </w:r>
      <w:proofErr w:type="spellStart"/>
      <w:r w:rsidRPr="00633873">
        <w:rPr>
          <w:rFonts w:ascii="Times New Roman" w:eastAsia="Times New Roman" w:hAnsi="Times New Roman" w:cs="Times New Roman"/>
          <w:snapToGrid w:val="0"/>
          <w:szCs w:val="24"/>
        </w:rPr>
        <w:t>pleištakaulio</w:t>
      </w:r>
      <w:proofErr w:type="spellEnd"/>
      <w:r w:rsidRPr="00633873">
        <w:rPr>
          <w:rFonts w:ascii="Times New Roman" w:eastAsia="Times New Roman" w:hAnsi="Times New Roman" w:cs="Times New Roman"/>
          <w:snapToGrid w:val="0"/>
          <w:szCs w:val="24"/>
        </w:rPr>
        <w:t xml:space="preserve"> dalies kaulėjimo sutrikimų ir bambos arterijos buvimo kairėje, o ne dešinėje šlapimo pūslės pusėje atvejų padažnėjimą. Įtariama, kad </w:t>
      </w:r>
      <w:proofErr w:type="spellStart"/>
      <w:r w:rsidRPr="00633873">
        <w:rPr>
          <w:rFonts w:ascii="Times New Roman" w:eastAsia="Times New Roman" w:hAnsi="Times New Roman" w:cs="Times New Roman"/>
          <w:snapToGrid w:val="0"/>
          <w:szCs w:val="24"/>
        </w:rPr>
        <w:t>teratogeninis</w:t>
      </w:r>
      <w:proofErr w:type="spellEnd"/>
      <w:r w:rsidRPr="00633873">
        <w:rPr>
          <w:rFonts w:ascii="Times New Roman" w:eastAsia="Times New Roman" w:hAnsi="Times New Roman" w:cs="Times New Roman"/>
          <w:snapToGrid w:val="0"/>
          <w:szCs w:val="24"/>
        </w:rPr>
        <w:t xml:space="preserve"> poveikis </w:t>
      </w:r>
      <w:r w:rsidR="00441AF1" w:rsidRPr="00633873">
        <w:rPr>
          <w:rFonts w:ascii="Times New Roman" w:eastAsia="Times New Roman" w:hAnsi="Times New Roman" w:cs="Times New Roman"/>
          <w:snapToGrid w:val="0"/>
          <w:szCs w:val="24"/>
        </w:rPr>
        <w:t xml:space="preserve">yra </w:t>
      </w:r>
      <w:r w:rsidRPr="00633873">
        <w:rPr>
          <w:rFonts w:ascii="Times New Roman" w:eastAsia="Times New Roman" w:hAnsi="Times New Roman" w:cs="Times New Roman"/>
          <w:snapToGrid w:val="0"/>
          <w:szCs w:val="24"/>
        </w:rPr>
        <w:t>būdingas ERA klasei.</w:t>
      </w:r>
    </w:p>
    <w:p w14:paraId="7CCF9285"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4234F48C"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Skiriant </w:t>
      </w:r>
      <w:proofErr w:type="spellStart"/>
      <w:r w:rsidRPr="00633873">
        <w:rPr>
          <w:rFonts w:ascii="Times New Roman" w:eastAsia="Times New Roman" w:hAnsi="Times New Roman" w:cs="Times New Roman"/>
          <w:snapToGrid w:val="0"/>
          <w:szCs w:val="24"/>
        </w:rPr>
        <w:t>ambrisentaną</w:t>
      </w:r>
      <w:proofErr w:type="spellEnd"/>
      <w:r w:rsidRPr="00633873">
        <w:rPr>
          <w:rFonts w:ascii="Times New Roman" w:eastAsia="Times New Roman" w:hAnsi="Times New Roman" w:cs="Times New Roman"/>
          <w:snapToGrid w:val="0"/>
          <w:szCs w:val="24"/>
        </w:rPr>
        <w:t xml:space="preserve"> žiurkių patelėms vėlyvo vaikingumo ir </w:t>
      </w:r>
      <w:r w:rsidR="00023EB0" w:rsidRPr="00633873">
        <w:rPr>
          <w:rFonts w:ascii="Times New Roman" w:eastAsia="Times New Roman" w:hAnsi="Times New Roman" w:cs="Times New Roman"/>
          <w:snapToGrid w:val="0"/>
          <w:szCs w:val="24"/>
        </w:rPr>
        <w:t>laktacijos</w:t>
      </w:r>
      <w:r w:rsidRPr="00633873">
        <w:rPr>
          <w:rFonts w:ascii="Times New Roman" w:eastAsia="Times New Roman" w:hAnsi="Times New Roman" w:cs="Times New Roman"/>
          <w:snapToGrid w:val="0"/>
          <w:szCs w:val="24"/>
        </w:rPr>
        <w:t xml:space="preserve"> laikotarpiu tokiomis dozėmis, kad AUC ekspozicija buvo 3</w:t>
      </w:r>
      <w:r w:rsidR="00023EB0" w:rsidRPr="00633873">
        <w:rPr>
          <w:rFonts w:ascii="Times New Roman" w:eastAsia="Times New Roman" w:hAnsi="Times New Roman" w:cs="Times New Roman"/>
          <w:snapToGrid w:val="0"/>
          <w:szCs w:val="24"/>
        </w:rPr>
        <w:t> </w:t>
      </w:r>
      <w:r w:rsidRPr="00633873">
        <w:rPr>
          <w:rFonts w:ascii="Times New Roman" w:eastAsia="Times New Roman" w:hAnsi="Times New Roman" w:cs="Times New Roman"/>
          <w:snapToGrid w:val="0"/>
          <w:szCs w:val="24"/>
        </w:rPr>
        <w:t>kartus didesnė, ne</w:t>
      </w:r>
      <w:r w:rsidR="00023EB0" w:rsidRPr="00633873">
        <w:rPr>
          <w:rFonts w:ascii="Times New Roman" w:eastAsia="Times New Roman" w:hAnsi="Times New Roman" w:cs="Times New Roman"/>
          <w:snapToGrid w:val="0"/>
          <w:szCs w:val="24"/>
        </w:rPr>
        <w:t>i</w:t>
      </w:r>
      <w:r w:rsidRPr="00633873">
        <w:rPr>
          <w:rFonts w:ascii="Times New Roman" w:eastAsia="Times New Roman" w:hAnsi="Times New Roman" w:cs="Times New Roman"/>
          <w:snapToGrid w:val="0"/>
          <w:szCs w:val="24"/>
        </w:rPr>
        <w:t xml:space="preserve"> būna žmonėms skiriant maksimalią dozę, stebėti nepageidaujami reiškiniai, kurie pasireiškė pakitusiu tiriamųjų patelių elgesiu, sumažėjusiu jauniklių išgyvenamumu ir sutrikusiu palikuonių vaisingumu (skrodimo metu buvo pastebėtos mažos sėklidės).</w:t>
      </w:r>
    </w:p>
    <w:p w14:paraId="04967EFF"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1C92B1D7" w14:textId="4589BFA5"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Žiurkių jaunikliams girdant </w:t>
      </w:r>
      <w:proofErr w:type="spellStart"/>
      <w:r w:rsidRPr="00633873">
        <w:rPr>
          <w:rFonts w:ascii="Times New Roman" w:eastAsia="Times New Roman" w:hAnsi="Times New Roman" w:cs="Times New Roman"/>
          <w:snapToGrid w:val="0"/>
          <w:szCs w:val="24"/>
        </w:rPr>
        <w:t>ambrisentaną</w:t>
      </w:r>
      <w:proofErr w:type="spellEnd"/>
      <w:r w:rsidRPr="00633873">
        <w:rPr>
          <w:rFonts w:ascii="Times New Roman" w:eastAsia="Times New Roman" w:hAnsi="Times New Roman" w:cs="Times New Roman"/>
          <w:snapToGrid w:val="0"/>
          <w:szCs w:val="24"/>
        </w:rPr>
        <w:t xml:space="preserve"> </w:t>
      </w:r>
      <w:r w:rsidR="00023EB0" w:rsidRPr="00633873">
        <w:rPr>
          <w:rFonts w:ascii="Times New Roman" w:eastAsia="Times New Roman" w:hAnsi="Times New Roman" w:cs="Times New Roman"/>
          <w:snapToGrid w:val="0"/>
          <w:szCs w:val="24"/>
        </w:rPr>
        <w:t xml:space="preserve">vieną </w:t>
      </w:r>
      <w:r w:rsidRPr="00633873">
        <w:rPr>
          <w:rFonts w:ascii="Times New Roman" w:eastAsia="Times New Roman" w:hAnsi="Times New Roman" w:cs="Times New Roman"/>
          <w:snapToGrid w:val="0"/>
          <w:szCs w:val="24"/>
        </w:rPr>
        <w:t>kartą per parą nuo 7 iki 26, 36 arba 62</w:t>
      </w:r>
      <w:r w:rsidR="00023EB0" w:rsidRPr="00633873">
        <w:rPr>
          <w:rFonts w:ascii="Times New Roman" w:eastAsia="Times New Roman" w:hAnsi="Times New Roman" w:cs="Times New Roman"/>
          <w:snapToGrid w:val="0"/>
          <w:szCs w:val="24"/>
        </w:rPr>
        <w:t> </w:t>
      </w:r>
      <w:r w:rsidR="00384699" w:rsidRPr="00633873">
        <w:rPr>
          <w:rFonts w:ascii="Times New Roman" w:eastAsia="Times New Roman" w:hAnsi="Times New Roman" w:cs="Times New Roman"/>
          <w:snapToGrid w:val="0"/>
          <w:szCs w:val="24"/>
        </w:rPr>
        <w:t>paros</w:t>
      </w:r>
      <w:r w:rsidRPr="00633873">
        <w:rPr>
          <w:rFonts w:ascii="Times New Roman" w:eastAsia="Times New Roman" w:hAnsi="Times New Roman" w:cs="Times New Roman"/>
          <w:snapToGrid w:val="0"/>
          <w:szCs w:val="24"/>
        </w:rPr>
        <w:t xml:space="preserve"> po atsivedimo</w:t>
      </w:r>
      <w:r w:rsidR="003725E0">
        <w:rPr>
          <w:rFonts w:ascii="Times New Roman" w:eastAsia="Times New Roman" w:hAnsi="Times New Roman" w:cs="Times New Roman"/>
          <w:snapToGrid w:val="0"/>
          <w:szCs w:val="24"/>
        </w:rPr>
        <w:t xml:space="preserve"> (tai atitinka nuo naujagimių iki vėlyvosios paauglystės)</w:t>
      </w:r>
      <w:r w:rsidRPr="00633873">
        <w:rPr>
          <w:rFonts w:ascii="Times New Roman" w:eastAsia="Times New Roman" w:hAnsi="Times New Roman" w:cs="Times New Roman"/>
          <w:snapToGrid w:val="0"/>
          <w:szCs w:val="24"/>
        </w:rPr>
        <w:t xml:space="preserve">, buvo pastebėtas galvos smegenų masės sumažėjimas (nuo -3 % iki -8 %) be morfologinių arba neurologinio elgesio pokyčių, nepaisant pasireiškusių garsaus kvėpavimo, </w:t>
      </w:r>
      <w:proofErr w:type="spellStart"/>
      <w:r w:rsidRPr="00633873">
        <w:rPr>
          <w:rFonts w:ascii="Times New Roman" w:eastAsia="Times New Roman" w:hAnsi="Times New Roman" w:cs="Times New Roman"/>
          <w:snapToGrid w:val="0"/>
          <w:szCs w:val="24"/>
        </w:rPr>
        <w:t>apnėjos</w:t>
      </w:r>
      <w:proofErr w:type="spellEnd"/>
      <w:r w:rsidRPr="00633873">
        <w:rPr>
          <w:rFonts w:ascii="Times New Roman" w:eastAsia="Times New Roman" w:hAnsi="Times New Roman" w:cs="Times New Roman"/>
          <w:snapToGrid w:val="0"/>
          <w:szCs w:val="24"/>
        </w:rPr>
        <w:t xml:space="preserve"> ir hipoksijos. Toks poveikis pasireiškė, kai </w:t>
      </w:r>
      <w:r w:rsidR="003725E0" w:rsidRPr="00904BE7">
        <w:rPr>
          <w:rFonts w:ascii="Times New Roman" w:eastAsia="Times New Roman" w:hAnsi="Times New Roman" w:cs="Times New Roman"/>
          <w:i/>
          <w:iCs/>
          <w:snapToGrid w:val="0"/>
          <w:szCs w:val="24"/>
        </w:rPr>
        <w:t>AUC</w:t>
      </w:r>
      <w:r w:rsidR="003725E0">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buvo maždaug nuo 1,8 karto iki 7 kartų didesnė už ekspoziciją 10 mg dozę vartojančių vaikų</w:t>
      </w:r>
      <w:r w:rsidR="003725E0">
        <w:rPr>
          <w:rFonts w:ascii="Times New Roman" w:eastAsia="Times New Roman" w:hAnsi="Times New Roman" w:cs="Times New Roman"/>
          <w:snapToGrid w:val="0"/>
          <w:szCs w:val="24"/>
        </w:rPr>
        <w:t xml:space="preserve"> populiacijos pacientų</w:t>
      </w:r>
      <w:r w:rsidRPr="00633873">
        <w:rPr>
          <w:rFonts w:ascii="Times New Roman" w:eastAsia="Times New Roman" w:hAnsi="Times New Roman" w:cs="Times New Roman"/>
          <w:snapToGrid w:val="0"/>
          <w:szCs w:val="24"/>
        </w:rPr>
        <w:t xml:space="preserve"> organizme</w:t>
      </w:r>
      <w:r w:rsidR="00023EB0" w:rsidRPr="00633873">
        <w:rPr>
          <w:rFonts w:ascii="Times New Roman" w:eastAsia="Times New Roman" w:hAnsi="Times New Roman" w:cs="Times New Roman"/>
          <w:snapToGrid w:val="0"/>
          <w:szCs w:val="24"/>
        </w:rPr>
        <w:t>.</w:t>
      </w:r>
      <w:r w:rsidR="003725E0">
        <w:rPr>
          <w:rFonts w:ascii="Times New Roman" w:eastAsia="Times New Roman" w:hAnsi="Times New Roman" w:cs="Times New Roman"/>
          <w:snapToGrid w:val="0"/>
          <w:szCs w:val="24"/>
        </w:rPr>
        <w:t xml:space="preserve"> Kito tyrimo metu </w:t>
      </w:r>
      <w:proofErr w:type="spellStart"/>
      <w:r w:rsidR="003725E0">
        <w:rPr>
          <w:rFonts w:ascii="Times New Roman" w:eastAsia="Times New Roman" w:hAnsi="Times New Roman" w:cs="Times New Roman"/>
          <w:snapToGrid w:val="0"/>
          <w:szCs w:val="24"/>
        </w:rPr>
        <w:t>ambrisentano</w:t>
      </w:r>
      <w:proofErr w:type="spellEnd"/>
      <w:r w:rsidR="003725E0">
        <w:rPr>
          <w:rFonts w:ascii="Times New Roman" w:eastAsia="Times New Roman" w:hAnsi="Times New Roman" w:cs="Times New Roman"/>
          <w:snapToGrid w:val="0"/>
          <w:szCs w:val="24"/>
        </w:rPr>
        <w:t xml:space="preserve"> skiriant 5 savaičių žiurkėms (maždaug atitinka 8</w:t>
      </w:r>
      <w:r w:rsidR="00904BE7">
        <w:rPr>
          <w:rFonts w:ascii="Times New Roman" w:eastAsia="Times New Roman" w:hAnsi="Times New Roman" w:cs="Times New Roman"/>
          <w:snapToGrid w:val="0"/>
          <w:szCs w:val="24"/>
        </w:rPr>
        <w:t> </w:t>
      </w:r>
      <w:r w:rsidR="003725E0">
        <w:rPr>
          <w:rFonts w:ascii="Times New Roman" w:eastAsia="Times New Roman" w:hAnsi="Times New Roman" w:cs="Times New Roman"/>
          <w:snapToGrid w:val="0"/>
          <w:szCs w:val="24"/>
        </w:rPr>
        <w:t xml:space="preserve">metų žmones), smegenų tūrio sumažėjimas stebėtas tik skiriant labai dideles dozes ir tik patinams. </w:t>
      </w:r>
      <w:r w:rsidR="00904BE7">
        <w:rPr>
          <w:rFonts w:ascii="Times New Roman" w:eastAsia="Times New Roman" w:hAnsi="Times New Roman" w:cs="Times New Roman"/>
          <w:snapToGrid w:val="0"/>
          <w:szCs w:val="24"/>
        </w:rPr>
        <w:t xml:space="preserve">Turimi </w:t>
      </w:r>
      <w:proofErr w:type="spellStart"/>
      <w:r w:rsidR="00904BE7">
        <w:rPr>
          <w:rFonts w:ascii="Times New Roman" w:eastAsia="Times New Roman" w:hAnsi="Times New Roman" w:cs="Times New Roman"/>
          <w:snapToGrid w:val="0"/>
          <w:szCs w:val="24"/>
        </w:rPr>
        <w:t>ikiklinikiniai</w:t>
      </w:r>
      <w:proofErr w:type="spellEnd"/>
      <w:r w:rsidR="00904BE7">
        <w:rPr>
          <w:rFonts w:ascii="Times New Roman" w:eastAsia="Times New Roman" w:hAnsi="Times New Roman" w:cs="Times New Roman"/>
          <w:snapToGrid w:val="0"/>
          <w:szCs w:val="24"/>
        </w:rPr>
        <w:t xml:space="preserve"> duomenys neleidžia įvertinti klinikinės šio reiškinio reikšmės jaunesniems kaip 8 metų vaikams.</w:t>
      </w:r>
    </w:p>
    <w:p w14:paraId="42BD373C"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6FFCC020"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4E6388D4"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lastRenderedPageBreak/>
        <w:t>6.</w:t>
      </w:r>
      <w:r w:rsidRPr="00633873">
        <w:rPr>
          <w:rFonts w:ascii="Times New Roman" w:eastAsia="Times New Roman" w:hAnsi="Times New Roman" w:cs="Times New Roman"/>
          <w:b/>
          <w:bCs/>
        </w:rPr>
        <w:tab/>
        <w:t>FARMACINĖ INFORMACIJA</w:t>
      </w:r>
    </w:p>
    <w:p w14:paraId="5B851AEF"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1C672E93"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6.1</w:t>
      </w:r>
      <w:r w:rsidRPr="00633873">
        <w:rPr>
          <w:rFonts w:ascii="Times New Roman" w:eastAsia="Times New Roman" w:hAnsi="Times New Roman" w:cs="Times New Roman"/>
          <w:b/>
          <w:kern w:val="28"/>
        </w:rPr>
        <w:tab/>
        <w:t>Pagalbinių medžiagų sąrašas</w:t>
      </w:r>
    </w:p>
    <w:p w14:paraId="3D727885"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6B866C37" w14:textId="5B6B2B34" w:rsidR="00A35A18" w:rsidRDefault="00A35A18" w:rsidP="00A35A18">
      <w:pPr>
        <w:spacing w:after="0" w:line="240" w:lineRule="auto"/>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Tabletės branduolys</w:t>
      </w:r>
      <w:r w:rsidR="00D413D6" w:rsidRPr="00633873">
        <w:rPr>
          <w:rFonts w:ascii="Times New Roman" w:eastAsia="Times New Roman" w:hAnsi="Times New Roman" w:cs="Times New Roman"/>
          <w:snapToGrid w:val="0"/>
          <w:szCs w:val="24"/>
          <w:u w:val="single"/>
        </w:rPr>
        <w:t>:</w:t>
      </w:r>
    </w:p>
    <w:p w14:paraId="39653EC9" w14:textId="77777777" w:rsidR="00B53A9F" w:rsidRPr="00633873" w:rsidRDefault="00B53A9F" w:rsidP="00A35A18">
      <w:pPr>
        <w:spacing w:after="0" w:line="240" w:lineRule="auto"/>
        <w:rPr>
          <w:rFonts w:ascii="Times New Roman" w:eastAsia="Times New Roman" w:hAnsi="Times New Roman" w:cs="Times New Roman"/>
          <w:snapToGrid w:val="0"/>
          <w:szCs w:val="24"/>
          <w:u w:val="single"/>
        </w:rPr>
      </w:pPr>
    </w:p>
    <w:p w14:paraId="1EF27B62" w14:textId="77777777" w:rsidR="00A35A18" w:rsidRPr="00633873" w:rsidRDefault="00A35A18" w:rsidP="00A35A18">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Mikrokristalinė</w:t>
      </w:r>
      <w:proofErr w:type="spellEnd"/>
      <w:r w:rsidRPr="00633873">
        <w:rPr>
          <w:rFonts w:ascii="Times New Roman" w:eastAsia="Times New Roman" w:hAnsi="Times New Roman" w:cs="Times New Roman"/>
          <w:snapToGrid w:val="0"/>
          <w:szCs w:val="24"/>
        </w:rPr>
        <w:t xml:space="preserve"> celiuliozė (E460)</w:t>
      </w:r>
    </w:p>
    <w:p w14:paraId="57742CC0"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Laktozė </w:t>
      </w:r>
      <w:proofErr w:type="spellStart"/>
      <w:r w:rsidRPr="00633873">
        <w:rPr>
          <w:rFonts w:ascii="Times New Roman" w:eastAsia="Times New Roman" w:hAnsi="Times New Roman" w:cs="Times New Roman"/>
          <w:snapToGrid w:val="0"/>
          <w:szCs w:val="24"/>
        </w:rPr>
        <w:t>monohidratas</w:t>
      </w:r>
      <w:proofErr w:type="spellEnd"/>
    </w:p>
    <w:p w14:paraId="1EE5ACE6" w14:textId="77777777" w:rsidR="00A35A18" w:rsidRPr="00633873" w:rsidRDefault="00A35A18" w:rsidP="00A35A18">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Kroskarmeliozės</w:t>
      </w:r>
      <w:proofErr w:type="spellEnd"/>
      <w:r w:rsidRPr="00633873">
        <w:rPr>
          <w:rFonts w:ascii="Times New Roman" w:eastAsia="Times New Roman" w:hAnsi="Times New Roman" w:cs="Times New Roman"/>
          <w:snapToGrid w:val="0"/>
          <w:szCs w:val="24"/>
        </w:rPr>
        <w:t xml:space="preserve"> natrio druska (E468)</w:t>
      </w:r>
    </w:p>
    <w:p w14:paraId="6C26C3A7"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Magnio </w:t>
      </w:r>
      <w:proofErr w:type="spellStart"/>
      <w:r w:rsidRPr="00633873">
        <w:rPr>
          <w:rFonts w:ascii="Times New Roman" w:eastAsia="Times New Roman" w:hAnsi="Times New Roman" w:cs="Times New Roman"/>
          <w:snapToGrid w:val="0"/>
          <w:szCs w:val="24"/>
        </w:rPr>
        <w:t>stearatas</w:t>
      </w:r>
      <w:proofErr w:type="spellEnd"/>
      <w:r w:rsidRPr="00633873">
        <w:rPr>
          <w:rFonts w:ascii="Times New Roman" w:eastAsia="Times New Roman" w:hAnsi="Times New Roman" w:cs="Times New Roman"/>
          <w:snapToGrid w:val="0"/>
          <w:szCs w:val="24"/>
        </w:rPr>
        <w:t xml:space="preserve"> (E572)</w:t>
      </w:r>
    </w:p>
    <w:p w14:paraId="262CBE2D"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1D889C64" w14:textId="401C6798" w:rsidR="00A35A18" w:rsidRDefault="00D413D6" w:rsidP="00A35A18">
      <w:pPr>
        <w:spacing w:after="0" w:line="240" w:lineRule="auto"/>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Tabletės p</w:t>
      </w:r>
      <w:r w:rsidR="00A35A18" w:rsidRPr="00633873">
        <w:rPr>
          <w:rFonts w:ascii="Times New Roman" w:eastAsia="Times New Roman" w:hAnsi="Times New Roman" w:cs="Times New Roman"/>
          <w:snapToGrid w:val="0"/>
          <w:szCs w:val="24"/>
          <w:u w:val="single"/>
        </w:rPr>
        <w:t>lėvelė</w:t>
      </w:r>
      <w:r w:rsidRPr="00633873">
        <w:rPr>
          <w:rFonts w:ascii="Times New Roman" w:eastAsia="Times New Roman" w:hAnsi="Times New Roman" w:cs="Times New Roman"/>
          <w:snapToGrid w:val="0"/>
          <w:szCs w:val="24"/>
          <w:u w:val="single"/>
        </w:rPr>
        <w:t>:</w:t>
      </w:r>
    </w:p>
    <w:p w14:paraId="1CBEFE80" w14:textId="77777777" w:rsidR="00B53A9F" w:rsidRPr="00633873" w:rsidRDefault="00B53A9F" w:rsidP="00A35A18">
      <w:pPr>
        <w:spacing w:after="0" w:line="240" w:lineRule="auto"/>
        <w:rPr>
          <w:rFonts w:ascii="Times New Roman" w:eastAsia="Times New Roman" w:hAnsi="Times New Roman" w:cs="Times New Roman"/>
          <w:snapToGrid w:val="0"/>
          <w:szCs w:val="24"/>
          <w:u w:val="single"/>
        </w:rPr>
      </w:pPr>
    </w:p>
    <w:p w14:paraId="1CE46C37"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Polivinilo alkoholis (E1203)</w:t>
      </w:r>
    </w:p>
    <w:p w14:paraId="02184331"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Titano dioksidas (E171)</w:t>
      </w:r>
    </w:p>
    <w:p w14:paraId="77D64DAB" w14:textId="77777777" w:rsidR="00A35A18" w:rsidRPr="00633873" w:rsidRDefault="00A35A18" w:rsidP="00A35A18">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Makrogolis</w:t>
      </w:r>
      <w:proofErr w:type="spellEnd"/>
      <w:r w:rsidR="001A5517" w:rsidRPr="00633873">
        <w:rPr>
          <w:rFonts w:ascii="Times New Roman" w:eastAsia="Times New Roman" w:hAnsi="Times New Roman" w:cs="Times New Roman"/>
          <w:snapToGrid w:val="0"/>
          <w:szCs w:val="24"/>
        </w:rPr>
        <w:t xml:space="preserve"> MW 3350</w:t>
      </w:r>
      <w:r w:rsidRPr="00633873">
        <w:rPr>
          <w:rFonts w:ascii="Times New Roman" w:eastAsia="Times New Roman" w:hAnsi="Times New Roman" w:cs="Times New Roman"/>
          <w:snapToGrid w:val="0"/>
          <w:szCs w:val="24"/>
        </w:rPr>
        <w:t>/</w:t>
      </w:r>
      <w:proofErr w:type="spellStart"/>
      <w:r w:rsidRPr="00633873">
        <w:rPr>
          <w:rFonts w:ascii="Times New Roman" w:eastAsia="Times New Roman" w:hAnsi="Times New Roman" w:cs="Times New Roman"/>
          <w:snapToGrid w:val="0"/>
          <w:szCs w:val="24"/>
        </w:rPr>
        <w:t>polietilenglikolis</w:t>
      </w:r>
      <w:proofErr w:type="spellEnd"/>
      <w:r w:rsidRPr="00633873">
        <w:rPr>
          <w:rFonts w:ascii="Times New Roman" w:eastAsia="Times New Roman" w:hAnsi="Times New Roman" w:cs="Times New Roman"/>
          <w:snapToGrid w:val="0"/>
          <w:szCs w:val="24"/>
        </w:rPr>
        <w:t xml:space="preserve"> (E1521)</w:t>
      </w:r>
    </w:p>
    <w:p w14:paraId="736E9307"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Talkas (E553b)</w:t>
      </w:r>
    </w:p>
    <w:p w14:paraId="740B78B0" w14:textId="77777777" w:rsidR="00A35A18" w:rsidRPr="00633873" w:rsidRDefault="00A35A18" w:rsidP="00A35A18">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Alura</w:t>
      </w:r>
      <w:proofErr w:type="spellEnd"/>
      <w:r w:rsidRPr="00633873">
        <w:rPr>
          <w:rFonts w:ascii="Times New Roman" w:eastAsia="Times New Roman" w:hAnsi="Times New Roman" w:cs="Times New Roman"/>
          <w:snapToGrid w:val="0"/>
          <w:szCs w:val="24"/>
        </w:rPr>
        <w:t xml:space="preserve"> raudonasis AC (E129)</w:t>
      </w:r>
    </w:p>
    <w:p w14:paraId="7721EF98" w14:textId="77777777" w:rsidR="00A35A18" w:rsidRPr="00633873" w:rsidRDefault="00A35A18" w:rsidP="00A35A18">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Lecitinas</w:t>
      </w:r>
      <w:proofErr w:type="spellEnd"/>
      <w:r w:rsidRPr="00633873">
        <w:rPr>
          <w:rFonts w:ascii="Times New Roman" w:eastAsia="Times New Roman" w:hAnsi="Times New Roman" w:cs="Times New Roman"/>
          <w:snapToGrid w:val="0"/>
          <w:szCs w:val="24"/>
        </w:rPr>
        <w:t xml:space="preserve"> (sojų) (E322)</w:t>
      </w:r>
    </w:p>
    <w:p w14:paraId="6BF19D91"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2F36AD8D"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6.2</w:t>
      </w:r>
      <w:r w:rsidRPr="00633873">
        <w:rPr>
          <w:rFonts w:ascii="Times New Roman" w:eastAsia="Times New Roman" w:hAnsi="Times New Roman" w:cs="Times New Roman"/>
          <w:b/>
          <w:kern w:val="28"/>
        </w:rPr>
        <w:tab/>
        <w:t>Nesuderinamumas</w:t>
      </w:r>
    </w:p>
    <w:p w14:paraId="5FACC706"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025C11FE"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Duomenys nebūtini.</w:t>
      </w:r>
    </w:p>
    <w:p w14:paraId="212AE477"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058B5CA3"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6.3</w:t>
      </w:r>
      <w:r w:rsidRPr="00633873">
        <w:rPr>
          <w:rFonts w:ascii="Times New Roman" w:eastAsia="Times New Roman" w:hAnsi="Times New Roman" w:cs="Times New Roman"/>
          <w:b/>
          <w:kern w:val="28"/>
        </w:rPr>
        <w:tab/>
        <w:t>Tinkamumo laikas</w:t>
      </w:r>
    </w:p>
    <w:p w14:paraId="4E6D948F"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5CE90664" w14:textId="17A55431" w:rsidR="00A35A18" w:rsidRPr="00633873" w:rsidRDefault="007B0EAB" w:rsidP="00A35A18">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5</w:t>
      </w:r>
      <w:r w:rsidR="001A5517" w:rsidRPr="00633873">
        <w:rPr>
          <w:rFonts w:ascii="Times New Roman" w:eastAsia="Times New Roman" w:hAnsi="Times New Roman" w:cs="Times New Roman"/>
          <w:snapToGrid w:val="0"/>
          <w:szCs w:val="24"/>
        </w:rPr>
        <w:t> metai.</w:t>
      </w:r>
    </w:p>
    <w:p w14:paraId="72A71F5D" w14:textId="77777777" w:rsidR="001A5517" w:rsidRPr="00633873" w:rsidRDefault="001A5517" w:rsidP="00A35A18">
      <w:pPr>
        <w:spacing w:after="0" w:line="240" w:lineRule="auto"/>
        <w:rPr>
          <w:rFonts w:ascii="Times New Roman" w:eastAsia="Times New Roman" w:hAnsi="Times New Roman" w:cs="Times New Roman"/>
          <w:snapToGrid w:val="0"/>
          <w:szCs w:val="24"/>
        </w:rPr>
      </w:pPr>
    </w:p>
    <w:p w14:paraId="106B285A"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6.4</w:t>
      </w:r>
      <w:r w:rsidRPr="00633873">
        <w:rPr>
          <w:rFonts w:ascii="Times New Roman" w:eastAsia="Times New Roman" w:hAnsi="Times New Roman" w:cs="Times New Roman"/>
          <w:b/>
          <w:kern w:val="28"/>
        </w:rPr>
        <w:tab/>
        <w:t>Specialios laikymo sąlygos</w:t>
      </w:r>
    </w:p>
    <w:p w14:paraId="79F7B805"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2F5B81EB" w14:textId="77777777" w:rsidR="001A5517" w:rsidRPr="00633873" w:rsidRDefault="001A5517" w:rsidP="001A5517">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Baltos PVC/PVDC/aliuminio lizdinės plokštelės</w:t>
      </w:r>
    </w:p>
    <w:p w14:paraId="6493CFA3" w14:textId="77777777" w:rsidR="000E04F1" w:rsidRPr="00633873" w:rsidRDefault="000E04F1" w:rsidP="000E04F1">
      <w:pPr>
        <w:spacing w:after="0" w:line="240" w:lineRule="auto"/>
        <w:rPr>
          <w:rFonts w:ascii="Times New Roman" w:eastAsia="Times New Roman" w:hAnsi="Times New Roman" w:cs="Times New Roman"/>
          <w:snapToGrid w:val="0"/>
          <w:color w:val="0D0D0D"/>
          <w:szCs w:val="24"/>
        </w:rPr>
      </w:pPr>
      <w:r w:rsidRPr="00633873">
        <w:rPr>
          <w:rFonts w:ascii="Times New Roman" w:eastAsia="Times New Roman" w:hAnsi="Times New Roman" w:cs="Times New Roman"/>
          <w:snapToGrid w:val="0"/>
          <w:color w:val="0D0D0D"/>
          <w:szCs w:val="24"/>
        </w:rPr>
        <w:t>Šio vaistinio preparato laikymui specialių temperatūros sąlygų nereikalaujama. Laikyti gamintojo lizdinėje plokštelėje, kad vaistinis preparatas būtų apsaugotas nuo šviesos.</w:t>
      </w:r>
    </w:p>
    <w:p w14:paraId="1591940F" w14:textId="77777777" w:rsidR="001A5517" w:rsidRPr="00633873" w:rsidRDefault="001A5517" w:rsidP="001A5517">
      <w:pPr>
        <w:spacing w:after="0" w:line="240" w:lineRule="auto"/>
        <w:rPr>
          <w:rFonts w:ascii="Times New Roman" w:eastAsia="Times New Roman" w:hAnsi="Times New Roman" w:cs="Times New Roman"/>
          <w:snapToGrid w:val="0"/>
          <w:szCs w:val="24"/>
        </w:rPr>
      </w:pPr>
    </w:p>
    <w:p w14:paraId="0CE9AFE3" w14:textId="77777777" w:rsidR="001A5517" w:rsidRPr="00633873" w:rsidRDefault="001A5517" w:rsidP="001A5517">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Permatomos PVC/PE/PVDC/aliuminio lizdinės plokštelės</w:t>
      </w:r>
    </w:p>
    <w:p w14:paraId="7C0D3FEC" w14:textId="77777777" w:rsidR="00A35A18" w:rsidRPr="00633873" w:rsidRDefault="00A35A18" w:rsidP="00A35A18">
      <w:pPr>
        <w:spacing w:after="0" w:line="240" w:lineRule="auto"/>
        <w:rPr>
          <w:rFonts w:ascii="Times New Roman" w:eastAsia="Times New Roman" w:hAnsi="Times New Roman" w:cs="Times New Roman"/>
          <w:snapToGrid w:val="0"/>
          <w:color w:val="0D0D0D"/>
          <w:szCs w:val="24"/>
        </w:rPr>
      </w:pPr>
      <w:r w:rsidRPr="00633873">
        <w:rPr>
          <w:rFonts w:ascii="Times New Roman" w:eastAsia="Times New Roman" w:hAnsi="Times New Roman" w:cs="Times New Roman"/>
          <w:snapToGrid w:val="0"/>
          <w:color w:val="0D0D0D"/>
          <w:szCs w:val="24"/>
        </w:rPr>
        <w:t xml:space="preserve">Šio vaistinio preparato laikymui specialių temperatūros sąlygų nereikalaujama. </w:t>
      </w:r>
      <w:r w:rsidR="000E04F1" w:rsidRPr="00633873">
        <w:rPr>
          <w:rFonts w:ascii="Times New Roman" w:eastAsia="Times New Roman" w:hAnsi="Times New Roman" w:cs="Times New Roman"/>
          <w:snapToGrid w:val="0"/>
          <w:color w:val="0D0D0D"/>
          <w:szCs w:val="24"/>
        </w:rPr>
        <w:t xml:space="preserve">Laikyti gamintojo </w:t>
      </w:r>
      <w:r w:rsidR="00891F10" w:rsidRPr="00633873">
        <w:rPr>
          <w:rFonts w:ascii="Times New Roman" w:eastAsia="Times New Roman" w:hAnsi="Times New Roman" w:cs="Times New Roman"/>
          <w:snapToGrid w:val="0"/>
          <w:color w:val="0D0D0D"/>
          <w:szCs w:val="24"/>
        </w:rPr>
        <w:t>pakuotėje</w:t>
      </w:r>
      <w:r w:rsidR="000E04F1" w:rsidRPr="00633873">
        <w:rPr>
          <w:rFonts w:ascii="Times New Roman" w:eastAsia="Times New Roman" w:hAnsi="Times New Roman" w:cs="Times New Roman"/>
          <w:snapToGrid w:val="0"/>
          <w:color w:val="0D0D0D"/>
          <w:szCs w:val="24"/>
        </w:rPr>
        <w:t>, kad vaistinis preparatas būtų apsaugotas nuo šviesos.</w:t>
      </w:r>
    </w:p>
    <w:p w14:paraId="235A443C"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58F8833E"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r w:rsidRPr="00633873">
        <w:rPr>
          <w:rFonts w:ascii="Times New Roman" w:eastAsia="Times New Roman" w:hAnsi="Times New Roman" w:cs="Times New Roman"/>
          <w:b/>
          <w:kern w:val="28"/>
        </w:rPr>
        <w:t>6.5</w:t>
      </w:r>
      <w:r w:rsidRPr="00633873">
        <w:rPr>
          <w:rFonts w:ascii="Times New Roman" w:eastAsia="Times New Roman" w:hAnsi="Times New Roman" w:cs="Times New Roman"/>
          <w:b/>
          <w:kern w:val="28"/>
        </w:rPr>
        <w:tab/>
      </w:r>
      <w:proofErr w:type="spellStart"/>
      <w:r w:rsidRPr="00633873">
        <w:rPr>
          <w:rFonts w:ascii="Times New Roman" w:eastAsia="Times New Roman" w:hAnsi="Times New Roman" w:cs="Times New Roman"/>
          <w:b/>
          <w:kern w:val="28"/>
        </w:rPr>
        <w:t>Talpyklės</w:t>
      </w:r>
      <w:proofErr w:type="spellEnd"/>
      <w:r w:rsidRPr="00633873">
        <w:rPr>
          <w:rFonts w:ascii="Times New Roman" w:eastAsia="Times New Roman" w:hAnsi="Times New Roman" w:cs="Times New Roman"/>
          <w:b/>
          <w:kern w:val="28"/>
        </w:rPr>
        <w:t xml:space="preserve"> pobūdis ir jos turinys</w:t>
      </w:r>
    </w:p>
    <w:p w14:paraId="50CFCC5F"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4EE03319"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Baltos PVC/PVDC/aliuminio lizdinės plokštelės ir </w:t>
      </w:r>
      <w:r w:rsidR="00385307" w:rsidRPr="00633873">
        <w:rPr>
          <w:rFonts w:ascii="Times New Roman" w:eastAsia="Times New Roman" w:hAnsi="Times New Roman" w:cs="Times New Roman"/>
          <w:snapToGrid w:val="0"/>
          <w:szCs w:val="24"/>
        </w:rPr>
        <w:t xml:space="preserve">(arba) </w:t>
      </w:r>
      <w:r w:rsidRPr="00633873">
        <w:rPr>
          <w:rFonts w:ascii="Times New Roman" w:eastAsia="Times New Roman" w:hAnsi="Times New Roman" w:cs="Times New Roman"/>
          <w:snapToGrid w:val="0"/>
          <w:szCs w:val="24"/>
        </w:rPr>
        <w:t>permatomos PVC/PE/PVDC/aliuminio lizdinės plokštelės.</w:t>
      </w:r>
    </w:p>
    <w:p w14:paraId="0A153714"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6AEEAA71" w14:textId="28D6E044"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Pakuotės</w:t>
      </w:r>
      <w:r w:rsidR="00EA4620" w:rsidRPr="00633873">
        <w:rPr>
          <w:rFonts w:ascii="Times New Roman" w:eastAsia="Times New Roman" w:hAnsi="Times New Roman" w:cs="Times New Roman"/>
          <w:snapToGrid w:val="0"/>
          <w:szCs w:val="24"/>
        </w:rPr>
        <w:t xml:space="preserve"> dydis: kartono dėžutėje </w:t>
      </w:r>
      <w:r w:rsidRPr="00633873">
        <w:rPr>
          <w:rFonts w:ascii="Times New Roman" w:eastAsia="Times New Roman" w:hAnsi="Times New Roman" w:cs="Times New Roman"/>
          <w:snapToGrid w:val="0"/>
          <w:szCs w:val="24"/>
        </w:rPr>
        <w:t xml:space="preserve">yra </w:t>
      </w:r>
      <w:r w:rsidRPr="00483E68">
        <w:rPr>
          <w:rFonts w:ascii="Times New Roman" w:hAnsi="Times New Roman"/>
        </w:rPr>
        <w:t>10</w:t>
      </w:r>
      <w:r w:rsidR="00176502">
        <w:rPr>
          <w:rFonts w:ascii="Times New Roman" w:eastAsia="Times New Roman" w:hAnsi="Times New Roman" w:cs="Times New Roman"/>
          <w:snapToGrid w:val="0"/>
          <w:szCs w:val="24"/>
        </w:rPr>
        <w:t>,</w:t>
      </w:r>
      <w:r w:rsidRPr="006E25DF">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30</w:t>
      </w:r>
      <w:r w:rsidR="00176502" w:rsidRPr="00483E68">
        <w:rPr>
          <w:rFonts w:ascii="Times New Roman" w:hAnsi="Times New Roman"/>
        </w:rPr>
        <w:t xml:space="preserve"> arba</w:t>
      </w:r>
      <w:r w:rsidR="00176502">
        <w:rPr>
          <w:rFonts w:ascii="Times New Roman" w:eastAsia="Times New Roman" w:hAnsi="Times New Roman" w:cs="Times New Roman"/>
          <w:snapToGrid w:val="0"/>
          <w:szCs w:val="24"/>
        </w:rPr>
        <w:t xml:space="preserve"> </w:t>
      </w:r>
      <w:r w:rsidR="00176502" w:rsidRPr="006E25DF">
        <w:rPr>
          <w:rFonts w:ascii="Times New Roman" w:eastAsia="Times New Roman" w:hAnsi="Times New Roman" w:cs="Times New Roman"/>
          <w:snapToGrid w:val="0"/>
          <w:szCs w:val="24"/>
        </w:rPr>
        <w:t>60</w:t>
      </w:r>
      <w:r w:rsidRPr="00633873">
        <w:rPr>
          <w:rFonts w:ascii="Times New Roman" w:eastAsia="Times New Roman" w:hAnsi="Times New Roman" w:cs="Times New Roman"/>
          <w:snapToGrid w:val="0"/>
          <w:szCs w:val="24"/>
        </w:rPr>
        <w:t xml:space="preserve"> plėvele dengtų tablečių arba </w:t>
      </w:r>
      <w:proofErr w:type="spellStart"/>
      <w:r w:rsidRPr="00633873">
        <w:rPr>
          <w:rFonts w:ascii="Times New Roman" w:eastAsia="Times New Roman" w:hAnsi="Times New Roman" w:cs="Times New Roman"/>
          <w:snapToGrid w:val="0"/>
          <w:szCs w:val="24"/>
        </w:rPr>
        <w:t>dalomosios</w:t>
      </w:r>
      <w:proofErr w:type="spellEnd"/>
      <w:r w:rsidRPr="00633873">
        <w:rPr>
          <w:rFonts w:ascii="Times New Roman" w:eastAsia="Times New Roman" w:hAnsi="Times New Roman" w:cs="Times New Roman"/>
          <w:snapToGrid w:val="0"/>
          <w:szCs w:val="24"/>
        </w:rPr>
        <w:t xml:space="preserve"> lizdinės plokštelės po </w:t>
      </w:r>
      <w:r w:rsidRPr="00483E68">
        <w:rPr>
          <w:rFonts w:ascii="Times New Roman" w:hAnsi="Times New Roman"/>
        </w:rPr>
        <w:t>10 </w:t>
      </w:r>
      <w:r w:rsidR="00904BE7" w:rsidRPr="00176502">
        <w:rPr>
          <w:rFonts w:ascii="Times New Roman" w:eastAsia="Times New Roman" w:hAnsi="Times New Roman" w:cs="Times New Roman"/>
          <w:snapToGrid w:val="0"/>
        </w:rPr>
        <w:t>×</w:t>
      </w:r>
      <w:r w:rsidRPr="00483E68">
        <w:rPr>
          <w:rFonts w:ascii="Times New Roman" w:hAnsi="Times New Roman"/>
        </w:rPr>
        <w:t> 1</w:t>
      </w:r>
      <w:r w:rsidR="00176502">
        <w:rPr>
          <w:rFonts w:ascii="Times New Roman" w:eastAsia="Times New Roman" w:hAnsi="Times New Roman" w:cs="Times New Roman"/>
          <w:snapToGrid w:val="0"/>
          <w:szCs w:val="24"/>
        </w:rPr>
        <w:t>,</w:t>
      </w:r>
      <w:r w:rsidRPr="006E25DF">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snapToGrid w:val="0"/>
          <w:szCs w:val="24"/>
        </w:rPr>
        <w:t>30 </w:t>
      </w:r>
      <w:r w:rsidR="00904BE7" w:rsidRPr="00904BE7">
        <w:rPr>
          <w:rFonts w:ascii="Times New Roman" w:eastAsia="Times New Roman" w:hAnsi="Times New Roman" w:cs="Times New Roman"/>
          <w:snapToGrid w:val="0"/>
        </w:rPr>
        <w:t>×</w:t>
      </w:r>
      <w:r w:rsidRPr="00633873">
        <w:rPr>
          <w:rFonts w:ascii="Times New Roman" w:eastAsia="Times New Roman" w:hAnsi="Times New Roman" w:cs="Times New Roman"/>
          <w:snapToGrid w:val="0"/>
          <w:szCs w:val="24"/>
        </w:rPr>
        <w:t> 1</w:t>
      </w:r>
      <w:r w:rsidR="00176502" w:rsidRPr="00483E68">
        <w:rPr>
          <w:rFonts w:ascii="Times New Roman" w:hAnsi="Times New Roman"/>
        </w:rPr>
        <w:t xml:space="preserve"> arba</w:t>
      </w:r>
      <w:r w:rsidR="00176502">
        <w:rPr>
          <w:rFonts w:ascii="Times New Roman" w:eastAsia="Times New Roman" w:hAnsi="Times New Roman" w:cs="Times New Roman"/>
          <w:snapToGrid w:val="0"/>
          <w:szCs w:val="24"/>
        </w:rPr>
        <w:t xml:space="preserve"> 6</w:t>
      </w:r>
      <w:r w:rsidR="00176502" w:rsidRPr="00633873">
        <w:rPr>
          <w:rFonts w:ascii="Times New Roman" w:eastAsia="Times New Roman" w:hAnsi="Times New Roman" w:cs="Times New Roman"/>
          <w:snapToGrid w:val="0"/>
          <w:szCs w:val="24"/>
        </w:rPr>
        <w:t>0 </w:t>
      </w:r>
      <w:r w:rsidR="00176502" w:rsidRPr="00904BE7">
        <w:rPr>
          <w:rFonts w:ascii="Times New Roman" w:eastAsia="Times New Roman" w:hAnsi="Times New Roman" w:cs="Times New Roman"/>
          <w:snapToGrid w:val="0"/>
        </w:rPr>
        <w:t>×</w:t>
      </w:r>
      <w:r w:rsidR="00176502" w:rsidRPr="00633873">
        <w:rPr>
          <w:rFonts w:ascii="Times New Roman" w:eastAsia="Times New Roman" w:hAnsi="Times New Roman" w:cs="Times New Roman"/>
          <w:snapToGrid w:val="0"/>
          <w:szCs w:val="24"/>
        </w:rPr>
        <w:t> 1</w:t>
      </w:r>
      <w:r w:rsidRPr="00633873">
        <w:rPr>
          <w:rFonts w:ascii="Times New Roman" w:eastAsia="Times New Roman" w:hAnsi="Times New Roman" w:cs="Times New Roman"/>
          <w:snapToGrid w:val="0"/>
          <w:szCs w:val="24"/>
        </w:rPr>
        <w:t xml:space="preserve"> plėvele dengtą tabletę.</w:t>
      </w:r>
    </w:p>
    <w:p w14:paraId="610DA962"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64280A03" w14:textId="77777777" w:rsidR="00A35A18" w:rsidRPr="00633873"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Gali būti tiekiamos ne visų dydžių pakuotės.</w:t>
      </w:r>
    </w:p>
    <w:p w14:paraId="6F150721"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14BF685D" w14:textId="77777777" w:rsidR="00A35A18" w:rsidRPr="00633873" w:rsidRDefault="00A35A18" w:rsidP="00A35A18">
      <w:pPr>
        <w:widowControl w:val="0"/>
        <w:tabs>
          <w:tab w:val="left" w:pos="567"/>
        </w:tabs>
        <w:spacing w:after="0" w:line="240" w:lineRule="auto"/>
        <w:ind w:left="567" w:hanging="567"/>
        <w:outlineLvl w:val="2"/>
        <w:rPr>
          <w:rFonts w:ascii="Times New Roman" w:eastAsia="Times New Roman" w:hAnsi="Times New Roman" w:cs="Times New Roman"/>
          <w:b/>
          <w:kern w:val="28"/>
        </w:rPr>
      </w:pPr>
      <w:bookmarkStart w:id="2" w:name="OLE_LINK1"/>
      <w:r w:rsidRPr="00633873">
        <w:rPr>
          <w:rFonts w:ascii="Times New Roman" w:eastAsia="Times New Roman" w:hAnsi="Times New Roman" w:cs="Times New Roman"/>
          <w:b/>
          <w:kern w:val="28"/>
        </w:rPr>
        <w:t>6.6</w:t>
      </w:r>
      <w:r w:rsidRPr="00633873">
        <w:rPr>
          <w:rFonts w:ascii="Times New Roman" w:eastAsia="Times New Roman" w:hAnsi="Times New Roman" w:cs="Times New Roman"/>
          <w:b/>
          <w:kern w:val="28"/>
        </w:rPr>
        <w:tab/>
        <w:t>Specialūs reikalavimai atliekoms tvarkyti</w:t>
      </w:r>
    </w:p>
    <w:bookmarkEnd w:id="2"/>
    <w:p w14:paraId="0E137681"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1BB5E79E" w14:textId="77777777" w:rsidR="00EA4620" w:rsidRPr="00633873" w:rsidRDefault="00EA4620" w:rsidP="00EA4620">
      <w:pPr>
        <w:widowControl w:val="0"/>
        <w:tabs>
          <w:tab w:val="left" w:pos="567"/>
        </w:tabs>
        <w:spacing w:after="0" w:line="240" w:lineRule="auto"/>
        <w:rPr>
          <w:rFonts w:ascii="Times New Roman" w:eastAsia="Times New Roman" w:hAnsi="Times New Roman" w:cs="Times New Roman"/>
          <w:szCs w:val="20"/>
          <w:lang w:eastAsia="lt-LT"/>
        </w:rPr>
      </w:pPr>
      <w:r w:rsidRPr="00633873">
        <w:rPr>
          <w:rFonts w:ascii="Times New Roman" w:eastAsia="Times New Roman" w:hAnsi="Times New Roman" w:cs="Times New Roman"/>
          <w:szCs w:val="20"/>
          <w:lang w:eastAsia="lt-LT"/>
        </w:rPr>
        <w:t>Nesuvartotą vaistinį preparatą ar atliekas reikia tvarkyti laikantis vietinių reikalavimų.</w:t>
      </w:r>
    </w:p>
    <w:p w14:paraId="2C834715"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434AAA53"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227506C0"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7.</w:t>
      </w:r>
      <w:r w:rsidRPr="00633873">
        <w:rPr>
          <w:rFonts w:ascii="Times New Roman" w:eastAsia="Times New Roman" w:hAnsi="Times New Roman" w:cs="Times New Roman"/>
          <w:b/>
          <w:bCs/>
        </w:rPr>
        <w:tab/>
        <w:t>REGISTRUOTOJAS</w:t>
      </w:r>
    </w:p>
    <w:p w14:paraId="7E90A9FF"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0ED688F6" w14:textId="77777777" w:rsidR="00942891" w:rsidRPr="00633873" w:rsidRDefault="00942891" w:rsidP="00942891">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k.s</w:t>
      </w:r>
      <w:proofErr w:type="spellEnd"/>
      <w:r w:rsidRPr="00633873">
        <w:rPr>
          <w:rFonts w:ascii="Times New Roman" w:eastAsia="Times New Roman" w:hAnsi="Times New Roman" w:cs="Times New Roman"/>
          <w:snapToGrid w:val="0"/>
          <w:szCs w:val="24"/>
        </w:rPr>
        <w:t>.</w:t>
      </w:r>
    </w:p>
    <w:p w14:paraId="5750F971"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U </w:t>
      </w:r>
      <w:proofErr w:type="spellStart"/>
      <w:r w:rsidRPr="00633873">
        <w:rPr>
          <w:rFonts w:ascii="Times New Roman" w:eastAsia="Times New Roman" w:hAnsi="Times New Roman" w:cs="Times New Roman"/>
          <w:snapToGrid w:val="0"/>
          <w:szCs w:val="24"/>
        </w:rPr>
        <w:t>kabelovny</w:t>
      </w:r>
      <w:proofErr w:type="spellEnd"/>
      <w:r w:rsidRPr="00633873">
        <w:rPr>
          <w:rFonts w:ascii="Times New Roman" w:eastAsia="Times New Roman" w:hAnsi="Times New Roman" w:cs="Times New Roman"/>
          <w:snapToGrid w:val="0"/>
          <w:szCs w:val="24"/>
        </w:rPr>
        <w:t xml:space="preserve"> 130</w:t>
      </w:r>
    </w:p>
    <w:p w14:paraId="587E471B" w14:textId="77777777" w:rsidR="00942891" w:rsidRPr="00633873" w:rsidRDefault="00942891" w:rsidP="00942891">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lastRenderedPageBreak/>
        <w:t>Dolni</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Mėcholupy</w:t>
      </w:r>
      <w:proofErr w:type="spellEnd"/>
    </w:p>
    <w:p w14:paraId="7F7AB597"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102 37 Praha 10</w:t>
      </w:r>
    </w:p>
    <w:p w14:paraId="21955971" w14:textId="77777777" w:rsidR="00A35A18"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Čekija</w:t>
      </w:r>
    </w:p>
    <w:p w14:paraId="799519FE" w14:textId="77777777" w:rsidR="00942891" w:rsidRPr="00633873" w:rsidRDefault="00942891" w:rsidP="00942891">
      <w:pPr>
        <w:spacing w:after="0" w:line="240" w:lineRule="auto"/>
        <w:rPr>
          <w:rFonts w:ascii="Times New Roman" w:eastAsia="Times New Roman" w:hAnsi="Times New Roman" w:cs="Times New Roman"/>
          <w:snapToGrid w:val="0"/>
          <w:szCs w:val="24"/>
        </w:rPr>
      </w:pPr>
    </w:p>
    <w:p w14:paraId="68130C39" w14:textId="77777777" w:rsidR="00942891" w:rsidRPr="00633873" w:rsidRDefault="00942891" w:rsidP="00942891">
      <w:pPr>
        <w:spacing w:after="0" w:line="240" w:lineRule="auto"/>
        <w:rPr>
          <w:rFonts w:ascii="Times New Roman" w:eastAsia="Times New Roman" w:hAnsi="Times New Roman" w:cs="Times New Roman"/>
          <w:snapToGrid w:val="0"/>
          <w:szCs w:val="24"/>
        </w:rPr>
      </w:pPr>
    </w:p>
    <w:p w14:paraId="3DC8D6BA"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8.</w:t>
      </w:r>
      <w:r w:rsidRPr="00633873">
        <w:rPr>
          <w:rFonts w:ascii="Times New Roman" w:eastAsia="Times New Roman" w:hAnsi="Times New Roman" w:cs="Times New Roman"/>
          <w:b/>
          <w:bCs/>
        </w:rPr>
        <w:tab/>
        <w:t xml:space="preserve">REGISTRACIJOS PAŽYMĖJIMO NUMERIS (-IAI) </w:t>
      </w:r>
    </w:p>
    <w:p w14:paraId="5CE26640" w14:textId="66F74832" w:rsidR="00A35A18" w:rsidRPr="00633873" w:rsidRDefault="00A35A18" w:rsidP="00A35A18">
      <w:pPr>
        <w:spacing w:after="0" w:line="240" w:lineRule="auto"/>
        <w:rPr>
          <w:rFonts w:ascii="Times New Roman" w:eastAsia="Times New Roman" w:hAnsi="Times New Roman" w:cs="Times New Roman"/>
          <w:snapToGrid w:val="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077EA" w:rsidRPr="00633873" w14:paraId="3ED0C189" w14:textId="77777777" w:rsidTr="002077EA">
        <w:tc>
          <w:tcPr>
            <w:tcW w:w="4530" w:type="dxa"/>
          </w:tcPr>
          <w:p w14:paraId="31E540AD" w14:textId="77777777" w:rsidR="002077EA" w:rsidRPr="00633873" w:rsidRDefault="002077EA" w:rsidP="00A35A18">
            <w:pPr>
              <w:rPr>
                <w:rFonts w:ascii="Times New Roman" w:eastAsia="Times New Roman" w:hAnsi="Times New Roman" w:cs="Times New Roman"/>
                <w:snapToGrid w:val="0"/>
                <w:sz w:val="22"/>
                <w:szCs w:val="22"/>
                <w:u w:val="single"/>
                <w:lang w:val="lt-LT"/>
              </w:rPr>
            </w:pPr>
            <w:r w:rsidRPr="00633873">
              <w:rPr>
                <w:rFonts w:ascii="Times New Roman" w:eastAsia="Times New Roman" w:hAnsi="Times New Roman" w:cs="Times New Roman"/>
                <w:snapToGrid w:val="0"/>
                <w:sz w:val="22"/>
                <w:szCs w:val="22"/>
                <w:u w:val="single"/>
                <w:lang w:val="lt-LT"/>
              </w:rPr>
              <w:t>5 mg</w:t>
            </w:r>
          </w:p>
          <w:p w14:paraId="1972E0DF" w14:textId="4A3365EC" w:rsidR="002077EA" w:rsidRPr="00633873" w:rsidRDefault="002077EA" w:rsidP="002077EA">
            <w:pPr>
              <w:rPr>
                <w:rFonts w:ascii="Times New Roman" w:eastAsia="Times New Roman" w:hAnsi="Times New Roman" w:cs="Times New Roman"/>
                <w:snapToGrid w:val="0"/>
                <w:sz w:val="22"/>
                <w:szCs w:val="22"/>
                <w:u w:val="single"/>
                <w:lang w:val="lt-LT"/>
              </w:rPr>
            </w:pPr>
            <w:r w:rsidRPr="00633873">
              <w:rPr>
                <w:rFonts w:ascii="Times New Roman" w:eastAsia="Times New Roman" w:hAnsi="Times New Roman" w:cs="Times New Roman"/>
                <w:snapToGrid w:val="0"/>
                <w:sz w:val="22"/>
                <w:szCs w:val="22"/>
                <w:u w:val="single"/>
                <w:lang w:val="lt-LT"/>
              </w:rPr>
              <w:t>lizdinė plokštelė</w:t>
            </w:r>
          </w:p>
          <w:p w14:paraId="2C00792E" w14:textId="60815257" w:rsidR="002077EA" w:rsidRPr="00633873" w:rsidRDefault="002077EA"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LT/1/20/4658/001 – N10</w:t>
            </w:r>
          </w:p>
          <w:p w14:paraId="2935B460" w14:textId="5C40C5DF" w:rsidR="002077EA" w:rsidRDefault="002077EA"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LT/1/20/4658/002 – N30</w:t>
            </w:r>
          </w:p>
          <w:p w14:paraId="6B943505" w14:textId="62DDCD84" w:rsidR="00176502" w:rsidRPr="00633873" w:rsidRDefault="00176502"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LT/1/20/4658/00</w:t>
            </w:r>
            <w:r>
              <w:rPr>
                <w:rFonts w:ascii="Times New Roman" w:eastAsia="Times New Roman" w:hAnsi="Times New Roman" w:cs="Times New Roman"/>
                <w:snapToGrid w:val="0"/>
                <w:sz w:val="22"/>
                <w:szCs w:val="22"/>
                <w:lang w:val="lt-LT"/>
              </w:rPr>
              <w:t>5</w:t>
            </w:r>
            <w:r w:rsidRPr="00633873">
              <w:rPr>
                <w:rFonts w:ascii="Times New Roman" w:eastAsia="Times New Roman" w:hAnsi="Times New Roman" w:cs="Times New Roman"/>
                <w:snapToGrid w:val="0"/>
                <w:sz w:val="22"/>
                <w:szCs w:val="22"/>
                <w:lang w:val="lt-LT"/>
              </w:rPr>
              <w:t xml:space="preserve"> – N</w:t>
            </w:r>
            <w:r>
              <w:rPr>
                <w:rFonts w:ascii="Times New Roman" w:eastAsia="Times New Roman" w:hAnsi="Times New Roman" w:cs="Times New Roman"/>
                <w:snapToGrid w:val="0"/>
                <w:sz w:val="22"/>
                <w:szCs w:val="22"/>
                <w:lang w:val="lt-LT"/>
              </w:rPr>
              <w:t>6</w:t>
            </w:r>
            <w:r w:rsidRPr="00633873">
              <w:rPr>
                <w:rFonts w:ascii="Times New Roman" w:eastAsia="Times New Roman" w:hAnsi="Times New Roman" w:cs="Times New Roman"/>
                <w:snapToGrid w:val="0"/>
                <w:sz w:val="22"/>
                <w:szCs w:val="22"/>
                <w:lang w:val="lt-LT"/>
              </w:rPr>
              <w:t>0</w:t>
            </w:r>
          </w:p>
          <w:p w14:paraId="3BF3D5ED" w14:textId="46718425" w:rsidR="002077EA" w:rsidRPr="00633873" w:rsidRDefault="002077EA" w:rsidP="002077EA">
            <w:pPr>
              <w:rPr>
                <w:rFonts w:ascii="Times New Roman" w:eastAsia="Times New Roman" w:hAnsi="Times New Roman" w:cs="Times New Roman"/>
                <w:snapToGrid w:val="0"/>
                <w:sz w:val="22"/>
                <w:szCs w:val="22"/>
                <w:u w:val="single"/>
                <w:lang w:val="lt-LT"/>
              </w:rPr>
            </w:pPr>
            <w:proofErr w:type="spellStart"/>
            <w:r w:rsidRPr="00633873">
              <w:rPr>
                <w:rFonts w:ascii="Times New Roman" w:eastAsia="Times New Roman" w:hAnsi="Times New Roman" w:cs="Times New Roman"/>
                <w:snapToGrid w:val="0"/>
                <w:sz w:val="22"/>
                <w:szCs w:val="22"/>
                <w:u w:val="single"/>
                <w:lang w:val="lt-LT"/>
              </w:rPr>
              <w:t>dalomoji</w:t>
            </w:r>
            <w:proofErr w:type="spellEnd"/>
            <w:r w:rsidRPr="00633873">
              <w:rPr>
                <w:rFonts w:ascii="Times New Roman" w:eastAsia="Times New Roman" w:hAnsi="Times New Roman" w:cs="Times New Roman"/>
                <w:snapToGrid w:val="0"/>
                <w:sz w:val="22"/>
                <w:szCs w:val="22"/>
                <w:u w:val="single"/>
                <w:lang w:val="lt-LT"/>
              </w:rPr>
              <w:t xml:space="preserve"> lizdinė plokštelė</w:t>
            </w:r>
          </w:p>
          <w:p w14:paraId="0C55987A" w14:textId="2D4D4826" w:rsidR="002077EA" w:rsidRPr="00633873" w:rsidRDefault="002077EA"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LT/1/20/4658/003 – N10</w:t>
            </w:r>
            <w:r w:rsidR="00904BE7" w:rsidRPr="00904BE7">
              <w:rPr>
                <w:rFonts w:ascii="Times New Roman" w:eastAsia="Times New Roman" w:hAnsi="Times New Roman" w:cs="Times New Roman"/>
                <w:snapToGrid w:val="0"/>
                <w:sz w:val="22"/>
                <w:szCs w:val="22"/>
                <w:lang w:val="lt-LT"/>
              </w:rPr>
              <w:t>×</w:t>
            </w:r>
            <w:r w:rsidRPr="00633873">
              <w:rPr>
                <w:rFonts w:ascii="Times New Roman" w:eastAsia="Times New Roman" w:hAnsi="Times New Roman" w:cs="Times New Roman"/>
                <w:snapToGrid w:val="0"/>
                <w:sz w:val="22"/>
                <w:szCs w:val="22"/>
                <w:lang w:val="lt-LT"/>
              </w:rPr>
              <w:t>1</w:t>
            </w:r>
          </w:p>
          <w:p w14:paraId="6BD33717" w14:textId="77777777" w:rsidR="00176502" w:rsidRDefault="002077EA"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LT/1/20/4658/004 – N30</w:t>
            </w:r>
            <w:r w:rsidR="00904BE7" w:rsidRPr="00904BE7">
              <w:rPr>
                <w:rFonts w:ascii="Times New Roman" w:eastAsia="Times New Roman" w:hAnsi="Times New Roman" w:cs="Times New Roman"/>
                <w:snapToGrid w:val="0"/>
                <w:sz w:val="22"/>
                <w:szCs w:val="22"/>
                <w:lang w:val="lt-LT"/>
              </w:rPr>
              <w:t>×</w:t>
            </w:r>
            <w:r w:rsidRPr="00633873">
              <w:rPr>
                <w:rFonts w:ascii="Times New Roman" w:eastAsia="Times New Roman" w:hAnsi="Times New Roman" w:cs="Times New Roman"/>
                <w:snapToGrid w:val="0"/>
                <w:sz w:val="22"/>
                <w:szCs w:val="22"/>
                <w:lang w:val="lt-LT"/>
              </w:rPr>
              <w:t>1</w:t>
            </w:r>
            <w:r w:rsidR="00176502" w:rsidRPr="00633873">
              <w:rPr>
                <w:rFonts w:ascii="Times New Roman" w:eastAsia="Times New Roman" w:hAnsi="Times New Roman" w:cs="Times New Roman"/>
                <w:snapToGrid w:val="0"/>
                <w:sz w:val="22"/>
                <w:szCs w:val="22"/>
                <w:lang w:val="lt-LT"/>
              </w:rPr>
              <w:t xml:space="preserve"> </w:t>
            </w:r>
          </w:p>
          <w:p w14:paraId="05229E9A" w14:textId="112DB49C" w:rsidR="002077EA" w:rsidRPr="00633873" w:rsidRDefault="00176502"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LT/1/20/4658/00</w:t>
            </w:r>
            <w:r>
              <w:rPr>
                <w:rFonts w:ascii="Times New Roman" w:eastAsia="Times New Roman" w:hAnsi="Times New Roman" w:cs="Times New Roman"/>
                <w:snapToGrid w:val="0"/>
                <w:sz w:val="22"/>
                <w:szCs w:val="22"/>
                <w:lang w:val="lt-LT"/>
              </w:rPr>
              <w:t>6</w:t>
            </w:r>
            <w:r w:rsidRPr="00633873">
              <w:rPr>
                <w:rFonts w:ascii="Times New Roman" w:eastAsia="Times New Roman" w:hAnsi="Times New Roman" w:cs="Times New Roman"/>
                <w:snapToGrid w:val="0"/>
                <w:sz w:val="22"/>
                <w:szCs w:val="22"/>
                <w:lang w:val="lt-LT"/>
              </w:rPr>
              <w:t xml:space="preserve"> – N</w:t>
            </w:r>
            <w:r>
              <w:rPr>
                <w:rFonts w:ascii="Times New Roman" w:eastAsia="Times New Roman" w:hAnsi="Times New Roman" w:cs="Times New Roman"/>
                <w:snapToGrid w:val="0"/>
                <w:sz w:val="22"/>
                <w:szCs w:val="22"/>
                <w:lang w:val="lt-LT"/>
              </w:rPr>
              <w:t>6</w:t>
            </w:r>
            <w:r w:rsidRPr="00633873">
              <w:rPr>
                <w:rFonts w:ascii="Times New Roman" w:eastAsia="Times New Roman" w:hAnsi="Times New Roman" w:cs="Times New Roman"/>
                <w:snapToGrid w:val="0"/>
                <w:sz w:val="22"/>
                <w:szCs w:val="22"/>
                <w:lang w:val="lt-LT"/>
              </w:rPr>
              <w:t>0</w:t>
            </w:r>
            <w:r w:rsidRPr="00904BE7">
              <w:rPr>
                <w:rFonts w:ascii="Times New Roman" w:eastAsia="Times New Roman" w:hAnsi="Times New Roman" w:cs="Times New Roman"/>
                <w:snapToGrid w:val="0"/>
                <w:sz w:val="22"/>
                <w:szCs w:val="22"/>
                <w:lang w:val="lt-LT"/>
              </w:rPr>
              <w:t>×</w:t>
            </w:r>
            <w:r w:rsidRPr="00633873">
              <w:rPr>
                <w:rFonts w:ascii="Times New Roman" w:eastAsia="Times New Roman" w:hAnsi="Times New Roman" w:cs="Times New Roman"/>
                <w:snapToGrid w:val="0"/>
                <w:sz w:val="22"/>
                <w:szCs w:val="22"/>
                <w:lang w:val="lt-LT"/>
              </w:rPr>
              <w:t>1</w:t>
            </w:r>
          </w:p>
        </w:tc>
        <w:tc>
          <w:tcPr>
            <w:tcW w:w="4530" w:type="dxa"/>
          </w:tcPr>
          <w:p w14:paraId="3619F294" w14:textId="77777777" w:rsidR="002077EA" w:rsidRPr="00633873" w:rsidRDefault="002077EA" w:rsidP="00A35A18">
            <w:pPr>
              <w:rPr>
                <w:rFonts w:ascii="Times New Roman" w:eastAsia="Times New Roman" w:hAnsi="Times New Roman" w:cs="Times New Roman"/>
                <w:snapToGrid w:val="0"/>
                <w:sz w:val="22"/>
                <w:szCs w:val="22"/>
                <w:u w:val="single"/>
                <w:lang w:val="lt-LT"/>
              </w:rPr>
            </w:pPr>
            <w:r w:rsidRPr="00633873">
              <w:rPr>
                <w:rFonts w:ascii="Times New Roman" w:eastAsia="Times New Roman" w:hAnsi="Times New Roman" w:cs="Times New Roman"/>
                <w:snapToGrid w:val="0"/>
                <w:sz w:val="22"/>
                <w:szCs w:val="22"/>
                <w:u w:val="single"/>
                <w:lang w:val="lt-LT"/>
              </w:rPr>
              <w:t>10 mg</w:t>
            </w:r>
          </w:p>
          <w:p w14:paraId="31F95B2E" w14:textId="20529C33" w:rsidR="002077EA" w:rsidRPr="00633873" w:rsidRDefault="002077EA" w:rsidP="002077EA">
            <w:pPr>
              <w:rPr>
                <w:rFonts w:ascii="Times New Roman" w:eastAsia="Times New Roman" w:hAnsi="Times New Roman" w:cs="Times New Roman"/>
                <w:snapToGrid w:val="0"/>
                <w:sz w:val="22"/>
                <w:szCs w:val="22"/>
                <w:u w:val="single"/>
                <w:lang w:val="lt-LT"/>
              </w:rPr>
            </w:pPr>
            <w:r w:rsidRPr="00633873">
              <w:rPr>
                <w:rFonts w:ascii="Times New Roman" w:eastAsia="Times New Roman" w:hAnsi="Times New Roman" w:cs="Times New Roman"/>
                <w:bCs/>
                <w:snapToGrid w:val="0"/>
                <w:sz w:val="22"/>
                <w:szCs w:val="22"/>
                <w:u w:val="single"/>
                <w:lang w:val="lt-LT"/>
              </w:rPr>
              <w:t>lizdinė plokštelė</w:t>
            </w:r>
          </w:p>
          <w:p w14:paraId="61522540" w14:textId="1AB6039A" w:rsidR="002077EA" w:rsidRPr="00633873" w:rsidRDefault="002077EA" w:rsidP="002077EA">
            <w:pPr>
              <w:rPr>
                <w:rFonts w:ascii="Times New Roman" w:eastAsia="Times New Roman" w:hAnsi="Times New Roman" w:cs="Times New Roman"/>
                <w:bCs/>
                <w:snapToGrid w:val="0"/>
                <w:sz w:val="22"/>
                <w:szCs w:val="22"/>
                <w:lang w:val="lt-LT"/>
              </w:rPr>
            </w:pPr>
            <w:r w:rsidRPr="00633873">
              <w:rPr>
                <w:rFonts w:ascii="Times New Roman" w:eastAsia="Times New Roman" w:hAnsi="Times New Roman" w:cs="Times New Roman"/>
                <w:snapToGrid w:val="0"/>
                <w:sz w:val="22"/>
                <w:szCs w:val="22"/>
                <w:lang w:val="lt-LT"/>
              </w:rPr>
              <w:t>LT/1/20/4659/001</w:t>
            </w:r>
            <w:r w:rsidRPr="00633873">
              <w:rPr>
                <w:rFonts w:ascii="Times New Roman" w:eastAsia="Times New Roman" w:hAnsi="Times New Roman" w:cs="Times New Roman"/>
                <w:bCs/>
                <w:snapToGrid w:val="0"/>
                <w:sz w:val="22"/>
                <w:szCs w:val="22"/>
                <w:lang w:val="lt-LT"/>
              </w:rPr>
              <w:t xml:space="preserve"> – N10</w:t>
            </w:r>
          </w:p>
          <w:p w14:paraId="276BEF0E" w14:textId="53B4DD4C" w:rsidR="002077EA" w:rsidRDefault="002077EA" w:rsidP="002077EA">
            <w:pPr>
              <w:rPr>
                <w:rFonts w:ascii="Times New Roman" w:eastAsia="Times New Roman" w:hAnsi="Times New Roman" w:cs="Times New Roman"/>
                <w:bCs/>
                <w:snapToGrid w:val="0"/>
                <w:sz w:val="22"/>
                <w:szCs w:val="22"/>
                <w:lang w:val="lt-LT"/>
              </w:rPr>
            </w:pPr>
            <w:r w:rsidRPr="00633873">
              <w:rPr>
                <w:rFonts w:ascii="Times New Roman" w:eastAsia="Times New Roman" w:hAnsi="Times New Roman" w:cs="Times New Roman"/>
                <w:snapToGrid w:val="0"/>
                <w:sz w:val="22"/>
                <w:szCs w:val="22"/>
                <w:lang w:val="lt-LT"/>
              </w:rPr>
              <w:t>LT/1/20/4659/002</w:t>
            </w:r>
            <w:r w:rsidRPr="00633873">
              <w:rPr>
                <w:rFonts w:ascii="Times New Roman" w:eastAsia="Times New Roman" w:hAnsi="Times New Roman" w:cs="Times New Roman"/>
                <w:bCs/>
                <w:snapToGrid w:val="0"/>
                <w:sz w:val="22"/>
                <w:szCs w:val="22"/>
                <w:lang w:val="lt-LT"/>
              </w:rPr>
              <w:t xml:space="preserve"> – N30</w:t>
            </w:r>
          </w:p>
          <w:p w14:paraId="14BC9242" w14:textId="7260494E" w:rsidR="00176502" w:rsidRPr="00176502" w:rsidRDefault="00176502"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w:t>
            </w:r>
            <w:r>
              <w:rPr>
                <w:rFonts w:ascii="Times New Roman" w:eastAsia="Times New Roman" w:hAnsi="Times New Roman" w:cs="Times New Roman"/>
                <w:snapToGrid w:val="0"/>
                <w:sz w:val="22"/>
                <w:szCs w:val="22"/>
                <w:lang w:val="lt-LT"/>
              </w:rPr>
              <w:t>9</w:t>
            </w:r>
            <w:r w:rsidRPr="00633873">
              <w:rPr>
                <w:rFonts w:ascii="Times New Roman" w:eastAsia="Times New Roman" w:hAnsi="Times New Roman" w:cs="Times New Roman"/>
                <w:snapToGrid w:val="0"/>
                <w:sz w:val="22"/>
                <w:szCs w:val="22"/>
                <w:lang w:val="lt-LT"/>
              </w:rPr>
              <w:t>/00</w:t>
            </w:r>
            <w:r>
              <w:rPr>
                <w:rFonts w:ascii="Times New Roman" w:eastAsia="Times New Roman" w:hAnsi="Times New Roman" w:cs="Times New Roman"/>
                <w:snapToGrid w:val="0"/>
                <w:sz w:val="22"/>
                <w:szCs w:val="22"/>
                <w:lang w:val="lt-LT"/>
              </w:rPr>
              <w:t>5</w:t>
            </w:r>
            <w:r w:rsidRPr="00633873">
              <w:rPr>
                <w:rFonts w:ascii="Times New Roman" w:eastAsia="Times New Roman" w:hAnsi="Times New Roman" w:cs="Times New Roman"/>
                <w:snapToGrid w:val="0"/>
                <w:sz w:val="22"/>
                <w:szCs w:val="22"/>
                <w:lang w:val="lt-LT"/>
              </w:rPr>
              <w:t xml:space="preserve"> – N</w:t>
            </w:r>
            <w:r>
              <w:rPr>
                <w:rFonts w:ascii="Times New Roman" w:eastAsia="Times New Roman" w:hAnsi="Times New Roman" w:cs="Times New Roman"/>
                <w:snapToGrid w:val="0"/>
                <w:sz w:val="22"/>
                <w:szCs w:val="22"/>
                <w:lang w:val="lt-LT"/>
              </w:rPr>
              <w:t>6</w:t>
            </w:r>
            <w:r w:rsidRPr="00633873">
              <w:rPr>
                <w:rFonts w:ascii="Times New Roman" w:eastAsia="Times New Roman" w:hAnsi="Times New Roman" w:cs="Times New Roman"/>
                <w:snapToGrid w:val="0"/>
                <w:sz w:val="22"/>
                <w:szCs w:val="22"/>
                <w:lang w:val="lt-LT"/>
              </w:rPr>
              <w:t>0</w:t>
            </w:r>
          </w:p>
          <w:p w14:paraId="5C9A88D8" w14:textId="78A5DD17" w:rsidR="002077EA" w:rsidRPr="00633873" w:rsidRDefault="002077EA" w:rsidP="002077EA">
            <w:pPr>
              <w:rPr>
                <w:rFonts w:ascii="Times New Roman" w:eastAsia="Times New Roman" w:hAnsi="Times New Roman" w:cs="Times New Roman"/>
                <w:bCs/>
                <w:snapToGrid w:val="0"/>
                <w:sz w:val="22"/>
                <w:szCs w:val="22"/>
                <w:u w:val="single"/>
                <w:lang w:val="lt-LT"/>
              </w:rPr>
            </w:pPr>
            <w:proofErr w:type="spellStart"/>
            <w:r w:rsidRPr="00633873">
              <w:rPr>
                <w:rFonts w:ascii="Times New Roman" w:eastAsia="Times New Roman" w:hAnsi="Times New Roman" w:cs="Times New Roman"/>
                <w:bCs/>
                <w:snapToGrid w:val="0"/>
                <w:sz w:val="22"/>
                <w:szCs w:val="22"/>
                <w:u w:val="single"/>
                <w:lang w:val="lt-LT"/>
              </w:rPr>
              <w:t>dalomoji</w:t>
            </w:r>
            <w:proofErr w:type="spellEnd"/>
            <w:r w:rsidRPr="00633873">
              <w:rPr>
                <w:rFonts w:ascii="Times New Roman" w:eastAsia="Times New Roman" w:hAnsi="Times New Roman" w:cs="Times New Roman"/>
                <w:bCs/>
                <w:snapToGrid w:val="0"/>
                <w:sz w:val="22"/>
                <w:szCs w:val="22"/>
                <w:u w:val="single"/>
                <w:lang w:val="lt-LT"/>
              </w:rPr>
              <w:t xml:space="preserve"> lizdinė plokštelė</w:t>
            </w:r>
          </w:p>
          <w:p w14:paraId="72BEA7A7" w14:textId="0748AA6A" w:rsidR="002077EA" w:rsidRPr="00633873" w:rsidRDefault="002077EA" w:rsidP="002077EA">
            <w:pPr>
              <w:rPr>
                <w:rFonts w:ascii="Times New Roman" w:eastAsia="Times New Roman" w:hAnsi="Times New Roman" w:cs="Times New Roman"/>
                <w:bCs/>
                <w:snapToGrid w:val="0"/>
                <w:sz w:val="22"/>
                <w:szCs w:val="22"/>
                <w:lang w:val="lt-LT"/>
              </w:rPr>
            </w:pPr>
            <w:r w:rsidRPr="00633873">
              <w:rPr>
                <w:rFonts w:ascii="Times New Roman" w:eastAsia="Times New Roman" w:hAnsi="Times New Roman" w:cs="Times New Roman"/>
                <w:snapToGrid w:val="0"/>
                <w:sz w:val="22"/>
                <w:szCs w:val="22"/>
                <w:lang w:val="lt-LT"/>
              </w:rPr>
              <w:t>LT/1/20/4659/003</w:t>
            </w:r>
            <w:r w:rsidRPr="00633873">
              <w:rPr>
                <w:rFonts w:ascii="Times New Roman" w:eastAsia="Times New Roman" w:hAnsi="Times New Roman" w:cs="Times New Roman"/>
                <w:bCs/>
                <w:snapToGrid w:val="0"/>
                <w:sz w:val="22"/>
                <w:szCs w:val="22"/>
                <w:lang w:val="lt-LT"/>
              </w:rPr>
              <w:t xml:space="preserve"> – N10</w:t>
            </w:r>
            <w:r w:rsidR="00904BE7" w:rsidRPr="00904BE7">
              <w:rPr>
                <w:rFonts w:ascii="Times New Roman" w:eastAsia="Times New Roman" w:hAnsi="Times New Roman" w:cs="Times New Roman"/>
                <w:snapToGrid w:val="0"/>
                <w:sz w:val="22"/>
                <w:szCs w:val="22"/>
                <w:lang w:val="lt-LT"/>
              </w:rPr>
              <w:t>×</w:t>
            </w:r>
            <w:r w:rsidRPr="00633873">
              <w:rPr>
                <w:rFonts w:ascii="Times New Roman" w:eastAsia="Times New Roman" w:hAnsi="Times New Roman" w:cs="Times New Roman"/>
                <w:bCs/>
                <w:snapToGrid w:val="0"/>
                <w:sz w:val="22"/>
                <w:szCs w:val="22"/>
                <w:lang w:val="lt-LT"/>
              </w:rPr>
              <w:t>1</w:t>
            </w:r>
          </w:p>
          <w:p w14:paraId="2D950DAB" w14:textId="77777777" w:rsidR="002077EA" w:rsidRDefault="002077EA" w:rsidP="002077EA">
            <w:pPr>
              <w:rPr>
                <w:rFonts w:ascii="Times New Roman" w:eastAsia="Times New Roman" w:hAnsi="Times New Roman" w:cs="Times New Roman"/>
                <w:bCs/>
                <w:snapToGrid w:val="0"/>
                <w:sz w:val="22"/>
                <w:szCs w:val="22"/>
                <w:lang w:val="lt-LT"/>
              </w:rPr>
            </w:pPr>
            <w:r w:rsidRPr="00633873">
              <w:rPr>
                <w:rFonts w:ascii="Times New Roman" w:eastAsia="Times New Roman" w:hAnsi="Times New Roman" w:cs="Times New Roman"/>
                <w:snapToGrid w:val="0"/>
                <w:sz w:val="22"/>
                <w:szCs w:val="22"/>
                <w:lang w:val="lt-LT"/>
              </w:rPr>
              <w:t>LT/1/20/4659/004</w:t>
            </w:r>
            <w:r w:rsidRPr="00633873">
              <w:rPr>
                <w:rFonts w:ascii="Times New Roman" w:eastAsia="Times New Roman" w:hAnsi="Times New Roman" w:cs="Times New Roman"/>
                <w:bCs/>
                <w:snapToGrid w:val="0"/>
                <w:sz w:val="22"/>
                <w:szCs w:val="22"/>
                <w:lang w:val="lt-LT"/>
              </w:rPr>
              <w:t xml:space="preserve"> – N30</w:t>
            </w:r>
            <w:r w:rsidR="00904BE7" w:rsidRPr="00904BE7">
              <w:rPr>
                <w:rFonts w:ascii="Times New Roman" w:eastAsia="Times New Roman" w:hAnsi="Times New Roman" w:cs="Times New Roman"/>
                <w:snapToGrid w:val="0"/>
                <w:sz w:val="22"/>
                <w:szCs w:val="22"/>
                <w:lang w:val="lt-LT"/>
              </w:rPr>
              <w:t>×</w:t>
            </w:r>
            <w:r w:rsidRPr="00633873">
              <w:rPr>
                <w:rFonts w:ascii="Times New Roman" w:eastAsia="Times New Roman" w:hAnsi="Times New Roman" w:cs="Times New Roman"/>
                <w:bCs/>
                <w:snapToGrid w:val="0"/>
                <w:sz w:val="22"/>
                <w:szCs w:val="22"/>
                <w:lang w:val="lt-LT"/>
              </w:rPr>
              <w:t>1</w:t>
            </w:r>
          </w:p>
          <w:p w14:paraId="1C2B2901" w14:textId="1A4481BA" w:rsidR="00176502" w:rsidRPr="00633873" w:rsidRDefault="00176502" w:rsidP="002077EA">
            <w:pPr>
              <w:rPr>
                <w:rFonts w:ascii="Times New Roman" w:eastAsia="Times New Roman" w:hAnsi="Times New Roman" w:cs="Times New Roman"/>
                <w:snapToGrid w:val="0"/>
                <w:sz w:val="22"/>
                <w:szCs w:val="22"/>
                <w:lang w:val="lt-LT"/>
              </w:rPr>
            </w:pPr>
            <w:r w:rsidRPr="00633873">
              <w:rPr>
                <w:rFonts w:ascii="Times New Roman" w:eastAsia="Times New Roman" w:hAnsi="Times New Roman" w:cs="Times New Roman"/>
                <w:snapToGrid w:val="0"/>
                <w:sz w:val="22"/>
                <w:szCs w:val="22"/>
                <w:lang w:val="lt-LT"/>
              </w:rPr>
              <w:t>LT/1/20/465</w:t>
            </w:r>
            <w:r>
              <w:rPr>
                <w:rFonts w:ascii="Times New Roman" w:eastAsia="Times New Roman" w:hAnsi="Times New Roman" w:cs="Times New Roman"/>
                <w:snapToGrid w:val="0"/>
                <w:sz w:val="22"/>
                <w:szCs w:val="22"/>
                <w:lang w:val="lt-LT"/>
              </w:rPr>
              <w:t>9</w:t>
            </w:r>
            <w:r w:rsidRPr="00633873">
              <w:rPr>
                <w:rFonts w:ascii="Times New Roman" w:eastAsia="Times New Roman" w:hAnsi="Times New Roman" w:cs="Times New Roman"/>
                <w:snapToGrid w:val="0"/>
                <w:sz w:val="22"/>
                <w:szCs w:val="22"/>
                <w:lang w:val="lt-LT"/>
              </w:rPr>
              <w:t>/00</w:t>
            </w:r>
            <w:r>
              <w:rPr>
                <w:rFonts w:ascii="Times New Roman" w:eastAsia="Times New Roman" w:hAnsi="Times New Roman" w:cs="Times New Roman"/>
                <w:snapToGrid w:val="0"/>
                <w:sz w:val="22"/>
                <w:szCs w:val="22"/>
                <w:lang w:val="lt-LT"/>
              </w:rPr>
              <w:t>6</w:t>
            </w:r>
            <w:r w:rsidRPr="00633873">
              <w:rPr>
                <w:rFonts w:ascii="Times New Roman" w:eastAsia="Times New Roman" w:hAnsi="Times New Roman" w:cs="Times New Roman"/>
                <w:snapToGrid w:val="0"/>
                <w:sz w:val="22"/>
                <w:szCs w:val="22"/>
                <w:lang w:val="lt-LT"/>
              </w:rPr>
              <w:t xml:space="preserve"> – N</w:t>
            </w:r>
            <w:r>
              <w:rPr>
                <w:rFonts w:ascii="Times New Roman" w:eastAsia="Times New Roman" w:hAnsi="Times New Roman" w:cs="Times New Roman"/>
                <w:snapToGrid w:val="0"/>
                <w:sz w:val="22"/>
                <w:szCs w:val="22"/>
                <w:lang w:val="lt-LT"/>
              </w:rPr>
              <w:t>6</w:t>
            </w:r>
            <w:r w:rsidRPr="00633873">
              <w:rPr>
                <w:rFonts w:ascii="Times New Roman" w:eastAsia="Times New Roman" w:hAnsi="Times New Roman" w:cs="Times New Roman"/>
                <w:snapToGrid w:val="0"/>
                <w:sz w:val="22"/>
                <w:szCs w:val="22"/>
                <w:lang w:val="lt-LT"/>
              </w:rPr>
              <w:t>0</w:t>
            </w:r>
            <w:r w:rsidRPr="00904BE7">
              <w:rPr>
                <w:rFonts w:ascii="Times New Roman" w:eastAsia="Times New Roman" w:hAnsi="Times New Roman" w:cs="Times New Roman"/>
                <w:snapToGrid w:val="0"/>
                <w:sz w:val="22"/>
                <w:szCs w:val="22"/>
                <w:lang w:val="lt-LT"/>
              </w:rPr>
              <w:t>×</w:t>
            </w:r>
            <w:r w:rsidRPr="00633873">
              <w:rPr>
                <w:rFonts w:ascii="Times New Roman" w:eastAsia="Times New Roman" w:hAnsi="Times New Roman" w:cs="Times New Roman"/>
                <w:snapToGrid w:val="0"/>
                <w:sz w:val="22"/>
                <w:szCs w:val="22"/>
                <w:lang w:val="lt-LT"/>
              </w:rPr>
              <w:t>1</w:t>
            </w:r>
          </w:p>
        </w:tc>
      </w:tr>
    </w:tbl>
    <w:p w14:paraId="37998FBD" w14:textId="77777777" w:rsidR="002077EA" w:rsidRPr="00633873" w:rsidRDefault="002077EA" w:rsidP="00A35A18">
      <w:pPr>
        <w:spacing w:after="0" w:line="240" w:lineRule="auto"/>
        <w:rPr>
          <w:rFonts w:ascii="Times New Roman" w:eastAsia="Times New Roman" w:hAnsi="Times New Roman" w:cs="Times New Roman"/>
          <w:snapToGrid w:val="0"/>
          <w:szCs w:val="24"/>
        </w:rPr>
      </w:pPr>
    </w:p>
    <w:p w14:paraId="75271A5A"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782ADA37"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9.</w:t>
      </w:r>
      <w:r w:rsidRPr="00633873">
        <w:rPr>
          <w:rFonts w:ascii="Times New Roman" w:eastAsia="Times New Roman" w:hAnsi="Times New Roman" w:cs="Times New Roman"/>
          <w:b/>
          <w:bCs/>
        </w:rPr>
        <w:tab/>
        <w:t>REGISTRAVIMO / PERREGISTRAVIMO DATA</w:t>
      </w:r>
    </w:p>
    <w:p w14:paraId="1F0262FF"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399CA395" w14:textId="79D5C777" w:rsidR="00A35A18" w:rsidRDefault="00A35A18"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Registravimo data </w:t>
      </w:r>
      <w:r w:rsidR="002077EA" w:rsidRPr="00633873">
        <w:rPr>
          <w:rFonts w:ascii="Times New Roman" w:eastAsia="Times New Roman" w:hAnsi="Times New Roman" w:cs="Times New Roman"/>
          <w:snapToGrid w:val="0"/>
          <w:szCs w:val="24"/>
        </w:rPr>
        <w:t xml:space="preserve"> 2020 m. gruodžio 22 d.</w:t>
      </w:r>
    </w:p>
    <w:p w14:paraId="7F658790" w14:textId="00EC7831" w:rsidR="001F70AA" w:rsidRPr="00633873" w:rsidRDefault="001F70AA" w:rsidP="00A35A18">
      <w:pPr>
        <w:spacing w:after="0" w:line="240" w:lineRule="auto"/>
        <w:rPr>
          <w:rFonts w:ascii="Times New Roman" w:eastAsia="Times New Roman" w:hAnsi="Times New Roman" w:cs="Times New Roman"/>
          <w:snapToGrid w:val="0"/>
          <w:szCs w:val="24"/>
        </w:rPr>
      </w:pPr>
      <w:bookmarkStart w:id="3" w:name="_Hlk174387329"/>
      <w:r w:rsidRPr="001F70AA">
        <w:rPr>
          <w:rFonts w:ascii="Times New Roman" w:eastAsia="Times New Roman" w:hAnsi="Times New Roman" w:cs="Times New Roman"/>
        </w:rPr>
        <w:t xml:space="preserve">Paskutinio </w:t>
      </w:r>
      <w:r w:rsidRPr="001F70AA">
        <w:rPr>
          <w:rFonts w:ascii="Times New Roman" w:eastAsia="Times New Roman" w:hAnsi="Times New Roman" w:cs="Times New Roman"/>
          <w:szCs w:val="24"/>
        </w:rPr>
        <w:t xml:space="preserve">perregistravimo data </w:t>
      </w:r>
      <w:bookmarkEnd w:id="3"/>
      <w:r w:rsidR="00153913">
        <w:rPr>
          <w:rFonts w:ascii="Times New Roman" w:eastAsia="Times New Roman" w:hAnsi="Times New Roman" w:cs="Times New Roman"/>
          <w:szCs w:val="24"/>
        </w:rPr>
        <w:t>2025 m. gegužės 9 d.</w:t>
      </w:r>
    </w:p>
    <w:p w14:paraId="493C67E4"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2D6A6AB9"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668D0D54" w14:textId="77777777" w:rsidR="00A35A18" w:rsidRPr="00633873" w:rsidRDefault="00A35A18" w:rsidP="00A35A18">
      <w:pPr>
        <w:widowControl w:val="0"/>
        <w:tabs>
          <w:tab w:val="left" w:pos="567"/>
        </w:tabs>
        <w:spacing w:after="0" w:line="240" w:lineRule="auto"/>
        <w:ind w:left="567" w:hanging="567"/>
        <w:outlineLvl w:val="1"/>
        <w:rPr>
          <w:rFonts w:ascii="Times New Roman" w:eastAsia="Times New Roman" w:hAnsi="Times New Roman" w:cs="Times New Roman"/>
          <w:b/>
          <w:bCs/>
        </w:rPr>
      </w:pPr>
      <w:r w:rsidRPr="00633873">
        <w:rPr>
          <w:rFonts w:ascii="Times New Roman" w:eastAsia="Times New Roman" w:hAnsi="Times New Roman" w:cs="Times New Roman"/>
          <w:b/>
          <w:bCs/>
        </w:rPr>
        <w:t>10.</w:t>
      </w:r>
      <w:r w:rsidRPr="00633873">
        <w:rPr>
          <w:rFonts w:ascii="Times New Roman" w:eastAsia="Times New Roman" w:hAnsi="Times New Roman" w:cs="Times New Roman"/>
          <w:b/>
          <w:bCs/>
        </w:rPr>
        <w:tab/>
        <w:t>TEKSTO PERŽIŪROS DATA</w:t>
      </w:r>
    </w:p>
    <w:p w14:paraId="4C452C5A"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2733BA1C" w14:textId="566656E9" w:rsidR="002077EA" w:rsidRPr="00633873" w:rsidRDefault="002077EA" w:rsidP="00A35A18">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202</w:t>
      </w:r>
      <w:r w:rsidR="007B0EAB">
        <w:rPr>
          <w:rFonts w:ascii="Times New Roman" w:eastAsia="Times New Roman" w:hAnsi="Times New Roman" w:cs="Times New Roman"/>
          <w:snapToGrid w:val="0"/>
          <w:szCs w:val="24"/>
        </w:rPr>
        <w:t>5</w:t>
      </w:r>
      <w:r w:rsidR="00F3270C">
        <w:rPr>
          <w:rFonts w:ascii="Times New Roman" w:eastAsia="Times New Roman" w:hAnsi="Times New Roman" w:cs="Times New Roman"/>
          <w:snapToGrid w:val="0"/>
          <w:szCs w:val="24"/>
        </w:rPr>
        <w:t> </w:t>
      </w:r>
      <w:r w:rsidRPr="00633873">
        <w:rPr>
          <w:rFonts w:ascii="Times New Roman" w:eastAsia="Times New Roman" w:hAnsi="Times New Roman" w:cs="Times New Roman"/>
          <w:snapToGrid w:val="0"/>
          <w:szCs w:val="24"/>
        </w:rPr>
        <w:t xml:space="preserve">m. </w:t>
      </w:r>
      <w:r w:rsidR="00EF749E">
        <w:rPr>
          <w:rFonts w:ascii="Times New Roman" w:eastAsia="Times New Roman" w:hAnsi="Times New Roman" w:cs="Times New Roman"/>
          <w:snapToGrid w:val="0"/>
          <w:szCs w:val="24"/>
        </w:rPr>
        <w:t xml:space="preserve">lapkričio </w:t>
      </w:r>
      <w:r w:rsidR="00176502">
        <w:rPr>
          <w:rFonts w:ascii="Times New Roman" w:eastAsia="Times New Roman" w:hAnsi="Times New Roman" w:cs="Times New Roman"/>
          <w:snapToGrid w:val="0"/>
          <w:szCs w:val="24"/>
        </w:rPr>
        <w:t>3</w:t>
      </w:r>
      <w:r w:rsidR="00EF749E">
        <w:rPr>
          <w:rFonts w:ascii="Times New Roman" w:eastAsia="Times New Roman" w:hAnsi="Times New Roman" w:cs="Times New Roman"/>
          <w:snapToGrid w:val="0"/>
          <w:szCs w:val="24"/>
        </w:rPr>
        <w:t>0</w:t>
      </w:r>
      <w:r w:rsidR="00570F2A">
        <w:rPr>
          <w:rFonts w:ascii="Times New Roman" w:eastAsia="Times New Roman" w:hAnsi="Times New Roman" w:cs="Times New Roman"/>
          <w:snapToGrid w:val="0"/>
          <w:szCs w:val="24"/>
        </w:rPr>
        <w:t> d.</w:t>
      </w:r>
    </w:p>
    <w:p w14:paraId="248FBFF4" w14:textId="77777777" w:rsidR="00A35A18" w:rsidRPr="00633873" w:rsidRDefault="00A35A18" w:rsidP="00A35A18">
      <w:pPr>
        <w:spacing w:after="0" w:line="240" w:lineRule="auto"/>
        <w:rPr>
          <w:rFonts w:ascii="Times New Roman" w:eastAsia="Times New Roman" w:hAnsi="Times New Roman" w:cs="Times New Roman"/>
          <w:snapToGrid w:val="0"/>
          <w:szCs w:val="24"/>
        </w:rPr>
      </w:pPr>
    </w:p>
    <w:p w14:paraId="39C3AA7D" w14:textId="2A34623E" w:rsidR="00A35A18" w:rsidRPr="00633873" w:rsidRDefault="00A35A18" w:rsidP="00A35A18">
      <w:pPr>
        <w:tabs>
          <w:tab w:val="left" w:pos="5954"/>
          <w:tab w:val="left" w:pos="6237"/>
          <w:tab w:val="left" w:pos="6663"/>
          <w:tab w:val="left" w:pos="6946"/>
        </w:tabs>
        <w:spacing w:after="0" w:line="240" w:lineRule="auto"/>
        <w:rPr>
          <w:rFonts w:ascii="Times New Roman" w:eastAsia="SimSun" w:hAnsi="Times New Roman" w:cs="Times New Roman"/>
        </w:rPr>
      </w:pPr>
      <w:r w:rsidRPr="00633873">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B53A9F" w:rsidRPr="00B53A9F">
        <w:rPr>
          <w:rFonts w:ascii="Times New Roman" w:eastAsia="SimSun" w:hAnsi="Times New Roman" w:cs="Times New Roman"/>
        </w:rPr>
        <w:t xml:space="preserve"> </w:t>
      </w:r>
      <w:hyperlink r:id="rId9" w:history="1">
        <w:r w:rsidR="00B53A9F" w:rsidRPr="00B53A9F">
          <w:rPr>
            <w:rStyle w:val="Hipersaitas"/>
            <w:rFonts w:ascii="Times New Roman" w:eastAsia="SimSun" w:hAnsi="Times New Roman" w:cs="Times New Roman"/>
          </w:rPr>
          <w:t>https://vvkt.lrv.lt/lt/</w:t>
        </w:r>
      </w:hyperlink>
      <w:r w:rsidR="00B53A9F">
        <w:rPr>
          <w:rFonts w:ascii="Times New Roman" w:eastAsia="SimSun" w:hAnsi="Times New Roman" w:cs="Times New Roman"/>
        </w:rPr>
        <w:t>.</w:t>
      </w:r>
    </w:p>
    <w:p w14:paraId="227055C1" w14:textId="77777777" w:rsidR="00A35A18" w:rsidRPr="00633873" w:rsidRDefault="00A35A18" w:rsidP="00A35A18">
      <w:pPr>
        <w:tabs>
          <w:tab w:val="left" w:pos="4962"/>
        </w:tabs>
        <w:spacing w:after="0" w:line="240" w:lineRule="auto"/>
        <w:rPr>
          <w:rFonts w:ascii="Times New Roman" w:eastAsia="SimSun" w:hAnsi="Times New Roman" w:cs="Times New Roman"/>
          <w:color w:val="000000"/>
          <w:sz w:val="24"/>
          <w:szCs w:val="20"/>
        </w:rPr>
      </w:pPr>
      <w:r w:rsidRPr="00633873">
        <w:rPr>
          <w:rFonts w:ascii="Times New Roman" w:eastAsia="SimSun" w:hAnsi="Times New Roman" w:cs="Times New Roman"/>
          <w:sz w:val="20"/>
          <w:szCs w:val="20"/>
        </w:rPr>
        <w:br w:type="page"/>
      </w:r>
    </w:p>
    <w:p w14:paraId="4A968682" w14:textId="77777777" w:rsidR="00A35A18" w:rsidRPr="00633873" w:rsidRDefault="00A35A18" w:rsidP="00A35A18">
      <w:pPr>
        <w:tabs>
          <w:tab w:val="left" w:pos="4962"/>
        </w:tabs>
        <w:spacing w:after="0" w:line="240" w:lineRule="auto"/>
        <w:rPr>
          <w:rFonts w:ascii="Times New Roman" w:eastAsia="SimSun" w:hAnsi="Times New Roman" w:cs="Times New Roman"/>
          <w:color w:val="000000"/>
          <w:sz w:val="24"/>
          <w:szCs w:val="20"/>
        </w:rPr>
      </w:pPr>
    </w:p>
    <w:p w14:paraId="0BB30850" w14:textId="77777777" w:rsidR="00A35A18" w:rsidRPr="00633873" w:rsidRDefault="00A35A18" w:rsidP="00A35A18">
      <w:pPr>
        <w:tabs>
          <w:tab w:val="left" w:pos="4962"/>
        </w:tabs>
        <w:spacing w:after="0" w:line="240" w:lineRule="auto"/>
        <w:rPr>
          <w:rFonts w:ascii="Times New Roman" w:eastAsia="SimSun" w:hAnsi="Times New Roman" w:cs="Times New Roman"/>
          <w:color w:val="000000"/>
          <w:sz w:val="24"/>
          <w:szCs w:val="20"/>
        </w:rPr>
      </w:pPr>
    </w:p>
    <w:p w14:paraId="6E52ABC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495769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4F2813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6536A5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923DCF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FE069C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F481CF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C8CFA3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768D85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C3F737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93D868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85FC5C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D328B1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70F464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008DA5A"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EAD9B7E"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753300B8"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40AF8BC7"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99231BA"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688A7DA4"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2402EAF3" w14:textId="77777777" w:rsidR="00FB6E15" w:rsidRPr="00633873" w:rsidRDefault="00FB6E15"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p>
    <w:p w14:paraId="1EFC351C"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633873">
        <w:rPr>
          <w:rFonts w:ascii="Times New Roman" w:eastAsia="Times New Roman" w:hAnsi="Times New Roman" w:cs="Times New Roman"/>
          <w:b/>
          <w:caps/>
        </w:rPr>
        <w:t>II PRIEDAS</w:t>
      </w:r>
    </w:p>
    <w:p w14:paraId="4C8E3BED" w14:textId="77777777" w:rsidR="00A35A18" w:rsidRPr="00633873" w:rsidRDefault="00A35A18" w:rsidP="00A35A18">
      <w:pPr>
        <w:tabs>
          <w:tab w:val="left" w:pos="567"/>
        </w:tabs>
        <w:spacing w:after="0" w:line="260" w:lineRule="exact"/>
        <w:rPr>
          <w:rFonts w:ascii="Times New Roman" w:eastAsia="Times New Roman" w:hAnsi="Times New Roman" w:cs="Times New Roman"/>
          <w:szCs w:val="20"/>
        </w:rPr>
      </w:pPr>
    </w:p>
    <w:p w14:paraId="079DDB40"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rPr>
      </w:pPr>
      <w:r w:rsidRPr="00633873">
        <w:rPr>
          <w:rFonts w:ascii="Times New Roman" w:eastAsia="Times New Roman" w:hAnsi="Times New Roman" w:cs="Times New Roman"/>
          <w:b/>
          <w:caps/>
        </w:rPr>
        <w:t>REGISTRACIJOS SĄLYGOS</w:t>
      </w:r>
    </w:p>
    <w:p w14:paraId="4DF0EC28" w14:textId="77777777" w:rsidR="00A35A18" w:rsidRPr="00633873" w:rsidRDefault="00A35A18" w:rsidP="00A35A18">
      <w:pPr>
        <w:tabs>
          <w:tab w:val="left" w:pos="567"/>
        </w:tabs>
        <w:spacing w:after="0" w:line="260" w:lineRule="exact"/>
        <w:rPr>
          <w:rFonts w:ascii="Times New Roman" w:eastAsia="Times New Roman" w:hAnsi="Times New Roman" w:cs="Times New Roman"/>
          <w:szCs w:val="20"/>
        </w:rPr>
      </w:pPr>
    </w:p>
    <w:p w14:paraId="2EA0A66E" w14:textId="77777777" w:rsidR="00A35A18" w:rsidRPr="00633873" w:rsidRDefault="00A35A18" w:rsidP="00A35A18">
      <w:pPr>
        <w:widowControl w:val="0"/>
        <w:tabs>
          <w:tab w:val="left" w:pos="1701"/>
        </w:tabs>
        <w:spacing w:after="0" w:line="240" w:lineRule="auto"/>
        <w:ind w:left="1701" w:hanging="567"/>
        <w:rPr>
          <w:rFonts w:ascii="Times New Roman" w:eastAsia="Times New Roman" w:hAnsi="Times New Roman" w:cs="Times New Roman"/>
          <w:b/>
          <w:szCs w:val="24"/>
        </w:rPr>
      </w:pPr>
      <w:r w:rsidRPr="00633873">
        <w:rPr>
          <w:rFonts w:ascii="Times New Roman" w:eastAsia="Times New Roman" w:hAnsi="Times New Roman" w:cs="Times New Roman"/>
          <w:b/>
          <w:caps/>
        </w:rPr>
        <w:t>A</w:t>
      </w:r>
      <w:r w:rsidRPr="00633873">
        <w:rPr>
          <w:rFonts w:ascii="Times New Roman" w:eastAsia="Times New Roman" w:hAnsi="Times New Roman" w:cs="Times New Roman"/>
          <w:b/>
          <w:szCs w:val="24"/>
        </w:rPr>
        <w:t>.</w:t>
      </w:r>
      <w:r w:rsidRPr="00633873">
        <w:rPr>
          <w:rFonts w:ascii="Times New Roman" w:eastAsia="Times New Roman" w:hAnsi="Times New Roman" w:cs="Times New Roman"/>
          <w:b/>
          <w:szCs w:val="24"/>
        </w:rPr>
        <w:tab/>
        <w:t>GAMINTOJAS (-AI), ATSAKINGAS (-I) UŽ SERIJŲ IŠLEIDIMĄ</w:t>
      </w:r>
    </w:p>
    <w:p w14:paraId="641D9304" w14:textId="77777777" w:rsidR="00A35A18" w:rsidRPr="00633873" w:rsidRDefault="00A35A18" w:rsidP="00A35A18">
      <w:pPr>
        <w:tabs>
          <w:tab w:val="left" w:pos="567"/>
        </w:tabs>
        <w:spacing w:after="0" w:line="260" w:lineRule="exact"/>
        <w:rPr>
          <w:rFonts w:ascii="Times New Roman" w:eastAsia="Times New Roman" w:hAnsi="Times New Roman" w:cs="Times New Roman"/>
          <w:szCs w:val="20"/>
        </w:rPr>
      </w:pPr>
    </w:p>
    <w:p w14:paraId="5D9DDE1D" w14:textId="77777777" w:rsidR="00A35A18" w:rsidRPr="00633873" w:rsidRDefault="00A35A18" w:rsidP="00A35A18">
      <w:pPr>
        <w:widowControl w:val="0"/>
        <w:tabs>
          <w:tab w:val="left" w:pos="1701"/>
        </w:tabs>
        <w:spacing w:after="0" w:line="240" w:lineRule="auto"/>
        <w:ind w:left="1701" w:hanging="567"/>
        <w:rPr>
          <w:rFonts w:ascii="Times New Roman" w:eastAsia="Times New Roman" w:hAnsi="Times New Roman" w:cs="Times New Roman"/>
          <w:b/>
          <w:szCs w:val="24"/>
        </w:rPr>
      </w:pPr>
      <w:r w:rsidRPr="00633873">
        <w:rPr>
          <w:rFonts w:ascii="Times New Roman" w:eastAsia="Times New Roman" w:hAnsi="Times New Roman" w:cs="Times New Roman"/>
          <w:b/>
          <w:szCs w:val="24"/>
        </w:rPr>
        <w:t>B.</w:t>
      </w:r>
      <w:r w:rsidRPr="00633873">
        <w:rPr>
          <w:rFonts w:ascii="Times New Roman" w:eastAsia="Times New Roman" w:hAnsi="Times New Roman" w:cs="Times New Roman"/>
          <w:b/>
          <w:szCs w:val="24"/>
        </w:rPr>
        <w:tab/>
        <w:t>TIEKIMO IR VARTOJIMO SĄLYGOS AR APRIBOJIMAI</w:t>
      </w:r>
    </w:p>
    <w:p w14:paraId="0C5EDA53" w14:textId="77777777" w:rsidR="00A35A18" w:rsidRPr="00633873" w:rsidRDefault="00A35A18" w:rsidP="00A35A18">
      <w:pPr>
        <w:widowControl w:val="0"/>
        <w:tabs>
          <w:tab w:val="left" w:pos="567"/>
        </w:tabs>
        <w:spacing w:after="0" w:line="240" w:lineRule="auto"/>
        <w:ind w:left="567" w:hanging="567"/>
        <w:jc w:val="both"/>
        <w:outlineLvl w:val="1"/>
        <w:rPr>
          <w:rFonts w:ascii="Times New Roman" w:eastAsia="Times New Roman" w:hAnsi="Times New Roman" w:cs="Times New Roman"/>
          <w:b/>
          <w:bCs/>
          <w:snapToGrid w:val="0"/>
          <w:szCs w:val="24"/>
        </w:rPr>
      </w:pPr>
      <w:r w:rsidRPr="00633873">
        <w:rPr>
          <w:rFonts w:ascii="Times New Roman" w:eastAsia="Times New Roman" w:hAnsi="Times New Roman" w:cs="Times New Roman"/>
          <w:snapToGrid w:val="0"/>
          <w:szCs w:val="20"/>
        </w:rPr>
        <w:br w:type="page"/>
      </w:r>
      <w:r w:rsidRPr="00633873">
        <w:rPr>
          <w:rFonts w:ascii="Times New Roman" w:eastAsia="Times New Roman" w:hAnsi="Times New Roman" w:cs="Times New Roman"/>
          <w:b/>
          <w:bCs/>
        </w:rPr>
        <w:lastRenderedPageBreak/>
        <w:t>A.</w:t>
      </w:r>
      <w:r w:rsidRPr="00633873">
        <w:rPr>
          <w:rFonts w:ascii="Times New Roman" w:eastAsia="Times New Roman" w:hAnsi="Times New Roman" w:cs="Times New Roman"/>
          <w:b/>
          <w:bCs/>
        </w:rPr>
        <w:tab/>
        <w:t>GAMINTOJAS (-AI), ATSAKINGAS (-I) UŽ SERIJŲ IŠLEIDIMĄ</w:t>
      </w:r>
    </w:p>
    <w:p w14:paraId="2DEA693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4D21169" w14:textId="77777777" w:rsidR="00A35A18" w:rsidRPr="00633873" w:rsidRDefault="00A35A18" w:rsidP="00A35A18">
      <w:pPr>
        <w:tabs>
          <w:tab w:val="left" w:pos="567"/>
        </w:tabs>
        <w:spacing w:after="0" w:line="240" w:lineRule="auto"/>
        <w:jc w:val="both"/>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u w:val="single"/>
        </w:rPr>
        <w:t>Gamintojo (-ų), atsakingo (-ų) už serijų išleidimą, pavadinimas (-ai) ir adresas (-ai)</w:t>
      </w:r>
    </w:p>
    <w:p w14:paraId="59F29ABF"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4B2774AB"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Genepharm</w:t>
      </w:r>
      <w:proofErr w:type="spellEnd"/>
      <w:r w:rsidRPr="00633873">
        <w:rPr>
          <w:rFonts w:ascii="Times New Roman" w:eastAsia="Times New Roman" w:hAnsi="Times New Roman" w:cs="Times New Roman"/>
          <w:snapToGrid w:val="0"/>
          <w:szCs w:val="24"/>
          <w:u w:val="single"/>
        </w:rPr>
        <w:t xml:space="preserve"> S.A, </w:t>
      </w:r>
    </w:p>
    <w:p w14:paraId="43B39172"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18 km </w:t>
      </w:r>
      <w:proofErr w:type="spellStart"/>
      <w:r w:rsidRPr="00633873">
        <w:rPr>
          <w:rFonts w:ascii="Times New Roman" w:eastAsia="Times New Roman" w:hAnsi="Times New Roman" w:cs="Times New Roman"/>
          <w:snapToGrid w:val="0"/>
          <w:szCs w:val="24"/>
        </w:rPr>
        <w:t>Marathonos</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Avenue</w:t>
      </w:r>
      <w:proofErr w:type="spellEnd"/>
      <w:r w:rsidRPr="00633873">
        <w:rPr>
          <w:rFonts w:ascii="Times New Roman" w:eastAsia="Times New Roman" w:hAnsi="Times New Roman" w:cs="Times New Roman"/>
          <w:snapToGrid w:val="0"/>
          <w:szCs w:val="24"/>
        </w:rPr>
        <w:t xml:space="preserve">, </w:t>
      </w:r>
    </w:p>
    <w:p w14:paraId="5ADFADA3"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153 51 </w:t>
      </w:r>
      <w:proofErr w:type="spellStart"/>
      <w:r w:rsidRPr="00633873">
        <w:rPr>
          <w:rFonts w:ascii="Times New Roman" w:eastAsia="Times New Roman" w:hAnsi="Times New Roman" w:cs="Times New Roman"/>
          <w:snapToGrid w:val="0"/>
          <w:szCs w:val="24"/>
        </w:rPr>
        <w:t>Pallini</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Attiki</w:t>
      </w:r>
      <w:proofErr w:type="spellEnd"/>
      <w:r w:rsidRPr="00633873">
        <w:rPr>
          <w:rFonts w:ascii="Times New Roman" w:eastAsia="Times New Roman" w:hAnsi="Times New Roman" w:cs="Times New Roman"/>
          <w:snapToGrid w:val="0"/>
          <w:szCs w:val="24"/>
        </w:rPr>
        <w:t xml:space="preserve">, </w:t>
      </w:r>
    </w:p>
    <w:p w14:paraId="52151D48"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Graikija</w:t>
      </w:r>
    </w:p>
    <w:p w14:paraId="0F112F8C"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p>
    <w:p w14:paraId="2159BFEA"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arba</w:t>
      </w:r>
    </w:p>
    <w:p w14:paraId="0B243460"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u w:val="single"/>
        </w:rPr>
      </w:pPr>
    </w:p>
    <w:p w14:paraId="06F9FB7A"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Delorbis</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Pharmaceuticals</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Ltd</w:t>
      </w:r>
      <w:proofErr w:type="spellEnd"/>
      <w:r w:rsidRPr="00633873">
        <w:rPr>
          <w:rFonts w:ascii="Times New Roman" w:eastAsia="Times New Roman" w:hAnsi="Times New Roman" w:cs="Times New Roman"/>
          <w:snapToGrid w:val="0"/>
          <w:szCs w:val="24"/>
          <w:u w:val="single"/>
        </w:rPr>
        <w:t xml:space="preserve">, </w:t>
      </w:r>
    </w:p>
    <w:p w14:paraId="3F313E6D"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l7 </w:t>
      </w:r>
      <w:proofErr w:type="spellStart"/>
      <w:r w:rsidRPr="00633873">
        <w:rPr>
          <w:rFonts w:ascii="Times New Roman" w:eastAsia="Times New Roman" w:hAnsi="Times New Roman" w:cs="Times New Roman"/>
          <w:snapToGrid w:val="0"/>
          <w:szCs w:val="24"/>
        </w:rPr>
        <w:t>Athinon</w:t>
      </w:r>
      <w:proofErr w:type="spellEnd"/>
      <w:r w:rsidRPr="00633873">
        <w:rPr>
          <w:rFonts w:ascii="Times New Roman" w:eastAsia="Times New Roman" w:hAnsi="Times New Roman" w:cs="Times New Roman"/>
          <w:snapToGrid w:val="0"/>
          <w:szCs w:val="24"/>
        </w:rPr>
        <w:t xml:space="preserve"> str., </w:t>
      </w:r>
    </w:p>
    <w:p w14:paraId="5F34C3E5"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Ergates</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Industrial</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Area</w:t>
      </w:r>
      <w:proofErr w:type="spellEnd"/>
      <w:r w:rsidRPr="00633873">
        <w:rPr>
          <w:rFonts w:ascii="Times New Roman" w:eastAsia="Times New Roman" w:hAnsi="Times New Roman" w:cs="Times New Roman"/>
          <w:snapToGrid w:val="0"/>
          <w:szCs w:val="24"/>
        </w:rPr>
        <w:t xml:space="preserve">, </w:t>
      </w:r>
    </w:p>
    <w:p w14:paraId="064C2267" w14:textId="77777777" w:rsidR="00BD0F78" w:rsidRPr="00633873" w:rsidRDefault="00BD0F78" w:rsidP="00BD0F7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2643 </w:t>
      </w:r>
      <w:proofErr w:type="spellStart"/>
      <w:r w:rsidRPr="00633873">
        <w:rPr>
          <w:rFonts w:ascii="Times New Roman" w:eastAsia="Times New Roman" w:hAnsi="Times New Roman" w:cs="Times New Roman"/>
          <w:snapToGrid w:val="0"/>
          <w:szCs w:val="24"/>
        </w:rPr>
        <w:t>Ergates</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Lefkosia</w:t>
      </w:r>
      <w:proofErr w:type="spellEnd"/>
      <w:r w:rsidRPr="00633873">
        <w:rPr>
          <w:rFonts w:ascii="Times New Roman" w:eastAsia="Times New Roman" w:hAnsi="Times New Roman" w:cs="Times New Roman"/>
          <w:snapToGrid w:val="0"/>
          <w:szCs w:val="24"/>
        </w:rPr>
        <w:t>,</w:t>
      </w:r>
    </w:p>
    <w:p w14:paraId="31D086B6" w14:textId="77777777" w:rsidR="00A35A18" w:rsidRPr="00633873" w:rsidRDefault="00BD0F78" w:rsidP="00BD0F7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Kipras</w:t>
      </w:r>
    </w:p>
    <w:p w14:paraId="0857DE2F" w14:textId="77777777" w:rsidR="00BD0F78" w:rsidRDefault="00BD0F78" w:rsidP="00A35A18">
      <w:pPr>
        <w:tabs>
          <w:tab w:val="left" w:pos="567"/>
        </w:tabs>
        <w:spacing w:after="0" w:line="240" w:lineRule="auto"/>
        <w:rPr>
          <w:rFonts w:ascii="Times New Roman" w:eastAsia="Times New Roman" w:hAnsi="Times New Roman" w:cs="Times New Roman"/>
          <w:snapToGrid w:val="0"/>
          <w:szCs w:val="24"/>
        </w:rPr>
      </w:pPr>
    </w:p>
    <w:p w14:paraId="111E7D6F" w14:textId="77777777" w:rsidR="005F4A49" w:rsidRDefault="005F4A49" w:rsidP="005F4A49">
      <w:pPr>
        <w:tabs>
          <w:tab w:val="left" w:pos="567"/>
        </w:tab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arba</w:t>
      </w:r>
    </w:p>
    <w:p w14:paraId="59BED86D" w14:textId="77777777" w:rsidR="005F4A49" w:rsidRDefault="005F4A49" w:rsidP="005F4A49">
      <w:pPr>
        <w:tabs>
          <w:tab w:val="left" w:pos="567"/>
        </w:tabs>
        <w:spacing w:after="0" w:line="240" w:lineRule="auto"/>
        <w:rPr>
          <w:rFonts w:ascii="Times New Roman" w:eastAsia="Times New Roman" w:hAnsi="Times New Roman" w:cs="Times New Roman"/>
          <w:snapToGrid w:val="0"/>
          <w:szCs w:val="24"/>
        </w:rPr>
      </w:pPr>
    </w:p>
    <w:p w14:paraId="0981A3EB" w14:textId="77777777" w:rsidR="005F4A49" w:rsidRPr="00353AE9" w:rsidRDefault="005F4A49" w:rsidP="005F4A49">
      <w:pPr>
        <w:tabs>
          <w:tab w:val="left" w:pos="567"/>
        </w:tabs>
        <w:spacing w:after="0" w:line="240" w:lineRule="auto"/>
        <w:rPr>
          <w:rFonts w:ascii="Times New Roman" w:eastAsia="Times New Roman" w:hAnsi="Times New Roman" w:cs="Times New Roman"/>
          <w:snapToGrid w:val="0"/>
          <w:szCs w:val="24"/>
          <w:lang w:val="de-DE"/>
        </w:rPr>
      </w:pPr>
      <w:r w:rsidRPr="00353AE9">
        <w:rPr>
          <w:rFonts w:ascii="Times New Roman" w:eastAsia="Times New Roman" w:hAnsi="Times New Roman" w:cs="Times New Roman"/>
          <w:snapToGrid w:val="0"/>
          <w:szCs w:val="24"/>
          <w:lang w:val="de-DE"/>
        </w:rPr>
        <w:t>Prestige Promotion Verkaufsförderung &amp;</w:t>
      </w:r>
    </w:p>
    <w:p w14:paraId="4D7A2B70" w14:textId="77777777" w:rsidR="005F4A49" w:rsidRPr="00353AE9" w:rsidRDefault="005F4A49" w:rsidP="005F4A49">
      <w:pPr>
        <w:tabs>
          <w:tab w:val="left" w:pos="567"/>
        </w:tabs>
        <w:spacing w:after="0" w:line="240" w:lineRule="auto"/>
        <w:rPr>
          <w:rFonts w:ascii="Times New Roman" w:eastAsia="Times New Roman" w:hAnsi="Times New Roman" w:cs="Times New Roman"/>
          <w:snapToGrid w:val="0"/>
          <w:szCs w:val="24"/>
          <w:lang w:val="de-DE"/>
        </w:rPr>
      </w:pPr>
      <w:r w:rsidRPr="00353AE9">
        <w:rPr>
          <w:rFonts w:ascii="Times New Roman" w:eastAsia="Times New Roman" w:hAnsi="Times New Roman" w:cs="Times New Roman"/>
          <w:snapToGrid w:val="0"/>
          <w:szCs w:val="24"/>
          <w:lang w:val="de-DE"/>
        </w:rPr>
        <w:t>Werbeservice GmbH</w:t>
      </w:r>
    </w:p>
    <w:p w14:paraId="62E142F3" w14:textId="77777777" w:rsidR="005F4A49" w:rsidRPr="00353AE9" w:rsidRDefault="005F4A49" w:rsidP="005F4A49">
      <w:pPr>
        <w:tabs>
          <w:tab w:val="left" w:pos="567"/>
        </w:tabs>
        <w:spacing w:after="0" w:line="240" w:lineRule="auto"/>
        <w:rPr>
          <w:rFonts w:ascii="Times New Roman" w:eastAsia="Times New Roman" w:hAnsi="Times New Roman" w:cs="Times New Roman"/>
          <w:snapToGrid w:val="0"/>
          <w:szCs w:val="24"/>
          <w:lang w:val="de-DE"/>
        </w:rPr>
      </w:pPr>
      <w:proofErr w:type="spellStart"/>
      <w:r w:rsidRPr="00353AE9">
        <w:rPr>
          <w:rFonts w:ascii="Times New Roman" w:eastAsia="Times New Roman" w:hAnsi="Times New Roman" w:cs="Times New Roman"/>
          <w:snapToGrid w:val="0"/>
          <w:szCs w:val="24"/>
          <w:lang w:val="de-DE"/>
        </w:rPr>
        <w:t>Borsigstraße</w:t>
      </w:r>
      <w:proofErr w:type="spellEnd"/>
      <w:r w:rsidRPr="00353AE9">
        <w:rPr>
          <w:rFonts w:ascii="Times New Roman" w:eastAsia="Times New Roman" w:hAnsi="Times New Roman" w:cs="Times New Roman"/>
          <w:snapToGrid w:val="0"/>
          <w:szCs w:val="24"/>
          <w:lang w:val="de-DE"/>
        </w:rPr>
        <w:t xml:space="preserve"> 2,</w:t>
      </w:r>
    </w:p>
    <w:p w14:paraId="76D24741" w14:textId="77777777" w:rsidR="005F4A49" w:rsidRDefault="005F4A49" w:rsidP="005F4A49">
      <w:pPr>
        <w:tabs>
          <w:tab w:val="left" w:pos="567"/>
        </w:tabs>
        <w:spacing w:after="0" w:line="240" w:lineRule="auto"/>
        <w:rPr>
          <w:rFonts w:ascii="Times New Roman" w:eastAsia="Times New Roman" w:hAnsi="Times New Roman" w:cs="Times New Roman"/>
          <w:snapToGrid w:val="0"/>
          <w:szCs w:val="24"/>
          <w:lang w:val="de-DE"/>
        </w:rPr>
      </w:pPr>
      <w:r w:rsidRPr="00353AE9">
        <w:rPr>
          <w:rFonts w:ascii="Times New Roman" w:eastAsia="Times New Roman" w:hAnsi="Times New Roman" w:cs="Times New Roman"/>
          <w:snapToGrid w:val="0"/>
          <w:szCs w:val="24"/>
          <w:lang w:val="de-DE"/>
        </w:rPr>
        <w:t>63755 Alzenau,</w:t>
      </w:r>
    </w:p>
    <w:p w14:paraId="27CCBDEC" w14:textId="77777777" w:rsidR="00BD0F78" w:rsidRPr="00633873" w:rsidRDefault="005F4A49" w:rsidP="00A35A18">
      <w:pPr>
        <w:tabs>
          <w:tab w:val="left" w:pos="567"/>
        </w:tabs>
        <w:spacing w:after="0" w:line="240" w:lineRule="auto"/>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lang w:val="de-DE"/>
        </w:rPr>
        <w:t>Vokietija</w:t>
      </w:r>
      <w:proofErr w:type="spellEnd"/>
    </w:p>
    <w:p w14:paraId="749EDD59" w14:textId="77777777" w:rsidR="00BD0F78" w:rsidRPr="00633873" w:rsidRDefault="00BD0F78" w:rsidP="00A35A18">
      <w:pPr>
        <w:tabs>
          <w:tab w:val="left" w:pos="567"/>
        </w:tabs>
        <w:spacing w:after="0" w:line="240" w:lineRule="auto"/>
        <w:rPr>
          <w:rFonts w:ascii="Times New Roman" w:eastAsia="Times New Roman" w:hAnsi="Times New Roman" w:cs="Times New Roman"/>
          <w:snapToGrid w:val="0"/>
          <w:szCs w:val="24"/>
        </w:rPr>
      </w:pPr>
    </w:p>
    <w:p w14:paraId="0D9E9EA3"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19389E12"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2C14DDA0"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4"/>
        </w:rPr>
      </w:pPr>
    </w:p>
    <w:p w14:paraId="378708BC" w14:textId="77777777" w:rsidR="00A35A18" w:rsidRPr="00633873" w:rsidRDefault="00A35A18" w:rsidP="00A35A18">
      <w:pPr>
        <w:widowControl w:val="0"/>
        <w:tabs>
          <w:tab w:val="left" w:pos="567"/>
        </w:tabs>
        <w:spacing w:after="0" w:line="240" w:lineRule="auto"/>
        <w:ind w:left="567" w:hanging="567"/>
        <w:jc w:val="both"/>
        <w:outlineLvl w:val="1"/>
        <w:rPr>
          <w:rFonts w:ascii="Times New Roman" w:eastAsia="Times New Roman" w:hAnsi="Times New Roman" w:cs="Times New Roman"/>
          <w:b/>
          <w:bCs/>
        </w:rPr>
      </w:pPr>
      <w:r w:rsidRPr="00633873">
        <w:rPr>
          <w:rFonts w:ascii="Times New Roman" w:eastAsia="Times New Roman" w:hAnsi="Times New Roman" w:cs="Times New Roman"/>
          <w:b/>
          <w:bCs/>
        </w:rPr>
        <w:t>B.</w:t>
      </w:r>
      <w:r w:rsidRPr="00633873">
        <w:rPr>
          <w:rFonts w:ascii="Times New Roman" w:eastAsia="Times New Roman" w:hAnsi="Times New Roman" w:cs="Times New Roman"/>
          <w:b/>
          <w:bCs/>
        </w:rPr>
        <w:tab/>
        <w:t>TIEKIMO IR VARTOJIMO SĄLYGOS AR APRIBOJIMAI</w:t>
      </w:r>
    </w:p>
    <w:p w14:paraId="5266E45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051F75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0"/>
        </w:rPr>
        <w:t>Receptinis vaistinis preparatas.</w:t>
      </w:r>
    </w:p>
    <w:p w14:paraId="738A2DAD" w14:textId="77777777" w:rsidR="00A35A18" w:rsidRPr="00633873" w:rsidRDefault="00A35A18" w:rsidP="00A35A18">
      <w:pPr>
        <w:tabs>
          <w:tab w:val="left" w:pos="4962"/>
        </w:tabs>
        <w:spacing w:after="0" w:line="240" w:lineRule="auto"/>
        <w:rPr>
          <w:rFonts w:ascii="Courier New" w:eastAsia="SimSun" w:hAnsi="Courier New" w:cs="Times New Roman"/>
          <w:sz w:val="20"/>
          <w:szCs w:val="24"/>
        </w:rPr>
      </w:pPr>
      <w:r w:rsidRPr="00633873">
        <w:rPr>
          <w:rFonts w:ascii="Courier New" w:eastAsia="SimSun" w:hAnsi="Courier New" w:cs="Times New Roman"/>
          <w:b/>
          <w:sz w:val="20"/>
          <w:szCs w:val="24"/>
        </w:rPr>
        <w:br w:type="page"/>
      </w:r>
    </w:p>
    <w:p w14:paraId="17072FB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9BE990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000C28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833CF5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6A556A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FF9302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5B96E4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5C8B4B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FCACF2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279640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6004E1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4C1B75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6A3EB7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98CD9B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B88549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822C16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8639437" w14:textId="77777777" w:rsidR="00A35A18" w:rsidRPr="00633873" w:rsidRDefault="00A35A18" w:rsidP="00A35A18">
      <w:pPr>
        <w:tabs>
          <w:tab w:val="left" w:pos="567"/>
        </w:tabs>
        <w:spacing w:after="0" w:line="260" w:lineRule="exact"/>
        <w:rPr>
          <w:rFonts w:ascii="Times New Roman" w:eastAsia="Times New Roman" w:hAnsi="Times New Roman" w:cs="Times New Roman"/>
          <w:b/>
          <w:snapToGrid w:val="0"/>
          <w:szCs w:val="20"/>
        </w:rPr>
      </w:pPr>
    </w:p>
    <w:p w14:paraId="4F39FA8A" w14:textId="77777777" w:rsidR="00A35A18" w:rsidRPr="00633873" w:rsidRDefault="00A35A18" w:rsidP="00A35A18">
      <w:pPr>
        <w:tabs>
          <w:tab w:val="left" w:pos="567"/>
        </w:tabs>
        <w:spacing w:after="0" w:line="260" w:lineRule="exact"/>
        <w:rPr>
          <w:rFonts w:ascii="Times New Roman" w:eastAsia="Times New Roman" w:hAnsi="Times New Roman" w:cs="Times New Roman"/>
          <w:b/>
          <w:snapToGrid w:val="0"/>
          <w:szCs w:val="20"/>
        </w:rPr>
      </w:pPr>
    </w:p>
    <w:p w14:paraId="7E4D63EF" w14:textId="77777777" w:rsidR="00A35A18" w:rsidRPr="00633873" w:rsidRDefault="00A35A18" w:rsidP="00A35A18">
      <w:pPr>
        <w:tabs>
          <w:tab w:val="left" w:pos="567"/>
        </w:tabs>
        <w:spacing w:after="0" w:line="260" w:lineRule="exact"/>
        <w:rPr>
          <w:rFonts w:ascii="Times New Roman" w:eastAsia="Times New Roman" w:hAnsi="Times New Roman" w:cs="Times New Roman"/>
          <w:b/>
          <w:snapToGrid w:val="0"/>
          <w:szCs w:val="20"/>
        </w:rPr>
      </w:pPr>
    </w:p>
    <w:p w14:paraId="79FFC5ED" w14:textId="77777777" w:rsidR="00A35A18" w:rsidRPr="00633873" w:rsidRDefault="00A35A18" w:rsidP="00A35A18">
      <w:pPr>
        <w:tabs>
          <w:tab w:val="left" w:pos="567"/>
        </w:tabs>
        <w:spacing w:after="0" w:line="260" w:lineRule="exact"/>
        <w:rPr>
          <w:rFonts w:ascii="Times New Roman" w:eastAsia="Times New Roman" w:hAnsi="Times New Roman" w:cs="Times New Roman"/>
          <w:b/>
          <w:snapToGrid w:val="0"/>
          <w:szCs w:val="20"/>
        </w:rPr>
      </w:pPr>
    </w:p>
    <w:p w14:paraId="645909E9" w14:textId="77777777" w:rsidR="00A35A18" w:rsidRPr="00633873" w:rsidRDefault="00A35A18" w:rsidP="00A35A18">
      <w:pPr>
        <w:tabs>
          <w:tab w:val="left" w:pos="567"/>
        </w:tabs>
        <w:spacing w:after="0" w:line="260" w:lineRule="exact"/>
        <w:rPr>
          <w:rFonts w:ascii="Times New Roman" w:eastAsia="Times New Roman" w:hAnsi="Times New Roman" w:cs="Times New Roman"/>
          <w:b/>
          <w:snapToGrid w:val="0"/>
          <w:szCs w:val="20"/>
        </w:rPr>
      </w:pPr>
    </w:p>
    <w:p w14:paraId="46DE1060" w14:textId="77777777" w:rsidR="00A35A18" w:rsidRPr="00633873" w:rsidRDefault="00A35A18" w:rsidP="00A35A18">
      <w:pPr>
        <w:tabs>
          <w:tab w:val="left" w:pos="567"/>
        </w:tabs>
        <w:spacing w:after="0" w:line="260" w:lineRule="exact"/>
        <w:rPr>
          <w:rFonts w:ascii="Times New Roman" w:eastAsia="Times New Roman" w:hAnsi="Times New Roman" w:cs="Times New Roman"/>
          <w:b/>
          <w:snapToGrid w:val="0"/>
          <w:szCs w:val="20"/>
        </w:rPr>
      </w:pPr>
    </w:p>
    <w:p w14:paraId="50271FD2" w14:textId="77777777" w:rsidR="00E31330" w:rsidRPr="00633873" w:rsidRDefault="00E31330" w:rsidP="00A35A18">
      <w:pPr>
        <w:widowControl w:val="0"/>
        <w:tabs>
          <w:tab w:val="left" w:pos="567"/>
        </w:tabs>
        <w:spacing w:after="0" w:line="240" w:lineRule="auto"/>
        <w:ind w:left="567" w:hanging="567"/>
        <w:jc w:val="center"/>
        <w:outlineLvl w:val="0"/>
        <w:rPr>
          <w:rFonts w:ascii="Times New Roman" w:eastAsia="Times New Roman" w:hAnsi="Times New Roman" w:cs="Times New Roman"/>
          <w:b/>
          <w:bCs/>
          <w:iCs/>
          <w:snapToGrid w:val="0"/>
          <w:szCs w:val="20"/>
        </w:rPr>
      </w:pPr>
    </w:p>
    <w:p w14:paraId="07FC992E"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bCs/>
          <w:iCs/>
          <w:snapToGrid w:val="0"/>
          <w:szCs w:val="24"/>
        </w:rPr>
      </w:pPr>
      <w:r w:rsidRPr="00633873">
        <w:rPr>
          <w:rFonts w:ascii="Times New Roman" w:eastAsia="Times New Roman" w:hAnsi="Times New Roman" w:cs="Times New Roman"/>
          <w:b/>
          <w:bCs/>
          <w:iCs/>
          <w:snapToGrid w:val="0"/>
          <w:szCs w:val="20"/>
        </w:rPr>
        <w:t xml:space="preserve">III </w:t>
      </w:r>
      <w:r w:rsidRPr="00633873">
        <w:rPr>
          <w:rFonts w:ascii="Times New Roman" w:eastAsia="Times New Roman" w:hAnsi="Times New Roman" w:cs="Times New Roman"/>
          <w:b/>
          <w:bCs/>
          <w:iCs/>
          <w:caps/>
          <w:szCs w:val="24"/>
        </w:rPr>
        <w:t>PRIEDAS</w:t>
      </w:r>
    </w:p>
    <w:p w14:paraId="008D1DA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0B856E1"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4"/>
        </w:rPr>
      </w:pPr>
      <w:r w:rsidRPr="00633873">
        <w:rPr>
          <w:rFonts w:ascii="Times New Roman" w:eastAsia="Times New Roman" w:hAnsi="Times New Roman" w:cs="Times New Roman"/>
          <w:b/>
          <w:caps/>
          <w:szCs w:val="24"/>
        </w:rPr>
        <w:t>ŽENKLINIMAS IR PAKUOTĖS LAPELIS</w:t>
      </w:r>
    </w:p>
    <w:p w14:paraId="7AE9D83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br w:type="page"/>
      </w:r>
    </w:p>
    <w:p w14:paraId="7817CF0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46E29D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148F9E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7A7B4A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7C9A10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D32DB2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30EA37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3A1D17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1ED95C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297BB1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1F0A23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78B06E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B954C6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9A0B58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560D90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F72CB5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1EFB4B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3F5218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E142FB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776E96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7E3F1A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EBB3F9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083FB57" w14:textId="77777777" w:rsidR="00E31330" w:rsidRPr="00633873" w:rsidRDefault="00E31330"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4"/>
        </w:rPr>
      </w:pPr>
    </w:p>
    <w:p w14:paraId="124E3750" w14:textId="77777777" w:rsidR="00A35A18" w:rsidRPr="00633873" w:rsidRDefault="00A35A18" w:rsidP="00A35A18">
      <w:pPr>
        <w:widowControl w:val="0"/>
        <w:tabs>
          <w:tab w:val="left" w:pos="567"/>
        </w:tabs>
        <w:spacing w:after="0" w:line="240" w:lineRule="auto"/>
        <w:ind w:left="567" w:hanging="567"/>
        <w:jc w:val="center"/>
        <w:outlineLvl w:val="0"/>
        <w:rPr>
          <w:rFonts w:ascii="Times New Roman" w:eastAsia="Times New Roman" w:hAnsi="Times New Roman" w:cs="Times New Roman"/>
          <w:b/>
          <w:caps/>
          <w:szCs w:val="24"/>
        </w:rPr>
      </w:pPr>
      <w:r w:rsidRPr="00633873">
        <w:rPr>
          <w:rFonts w:ascii="Times New Roman" w:eastAsia="Times New Roman" w:hAnsi="Times New Roman" w:cs="Times New Roman"/>
          <w:b/>
          <w:caps/>
          <w:szCs w:val="24"/>
        </w:rPr>
        <w:t>A. ŽENKLINIMAS</w:t>
      </w:r>
    </w:p>
    <w:p w14:paraId="5DACB18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br w:type="page"/>
      </w:r>
    </w:p>
    <w:p w14:paraId="45239475"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lastRenderedPageBreak/>
        <w:t>INFORMACIJA ANT IŠORINĖS PAKUOTĖS</w:t>
      </w:r>
    </w:p>
    <w:p w14:paraId="0103357C"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73277584"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KARTONO DĖŽUTĖ</w:t>
      </w:r>
    </w:p>
    <w:p w14:paraId="4BD42DE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5F10FE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BFB8109"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1.</w:t>
      </w:r>
      <w:r w:rsidRPr="00633873">
        <w:rPr>
          <w:rFonts w:ascii="Times New Roman" w:eastAsia="Times New Roman" w:hAnsi="Times New Roman" w:cs="Times New Roman"/>
          <w:b/>
          <w:snapToGrid w:val="0"/>
          <w:szCs w:val="24"/>
        </w:rPr>
        <w:tab/>
      </w:r>
      <w:r w:rsidRPr="00633873">
        <w:rPr>
          <w:rFonts w:ascii="Times New Roman" w:eastAsia="Times New Roman" w:hAnsi="Times New Roman" w:cs="Times New Roman"/>
          <w:b/>
          <w:caps/>
          <w:snapToGrid w:val="0"/>
          <w:szCs w:val="24"/>
        </w:rPr>
        <w:t>VAISTINIO</w:t>
      </w:r>
      <w:r w:rsidRPr="00633873">
        <w:rPr>
          <w:rFonts w:ascii="Times New Roman" w:eastAsia="Times New Roman" w:hAnsi="Times New Roman" w:cs="Times New Roman"/>
          <w:b/>
          <w:snapToGrid w:val="0"/>
          <w:szCs w:val="24"/>
        </w:rPr>
        <w:t xml:space="preserve"> PREPARATO PAVADINIMAS</w:t>
      </w:r>
    </w:p>
    <w:p w14:paraId="6A91FCA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D95757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5 mg plėvele dengtos tabletės</w:t>
      </w:r>
    </w:p>
    <w:p w14:paraId="69C8534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0"/>
          <w:highlight w:val="lightGray"/>
        </w:rPr>
        <w:t>Ambrisentan</w:t>
      </w:r>
      <w:proofErr w:type="spellEnd"/>
      <w:r w:rsidRPr="00633873">
        <w:rPr>
          <w:rFonts w:ascii="Times New Roman" w:eastAsia="Times New Roman" w:hAnsi="Times New Roman" w:cs="Times New Roman"/>
          <w:snapToGrid w:val="0"/>
          <w:szCs w:val="20"/>
          <w:highlight w:val="lightGray"/>
        </w:rPr>
        <w:t xml:space="preserve"> </w:t>
      </w:r>
      <w:proofErr w:type="spellStart"/>
      <w:r w:rsidR="00E62DAA" w:rsidRPr="00633873">
        <w:rPr>
          <w:rFonts w:ascii="Times New Roman" w:eastAsia="Times New Roman" w:hAnsi="Times New Roman" w:cs="Times New Roman"/>
          <w:snapToGrid w:val="0"/>
          <w:szCs w:val="20"/>
          <w:highlight w:val="lightGray"/>
        </w:rPr>
        <w:t>Zentiva</w:t>
      </w:r>
      <w:proofErr w:type="spellEnd"/>
      <w:r w:rsidRPr="00633873">
        <w:rPr>
          <w:rFonts w:ascii="Times New Roman" w:eastAsia="Times New Roman" w:hAnsi="Times New Roman" w:cs="Times New Roman"/>
          <w:snapToGrid w:val="0"/>
          <w:szCs w:val="20"/>
          <w:highlight w:val="lightGray"/>
        </w:rPr>
        <w:t xml:space="preserve"> 10 mg plėvele dengtos tabletės</w:t>
      </w:r>
    </w:p>
    <w:p w14:paraId="452FF781" w14:textId="448D1C3C" w:rsidR="00A35A18" w:rsidRPr="0022563C" w:rsidRDefault="00EA4620" w:rsidP="00A35A18">
      <w:pPr>
        <w:tabs>
          <w:tab w:val="left" w:pos="567"/>
        </w:tabs>
        <w:spacing w:after="0" w:line="260" w:lineRule="exact"/>
        <w:rPr>
          <w:rFonts w:ascii="Times New Roman" w:hAnsi="Times New Roman"/>
          <w:i/>
        </w:rPr>
      </w:pPr>
      <w:proofErr w:type="spellStart"/>
      <w:r w:rsidRPr="0022563C">
        <w:rPr>
          <w:rFonts w:ascii="Times New Roman" w:hAnsi="Times New Roman"/>
          <w:i/>
        </w:rPr>
        <w:t>a</w:t>
      </w:r>
      <w:r w:rsidR="00A35A18" w:rsidRPr="0022563C">
        <w:rPr>
          <w:rFonts w:ascii="Times New Roman" w:hAnsi="Times New Roman"/>
          <w:i/>
        </w:rPr>
        <w:t>mbrisentan</w:t>
      </w:r>
      <w:r w:rsidR="00E332E0" w:rsidRPr="0022563C">
        <w:rPr>
          <w:rFonts w:ascii="Times New Roman" w:hAnsi="Times New Roman"/>
          <w:i/>
        </w:rPr>
        <w:t>um</w:t>
      </w:r>
      <w:proofErr w:type="spellEnd"/>
    </w:p>
    <w:p w14:paraId="5C36DD7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FDBE52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1F28305"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2.</w:t>
      </w:r>
      <w:r w:rsidRPr="00633873">
        <w:rPr>
          <w:rFonts w:ascii="Times New Roman" w:eastAsia="Times New Roman" w:hAnsi="Times New Roman" w:cs="Times New Roman"/>
          <w:b/>
          <w:snapToGrid w:val="0"/>
          <w:szCs w:val="24"/>
        </w:rPr>
        <w:tab/>
        <w:t>VEIKLIOJI (-IOS) MEDŽIAGA (-OS) IR JOS (-Ų) KIEKIS (-IAI)</w:t>
      </w:r>
    </w:p>
    <w:p w14:paraId="7F995B1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947659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Kiekvienoje tabletėje yra 5 mg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cr/>
      </w:r>
      <w:r w:rsidRPr="00633873">
        <w:rPr>
          <w:rFonts w:ascii="Times New Roman" w:eastAsia="Times New Roman" w:hAnsi="Times New Roman" w:cs="Times New Roman"/>
          <w:snapToGrid w:val="0"/>
          <w:szCs w:val="20"/>
          <w:highlight w:val="lightGray"/>
        </w:rPr>
        <w:t xml:space="preserve">Kiekvienoje tabletėje yra 10 mg </w:t>
      </w:r>
      <w:proofErr w:type="spellStart"/>
      <w:r w:rsidRPr="00633873">
        <w:rPr>
          <w:rFonts w:ascii="Times New Roman" w:eastAsia="Times New Roman" w:hAnsi="Times New Roman" w:cs="Times New Roman"/>
          <w:snapToGrid w:val="0"/>
          <w:szCs w:val="20"/>
          <w:highlight w:val="lightGray"/>
        </w:rPr>
        <w:t>ambrisentano</w:t>
      </w:r>
      <w:proofErr w:type="spellEnd"/>
      <w:r w:rsidRPr="00633873">
        <w:rPr>
          <w:rFonts w:ascii="Times New Roman" w:eastAsia="Times New Roman" w:hAnsi="Times New Roman" w:cs="Times New Roman"/>
          <w:snapToGrid w:val="0"/>
          <w:szCs w:val="20"/>
          <w:highlight w:val="lightGray"/>
        </w:rPr>
        <w:t>.</w:t>
      </w:r>
      <w:r w:rsidRPr="00633873">
        <w:rPr>
          <w:rFonts w:ascii="Times New Roman" w:eastAsia="Times New Roman" w:hAnsi="Times New Roman" w:cs="Times New Roman"/>
          <w:snapToGrid w:val="0"/>
          <w:szCs w:val="24"/>
        </w:rPr>
        <w:cr/>
      </w:r>
    </w:p>
    <w:p w14:paraId="0310C6D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5A90B69"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3.</w:t>
      </w:r>
      <w:r w:rsidRPr="00633873">
        <w:rPr>
          <w:rFonts w:ascii="Times New Roman" w:eastAsia="Times New Roman" w:hAnsi="Times New Roman" w:cs="Times New Roman"/>
          <w:b/>
          <w:snapToGrid w:val="0"/>
          <w:szCs w:val="24"/>
        </w:rPr>
        <w:tab/>
        <w:t>PAGALBINIŲ MEDŽIAGŲ SĄRAŠAS</w:t>
      </w:r>
    </w:p>
    <w:p w14:paraId="312784C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41E8C28" w14:textId="77777777" w:rsidR="00EA4620"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Sudėtyje yra laktozės</w:t>
      </w:r>
      <w:r w:rsidR="00EA4620" w:rsidRPr="00633873">
        <w:rPr>
          <w:rFonts w:ascii="Times New Roman" w:eastAsia="Times New Roman" w:hAnsi="Times New Roman" w:cs="Times New Roman"/>
          <w:snapToGrid w:val="0"/>
          <w:szCs w:val="24"/>
        </w:rPr>
        <w:t xml:space="preserve"> </w:t>
      </w:r>
      <w:proofErr w:type="spellStart"/>
      <w:r w:rsidR="00EA4620" w:rsidRPr="00633873">
        <w:rPr>
          <w:rFonts w:ascii="Times New Roman" w:eastAsia="Times New Roman" w:hAnsi="Times New Roman" w:cs="Times New Roman"/>
          <w:snapToGrid w:val="0"/>
          <w:szCs w:val="24"/>
        </w:rPr>
        <w:t>monohidrato</w:t>
      </w:r>
      <w:proofErr w:type="spellEnd"/>
      <w:r w:rsidRPr="00633873">
        <w:rPr>
          <w:rFonts w:ascii="Times New Roman" w:eastAsia="Times New Roman" w:hAnsi="Times New Roman" w:cs="Times New Roman"/>
          <w:snapToGrid w:val="0"/>
          <w:szCs w:val="24"/>
        </w:rPr>
        <w:t xml:space="preserve">, </w:t>
      </w:r>
      <w:r w:rsidR="00EA4620" w:rsidRPr="00633873">
        <w:rPr>
          <w:rFonts w:ascii="Times New Roman" w:eastAsia="Times New Roman" w:hAnsi="Times New Roman" w:cs="Times New Roman"/>
          <w:snapToGrid w:val="0"/>
          <w:szCs w:val="24"/>
        </w:rPr>
        <w:t xml:space="preserve">sojų </w:t>
      </w:r>
      <w:proofErr w:type="spellStart"/>
      <w:r w:rsidR="00EA4620" w:rsidRPr="00633873">
        <w:rPr>
          <w:rFonts w:ascii="Times New Roman" w:eastAsia="Times New Roman" w:hAnsi="Times New Roman" w:cs="Times New Roman"/>
          <w:snapToGrid w:val="0"/>
          <w:szCs w:val="24"/>
        </w:rPr>
        <w:t>lecitino</w:t>
      </w:r>
      <w:proofErr w:type="spellEnd"/>
      <w:r w:rsidR="00EA4620" w:rsidRPr="00633873">
        <w:rPr>
          <w:rFonts w:ascii="Times New Roman" w:eastAsia="Times New Roman" w:hAnsi="Times New Roman" w:cs="Times New Roman"/>
          <w:snapToGrid w:val="0"/>
          <w:szCs w:val="24"/>
        </w:rPr>
        <w:t xml:space="preserve"> (E322) ir </w:t>
      </w:r>
      <w:proofErr w:type="spellStart"/>
      <w:r w:rsidRPr="00633873">
        <w:rPr>
          <w:rFonts w:ascii="Times New Roman" w:eastAsia="Times New Roman" w:hAnsi="Times New Roman" w:cs="Times New Roman"/>
          <w:snapToGrid w:val="0"/>
          <w:szCs w:val="24"/>
        </w:rPr>
        <w:t>Alura</w:t>
      </w:r>
      <w:proofErr w:type="spellEnd"/>
      <w:r w:rsidRPr="00633873">
        <w:rPr>
          <w:rFonts w:ascii="Times New Roman" w:eastAsia="Times New Roman" w:hAnsi="Times New Roman" w:cs="Times New Roman"/>
          <w:snapToGrid w:val="0"/>
          <w:szCs w:val="24"/>
        </w:rPr>
        <w:t xml:space="preserve"> raudonojo AC (E129)</w:t>
      </w:r>
      <w:r w:rsidR="00EA4620" w:rsidRPr="00633873">
        <w:rPr>
          <w:rFonts w:ascii="Times New Roman" w:eastAsia="Times New Roman" w:hAnsi="Times New Roman" w:cs="Times New Roman"/>
          <w:snapToGrid w:val="0"/>
          <w:szCs w:val="24"/>
        </w:rPr>
        <w:t>.</w:t>
      </w:r>
    </w:p>
    <w:p w14:paraId="32F3B2A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Daugiau informacijos pateikiama pakuotės lapelyje.</w:t>
      </w:r>
    </w:p>
    <w:p w14:paraId="4A19552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8E4CAF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C4BC4CC"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4.</w:t>
      </w:r>
      <w:r w:rsidRPr="00633873">
        <w:rPr>
          <w:rFonts w:ascii="Times New Roman" w:eastAsia="Times New Roman" w:hAnsi="Times New Roman" w:cs="Times New Roman"/>
          <w:b/>
          <w:snapToGrid w:val="0"/>
          <w:szCs w:val="24"/>
        </w:rPr>
        <w:tab/>
        <w:t>FARMACINĖ FORMA IR KIEKIS PAKUOTĖJE</w:t>
      </w:r>
    </w:p>
    <w:p w14:paraId="51C96FC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7D1B21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570F2A">
        <w:rPr>
          <w:rFonts w:ascii="Times New Roman" w:eastAsia="Times New Roman" w:hAnsi="Times New Roman" w:cs="Times New Roman"/>
          <w:snapToGrid w:val="0"/>
          <w:szCs w:val="24"/>
          <w:highlight w:val="lightGray"/>
        </w:rPr>
        <w:t>Plėvele dengta tabletė</w:t>
      </w:r>
    </w:p>
    <w:p w14:paraId="02AA91F9" w14:textId="77777777" w:rsidR="00EA4620" w:rsidRPr="00633873" w:rsidRDefault="00EA4620" w:rsidP="00EA4620">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10 plėvele dengtų tablečių</w:t>
      </w:r>
    </w:p>
    <w:p w14:paraId="64AEC0F7" w14:textId="77777777" w:rsidR="00EA4620" w:rsidRDefault="00EA4620" w:rsidP="00EA4620">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highlight w:val="lightGray"/>
        </w:rPr>
        <w:t>30 plėvele dengtų tablečių</w:t>
      </w:r>
    </w:p>
    <w:p w14:paraId="5443672D" w14:textId="539CC563" w:rsidR="00176502" w:rsidRPr="00633873" w:rsidRDefault="00176502" w:rsidP="00EA4620">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0"/>
          <w:highlight w:val="lightGray"/>
        </w:rPr>
        <w:t>6</w:t>
      </w:r>
      <w:r w:rsidRPr="00633873">
        <w:rPr>
          <w:rFonts w:ascii="Times New Roman" w:eastAsia="Times New Roman" w:hAnsi="Times New Roman" w:cs="Times New Roman"/>
          <w:snapToGrid w:val="0"/>
          <w:szCs w:val="20"/>
          <w:highlight w:val="lightGray"/>
        </w:rPr>
        <w:t>0 plėvele dengtų tablečių</w:t>
      </w:r>
    </w:p>
    <w:p w14:paraId="1F2DB6D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highlight w:val="lightGray"/>
        </w:rPr>
      </w:pPr>
      <w:r w:rsidRPr="00633873">
        <w:rPr>
          <w:rFonts w:ascii="Times New Roman" w:eastAsia="Times New Roman" w:hAnsi="Times New Roman" w:cs="Times New Roman"/>
          <w:snapToGrid w:val="0"/>
          <w:szCs w:val="20"/>
          <w:highlight w:val="lightGray"/>
        </w:rPr>
        <w:t>10 × 1 plėvele dengta tabletė</w:t>
      </w:r>
    </w:p>
    <w:p w14:paraId="37CB8722" w14:textId="2F210A0D" w:rsidR="00A35A18" w:rsidRDefault="00A35A18" w:rsidP="00A35A18">
      <w:pPr>
        <w:tabs>
          <w:tab w:val="left" w:pos="567"/>
        </w:tabs>
        <w:spacing w:after="0" w:line="260" w:lineRule="exact"/>
        <w:rPr>
          <w:rFonts w:ascii="Times New Roman" w:eastAsia="Times New Roman" w:hAnsi="Times New Roman" w:cs="Times New Roman"/>
          <w:snapToGrid w:val="0"/>
          <w:szCs w:val="20"/>
          <w:highlight w:val="lightGray"/>
        </w:rPr>
      </w:pPr>
      <w:r w:rsidRPr="00633873">
        <w:rPr>
          <w:rFonts w:ascii="Times New Roman" w:eastAsia="Times New Roman" w:hAnsi="Times New Roman" w:cs="Times New Roman"/>
          <w:snapToGrid w:val="0"/>
          <w:szCs w:val="20"/>
          <w:highlight w:val="lightGray"/>
        </w:rPr>
        <w:t>30 × 1 plėvele dengta tabletė</w:t>
      </w:r>
    </w:p>
    <w:p w14:paraId="16A6CC07" w14:textId="1FCDC20F" w:rsidR="00176502" w:rsidRPr="00633873" w:rsidRDefault="00176502" w:rsidP="00A35A18">
      <w:pPr>
        <w:tabs>
          <w:tab w:val="left" w:pos="567"/>
        </w:tabs>
        <w:spacing w:after="0" w:line="260" w:lineRule="exact"/>
        <w:rPr>
          <w:rFonts w:ascii="Times New Roman" w:eastAsia="Times New Roman" w:hAnsi="Times New Roman" w:cs="Times New Roman"/>
          <w:snapToGrid w:val="0"/>
          <w:szCs w:val="20"/>
          <w:highlight w:val="lightGray"/>
        </w:rPr>
      </w:pPr>
      <w:r>
        <w:rPr>
          <w:rFonts w:ascii="Times New Roman" w:eastAsia="Times New Roman" w:hAnsi="Times New Roman" w:cs="Times New Roman"/>
          <w:snapToGrid w:val="0"/>
          <w:szCs w:val="20"/>
          <w:highlight w:val="lightGray"/>
        </w:rPr>
        <w:t>6</w:t>
      </w:r>
      <w:r w:rsidRPr="00633873">
        <w:rPr>
          <w:rFonts w:ascii="Times New Roman" w:eastAsia="Times New Roman" w:hAnsi="Times New Roman" w:cs="Times New Roman"/>
          <w:snapToGrid w:val="0"/>
          <w:szCs w:val="20"/>
          <w:highlight w:val="lightGray"/>
        </w:rPr>
        <w:t>0 × 1 plėvele dengta tabletė</w:t>
      </w:r>
    </w:p>
    <w:p w14:paraId="160BEBF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267F03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877627E"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5.</w:t>
      </w:r>
      <w:r w:rsidRPr="00633873">
        <w:rPr>
          <w:rFonts w:ascii="Times New Roman" w:eastAsia="Times New Roman" w:hAnsi="Times New Roman" w:cs="Times New Roman"/>
          <w:b/>
          <w:snapToGrid w:val="0"/>
          <w:szCs w:val="24"/>
        </w:rPr>
        <w:tab/>
        <w:t>VARTOJIMO METODAS IR BŪDAS (-AI)</w:t>
      </w:r>
    </w:p>
    <w:p w14:paraId="270A66E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51B3BD5" w14:textId="77777777" w:rsidR="00EA4620" w:rsidRPr="00633873" w:rsidRDefault="00EA4620" w:rsidP="00EA4620">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Vartoti per burną.</w:t>
      </w:r>
    </w:p>
    <w:p w14:paraId="10D33AE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Prieš vartojimą perskaitykite pakuotės lapelį.</w:t>
      </w:r>
    </w:p>
    <w:p w14:paraId="1286EE8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D78B51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AC8E2BD"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6.</w:t>
      </w:r>
      <w:r w:rsidRPr="00633873">
        <w:rPr>
          <w:rFonts w:ascii="Times New Roman" w:eastAsia="Times New Roman" w:hAnsi="Times New Roman" w:cs="Times New Roman"/>
          <w:b/>
          <w:snapToGrid w:val="0"/>
          <w:szCs w:val="24"/>
        </w:rPr>
        <w:tab/>
        <w:t>SPECIALUS ĮSPĖJIMAS, KAD VAISTINĮ PREPARATĄ BŪTINA LAIKYTI VAIKAMS NEPASTEBIMOJE IR  NEPASIEKIAMOJE VIETOJE</w:t>
      </w:r>
    </w:p>
    <w:p w14:paraId="07AF584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CD9AF8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Laikyti vaikams nepastebimoje ir nepasiekiamoje vietoje.</w:t>
      </w:r>
    </w:p>
    <w:p w14:paraId="762F6F7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4D3DC4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EB77F78"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7.</w:t>
      </w:r>
      <w:r w:rsidRPr="00633873">
        <w:rPr>
          <w:rFonts w:ascii="Times New Roman" w:eastAsia="Times New Roman" w:hAnsi="Times New Roman" w:cs="Times New Roman"/>
          <w:b/>
          <w:snapToGrid w:val="0"/>
          <w:szCs w:val="24"/>
        </w:rPr>
        <w:tab/>
        <w:t>KITAS (-I) SPECIALUS (-ŪS) ĮSPĖJIMAS (-AI) (JEI REIKIA)</w:t>
      </w:r>
    </w:p>
    <w:p w14:paraId="00A1DDF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CCDD9A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0238B9F"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8.</w:t>
      </w:r>
      <w:r w:rsidRPr="00633873">
        <w:rPr>
          <w:rFonts w:ascii="Times New Roman" w:eastAsia="Times New Roman" w:hAnsi="Times New Roman" w:cs="Times New Roman"/>
          <w:b/>
          <w:snapToGrid w:val="0"/>
          <w:szCs w:val="24"/>
        </w:rPr>
        <w:tab/>
        <w:t>TINKAMUMO LAIKAS</w:t>
      </w:r>
    </w:p>
    <w:p w14:paraId="4EB041A8"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AD39D46" w14:textId="77777777" w:rsidR="00A35A18" w:rsidRPr="00633873" w:rsidRDefault="00A35A18" w:rsidP="000570FC">
      <w:pPr>
        <w:tabs>
          <w:tab w:val="left" w:pos="567"/>
          <w:tab w:val="left" w:pos="2835"/>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EXP</w:t>
      </w:r>
      <w:r w:rsidR="002A4C21" w:rsidRPr="00633873">
        <w:rPr>
          <w:rFonts w:ascii="Times New Roman" w:eastAsia="Times New Roman" w:hAnsi="Times New Roman" w:cs="Times New Roman"/>
          <w:snapToGrid w:val="0"/>
          <w:szCs w:val="20"/>
        </w:rPr>
        <w:t xml:space="preserve"> </w:t>
      </w:r>
      <w:r w:rsidR="002A4C21" w:rsidRPr="00633873">
        <w:rPr>
          <w:rFonts w:ascii="Times New Roman" w:hAnsi="Times New Roman" w:cs="Times New Roman"/>
        </w:rPr>
        <w:t>{mm/MMMM}</w:t>
      </w:r>
    </w:p>
    <w:p w14:paraId="03457F1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C28739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6E7151D" w14:textId="77777777" w:rsidR="00A35A18" w:rsidRPr="00633873" w:rsidRDefault="00A35A18" w:rsidP="00A35A1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9.</w:t>
      </w:r>
      <w:r w:rsidRPr="00633873">
        <w:rPr>
          <w:rFonts w:ascii="Times New Roman" w:eastAsia="Times New Roman" w:hAnsi="Times New Roman" w:cs="Times New Roman"/>
          <w:b/>
          <w:snapToGrid w:val="0"/>
          <w:szCs w:val="24"/>
        </w:rPr>
        <w:tab/>
        <w:t>SPECIALIOS LAIKYMO SĄLYGOS</w:t>
      </w:r>
    </w:p>
    <w:p w14:paraId="7A21DF4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07FE6FD" w14:textId="77777777" w:rsidR="00EA4620" w:rsidRPr="00570F2A" w:rsidRDefault="00EA4620" w:rsidP="00EA4620">
      <w:pPr>
        <w:spacing w:after="0" w:line="240" w:lineRule="auto"/>
        <w:rPr>
          <w:rFonts w:ascii="Times New Roman" w:eastAsia="Times New Roman" w:hAnsi="Times New Roman" w:cs="Times New Roman"/>
          <w:i/>
          <w:iCs/>
          <w:snapToGrid w:val="0"/>
          <w:szCs w:val="24"/>
        </w:rPr>
      </w:pPr>
      <w:bookmarkStart w:id="4" w:name="_Hlk55131133"/>
      <w:r w:rsidRPr="00570F2A">
        <w:rPr>
          <w:rFonts w:ascii="Times New Roman" w:eastAsia="Times New Roman" w:hAnsi="Times New Roman" w:cs="Times New Roman"/>
          <w:i/>
          <w:iCs/>
          <w:snapToGrid w:val="0"/>
          <w:szCs w:val="24"/>
          <w:highlight w:val="lightGray"/>
        </w:rPr>
        <w:t>Baltos PVC/PVDC/aliuminio lizdinės plokštelės</w:t>
      </w:r>
    </w:p>
    <w:p w14:paraId="45CD27F0" w14:textId="21BFB6CA" w:rsidR="00891F10" w:rsidRPr="00633873" w:rsidRDefault="00891F10" w:rsidP="00891F10">
      <w:pPr>
        <w:spacing w:after="0" w:line="240" w:lineRule="auto"/>
        <w:rPr>
          <w:rFonts w:ascii="Times New Roman" w:eastAsia="Times New Roman" w:hAnsi="Times New Roman" w:cs="Times New Roman"/>
          <w:snapToGrid w:val="0"/>
          <w:color w:val="0D0D0D"/>
          <w:szCs w:val="24"/>
        </w:rPr>
      </w:pPr>
      <w:r w:rsidRPr="00570F2A">
        <w:rPr>
          <w:rFonts w:ascii="Times New Roman" w:eastAsia="Times New Roman" w:hAnsi="Times New Roman" w:cs="Times New Roman"/>
          <w:snapToGrid w:val="0"/>
          <w:color w:val="0D0D0D"/>
          <w:szCs w:val="24"/>
          <w:highlight w:val="lightGray"/>
        </w:rPr>
        <w:t xml:space="preserve">Šio </w:t>
      </w:r>
      <w:r w:rsidR="00E31330" w:rsidRPr="00570F2A">
        <w:rPr>
          <w:rFonts w:ascii="Times New Roman" w:eastAsia="Times New Roman" w:hAnsi="Times New Roman" w:cs="Times New Roman"/>
          <w:snapToGrid w:val="0"/>
          <w:color w:val="0D0D0D"/>
          <w:szCs w:val="24"/>
          <w:highlight w:val="lightGray"/>
        </w:rPr>
        <w:t>vaisto</w:t>
      </w:r>
      <w:r w:rsidRPr="00570F2A">
        <w:rPr>
          <w:rFonts w:ascii="Times New Roman" w:eastAsia="Times New Roman" w:hAnsi="Times New Roman" w:cs="Times New Roman"/>
          <w:snapToGrid w:val="0"/>
          <w:color w:val="0D0D0D"/>
          <w:szCs w:val="24"/>
          <w:highlight w:val="lightGray"/>
        </w:rPr>
        <w:t xml:space="preserve"> laikymui specialių temperatūros sąlygų nereikalaujama. Laikyti gamintojo lizdinėje plokštelėje, kad </w:t>
      </w:r>
      <w:r w:rsidR="00E31330" w:rsidRPr="00570F2A">
        <w:rPr>
          <w:rFonts w:ascii="Times New Roman" w:eastAsia="Times New Roman" w:hAnsi="Times New Roman" w:cs="Times New Roman"/>
          <w:snapToGrid w:val="0"/>
          <w:color w:val="0D0D0D"/>
          <w:szCs w:val="24"/>
          <w:highlight w:val="lightGray"/>
        </w:rPr>
        <w:t>vaistas</w:t>
      </w:r>
      <w:r w:rsidRPr="00570F2A">
        <w:rPr>
          <w:rFonts w:ascii="Times New Roman" w:eastAsia="Times New Roman" w:hAnsi="Times New Roman" w:cs="Times New Roman"/>
          <w:snapToGrid w:val="0"/>
          <w:color w:val="0D0D0D"/>
          <w:szCs w:val="24"/>
          <w:highlight w:val="lightGray"/>
        </w:rPr>
        <w:t xml:space="preserve"> būtų apsaugotas nuo šviesos.</w:t>
      </w:r>
    </w:p>
    <w:p w14:paraId="6A820C96" w14:textId="77777777" w:rsidR="00EA4620" w:rsidRPr="00633873" w:rsidRDefault="00EA4620" w:rsidP="00EA4620">
      <w:pPr>
        <w:spacing w:after="0" w:line="240" w:lineRule="auto"/>
        <w:rPr>
          <w:rFonts w:ascii="Times New Roman" w:eastAsia="Times New Roman" w:hAnsi="Times New Roman" w:cs="Times New Roman"/>
          <w:snapToGrid w:val="0"/>
          <w:szCs w:val="24"/>
        </w:rPr>
      </w:pPr>
    </w:p>
    <w:p w14:paraId="1A29B91A" w14:textId="77777777" w:rsidR="00EA4620" w:rsidRPr="00570F2A" w:rsidRDefault="00EA4620" w:rsidP="00EA4620">
      <w:pPr>
        <w:spacing w:after="0" w:line="240" w:lineRule="auto"/>
        <w:rPr>
          <w:rFonts w:ascii="Times New Roman" w:eastAsia="Times New Roman" w:hAnsi="Times New Roman" w:cs="Times New Roman"/>
          <w:i/>
          <w:iCs/>
          <w:snapToGrid w:val="0"/>
          <w:szCs w:val="24"/>
          <w:highlight w:val="lightGray"/>
        </w:rPr>
      </w:pPr>
      <w:r w:rsidRPr="00570F2A">
        <w:rPr>
          <w:rFonts w:ascii="Times New Roman" w:eastAsia="Times New Roman" w:hAnsi="Times New Roman" w:cs="Times New Roman"/>
          <w:i/>
          <w:iCs/>
          <w:snapToGrid w:val="0"/>
          <w:szCs w:val="24"/>
          <w:highlight w:val="lightGray"/>
        </w:rPr>
        <w:t>Permatomos PVC/PE/PVDC/aliuminio lizdinės plokštelės</w:t>
      </w:r>
    </w:p>
    <w:p w14:paraId="4DAECF6B" w14:textId="3196F864" w:rsidR="00891F10" w:rsidRPr="00633873" w:rsidRDefault="00891F10" w:rsidP="00891F10">
      <w:pPr>
        <w:spacing w:after="0" w:line="240" w:lineRule="auto"/>
        <w:rPr>
          <w:rFonts w:ascii="Times New Roman" w:eastAsia="Times New Roman" w:hAnsi="Times New Roman" w:cs="Times New Roman"/>
          <w:snapToGrid w:val="0"/>
          <w:szCs w:val="24"/>
          <w:highlight w:val="lightGray"/>
        </w:rPr>
      </w:pPr>
      <w:r w:rsidRPr="00633873">
        <w:rPr>
          <w:rFonts w:ascii="Times New Roman" w:eastAsia="Times New Roman" w:hAnsi="Times New Roman" w:cs="Times New Roman"/>
          <w:snapToGrid w:val="0"/>
          <w:szCs w:val="24"/>
          <w:highlight w:val="lightGray"/>
        </w:rPr>
        <w:t xml:space="preserve">Šio </w:t>
      </w:r>
      <w:r w:rsidR="00E31330" w:rsidRPr="00633873">
        <w:rPr>
          <w:rFonts w:ascii="Times New Roman" w:eastAsia="Times New Roman" w:hAnsi="Times New Roman" w:cs="Times New Roman"/>
          <w:snapToGrid w:val="0"/>
          <w:szCs w:val="24"/>
          <w:highlight w:val="lightGray"/>
        </w:rPr>
        <w:t>vaisto</w:t>
      </w:r>
      <w:r w:rsidRPr="00633873">
        <w:rPr>
          <w:rFonts w:ascii="Times New Roman" w:eastAsia="Times New Roman" w:hAnsi="Times New Roman" w:cs="Times New Roman"/>
          <w:snapToGrid w:val="0"/>
          <w:szCs w:val="24"/>
          <w:highlight w:val="lightGray"/>
        </w:rPr>
        <w:t xml:space="preserve"> laikymui specialių temperatūros sąlygų nereikalaujama. Laikyti gamintojo pakuotėje, kad </w:t>
      </w:r>
      <w:r w:rsidR="00E31330" w:rsidRPr="00633873">
        <w:rPr>
          <w:rFonts w:ascii="Times New Roman" w:eastAsia="Times New Roman" w:hAnsi="Times New Roman" w:cs="Times New Roman"/>
          <w:snapToGrid w:val="0"/>
          <w:szCs w:val="24"/>
          <w:highlight w:val="lightGray"/>
        </w:rPr>
        <w:t>vaistas</w:t>
      </w:r>
      <w:r w:rsidRPr="00633873">
        <w:rPr>
          <w:rFonts w:ascii="Times New Roman" w:eastAsia="Times New Roman" w:hAnsi="Times New Roman" w:cs="Times New Roman"/>
          <w:snapToGrid w:val="0"/>
          <w:szCs w:val="24"/>
          <w:highlight w:val="lightGray"/>
        </w:rPr>
        <w:t xml:space="preserve"> būtų apsaugotas nuo šviesos.</w:t>
      </w:r>
    </w:p>
    <w:bookmarkEnd w:id="4"/>
    <w:p w14:paraId="465825D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highlight w:val="lightGray"/>
        </w:rPr>
      </w:pPr>
    </w:p>
    <w:p w14:paraId="3EAFBCF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6F1E543"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10.</w:t>
      </w:r>
      <w:r w:rsidRPr="00633873">
        <w:rPr>
          <w:rFonts w:ascii="Times New Roman" w:eastAsia="Times New Roman" w:hAnsi="Times New Roman" w:cs="Times New Roman"/>
          <w:b/>
          <w:snapToGrid w:val="0"/>
          <w:szCs w:val="24"/>
        </w:rPr>
        <w:tab/>
        <w:t>SPECIALIOS ATSARGUMO PRIEMONĖS DĖL NESUVARTOTO VAISTINIO PREPARATO AR JO ATLIEKŲ TVARKYMO (JEI REIKIA)</w:t>
      </w:r>
    </w:p>
    <w:p w14:paraId="38F533C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1CF22B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272C740"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11.</w:t>
      </w:r>
      <w:r w:rsidRPr="00633873">
        <w:rPr>
          <w:rFonts w:ascii="Times New Roman" w:eastAsia="Times New Roman" w:hAnsi="Times New Roman" w:cs="Times New Roman"/>
          <w:b/>
          <w:snapToGrid w:val="0"/>
          <w:szCs w:val="24"/>
        </w:rPr>
        <w:tab/>
      </w:r>
      <w:r w:rsidRPr="00633873">
        <w:rPr>
          <w:rFonts w:ascii="Times New Roman" w:eastAsia="Times New Roman" w:hAnsi="Times New Roman" w:cs="Times New Roman"/>
          <w:b/>
          <w:caps/>
          <w:snapToGrid w:val="0"/>
          <w:szCs w:val="24"/>
        </w:rPr>
        <w:t xml:space="preserve"> REGISTRUOTOJO PAVADINIMAS IR ADRESAS</w:t>
      </w:r>
    </w:p>
    <w:p w14:paraId="3852D21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C53AA14" w14:textId="77777777" w:rsidR="00942891" w:rsidRPr="00633873" w:rsidRDefault="00942891" w:rsidP="00942891">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k.s</w:t>
      </w:r>
      <w:proofErr w:type="spellEnd"/>
      <w:r w:rsidRPr="00633873">
        <w:rPr>
          <w:rFonts w:ascii="Times New Roman" w:eastAsia="Times New Roman" w:hAnsi="Times New Roman" w:cs="Times New Roman"/>
          <w:snapToGrid w:val="0"/>
          <w:szCs w:val="24"/>
        </w:rPr>
        <w:t>.</w:t>
      </w:r>
    </w:p>
    <w:p w14:paraId="10B0B1A9"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U </w:t>
      </w:r>
      <w:proofErr w:type="spellStart"/>
      <w:r w:rsidRPr="00633873">
        <w:rPr>
          <w:rFonts w:ascii="Times New Roman" w:eastAsia="Times New Roman" w:hAnsi="Times New Roman" w:cs="Times New Roman"/>
          <w:snapToGrid w:val="0"/>
          <w:szCs w:val="24"/>
        </w:rPr>
        <w:t>kabelovny</w:t>
      </w:r>
      <w:proofErr w:type="spellEnd"/>
      <w:r w:rsidRPr="00633873">
        <w:rPr>
          <w:rFonts w:ascii="Times New Roman" w:eastAsia="Times New Roman" w:hAnsi="Times New Roman" w:cs="Times New Roman"/>
          <w:snapToGrid w:val="0"/>
          <w:szCs w:val="24"/>
        </w:rPr>
        <w:t xml:space="preserve"> 130</w:t>
      </w:r>
    </w:p>
    <w:p w14:paraId="659C658D" w14:textId="77777777" w:rsidR="00942891" w:rsidRPr="00633873" w:rsidRDefault="00942891" w:rsidP="00942891">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Dolni</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Mėcholupy</w:t>
      </w:r>
      <w:proofErr w:type="spellEnd"/>
    </w:p>
    <w:p w14:paraId="3BF0C52A"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102 37 Praha 10</w:t>
      </w:r>
    </w:p>
    <w:p w14:paraId="1EC8A82A"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Čekija</w:t>
      </w:r>
    </w:p>
    <w:p w14:paraId="12E806D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A5A0BD6" w14:textId="77777777" w:rsidR="00942891" w:rsidRPr="00633873" w:rsidRDefault="00942891" w:rsidP="00A35A18">
      <w:pPr>
        <w:tabs>
          <w:tab w:val="left" w:pos="567"/>
        </w:tabs>
        <w:spacing w:after="0" w:line="260" w:lineRule="exact"/>
        <w:rPr>
          <w:rFonts w:ascii="Times New Roman" w:eastAsia="Times New Roman" w:hAnsi="Times New Roman" w:cs="Times New Roman"/>
          <w:snapToGrid w:val="0"/>
          <w:szCs w:val="24"/>
        </w:rPr>
      </w:pPr>
    </w:p>
    <w:p w14:paraId="1B850C60"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12.</w:t>
      </w:r>
      <w:r w:rsidRPr="00633873">
        <w:rPr>
          <w:rFonts w:ascii="Times New Roman" w:eastAsia="Times New Roman" w:hAnsi="Times New Roman" w:cs="Times New Roman"/>
          <w:b/>
          <w:snapToGrid w:val="0"/>
          <w:szCs w:val="24"/>
        </w:rPr>
        <w:tab/>
        <w:t xml:space="preserve">REGISTRACIJOS PAŽYMĖJIMO NUMERIS (-IAI) </w:t>
      </w:r>
    </w:p>
    <w:p w14:paraId="5A388D7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B2CE729" w14:textId="6C954278" w:rsidR="002077EA" w:rsidRPr="00633873" w:rsidRDefault="00153913" w:rsidP="002077EA">
      <w:pPr>
        <w:tabs>
          <w:tab w:val="left" w:pos="567"/>
        </w:tabs>
        <w:spacing w:after="0" w:line="260" w:lineRule="exact"/>
        <w:rPr>
          <w:rFonts w:ascii="Times New Roman" w:eastAsia="Times New Roman" w:hAnsi="Times New Roman" w:cs="Times New Roman"/>
          <w:snapToGrid w:val="0"/>
          <w:szCs w:val="24"/>
          <w:shd w:val="clear" w:color="auto" w:fill="D9D9D9" w:themeFill="background1" w:themeFillShade="D9"/>
        </w:rPr>
      </w:pPr>
      <w:r>
        <w:rPr>
          <w:rFonts w:ascii="Times New Roman" w:eastAsia="Times New Roman" w:hAnsi="Times New Roman" w:cs="Times New Roman"/>
          <w:snapToGrid w:val="0"/>
          <w:szCs w:val="24"/>
          <w:shd w:val="clear" w:color="auto" w:fill="D9D9D9" w:themeFill="background1" w:themeFillShade="D9"/>
        </w:rPr>
        <w:t>&lt;</w:t>
      </w:r>
      <w:r w:rsidR="002077EA" w:rsidRPr="00633873">
        <w:rPr>
          <w:rFonts w:ascii="Times New Roman" w:eastAsia="Times New Roman" w:hAnsi="Times New Roman" w:cs="Times New Roman"/>
          <w:snapToGrid w:val="0"/>
          <w:szCs w:val="24"/>
          <w:shd w:val="clear" w:color="auto" w:fill="D9D9D9" w:themeFill="background1" w:themeFillShade="D9"/>
        </w:rPr>
        <w:t>5 mg</w:t>
      </w:r>
      <w:r>
        <w:rPr>
          <w:rFonts w:ascii="Times New Roman" w:eastAsia="Times New Roman" w:hAnsi="Times New Roman" w:cs="Times New Roman"/>
          <w:snapToGrid w:val="0"/>
          <w:szCs w:val="24"/>
          <w:shd w:val="clear" w:color="auto" w:fill="D9D9D9" w:themeFill="background1" w:themeFillShade="D9"/>
        </w:rPr>
        <w:t>&gt;</w:t>
      </w:r>
    </w:p>
    <w:p w14:paraId="5C91D4CC" w14:textId="77777777" w:rsidR="002077EA" w:rsidRPr="00633873" w:rsidRDefault="002077EA" w:rsidP="002077EA">
      <w:pPr>
        <w:tabs>
          <w:tab w:val="left" w:pos="567"/>
        </w:tabs>
        <w:spacing w:after="0" w:line="260" w:lineRule="exact"/>
        <w:rPr>
          <w:rFonts w:ascii="Times New Roman" w:eastAsia="Times New Roman" w:hAnsi="Times New Roman" w:cs="Times New Roman"/>
          <w:snapToGrid w:val="0"/>
          <w:szCs w:val="24"/>
          <w:shd w:val="clear" w:color="auto" w:fill="D9D9D9" w:themeFill="background1" w:themeFillShade="D9"/>
        </w:rPr>
      </w:pPr>
      <w:r w:rsidRPr="00633873">
        <w:rPr>
          <w:rFonts w:ascii="Times New Roman" w:eastAsia="Times New Roman" w:hAnsi="Times New Roman" w:cs="Times New Roman"/>
          <w:snapToGrid w:val="0"/>
          <w:szCs w:val="24"/>
        </w:rPr>
        <w:t xml:space="preserve">LT/1/20/4658/001 </w:t>
      </w:r>
      <w:r w:rsidRPr="00633873">
        <w:rPr>
          <w:rFonts w:ascii="Times New Roman" w:eastAsia="Times New Roman" w:hAnsi="Times New Roman" w:cs="Times New Roman"/>
          <w:snapToGrid w:val="0"/>
          <w:szCs w:val="24"/>
          <w:shd w:val="clear" w:color="auto" w:fill="D9D9D9" w:themeFill="background1" w:themeFillShade="D9"/>
        </w:rPr>
        <w:t>– N10</w:t>
      </w:r>
    </w:p>
    <w:p w14:paraId="22EB83F8" w14:textId="218B73A9" w:rsidR="005C7F69" w:rsidRDefault="002077EA" w:rsidP="00176502">
      <w:pPr>
        <w:tabs>
          <w:tab w:val="left" w:pos="567"/>
        </w:tabs>
        <w:spacing w:after="0" w:line="260" w:lineRule="exact"/>
        <w:rPr>
          <w:rFonts w:ascii="Times New Roman" w:eastAsia="Times New Roman" w:hAnsi="Times New Roman" w:cs="Times New Roman"/>
          <w:snapToGrid w:val="0"/>
          <w:szCs w:val="24"/>
          <w:shd w:val="clear" w:color="auto" w:fill="D9D9D9" w:themeFill="background1" w:themeFillShade="D9"/>
        </w:rPr>
      </w:pPr>
      <w:r w:rsidRPr="00633873">
        <w:rPr>
          <w:rFonts w:ascii="Times New Roman" w:eastAsia="Times New Roman" w:hAnsi="Times New Roman" w:cs="Times New Roman"/>
          <w:snapToGrid w:val="0"/>
          <w:szCs w:val="24"/>
          <w:shd w:val="clear" w:color="auto" w:fill="D9D9D9" w:themeFill="background1" w:themeFillShade="D9"/>
        </w:rPr>
        <w:t>LT/1/20/4658/002 – N30</w:t>
      </w:r>
    </w:p>
    <w:p w14:paraId="546F9B45" w14:textId="5C0E1293" w:rsidR="00176502" w:rsidRPr="00633873" w:rsidRDefault="00176502" w:rsidP="00176502">
      <w:pPr>
        <w:tabs>
          <w:tab w:val="left" w:pos="567"/>
        </w:tabs>
        <w:spacing w:after="0" w:line="260" w:lineRule="exact"/>
        <w:rPr>
          <w:rFonts w:ascii="Times New Roman" w:eastAsia="Times New Roman" w:hAnsi="Times New Roman" w:cs="Times New Roman"/>
          <w:snapToGrid w:val="0"/>
          <w:szCs w:val="24"/>
          <w:shd w:val="clear" w:color="auto" w:fill="D9D9D9" w:themeFill="background1" w:themeFillShade="D9"/>
        </w:rPr>
      </w:pPr>
      <w:r w:rsidRPr="00633873">
        <w:rPr>
          <w:rFonts w:ascii="Times New Roman" w:eastAsia="Times New Roman" w:hAnsi="Times New Roman" w:cs="Times New Roman"/>
          <w:snapToGrid w:val="0"/>
          <w:szCs w:val="24"/>
          <w:shd w:val="clear" w:color="auto" w:fill="D9D9D9" w:themeFill="background1" w:themeFillShade="D9"/>
        </w:rPr>
        <w:t>LT/1/20/4658/00</w:t>
      </w:r>
      <w:r>
        <w:rPr>
          <w:rFonts w:ascii="Times New Roman" w:eastAsia="Times New Roman" w:hAnsi="Times New Roman" w:cs="Times New Roman"/>
          <w:snapToGrid w:val="0"/>
          <w:szCs w:val="24"/>
          <w:shd w:val="clear" w:color="auto" w:fill="D9D9D9" w:themeFill="background1" w:themeFillShade="D9"/>
        </w:rPr>
        <w:t>5</w:t>
      </w:r>
      <w:r w:rsidRPr="00633873">
        <w:rPr>
          <w:rFonts w:ascii="Times New Roman" w:eastAsia="Times New Roman" w:hAnsi="Times New Roman" w:cs="Times New Roman"/>
          <w:snapToGrid w:val="0"/>
          <w:szCs w:val="24"/>
          <w:shd w:val="clear" w:color="auto" w:fill="D9D9D9" w:themeFill="background1" w:themeFillShade="D9"/>
        </w:rPr>
        <w:t xml:space="preserve"> – N</w:t>
      </w:r>
      <w:r>
        <w:rPr>
          <w:rFonts w:ascii="Times New Roman" w:eastAsia="Times New Roman" w:hAnsi="Times New Roman" w:cs="Times New Roman"/>
          <w:snapToGrid w:val="0"/>
          <w:szCs w:val="24"/>
          <w:shd w:val="clear" w:color="auto" w:fill="D9D9D9" w:themeFill="background1" w:themeFillShade="D9"/>
        </w:rPr>
        <w:t>6</w:t>
      </w:r>
      <w:r w:rsidRPr="00633873">
        <w:rPr>
          <w:rFonts w:ascii="Times New Roman" w:eastAsia="Times New Roman" w:hAnsi="Times New Roman" w:cs="Times New Roman"/>
          <w:snapToGrid w:val="0"/>
          <w:szCs w:val="24"/>
          <w:shd w:val="clear" w:color="auto" w:fill="D9D9D9" w:themeFill="background1" w:themeFillShade="D9"/>
        </w:rPr>
        <w:t>0</w:t>
      </w:r>
    </w:p>
    <w:p w14:paraId="57561BEA" w14:textId="0722F4A1" w:rsidR="002077EA" w:rsidRPr="00A70DCE" w:rsidRDefault="002077EA" w:rsidP="002077EA">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LT/1/20/4658/003 – N10</w:t>
      </w:r>
      <w:r w:rsidR="00904BE7" w:rsidRPr="00A70DCE">
        <w:rPr>
          <w:rFonts w:ascii="Times New Roman" w:eastAsia="Times New Roman" w:hAnsi="Times New Roman" w:cs="Times New Roman"/>
          <w:snapToGrid w:val="0"/>
          <w:szCs w:val="20"/>
          <w:highlight w:val="lightGray"/>
        </w:rPr>
        <w:t>×</w:t>
      </w:r>
      <w:r w:rsidRPr="00A70DCE">
        <w:rPr>
          <w:rFonts w:ascii="Times New Roman" w:eastAsia="Times New Roman" w:hAnsi="Times New Roman" w:cs="Times New Roman"/>
          <w:snapToGrid w:val="0"/>
          <w:szCs w:val="24"/>
          <w:highlight w:val="lightGray"/>
          <w:shd w:val="clear" w:color="auto" w:fill="D9D9D9" w:themeFill="background1" w:themeFillShade="D9"/>
        </w:rPr>
        <w:t>1</w:t>
      </w:r>
    </w:p>
    <w:p w14:paraId="61DABFD1" w14:textId="047686F1" w:rsidR="002077EA" w:rsidRDefault="002077EA" w:rsidP="002077EA">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LT/1/20/4658/004 – N30</w:t>
      </w:r>
      <w:r w:rsidR="00904BE7" w:rsidRPr="00A70DCE">
        <w:rPr>
          <w:rFonts w:ascii="Times New Roman" w:eastAsia="Times New Roman" w:hAnsi="Times New Roman" w:cs="Times New Roman"/>
          <w:snapToGrid w:val="0"/>
          <w:szCs w:val="20"/>
          <w:highlight w:val="lightGray"/>
        </w:rPr>
        <w:t>×</w:t>
      </w:r>
      <w:r w:rsidRPr="00A70DCE">
        <w:rPr>
          <w:rFonts w:ascii="Times New Roman" w:eastAsia="Times New Roman" w:hAnsi="Times New Roman" w:cs="Times New Roman"/>
          <w:snapToGrid w:val="0"/>
          <w:szCs w:val="24"/>
          <w:highlight w:val="lightGray"/>
          <w:shd w:val="clear" w:color="auto" w:fill="D9D9D9" w:themeFill="background1" w:themeFillShade="D9"/>
        </w:rPr>
        <w:t>1</w:t>
      </w:r>
    </w:p>
    <w:p w14:paraId="6E9A899C" w14:textId="7A487D8D" w:rsidR="002077EA" w:rsidRDefault="00176502" w:rsidP="002077EA">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LT/1/20/4658/00</w:t>
      </w:r>
      <w:r>
        <w:rPr>
          <w:rFonts w:ascii="Times New Roman" w:eastAsia="Times New Roman" w:hAnsi="Times New Roman" w:cs="Times New Roman"/>
          <w:snapToGrid w:val="0"/>
          <w:szCs w:val="24"/>
          <w:highlight w:val="lightGray"/>
          <w:shd w:val="clear" w:color="auto" w:fill="D9D9D9" w:themeFill="background1" w:themeFillShade="D9"/>
        </w:rPr>
        <w:t>6</w:t>
      </w:r>
      <w:r w:rsidRPr="00A70DCE">
        <w:rPr>
          <w:rFonts w:ascii="Times New Roman" w:eastAsia="Times New Roman" w:hAnsi="Times New Roman" w:cs="Times New Roman"/>
          <w:snapToGrid w:val="0"/>
          <w:szCs w:val="24"/>
          <w:highlight w:val="lightGray"/>
          <w:shd w:val="clear" w:color="auto" w:fill="D9D9D9" w:themeFill="background1" w:themeFillShade="D9"/>
        </w:rPr>
        <w:t xml:space="preserve"> – N</w:t>
      </w:r>
      <w:r>
        <w:rPr>
          <w:rFonts w:ascii="Times New Roman" w:eastAsia="Times New Roman" w:hAnsi="Times New Roman" w:cs="Times New Roman"/>
          <w:snapToGrid w:val="0"/>
          <w:szCs w:val="24"/>
          <w:highlight w:val="lightGray"/>
          <w:shd w:val="clear" w:color="auto" w:fill="D9D9D9" w:themeFill="background1" w:themeFillShade="D9"/>
        </w:rPr>
        <w:t>6</w:t>
      </w:r>
      <w:r w:rsidRPr="00A70DCE">
        <w:rPr>
          <w:rFonts w:ascii="Times New Roman" w:eastAsia="Times New Roman" w:hAnsi="Times New Roman" w:cs="Times New Roman"/>
          <w:snapToGrid w:val="0"/>
          <w:szCs w:val="24"/>
          <w:highlight w:val="lightGray"/>
          <w:shd w:val="clear" w:color="auto" w:fill="D9D9D9" w:themeFill="background1" w:themeFillShade="D9"/>
        </w:rPr>
        <w:t>0</w:t>
      </w:r>
      <w:r w:rsidRPr="00A70DCE">
        <w:rPr>
          <w:rFonts w:ascii="Times New Roman" w:eastAsia="Times New Roman" w:hAnsi="Times New Roman" w:cs="Times New Roman"/>
          <w:snapToGrid w:val="0"/>
          <w:szCs w:val="20"/>
          <w:highlight w:val="lightGray"/>
        </w:rPr>
        <w:t>×</w:t>
      </w:r>
      <w:r w:rsidRPr="00A70DCE">
        <w:rPr>
          <w:rFonts w:ascii="Times New Roman" w:eastAsia="Times New Roman" w:hAnsi="Times New Roman" w:cs="Times New Roman"/>
          <w:snapToGrid w:val="0"/>
          <w:szCs w:val="24"/>
          <w:highlight w:val="lightGray"/>
          <w:shd w:val="clear" w:color="auto" w:fill="D9D9D9" w:themeFill="background1" w:themeFillShade="D9"/>
        </w:rPr>
        <w:t>1</w:t>
      </w:r>
    </w:p>
    <w:p w14:paraId="5C3FBB7C" w14:textId="77777777" w:rsidR="005C7F69" w:rsidRPr="00A70DCE" w:rsidRDefault="005C7F69" w:rsidP="002077EA">
      <w:pPr>
        <w:tabs>
          <w:tab w:val="left" w:pos="567"/>
        </w:tabs>
        <w:spacing w:after="0" w:line="260" w:lineRule="exact"/>
        <w:rPr>
          <w:rFonts w:ascii="Times New Roman" w:eastAsia="Times New Roman" w:hAnsi="Times New Roman" w:cs="Times New Roman"/>
          <w:snapToGrid w:val="0"/>
          <w:szCs w:val="24"/>
          <w:highlight w:val="lightGray"/>
        </w:rPr>
      </w:pPr>
    </w:p>
    <w:p w14:paraId="1D79B5A7" w14:textId="4BBE4D66" w:rsidR="002077EA" w:rsidRPr="00A70DCE" w:rsidRDefault="00153913" w:rsidP="002077EA">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w:t>
      </w:r>
      <w:r w:rsidR="002077EA" w:rsidRPr="00A70DCE">
        <w:rPr>
          <w:rFonts w:ascii="Times New Roman" w:eastAsia="Times New Roman" w:hAnsi="Times New Roman" w:cs="Times New Roman"/>
          <w:snapToGrid w:val="0"/>
          <w:szCs w:val="24"/>
          <w:highlight w:val="lightGray"/>
          <w:shd w:val="clear" w:color="auto" w:fill="D9D9D9" w:themeFill="background1" w:themeFillShade="D9"/>
        </w:rPr>
        <w:t>10 mg</w:t>
      </w:r>
      <w:r w:rsidRPr="00A70DCE">
        <w:rPr>
          <w:rFonts w:ascii="Times New Roman" w:eastAsia="Times New Roman" w:hAnsi="Times New Roman" w:cs="Times New Roman"/>
          <w:snapToGrid w:val="0"/>
          <w:szCs w:val="24"/>
          <w:highlight w:val="lightGray"/>
          <w:shd w:val="clear" w:color="auto" w:fill="D9D9D9" w:themeFill="background1" w:themeFillShade="D9"/>
        </w:rPr>
        <w:t>&gt;</w:t>
      </w:r>
    </w:p>
    <w:p w14:paraId="1F1C8361" w14:textId="77777777" w:rsidR="002077EA" w:rsidRPr="00A70DCE" w:rsidRDefault="002077EA" w:rsidP="002077EA">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rPr>
        <w:t xml:space="preserve">LT/1/20/4659/001 </w:t>
      </w:r>
      <w:r w:rsidRPr="00A70DCE">
        <w:rPr>
          <w:rFonts w:ascii="Times New Roman" w:eastAsia="Times New Roman" w:hAnsi="Times New Roman" w:cs="Times New Roman"/>
          <w:snapToGrid w:val="0"/>
          <w:szCs w:val="24"/>
          <w:highlight w:val="lightGray"/>
          <w:shd w:val="clear" w:color="auto" w:fill="D9D9D9" w:themeFill="background1" w:themeFillShade="D9"/>
        </w:rPr>
        <w:t>– N10</w:t>
      </w:r>
    </w:p>
    <w:p w14:paraId="23E8D97C" w14:textId="77777777" w:rsidR="002077EA" w:rsidRPr="00A70DCE" w:rsidRDefault="002077EA" w:rsidP="002077EA">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LT/1/20/4659/002 – N30</w:t>
      </w:r>
    </w:p>
    <w:p w14:paraId="6FFD7073" w14:textId="04BBBFFC" w:rsidR="00176502" w:rsidRPr="00A70DCE" w:rsidRDefault="00176502" w:rsidP="00176502">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LT/1/20/4659/00</w:t>
      </w:r>
      <w:r>
        <w:rPr>
          <w:rFonts w:ascii="Times New Roman" w:eastAsia="Times New Roman" w:hAnsi="Times New Roman" w:cs="Times New Roman"/>
          <w:snapToGrid w:val="0"/>
          <w:szCs w:val="24"/>
          <w:highlight w:val="lightGray"/>
          <w:shd w:val="clear" w:color="auto" w:fill="D9D9D9" w:themeFill="background1" w:themeFillShade="D9"/>
        </w:rPr>
        <w:t>5</w:t>
      </w:r>
      <w:r w:rsidRPr="00A70DCE">
        <w:rPr>
          <w:rFonts w:ascii="Times New Roman" w:eastAsia="Times New Roman" w:hAnsi="Times New Roman" w:cs="Times New Roman"/>
          <w:snapToGrid w:val="0"/>
          <w:szCs w:val="24"/>
          <w:highlight w:val="lightGray"/>
          <w:shd w:val="clear" w:color="auto" w:fill="D9D9D9" w:themeFill="background1" w:themeFillShade="D9"/>
        </w:rPr>
        <w:t xml:space="preserve"> – N</w:t>
      </w:r>
      <w:r>
        <w:rPr>
          <w:rFonts w:ascii="Times New Roman" w:eastAsia="Times New Roman" w:hAnsi="Times New Roman" w:cs="Times New Roman"/>
          <w:snapToGrid w:val="0"/>
          <w:szCs w:val="24"/>
          <w:highlight w:val="lightGray"/>
          <w:shd w:val="clear" w:color="auto" w:fill="D9D9D9" w:themeFill="background1" w:themeFillShade="D9"/>
        </w:rPr>
        <w:t>6</w:t>
      </w:r>
      <w:r w:rsidRPr="00A70DCE">
        <w:rPr>
          <w:rFonts w:ascii="Times New Roman" w:eastAsia="Times New Roman" w:hAnsi="Times New Roman" w:cs="Times New Roman"/>
          <w:snapToGrid w:val="0"/>
          <w:szCs w:val="24"/>
          <w:highlight w:val="lightGray"/>
          <w:shd w:val="clear" w:color="auto" w:fill="D9D9D9" w:themeFill="background1" w:themeFillShade="D9"/>
        </w:rPr>
        <w:t>0</w:t>
      </w:r>
    </w:p>
    <w:p w14:paraId="1FA7BC24" w14:textId="52238B2A" w:rsidR="002077EA" w:rsidRPr="00A70DCE" w:rsidRDefault="002077EA" w:rsidP="002077EA">
      <w:pPr>
        <w:tabs>
          <w:tab w:val="left" w:pos="567"/>
        </w:tabs>
        <w:spacing w:after="0" w:line="260" w:lineRule="exact"/>
        <w:rPr>
          <w:rFonts w:ascii="Times New Roman" w:eastAsia="Times New Roman" w:hAnsi="Times New Roman" w:cs="Times New Roman"/>
          <w:snapToGrid w:val="0"/>
          <w:szCs w:val="24"/>
          <w:highlight w:val="lightGray"/>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LT/1/20/4659/003 – N10</w:t>
      </w:r>
      <w:r w:rsidR="00904BE7" w:rsidRPr="00A70DCE">
        <w:rPr>
          <w:rFonts w:ascii="Times New Roman" w:eastAsia="Times New Roman" w:hAnsi="Times New Roman" w:cs="Times New Roman"/>
          <w:snapToGrid w:val="0"/>
          <w:szCs w:val="20"/>
          <w:highlight w:val="lightGray"/>
        </w:rPr>
        <w:t>×</w:t>
      </w:r>
      <w:r w:rsidRPr="00A70DCE">
        <w:rPr>
          <w:rFonts w:ascii="Times New Roman" w:eastAsia="Times New Roman" w:hAnsi="Times New Roman" w:cs="Times New Roman"/>
          <w:snapToGrid w:val="0"/>
          <w:szCs w:val="24"/>
          <w:highlight w:val="lightGray"/>
          <w:shd w:val="clear" w:color="auto" w:fill="D9D9D9" w:themeFill="background1" w:themeFillShade="D9"/>
        </w:rPr>
        <w:t>1</w:t>
      </w:r>
    </w:p>
    <w:p w14:paraId="4698498D" w14:textId="389EAC44" w:rsidR="00A35A18" w:rsidRPr="00483E68" w:rsidRDefault="002077EA" w:rsidP="002077EA">
      <w:pPr>
        <w:tabs>
          <w:tab w:val="left" w:pos="567"/>
        </w:tabs>
        <w:spacing w:after="0" w:line="260" w:lineRule="exact"/>
        <w:rPr>
          <w:rFonts w:ascii="Times New Roman" w:hAnsi="Times New Roman"/>
          <w:shd w:val="clear" w:color="auto" w:fill="D9D9D9" w:themeFill="background1" w:themeFillShade="D9"/>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LT/1/20/4659/004 – N30</w:t>
      </w:r>
      <w:r w:rsidR="00904BE7" w:rsidRPr="00A70DCE">
        <w:rPr>
          <w:rFonts w:ascii="Times New Roman" w:eastAsia="Times New Roman" w:hAnsi="Times New Roman" w:cs="Times New Roman"/>
          <w:snapToGrid w:val="0"/>
          <w:szCs w:val="20"/>
          <w:highlight w:val="lightGray"/>
        </w:rPr>
        <w:t>×</w:t>
      </w:r>
      <w:r w:rsidRPr="00A70DCE">
        <w:rPr>
          <w:rFonts w:ascii="Times New Roman" w:eastAsia="Times New Roman" w:hAnsi="Times New Roman" w:cs="Times New Roman"/>
          <w:snapToGrid w:val="0"/>
          <w:szCs w:val="24"/>
          <w:highlight w:val="lightGray"/>
          <w:shd w:val="clear" w:color="auto" w:fill="D9D9D9" w:themeFill="background1" w:themeFillShade="D9"/>
        </w:rPr>
        <w:t>1</w:t>
      </w:r>
    </w:p>
    <w:p w14:paraId="3B867938" w14:textId="4A058B53" w:rsidR="002077EA" w:rsidRPr="00633873" w:rsidRDefault="00176502" w:rsidP="002077EA">
      <w:pPr>
        <w:tabs>
          <w:tab w:val="left" w:pos="567"/>
        </w:tabs>
        <w:spacing w:after="0" w:line="260" w:lineRule="exact"/>
        <w:rPr>
          <w:rFonts w:ascii="Times New Roman" w:eastAsia="Times New Roman" w:hAnsi="Times New Roman" w:cs="Times New Roman"/>
          <w:snapToGrid w:val="0"/>
          <w:szCs w:val="24"/>
        </w:rPr>
      </w:pPr>
      <w:r w:rsidRPr="00A70DCE">
        <w:rPr>
          <w:rFonts w:ascii="Times New Roman" w:eastAsia="Times New Roman" w:hAnsi="Times New Roman" w:cs="Times New Roman"/>
          <w:snapToGrid w:val="0"/>
          <w:szCs w:val="24"/>
          <w:highlight w:val="lightGray"/>
          <w:shd w:val="clear" w:color="auto" w:fill="D9D9D9" w:themeFill="background1" w:themeFillShade="D9"/>
        </w:rPr>
        <w:t>LT/1/20/4659/00</w:t>
      </w:r>
      <w:r>
        <w:rPr>
          <w:rFonts w:ascii="Times New Roman" w:eastAsia="Times New Roman" w:hAnsi="Times New Roman" w:cs="Times New Roman"/>
          <w:snapToGrid w:val="0"/>
          <w:szCs w:val="24"/>
          <w:highlight w:val="lightGray"/>
          <w:shd w:val="clear" w:color="auto" w:fill="D9D9D9" w:themeFill="background1" w:themeFillShade="D9"/>
        </w:rPr>
        <w:t>6</w:t>
      </w:r>
      <w:r w:rsidRPr="00A70DCE">
        <w:rPr>
          <w:rFonts w:ascii="Times New Roman" w:eastAsia="Times New Roman" w:hAnsi="Times New Roman" w:cs="Times New Roman"/>
          <w:snapToGrid w:val="0"/>
          <w:szCs w:val="24"/>
          <w:highlight w:val="lightGray"/>
          <w:shd w:val="clear" w:color="auto" w:fill="D9D9D9" w:themeFill="background1" w:themeFillShade="D9"/>
        </w:rPr>
        <w:t xml:space="preserve"> – N</w:t>
      </w:r>
      <w:r>
        <w:rPr>
          <w:rFonts w:ascii="Times New Roman" w:eastAsia="Times New Roman" w:hAnsi="Times New Roman" w:cs="Times New Roman"/>
          <w:snapToGrid w:val="0"/>
          <w:szCs w:val="24"/>
          <w:highlight w:val="lightGray"/>
          <w:shd w:val="clear" w:color="auto" w:fill="D9D9D9" w:themeFill="background1" w:themeFillShade="D9"/>
        </w:rPr>
        <w:t>6</w:t>
      </w:r>
      <w:r w:rsidRPr="00A70DCE">
        <w:rPr>
          <w:rFonts w:ascii="Times New Roman" w:eastAsia="Times New Roman" w:hAnsi="Times New Roman" w:cs="Times New Roman"/>
          <w:snapToGrid w:val="0"/>
          <w:szCs w:val="24"/>
          <w:highlight w:val="lightGray"/>
          <w:shd w:val="clear" w:color="auto" w:fill="D9D9D9" w:themeFill="background1" w:themeFillShade="D9"/>
        </w:rPr>
        <w:t>0</w:t>
      </w:r>
      <w:r w:rsidRPr="00A70DCE">
        <w:rPr>
          <w:rFonts w:ascii="Times New Roman" w:eastAsia="Times New Roman" w:hAnsi="Times New Roman" w:cs="Times New Roman"/>
          <w:snapToGrid w:val="0"/>
          <w:szCs w:val="20"/>
          <w:highlight w:val="lightGray"/>
        </w:rPr>
        <w:t>×</w:t>
      </w:r>
      <w:r w:rsidRPr="00A70DCE">
        <w:rPr>
          <w:rFonts w:ascii="Times New Roman" w:eastAsia="Times New Roman" w:hAnsi="Times New Roman" w:cs="Times New Roman"/>
          <w:snapToGrid w:val="0"/>
          <w:szCs w:val="24"/>
          <w:highlight w:val="lightGray"/>
          <w:shd w:val="clear" w:color="auto" w:fill="D9D9D9" w:themeFill="background1" w:themeFillShade="D9"/>
        </w:rPr>
        <w:t>1</w:t>
      </w:r>
    </w:p>
    <w:p w14:paraId="654F439B" w14:textId="77777777" w:rsidR="002077EA" w:rsidRPr="00633873" w:rsidRDefault="002077EA" w:rsidP="002077EA">
      <w:pPr>
        <w:tabs>
          <w:tab w:val="left" w:pos="567"/>
        </w:tabs>
        <w:spacing w:after="0" w:line="260" w:lineRule="exact"/>
        <w:rPr>
          <w:rFonts w:ascii="Times New Roman" w:eastAsia="Times New Roman" w:hAnsi="Times New Roman" w:cs="Times New Roman"/>
          <w:snapToGrid w:val="0"/>
          <w:szCs w:val="24"/>
        </w:rPr>
      </w:pPr>
    </w:p>
    <w:p w14:paraId="5B4A83F5"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13.</w:t>
      </w:r>
      <w:r w:rsidRPr="00633873">
        <w:rPr>
          <w:rFonts w:ascii="Times New Roman" w:eastAsia="Times New Roman" w:hAnsi="Times New Roman" w:cs="Times New Roman"/>
          <w:b/>
          <w:snapToGrid w:val="0"/>
          <w:szCs w:val="24"/>
        </w:rPr>
        <w:tab/>
        <w:t xml:space="preserve">SERIJOS NUMERIS </w:t>
      </w:r>
    </w:p>
    <w:p w14:paraId="54B530C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61C6BC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Lot</w:t>
      </w:r>
    </w:p>
    <w:p w14:paraId="4B5E867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4590AF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705DAF3"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14.</w:t>
      </w:r>
      <w:r w:rsidRPr="00633873">
        <w:rPr>
          <w:rFonts w:ascii="Times New Roman" w:eastAsia="Times New Roman" w:hAnsi="Times New Roman" w:cs="Times New Roman"/>
          <w:b/>
          <w:snapToGrid w:val="0"/>
          <w:szCs w:val="24"/>
        </w:rPr>
        <w:tab/>
        <w:t>PARDAVIMO (IŠDAVIMO) TVARKA</w:t>
      </w:r>
    </w:p>
    <w:p w14:paraId="66AD91D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BC0BEB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C617BFA" w14:textId="77777777" w:rsidR="00A35A18" w:rsidRPr="00633873" w:rsidRDefault="00A35A18" w:rsidP="00A35A1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15.</w:t>
      </w:r>
      <w:r w:rsidRPr="00633873">
        <w:rPr>
          <w:rFonts w:ascii="Times New Roman" w:eastAsia="Times New Roman" w:hAnsi="Times New Roman" w:cs="Times New Roman"/>
          <w:b/>
          <w:snapToGrid w:val="0"/>
          <w:szCs w:val="24"/>
        </w:rPr>
        <w:tab/>
        <w:t>VARTOJIMO INSTRUKCIJA</w:t>
      </w:r>
    </w:p>
    <w:p w14:paraId="62DDE53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5AF15B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8E10A29" w14:textId="77777777" w:rsidR="00A35A18" w:rsidRPr="00633873" w:rsidRDefault="00A35A18" w:rsidP="00A35A1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lastRenderedPageBreak/>
        <w:t>16.</w:t>
      </w:r>
      <w:r w:rsidRPr="00633873">
        <w:rPr>
          <w:rFonts w:ascii="Times New Roman" w:eastAsia="Times New Roman" w:hAnsi="Times New Roman" w:cs="Times New Roman"/>
          <w:b/>
          <w:snapToGrid w:val="0"/>
          <w:szCs w:val="24"/>
        </w:rPr>
        <w:tab/>
        <w:t>INFORMACIJA BRAILIO RAŠTU</w:t>
      </w:r>
    </w:p>
    <w:p w14:paraId="4C4FAA5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27460D6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5 mg</w:t>
      </w:r>
    </w:p>
    <w:p w14:paraId="457D7E7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0"/>
          <w:highlight w:val="lightGray"/>
        </w:rPr>
        <w:t>Ambrisentan</w:t>
      </w:r>
      <w:proofErr w:type="spellEnd"/>
      <w:r w:rsidRPr="00633873">
        <w:rPr>
          <w:rFonts w:ascii="Times New Roman" w:eastAsia="Times New Roman" w:hAnsi="Times New Roman" w:cs="Times New Roman"/>
          <w:snapToGrid w:val="0"/>
          <w:szCs w:val="20"/>
          <w:highlight w:val="lightGray"/>
        </w:rPr>
        <w:t xml:space="preserve"> </w:t>
      </w:r>
      <w:proofErr w:type="spellStart"/>
      <w:r w:rsidR="00E62DAA" w:rsidRPr="00633873">
        <w:rPr>
          <w:rFonts w:ascii="Times New Roman" w:eastAsia="Times New Roman" w:hAnsi="Times New Roman" w:cs="Times New Roman"/>
          <w:snapToGrid w:val="0"/>
          <w:szCs w:val="20"/>
          <w:highlight w:val="lightGray"/>
        </w:rPr>
        <w:t>Zentiva</w:t>
      </w:r>
      <w:proofErr w:type="spellEnd"/>
      <w:r w:rsidRPr="00633873">
        <w:rPr>
          <w:rFonts w:ascii="Times New Roman" w:eastAsia="Times New Roman" w:hAnsi="Times New Roman" w:cs="Times New Roman"/>
          <w:snapToGrid w:val="0"/>
          <w:szCs w:val="20"/>
          <w:highlight w:val="lightGray"/>
        </w:rPr>
        <w:t xml:space="preserve"> 10 mg</w:t>
      </w:r>
    </w:p>
    <w:p w14:paraId="7A6A593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CEDDB6A" w14:textId="77777777" w:rsidR="00A35A18" w:rsidRPr="00633873" w:rsidRDefault="00A35A18" w:rsidP="00A35A18">
      <w:pPr>
        <w:tabs>
          <w:tab w:val="left" w:pos="567"/>
        </w:tabs>
        <w:spacing w:after="0" w:line="260" w:lineRule="exact"/>
        <w:rPr>
          <w:rFonts w:ascii="Times New Roman" w:eastAsia="Times New Roman" w:hAnsi="Times New Roman" w:cs="Times New Roman"/>
          <w:shd w:val="clear" w:color="auto" w:fill="CCCCCC"/>
        </w:rPr>
      </w:pPr>
    </w:p>
    <w:p w14:paraId="2C074727" w14:textId="77777777" w:rsidR="00A35A18" w:rsidRPr="00633873" w:rsidRDefault="00A35A18" w:rsidP="00A35A1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rPr>
      </w:pPr>
      <w:r w:rsidRPr="00633873">
        <w:rPr>
          <w:rFonts w:ascii="Times New Roman" w:eastAsia="Times New Roman" w:hAnsi="Times New Roman" w:cs="Times New Roman"/>
          <w:b/>
          <w:snapToGrid w:val="0"/>
          <w:szCs w:val="20"/>
        </w:rPr>
        <w:t>17.</w:t>
      </w:r>
      <w:r w:rsidRPr="00633873">
        <w:rPr>
          <w:rFonts w:ascii="Times New Roman" w:eastAsia="Times New Roman" w:hAnsi="Times New Roman" w:cs="Times New Roman"/>
          <w:b/>
          <w:snapToGrid w:val="0"/>
          <w:szCs w:val="20"/>
        </w:rPr>
        <w:tab/>
        <w:t>UNIKALUS IDENTIFIKATORIUS – 2D BRŪKŠNINIS KODAS</w:t>
      </w:r>
    </w:p>
    <w:p w14:paraId="2E416E3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F2F40E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hd w:val="clear" w:color="auto" w:fill="CCCCCC"/>
        </w:rPr>
      </w:pPr>
      <w:r w:rsidRPr="00633873">
        <w:rPr>
          <w:rFonts w:ascii="Times New Roman" w:eastAsia="Times New Roman" w:hAnsi="Times New Roman" w:cs="Times New Roman"/>
          <w:snapToGrid w:val="0"/>
          <w:szCs w:val="20"/>
          <w:highlight w:val="lightGray"/>
        </w:rPr>
        <w:t>2D brūkšninis kodas su nurodytu unikaliu identifikatoriumi.</w:t>
      </w:r>
    </w:p>
    <w:p w14:paraId="72D8B0F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hd w:val="clear" w:color="auto" w:fill="CCCCCC"/>
        </w:rPr>
      </w:pPr>
    </w:p>
    <w:p w14:paraId="7E0A84B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4916FB6" w14:textId="77777777" w:rsidR="00A35A18" w:rsidRPr="00633873" w:rsidRDefault="00A35A18" w:rsidP="00A35A1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rPr>
      </w:pPr>
      <w:r w:rsidRPr="00633873">
        <w:rPr>
          <w:rFonts w:ascii="Times New Roman" w:eastAsia="Times New Roman" w:hAnsi="Times New Roman" w:cs="Times New Roman"/>
          <w:b/>
          <w:snapToGrid w:val="0"/>
          <w:szCs w:val="20"/>
        </w:rPr>
        <w:t>18.</w:t>
      </w:r>
      <w:r w:rsidRPr="00633873">
        <w:rPr>
          <w:rFonts w:ascii="Times New Roman" w:eastAsia="Times New Roman" w:hAnsi="Times New Roman" w:cs="Times New Roman"/>
          <w:b/>
          <w:snapToGrid w:val="0"/>
          <w:szCs w:val="20"/>
        </w:rPr>
        <w:tab/>
        <w:t>UNIKALUS IDENTIFIKATORIUS – ŽMONĖMS SUPRANTAMI DUOMENYS</w:t>
      </w:r>
    </w:p>
    <w:p w14:paraId="0A778B3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72548DA" w14:textId="0473D4E0"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PC </w:t>
      </w:r>
    </w:p>
    <w:p w14:paraId="5C6894AE" w14:textId="065EB252"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SN </w:t>
      </w:r>
      <w:r w:rsidR="00100868" w:rsidRPr="00633873" w:rsidDel="00100868">
        <w:rPr>
          <w:rFonts w:ascii="Times New Roman" w:eastAsia="Times New Roman" w:hAnsi="Times New Roman" w:cs="Times New Roman"/>
          <w:snapToGrid w:val="0"/>
          <w:szCs w:val="24"/>
        </w:rPr>
        <w:t xml:space="preserve"> </w:t>
      </w:r>
    </w:p>
    <w:p w14:paraId="331CCDF9" w14:textId="79EBAD68" w:rsidR="002077EA" w:rsidRPr="00633873" w:rsidRDefault="00A35A18" w:rsidP="00A35A18">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NN </w:t>
      </w:r>
    </w:p>
    <w:p w14:paraId="123A9CED" w14:textId="77777777" w:rsidR="002077EA" w:rsidRPr="00633873" w:rsidRDefault="002077EA">
      <w:pPr>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br w:type="page"/>
      </w:r>
    </w:p>
    <w:p w14:paraId="015C888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73169F79" w14:textId="77777777" w:rsidR="00A35A18" w:rsidRPr="00633873" w:rsidRDefault="00A35A18" w:rsidP="00A35A18">
      <w:pPr>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rPr>
      </w:pPr>
      <w:r w:rsidRPr="00633873">
        <w:rPr>
          <w:rFonts w:ascii="Times New Roman" w:eastAsia="Times New Roman" w:hAnsi="Times New Roman" w:cs="Times New Roman"/>
          <w:b/>
        </w:rPr>
        <w:t>MINIMALI INFORMACIJA ANT LIZDINIŲ PLOKŠTELIŲ ARBA DVISLUOKSNIŲ JUOSTELIŲ</w:t>
      </w:r>
    </w:p>
    <w:p w14:paraId="45F0D2E0"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42D6C732"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LIZDINĖ PLOKŠTELĖ</w:t>
      </w:r>
    </w:p>
    <w:p w14:paraId="44A4B19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D3EB5D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9D1EE56"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1.</w:t>
      </w:r>
      <w:r w:rsidRPr="00633873">
        <w:rPr>
          <w:rFonts w:ascii="Times New Roman" w:eastAsia="Times New Roman" w:hAnsi="Times New Roman" w:cs="Times New Roman"/>
          <w:b/>
          <w:snapToGrid w:val="0"/>
          <w:szCs w:val="24"/>
        </w:rPr>
        <w:tab/>
      </w:r>
      <w:r w:rsidRPr="00633873">
        <w:rPr>
          <w:rFonts w:ascii="Times New Roman" w:eastAsia="Times New Roman" w:hAnsi="Times New Roman" w:cs="Times New Roman"/>
          <w:b/>
          <w:caps/>
          <w:snapToGrid w:val="0"/>
          <w:szCs w:val="24"/>
        </w:rPr>
        <w:t>VAISTINIO</w:t>
      </w:r>
      <w:r w:rsidRPr="00633873">
        <w:rPr>
          <w:rFonts w:ascii="Times New Roman" w:eastAsia="Times New Roman" w:hAnsi="Times New Roman" w:cs="Times New Roman"/>
          <w:b/>
          <w:snapToGrid w:val="0"/>
          <w:szCs w:val="24"/>
        </w:rPr>
        <w:t xml:space="preserve"> PREPARATO PAVADINIMAS</w:t>
      </w:r>
    </w:p>
    <w:p w14:paraId="35B14A2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6D76D67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5 mg tabletės</w:t>
      </w:r>
    </w:p>
    <w:p w14:paraId="030E8FB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0"/>
          <w:highlight w:val="lightGray"/>
        </w:rPr>
        <w:t>Ambrisentan</w:t>
      </w:r>
      <w:proofErr w:type="spellEnd"/>
      <w:r w:rsidRPr="00633873">
        <w:rPr>
          <w:rFonts w:ascii="Times New Roman" w:eastAsia="Times New Roman" w:hAnsi="Times New Roman" w:cs="Times New Roman"/>
          <w:snapToGrid w:val="0"/>
          <w:szCs w:val="20"/>
          <w:highlight w:val="lightGray"/>
        </w:rPr>
        <w:t xml:space="preserve"> </w:t>
      </w:r>
      <w:proofErr w:type="spellStart"/>
      <w:r w:rsidR="00E62DAA" w:rsidRPr="00633873">
        <w:rPr>
          <w:rFonts w:ascii="Times New Roman" w:eastAsia="Times New Roman" w:hAnsi="Times New Roman" w:cs="Times New Roman"/>
          <w:snapToGrid w:val="0"/>
          <w:szCs w:val="20"/>
          <w:highlight w:val="lightGray"/>
        </w:rPr>
        <w:t>Zentiva</w:t>
      </w:r>
      <w:proofErr w:type="spellEnd"/>
      <w:r w:rsidRPr="00633873">
        <w:rPr>
          <w:rFonts w:ascii="Times New Roman" w:eastAsia="Times New Roman" w:hAnsi="Times New Roman" w:cs="Times New Roman"/>
          <w:snapToGrid w:val="0"/>
          <w:szCs w:val="20"/>
          <w:highlight w:val="lightGray"/>
        </w:rPr>
        <w:t xml:space="preserve"> 10 mg tabletės</w:t>
      </w:r>
    </w:p>
    <w:p w14:paraId="60AB2189" w14:textId="6BD41387" w:rsidR="00A35A18" w:rsidRPr="0022563C" w:rsidRDefault="0095060B" w:rsidP="00A35A18">
      <w:pPr>
        <w:tabs>
          <w:tab w:val="left" w:pos="567"/>
        </w:tabs>
        <w:spacing w:after="0" w:line="260" w:lineRule="exact"/>
        <w:rPr>
          <w:rFonts w:ascii="Times New Roman" w:hAnsi="Times New Roman"/>
          <w:i/>
        </w:rPr>
      </w:pPr>
      <w:proofErr w:type="spellStart"/>
      <w:r w:rsidRPr="0022563C">
        <w:rPr>
          <w:rFonts w:ascii="Times New Roman" w:hAnsi="Times New Roman"/>
          <w:i/>
        </w:rPr>
        <w:t>a</w:t>
      </w:r>
      <w:r w:rsidR="00A35A18" w:rsidRPr="0022563C">
        <w:rPr>
          <w:rFonts w:ascii="Times New Roman" w:hAnsi="Times New Roman"/>
          <w:i/>
        </w:rPr>
        <w:t>mbrisentan</w:t>
      </w:r>
      <w:r w:rsidR="002A4C21" w:rsidRPr="0022563C">
        <w:rPr>
          <w:rFonts w:ascii="Times New Roman" w:hAnsi="Times New Roman"/>
          <w:i/>
        </w:rPr>
        <w:t>um</w:t>
      </w:r>
      <w:proofErr w:type="spellEnd"/>
    </w:p>
    <w:p w14:paraId="2032735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A80AB8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45410D5E"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2.</w:t>
      </w:r>
      <w:r w:rsidRPr="00633873">
        <w:rPr>
          <w:rFonts w:ascii="Times New Roman" w:eastAsia="Times New Roman" w:hAnsi="Times New Roman" w:cs="Times New Roman"/>
          <w:b/>
          <w:snapToGrid w:val="0"/>
          <w:szCs w:val="24"/>
        </w:rPr>
        <w:tab/>
      </w:r>
      <w:r w:rsidRPr="00633873">
        <w:rPr>
          <w:rFonts w:ascii="Times New Roman" w:eastAsia="Times New Roman" w:hAnsi="Times New Roman" w:cs="Times New Roman"/>
          <w:b/>
          <w:caps/>
          <w:snapToGrid w:val="0"/>
          <w:szCs w:val="24"/>
        </w:rPr>
        <w:t>REGISTRUOTOJO pavadinimas</w:t>
      </w:r>
    </w:p>
    <w:p w14:paraId="6BAAB93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F918786" w14:textId="77777777" w:rsidR="00A35A18" w:rsidRPr="00633873" w:rsidRDefault="00B736F6" w:rsidP="00A35A18">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0"/>
          <w:highlight w:val="lightGray"/>
        </w:rPr>
        <w:t>Zentiva</w:t>
      </w:r>
      <w:proofErr w:type="spellEnd"/>
      <w:r w:rsidR="0095060B" w:rsidRPr="00633873">
        <w:rPr>
          <w:rFonts w:ascii="Times New Roman" w:eastAsia="Times New Roman" w:hAnsi="Times New Roman" w:cs="Times New Roman"/>
          <w:snapToGrid w:val="0"/>
          <w:szCs w:val="20"/>
          <w:highlight w:val="lightGray"/>
        </w:rPr>
        <w:t xml:space="preserve"> </w:t>
      </w:r>
      <w:r w:rsidRPr="00633873">
        <w:rPr>
          <w:rFonts w:ascii="Times New Roman" w:eastAsia="Times New Roman" w:hAnsi="Times New Roman" w:cs="Times New Roman"/>
          <w:snapToGrid w:val="0"/>
          <w:szCs w:val="20"/>
          <w:highlight w:val="lightGray"/>
        </w:rPr>
        <w:t>(</w:t>
      </w:r>
      <w:proofErr w:type="spellStart"/>
      <w:r w:rsidR="0095060B" w:rsidRPr="00633873">
        <w:rPr>
          <w:rFonts w:ascii="Times New Roman" w:eastAsia="Times New Roman" w:hAnsi="Times New Roman" w:cs="Times New Roman"/>
          <w:snapToGrid w:val="0"/>
          <w:szCs w:val="20"/>
          <w:highlight w:val="lightGray"/>
        </w:rPr>
        <w:t>logo</w:t>
      </w:r>
      <w:proofErr w:type="spellEnd"/>
      <w:r w:rsidR="0095060B" w:rsidRPr="00633873">
        <w:rPr>
          <w:rFonts w:ascii="Times New Roman" w:eastAsia="Times New Roman" w:hAnsi="Times New Roman" w:cs="Times New Roman"/>
          <w:snapToGrid w:val="0"/>
          <w:szCs w:val="20"/>
          <w:highlight w:val="lightGray"/>
        </w:rPr>
        <w:t>)</w:t>
      </w:r>
    </w:p>
    <w:p w14:paraId="5D08C6D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34C20C6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3630937" w14:textId="77777777" w:rsidR="00A35A18" w:rsidRPr="00633873" w:rsidRDefault="00A35A18" w:rsidP="00A35A1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3.</w:t>
      </w:r>
      <w:r w:rsidRPr="00633873">
        <w:rPr>
          <w:rFonts w:ascii="Times New Roman" w:eastAsia="Times New Roman" w:hAnsi="Times New Roman" w:cs="Times New Roman"/>
          <w:b/>
          <w:snapToGrid w:val="0"/>
          <w:szCs w:val="24"/>
        </w:rPr>
        <w:tab/>
        <w:t>TINKAMUMO LAIKAS</w:t>
      </w:r>
    </w:p>
    <w:p w14:paraId="59653A20"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1B73D1D7"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EXP</w:t>
      </w:r>
      <w:r w:rsidR="002A4C21" w:rsidRPr="00633873">
        <w:rPr>
          <w:rFonts w:ascii="Times New Roman" w:eastAsia="Times New Roman" w:hAnsi="Times New Roman" w:cs="Times New Roman"/>
          <w:snapToGrid w:val="0"/>
          <w:szCs w:val="20"/>
        </w:rPr>
        <w:t xml:space="preserve"> </w:t>
      </w:r>
      <w:r w:rsidR="002A4C21" w:rsidRPr="00633873">
        <w:rPr>
          <w:rFonts w:ascii="Times New Roman" w:hAnsi="Times New Roman" w:cs="Times New Roman"/>
        </w:rPr>
        <w:t>{mm/MMMM}</w:t>
      </w:r>
    </w:p>
    <w:p w14:paraId="4545F46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7BD0DD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AC8104D" w14:textId="77777777" w:rsidR="00A35A18" w:rsidRPr="00633873" w:rsidRDefault="00A35A18" w:rsidP="00A35A1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4.</w:t>
      </w:r>
      <w:r w:rsidRPr="00633873">
        <w:rPr>
          <w:rFonts w:ascii="Times New Roman" w:eastAsia="Times New Roman" w:hAnsi="Times New Roman" w:cs="Times New Roman"/>
          <w:b/>
          <w:snapToGrid w:val="0"/>
          <w:szCs w:val="24"/>
        </w:rPr>
        <w:tab/>
        <w:t>SERIJOS NUMERIS</w:t>
      </w:r>
    </w:p>
    <w:p w14:paraId="082619B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8B6313E" w14:textId="77777777" w:rsidR="00A35A18" w:rsidRPr="00633873" w:rsidRDefault="00A35A18" w:rsidP="00A35A18">
      <w:pPr>
        <w:tabs>
          <w:tab w:val="left" w:pos="567"/>
        </w:tabs>
        <w:spacing w:after="0" w:line="260" w:lineRule="exact"/>
        <w:rPr>
          <w:rFonts w:ascii="Times New Roman" w:eastAsia="Times New Roman" w:hAnsi="Times New Roman" w:cs="Times New Roman"/>
          <w:b/>
          <w:snapToGrid w:val="0"/>
          <w:szCs w:val="20"/>
        </w:rPr>
      </w:pPr>
      <w:r w:rsidRPr="00633873">
        <w:rPr>
          <w:rFonts w:ascii="Times New Roman" w:eastAsia="Times New Roman" w:hAnsi="Times New Roman" w:cs="Times New Roman"/>
          <w:snapToGrid w:val="0"/>
          <w:szCs w:val="20"/>
        </w:rPr>
        <w:t>Lot</w:t>
      </w:r>
    </w:p>
    <w:p w14:paraId="408BD93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019B81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05B8871B" w14:textId="77777777" w:rsidR="00A35A18" w:rsidRPr="00633873" w:rsidRDefault="00A35A18" w:rsidP="00A35A1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5.</w:t>
      </w:r>
      <w:r w:rsidRPr="00633873">
        <w:rPr>
          <w:rFonts w:ascii="Times New Roman" w:eastAsia="Times New Roman" w:hAnsi="Times New Roman" w:cs="Times New Roman"/>
          <w:b/>
          <w:snapToGrid w:val="0"/>
          <w:szCs w:val="24"/>
        </w:rPr>
        <w:tab/>
        <w:t>KITA</w:t>
      </w:r>
    </w:p>
    <w:p w14:paraId="1323B92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4"/>
        </w:rPr>
      </w:pPr>
    </w:p>
    <w:p w14:paraId="5C81E1CE"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br w:type="page"/>
      </w:r>
    </w:p>
    <w:p w14:paraId="7DC08C3A" w14:textId="77777777" w:rsidR="0095060B" w:rsidRPr="00633873" w:rsidRDefault="0095060B" w:rsidP="0095060B">
      <w:pPr>
        <w:widowControl w:val="0"/>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b/>
        </w:rPr>
      </w:pPr>
      <w:r w:rsidRPr="00633873">
        <w:rPr>
          <w:rFonts w:ascii="Times New Roman" w:eastAsia="Times New Roman" w:hAnsi="Times New Roman" w:cs="Times New Roman"/>
          <w:b/>
        </w:rPr>
        <w:lastRenderedPageBreak/>
        <w:t>MINIMALI INFORMACIJA ANT LIZDINIŲ PLOKŠTELIŲ ARBA DVISLUOKSNIŲ JUOSTELIŲ</w:t>
      </w:r>
    </w:p>
    <w:p w14:paraId="5ED07897" w14:textId="77777777" w:rsidR="0095060B" w:rsidRPr="00633873" w:rsidRDefault="0095060B" w:rsidP="009506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14:paraId="7EAF2BDE" w14:textId="77777777" w:rsidR="0095060B" w:rsidRPr="00633873" w:rsidRDefault="0095060B" w:rsidP="0095060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DALOMOJI LIZDINĖ PLOKŠTELĖ</w:t>
      </w:r>
    </w:p>
    <w:p w14:paraId="2132DCE2"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0"/>
        </w:rPr>
      </w:pPr>
    </w:p>
    <w:p w14:paraId="3750A00C"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2B18ACF3" w14:textId="77777777" w:rsidR="0095060B" w:rsidRPr="00633873" w:rsidRDefault="0095060B" w:rsidP="009506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1.</w:t>
      </w:r>
      <w:r w:rsidRPr="00633873">
        <w:rPr>
          <w:rFonts w:ascii="Times New Roman" w:eastAsia="Times New Roman" w:hAnsi="Times New Roman" w:cs="Times New Roman"/>
          <w:b/>
          <w:snapToGrid w:val="0"/>
          <w:szCs w:val="24"/>
        </w:rPr>
        <w:tab/>
      </w:r>
      <w:r w:rsidRPr="00633873">
        <w:rPr>
          <w:rFonts w:ascii="Times New Roman" w:eastAsia="Times New Roman" w:hAnsi="Times New Roman" w:cs="Times New Roman"/>
          <w:b/>
          <w:caps/>
          <w:snapToGrid w:val="0"/>
          <w:szCs w:val="24"/>
        </w:rPr>
        <w:t>VAISTINIO</w:t>
      </w:r>
      <w:r w:rsidRPr="00633873">
        <w:rPr>
          <w:rFonts w:ascii="Times New Roman" w:eastAsia="Times New Roman" w:hAnsi="Times New Roman" w:cs="Times New Roman"/>
          <w:b/>
          <w:snapToGrid w:val="0"/>
          <w:szCs w:val="24"/>
        </w:rPr>
        <w:t xml:space="preserve"> PREPARATO PAVADINIMAS</w:t>
      </w:r>
    </w:p>
    <w:p w14:paraId="6CAFAFC8"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2AF76CC4"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5 mg </w:t>
      </w:r>
    </w:p>
    <w:p w14:paraId="71145E43"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0"/>
          <w:highlight w:val="lightGray"/>
        </w:rPr>
        <w:t>Ambrisentan</w:t>
      </w:r>
      <w:proofErr w:type="spellEnd"/>
      <w:r w:rsidRPr="00633873">
        <w:rPr>
          <w:rFonts w:ascii="Times New Roman" w:eastAsia="Times New Roman" w:hAnsi="Times New Roman" w:cs="Times New Roman"/>
          <w:snapToGrid w:val="0"/>
          <w:szCs w:val="20"/>
          <w:highlight w:val="lightGray"/>
        </w:rPr>
        <w:t xml:space="preserve"> </w:t>
      </w:r>
      <w:proofErr w:type="spellStart"/>
      <w:r w:rsidRPr="00633873">
        <w:rPr>
          <w:rFonts w:ascii="Times New Roman" w:eastAsia="Times New Roman" w:hAnsi="Times New Roman" w:cs="Times New Roman"/>
          <w:snapToGrid w:val="0"/>
          <w:szCs w:val="20"/>
          <w:highlight w:val="lightGray"/>
        </w:rPr>
        <w:t>Zentiva</w:t>
      </w:r>
      <w:proofErr w:type="spellEnd"/>
      <w:r w:rsidRPr="00633873">
        <w:rPr>
          <w:rFonts w:ascii="Times New Roman" w:eastAsia="Times New Roman" w:hAnsi="Times New Roman" w:cs="Times New Roman"/>
          <w:snapToGrid w:val="0"/>
          <w:szCs w:val="20"/>
          <w:highlight w:val="lightGray"/>
        </w:rPr>
        <w:t xml:space="preserve"> 10 mg </w:t>
      </w:r>
    </w:p>
    <w:p w14:paraId="35711FFC"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4FE4D2E6"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187B9EEB" w14:textId="77777777" w:rsidR="0095060B" w:rsidRPr="00633873" w:rsidRDefault="0095060B" w:rsidP="009506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2.</w:t>
      </w:r>
      <w:r w:rsidRPr="00633873">
        <w:rPr>
          <w:rFonts w:ascii="Times New Roman" w:eastAsia="Times New Roman" w:hAnsi="Times New Roman" w:cs="Times New Roman"/>
          <w:b/>
          <w:snapToGrid w:val="0"/>
          <w:szCs w:val="24"/>
        </w:rPr>
        <w:tab/>
      </w:r>
      <w:r w:rsidRPr="00633873">
        <w:rPr>
          <w:rFonts w:ascii="Times New Roman" w:eastAsia="Times New Roman" w:hAnsi="Times New Roman" w:cs="Times New Roman"/>
          <w:b/>
          <w:caps/>
          <w:snapToGrid w:val="0"/>
          <w:szCs w:val="24"/>
        </w:rPr>
        <w:t>REGISTRUOTOJO pavadinimas</w:t>
      </w:r>
    </w:p>
    <w:p w14:paraId="598C5D49"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78E39108" w14:textId="77777777" w:rsidR="0095060B" w:rsidRPr="00633873" w:rsidRDefault="00B736F6" w:rsidP="0095060B">
      <w:pPr>
        <w:tabs>
          <w:tab w:val="left" w:pos="567"/>
        </w:tabs>
        <w:spacing w:after="0" w:line="260" w:lineRule="exact"/>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highlight w:val="lightGray"/>
        </w:rPr>
        <w:t>Zentiva</w:t>
      </w:r>
      <w:proofErr w:type="spellEnd"/>
      <w:r w:rsidRPr="00633873">
        <w:rPr>
          <w:rFonts w:ascii="Times New Roman" w:eastAsia="Times New Roman" w:hAnsi="Times New Roman" w:cs="Times New Roman"/>
          <w:snapToGrid w:val="0"/>
          <w:szCs w:val="24"/>
          <w:highlight w:val="lightGray"/>
        </w:rPr>
        <w:t xml:space="preserve"> (</w:t>
      </w:r>
      <w:proofErr w:type="spellStart"/>
      <w:r w:rsidRPr="00633873">
        <w:rPr>
          <w:rFonts w:ascii="Times New Roman" w:eastAsia="Times New Roman" w:hAnsi="Times New Roman" w:cs="Times New Roman"/>
          <w:snapToGrid w:val="0"/>
          <w:szCs w:val="24"/>
          <w:highlight w:val="lightGray"/>
        </w:rPr>
        <w:t>logo</w:t>
      </w:r>
      <w:proofErr w:type="spellEnd"/>
      <w:r w:rsidRPr="00633873">
        <w:rPr>
          <w:rFonts w:ascii="Times New Roman" w:eastAsia="Times New Roman" w:hAnsi="Times New Roman" w:cs="Times New Roman"/>
          <w:snapToGrid w:val="0"/>
          <w:szCs w:val="24"/>
          <w:highlight w:val="lightGray"/>
        </w:rPr>
        <w:t>)</w:t>
      </w:r>
    </w:p>
    <w:p w14:paraId="4D3FE61A" w14:textId="77777777" w:rsidR="00B736F6" w:rsidRPr="00633873" w:rsidRDefault="00B736F6" w:rsidP="0095060B">
      <w:pPr>
        <w:tabs>
          <w:tab w:val="left" w:pos="567"/>
        </w:tabs>
        <w:spacing w:after="0" w:line="260" w:lineRule="exact"/>
        <w:rPr>
          <w:rFonts w:ascii="Times New Roman" w:eastAsia="Times New Roman" w:hAnsi="Times New Roman" w:cs="Times New Roman"/>
          <w:snapToGrid w:val="0"/>
          <w:szCs w:val="24"/>
        </w:rPr>
      </w:pPr>
    </w:p>
    <w:p w14:paraId="276B5993" w14:textId="77777777" w:rsidR="0095060B" w:rsidRPr="00633873" w:rsidRDefault="0095060B" w:rsidP="0095060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3.</w:t>
      </w:r>
      <w:r w:rsidRPr="00633873">
        <w:rPr>
          <w:rFonts w:ascii="Times New Roman" w:eastAsia="Times New Roman" w:hAnsi="Times New Roman" w:cs="Times New Roman"/>
          <w:b/>
          <w:snapToGrid w:val="0"/>
          <w:szCs w:val="24"/>
        </w:rPr>
        <w:tab/>
        <w:t>TINKAMUMO LAIKAS</w:t>
      </w:r>
    </w:p>
    <w:p w14:paraId="5C5825FB"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3CB5F642"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EXP</w:t>
      </w:r>
      <w:r w:rsidR="002A4C21" w:rsidRPr="00633873">
        <w:rPr>
          <w:rFonts w:ascii="Times New Roman" w:eastAsia="Times New Roman" w:hAnsi="Times New Roman" w:cs="Times New Roman"/>
          <w:snapToGrid w:val="0"/>
          <w:szCs w:val="20"/>
        </w:rPr>
        <w:t xml:space="preserve"> </w:t>
      </w:r>
      <w:r w:rsidR="002A4C21" w:rsidRPr="00633873">
        <w:rPr>
          <w:rFonts w:ascii="Times New Roman" w:hAnsi="Times New Roman" w:cs="Times New Roman"/>
        </w:rPr>
        <w:t>{mm/MMMM}</w:t>
      </w:r>
    </w:p>
    <w:p w14:paraId="2BB52748"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0"/>
        </w:rPr>
      </w:pPr>
    </w:p>
    <w:p w14:paraId="5FB0BECF"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0"/>
        </w:rPr>
      </w:pPr>
    </w:p>
    <w:p w14:paraId="1A94FA3F" w14:textId="77777777" w:rsidR="0095060B" w:rsidRPr="00633873" w:rsidRDefault="0095060B" w:rsidP="0095060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4.</w:t>
      </w:r>
      <w:r w:rsidRPr="00633873">
        <w:rPr>
          <w:rFonts w:ascii="Times New Roman" w:eastAsia="Times New Roman" w:hAnsi="Times New Roman" w:cs="Times New Roman"/>
          <w:b/>
          <w:snapToGrid w:val="0"/>
          <w:szCs w:val="24"/>
        </w:rPr>
        <w:tab/>
        <w:t>SERIJOS NUMERIS</w:t>
      </w:r>
    </w:p>
    <w:p w14:paraId="6050FDB4"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0"/>
        </w:rPr>
      </w:pPr>
    </w:p>
    <w:p w14:paraId="1E21D2C9" w14:textId="77777777" w:rsidR="0095060B" w:rsidRPr="00633873" w:rsidRDefault="0095060B" w:rsidP="0095060B">
      <w:pPr>
        <w:tabs>
          <w:tab w:val="left" w:pos="567"/>
        </w:tabs>
        <w:spacing w:after="0" w:line="260" w:lineRule="exact"/>
        <w:rPr>
          <w:rFonts w:ascii="Times New Roman" w:eastAsia="Times New Roman" w:hAnsi="Times New Roman" w:cs="Times New Roman"/>
          <w:b/>
          <w:snapToGrid w:val="0"/>
          <w:szCs w:val="20"/>
        </w:rPr>
      </w:pPr>
      <w:r w:rsidRPr="00633873">
        <w:rPr>
          <w:rFonts w:ascii="Times New Roman" w:eastAsia="Times New Roman" w:hAnsi="Times New Roman" w:cs="Times New Roman"/>
          <w:snapToGrid w:val="0"/>
          <w:szCs w:val="20"/>
        </w:rPr>
        <w:t>Lot</w:t>
      </w:r>
    </w:p>
    <w:p w14:paraId="12A02E2E"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2618674A"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113F4DCA" w14:textId="77777777" w:rsidR="0095060B" w:rsidRPr="00633873" w:rsidRDefault="0095060B" w:rsidP="0095060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5.</w:t>
      </w:r>
      <w:r w:rsidRPr="00633873">
        <w:rPr>
          <w:rFonts w:ascii="Times New Roman" w:eastAsia="Times New Roman" w:hAnsi="Times New Roman" w:cs="Times New Roman"/>
          <w:b/>
          <w:snapToGrid w:val="0"/>
          <w:szCs w:val="24"/>
        </w:rPr>
        <w:tab/>
        <w:t>KITA</w:t>
      </w:r>
    </w:p>
    <w:p w14:paraId="4497F1EF" w14:textId="77777777" w:rsidR="0095060B" w:rsidRPr="00633873" w:rsidRDefault="0095060B" w:rsidP="0095060B">
      <w:pPr>
        <w:tabs>
          <w:tab w:val="left" w:pos="567"/>
        </w:tabs>
        <w:spacing w:after="0" w:line="260" w:lineRule="exact"/>
        <w:rPr>
          <w:rFonts w:ascii="Times New Roman" w:eastAsia="Times New Roman" w:hAnsi="Times New Roman" w:cs="Times New Roman"/>
          <w:snapToGrid w:val="0"/>
          <w:szCs w:val="24"/>
        </w:rPr>
      </w:pPr>
    </w:p>
    <w:p w14:paraId="14293678" w14:textId="77777777" w:rsidR="0095060B" w:rsidRPr="00633873" w:rsidRDefault="0095060B" w:rsidP="0095060B">
      <w:pPr>
        <w:tabs>
          <w:tab w:val="left" w:pos="567"/>
        </w:tabs>
        <w:spacing w:after="0" w:line="260" w:lineRule="exact"/>
        <w:outlineLvl w:val="0"/>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br w:type="page"/>
      </w:r>
    </w:p>
    <w:p w14:paraId="0C1B4881"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0DB9251A"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2D11EA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B92B09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58D26E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319958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78A255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9C6AD5B"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45F54B7C"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E5D9C3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83E4DA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9360D0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99FC8ED"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1EBE2B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16596A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6150FDB3"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B219A0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53203014"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4E14835"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19BE409"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7487EB6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1D5DFEB2"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3A00C250" w14:textId="77777777" w:rsidR="00E31330" w:rsidRPr="00633873" w:rsidRDefault="00E31330" w:rsidP="00A35A18">
      <w:pPr>
        <w:tabs>
          <w:tab w:val="left" w:pos="567"/>
        </w:tabs>
        <w:spacing w:after="0" w:line="260" w:lineRule="exact"/>
        <w:jc w:val="center"/>
        <w:outlineLvl w:val="0"/>
        <w:rPr>
          <w:rFonts w:ascii="Times New Roman" w:eastAsia="Times New Roman" w:hAnsi="Times New Roman" w:cs="Times New Roman"/>
          <w:b/>
          <w:snapToGrid w:val="0"/>
          <w:szCs w:val="20"/>
        </w:rPr>
      </w:pPr>
    </w:p>
    <w:p w14:paraId="4A2B5420" w14:textId="77777777" w:rsidR="00A35A18" w:rsidRPr="00633873" w:rsidRDefault="00A35A18" w:rsidP="00A35A18">
      <w:pPr>
        <w:tabs>
          <w:tab w:val="left" w:pos="567"/>
        </w:tabs>
        <w:spacing w:after="0" w:line="260" w:lineRule="exact"/>
        <w:jc w:val="center"/>
        <w:outlineLvl w:val="0"/>
        <w:rPr>
          <w:rFonts w:ascii="Times New Roman" w:eastAsia="Times New Roman" w:hAnsi="Times New Roman" w:cs="Times New Roman"/>
          <w:b/>
          <w:snapToGrid w:val="0"/>
          <w:szCs w:val="20"/>
        </w:rPr>
      </w:pPr>
      <w:r w:rsidRPr="00633873">
        <w:rPr>
          <w:rFonts w:ascii="Times New Roman" w:eastAsia="Times New Roman" w:hAnsi="Times New Roman" w:cs="Times New Roman"/>
          <w:b/>
          <w:snapToGrid w:val="0"/>
          <w:szCs w:val="20"/>
        </w:rPr>
        <w:t>B. PAKUOTĖS LAPELIS</w:t>
      </w:r>
    </w:p>
    <w:p w14:paraId="7B471A07" w14:textId="77777777" w:rsidR="00A35A18" w:rsidRPr="00633873" w:rsidRDefault="00A35A18" w:rsidP="00A35A18">
      <w:pPr>
        <w:widowControl w:val="0"/>
        <w:spacing w:after="0" w:line="240" w:lineRule="auto"/>
        <w:ind w:left="567" w:hanging="567"/>
        <w:jc w:val="center"/>
        <w:rPr>
          <w:rFonts w:ascii="Times New Roman" w:eastAsia="Times New Roman" w:hAnsi="Times New Roman" w:cs="Times New Roman"/>
          <w:b/>
        </w:rPr>
      </w:pPr>
      <w:r w:rsidRPr="00633873">
        <w:rPr>
          <w:rFonts w:ascii="Times New Roman" w:eastAsia="Times New Roman" w:hAnsi="Times New Roman" w:cs="Times New Roman"/>
          <w:i/>
          <w:snapToGrid w:val="0"/>
          <w:szCs w:val="20"/>
        </w:rPr>
        <w:br w:type="page"/>
      </w:r>
      <w:bookmarkStart w:id="5" w:name="_Hlk214882648"/>
      <w:r w:rsidRPr="00633873">
        <w:rPr>
          <w:rFonts w:ascii="Times New Roman" w:eastAsia="Times New Roman" w:hAnsi="Times New Roman" w:cs="Times New Roman"/>
          <w:b/>
        </w:rPr>
        <w:lastRenderedPageBreak/>
        <w:t xml:space="preserve">Pakuotės lapelis: informacija </w:t>
      </w:r>
      <w:r w:rsidR="0095060B" w:rsidRPr="00633873">
        <w:rPr>
          <w:rFonts w:ascii="Times New Roman" w:eastAsia="Times New Roman" w:hAnsi="Times New Roman" w:cs="Times New Roman"/>
          <w:b/>
        </w:rPr>
        <w:t>pacientui</w:t>
      </w:r>
    </w:p>
    <w:p w14:paraId="71BE668A" w14:textId="77777777" w:rsidR="00A35A18" w:rsidRPr="00633873" w:rsidRDefault="00A35A18" w:rsidP="00A35A18">
      <w:pPr>
        <w:widowControl w:val="0"/>
        <w:spacing w:after="0" w:line="240" w:lineRule="auto"/>
        <w:ind w:left="567" w:hanging="567"/>
        <w:jc w:val="center"/>
        <w:rPr>
          <w:rFonts w:ascii="Times New Roman" w:eastAsia="Times New Roman" w:hAnsi="Times New Roman" w:cs="Times New Roman"/>
          <w:b/>
        </w:rPr>
      </w:pPr>
    </w:p>
    <w:p w14:paraId="3070C0D5" w14:textId="77777777" w:rsidR="00A35A18" w:rsidRPr="00633873" w:rsidRDefault="00A35A18" w:rsidP="00A35A18">
      <w:pPr>
        <w:widowControl w:val="0"/>
        <w:spacing w:after="0" w:line="240" w:lineRule="auto"/>
        <w:ind w:left="567" w:hanging="567"/>
        <w:jc w:val="center"/>
        <w:rPr>
          <w:rFonts w:ascii="Times New Roman" w:eastAsia="Times New Roman" w:hAnsi="Times New Roman" w:cs="Times New Roman"/>
          <w:b/>
        </w:rPr>
      </w:pPr>
      <w:proofErr w:type="spellStart"/>
      <w:r w:rsidRPr="00633873">
        <w:rPr>
          <w:rFonts w:ascii="Times New Roman" w:eastAsia="Times New Roman" w:hAnsi="Times New Roman" w:cs="Times New Roman"/>
          <w:b/>
        </w:rPr>
        <w:t>Ambrisentan</w:t>
      </w:r>
      <w:proofErr w:type="spellEnd"/>
      <w:r w:rsidRPr="00633873">
        <w:rPr>
          <w:rFonts w:ascii="Times New Roman" w:eastAsia="Times New Roman" w:hAnsi="Times New Roman" w:cs="Times New Roman"/>
          <w:b/>
        </w:rPr>
        <w:t xml:space="preserve"> </w:t>
      </w:r>
      <w:proofErr w:type="spellStart"/>
      <w:r w:rsidR="00E62DAA" w:rsidRPr="00633873">
        <w:rPr>
          <w:rFonts w:ascii="Times New Roman" w:eastAsia="Times New Roman" w:hAnsi="Times New Roman" w:cs="Times New Roman"/>
          <w:b/>
        </w:rPr>
        <w:t>Zentiva</w:t>
      </w:r>
      <w:proofErr w:type="spellEnd"/>
      <w:r w:rsidRPr="00633873">
        <w:rPr>
          <w:rFonts w:ascii="Times New Roman" w:eastAsia="Times New Roman" w:hAnsi="Times New Roman" w:cs="Times New Roman"/>
          <w:b/>
        </w:rPr>
        <w:t xml:space="preserve"> 5 mg plėvele dengtos tabletės</w:t>
      </w:r>
    </w:p>
    <w:p w14:paraId="70A2793A" w14:textId="77777777" w:rsidR="00A35A18" w:rsidRPr="00633873" w:rsidRDefault="00A35A18" w:rsidP="00A35A18">
      <w:pPr>
        <w:widowControl w:val="0"/>
        <w:spacing w:after="0" w:line="240" w:lineRule="auto"/>
        <w:ind w:left="567" w:hanging="567"/>
        <w:jc w:val="center"/>
        <w:rPr>
          <w:rFonts w:ascii="Times New Roman" w:eastAsia="Times New Roman" w:hAnsi="Times New Roman" w:cs="Times New Roman"/>
          <w:b/>
        </w:rPr>
      </w:pPr>
      <w:proofErr w:type="spellStart"/>
      <w:r w:rsidRPr="00633873">
        <w:rPr>
          <w:rFonts w:ascii="Times New Roman" w:eastAsia="Times New Roman" w:hAnsi="Times New Roman" w:cs="Times New Roman"/>
          <w:b/>
          <w:highlight w:val="lightGray"/>
        </w:rPr>
        <w:t>Ambrisentan</w:t>
      </w:r>
      <w:proofErr w:type="spellEnd"/>
      <w:r w:rsidRPr="00633873">
        <w:rPr>
          <w:rFonts w:ascii="Times New Roman" w:eastAsia="Times New Roman" w:hAnsi="Times New Roman" w:cs="Times New Roman"/>
          <w:b/>
          <w:highlight w:val="lightGray"/>
        </w:rPr>
        <w:t xml:space="preserve"> </w:t>
      </w:r>
      <w:proofErr w:type="spellStart"/>
      <w:r w:rsidR="00E62DAA" w:rsidRPr="00633873">
        <w:rPr>
          <w:rFonts w:ascii="Times New Roman" w:eastAsia="Times New Roman" w:hAnsi="Times New Roman" w:cs="Times New Roman"/>
          <w:b/>
          <w:highlight w:val="lightGray"/>
        </w:rPr>
        <w:t>Zentiva</w:t>
      </w:r>
      <w:proofErr w:type="spellEnd"/>
      <w:r w:rsidRPr="00633873">
        <w:rPr>
          <w:rFonts w:ascii="Times New Roman" w:eastAsia="Times New Roman" w:hAnsi="Times New Roman" w:cs="Times New Roman"/>
          <w:b/>
          <w:highlight w:val="lightGray"/>
        </w:rPr>
        <w:t xml:space="preserve"> 10 mg plėvele dengtos tabletės</w:t>
      </w:r>
    </w:p>
    <w:p w14:paraId="24119BB6" w14:textId="77777777" w:rsidR="00A35A18" w:rsidRPr="00633873" w:rsidRDefault="00A35A18" w:rsidP="00A35A18">
      <w:pPr>
        <w:widowControl w:val="0"/>
        <w:spacing w:after="0" w:line="240" w:lineRule="auto"/>
        <w:ind w:left="567" w:hanging="567"/>
        <w:jc w:val="center"/>
        <w:rPr>
          <w:rFonts w:ascii="Times New Roman" w:eastAsia="Times New Roman" w:hAnsi="Times New Roman" w:cs="Times New Roman"/>
          <w:b/>
        </w:rPr>
      </w:pPr>
    </w:p>
    <w:p w14:paraId="528F4F7C" w14:textId="77777777" w:rsidR="00A35A18" w:rsidRPr="00633873" w:rsidRDefault="0095060B" w:rsidP="00A35A18">
      <w:pPr>
        <w:spacing w:after="0" w:line="240" w:lineRule="auto"/>
        <w:jc w:val="center"/>
        <w:rPr>
          <w:rFonts w:ascii="Times New Roman" w:eastAsia="Times New Roman" w:hAnsi="Times New Roman" w:cs="Times New Roman"/>
          <w:bCs/>
          <w:snapToGrid w:val="0"/>
          <w:szCs w:val="24"/>
        </w:rPr>
      </w:pPr>
      <w:proofErr w:type="spellStart"/>
      <w:r w:rsidRPr="00633873">
        <w:rPr>
          <w:rFonts w:ascii="Times New Roman" w:eastAsia="Times New Roman" w:hAnsi="Times New Roman" w:cs="Times New Roman"/>
          <w:bCs/>
          <w:snapToGrid w:val="0"/>
          <w:szCs w:val="24"/>
        </w:rPr>
        <w:t>a</w:t>
      </w:r>
      <w:r w:rsidR="00A35A18" w:rsidRPr="00633873">
        <w:rPr>
          <w:rFonts w:ascii="Times New Roman" w:eastAsia="Times New Roman" w:hAnsi="Times New Roman" w:cs="Times New Roman"/>
          <w:bCs/>
          <w:snapToGrid w:val="0"/>
          <w:szCs w:val="24"/>
        </w:rPr>
        <w:t>mbrisentanas</w:t>
      </w:r>
      <w:proofErr w:type="spellEnd"/>
    </w:p>
    <w:p w14:paraId="5EE934FE" w14:textId="77777777" w:rsidR="00A35A18" w:rsidRPr="00633873" w:rsidRDefault="00A35A18" w:rsidP="00A35A18">
      <w:pPr>
        <w:suppressAutoHyphens/>
        <w:spacing w:after="0" w:line="240" w:lineRule="auto"/>
        <w:ind w:left="142" w:hanging="142"/>
        <w:rPr>
          <w:rFonts w:ascii="Times New Roman" w:eastAsia="Times New Roman" w:hAnsi="Times New Roman" w:cs="Times New Roman"/>
          <w:snapToGrid w:val="0"/>
          <w:szCs w:val="24"/>
        </w:rPr>
      </w:pPr>
    </w:p>
    <w:p w14:paraId="33A2D229" w14:textId="77777777" w:rsidR="00A35A18" w:rsidRPr="00633873" w:rsidRDefault="00A35A18" w:rsidP="00A35A18">
      <w:pPr>
        <w:suppressAutoHyphen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0865393A" w14:textId="77777777" w:rsidR="00A35A18" w:rsidRPr="00633873" w:rsidRDefault="00A35A18" w:rsidP="0022563C">
      <w:pPr>
        <w:numPr>
          <w:ilvl w:val="0"/>
          <w:numId w:val="25"/>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Neišmeskite šio lapelio, nes vėl gali prireikti jį perskaityti. </w:t>
      </w:r>
    </w:p>
    <w:p w14:paraId="2E5120BE" w14:textId="616862C5" w:rsidR="00A35A18" w:rsidRPr="00633873" w:rsidRDefault="00A35A18" w:rsidP="0022563C">
      <w:pPr>
        <w:numPr>
          <w:ilvl w:val="0"/>
          <w:numId w:val="25"/>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Jeigu kiltų daugiau klausimų, kreipkitės į gydytoją</w:t>
      </w:r>
      <w:r w:rsidR="0006197D">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vaistininką</w:t>
      </w:r>
      <w:r w:rsidR="0006197D">
        <w:rPr>
          <w:rFonts w:ascii="Times New Roman" w:eastAsia="Times New Roman" w:hAnsi="Times New Roman" w:cs="Times New Roman"/>
          <w:snapToGrid w:val="0"/>
          <w:szCs w:val="24"/>
        </w:rPr>
        <w:t xml:space="preserve"> arba slaugytoją</w:t>
      </w:r>
      <w:r w:rsidRPr="00633873">
        <w:rPr>
          <w:rFonts w:ascii="Times New Roman" w:eastAsia="Times New Roman" w:hAnsi="Times New Roman" w:cs="Times New Roman"/>
          <w:snapToGrid w:val="0"/>
          <w:szCs w:val="24"/>
        </w:rPr>
        <w:t>.</w:t>
      </w:r>
    </w:p>
    <w:p w14:paraId="7961D51D" w14:textId="79414D6F" w:rsidR="00A35A18" w:rsidRPr="0022563C" w:rsidRDefault="00A35A18" w:rsidP="0022563C">
      <w:pPr>
        <w:pStyle w:val="Sraopastraipa"/>
        <w:numPr>
          <w:ilvl w:val="0"/>
          <w:numId w:val="25"/>
        </w:numPr>
        <w:tabs>
          <w:tab w:val="left" w:pos="567"/>
        </w:tabs>
        <w:spacing w:after="0" w:line="240" w:lineRule="auto"/>
        <w:ind w:left="567" w:right="-2" w:hanging="567"/>
        <w:rPr>
          <w:rFonts w:ascii="Times New Roman" w:eastAsia="Times New Roman" w:hAnsi="Times New Roman" w:cs="Times New Roman"/>
          <w:snapToGrid w:val="0"/>
          <w:szCs w:val="24"/>
        </w:rPr>
      </w:pPr>
      <w:r w:rsidRPr="0022563C">
        <w:rPr>
          <w:rFonts w:ascii="Times New Roman" w:eastAsia="Times New Roman" w:hAnsi="Times New Roman" w:cs="Times New Roman"/>
          <w:snapToGrid w:val="0"/>
          <w:szCs w:val="24"/>
        </w:rPr>
        <w:t>Šis vaistas skirtas tik Jums, todėl kitiems žmonėms jo duoti negalima. Vaistas gali jiems pakenkti (net tiems, kurių ligos požymiai yra tokie patys kaip Jūsų).</w:t>
      </w:r>
    </w:p>
    <w:p w14:paraId="3939AD4D" w14:textId="7CA2004C" w:rsidR="00A35A18" w:rsidRPr="00633873" w:rsidRDefault="00A35A18" w:rsidP="0022563C">
      <w:pPr>
        <w:numPr>
          <w:ilvl w:val="0"/>
          <w:numId w:val="25"/>
        </w:numPr>
        <w:tabs>
          <w:tab w:val="left" w:pos="567"/>
        </w:tabs>
        <w:spacing w:after="0" w:line="240" w:lineRule="auto"/>
        <w:ind w:left="567"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Jeigu pasireiškė šalutinis poveikis (net jeigu jis šiame lapelyje nenurodytas), kreipkitės į gydytoją</w:t>
      </w:r>
      <w:r w:rsidR="0006197D">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xml:space="preserve"> vaistininką</w:t>
      </w:r>
      <w:r w:rsidR="0006197D">
        <w:rPr>
          <w:rFonts w:ascii="Times New Roman" w:eastAsia="Times New Roman" w:hAnsi="Times New Roman" w:cs="Times New Roman"/>
          <w:snapToGrid w:val="0"/>
          <w:szCs w:val="24"/>
        </w:rPr>
        <w:t xml:space="preserve"> arba slaugytoja</w:t>
      </w:r>
      <w:r w:rsidRPr="00633873">
        <w:rPr>
          <w:rFonts w:ascii="Times New Roman" w:eastAsia="Times New Roman" w:hAnsi="Times New Roman" w:cs="Times New Roman"/>
          <w:snapToGrid w:val="0"/>
          <w:szCs w:val="24"/>
        </w:rPr>
        <w:t>. Žr. 4</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w:t>
      </w:r>
    </w:p>
    <w:p w14:paraId="74BA2EDF" w14:textId="77777777" w:rsidR="00A35A18" w:rsidRPr="00633873" w:rsidRDefault="00A35A18" w:rsidP="00A35A18">
      <w:pPr>
        <w:spacing w:after="0" w:line="240" w:lineRule="auto"/>
        <w:ind w:right="-2"/>
        <w:rPr>
          <w:rFonts w:ascii="Times New Roman" w:eastAsia="Times New Roman" w:hAnsi="Times New Roman" w:cs="Times New Roman"/>
          <w:snapToGrid w:val="0"/>
          <w:szCs w:val="24"/>
        </w:rPr>
      </w:pPr>
    </w:p>
    <w:p w14:paraId="25A5214A" w14:textId="77777777" w:rsidR="00A35A18" w:rsidRPr="00633873" w:rsidRDefault="00A35A18" w:rsidP="00A35A18">
      <w:pPr>
        <w:widowControl w:val="0"/>
        <w:spacing w:after="0" w:line="240" w:lineRule="auto"/>
        <w:ind w:left="567" w:hanging="567"/>
        <w:rPr>
          <w:rFonts w:ascii="Times New Roman" w:eastAsia="Times New Roman" w:hAnsi="Times New Roman" w:cs="Times New Roman"/>
          <w:b/>
        </w:rPr>
      </w:pPr>
      <w:r w:rsidRPr="00633873">
        <w:rPr>
          <w:rFonts w:ascii="Times New Roman" w:eastAsia="Times New Roman" w:hAnsi="Times New Roman" w:cs="Times New Roman"/>
          <w:b/>
        </w:rPr>
        <w:t>Apie ką rašoma šiame lapelyje?</w:t>
      </w:r>
    </w:p>
    <w:p w14:paraId="4AFAEC86" w14:textId="77777777" w:rsidR="00A35A18" w:rsidRPr="00633873" w:rsidRDefault="00A35A18" w:rsidP="00A35A18">
      <w:pPr>
        <w:widowControl w:val="0"/>
        <w:spacing w:after="0" w:line="240" w:lineRule="auto"/>
        <w:ind w:left="567" w:hanging="567"/>
        <w:rPr>
          <w:rFonts w:ascii="Times New Roman" w:eastAsia="Times New Roman" w:hAnsi="Times New Roman" w:cs="Times New Roman"/>
          <w:bCs/>
        </w:rPr>
      </w:pPr>
    </w:p>
    <w:p w14:paraId="1750A5F3" w14:textId="77777777" w:rsidR="00A35A18" w:rsidRPr="00633873" w:rsidRDefault="00A35A18" w:rsidP="00A3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1.</w:t>
      </w:r>
      <w:r w:rsidRPr="00633873">
        <w:rPr>
          <w:rFonts w:ascii="Times New Roman" w:eastAsia="Times New Roman" w:hAnsi="Times New Roman" w:cs="Times New Roman"/>
          <w:snapToGrid w:val="0"/>
          <w:szCs w:val="24"/>
        </w:rPr>
        <w:tab/>
      </w:r>
      <w:r w:rsidRPr="00633873">
        <w:rPr>
          <w:rFonts w:ascii="Times New Roman" w:eastAsia="Times New Roman" w:hAnsi="Times New Roman" w:cs="Times New Roman"/>
          <w:snapToGrid w:val="0"/>
          <w:szCs w:val="20"/>
        </w:rPr>
        <w:t xml:space="preserve">Kas yra </w:t>
      </w:r>
      <w:proofErr w:type="spellStart"/>
      <w:r w:rsidRPr="00633873">
        <w:rPr>
          <w:rFonts w:ascii="Times New Roman" w:eastAsia="Times New Roman" w:hAnsi="Times New Roman" w:cs="Times New Roman"/>
          <w:snapToGrid w:val="0"/>
          <w:szCs w:val="20"/>
        </w:rPr>
        <w:t>Ambrisentan</w:t>
      </w:r>
      <w:proofErr w:type="spellEnd"/>
      <w:r w:rsidRPr="00633873">
        <w:rPr>
          <w:rFonts w:ascii="Times New Roman" w:eastAsia="Times New Roman" w:hAnsi="Times New Roman" w:cs="Times New Roman"/>
          <w:snapToGrid w:val="0"/>
          <w:szCs w:val="20"/>
        </w:rPr>
        <w:t xml:space="preserve"> </w:t>
      </w:r>
      <w:proofErr w:type="spellStart"/>
      <w:r w:rsidR="00E62DAA" w:rsidRPr="00633873">
        <w:rPr>
          <w:rFonts w:ascii="Times New Roman" w:eastAsia="Times New Roman" w:hAnsi="Times New Roman" w:cs="Times New Roman"/>
          <w:snapToGrid w:val="0"/>
          <w:szCs w:val="20"/>
        </w:rPr>
        <w:t>Zentiva</w:t>
      </w:r>
      <w:proofErr w:type="spellEnd"/>
      <w:r w:rsidRPr="00633873">
        <w:rPr>
          <w:rFonts w:ascii="Times New Roman" w:eastAsia="Times New Roman" w:hAnsi="Times New Roman" w:cs="Times New Roman"/>
          <w:snapToGrid w:val="0"/>
          <w:szCs w:val="20"/>
        </w:rPr>
        <w:t xml:space="preserve"> ir kam jis vartojamas</w:t>
      </w:r>
      <w:r w:rsidRPr="00633873">
        <w:rPr>
          <w:rFonts w:ascii="Times New Roman" w:eastAsia="Times New Roman" w:hAnsi="Times New Roman" w:cs="Times New Roman"/>
          <w:snapToGrid w:val="0"/>
          <w:szCs w:val="24"/>
        </w:rPr>
        <w:t xml:space="preserve"> </w:t>
      </w:r>
    </w:p>
    <w:p w14:paraId="0BFB29E1" w14:textId="77777777" w:rsidR="00A35A18" w:rsidRPr="00633873" w:rsidRDefault="00A35A18" w:rsidP="00A3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2.</w:t>
      </w:r>
      <w:r w:rsidRPr="00633873">
        <w:rPr>
          <w:rFonts w:ascii="Times New Roman" w:eastAsia="Times New Roman" w:hAnsi="Times New Roman" w:cs="Times New Roman"/>
          <w:snapToGrid w:val="0"/>
          <w:szCs w:val="24"/>
        </w:rPr>
        <w:tab/>
        <w:t xml:space="preserve">Kas žinotina prieš vartojant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p>
    <w:p w14:paraId="3D8264F8" w14:textId="77777777" w:rsidR="00A35A18" w:rsidRPr="00633873" w:rsidRDefault="00A35A18" w:rsidP="00A3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3.</w:t>
      </w:r>
      <w:r w:rsidRPr="00633873">
        <w:rPr>
          <w:rFonts w:ascii="Times New Roman" w:eastAsia="Times New Roman" w:hAnsi="Times New Roman" w:cs="Times New Roman"/>
          <w:snapToGrid w:val="0"/>
          <w:szCs w:val="24"/>
        </w:rPr>
        <w:tab/>
        <w:t xml:space="preserve">Kaip vartoti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p>
    <w:p w14:paraId="4E685BD4" w14:textId="77777777" w:rsidR="00A35A18" w:rsidRPr="00633873" w:rsidRDefault="00A35A18" w:rsidP="00A3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4.</w:t>
      </w:r>
      <w:r w:rsidRPr="00633873">
        <w:rPr>
          <w:rFonts w:ascii="Times New Roman" w:eastAsia="Times New Roman" w:hAnsi="Times New Roman" w:cs="Times New Roman"/>
          <w:snapToGrid w:val="0"/>
          <w:szCs w:val="24"/>
        </w:rPr>
        <w:tab/>
      </w:r>
      <w:r w:rsidRPr="00633873">
        <w:rPr>
          <w:rFonts w:ascii="Times New Roman" w:eastAsia="Times New Roman" w:hAnsi="Times New Roman" w:cs="Times New Roman"/>
          <w:snapToGrid w:val="0"/>
          <w:szCs w:val="20"/>
        </w:rPr>
        <w:t>Galimas šalutinis poveikis</w:t>
      </w:r>
      <w:r w:rsidRPr="00633873">
        <w:rPr>
          <w:rFonts w:ascii="Times New Roman" w:eastAsia="Times New Roman" w:hAnsi="Times New Roman" w:cs="Times New Roman"/>
          <w:snapToGrid w:val="0"/>
          <w:szCs w:val="24"/>
        </w:rPr>
        <w:t xml:space="preserve"> </w:t>
      </w:r>
    </w:p>
    <w:p w14:paraId="1497B6C6" w14:textId="77777777" w:rsidR="00A35A18" w:rsidRPr="00633873" w:rsidRDefault="00A35A18" w:rsidP="00A3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5.</w:t>
      </w:r>
      <w:r w:rsidRPr="00633873">
        <w:rPr>
          <w:rFonts w:ascii="Times New Roman" w:eastAsia="Times New Roman" w:hAnsi="Times New Roman" w:cs="Times New Roman"/>
          <w:snapToGrid w:val="0"/>
          <w:szCs w:val="24"/>
        </w:rPr>
        <w:tab/>
      </w:r>
      <w:r w:rsidRPr="00633873">
        <w:rPr>
          <w:rFonts w:ascii="Times New Roman" w:eastAsia="Times New Roman" w:hAnsi="Times New Roman" w:cs="Times New Roman"/>
          <w:snapToGrid w:val="0"/>
          <w:szCs w:val="20"/>
        </w:rPr>
        <w:t xml:space="preserve">Kaip laikyti </w:t>
      </w:r>
      <w:proofErr w:type="spellStart"/>
      <w:r w:rsidRPr="00633873">
        <w:rPr>
          <w:rFonts w:ascii="Times New Roman" w:eastAsia="Times New Roman" w:hAnsi="Times New Roman" w:cs="Times New Roman"/>
          <w:snapToGrid w:val="0"/>
          <w:szCs w:val="20"/>
        </w:rPr>
        <w:t>Ambrisentan</w:t>
      </w:r>
      <w:proofErr w:type="spellEnd"/>
      <w:r w:rsidRPr="00633873">
        <w:rPr>
          <w:rFonts w:ascii="Times New Roman" w:eastAsia="Times New Roman" w:hAnsi="Times New Roman" w:cs="Times New Roman"/>
          <w:snapToGrid w:val="0"/>
          <w:szCs w:val="20"/>
        </w:rPr>
        <w:t xml:space="preserve"> </w:t>
      </w:r>
      <w:proofErr w:type="spellStart"/>
      <w:r w:rsidR="00E62DAA" w:rsidRPr="00633873">
        <w:rPr>
          <w:rFonts w:ascii="Times New Roman" w:eastAsia="Times New Roman" w:hAnsi="Times New Roman" w:cs="Times New Roman"/>
          <w:snapToGrid w:val="0"/>
          <w:szCs w:val="20"/>
        </w:rPr>
        <w:t>Zentiva</w:t>
      </w:r>
      <w:proofErr w:type="spellEnd"/>
    </w:p>
    <w:p w14:paraId="1B4B8CD8" w14:textId="77777777" w:rsidR="00A35A18" w:rsidRPr="00633873" w:rsidRDefault="00A35A18" w:rsidP="00A35A18">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6.</w:t>
      </w:r>
      <w:r w:rsidRPr="00633873">
        <w:rPr>
          <w:rFonts w:ascii="Times New Roman" w:eastAsia="Times New Roman" w:hAnsi="Times New Roman" w:cs="Times New Roman"/>
          <w:snapToGrid w:val="0"/>
          <w:szCs w:val="24"/>
        </w:rPr>
        <w:tab/>
        <w:t>Pakuotės turinys ir kita informacija</w:t>
      </w:r>
    </w:p>
    <w:p w14:paraId="3C66F5D0"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54F10101"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3CC07867" w14:textId="77777777" w:rsidR="00A35A18" w:rsidRPr="00633873" w:rsidRDefault="00A35A18" w:rsidP="00A35A18">
      <w:pPr>
        <w:widowControl w:val="0"/>
        <w:spacing w:after="0" w:line="240" w:lineRule="auto"/>
        <w:ind w:left="567" w:hanging="567"/>
        <w:outlineLvl w:val="0"/>
        <w:rPr>
          <w:rFonts w:ascii="Times New Roman" w:eastAsia="Times New Roman" w:hAnsi="Times New Roman" w:cs="Times New Roman"/>
          <w:b/>
        </w:rPr>
      </w:pPr>
      <w:r w:rsidRPr="00633873">
        <w:rPr>
          <w:rFonts w:ascii="Times New Roman" w:eastAsia="Times New Roman" w:hAnsi="Times New Roman" w:cs="Times New Roman"/>
          <w:b/>
        </w:rPr>
        <w:t>1.</w:t>
      </w:r>
      <w:r w:rsidRPr="00633873">
        <w:rPr>
          <w:rFonts w:ascii="Times New Roman" w:eastAsia="Times New Roman" w:hAnsi="Times New Roman" w:cs="Times New Roman"/>
          <w:b/>
        </w:rPr>
        <w:tab/>
        <w:t xml:space="preserve">Kas yra </w:t>
      </w:r>
      <w:proofErr w:type="spellStart"/>
      <w:r w:rsidRPr="00633873">
        <w:rPr>
          <w:rFonts w:ascii="Times New Roman" w:eastAsia="Times New Roman" w:hAnsi="Times New Roman" w:cs="Times New Roman"/>
          <w:b/>
        </w:rPr>
        <w:t>Ambrisentan</w:t>
      </w:r>
      <w:proofErr w:type="spellEnd"/>
      <w:r w:rsidRPr="00633873">
        <w:rPr>
          <w:rFonts w:ascii="Times New Roman" w:eastAsia="Times New Roman" w:hAnsi="Times New Roman" w:cs="Times New Roman"/>
          <w:b/>
        </w:rPr>
        <w:t xml:space="preserve"> </w:t>
      </w:r>
      <w:proofErr w:type="spellStart"/>
      <w:r w:rsidR="00E62DAA" w:rsidRPr="00633873">
        <w:rPr>
          <w:rFonts w:ascii="Times New Roman" w:eastAsia="Times New Roman" w:hAnsi="Times New Roman" w:cs="Times New Roman"/>
          <w:b/>
        </w:rPr>
        <w:t>Zentiva</w:t>
      </w:r>
      <w:proofErr w:type="spellEnd"/>
      <w:r w:rsidRPr="00633873">
        <w:rPr>
          <w:rFonts w:ascii="Times New Roman" w:eastAsia="Times New Roman" w:hAnsi="Times New Roman" w:cs="Times New Roman"/>
          <w:b/>
        </w:rPr>
        <w:t xml:space="preserve"> ir kam jis vartojamas</w:t>
      </w:r>
    </w:p>
    <w:p w14:paraId="3ED7D69E"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79514502" w14:textId="2F9DB0C1" w:rsidR="00A35A18"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sudėtyje yra veikliosios medžiagos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 xml:space="preserve">. Jis priklauso </w:t>
      </w:r>
      <w:proofErr w:type="spellStart"/>
      <w:r w:rsidRPr="00633873">
        <w:rPr>
          <w:rFonts w:ascii="Times New Roman" w:eastAsia="Times New Roman" w:hAnsi="Times New Roman" w:cs="Times New Roman"/>
          <w:snapToGrid w:val="0"/>
          <w:szCs w:val="24"/>
        </w:rPr>
        <w:t>antihipertenziniais</w:t>
      </w:r>
      <w:proofErr w:type="spellEnd"/>
      <w:r w:rsidRPr="00633873">
        <w:rPr>
          <w:rFonts w:ascii="Times New Roman" w:eastAsia="Times New Roman" w:hAnsi="Times New Roman" w:cs="Times New Roman"/>
          <w:snapToGrid w:val="0"/>
          <w:szCs w:val="24"/>
        </w:rPr>
        <w:t xml:space="preserve"> vaistais (vartojami </w:t>
      </w:r>
      <w:r w:rsidR="007D05F8" w:rsidRPr="00633873">
        <w:rPr>
          <w:rFonts w:ascii="Times New Roman" w:eastAsia="Times New Roman" w:hAnsi="Times New Roman" w:cs="Times New Roman"/>
          <w:snapToGrid w:val="0"/>
          <w:szCs w:val="24"/>
        </w:rPr>
        <w:t>padidėjusiam</w:t>
      </w:r>
      <w:r w:rsidRPr="00633873">
        <w:rPr>
          <w:rFonts w:ascii="Times New Roman" w:eastAsia="Times New Roman" w:hAnsi="Times New Roman" w:cs="Times New Roman"/>
          <w:snapToGrid w:val="0"/>
          <w:szCs w:val="24"/>
        </w:rPr>
        <w:t xml:space="preserve"> kraujospūdži</w:t>
      </w:r>
      <w:r w:rsidR="007D05F8" w:rsidRPr="00633873">
        <w:rPr>
          <w:rFonts w:ascii="Times New Roman" w:eastAsia="Times New Roman" w:hAnsi="Times New Roman" w:cs="Times New Roman"/>
          <w:snapToGrid w:val="0"/>
          <w:szCs w:val="24"/>
        </w:rPr>
        <w:t>ui</w:t>
      </w:r>
      <w:r w:rsidRPr="00633873">
        <w:rPr>
          <w:rFonts w:ascii="Times New Roman" w:eastAsia="Times New Roman" w:hAnsi="Times New Roman" w:cs="Times New Roman"/>
          <w:snapToGrid w:val="0"/>
          <w:szCs w:val="24"/>
        </w:rPr>
        <w:t xml:space="preserve">  gydyti) vadinamų vaistų grupei.</w:t>
      </w:r>
    </w:p>
    <w:p w14:paraId="4F92B3B4" w14:textId="77777777" w:rsidR="0006197D" w:rsidRPr="00633873" w:rsidRDefault="0006197D" w:rsidP="00A35A18">
      <w:pPr>
        <w:numPr>
          <w:ilvl w:val="12"/>
          <w:numId w:val="0"/>
        </w:numPr>
        <w:spacing w:after="0" w:line="240" w:lineRule="auto"/>
        <w:ind w:right="-2"/>
        <w:rPr>
          <w:rFonts w:ascii="Times New Roman" w:eastAsia="Times New Roman" w:hAnsi="Times New Roman" w:cs="Times New Roman"/>
          <w:snapToGrid w:val="0"/>
          <w:szCs w:val="24"/>
        </w:rPr>
      </w:pPr>
    </w:p>
    <w:p w14:paraId="3DD16738" w14:textId="63C48D9E"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Šis vaistas vartojamas suaugusiesiems,</w:t>
      </w:r>
      <w:r w:rsidR="00904BE7">
        <w:rPr>
          <w:rFonts w:ascii="Times New Roman" w:eastAsia="Times New Roman" w:hAnsi="Times New Roman" w:cs="Times New Roman"/>
          <w:snapToGrid w:val="0"/>
          <w:szCs w:val="24"/>
        </w:rPr>
        <w:t xml:space="preserve"> paaugliams ir vyresniems kaip 8 metų vaikams,</w:t>
      </w:r>
      <w:r w:rsidRPr="00633873">
        <w:rPr>
          <w:rFonts w:ascii="Times New Roman" w:eastAsia="Times New Roman" w:hAnsi="Times New Roman" w:cs="Times New Roman"/>
          <w:snapToGrid w:val="0"/>
          <w:szCs w:val="24"/>
        </w:rPr>
        <w:t xml:space="preserve"> sergantiems </w:t>
      </w:r>
      <w:proofErr w:type="spellStart"/>
      <w:r w:rsidRPr="00633873">
        <w:rPr>
          <w:rFonts w:ascii="Times New Roman" w:eastAsia="Times New Roman" w:hAnsi="Times New Roman" w:cs="Times New Roman"/>
          <w:snapToGrid w:val="0"/>
          <w:szCs w:val="24"/>
        </w:rPr>
        <w:t>plautine</w:t>
      </w:r>
      <w:proofErr w:type="spellEnd"/>
      <w:r w:rsidRPr="00633873">
        <w:rPr>
          <w:rFonts w:ascii="Times New Roman" w:eastAsia="Times New Roman" w:hAnsi="Times New Roman" w:cs="Times New Roman"/>
          <w:snapToGrid w:val="0"/>
          <w:szCs w:val="24"/>
        </w:rPr>
        <w:t xml:space="preserve"> hipertenzija (PH), gydyti. </w:t>
      </w:r>
      <w:r w:rsidR="008B75B3" w:rsidRPr="00633873">
        <w:rPr>
          <w:rFonts w:ascii="Times New Roman" w:eastAsia="Times New Roman" w:hAnsi="Times New Roman" w:cs="Times New Roman"/>
          <w:snapToGrid w:val="0"/>
          <w:szCs w:val="24"/>
        </w:rPr>
        <w:t xml:space="preserve">Sergant </w:t>
      </w:r>
      <w:r w:rsidRPr="00633873">
        <w:rPr>
          <w:rFonts w:ascii="Times New Roman" w:eastAsia="Times New Roman" w:hAnsi="Times New Roman" w:cs="Times New Roman"/>
          <w:snapToGrid w:val="0"/>
          <w:szCs w:val="24"/>
        </w:rPr>
        <w:t xml:space="preserve">PH būna padidėjęs kraujospūdis kraujagyslėse (plaučių arterijose), kuriomis kraujas teka iš širdies į plaučius. </w:t>
      </w:r>
      <w:r w:rsidR="008B75B3" w:rsidRPr="00633873">
        <w:rPr>
          <w:rFonts w:ascii="Times New Roman" w:eastAsia="Times New Roman" w:hAnsi="Times New Roman" w:cs="Times New Roman"/>
          <w:snapToGrid w:val="0"/>
          <w:szCs w:val="24"/>
        </w:rPr>
        <w:t>PH sergantiems ž</w:t>
      </w:r>
      <w:r w:rsidRPr="00633873">
        <w:rPr>
          <w:rFonts w:ascii="Times New Roman" w:eastAsia="Times New Roman" w:hAnsi="Times New Roman" w:cs="Times New Roman"/>
          <w:snapToGrid w:val="0"/>
          <w:szCs w:val="24"/>
        </w:rPr>
        <w:t xml:space="preserve">monėms šios arterijos susiaurėja, todėl širdžiai darosi sunkiau jomis </w:t>
      </w:r>
      <w:r w:rsidR="005F06C0" w:rsidRPr="00633873">
        <w:rPr>
          <w:rFonts w:ascii="Times New Roman" w:eastAsia="Times New Roman" w:hAnsi="Times New Roman" w:cs="Times New Roman"/>
          <w:snapToGrid w:val="0"/>
          <w:szCs w:val="24"/>
        </w:rPr>
        <w:t>stumti</w:t>
      </w:r>
      <w:r w:rsidRPr="00633873">
        <w:rPr>
          <w:rFonts w:ascii="Times New Roman" w:eastAsia="Times New Roman" w:hAnsi="Times New Roman" w:cs="Times New Roman"/>
          <w:snapToGrid w:val="0"/>
          <w:szCs w:val="24"/>
        </w:rPr>
        <w:t xml:space="preserve"> kraują. Dėl to atsiranda nuovargis, svaigulys ir dusulys.</w:t>
      </w:r>
    </w:p>
    <w:p w14:paraId="2571B52C" w14:textId="77777777" w:rsidR="00A35A18" w:rsidRPr="00633873" w:rsidRDefault="00A35A18" w:rsidP="005F06C0">
      <w:pPr>
        <w:numPr>
          <w:ilvl w:val="12"/>
          <w:numId w:val="0"/>
        </w:numPr>
        <w:tabs>
          <w:tab w:val="left" w:pos="7800"/>
        </w:tabs>
        <w:spacing w:after="0" w:line="240" w:lineRule="auto"/>
        <w:ind w:right="-2"/>
        <w:rPr>
          <w:rFonts w:ascii="Times New Roman" w:eastAsia="Times New Roman" w:hAnsi="Times New Roman" w:cs="Times New Roman"/>
          <w:snapToGrid w:val="0"/>
          <w:szCs w:val="24"/>
        </w:rPr>
      </w:pPr>
    </w:p>
    <w:p w14:paraId="16402D0F" w14:textId="47B447BE" w:rsidR="00A35A18"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praplečia plaučių arterijas, todėl širdžiai darosi lengviau jomis </w:t>
      </w:r>
      <w:r w:rsidR="005F06C0" w:rsidRPr="00633873">
        <w:rPr>
          <w:rFonts w:ascii="Times New Roman" w:eastAsia="Times New Roman" w:hAnsi="Times New Roman" w:cs="Times New Roman"/>
          <w:snapToGrid w:val="0"/>
          <w:szCs w:val="24"/>
        </w:rPr>
        <w:t xml:space="preserve">stumti </w:t>
      </w:r>
      <w:r w:rsidRPr="00633873">
        <w:rPr>
          <w:rFonts w:ascii="Times New Roman" w:eastAsia="Times New Roman" w:hAnsi="Times New Roman" w:cs="Times New Roman"/>
          <w:snapToGrid w:val="0"/>
          <w:szCs w:val="24"/>
        </w:rPr>
        <w:t>kraują. Tai sumažina kraujospūdį ir palengvina simptomus.</w:t>
      </w:r>
    </w:p>
    <w:p w14:paraId="6A3123EE" w14:textId="77777777" w:rsidR="0006197D" w:rsidRPr="00633873" w:rsidRDefault="0006197D" w:rsidP="00A35A18">
      <w:pPr>
        <w:numPr>
          <w:ilvl w:val="12"/>
          <w:numId w:val="0"/>
        </w:numPr>
        <w:spacing w:after="0" w:line="240" w:lineRule="auto"/>
        <w:ind w:right="-2"/>
        <w:rPr>
          <w:rFonts w:ascii="Times New Roman" w:eastAsia="Times New Roman" w:hAnsi="Times New Roman" w:cs="Times New Roman"/>
          <w:snapToGrid w:val="0"/>
          <w:szCs w:val="24"/>
        </w:rPr>
      </w:pPr>
    </w:p>
    <w:p w14:paraId="370D4448"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taip pat galima vartoti kartu su kitais vaistais, kuriais gydoma PH.</w:t>
      </w:r>
    </w:p>
    <w:p w14:paraId="130161F7"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3717F21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2CAFEA8C" w14:textId="77777777" w:rsidR="00A35A18" w:rsidRPr="00633873" w:rsidRDefault="00A35A18" w:rsidP="00A35A18">
      <w:pPr>
        <w:widowControl w:val="0"/>
        <w:spacing w:after="0" w:line="240" w:lineRule="auto"/>
        <w:ind w:left="567" w:hanging="567"/>
        <w:outlineLvl w:val="0"/>
        <w:rPr>
          <w:rFonts w:ascii="Times New Roman" w:eastAsia="Times New Roman" w:hAnsi="Times New Roman" w:cs="Times New Roman"/>
          <w:b/>
        </w:rPr>
      </w:pPr>
      <w:r w:rsidRPr="00633873">
        <w:rPr>
          <w:rFonts w:ascii="Times New Roman" w:eastAsia="Times New Roman" w:hAnsi="Times New Roman" w:cs="Times New Roman"/>
          <w:b/>
        </w:rPr>
        <w:t>2.</w:t>
      </w:r>
      <w:r w:rsidRPr="00633873">
        <w:rPr>
          <w:rFonts w:ascii="Times New Roman" w:eastAsia="Times New Roman" w:hAnsi="Times New Roman" w:cs="Times New Roman"/>
          <w:b/>
        </w:rPr>
        <w:tab/>
        <w:t xml:space="preserve">Kas žinotina prieš vartojant </w:t>
      </w:r>
      <w:proofErr w:type="spellStart"/>
      <w:r w:rsidRPr="00633873">
        <w:rPr>
          <w:rFonts w:ascii="Times New Roman" w:eastAsia="Times New Roman" w:hAnsi="Times New Roman" w:cs="Times New Roman"/>
          <w:b/>
        </w:rPr>
        <w:t>Ambrisentan</w:t>
      </w:r>
      <w:proofErr w:type="spellEnd"/>
      <w:r w:rsidRPr="00633873">
        <w:rPr>
          <w:rFonts w:ascii="Times New Roman" w:eastAsia="Times New Roman" w:hAnsi="Times New Roman" w:cs="Times New Roman"/>
          <w:b/>
        </w:rPr>
        <w:t xml:space="preserve"> </w:t>
      </w:r>
      <w:proofErr w:type="spellStart"/>
      <w:r w:rsidR="00E62DAA" w:rsidRPr="00633873">
        <w:rPr>
          <w:rFonts w:ascii="Times New Roman" w:eastAsia="Times New Roman" w:hAnsi="Times New Roman" w:cs="Times New Roman"/>
          <w:b/>
        </w:rPr>
        <w:t>Zentiva</w:t>
      </w:r>
      <w:proofErr w:type="spellEnd"/>
    </w:p>
    <w:p w14:paraId="73C5D68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7C4A2F6" w14:textId="67FA0954" w:rsidR="00A35A18" w:rsidRPr="00633873" w:rsidRDefault="00A35A18" w:rsidP="00A35A18">
      <w:pPr>
        <w:widowControl w:val="0"/>
        <w:spacing w:after="0" w:line="240" w:lineRule="auto"/>
        <w:ind w:left="567" w:hanging="567"/>
        <w:rPr>
          <w:rFonts w:ascii="Times New Roman" w:eastAsia="Times New Roman" w:hAnsi="Times New Roman" w:cs="Times New Roman"/>
          <w:b/>
          <w:bCs/>
        </w:rPr>
      </w:pPr>
      <w:proofErr w:type="spellStart"/>
      <w:r w:rsidRPr="00633873">
        <w:rPr>
          <w:rFonts w:ascii="Times New Roman" w:eastAsia="Times New Roman" w:hAnsi="Times New Roman" w:cs="Times New Roman"/>
          <w:b/>
          <w:bCs/>
        </w:rPr>
        <w:t>Ambrisentan</w:t>
      </w:r>
      <w:proofErr w:type="spellEnd"/>
      <w:r w:rsidRPr="00633873">
        <w:rPr>
          <w:rFonts w:ascii="Times New Roman" w:eastAsia="Times New Roman" w:hAnsi="Times New Roman" w:cs="Times New Roman"/>
          <w:b/>
          <w:bCs/>
        </w:rPr>
        <w:t xml:space="preserve"> </w:t>
      </w:r>
      <w:proofErr w:type="spellStart"/>
      <w:r w:rsidR="00E62DAA" w:rsidRPr="00633873">
        <w:rPr>
          <w:rFonts w:ascii="Times New Roman" w:eastAsia="Times New Roman" w:hAnsi="Times New Roman" w:cs="Times New Roman"/>
          <w:b/>
          <w:bCs/>
        </w:rPr>
        <w:t>Zentiva</w:t>
      </w:r>
      <w:proofErr w:type="spellEnd"/>
      <w:r w:rsidRPr="00633873">
        <w:rPr>
          <w:rFonts w:ascii="Times New Roman" w:eastAsia="Times New Roman" w:hAnsi="Times New Roman" w:cs="Times New Roman"/>
          <w:b/>
          <w:bCs/>
        </w:rPr>
        <w:t xml:space="preserve"> vartoti </w:t>
      </w:r>
      <w:r w:rsidR="00904BE7">
        <w:rPr>
          <w:rFonts w:ascii="Times New Roman" w:eastAsia="Times New Roman" w:hAnsi="Times New Roman" w:cs="Times New Roman"/>
          <w:b/>
          <w:bCs/>
        </w:rPr>
        <w:t>draudžiama</w:t>
      </w:r>
      <w:r w:rsidRPr="00633873">
        <w:rPr>
          <w:rFonts w:ascii="Times New Roman" w:eastAsia="Times New Roman" w:hAnsi="Times New Roman" w:cs="Times New Roman"/>
          <w:b/>
          <w:bCs/>
        </w:rPr>
        <w:t>:</w:t>
      </w:r>
    </w:p>
    <w:p w14:paraId="1DAC72A3" w14:textId="77777777" w:rsidR="00A35A18" w:rsidRPr="009F7541" w:rsidRDefault="00A35A18" w:rsidP="009F7541">
      <w:pPr>
        <w:pStyle w:val="Sraopastraipa"/>
        <w:numPr>
          <w:ilvl w:val="0"/>
          <w:numId w:val="18"/>
        </w:numPr>
        <w:tabs>
          <w:tab w:val="left" w:pos="567"/>
        </w:tabs>
        <w:spacing w:after="0" w:line="240" w:lineRule="auto"/>
        <w:ind w:left="567" w:hanging="567"/>
        <w:rPr>
          <w:rFonts w:ascii="Times New Roman" w:eastAsia="Times New Roman" w:hAnsi="Times New Roman" w:cs="Times New Roman"/>
          <w:snapToGrid w:val="0"/>
          <w:szCs w:val="24"/>
        </w:rPr>
      </w:pPr>
      <w:r w:rsidRPr="009F7541">
        <w:rPr>
          <w:rFonts w:ascii="Times New Roman" w:eastAsia="Times New Roman" w:hAnsi="Times New Roman" w:cs="Times New Roman"/>
          <w:snapToGrid w:val="0"/>
          <w:szCs w:val="24"/>
        </w:rPr>
        <w:t xml:space="preserve">jeigu yra </w:t>
      </w:r>
      <w:r w:rsidRPr="009F7541">
        <w:rPr>
          <w:rFonts w:ascii="Times New Roman" w:eastAsia="Times New Roman" w:hAnsi="Times New Roman" w:cs="Times New Roman"/>
          <w:b/>
          <w:bCs/>
          <w:snapToGrid w:val="0"/>
          <w:szCs w:val="24"/>
        </w:rPr>
        <w:t xml:space="preserve">alergija </w:t>
      </w:r>
      <w:proofErr w:type="spellStart"/>
      <w:r w:rsidRPr="009F7541">
        <w:rPr>
          <w:rFonts w:ascii="Times New Roman" w:eastAsia="Times New Roman" w:hAnsi="Times New Roman" w:cs="Times New Roman"/>
          <w:snapToGrid w:val="0"/>
          <w:szCs w:val="24"/>
        </w:rPr>
        <w:t>ambrisentanui</w:t>
      </w:r>
      <w:proofErr w:type="spellEnd"/>
      <w:r w:rsidRPr="009F7541">
        <w:rPr>
          <w:rFonts w:ascii="Times New Roman" w:eastAsia="Times New Roman" w:hAnsi="Times New Roman" w:cs="Times New Roman"/>
          <w:snapToGrid w:val="0"/>
          <w:szCs w:val="24"/>
        </w:rPr>
        <w:t>, žemės riešutams, sojai arba bet kuriai pagalbinei šio vaisto medžiagai (jos išvardytos 6</w:t>
      </w:r>
      <w:r w:rsidR="002D3ECE" w:rsidRPr="009F7541">
        <w:rPr>
          <w:rFonts w:ascii="Times New Roman" w:eastAsia="Times New Roman" w:hAnsi="Times New Roman" w:cs="Times New Roman"/>
          <w:snapToGrid w:val="0"/>
          <w:szCs w:val="24"/>
        </w:rPr>
        <w:t> skyri</w:t>
      </w:r>
      <w:r w:rsidRPr="009F7541">
        <w:rPr>
          <w:rFonts w:ascii="Times New Roman" w:eastAsia="Times New Roman" w:hAnsi="Times New Roman" w:cs="Times New Roman"/>
          <w:snapToGrid w:val="0"/>
          <w:szCs w:val="24"/>
        </w:rPr>
        <w:t>uje);</w:t>
      </w:r>
    </w:p>
    <w:p w14:paraId="7BB6A4B0" w14:textId="3791A0F1" w:rsidR="00A35A18" w:rsidRPr="009F7541" w:rsidRDefault="00A35A18" w:rsidP="009F7541">
      <w:pPr>
        <w:pStyle w:val="Sraopastraipa"/>
        <w:numPr>
          <w:ilvl w:val="0"/>
          <w:numId w:val="18"/>
        </w:numPr>
        <w:tabs>
          <w:tab w:val="left" w:pos="567"/>
        </w:tabs>
        <w:spacing w:after="0" w:line="240" w:lineRule="auto"/>
        <w:ind w:left="567" w:hanging="567"/>
        <w:rPr>
          <w:rFonts w:ascii="Times New Roman" w:eastAsia="Times New Roman" w:hAnsi="Times New Roman" w:cs="Times New Roman"/>
          <w:snapToGrid w:val="0"/>
          <w:szCs w:val="24"/>
        </w:rPr>
      </w:pPr>
      <w:r w:rsidRPr="009F7541">
        <w:rPr>
          <w:rFonts w:ascii="Times New Roman" w:eastAsia="Times New Roman" w:hAnsi="Times New Roman" w:cs="Times New Roman"/>
          <w:snapToGrid w:val="0"/>
          <w:szCs w:val="24"/>
        </w:rPr>
        <w:t>jeigu</w:t>
      </w:r>
      <w:r w:rsidRPr="009F7541">
        <w:rPr>
          <w:rFonts w:ascii="Times New Roman" w:eastAsia="Times New Roman" w:hAnsi="Times New Roman" w:cs="Times New Roman"/>
          <w:b/>
          <w:bCs/>
          <w:snapToGrid w:val="0"/>
          <w:szCs w:val="24"/>
        </w:rPr>
        <w:t xml:space="preserve"> esate nėščia, planuojate pastoti </w:t>
      </w:r>
      <w:r w:rsidRPr="009F7541">
        <w:rPr>
          <w:rFonts w:ascii="Times New Roman" w:eastAsia="Times New Roman" w:hAnsi="Times New Roman" w:cs="Times New Roman"/>
          <w:snapToGrid w:val="0"/>
          <w:szCs w:val="24"/>
        </w:rPr>
        <w:t xml:space="preserve">arba galite pastoti, nes nenaudojate </w:t>
      </w:r>
      <w:r w:rsidR="007D05F8" w:rsidRPr="009F7541">
        <w:rPr>
          <w:rFonts w:ascii="Times New Roman" w:eastAsia="Times New Roman" w:hAnsi="Times New Roman" w:cs="Times New Roman"/>
          <w:snapToGrid w:val="0"/>
          <w:szCs w:val="24"/>
        </w:rPr>
        <w:t>veiksmingų</w:t>
      </w:r>
      <w:r w:rsidRPr="009F7541">
        <w:rPr>
          <w:rFonts w:ascii="Times New Roman" w:eastAsia="Times New Roman" w:hAnsi="Times New Roman" w:cs="Times New Roman"/>
          <w:snapToGrid w:val="0"/>
          <w:szCs w:val="24"/>
        </w:rPr>
        <w:t xml:space="preserve"> priemonių apsisaugoti nuo nėštumo (kontracepcijos). Žr. informaciją poskyryje „Nėštumas“;</w:t>
      </w:r>
    </w:p>
    <w:p w14:paraId="28D8ED19" w14:textId="77777777" w:rsidR="00A35A18" w:rsidRPr="009F7541" w:rsidRDefault="00A35A18" w:rsidP="009F7541">
      <w:pPr>
        <w:pStyle w:val="Sraopastraipa"/>
        <w:numPr>
          <w:ilvl w:val="0"/>
          <w:numId w:val="18"/>
        </w:numPr>
        <w:tabs>
          <w:tab w:val="left" w:pos="567"/>
        </w:tabs>
        <w:spacing w:after="0" w:line="240" w:lineRule="auto"/>
        <w:ind w:left="567" w:hanging="567"/>
        <w:rPr>
          <w:rFonts w:ascii="Times New Roman" w:eastAsia="Times New Roman" w:hAnsi="Times New Roman" w:cs="Times New Roman"/>
          <w:snapToGrid w:val="0"/>
          <w:szCs w:val="24"/>
        </w:rPr>
      </w:pPr>
      <w:r w:rsidRPr="009F7541">
        <w:rPr>
          <w:rFonts w:ascii="Times New Roman" w:eastAsia="Times New Roman" w:hAnsi="Times New Roman" w:cs="Times New Roman"/>
          <w:snapToGrid w:val="0"/>
          <w:szCs w:val="24"/>
        </w:rPr>
        <w:t xml:space="preserve">jeigu </w:t>
      </w:r>
      <w:r w:rsidRPr="009F7541">
        <w:rPr>
          <w:rFonts w:ascii="Times New Roman" w:eastAsia="Times New Roman" w:hAnsi="Times New Roman" w:cs="Times New Roman"/>
          <w:b/>
          <w:bCs/>
          <w:snapToGrid w:val="0"/>
          <w:szCs w:val="24"/>
        </w:rPr>
        <w:t>maitinate krūtimi</w:t>
      </w:r>
      <w:r w:rsidRPr="009F7541">
        <w:rPr>
          <w:rFonts w:ascii="Times New Roman" w:eastAsia="Times New Roman" w:hAnsi="Times New Roman" w:cs="Times New Roman"/>
          <w:snapToGrid w:val="0"/>
          <w:szCs w:val="24"/>
        </w:rPr>
        <w:t>. Žr. informaciją poskyryje „Žindymo laikotarpis“;</w:t>
      </w:r>
    </w:p>
    <w:p w14:paraId="250CA6FC" w14:textId="77777777" w:rsidR="00A35A18" w:rsidRPr="009F7541" w:rsidRDefault="00A35A18" w:rsidP="009F7541">
      <w:pPr>
        <w:pStyle w:val="Sraopastraipa"/>
        <w:numPr>
          <w:ilvl w:val="0"/>
          <w:numId w:val="18"/>
        </w:numPr>
        <w:tabs>
          <w:tab w:val="left" w:pos="567"/>
        </w:tabs>
        <w:spacing w:after="0" w:line="240" w:lineRule="auto"/>
        <w:ind w:left="567" w:hanging="567"/>
        <w:rPr>
          <w:rFonts w:ascii="Times New Roman" w:eastAsia="Times New Roman" w:hAnsi="Times New Roman" w:cs="Times New Roman"/>
          <w:snapToGrid w:val="0"/>
          <w:szCs w:val="24"/>
        </w:rPr>
      </w:pPr>
      <w:r w:rsidRPr="009F7541">
        <w:rPr>
          <w:rFonts w:ascii="Times New Roman" w:eastAsia="Times New Roman" w:hAnsi="Times New Roman" w:cs="Times New Roman"/>
          <w:snapToGrid w:val="0"/>
          <w:szCs w:val="24"/>
        </w:rPr>
        <w:t xml:space="preserve">jeigu sergate </w:t>
      </w:r>
      <w:r w:rsidRPr="009F7541">
        <w:rPr>
          <w:rFonts w:ascii="Times New Roman" w:eastAsia="Times New Roman" w:hAnsi="Times New Roman" w:cs="Times New Roman"/>
          <w:b/>
          <w:bCs/>
          <w:snapToGrid w:val="0"/>
          <w:szCs w:val="24"/>
        </w:rPr>
        <w:t>kepenų liga</w:t>
      </w:r>
      <w:r w:rsidRPr="009F7541">
        <w:rPr>
          <w:rFonts w:ascii="Times New Roman" w:eastAsia="Times New Roman" w:hAnsi="Times New Roman" w:cs="Times New Roman"/>
          <w:snapToGrid w:val="0"/>
          <w:szCs w:val="24"/>
        </w:rPr>
        <w:t xml:space="preserve">. Pasitarkite su gydytoju, kuris nuspręs, ar šis vaistas </w:t>
      </w:r>
      <w:r w:rsidR="00F61F20" w:rsidRPr="009F7541">
        <w:rPr>
          <w:rFonts w:ascii="Times New Roman" w:eastAsia="Times New Roman" w:hAnsi="Times New Roman" w:cs="Times New Roman"/>
          <w:snapToGrid w:val="0"/>
          <w:szCs w:val="24"/>
        </w:rPr>
        <w:t xml:space="preserve">Jums </w:t>
      </w:r>
      <w:r w:rsidRPr="009F7541">
        <w:rPr>
          <w:rFonts w:ascii="Times New Roman" w:eastAsia="Times New Roman" w:hAnsi="Times New Roman" w:cs="Times New Roman"/>
          <w:snapToGrid w:val="0"/>
          <w:szCs w:val="24"/>
        </w:rPr>
        <w:t>tinka;</w:t>
      </w:r>
    </w:p>
    <w:p w14:paraId="716ECF49" w14:textId="77777777" w:rsidR="00A35A18" w:rsidRPr="009F7541" w:rsidRDefault="00A35A18" w:rsidP="009F7541">
      <w:pPr>
        <w:pStyle w:val="Sraopastraipa"/>
        <w:numPr>
          <w:ilvl w:val="0"/>
          <w:numId w:val="18"/>
        </w:numPr>
        <w:tabs>
          <w:tab w:val="left" w:pos="567"/>
        </w:tabs>
        <w:spacing w:after="0" w:line="240" w:lineRule="auto"/>
        <w:ind w:left="567" w:hanging="567"/>
        <w:rPr>
          <w:rFonts w:ascii="Times New Roman" w:eastAsia="Times New Roman" w:hAnsi="Times New Roman" w:cs="Times New Roman"/>
          <w:snapToGrid w:val="0"/>
          <w:szCs w:val="24"/>
        </w:rPr>
      </w:pPr>
      <w:r w:rsidRPr="009F7541">
        <w:rPr>
          <w:rFonts w:ascii="Times New Roman" w:eastAsia="Times New Roman" w:hAnsi="Times New Roman" w:cs="Times New Roman"/>
          <w:snapToGrid w:val="0"/>
          <w:szCs w:val="24"/>
        </w:rPr>
        <w:t xml:space="preserve">jeigu dėl neaiškių priežasčių </w:t>
      </w:r>
      <w:r w:rsidRPr="009F7541">
        <w:rPr>
          <w:rFonts w:ascii="Times New Roman" w:eastAsia="Times New Roman" w:hAnsi="Times New Roman" w:cs="Times New Roman"/>
          <w:b/>
          <w:bCs/>
          <w:snapToGrid w:val="0"/>
          <w:szCs w:val="24"/>
        </w:rPr>
        <w:t xml:space="preserve">randėja plaučiai </w:t>
      </w:r>
      <w:r w:rsidRPr="009F7541">
        <w:rPr>
          <w:rFonts w:ascii="Times New Roman" w:eastAsia="Times New Roman" w:hAnsi="Times New Roman" w:cs="Times New Roman"/>
          <w:snapToGrid w:val="0"/>
          <w:szCs w:val="24"/>
        </w:rPr>
        <w:t>(</w:t>
      </w:r>
      <w:r w:rsidRPr="00570F2A">
        <w:rPr>
          <w:rFonts w:ascii="Times New Roman" w:eastAsia="Times New Roman" w:hAnsi="Times New Roman" w:cs="Times New Roman"/>
          <w:i/>
          <w:iCs/>
          <w:snapToGrid w:val="0"/>
          <w:szCs w:val="24"/>
        </w:rPr>
        <w:t>yra idiopatinė plaučių fibrozė</w:t>
      </w:r>
      <w:r w:rsidRPr="009F7541">
        <w:rPr>
          <w:rFonts w:ascii="Times New Roman" w:eastAsia="Times New Roman" w:hAnsi="Times New Roman" w:cs="Times New Roman"/>
          <w:snapToGrid w:val="0"/>
          <w:szCs w:val="24"/>
        </w:rPr>
        <w:t>).</w:t>
      </w:r>
    </w:p>
    <w:p w14:paraId="43131722"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4E6B57AE" w14:textId="77777777" w:rsidR="00A35A18" w:rsidRPr="00633873" w:rsidRDefault="00A35A18" w:rsidP="00A35A18">
      <w:pPr>
        <w:widowControl w:val="0"/>
        <w:spacing w:after="0" w:line="240" w:lineRule="auto"/>
        <w:ind w:left="567" w:hanging="567"/>
        <w:rPr>
          <w:rFonts w:ascii="Times New Roman" w:eastAsia="Times New Roman" w:hAnsi="Times New Roman" w:cs="Times New Roman"/>
          <w:b/>
          <w:bCs/>
        </w:rPr>
      </w:pPr>
      <w:r w:rsidRPr="00633873">
        <w:rPr>
          <w:rFonts w:ascii="Times New Roman" w:eastAsia="Times New Roman" w:hAnsi="Times New Roman" w:cs="Times New Roman"/>
          <w:b/>
          <w:bCs/>
        </w:rPr>
        <w:t xml:space="preserve">Įspėjimai ir atsargumo priemonės </w:t>
      </w:r>
    </w:p>
    <w:p w14:paraId="070F905F"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Pasitarkite su gydytoju, prieš pradėdami vartoti </w:t>
      </w:r>
      <w:proofErr w:type="spellStart"/>
      <w:r w:rsidR="00F61F20" w:rsidRPr="00633873">
        <w:rPr>
          <w:rFonts w:ascii="Times New Roman" w:eastAsia="Times New Roman" w:hAnsi="Times New Roman" w:cs="Times New Roman"/>
          <w:snapToGrid w:val="0"/>
          <w:szCs w:val="24"/>
        </w:rPr>
        <w:t>Ambrisentan</w:t>
      </w:r>
      <w:proofErr w:type="spellEnd"/>
      <w:r w:rsidR="00F61F20" w:rsidRPr="00633873">
        <w:rPr>
          <w:rFonts w:ascii="Times New Roman" w:eastAsia="Times New Roman" w:hAnsi="Times New Roman" w:cs="Times New Roman"/>
          <w:snapToGrid w:val="0"/>
          <w:szCs w:val="24"/>
        </w:rPr>
        <w:t xml:space="preserve"> </w:t>
      </w:r>
      <w:proofErr w:type="spellStart"/>
      <w:r w:rsidR="00F61F20"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jeigu yra:</w:t>
      </w:r>
    </w:p>
    <w:p w14:paraId="7B223E09" w14:textId="77777777" w:rsidR="00A35A18" w:rsidRPr="00633873" w:rsidRDefault="00A35A18" w:rsidP="009F7541">
      <w:pPr>
        <w:numPr>
          <w:ilvl w:val="0"/>
          <w:numId w:val="19"/>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sutrikusi kepenų veikla;</w:t>
      </w:r>
    </w:p>
    <w:p w14:paraId="6BB2E1F1" w14:textId="77777777" w:rsidR="00A35A18" w:rsidRPr="00633873" w:rsidRDefault="00A35A18" w:rsidP="009F7541">
      <w:pPr>
        <w:numPr>
          <w:ilvl w:val="0"/>
          <w:numId w:val="19"/>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lastRenderedPageBreak/>
        <w:t>mažakraujystė (sumažėjęs raudonųjų kraujo ląstelių kiekis);</w:t>
      </w:r>
    </w:p>
    <w:p w14:paraId="4892D25C" w14:textId="68D81CB5" w:rsidR="00A35A18" w:rsidRPr="00633873" w:rsidRDefault="007D05F8" w:rsidP="009F7541">
      <w:pPr>
        <w:numPr>
          <w:ilvl w:val="0"/>
          <w:numId w:val="19"/>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rankų</w:t>
      </w:r>
      <w:r w:rsidR="00A35A18" w:rsidRPr="00633873">
        <w:rPr>
          <w:rFonts w:ascii="Times New Roman" w:eastAsia="Times New Roman" w:hAnsi="Times New Roman" w:cs="Times New Roman"/>
          <w:snapToGrid w:val="0"/>
          <w:szCs w:val="24"/>
        </w:rPr>
        <w:t>, kulkšnių arba pėdų patinimas dėl skysčių susikaupimo (</w:t>
      </w:r>
      <w:r w:rsidR="00A35A18" w:rsidRPr="00570F2A">
        <w:rPr>
          <w:rFonts w:ascii="Times New Roman" w:eastAsia="Times New Roman" w:hAnsi="Times New Roman" w:cs="Times New Roman"/>
          <w:i/>
          <w:iCs/>
          <w:snapToGrid w:val="0"/>
          <w:szCs w:val="24"/>
        </w:rPr>
        <w:t>periferinė edema</w:t>
      </w:r>
      <w:r w:rsidR="00A35A18" w:rsidRPr="00633873">
        <w:rPr>
          <w:rFonts w:ascii="Times New Roman" w:eastAsia="Times New Roman" w:hAnsi="Times New Roman" w:cs="Times New Roman"/>
          <w:snapToGrid w:val="0"/>
          <w:szCs w:val="24"/>
        </w:rPr>
        <w:t>);</w:t>
      </w:r>
    </w:p>
    <w:p w14:paraId="439CFE58" w14:textId="77777777" w:rsidR="00A35A18" w:rsidRPr="00633873" w:rsidRDefault="00A35A18" w:rsidP="009F7541">
      <w:pPr>
        <w:numPr>
          <w:ilvl w:val="0"/>
          <w:numId w:val="19"/>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plaučių liga, kuria sergant užsikemša plaučių venos (</w:t>
      </w:r>
      <w:r w:rsidRPr="00570F2A">
        <w:rPr>
          <w:rFonts w:ascii="Times New Roman" w:eastAsia="Times New Roman" w:hAnsi="Times New Roman" w:cs="Times New Roman"/>
          <w:i/>
          <w:iCs/>
          <w:snapToGrid w:val="0"/>
          <w:szCs w:val="24"/>
        </w:rPr>
        <w:t xml:space="preserve">plaučių venų </w:t>
      </w:r>
      <w:proofErr w:type="spellStart"/>
      <w:r w:rsidRPr="00570F2A">
        <w:rPr>
          <w:rFonts w:ascii="Times New Roman" w:eastAsia="Times New Roman" w:hAnsi="Times New Roman" w:cs="Times New Roman"/>
          <w:i/>
          <w:iCs/>
          <w:snapToGrid w:val="0"/>
          <w:szCs w:val="24"/>
        </w:rPr>
        <w:t>okliuzinė</w:t>
      </w:r>
      <w:proofErr w:type="spellEnd"/>
      <w:r w:rsidRPr="00570F2A">
        <w:rPr>
          <w:rFonts w:ascii="Times New Roman" w:eastAsia="Times New Roman" w:hAnsi="Times New Roman" w:cs="Times New Roman"/>
          <w:i/>
          <w:iCs/>
          <w:snapToGrid w:val="0"/>
          <w:szCs w:val="24"/>
        </w:rPr>
        <w:t xml:space="preserve"> liga</w:t>
      </w:r>
      <w:r w:rsidRPr="00633873">
        <w:rPr>
          <w:rFonts w:ascii="Times New Roman" w:eastAsia="Times New Roman" w:hAnsi="Times New Roman" w:cs="Times New Roman"/>
          <w:snapToGrid w:val="0"/>
          <w:szCs w:val="24"/>
        </w:rPr>
        <w:t>).</w:t>
      </w:r>
    </w:p>
    <w:p w14:paraId="78D65786"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51E89C8D"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9F7541">
        <w:rPr>
          <w:rFonts w:ascii="Arial" w:eastAsia="Times New Roman" w:hAnsi="Arial" w:cs="Arial"/>
          <w:snapToGrid w:val="0"/>
          <w:color w:val="545454"/>
          <w:sz w:val="21"/>
          <w:szCs w:val="21"/>
          <w:shd w:val="clear" w:color="auto" w:fill="FFFFFF"/>
        </w:rPr>
        <w:t>→</w:t>
      </w:r>
      <w:r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b/>
          <w:bCs/>
          <w:snapToGrid w:val="0"/>
          <w:szCs w:val="24"/>
        </w:rPr>
        <w:t>Jūsų gydytojas nuspręs</w:t>
      </w:r>
      <w:r w:rsidRPr="00633873">
        <w:rPr>
          <w:rFonts w:ascii="Times New Roman" w:eastAsia="Times New Roman" w:hAnsi="Times New Roman" w:cs="Times New Roman"/>
          <w:snapToGrid w:val="0"/>
          <w:szCs w:val="24"/>
        </w:rPr>
        <w:t xml:space="preserve">, ar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Jums tinka.</w:t>
      </w:r>
    </w:p>
    <w:p w14:paraId="63CAA436"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700AA765" w14:textId="77777777" w:rsidR="00A35A18" w:rsidRPr="009F7541" w:rsidRDefault="00A35A18" w:rsidP="00A35A18">
      <w:pPr>
        <w:numPr>
          <w:ilvl w:val="12"/>
          <w:numId w:val="0"/>
        </w:numPr>
        <w:spacing w:after="0" w:line="240" w:lineRule="auto"/>
        <w:ind w:right="-2"/>
        <w:rPr>
          <w:rFonts w:ascii="Times New Roman" w:eastAsia="Times New Roman" w:hAnsi="Times New Roman" w:cs="Times New Roman"/>
          <w:b/>
          <w:bCs/>
          <w:snapToGrid w:val="0"/>
          <w:szCs w:val="24"/>
        </w:rPr>
      </w:pPr>
      <w:r w:rsidRPr="009F7541">
        <w:rPr>
          <w:rFonts w:ascii="Times New Roman" w:eastAsia="Times New Roman" w:hAnsi="Times New Roman" w:cs="Times New Roman"/>
          <w:b/>
          <w:bCs/>
          <w:snapToGrid w:val="0"/>
          <w:szCs w:val="24"/>
        </w:rPr>
        <w:t>Jums reikės reguliariai tirti kraują</w:t>
      </w:r>
    </w:p>
    <w:p w14:paraId="63C4D097"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Gydytojas tirs Jūsų kraują prieš pradedant gydymą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ir reguliariai gydymo metu, kad nustatytų:</w:t>
      </w:r>
    </w:p>
    <w:p w14:paraId="10831749" w14:textId="77777777" w:rsidR="00A35A18" w:rsidRPr="00633873" w:rsidRDefault="00A35A18" w:rsidP="009F7541">
      <w:pPr>
        <w:numPr>
          <w:ilvl w:val="0"/>
          <w:numId w:val="20"/>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ar nėra mažakraujystės;</w:t>
      </w:r>
    </w:p>
    <w:p w14:paraId="10210A9D" w14:textId="77777777" w:rsidR="00A35A18" w:rsidRPr="00633873" w:rsidRDefault="00A35A18" w:rsidP="009F7541">
      <w:pPr>
        <w:numPr>
          <w:ilvl w:val="0"/>
          <w:numId w:val="20"/>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ar kepenų veikla yra tinkama.</w:t>
      </w:r>
    </w:p>
    <w:p w14:paraId="5EA0DA43"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5BE22324"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b/>
          <w:bCs/>
          <w:snapToGrid w:val="0"/>
          <w:szCs w:val="24"/>
        </w:rPr>
        <w:t xml:space="preserve">→ </w:t>
      </w:r>
      <w:r w:rsidRPr="00633873">
        <w:rPr>
          <w:rFonts w:ascii="Times New Roman" w:eastAsia="Times New Roman" w:hAnsi="Times New Roman" w:cs="Times New Roman"/>
          <w:snapToGrid w:val="0"/>
          <w:szCs w:val="24"/>
        </w:rPr>
        <w:t xml:space="preserve">Svarbu, kad Jums reguliariai būtų atliekami kraujo tyrimai visu gydymo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laikotarpiu.</w:t>
      </w:r>
    </w:p>
    <w:p w14:paraId="0D6AFE03"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5C9F7C13" w14:textId="77777777" w:rsidR="00A35A18" w:rsidRPr="009F7541" w:rsidRDefault="00A35A18" w:rsidP="00A35A18">
      <w:pPr>
        <w:numPr>
          <w:ilvl w:val="12"/>
          <w:numId w:val="0"/>
        </w:numPr>
        <w:spacing w:after="0" w:line="240" w:lineRule="auto"/>
        <w:ind w:right="-2"/>
        <w:rPr>
          <w:rFonts w:ascii="Times New Roman" w:eastAsia="Times New Roman" w:hAnsi="Times New Roman" w:cs="Times New Roman"/>
          <w:b/>
          <w:bCs/>
          <w:snapToGrid w:val="0"/>
          <w:szCs w:val="24"/>
        </w:rPr>
      </w:pPr>
      <w:r w:rsidRPr="009F7541">
        <w:rPr>
          <w:rFonts w:ascii="Times New Roman" w:eastAsia="Times New Roman" w:hAnsi="Times New Roman" w:cs="Times New Roman"/>
          <w:b/>
          <w:bCs/>
          <w:snapToGrid w:val="0"/>
          <w:szCs w:val="24"/>
        </w:rPr>
        <w:t>Galimi kepenų veiklos sutrikimo požymiai yra:</w:t>
      </w:r>
    </w:p>
    <w:p w14:paraId="6D67CD93"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apetito netekimas;</w:t>
      </w:r>
    </w:p>
    <w:p w14:paraId="42467717"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šleikštulys (</w:t>
      </w:r>
      <w:r w:rsidRPr="00570F2A">
        <w:rPr>
          <w:rFonts w:ascii="Times New Roman" w:eastAsia="Times New Roman" w:hAnsi="Times New Roman" w:cs="Times New Roman"/>
          <w:i/>
          <w:iCs/>
          <w:snapToGrid w:val="0"/>
          <w:szCs w:val="24"/>
        </w:rPr>
        <w:t>pykinimas</w:t>
      </w:r>
      <w:r w:rsidRPr="00633873">
        <w:rPr>
          <w:rFonts w:ascii="Times New Roman" w:eastAsia="Times New Roman" w:hAnsi="Times New Roman" w:cs="Times New Roman"/>
          <w:snapToGrid w:val="0"/>
          <w:szCs w:val="24"/>
        </w:rPr>
        <w:t>);</w:t>
      </w:r>
    </w:p>
    <w:p w14:paraId="24537C68"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vėmimas;</w:t>
      </w:r>
    </w:p>
    <w:p w14:paraId="31D86D76"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aukšta temperatūra (</w:t>
      </w:r>
      <w:r w:rsidRPr="00570F2A">
        <w:rPr>
          <w:rFonts w:ascii="Times New Roman" w:eastAsia="Times New Roman" w:hAnsi="Times New Roman" w:cs="Times New Roman"/>
          <w:i/>
          <w:iCs/>
          <w:snapToGrid w:val="0"/>
          <w:szCs w:val="24"/>
        </w:rPr>
        <w:t>karščiavimas</w:t>
      </w:r>
      <w:r w:rsidRPr="00633873">
        <w:rPr>
          <w:rFonts w:ascii="Times New Roman" w:eastAsia="Times New Roman" w:hAnsi="Times New Roman" w:cs="Times New Roman"/>
          <w:snapToGrid w:val="0"/>
          <w:szCs w:val="24"/>
        </w:rPr>
        <w:t>);</w:t>
      </w:r>
    </w:p>
    <w:p w14:paraId="56EC0CE0"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skrandžio (</w:t>
      </w:r>
      <w:r w:rsidRPr="00570F2A">
        <w:rPr>
          <w:rFonts w:ascii="Times New Roman" w:eastAsia="Times New Roman" w:hAnsi="Times New Roman" w:cs="Times New Roman"/>
          <w:i/>
          <w:iCs/>
          <w:snapToGrid w:val="0"/>
          <w:szCs w:val="24"/>
        </w:rPr>
        <w:t>pilvo</w:t>
      </w:r>
      <w:r w:rsidRPr="00633873">
        <w:rPr>
          <w:rFonts w:ascii="Times New Roman" w:eastAsia="Times New Roman" w:hAnsi="Times New Roman" w:cs="Times New Roman"/>
          <w:snapToGrid w:val="0"/>
          <w:szCs w:val="24"/>
        </w:rPr>
        <w:t>) skausmas;</w:t>
      </w:r>
    </w:p>
    <w:p w14:paraId="38B6D261"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odos ir akių baltymų pageltimas (</w:t>
      </w:r>
      <w:r w:rsidRPr="00570F2A">
        <w:rPr>
          <w:rFonts w:ascii="Times New Roman" w:eastAsia="Times New Roman" w:hAnsi="Times New Roman" w:cs="Times New Roman"/>
          <w:i/>
          <w:iCs/>
          <w:snapToGrid w:val="0"/>
          <w:szCs w:val="24"/>
        </w:rPr>
        <w:t>gelta</w:t>
      </w:r>
      <w:r w:rsidRPr="00633873">
        <w:rPr>
          <w:rFonts w:ascii="Times New Roman" w:eastAsia="Times New Roman" w:hAnsi="Times New Roman" w:cs="Times New Roman"/>
          <w:snapToGrid w:val="0"/>
          <w:szCs w:val="24"/>
        </w:rPr>
        <w:t>);</w:t>
      </w:r>
    </w:p>
    <w:p w14:paraId="58B1A762"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tamsios spalvos šlapimas;</w:t>
      </w:r>
    </w:p>
    <w:p w14:paraId="326F33C4" w14:textId="77777777" w:rsidR="00A35A18" w:rsidRPr="00633873" w:rsidRDefault="00A35A18" w:rsidP="009F7541">
      <w:pPr>
        <w:numPr>
          <w:ilvl w:val="0"/>
          <w:numId w:val="21"/>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odos niežėjimas.</w:t>
      </w:r>
    </w:p>
    <w:p w14:paraId="6F21C5E2"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7DB16D94" w14:textId="45D23FD1"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Jeigu pastebėsite bet kurį iš išvardytų požymių</w:t>
      </w:r>
    </w:p>
    <w:p w14:paraId="1AC5B7F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b/>
          <w:bCs/>
          <w:snapToGrid w:val="0"/>
          <w:szCs w:val="24"/>
        </w:rPr>
        <w:t>nedelsdami pasakykite gydytojui</w:t>
      </w:r>
      <w:r w:rsidRPr="00633873">
        <w:rPr>
          <w:rFonts w:ascii="Times New Roman" w:eastAsia="Times New Roman" w:hAnsi="Times New Roman" w:cs="Times New Roman"/>
          <w:snapToGrid w:val="0"/>
          <w:szCs w:val="24"/>
        </w:rPr>
        <w:t>.</w:t>
      </w:r>
    </w:p>
    <w:p w14:paraId="2E3003B5"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30B0356" w14:textId="7E44B8F3" w:rsidR="00A35A18" w:rsidRPr="00633873" w:rsidRDefault="00A35A18" w:rsidP="00A35A18">
      <w:pPr>
        <w:widowControl w:val="0"/>
        <w:spacing w:after="0" w:line="240" w:lineRule="auto"/>
        <w:ind w:left="567" w:hanging="567"/>
        <w:rPr>
          <w:rFonts w:ascii="Times New Roman" w:eastAsia="Times New Roman" w:hAnsi="Times New Roman" w:cs="Times New Roman"/>
          <w:b/>
          <w:bCs/>
        </w:rPr>
      </w:pPr>
      <w:r w:rsidRPr="00633873">
        <w:rPr>
          <w:rFonts w:ascii="Times New Roman" w:eastAsia="Times New Roman" w:hAnsi="Times New Roman" w:cs="Times New Roman"/>
          <w:b/>
          <w:bCs/>
        </w:rPr>
        <w:t>Vaikams</w:t>
      </w:r>
    </w:p>
    <w:p w14:paraId="588B9FC8" w14:textId="545FB566" w:rsidR="00A35A18" w:rsidRPr="00633873" w:rsidRDefault="00904BE7" w:rsidP="00A35A18">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Šio vaisto negalima skirti</w:t>
      </w:r>
      <w:r w:rsidR="00A35A18" w:rsidRPr="00633873">
        <w:rPr>
          <w:rFonts w:ascii="Times New Roman" w:eastAsia="Times New Roman" w:hAnsi="Times New Roman" w:cs="Times New Roman"/>
          <w:snapToGrid w:val="0"/>
          <w:szCs w:val="24"/>
        </w:rPr>
        <w:t xml:space="preserve"> jaunesniems kaip 8</w:t>
      </w:r>
      <w:r w:rsidR="005F1948" w:rsidRPr="00633873">
        <w:rPr>
          <w:rFonts w:ascii="Times New Roman" w:eastAsia="Times New Roman" w:hAnsi="Times New Roman" w:cs="Times New Roman"/>
          <w:snapToGrid w:val="0"/>
          <w:szCs w:val="24"/>
        </w:rPr>
        <w:t> </w:t>
      </w:r>
      <w:r w:rsidR="00A35A18" w:rsidRPr="00633873">
        <w:rPr>
          <w:rFonts w:ascii="Times New Roman" w:eastAsia="Times New Roman" w:hAnsi="Times New Roman" w:cs="Times New Roman"/>
          <w:snapToGrid w:val="0"/>
          <w:szCs w:val="24"/>
        </w:rPr>
        <w:t xml:space="preserve">metų </w:t>
      </w:r>
      <w:r w:rsidR="005B1DF9">
        <w:rPr>
          <w:rFonts w:ascii="Times New Roman" w:eastAsia="Times New Roman" w:hAnsi="Times New Roman" w:cs="Times New Roman"/>
          <w:snapToGrid w:val="0"/>
          <w:szCs w:val="24"/>
        </w:rPr>
        <w:t>vaikams</w:t>
      </w:r>
      <w:r w:rsidR="00A35A18" w:rsidRPr="00633873">
        <w:rPr>
          <w:rFonts w:ascii="Times New Roman" w:eastAsia="Times New Roman" w:hAnsi="Times New Roman" w:cs="Times New Roman"/>
          <w:snapToGrid w:val="0"/>
          <w:szCs w:val="24"/>
        </w:rPr>
        <w:t>, nes vaisto saugumas ir veiksmingumas šios amžiaus grupės pacientams nežinomi.</w:t>
      </w:r>
    </w:p>
    <w:p w14:paraId="7F7D9592" w14:textId="77777777" w:rsidR="00A35A18" w:rsidRPr="00633873" w:rsidRDefault="00A35A18" w:rsidP="00A35A18">
      <w:pPr>
        <w:numPr>
          <w:ilvl w:val="12"/>
          <w:numId w:val="0"/>
        </w:numPr>
        <w:spacing w:after="0" w:line="240" w:lineRule="auto"/>
        <w:rPr>
          <w:rFonts w:ascii="Times New Roman" w:eastAsia="Times New Roman" w:hAnsi="Times New Roman" w:cs="Times New Roman"/>
          <w:b/>
          <w:snapToGrid w:val="0"/>
          <w:szCs w:val="24"/>
        </w:rPr>
      </w:pPr>
    </w:p>
    <w:p w14:paraId="0FDFF1AF" w14:textId="77777777" w:rsidR="00A35A18" w:rsidRPr="00633873" w:rsidRDefault="00A35A18" w:rsidP="00A35A18">
      <w:pPr>
        <w:widowControl w:val="0"/>
        <w:spacing w:after="0" w:line="240" w:lineRule="auto"/>
        <w:ind w:left="567" w:hanging="567"/>
        <w:rPr>
          <w:rFonts w:ascii="Times New Roman" w:eastAsia="Times New Roman" w:hAnsi="Times New Roman" w:cs="Times New Roman"/>
          <w:b/>
          <w:bCs/>
        </w:rPr>
      </w:pPr>
      <w:r w:rsidRPr="00633873">
        <w:rPr>
          <w:rFonts w:ascii="Times New Roman" w:eastAsia="Times New Roman" w:hAnsi="Times New Roman" w:cs="Times New Roman"/>
          <w:b/>
          <w:bCs/>
        </w:rPr>
        <w:t xml:space="preserve">Kiti vaistai ir </w:t>
      </w:r>
      <w:proofErr w:type="spellStart"/>
      <w:r w:rsidRPr="00633873">
        <w:rPr>
          <w:rFonts w:ascii="Times New Roman" w:eastAsia="Times New Roman" w:hAnsi="Times New Roman" w:cs="Times New Roman"/>
          <w:b/>
          <w:bCs/>
        </w:rPr>
        <w:t>Ambrisentan</w:t>
      </w:r>
      <w:proofErr w:type="spellEnd"/>
      <w:r w:rsidRPr="00633873">
        <w:rPr>
          <w:rFonts w:ascii="Times New Roman" w:eastAsia="Times New Roman" w:hAnsi="Times New Roman" w:cs="Times New Roman"/>
          <w:b/>
          <w:bCs/>
        </w:rPr>
        <w:t xml:space="preserve"> </w:t>
      </w:r>
      <w:proofErr w:type="spellStart"/>
      <w:r w:rsidR="00E62DAA" w:rsidRPr="00633873">
        <w:rPr>
          <w:rFonts w:ascii="Times New Roman" w:eastAsia="Times New Roman" w:hAnsi="Times New Roman" w:cs="Times New Roman"/>
          <w:b/>
          <w:bCs/>
        </w:rPr>
        <w:t>Zentiva</w:t>
      </w:r>
      <w:proofErr w:type="spellEnd"/>
    </w:p>
    <w:p w14:paraId="1D4792EE" w14:textId="776161FB" w:rsidR="00A35A18"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Jeigu vartojate ar neseniai vartojote kitų vaistų arba dėl to nesate tikri, apie tai </w:t>
      </w:r>
      <w:r w:rsidRPr="00570F2A">
        <w:rPr>
          <w:rFonts w:ascii="Times New Roman" w:eastAsia="Times New Roman" w:hAnsi="Times New Roman" w:cs="Times New Roman"/>
          <w:b/>
          <w:bCs/>
          <w:snapToGrid w:val="0"/>
          <w:szCs w:val="24"/>
        </w:rPr>
        <w:t>pasakykite gydytojui arba vaistininkui</w:t>
      </w:r>
      <w:r w:rsidRPr="00633873">
        <w:rPr>
          <w:rFonts w:ascii="Times New Roman" w:eastAsia="Times New Roman" w:hAnsi="Times New Roman" w:cs="Times New Roman"/>
          <w:snapToGrid w:val="0"/>
          <w:szCs w:val="24"/>
        </w:rPr>
        <w:t>.</w:t>
      </w:r>
    </w:p>
    <w:p w14:paraId="6DF8DEEB" w14:textId="77777777" w:rsidR="0006197D" w:rsidRPr="00633873" w:rsidRDefault="0006197D" w:rsidP="00A35A18">
      <w:pPr>
        <w:numPr>
          <w:ilvl w:val="12"/>
          <w:numId w:val="0"/>
        </w:numPr>
        <w:spacing w:after="0" w:line="240" w:lineRule="auto"/>
        <w:ind w:right="-2"/>
        <w:rPr>
          <w:rFonts w:ascii="Times New Roman" w:eastAsia="Times New Roman" w:hAnsi="Times New Roman" w:cs="Times New Roman"/>
          <w:snapToGrid w:val="0"/>
          <w:szCs w:val="24"/>
        </w:rPr>
      </w:pPr>
    </w:p>
    <w:p w14:paraId="5DDC6B75" w14:textId="705AED19" w:rsidR="00A35A18" w:rsidRPr="00633873" w:rsidRDefault="0006197D" w:rsidP="00A35A18">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J</w:t>
      </w:r>
      <w:r w:rsidR="00A35A18" w:rsidRPr="00633873">
        <w:rPr>
          <w:rFonts w:ascii="Times New Roman" w:eastAsia="Times New Roman" w:hAnsi="Times New Roman" w:cs="Times New Roman"/>
          <w:snapToGrid w:val="0"/>
          <w:szCs w:val="24"/>
        </w:rPr>
        <w:t xml:space="preserve">eigu Jūs pradėsite vartoti </w:t>
      </w:r>
      <w:proofErr w:type="spellStart"/>
      <w:r w:rsidR="00A35A18" w:rsidRPr="00570F2A">
        <w:rPr>
          <w:rFonts w:ascii="Times New Roman" w:eastAsia="Times New Roman" w:hAnsi="Times New Roman" w:cs="Times New Roman"/>
          <w:b/>
          <w:bCs/>
          <w:snapToGrid w:val="0"/>
          <w:szCs w:val="24"/>
        </w:rPr>
        <w:t>ciklosporin</w:t>
      </w:r>
      <w:r w:rsidR="005F1948" w:rsidRPr="00570F2A">
        <w:rPr>
          <w:rFonts w:ascii="Times New Roman" w:eastAsia="Times New Roman" w:hAnsi="Times New Roman" w:cs="Times New Roman"/>
          <w:b/>
          <w:bCs/>
          <w:snapToGrid w:val="0"/>
          <w:szCs w:val="24"/>
        </w:rPr>
        <w:t>o</w:t>
      </w:r>
      <w:proofErr w:type="spellEnd"/>
      <w:r w:rsidR="00A35A18" w:rsidRPr="00570F2A">
        <w:rPr>
          <w:rFonts w:ascii="Times New Roman" w:eastAsia="Times New Roman" w:hAnsi="Times New Roman" w:cs="Times New Roman"/>
          <w:b/>
          <w:bCs/>
          <w:snapToGrid w:val="0"/>
          <w:szCs w:val="24"/>
        </w:rPr>
        <w:t xml:space="preserve"> A</w:t>
      </w:r>
      <w:r w:rsidR="00A35A18" w:rsidRPr="00633873">
        <w:rPr>
          <w:rFonts w:ascii="Times New Roman" w:eastAsia="Times New Roman" w:hAnsi="Times New Roman" w:cs="Times New Roman"/>
          <w:snapToGrid w:val="0"/>
          <w:szCs w:val="24"/>
        </w:rPr>
        <w:t xml:space="preserve"> (vaist</w:t>
      </w:r>
      <w:r w:rsidR="005F1948" w:rsidRPr="00633873">
        <w:rPr>
          <w:rFonts w:ascii="Times New Roman" w:eastAsia="Times New Roman" w:hAnsi="Times New Roman" w:cs="Times New Roman"/>
          <w:snapToGrid w:val="0"/>
          <w:szCs w:val="24"/>
        </w:rPr>
        <w:t>o</w:t>
      </w:r>
      <w:r w:rsidR="00A35A18" w:rsidRPr="00633873">
        <w:rPr>
          <w:rFonts w:ascii="Times New Roman" w:eastAsia="Times New Roman" w:hAnsi="Times New Roman" w:cs="Times New Roman"/>
          <w:snapToGrid w:val="0"/>
          <w:szCs w:val="24"/>
        </w:rPr>
        <w:t>, vartojam</w:t>
      </w:r>
      <w:r w:rsidR="00A70716" w:rsidRPr="00633873">
        <w:rPr>
          <w:rFonts w:ascii="Times New Roman" w:eastAsia="Times New Roman" w:hAnsi="Times New Roman" w:cs="Times New Roman"/>
          <w:snapToGrid w:val="0"/>
          <w:szCs w:val="24"/>
        </w:rPr>
        <w:t>o</w:t>
      </w:r>
      <w:r w:rsidR="00A35A18" w:rsidRPr="00633873">
        <w:rPr>
          <w:rFonts w:ascii="Times New Roman" w:eastAsia="Times New Roman" w:hAnsi="Times New Roman" w:cs="Times New Roman"/>
          <w:snapToGrid w:val="0"/>
          <w:szCs w:val="24"/>
        </w:rPr>
        <w:t xml:space="preserve"> po organų persodinimo arba žvynelinei gydyti)</w:t>
      </w:r>
      <w:r>
        <w:rPr>
          <w:rFonts w:ascii="Times New Roman" w:eastAsia="Times New Roman" w:hAnsi="Times New Roman" w:cs="Times New Roman"/>
          <w:snapToGrid w:val="0"/>
          <w:szCs w:val="24"/>
        </w:rPr>
        <w:t xml:space="preserve">, Jūsų gydytojas gali pakoreguoti </w:t>
      </w:r>
      <w:proofErr w:type="spellStart"/>
      <w:r>
        <w:rPr>
          <w:rFonts w:ascii="Times New Roman" w:eastAsia="Times New Roman" w:hAnsi="Times New Roman" w:cs="Times New Roman"/>
          <w:snapToGrid w:val="0"/>
          <w:szCs w:val="24"/>
        </w:rPr>
        <w:t>Ambrisentan</w:t>
      </w:r>
      <w:proofErr w:type="spellEnd"/>
      <w:r>
        <w:rPr>
          <w:rFonts w:ascii="Times New Roman" w:eastAsia="Times New Roman" w:hAnsi="Times New Roman" w:cs="Times New Roman"/>
          <w:snapToGrid w:val="0"/>
          <w:szCs w:val="24"/>
        </w:rPr>
        <w:t xml:space="preserve"> </w:t>
      </w:r>
      <w:proofErr w:type="spellStart"/>
      <w:r>
        <w:rPr>
          <w:rFonts w:ascii="Times New Roman" w:eastAsia="Times New Roman" w:hAnsi="Times New Roman" w:cs="Times New Roman"/>
          <w:snapToGrid w:val="0"/>
          <w:szCs w:val="24"/>
        </w:rPr>
        <w:t>Zentiva</w:t>
      </w:r>
      <w:proofErr w:type="spellEnd"/>
      <w:r>
        <w:rPr>
          <w:rFonts w:ascii="Times New Roman" w:eastAsia="Times New Roman" w:hAnsi="Times New Roman" w:cs="Times New Roman"/>
          <w:snapToGrid w:val="0"/>
          <w:szCs w:val="24"/>
        </w:rPr>
        <w:t xml:space="preserve"> dozę</w:t>
      </w:r>
      <w:r w:rsidR="00A35A18" w:rsidRPr="00633873">
        <w:rPr>
          <w:rFonts w:ascii="Times New Roman" w:eastAsia="Times New Roman" w:hAnsi="Times New Roman" w:cs="Times New Roman"/>
          <w:snapToGrid w:val="0"/>
          <w:szCs w:val="24"/>
        </w:rPr>
        <w:t>.</w:t>
      </w:r>
    </w:p>
    <w:p w14:paraId="6C134DC7"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3B9BC92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Jeigu vartojate </w:t>
      </w:r>
      <w:proofErr w:type="spellStart"/>
      <w:r w:rsidRPr="00570F2A">
        <w:rPr>
          <w:rFonts w:ascii="Times New Roman" w:eastAsia="Times New Roman" w:hAnsi="Times New Roman" w:cs="Times New Roman"/>
          <w:b/>
          <w:bCs/>
          <w:snapToGrid w:val="0"/>
          <w:szCs w:val="24"/>
        </w:rPr>
        <w:t>rifampicin</w:t>
      </w:r>
      <w:r w:rsidR="005F1948" w:rsidRPr="00570F2A">
        <w:rPr>
          <w:rFonts w:ascii="Times New Roman" w:eastAsia="Times New Roman" w:hAnsi="Times New Roman" w:cs="Times New Roman"/>
          <w:b/>
          <w:bCs/>
          <w:snapToGrid w:val="0"/>
          <w:szCs w:val="24"/>
        </w:rPr>
        <w:t>o</w:t>
      </w:r>
      <w:proofErr w:type="spellEnd"/>
      <w:r w:rsidRPr="00633873">
        <w:rPr>
          <w:rFonts w:ascii="Times New Roman" w:eastAsia="Times New Roman" w:hAnsi="Times New Roman" w:cs="Times New Roman"/>
          <w:snapToGrid w:val="0"/>
          <w:szCs w:val="24"/>
        </w:rPr>
        <w:t xml:space="preserve"> (antibiotik</w:t>
      </w:r>
      <w:r w:rsidR="005F1948" w:rsidRPr="00633873">
        <w:rPr>
          <w:rFonts w:ascii="Times New Roman" w:eastAsia="Times New Roman" w:hAnsi="Times New Roman" w:cs="Times New Roman"/>
          <w:snapToGrid w:val="0"/>
          <w:szCs w:val="24"/>
        </w:rPr>
        <w:t>o</w:t>
      </w:r>
      <w:r w:rsidRPr="00633873">
        <w:rPr>
          <w:rFonts w:ascii="Times New Roman" w:eastAsia="Times New Roman" w:hAnsi="Times New Roman" w:cs="Times New Roman"/>
          <w:snapToGrid w:val="0"/>
          <w:szCs w:val="24"/>
        </w:rPr>
        <w:t xml:space="preserve">, kuriuo gydomos sunkios infekcinės ligos), gydytojas stebės Jūsų būklę pradėjus gydymą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w:t>
      </w:r>
    </w:p>
    <w:p w14:paraId="62817CD1"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1C9E43FB"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Jeigu vartojate kitų vaistų PH gydyti (pvz., </w:t>
      </w:r>
      <w:proofErr w:type="spellStart"/>
      <w:r w:rsidRPr="00633873">
        <w:rPr>
          <w:rFonts w:ascii="Times New Roman" w:eastAsia="Times New Roman" w:hAnsi="Times New Roman" w:cs="Times New Roman"/>
          <w:snapToGrid w:val="0"/>
          <w:szCs w:val="24"/>
        </w:rPr>
        <w:t>iloprost</w:t>
      </w:r>
      <w:r w:rsidR="005F1948" w:rsidRPr="00633873">
        <w:rPr>
          <w:rFonts w:ascii="Times New Roman" w:eastAsia="Times New Roman" w:hAnsi="Times New Roman" w:cs="Times New Roman"/>
          <w:snapToGrid w:val="0"/>
          <w:szCs w:val="24"/>
        </w:rPr>
        <w:t>o</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epoprostenol</w:t>
      </w:r>
      <w:r w:rsidR="005F1948" w:rsidRPr="00633873">
        <w:rPr>
          <w:rFonts w:ascii="Times New Roman" w:eastAsia="Times New Roman" w:hAnsi="Times New Roman" w:cs="Times New Roman"/>
          <w:snapToGrid w:val="0"/>
          <w:szCs w:val="24"/>
        </w:rPr>
        <w:t>io</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sildenafil</w:t>
      </w:r>
      <w:r w:rsidR="005F1948" w:rsidRPr="00633873">
        <w:rPr>
          <w:rFonts w:ascii="Times New Roman" w:eastAsia="Times New Roman" w:hAnsi="Times New Roman" w:cs="Times New Roman"/>
          <w:snapToGrid w:val="0"/>
          <w:szCs w:val="24"/>
        </w:rPr>
        <w:t>io</w:t>
      </w:r>
      <w:proofErr w:type="spellEnd"/>
      <w:r w:rsidRPr="00633873">
        <w:rPr>
          <w:rFonts w:ascii="Times New Roman" w:eastAsia="Times New Roman" w:hAnsi="Times New Roman" w:cs="Times New Roman"/>
          <w:snapToGrid w:val="0"/>
          <w:szCs w:val="24"/>
        </w:rPr>
        <w:t>), Jūsų gydytojui gali tekti Jus stebėti.</w:t>
      </w:r>
    </w:p>
    <w:p w14:paraId="7EA2B6CB"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434B75F1"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b/>
          <w:bCs/>
          <w:snapToGrid w:val="0"/>
          <w:szCs w:val="24"/>
        </w:rPr>
        <w:t>→ Pasakykite gydytojui arba vaistininkui</w:t>
      </w:r>
      <w:r w:rsidRPr="00633873">
        <w:rPr>
          <w:rFonts w:ascii="Times New Roman" w:eastAsia="Times New Roman" w:hAnsi="Times New Roman" w:cs="Times New Roman"/>
          <w:snapToGrid w:val="0"/>
          <w:szCs w:val="24"/>
        </w:rPr>
        <w:t>, jeigu vartojate bet kurį iš nurodytų vaistų.</w:t>
      </w:r>
    </w:p>
    <w:p w14:paraId="40F8837B" w14:textId="301F4A76" w:rsidR="00A35A18"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3B785BB9" w14:textId="682AA8D1" w:rsidR="0006197D" w:rsidRPr="00570F2A" w:rsidRDefault="0006197D" w:rsidP="00A35A18">
      <w:pPr>
        <w:numPr>
          <w:ilvl w:val="12"/>
          <w:numId w:val="0"/>
        </w:numPr>
        <w:spacing w:after="0" w:line="240" w:lineRule="auto"/>
        <w:ind w:right="-2"/>
        <w:rPr>
          <w:rFonts w:ascii="Times New Roman" w:eastAsia="Times New Roman" w:hAnsi="Times New Roman" w:cs="Times New Roman"/>
          <w:b/>
          <w:bCs/>
          <w:snapToGrid w:val="0"/>
          <w:szCs w:val="24"/>
        </w:rPr>
      </w:pPr>
      <w:r>
        <w:rPr>
          <w:rFonts w:ascii="Times New Roman" w:eastAsia="Times New Roman" w:hAnsi="Times New Roman" w:cs="Times New Roman"/>
          <w:b/>
          <w:bCs/>
          <w:snapToGrid w:val="0"/>
          <w:szCs w:val="24"/>
        </w:rPr>
        <w:t>Nėštumas, žindymo laikotarpis ir vaisingumas</w:t>
      </w:r>
    </w:p>
    <w:p w14:paraId="2D9CDE18" w14:textId="77777777" w:rsidR="0006197D" w:rsidRPr="00633873" w:rsidRDefault="0006197D" w:rsidP="00A35A18">
      <w:pPr>
        <w:numPr>
          <w:ilvl w:val="12"/>
          <w:numId w:val="0"/>
        </w:numPr>
        <w:spacing w:after="0" w:line="240" w:lineRule="auto"/>
        <w:ind w:right="-2"/>
        <w:rPr>
          <w:rFonts w:ascii="Times New Roman" w:eastAsia="Times New Roman" w:hAnsi="Times New Roman" w:cs="Times New Roman"/>
          <w:snapToGrid w:val="0"/>
          <w:szCs w:val="24"/>
        </w:rPr>
      </w:pPr>
    </w:p>
    <w:p w14:paraId="18D8D2DD" w14:textId="77777777" w:rsidR="00A35A18" w:rsidRPr="00633873" w:rsidRDefault="00A35A18" w:rsidP="00A35A18">
      <w:pPr>
        <w:widowControl w:val="0"/>
        <w:spacing w:after="0" w:line="240" w:lineRule="auto"/>
        <w:ind w:left="567" w:hanging="567"/>
        <w:rPr>
          <w:rFonts w:ascii="Times New Roman" w:eastAsia="Times New Roman" w:hAnsi="Times New Roman" w:cs="Times New Roman"/>
          <w:b/>
          <w:bCs/>
        </w:rPr>
      </w:pPr>
      <w:r w:rsidRPr="00633873">
        <w:rPr>
          <w:rFonts w:ascii="Times New Roman" w:eastAsia="Times New Roman" w:hAnsi="Times New Roman" w:cs="Times New Roman"/>
          <w:b/>
          <w:bCs/>
        </w:rPr>
        <w:t>Nėštumas</w:t>
      </w:r>
    </w:p>
    <w:p w14:paraId="511E1F35"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gali pakenkti negimusiam kūdikiui, jei apvaisinimas įvyko prieš gydymą, gydymo metu ar netrukus po gydymo.</w:t>
      </w:r>
    </w:p>
    <w:p w14:paraId="0BA01391"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171B56F4" w14:textId="2DE71CA1"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b/>
          <w:bCs/>
          <w:snapToGrid w:val="0"/>
          <w:szCs w:val="24"/>
        </w:rPr>
        <w:t xml:space="preserve">→ Jei yra galimybė pastoti, naudokite </w:t>
      </w:r>
      <w:r w:rsidR="00F01AA0" w:rsidRPr="00633873">
        <w:rPr>
          <w:rFonts w:ascii="Times New Roman" w:eastAsia="Times New Roman" w:hAnsi="Times New Roman" w:cs="Times New Roman"/>
          <w:b/>
          <w:bCs/>
          <w:snapToGrid w:val="0"/>
          <w:szCs w:val="24"/>
        </w:rPr>
        <w:t>veiksmingas</w:t>
      </w:r>
      <w:r w:rsidRPr="00633873">
        <w:rPr>
          <w:rFonts w:ascii="Times New Roman" w:eastAsia="Times New Roman" w:hAnsi="Times New Roman" w:cs="Times New Roman"/>
          <w:b/>
          <w:bCs/>
          <w:snapToGrid w:val="0"/>
          <w:szCs w:val="24"/>
        </w:rPr>
        <w:t xml:space="preserve"> priemones apsisaugoti nuo nėštumo</w:t>
      </w:r>
      <w:r w:rsidRPr="00633873">
        <w:rPr>
          <w:rFonts w:ascii="Times New Roman" w:eastAsia="Times New Roman" w:hAnsi="Times New Roman" w:cs="Times New Roman"/>
          <w:snapToGrid w:val="0"/>
          <w:szCs w:val="24"/>
        </w:rPr>
        <w:t xml:space="preserve"> (kontracepciją), kol vartojate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Pasitarkite su gydytoju</w:t>
      </w:r>
      <w:r w:rsidR="00F01AA0" w:rsidRPr="00633873">
        <w:rPr>
          <w:rFonts w:ascii="Times New Roman" w:eastAsia="Times New Roman" w:hAnsi="Times New Roman" w:cs="Times New Roman"/>
          <w:snapToGrid w:val="0"/>
          <w:szCs w:val="24"/>
        </w:rPr>
        <w:t xml:space="preserve"> apie tai</w:t>
      </w:r>
      <w:r w:rsidRPr="00633873">
        <w:rPr>
          <w:rFonts w:ascii="Times New Roman" w:eastAsia="Times New Roman" w:hAnsi="Times New Roman" w:cs="Times New Roman"/>
          <w:snapToGrid w:val="0"/>
          <w:szCs w:val="24"/>
        </w:rPr>
        <w:t>.</w:t>
      </w:r>
    </w:p>
    <w:p w14:paraId="0EE387BD"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49DB20DF"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b/>
          <w:bCs/>
          <w:snapToGrid w:val="0"/>
          <w:szCs w:val="24"/>
        </w:rPr>
        <w:t>→</w:t>
      </w:r>
      <w:r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b/>
          <w:bCs/>
          <w:snapToGrid w:val="0"/>
          <w:szCs w:val="24"/>
        </w:rPr>
        <w:t xml:space="preserve">Nevartokite </w:t>
      </w:r>
      <w:proofErr w:type="spellStart"/>
      <w:r w:rsidRPr="00633873">
        <w:rPr>
          <w:rFonts w:ascii="Times New Roman" w:eastAsia="Times New Roman" w:hAnsi="Times New Roman" w:cs="Times New Roman"/>
          <w:b/>
          <w:bCs/>
          <w:snapToGrid w:val="0"/>
          <w:szCs w:val="24"/>
        </w:rPr>
        <w:t>Ambrisentan</w:t>
      </w:r>
      <w:proofErr w:type="spellEnd"/>
      <w:r w:rsidRPr="00633873">
        <w:rPr>
          <w:rFonts w:ascii="Times New Roman" w:eastAsia="Times New Roman" w:hAnsi="Times New Roman" w:cs="Times New Roman"/>
          <w:b/>
          <w:bCs/>
          <w:snapToGrid w:val="0"/>
          <w:szCs w:val="24"/>
        </w:rPr>
        <w:t xml:space="preserve"> </w:t>
      </w:r>
      <w:proofErr w:type="spellStart"/>
      <w:r w:rsidR="00E62DAA" w:rsidRPr="00633873">
        <w:rPr>
          <w:rFonts w:ascii="Times New Roman" w:eastAsia="Times New Roman" w:hAnsi="Times New Roman" w:cs="Times New Roman"/>
          <w:b/>
          <w:bCs/>
          <w:snapToGrid w:val="0"/>
          <w:szCs w:val="24"/>
        </w:rPr>
        <w:t>Zentiva</w:t>
      </w:r>
      <w:proofErr w:type="spellEnd"/>
      <w:r w:rsidRPr="00633873">
        <w:rPr>
          <w:rFonts w:ascii="Times New Roman" w:eastAsia="Times New Roman" w:hAnsi="Times New Roman" w:cs="Times New Roman"/>
          <w:b/>
          <w:bCs/>
          <w:snapToGrid w:val="0"/>
          <w:szCs w:val="24"/>
        </w:rPr>
        <w:t>, jei esate nėščia ar planuojate pastoti</w:t>
      </w:r>
      <w:r w:rsidRPr="00633873">
        <w:rPr>
          <w:rFonts w:ascii="Times New Roman" w:eastAsia="Times New Roman" w:hAnsi="Times New Roman" w:cs="Times New Roman"/>
          <w:snapToGrid w:val="0"/>
          <w:szCs w:val="24"/>
        </w:rPr>
        <w:t>.</w:t>
      </w:r>
    </w:p>
    <w:p w14:paraId="7688E23A"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7C5BB564"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b/>
          <w:bCs/>
          <w:snapToGrid w:val="0"/>
          <w:szCs w:val="24"/>
        </w:rPr>
        <w:t>→ Jei pastojote ar manote, kad galėjote pastoti</w:t>
      </w:r>
      <w:r w:rsidRPr="00633873">
        <w:rPr>
          <w:rFonts w:ascii="Times New Roman" w:eastAsia="Times New Roman" w:hAnsi="Times New Roman" w:cs="Times New Roman"/>
          <w:snapToGrid w:val="0"/>
          <w:szCs w:val="24"/>
        </w:rPr>
        <w:t xml:space="preserve"> tuo metu, kai vartojote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nedelsdama kreipkitės į savo gydytoją.</w:t>
      </w:r>
    </w:p>
    <w:p w14:paraId="654AB3F0"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7DE5ECB4" w14:textId="7CEB9AF0"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b/>
          <w:bCs/>
          <w:snapToGrid w:val="0"/>
          <w:szCs w:val="24"/>
        </w:rPr>
        <w:t xml:space="preserve">Jei </w:t>
      </w:r>
      <w:r w:rsidR="00F01AA0" w:rsidRPr="00633873">
        <w:rPr>
          <w:rFonts w:ascii="Times New Roman" w:eastAsia="Times New Roman" w:hAnsi="Times New Roman" w:cs="Times New Roman"/>
          <w:b/>
          <w:bCs/>
          <w:snapToGrid w:val="0"/>
          <w:szCs w:val="24"/>
        </w:rPr>
        <w:t>Jums yra</w:t>
      </w:r>
      <w:r w:rsidRPr="00633873">
        <w:rPr>
          <w:rFonts w:ascii="Times New Roman" w:eastAsia="Times New Roman" w:hAnsi="Times New Roman" w:cs="Times New Roman"/>
          <w:b/>
          <w:bCs/>
          <w:snapToGrid w:val="0"/>
          <w:szCs w:val="24"/>
        </w:rPr>
        <w:t xml:space="preserve"> gali</w:t>
      </w:r>
      <w:r w:rsidR="00F01AA0" w:rsidRPr="00633873">
        <w:rPr>
          <w:rFonts w:ascii="Times New Roman" w:eastAsia="Times New Roman" w:hAnsi="Times New Roman" w:cs="Times New Roman"/>
          <w:b/>
          <w:bCs/>
          <w:snapToGrid w:val="0"/>
          <w:szCs w:val="24"/>
        </w:rPr>
        <w:t>mybė</w:t>
      </w:r>
      <w:r w:rsidRPr="00633873">
        <w:rPr>
          <w:rFonts w:ascii="Times New Roman" w:eastAsia="Times New Roman" w:hAnsi="Times New Roman" w:cs="Times New Roman"/>
          <w:b/>
          <w:bCs/>
          <w:snapToGrid w:val="0"/>
          <w:szCs w:val="24"/>
        </w:rPr>
        <w:t xml:space="preserve"> </w:t>
      </w:r>
      <w:r w:rsidR="00F01AA0" w:rsidRPr="00633873">
        <w:rPr>
          <w:rFonts w:ascii="Times New Roman" w:eastAsia="Times New Roman" w:hAnsi="Times New Roman" w:cs="Times New Roman"/>
          <w:b/>
          <w:bCs/>
          <w:snapToGrid w:val="0"/>
          <w:szCs w:val="24"/>
        </w:rPr>
        <w:t>pastoti</w:t>
      </w:r>
      <w:r w:rsidRPr="00633873">
        <w:rPr>
          <w:rFonts w:ascii="Times New Roman" w:eastAsia="Times New Roman" w:hAnsi="Times New Roman" w:cs="Times New Roman"/>
          <w:b/>
          <w:bCs/>
          <w:snapToGrid w:val="0"/>
          <w:szCs w:val="24"/>
        </w:rPr>
        <w:t>, gydytojas Jūsų paprašys atlikti nėštumo testą</w:t>
      </w:r>
      <w:r w:rsidRPr="00633873">
        <w:rPr>
          <w:rFonts w:ascii="Times New Roman" w:eastAsia="Times New Roman" w:hAnsi="Times New Roman" w:cs="Times New Roman"/>
          <w:snapToGrid w:val="0"/>
          <w:szCs w:val="24"/>
        </w:rPr>
        <w:t xml:space="preserve"> prieš pradedant vartoti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ir reguliariai šio vaisto vartojimo laikotarpiu.</w:t>
      </w:r>
    </w:p>
    <w:p w14:paraId="78B6B285"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13EB7F59" w14:textId="6B46DE34" w:rsidR="00A35A18" w:rsidRPr="00633873" w:rsidRDefault="00A35A18" w:rsidP="00A35A18">
      <w:pPr>
        <w:numPr>
          <w:ilvl w:val="12"/>
          <w:numId w:val="0"/>
        </w:numPr>
        <w:spacing w:after="0" w:line="240" w:lineRule="auto"/>
        <w:rPr>
          <w:rFonts w:ascii="Times New Roman" w:eastAsia="Times New Roman" w:hAnsi="Times New Roman" w:cs="Times New Roman"/>
          <w:b/>
          <w:bCs/>
          <w:snapToGrid w:val="0"/>
          <w:szCs w:val="24"/>
        </w:rPr>
      </w:pPr>
      <w:r w:rsidRPr="00633873">
        <w:rPr>
          <w:rFonts w:ascii="Times New Roman" w:eastAsia="Times New Roman" w:hAnsi="Times New Roman" w:cs="Times New Roman"/>
          <w:b/>
          <w:bCs/>
          <w:snapToGrid w:val="0"/>
          <w:szCs w:val="24"/>
        </w:rPr>
        <w:t>Žindym</w:t>
      </w:r>
      <w:r w:rsidR="0006197D">
        <w:rPr>
          <w:rFonts w:ascii="Times New Roman" w:eastAsia="Times New Roman" w:hAnsi="Times New Roman" w:cs="Times New Roman"/>
          <w:b/>
          <w:bCs/>
          <w:snapToGrid w:val="0"/>
          <w:szCs w:val="24"/>
        </w:rPr>
        <w:t>o laikotarpis</w:t>
      </w:r>
    </w:p>
    <w:p w14:paraId="4C812384" w14:textId="5D0A8B82"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Nežinoma, ar </w:t>
      </w:r>
      <w:r w:rsidR="005B1DF9">
        <w:rPr>
          <w:rFonts w:ascii="Times New Roman" w:eastAsia="Times New Roman" w:hAnsi="Times New Roman" w:cs="Times New Roman"/>
          <w:snapToGrid w:val="0"/>
          <w:szCs w:val="24"/>
        </w:rPr>
        <w:t xml:space="preserve">veiklioji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005B1DF9">
        <w:rPr>
          <w:rFonts w:ascii="Times New Roman" w:eastAsia="Times New Roman" w:hAnsi="Times New Roman" w:cs="Times New Roman"/>
          <w:snapToGrid w:val="0"/>
          <w:szCs w:val="24"/>
        </w:rPr>
        <w:t xml:space="preserve"> medžiaga</w:t>
      </w:r>
      <w:r w:rsidRPr="00633873">
        <w:rPr>
          <w:rFonts w:ascii="Times New Roman" w:eastAsia="Times New Roman" w:hAnsi="Times New Roman" w:cs="Times New Roman"/>
          <w:snapToGrid w:val="0"/>
          <w:szCs w:val="24"/>
        </w:rPr>
        <w:t xml:space="preserve"> išsiskiria į motinos pieną.</w:t>
      </w:r>
    </w:p>
    <w:p w14:paraId="113C62E9"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54AB43F5"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b/>
          <w:bCs/>
          <w:snapToGrid w:val="0"/>
          <w:szCs w:val="24"/>
        </w:rPr>
        <w:t xml:space="preserve">Nežindykite, kol vartojate </w:t>
      </w:r>
      <w:proofErr w:type="spellStart"/>
      <w:r w:rsidRPr="00633873">
        <w:rPr>
          <w:rFonts w:ascii="Times New Roman" w:eastAsia="Times New Roman" w:hAnsi="Times New Roman" w:cs="Times New Roman"/>
          <w:b/>
          <w:bCs/>
          <w:snapToGrid w:val="0"/>
          <w:szCs w:val="24"/>
        </w:rPr>
        <w:t>Ambrisentan</w:t>
      </w:r>
      <w:proofErr w:type="spellEnd"/>
      <w:r w:rsidRPr="00633873">
        <w:rPr>
          <w:rFonts w:ascii="Times New Roman" w:eastAsia="Times New Roman" w:hAnsi="Times New Roman" w:cs="Times New Roman"/>
          <w:b/>
          <w:bCs/>
          <w:snapToGrid w:val="0"/>
          <w:szCs w:val="24"/>
        </w:rPr>
        <w:t xml:space="preserve"> </w:t>
      </w:r>
      <w:proofErr w:type="spellStart"/>
      <w:r w:rsidR="00E62DAA" w:rsidRPr="00633873">
        <w:rPr>
          <w:rFonts w:ascii="Times New Roman" w:eastAsia="Times New Roman" w:hAnsi="Times New Roman" w:cs="Times New Roman"/>
          <w:b/>
          <w:bCs/>
          <w:snapToGrid w:val="0"/>
          <w:szCs w:val="24"/>
        </w:rPr>
        <w:t>Zentiva</w:t>
      </w:r>
      <w:proofErr w:type="spellEnd"/>
      <w:r w:rsidRPr="00633873">
        <w:rPr>
          <w:rFonts w:ascii="Times New Roman" w:eastAsia="Times New Roman" w:hAnsi="Times New Roman" w:cs="Times New Roman"/>
          <w:snapToGrid w:val="0"/>
          <w:szCs w:val="24"/>
        </w:rPr>
        <w:t>. Pasitarkite su gydytoju</w:t>
      </w:r>
      <w:r w:rsidR="00657777" w:rsidRPr="00633873">
        <w:rPr>
          <w:rFonts w:ascii="Times New Roman" w:eastAsia="Times New Roman" w:hAnsi="Times New Roman" w:cs="Times New Roman"/>
          <w:snapToGrid w:val="0"/>
          <w:szCs w:val="24"/>
        </w:rPr>
        <w:t xml:space="preserve"> apie tai</w:t>
      </w:r>
      <w:r w:rsidRPr="00633873">
        <w:rPr>
          <w:rFonts w:ascii="Times New Roman" w:eastAsia="Times New Roman" w:hAnsi="Times New Roman" w:cs="Times New Roman"/>
          <w:snapToGrid w:val="0"/>
          <w:szCs w:val="24"/>
        </w:rPr>
        <w:t>.</w:t>
      </w:r>
    </w:p>
    <w:p w14:paraId="495AFA80"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4248DAF0" w14:textId="77777777" w:rsidR="00A35A18" w:rsidRPr="00633873" w:rsidRDefault="00A35A18" w:rsidP="00A35A18">
      <w:pPr>
        <w:numPr>
          <w:ilvl w:val="12"/>
          <w:numId w:val="0"/>
        </w:numPr>
        <w:spacing w:after="0" w:line="240" w:lineRule="auto"/>
        <w:rPr>
          <w:rFonts w:ascii="Times New Roman" w:eastAsia="Times New Roman" w:hAnsi="Times New Roman" w:cs="Times New Roman"/>
          <w:b/>
          <w:bCs/>
          <w:snapToGrid w:val="0"/>
          <w:szCs w:val="24"/>
        </w:rPr>
      </w:pPr>
      <w:r w:rsidRPr="00633873">
        <w:rPr>
          <w:rFonts w:ascii="Times New Roman" w:eastAsia="Times New Roman" w:hAnsi="Times New Roman" w:cs="Times New Roman"/>
          <w:b/>
          <w:bCs/>
          <w:snapToGrid w:val="0"/>
          <w:szCs w:val="24"/>
        </w:rPr>
        <w:t>Vaisingumas</w:t>
      </w:r>
    </w:p>
    <w:p w14:paraId="00040C3F"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Jei esate vyras ir vartojate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gali būti, kad šis vaistas sumažins Jūsų spermatozoidų kiekį. Jei kiltų kokių nors klausimų arba abejonių dėl tokio poveikio, klauskite gydytojo.</w:t>
      </w:r>
    </w:p>
    <w:p w14:paraId="3656854F"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3044F8ED" w14:textId="77777777" w:rsidR="00A35A18" w:rsidRPr="00633873" w:rsidRDefault="00A35A18" w:rsidP="00A35A18">
      <w:pPr>
        <w:widowControl w:val="0"/>
        <w:spacing w:after="0" w:line="240" w:lineRule="auto"/>
        <w:ind w:left="567" w:hanging="567"/>
        <w:rPr>
          <w:rFonts w:ascii="Times New Roman" w:eastAsia="Times New Roman" w:hAnsi="Times New Roman" w:cs="Times New Roman"/>
          <w:b/>
          <w:bCs/>
        </w:rPr>
      </w:pPr>
      <w:r w:rsidRPr="00633873">
        <w:rPr>
          <w:rFonts w:ascii="Times New Roman" w:eastAsia="Times New Roman" w:hAnsi="Times New Roman" w:cs="Times New Roman"/>
          <w:b/>
          <w:bCs/>
        </w:rPr>
        <w:t>Vairavimas ir mechanizmų valdymas</w:t>
      </w:r>
    </w:p>
    <w:p w14:paraId="610E598A"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gali sukelti šalutinį poveikį, pvz., kraujospūdžio sumažėjimą, svaigulį, nuovargį (žr. 4</w:t>
      </w:r>
      <w:r w:rsidR="002D3ECE" w:rsidRPr="00633873">
        <w:rPr>
          <w:rFonts w:ascii="Times New Roman" w:eastAsia="Times New Roman" w:hAnsi="Times New Roman" w:cs="Times New Roman"/>
          <w:snapToGrid w:val="0"/>
          <w:szCs w:val="24"/>
        </w:rPr>
        <w:t> skyri</w:t>
      </w:r>
      <w:r w:rsidRPr="00633873">
        <w:rPr>
          <w:rFonts w:ascii="Times New Roman" w:eastAsia="Times New Roman" w:hAnsi="Times New Roman" w:cs="Times New Roman"/>
          <w:snapToGrid w:val="0"/>
          <w:szCs w:val="24"/>
        </w:rPr>
        <w:t>ų), kuris gali paveikti Jūsų gebėjimą vairuoti ar valdyti mechanizmus. Be to, Jūsų sveikatos būklės simptomai gali trukdyti Jums vairuoti arba valdyti mechanizmus.</w:t>
      </w:r>
    </w:p>
    <w:p w14:paraId="7E8DDADF"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231291C1"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b/>
          <w:bCs/>
          <w:snapToGrid w:val="0"/>
          <w:szCs w:val="24"/>
        </w:rPr>
      </w:pPr>
      <w:r w:rsidRPr="00633873">
        <w:rPr>
          <w:rFonts w:ascii="Times New Roman" w:eastAsia="Times New Roman" w:hAnsi="Times New Roman" w:cs="Times New Roman"/>
          <w:b/>
          <w:bCs/>
          <w:snapToGrid w:val="0"/>
          <w:szCs w:val="24"/>
        </w:rPr>
        <w:t>→ Nevairuokite ir nevaldykite mechanizmų, jei jaučiatės blogai.</w:t>
      </w:r>
    </w:p>
    <w:p w14:paraId="1A6E4C97"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147D0E88" w14:textId="77777777" w:rsidR="00A35A18" w:rsidRPr="00633873" w:rsidRDefault="00A35A18" w:rsidP="00212F88">
      <w:pPr>
        <w:widowControl w:val="0"/>
        <w:spacing w:after="0" w:line="240" w:lineRule="auto"/>
        <w:rPr>
          <w:rFonts w:ascii="Times New Roman" w:eastAsia="Times New Roman" w:hAnsi="Times New Roman" w:cs="Times New Roman"/>
          <w:b/>
          <w:bCs/>
        </w:rPr>
      </w:pPr>
      <w:proofErr w:type="spellStart"/>
      <w:r w:rsidRPr="00633873">
        <w:rPr>
          <w:rFonts w:ascii="Times New Roman" w:eastAsia="Times New Roman" w:hAnsi="Times New Roman" w:cs="Times New Roman"/>
          <w:b/>
          <w:bCs/>
        </w:rPr>
        <w:t>Ambrisentan</w:t>
      </w:r>
      <w:proofErr w:type="spellEnd"/>
      <w:r w:rsidRPr="00633873">
        <w:rPr>
          <w:rFonts w:ascii="Times New Roman" w:eastAsia="Times New Roman" w:hAnsi="Times New Roman" w:cs="Times New Roman"/>
          <w:b/>
          <w:bCs/>
        </w:rPr>
        <w:t xml:space="preserve"> </w:t>
      </w:r>
      <w:proofErr w:type="spellStart"/>
      <w:r w:rsidR="00E62DAA" w:rsidRPr="00633873">
        <w:rPr>
          <w:rFonts w:ascii="Times New Roman" w:eastAsia="Times New Roman" w:hAnsi="Times New Roman" w:cs="Times New Roman"/>
          <w:b/>
          <w:bCs/>
        </w:rPr>
        <w:t>Zentiva</w:t>
      </w:r>
      <w:proofErr w:type="spellEnd"/>
      <w:r w:rsidRPr="00633873">
        <w:rPr>
          <w:rFonts w:ascii="Times New Roman" w:eastAsia="Times New Roman" w:hAnsi="Times New Roman" w:cs="Times New Roman"/>
          <w:b/>
          <w:bCs/>
        </w:rPr>
        <w:t xml:space="preserve"> sudėtyje yra laktozės</w:t>
      </w:r>
      <w:r w:rsidR="00212F88" w:rsidRPr="00633873">
        <w:rPr>
          <w:rFonts w:ascii="Times New Roman" w:eastAsia="Times New Roman" w:hAnsi="Times New Roman" w:cs="Times New Roman"/>
          <w:b/>
          <w:bCs/>
        </w:rPr>
        <w:t xml:space="preserve"> </w:t>
      </w:r>
      <w:proofErr w:type="spellStart"/>
      <w:r w:rsidR="00212F88" w:rsidRPr="00633873">
        <w:rPr>
          <w:rFonts w:ascii="Times New Roman" w:eastAsia="Times New Roman" w:hAnsi="Times New Roman" w:cs="Times New Roman"/>
          <w:b/>
          <w:bCs/>
        </w:rPr>
        <w:t>monohidrato</w:t>
      </w:r>
      <w:proofErr w:type="spellEnd"/>
      <w:r w:rsidRPr="00633873">
        <w:rPr>
          <w:rFonts w:ascii="Times New Roman" w:eastAsia="Times New Roman" w:hAnsi="Times New Roman" w:cs="Times New Roman"/>
          <w:b/>
          <w:bCs/>
        </w:rPr>
        <w:t xml:space="preserve">, </w:t>
      </w:r>
      <w:r w:rsidR="00212F88" w:rsidRPr="00633873">
        <w:rPr>
          <w:rFonts w:ascii="Times New Roman" w:eastAsia="Times New Roman" w:hAnsi="Times New Roman" w:cs="Times New Roman"/>
          <w:b/>
          <w:bCs/>
        </w:rPr>
        <w:t xml:space="preserve">sojų </w:t>
      </w:r>
      <w:proofErr w:type="spellStart"/>
      <w:r w:rsidRPr="00633873">
        <w:rPr>
          <w:rFonts w:ascii="Times New Roman" w:eastAsia="Times New Roman" w:hAnsi="Times New Roman" w:cs="Times New Roman"/>
          <w:b/>
          <w:bCs/>
        </w:rPr>
        <w:t>lecitino</w:t>
      </w:r>
      <w:proofErr w:type="spellEnd"/>
      <w:r w:rsidR="00212F88" w:rsidRPr="00633873">
        <w:rPr>
          <w:rFonts w:ascii="Times New Roman" w:eastAsia="Times New Roman" w:hAnsi="Times New Roman" w:cs="Times New Roman"/>
          <w:b/>
          <w:bCs/>
        </w:rPr>
        <w:t xml:space="preserve"> ir</w:t>
      </w:r>
      <w:r w:rsidRPr="00633873">
        <w:rPr>
          <w:rFonts w:ascii="Times New Roman" w:eastAsia="Times New Roman" w:hAnsi="Times New Roman" w:cs="Times New Roman"/>
          <w:b/>
          <w:bCs/>
        </w:rPr>
        <w:t xml:space="preserve"> </w:t>
      </w:r>
      <w:proofErr w:type="spellStart"/>
      <w:r w:rsidRPr="00633873">
        <w:rPr>
          <w:rFonts w:ascii="Times New Roman" w:eastAsia="Times New Roman" w:hAnsi="Times New Roman" w:cs="Times New Roman"/>
          <w:b/>
          <w:bCs/>
        </w:rPr>
        <w:t>Alura</w:t>
      </w:r>
      <w:proofErr w:type="spellEnd"/>
      <w:r w:rsidRPr="00633873">
        <w:rPr>
          <w:rFonts w:ascii="Times New Roman" w:eastAsia="Times New Roman" w:hAnsi="Times New Roman" w:cs="Times New Roman"/>
          <w:b/>
          <w:bCs/>
        </w:rPr>
        <w:t xml:space="preserve"> raudonojo AC (E129)</w:t>
      </w:r>
    </w:p>
    <w:p w14:paraId="1CA32A6F"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Jeigu gydytojas Jums yra sakęs, kad netoleruojate kokių nors angliavandenių, kreipkitės į jį prieš pradėdami vartoti šį vaistą.</w:t>
      </w:r>
    </w:p>
    <w:p w14:paraId="3A9FB28D" w14:textId="77777777" w:rsidR="00212F88" w:rsidRPr="00633873" w:rsidRDefault="00212F88" w:rsidP="00212F8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Šio vaisto </w:t>
      </w:r>
      <w:r w:rsidR="00657777" w:rsidRPr="00633873">
        <w:rPr>
          <w:rFonts w:ascii="Times New Roman" w:eastAsia="Times New Roman" w:hAnsi="Times New Roman" w:cs="Times New Roman"/>
          <w:snapToGrid w:val="0"/>
          <w:szCs w:val="24"/>
        </w:rPr>
        <w:t xml:space="preserve">vienoje </w:t>
      </w:r>
      <w:r w:rsidRPr="00633873">
        <w:rPr>
          <w:rFonts w:ascii="Times New Roman" w:eastAsia="Times New Roman" w:hAnsi="Times New Roman" w:cs="Times New Roman"/>
          <w:snapToGrid w:val="0"/>
          <w:szCs w:val="24"/>
        </w:rPr>
        <w:t>tabletėje yra mažiau kaip 1 </w:t>
      </w:r>
      <w:proofErr w:type="spellStart"/>
      <w:r w:rsidRPr="00633873">
        <w:rPr>
          <w:rFonts w:ascii="Times New Roman" w:eastAsia="Times New Roman" w:hAnsi="Times New Roman" w:cs="Times New Roman"/>
          <w:snapToGrid w:val="0"/>
          <w:szCs w:val="24"/>
        </w:rPr>
        <w:t>mmol</w:t>
      </w:r>
      <w:proofErr w:type="spellEnd"/>
      <w:r w:rsidRPr="00633873">
        <w:rPr>
          <w:rFonts w:ascii="Times New Roman" w:eastAsia="Times New Roman" w:hAnsi="Times New Roman" w:cs="Times New Roman"/>
          <w:snapToGrid w:val="0"/>
          <w:szCs w:val="24"/>
        </w:rPr>
        <w:t xml:space="preserve"> (23 mg) natrio, t. y. jis beveik neturi reikšmės.</w:t>
      </w:r>
    </w:p>
    <w:p w14:paraId="1B9196FA" w14:textId="77777777" w:rsidR="00A35A18" w:rsidRPr="00633873" w:rsidRDefault="00212F8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Šio vaisto sudėtyje yra sojų</w:t>
      </w:r>
      <w:r w:rsidR="00A35A18" w:rsidRPr="00633873">
        <w:rPr>
          <w:rFonts w:ascii="Times New Roman" w:eastAsia="Times New Roman" w:hAnsi="Times New Roman" w:cs="Times New Roman"/>
          <w:snapToGrid w:val="0"/>
          <w:szCs w:val="20"/>
        </w:rPr>
        <w:t xml:space="preserve"> </w:t>
      </w:r>
      <w:proofErr w:type="spellStart"/>
      <w:r w:rsidR="00A35A18" w:rsidRPr="00633873">
        <w:rPr>
          <w:rFonts w:ascii="Times New Roman" w:eastAsia="Times New Roman" w:hAnsi="Times New Roman" w:cs="Times New Roman"/>
          <w:snapToGrid w:val="0"/>
          <w:szCs w:val="20"/>
        </w:rPr>
        <w:t>lecitino</w:t>
      </w:r>
      <w:proofErr w:type="spellEnd"/>
      <w:r w:rsidR="00A35A18" w:rsidRPr="00633873">
        <w:rPr>
          <w:rFonts w:ascii="Times New Roman" w:eastAsia="Times New Roman" w:hAnsi="Times New Roman" w:cs="Times New Roman"/>
          <w:snapToGrid w:val="0"/>
          <w:szCs w:val="20"/>
        </w:rPr>
        <w:t>. Jei esate alergiškas (alergiška) žemės riešutams arba sojai, Jums šio vaisto vartoti negalima.</w:t>
      </w:r>
    </w:p>
    <w:p w14:paraId="3B59C0CC" w14:textId="77777777" w:rsidR="00A35A18" w:rsidRPr="00633873" w:rsidRDefault="00212F88" w:rsidP="00A35A18">
      <w:pPr>
        <w:tabs>
          <w:tab w:val="left" w:pos="567"/>
        </w:tabs>
        <w:spacing w:after="0" w:line="260" w:lineRule="exact"/>
        <w:rPr>
          <w:rFonts w:ascii="Times New Roman" w:eastAsia="Times New Roman" w:hAnsi="Times New Roman" w:cs="Times New Roman"/>
          <w:snapToGrid w:val="0"/>
          <w:szCs w:val="20"/>
        </w:rPr>
      </w:pPr>
      <w:r w:rsidRPr="00633873">
        <w:rPr>
          <w:rFonts w:ascii="Times New Roman" w:eastAsia="Times New Roman" w:hAnsi="Times New Roman" w:cs="Times New Roman"/>
          <w:snapToGrid w:val="0"/>
          <w:szCs w:val="20"/>
        </w:rPr>
        <w:t xml:space="preserve">Šio vaisto </w:t>
      </w:r>
      <w:r w:rsidR="00A35A18" w:rsidRPr="00633873">
        <w:rPr>
          <w:rFonts w:ascii="Times New Roman" w:eastAsia="Times New Roman" w:hAnsi="Times New Roman" w:cs="Times New Roman"/>
          <w:snapToGrid w:val="0"/>
          <w:szCs w:val="20"/>
        </w:rPr>
        <w:t>sudėtyje yra dažiklio</w:t>
      </w:r>
      <w:r w:rsidRPr="00633873">
        <w:rPr>
          <w:rFonts w:ascii="Times New Roman" w:eastAsia="Times New Roman" w:hAnsi="Times New Roman" w:cs="Times New Roman"/>
          <w:snapToGrid w:val="0"/>
          <w:szCs w:val="20"/>
        </w:rPr>
        <w:t>, vadinamo</w:t>
      </w:r>
      <w:r w:rsidR="00A35A18" w:rsidRPr="00633873">
        <w:rPr>
          <w:rFonts w:ascii="Times New Roman" w:eastAsia="Times New Roman" w:hAnsi="Times New Roman" w:cs="Times New Roman"/>
          <w:snapToGrid w:val="0"/>
          <w:szCs w:val="20"/>
        </w:rPr>
        <w:t xml:space="preserve"> </w:t>
      </w:r>
      <w:proofErr w:type="spellStart"/>
      <w:r w:rsidR="00A35A18" w:rsidRPr="00633873">
        <w:rPr>
          <w:rFonts w:ascii="Times New Roman" w:eastAsia="Times New Roman" w:hAnsi="Times New Roman" w:cs="Times New Roman"/>
          <w:snapToGrid w:val="0"/>
          <w:szCs w:val="20"/>
        </w:rPr>
        <w:t>Alura</w:t>
      </w:r>
      <w:proofErr w:type="spellEnd"/>
      <w:r w:rsidR="00A35A18" w:rsidRPr="00633873">
        <w:rPr>
          <w:rFonts w:ascii="Times New Roman" w:eastAsia="Times New Roman" w:hAnsi="Times New Roman" w:cs="Times New Roman"/>
          <w:snapToGrid w:val="0"/>
          <w:szCs w:val="20"/>
        </w:rPr>
        <w:t xml:space="preserve"> raudon</w:t>
      </w:r>
      <w:r w:rsidRPr="00633873">
        <w:rPr>
          <w:rFonts w:ascii="Times New Roman" w:eastAsia="Times New Roman" w:hAnsi="Times New Roman" w:cs="Times New Roman"/>
          <w:snapToGrid w:val="0"/>
          <w:szCs w:val="20"/>
        </w:rPr>
        <w:t>uoju</w:t>
      </w:r>
      <w:r w:rsidR="00A35A18" w:rsidRPr="00633873">
        <w:rPr>
          <w:rFonts w:ascii="Times New Roman" w:eastAsia="Times New Roman" w:hAnsi="Times New Roman" w:cs="Times New Roman"/>
          <w:snapToGrid w:val="0"/>
          <w:szCs w:val="20"/>
        </w:rPr>
        <w:t xml:space="preserve"> AC (E129), kuris gali sukelti alerginių reakcijų.</w:t>
      </w:r>
    </w:p>
    <w:p w14:paraId="7D4632FD"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91F0EC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7875765" w14:textId="77777777" w:rsidR="00A35A18" w:rsidRPr="00633873" w:rsidRDefault="00A35A18" w:rsidP="00A35A18">
      <w:pPr>
        <w:widowControl w:val="0"/>
        <w:spacing w:after="0" w:line="240" w:lineRule="auto"/>
        <w:ind w:left="567" w:hanging="567"/>
        <w:outlineLvl w:val="0"/>
        <w:rPr>
          <w:rFonts w:ascii="Times New Roman" w:eastAsia="Times New Roman" w:hAnsi="Times New Roman" w:cs="Times New Roman"/>
          <w:b/>
        </w:rPr>
      </w:pPr>
      <w:r w:rsidRPr="00633873">
        <w:rPr>
          <w:rFonts w:ascii="Times New Roman" w:eastAsia="Times New Roman" w:hAnsi="Times New Roman" w:cs="Times New Roman"/>
          <w:b/>
        </w:rPr>
        <w:t>3.</w:t>
      </w:r>
      <w:r w:rsidRPr="00633873">
        <w:rPr>
          <w:rFonts w:ascii="Times New Roman" w:eastAsia="Times New Roman" w:hAnsi="Times New Roman" w:cs="Times New Roman"/>
          <w:b/>
        </w:rPr>
        <w:tab/>
        <w:t xml:space="preserve">Kaip vartoti </w:t>
      </w:r>
      <w:proofErr w:type="spellStart"/>
      <w:r w:rsidRPr="00633873">
        <w:rPr>
          <w:rFonts w:ascii="Times New Roman" w:eastAsia="Times New Roman" w:hAnsi="Times New Roman" w:cs="Times New Roman"/>
          <w:b/>
        </w:rPr>
        <w:t>Ambrisentan</w:t>
      </w:r>
      <w:proofErr w:type="spellEnd"/>
      <w:r w:rsidRPr="00633873">
        <w:rPr>
          <w:rFonts w:ascii="Times New Roman" w:eastAsia="Times New Roman" w:hAnsi="Times New Roman" w:cs="Times New Roman"/>
          <w:b/>
        </w:rPr>
        <w:t xml:space="preserve"> </w:t>
      </w:r>
      <w:proofErr w:type="spellStart"/>
      <w:r w:rsidR="00E62DAA" w:rsidRPr="00633873">
        <w:rPr>
          <w:rFonts w:ascii="Times New Roman" w:eastAsia="Times New Roman" w:hAnsi="Times New Roman" w:cs="Times New Roman"/>
          <w:b/>
        </w:rPr>
        <w:t>Zentiva</w:t>
      </w:r>
      <w:proofErr w:type="spellEnd"/>
    </w:p>
    <w:p w14:paraId="6E306267"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513C09C5"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b/>
          <w:bCs/>
          <w:snapToGrid w:val="0"/>
          <w:szCs w:val="24"/>
        </w:rPr>
        <w:t>Visada vartokite šį vaistą tiksliai kaip nurodė gydytojas arba vaistininkas.</w:t>
      </w:r>
      <w:r w:rsidRPr="00633873">
        <w:rPr>
          <w:rFonts w:ascii="Times New Roman" w:eastAsia="Times New Roman" w:hAnsi="Times New Roman" w:cs="Times New Roman"/>
          <w:snapToGrid w:val="0"/>
          <w:szCs w:val="24"/>
        </w:rPr>
        <w:t xml:space="preserve"> Jeigu abejojate, kreipkitės į gydytoją arba vaistininką.</w:t>
      </w:r>
    </w:p>
    <w:p w14:paraId="074FAA41"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1643315E" w14:textId="4C99077C" w:rsidR="00A35A18" w:rsidRDefault="00A35A18" w:rsidP="00A35A18">
      <w:pPr>
        <w:numPr>
          <w:ilvl w:val="12"/>
          <w:numId w:val="0"/>
        </w:numPr>
        <w:spacing w:after="0" w:line="240" w:lineRule="auto"/>
        <w:ind w:right="-2"/>
        <w:rPr>
          <w:rFonts w:ascii="Times New Roman" w:eastAsia="Times New Roman" w:hAnsi="Times New Roman" w:cs="Times New Roman"/>
          <w:b/>
          <w:bCs/>
          <w:snapToGrid w:val="0"/>
          <w:szCs w:val="24"/>
        </w:rPr>
      </w:pPr>
      <w:r w:rsidRPr="00633873">
        <w:rPr>
          <w:rFonts w:ascii="Times New Roman" w:eastAsia="Times New Roman" w:hAnsi="Times New Roman" w:cs="Times New Roman"/>
          <w:b/>
          <w:bCs/>
          <w:snapToGrid w:val="0"/>
          <w:szCs w:val="24"/>
        </w:rPr>
        <w:t xml:space="preserve">Kiek </w:t>
      </w:r>
      <w:r w:rsidR="00657777" w:rsidRPr="00633873">
        <w:rPr>
          <w:rFonts w:ascii="Times New Roman" w:eastAsia="Times New Roman" w:hAnsi="Times New Roman" w:cs="Times New Roman"/>
          <w:b/>
          <w:bCs/>
          <w:snapToGrid w:val="0"/>
          <w:szCs w:val="24"/>
        </w:rPr>
        <w:t xml:space="preserve">vartoti </w:t>
      </w:r>
      <w:proofErr w:type="spellStart"/>
      <w:r w:rsidRPr="00633873">
        <w:rPr>
          <w:rFonts w:ascii="Times New Roman" w:eastAsia="Times New Roman" w:hAnsi="Times New Roman" w:cs="Times New Roman"/>
          <w:b/>
          <w:bCs/>
          <w:snapToGrid w:val="0"/>
          <w:szCs w:val="24"/>
        </w:rPr>
        <w:t>Ambrisentan</w:t>
      </w:r>
      <w:proofErr w:type="spellEnd"/>
      <w:r w:rsidRPr="00633873">
        <w:rPr>
          <w:rFonts w:ascii="Times New Roman" w:eastAsia="Times New Roman" w:hAnsi="Times New Roman" w:cs="Times New Roman"/>
          <w:b/>
          <w:bCs/>
          <w:snapToGrid w:val="0"/>
          <w:szCs w:val="24"/>
        </w:rPr>
        <w:t xml:space="preserve"> </w:t>
      </w:r>
      <w:proofErr w:type="spellStart"/>
      <w:r w:rsidR="00E62DAA" w:rsidRPr="00633873">
        <w:rPr>
          <w:rFonts w:ascii="Times New Roman" w:eastAsia="Times New Roman" w:hAnsi="Times New Roman" w:cs="Times New Roman"/>
          <w:b/>
          <w:bCs/>
          <w:snapToGrid w:val="0"/>
          <w:szCs w:val="24"/>
        </w:rPr>
        <w:t>Zentiva</w:t>
      </w:r>
      <w:proofErr w:type="spellEnd"/>
    </w:p>
    <w:p w14:paraId="25C0F205" w14:textId="77777777" w:rsidR="0006197D" w:rsidRPr="00633873" w:rsidRDefault="0006197D" w:rsidP="00A35A18">
      <w:pPr>
        <w:numPr>
          <w:ilvl w:val="12"/>
          <w:numId w:val="0"/>
        </w:numPr>
        <w:spacing w:after="0" w:line="240" w:lineRule="auto"/>
        <w:ind w:right="-2"/>
        <w:rPr>
          <w:rFonts w:ascii="Times New Roman" w:eastAsia="Times New Roman" w:hAnsi="Times New Roman" w:cs="Times New Roman"/>
          <w:b/>
          <w:bCs/>
          <w:snapToGrid w:val="0"/>
          <w:szCs w:val="24"/>
        </w:rPr>
      </w:pPr>
    </w:p>
    <w:p w14:paraId="4C7B8127" w14:textId="62424960" w:rsidR="005B1DF9" w:rsidRPr="009F7541" w:rsidRDefault="005B1DF9" w:rsidP="00A35A18">
      <w:pPr>
        <w:numPr>
          <w:ilvl w:val="12"/>
          <w:numId w:val="0"/>
        </w:numPr>
        <w:spacing w:after="0" w:line="240" w:lineRule="auto"/>
        <w:ind w:right="-2"/>
        <w:rPr>
          <w:rFonts w:ascii="Times New Roman" w:eastAsia="Times New Roman" w:hAnsi="Times New Roman" w:cs="Times New Roman"/>
          <w:snapToGrid w:val="0"/>
          <w:szCs w:val="24"/>
          <w:u w:val="single"/>
        </w:rPr>
      </w:pPr>
      <w:r>
        <w:rPr>
          <w:rFonts w:ascii="Times New Roman" w:eastAsia="Times New Roman" w:hAnsi="Times New Roman" w:cs="Times New Roman"/>
          <w:snapToGrid w:val="0"/>
          <w:szCs w:val="24"/>
          <w:u w:val="single"/>
        </w:rPr>
        <w:t>Suaugusiesiems</w:t>
      </w:r>
    </w:p>
    <w:p w14:paraId="2AC9AE01" w14:textId="2C978950"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Įprastinė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dozė yra viena 5 mg tabletė </w:t>
      </w:r>
      <w:r w:rsidR="00BD264C" w:rsidRPr="00633873">
        <w:rPr>
          <w:rFonts w:ascii="Times New Roman" w:eastAsia="Times New Roman" w:hAnsi="Times New Roman" w:cs="Times New Roman"/>
          <w:snapToGrid w:val="0"/>
          <w:szCs w:val="24"/>
        </w:rPr>
        <w:t xml:space="preserve">vieną </w:t>
      </w:r>
      <w:r w:rsidRPr="00633873">
        <w:rPr>
          <w:rFonts w:ascii="Times New Roman" w:eastAsia="Times New Roman" w:hAnsi="Times New Roman" w:cs="Times New Roman"/>
          <w:snapToGrid w:val="0"/>
          <w:szCs w:val="24"/>
        </w:rPr>
        <w:t xml:space="preserve">kartą per parą. Gydytojas gali nuspręsti padidinti dozę iki 10 mg </w:t>
      </w:r>
      <w:r w:rsidR="00BD264C" w:rsidRPr="00633873">
        <w:rPr>
          <w:rFonts w:ascii="Times New Roman" w:eastAsia="Times New Roman" w:hAnsi="Times New Roman" w:cs="Times New Roman"/>
          <w:snapToGrid w:val="0"/>
          <w:szCs w:val="24"/>
        </w:rPr>
        <w:t xml:space="preserve">(dviejų 5 mg tablečių arba vienos 10 mg tabletės) vieną </w:t>
      </w:r>
      <w:r w:rsidRPr="00633873">
        <w:rPr>
          <w:rFonts w:ascii="Times New Roman" w:eastAsia="Times New Roman" w:hAnsi="Times New Roman" w:cs="Times New Roman"/>
          <w:snapToGrid w:val="0"/>
          <w:szCs w:val="24"/>
        </w:rPr>
        <w:t>kartą per parą.</w:t>
      </w:r>
    </w:p>
    <w:p w14:paraId="16252173"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2980FE63"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Jeigu vartojate </w:t>
      </w:r>
      <w:proofErr w:type="spellStart"/>
      <w:r w:rsidRPr="00633873">
        <w:rPr>
          <w:rFonts w:ascii="Times New Roman" w:eastAsia="Times New Roman" w:hAnsi="Times New Roman" w:cs="Times New Roman"/>
          <w:snapToGrid w:val="0"/>
          <w:szCs w:val="24"/>
        </w:rPr>
        <w:t>ciklosporiną</w:t>
      </w:r>
      <w:proofErr w:type="spellEnd"/>
      <w:r w:rsidRPr="00633873">
        <w:rPr>
          <w:rFonts w:ascii="Times New Roman" w:eastAsia="Times New Roman" w:hAnsi="Times New Roman" w:cs="Times New Roman"/>
          <w:snapToGrid w:val="0"/>
          <w:szCs w:val="24"/>
        </w:rPr>
        <w:t xml:space="preserve"> A, negalite gerti daugiau kaip vieną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5 mg tabletę </w:t>
      </w:r>
      <w:r w:rsidR="00BD264C" w:rsidRPr="00633873">
        <w:rPr>
          <w:rFonts w:ascii="Times New Roman" w:eastAsia="Times New Roman" w:hAnsi="Times New Roman" w:cs="Times New Roman"/>
          <w:snapToGrid w:val="0"/>
          <w:szCs w:val="24"/>
        </w:rPr>
        <w:t xml:space="preserve">vieną kartą </w:t>
      </w:r>
      <w:r w:rsidRPr="00633873">
        <w:rPr>
          <w:rFonts w:ascii="Times New Roman" w:eastAsia="Times New Roman" w:hAnsi="Times New Roman" w:cs="Times New Roman"/>
          <w:snapToGrid w:val="0"/>
          <w:szCs w:val="24"/>
        </w:rPr>
        <w:t>per parą.</w:t>
      </w:r>
    </w:p>
    <w:p w14:paraId="54ABEBFD" w14:textId="284BAB2B" w:rsidR="00A35A18"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A23F1F3" w14:textId="49667A55" w:rsidR="005B1DF9" w:rsidRDefault="005B1DF9" w:rsidP="009F7541">
      <w:pPr>
        <w:numPr>
          <w:ilvl w:val="12"/>
          <w:numId w:val="0"/>
        </w:numPr>
        <w:spacing w:after="0" w:line="360" w:lineRule="auto"/>
        <w:rPr>
          <w:rFonts w:ascii="Times New Roman" w:eastAsia="Times New Roman" w:hAnsi="Times New Roman" w:cs="Times New Roman"/>
          <w:snapToGrid w:val="0"/>
          <w:szCs w:val="24"/>
          <w:u w:val="single"/>
        </w:rPr>
      </w:pPr>
      <w:r>
        <w:rPr>
          <w:rFonts w:ascii="Times New Roman" w:eastAsia="Times New Roman" w:hAnsi="Times New Roman" w:cs="Times New Roman"/>
          <w:snapToGrid w:val="0"/>
          <w:szCs w:val="24"/>
          <w:u w:val="single"/>
        </w:rPr>
        <w:t>Paaugliams ir vaikams nuo 8 iki 18 metų amžiaus</w:t>
      </w:r>
    </w:p>
    <w:tbl>
      <w:tblPr>
        <w:tblStyle w:val="Lentelstinklelis"/>
        <w:tblW w:w="0" w:type="auto"/>
        <w:tblLook w:val="04A0" w:firstRow="1" w:lastRow="0" w:firstColumn="1" w:lastColumn="0" w:noHBand="0" w:noVBand="1"/>
      </w:tblPr>
      <w:tblGrid>
        <w:gridCol w:w="4530"/>
        <w:gridCol w:w="4530"/>
      </w:tblGrid>
      <w:tr w:rsidR="005B1DF9" w:rsidRPr="005B1DF9" w14:paraId="0F517D3B" w14:textId="77777777" w:rsidTr="009F7541">
        <w:trPr>
          <w:trHeight w:val="369"/>
        </w:trPr>
        <w:tc>
          <w:tcPr>
            <w:tcW w:w="9060" w:type="dxa"/>
            <w:gridSpan w:val="2"/>
            <w:vAlign w:val="center"/>
          </w:tcPr>
          <w:p w14:paraId="3DFF89AD" w14:textId="32FF35F0" w:rsidR="005B1DF9" w:rsidRPr="009F7541" w:rsidRDefault="005B1DF9" w:rsidP="005B1DF9">
            <w:pPr>
              <w:numPr>
                <w:ilvl w:val="12"/>
                <w:numId w:val="0"/>
              </w:numPr>
              <w:ind w:right="-2"/>
              <w:jc w:val="center"/>
              <w:rPr>
                <w:rFonts w:ascii="Times New Roman" w:eastAsia="Times New Roman" w:hAnsi="Times New Roman" w:cs="Times New Roman"/>
                <w:b/>
                <w:bCs/>
                <w:snapToGrid w:val="0"/>
                <w:sz w:val="22"/>
                <w:szCs w:val="22"/>
                <w:lang w:val="it-IT"/>
              </w:rPr>
            </w:pPr>
            <w:r w:rsidRPr="00C85BE7">
              <w:rPr>
                <w:rFonts w:ascii="Times New Roman" w:eastAsia="Times New Roman" w:hAnsi="Times New Roman" w:cs="Times New Roman"/>
                <w:b/>
                <w:bCs/>
                <w:snapToGrid w:val="0"/>
                <w:szCs w:val="22"/>
                <w:lang w:val="it-IT"/>
              </w:rPr>
              <w:t>Įprastinė pradinė Ambrisentan Zentiva dozė</w:t>
            </w:r>
          </w:p>
        </w:tc>
      </w:tr>
      <w:tr w:rsidR="005B1DF9" w:rsidRPr="005B1DF9" w14:paraId="3D6DFEE7" w14:textId="77777777" w:rsidTr="009F7541">
        <w:trPr>
          <w:trHeight w:val="274"/>
        </w:trPr>
        <w:tc>
          <w:tcPr>
            <w:tcW w:w="4530" w:type="dxa"/>
            <w:vAlign w:val="center"/>
          </w:tcPr>
          <w:p w14:paraId="443DE992" w14:textId="4977AF95" w:rsidR="005B1DF9" w:rsidRPr="005B1DF9" w:rsidRDefault="005B1DF9" w:rsidP="00A35A18">
            <w:pPr>
              <w:numPr>
                <w:ilvl w:val="12"/>
                <w:numId w:val="0"/>
              </w:numPr>
              <w:ind w:right="-2"/>
              <w:rPr>
                <w:rFonts w:ascii="Times New Roman" w:eastAsia="Times New Roman" w:hAnsi="Times New Roman" w:cs="Times New Roman"/>
                <w:snapToGrid w:val="0"/>
                <w:sz w:val="22"/>
                <w:szCs w:val="22"/>
                <w:lang w:val="en-US"/>
              </w:rPr>
            </w:pPr>
            <w:proofErr w:type="spellStart"/>
            <w:r w:rsidRPr="005B1DF9">
              <w:rPr>
                <w:rFonts w:ascii="Times New Roman" w:eastAsia="Times New Roman" w:hAnsi="Times New Roman" w:cs="Times New Roman"/>
                <w:snapToGrid w:val="0"/>
                <w:sz w:val="22"/>
                <w:szCs w:val="22"/>
                <w:lang w:val="en-US"/>
              </w:rPr>
              <w:t>Kūno</w:t>
            </w:r>
            <w:proofErr w:type="spellEnd"/>
            <w:r w:rsidRPr="005B1DF9">
              <w:rPr>
                <w:rFonts w:ascii="Times New Roman" w:eastAsia="Times New Roman" w:hAnsi="Times New Roman" w:cs="Times New Roman"/>
                <w:snapToGrid w:val="0"/>
                <w:sz w:val="22"/>
                <w:szCs w:val="22"/>
                <w:lang w:val="en-US"/>
              </w:rPr>
              <w:t xml:space="preserve"> </w:t>
            </w:r>
            <w:proofErr w:type="spellStart"/>
            <w:r w:rsidRPr="005B1DF9">
              <w:rPr>
                <w:rFonts w:ascii="Times New Roman" w:eastAsia="Times New Roman" w:hAnsi="Times New Roman" w:cs="Times New Roman"/>
                <w:snapToGrid w:val="0"/>
                <w:sz w:val="22"/>
                <w:szCs w:val="22"/>
                <w:lang w:val="en-US"/>
              </w:rPr>
              <w:t>svoris</w:t>
            </w:r>
            <w:proofErr w:type="spellEnd"/>
            <w:r w:rsidRPr="005B1DF9">
              <w:rPr>
                <w:rFonts w:ascii="Times New Roman" w:eastAsia="Times New Roman" w:hAnsi="Times New Roman" w:cs="Times New Roman"/>
                <w:snapToGrid w:val="0"/>
                <w:sz w:val="22"/>
                <w:szCs w:val="22"/>
                <w:lang w:val="en-US"/>
              </w:rPr>
              <w:t xml:space="preserve"> 35 kg </w:t>
            </w:r>
            <w:proofErr w:type="spellStart"/>
            <w:r w:rsidRPr="005B1DF9">
              <w:rPr>
                <w:rFonts w:ascii="Times New Roman" w:eastAsia="Times New Roman" w:hAnsi="Times New Roman" w:cs="Times New Roman"/>
                <w:snapToGrid w:val="0"/>
                <w:sz w:val="22"/>
                <w:szCs w:val="22"/>
                <w:lang w:val="en-US"/>
              </w:rPr>
              <w:t>ar</w:t>
            </w:r>
            <w:proofErr w:type="spellEnd"/>
            <w:r w:rsidRPr="005B1DF9">
              <w:rPr>
                <w:rFonts w:ascii="Times New Roman" w:eastAsia="Times New Roman" w:hAnsi="Times New Roman" w:cs="Times New Roman"/>
                <w:snapToGrid w:val="0"/>
                <w:sz w:val="22"/>
                <w:szCs w:val="22"/>
                <w:lang w:val="en-US"/>
              </w:rPr>
              <w:t xml:space="preserve"> </w:t>
            </w:r>
            <w:proofErr w:type="spellStart"/>
            <w:r w:rsidRPr="005B1DF9">
              <w:rPr>
                <w:rFonts w:ascii="Times New Roman" w:eastAsia="Times New Roman" w:hAnsi="Times New Roman" w:cs="Times New Roman"/>
                <w:snapToGrid w:val="0"/>
                <w:sz w:val="22"/>
                <w:szCs w:val="22"/>
                <w:lang w:val="en-US"/>
              </w:rPr>
              <w:t>didesnis</w:t>
            </w:r>
            <w:proofErr w:type="spellEnd"/>
          </w:p>
        </w:tc>
        <w:tc>
          <w:tcPr>
            <w:tcW w:w="4530" w:type="dxa"/>
            <w:vAlign w:val="center"/>
          </w:tcPr>
          <w:p w14:paraId="1636552B" w14:textId="1026D45D" w:rsidR="005B1DF9" w:rsidRPr="009F7541" w:rsidRDefault="005B1DF9" w:rsidP="005B1DF9">
            <w:pPr>
              <w:pStyle w:val="Default"/>
              <w:rPr>
                <w:sz w:val="22"/>
                <w:szCs w:val="22"/>
              </w:rPr>
            </w:pPr>
            <w:r w:rsidRPr="005B1DF9">
              <w:rPr>
                <w:sz w:val="22"/>
                <w:szCs w:val="22"/>
              </w:rPr>
              <w:t>Viena 5 mg</w:t>
            </w:r>
            <w:r w:rsidRPr="005B1DF9">
              <w:rPr>
                <w:b/>
                <w:bCs/>
                <w:sz w:val="22"/>
                <w:szCs w:val="22"/>
              </w:rPr>
              <w:t xml:space="preserve"> </w:t>
            </w:r>
            <w:proofErr w:type="spellStart"/>
            <w:r w:rsidRPr="005B1DF9">
              <w:rPr>
                <w:sz w:val="22"/>
                <w:szCs w:val="22"/>
              </w:rPr>
              <w:t>tabletė</w:t>
            </w:r>
            <w:proofErr w:type="spellEnd"/>
            <w:r w:rsidRPr="005B1DF9">
              <w:rPr>
                <w:sz w:val="22"/>
                <w:szCs w:val="22"/>
              </w:rPr>
              <w:t xml:space="preserve">, </w:t>
            </w:r>
            <w:proofErr w:type="spellStart"/>
            <w:r w:rsidRPr="005B1DF9">
              <w:rPr>
                <w:sz w:val="22"/>
                <w:szCs w:val="22"/>
              </w:rPr>
              <w:t>vieną</w:t>
            </w:r>
            <w:proofErr w:type="spellEnd"/>
            <w:r w:rsidRPr="005B1DF9">
              <w:rPr>
                <w:sz w:val="22"/>
                <w:szCs w:val="22"/>
              </w:rPr>
              <w:t xml:space="preserve"> </w:t>
            </w:r>
            <w:proofErr w:type="spellStart"/>
            <w:r w:rsidRPr="005B1DF9">
              <w:rPr>
                <w:sz w:val="22"/>
                <w:szCs w:val="22"/>
              </w:rPr>
              <w:t>kartą</w:t>
            </w:r>
            <w:proofErr w:type="spellEnd"/>
            <w:r w:rsidRPr="005B1DF9">
              <w:rPr>
                <w:sz w:val="22"/>
                <w:szCs w:val="22"/>
              </w:rPr>
              <w:t xml:space="preserve"> per </w:t>
            </w:r>
            <w:proofErr w:type="spellStart"/>
            <w:r w:rsidRPr="005B1DF9">
              <w:rPr>
                <w:sz w:val="22"/>
                <w:szCs w:val="22"/>
              </w:rPr>
              <w:t>parą</w:t>
            </w:r>
            <w:proofErr w:type="spellEnd"/>
            <w:r w:rsidRPr="005B1DF9">
              <w:rPr>
                <w:sz w:val="22"/>
                <w:szCs w:val="22"/>
              </w:rPr>
              <w:t xml:space="preserve"> </w:t>
            </w:r>
          </w:p>
        </w:tc>
      </w:tr>
      <w:tr w:rsidR="005B1DF9" w:rsidRPr="005B1DF9" w14:paraId="7413CE9F" w14:textId="77777777" w:rsidTr="009F7541">
        <w:trPr>
          <w:trHeight w:val="575"/>
        </w:trPr>
        <w:tc>
          <w:tcPr>
            <w:tcW w:w="4530" w:type="dxa"/>
            <w:vAlign w:val="center"/>
          </w:tcPr>
          <w:p w14:paraId="3FD8CB2B" w14:textId="64702485" w:rsidR="005B1DF9" w:rsidRPr="005B1DF9" w:rsidRDefault="005B1DF9" w:rsidP="00A35A18">
            <w:pPr>
              <w:numPr>
                <w:ilvl w:val="12"/>
                <w:numId w:val="0"/>
              </w:numPr>
              <w:ind w:right="-2"/>
              <w:rPr>
                <w:rFonts w:ascii="Times New Roman" w:eastAsia="Times New Roman" w:hAnsi="Times New Roman" w:cs="Times New Roman"/>
                <w:snapToGrid w:val="0"/>
                <w:sz w:val="22"/>
                <w:szCs w:val="22"/>
                <w:lang w:val="lt-LT"/>
              </w:rPr>
            </w:pPr>
            <w:r w:rsidRPr="005B1DF9">
              <w:rPr>
                <w:rFonts w:ascii="Times New Roman" w:eastAsia="Times New Roman" w:hAnsi="Times New Roman" w:cs="Times New Roman"/>
                <w:snapToGrid w:val="0"/>
                <w:sz w:val="22"/>
                <w:szCs w:val="22"/>
                <w:lang w:val="lt-LT"/>
              </w:rPr>
              <w:t>Kūno svoris ne mažesnis kaip 20 kg ir mažesnis kaip 35 kg</w:t>
            </w:r>
          </w:p>
        </w:tc>
        <w:tc>
          <w:tcPr>
            <w:tcW w:w="4530" w:type="dxa"/>
            <w:vAlign w:val="center"/>
          </w:tcPr>
          <w:p w14:paraId="7AF715FF" w14:textId="221731A0" w:rsidR="005B1DF9" w:rsidRPr="005B1DF9" w:rsidRDefault="005B1DF9" w:rsidP="00A35A18">
            <w:pPr>
              <w:numPr>
                <w:ilvl w:val="12"/>
                <w:numId w:val="0"/>
              </w:numPr>
              <w:ind w:right="-2"/>
              <w:rPr>
                <w:rFonts w:ascii="Times New Roman" w:eastAsia="Times New Roman" w:hAnsi="Times New Roman" w:cs="Times New Roman"/>
                <w:snapToGrid w:val="0"/>
                <w:sz w:val="22"/>
                <w:szCs w:val="22"/>
                <w:lang w:val="lt-LT"/>
              </w:rPr>
            </w:pPr>
            <w:r w:rsidRPr="005B1DF9">
              <w:rPr>
                <w:rFonts w:ascii="Times New Roman" w:eastAsia="Times New Roman" w:hAnsi="Times New Roman" w:cs="Times New Roman"/>
                <w:snapToGrid w:val="0"/>
                <w:sz w:val="22"/>
                <w:szCs w:val="22"/>
                <w:lang w:val="lt-LT"/>
              </w:rPr>
              <w:t>Viena 2,5</w:t>
            </w:r>
            <w:r w:rsidR="000F77C3">
              <w:rPr>
                <w:rFonts w:ascii="Times New Roman" w:eastAsia="Times New Roman" w:hAnsi="Times New Roman" w:cs="Times New Roman"/>
                <w:snapToGrid w:val="0"/>
                <w:sz w:val="22"/>
                <w:szCs w:val="22"/>
                <w:lang w:val="lt-LT"/>
              </w:rPr>
              <w:t>*</w:t>
            </w:r>
            <w:r w:rsidRPr="005B1DF9">
              <w:rPr>
                <w:rFonts w:ascii="Times New Roman" w:eastAsia="Times New Roman" w:hAnsi="Times New Roman" w:cs="Times New Roman"/>
                <w:snapToGrid w:val="0"/>
                <w:sz w:val="22"/>
                <w:szCs w:val="22"/>
                <w:lang w:val="lt-LT"/>
              </w:rPr>
              <w:t> mg tabletė, vieną kartą per parą</w:t>
            </w:r>
          </w:p>
        </w:tc>
      </w:tr>
    </w:tbl>
    <w:p w14:paraId="143B025B" w14:textId="2E853F8B" w:rsidR="005B1DF9" w:rsidRDefault="005B1DF9" w:rsidP="00A35A18">
      <w:pPr>
        <w:numPr>
          <w:ilvl w:val="12"/>
          <w:numId w:val="0"/>
        </w:numPr>
        <w:spacing w:after="0" w:line="240" w:lineRule="auto"/>
        <w:ind w:right="-2"/>
        <w:rPr>
          <w:rFonts w:ascii="Times New Roman" w:eastAsia="Times New Roman" w:hAnsi="Times New Roman" w:cs="Times New Roman"/>
          <w:snapToGrid w:val="0"/>
          <w:szCs w:val="24"/>
        </w:rPr>
      </w:pPr>
    </w:p>
    <w:p w14:paraId="48E37337" w14:textId="02F061D2" w:rsidR="005B1DF9" w:rsidRDefault="005B1DF9" w:rsidP="00A35A18">
      <w:pPr>
        <w:numPr>
          <w:ilvl w:val="12"/>
          <w:numId w:val="0"/>
        </w:numPr>
        <w:spacing w:after="0" w:line="240" w:lineRule="auto"/>
        <w:ind w:right="-2"/>
        <w:rPr>
          <w:rFonts w:ascii="Times New Roman" w:eastAsia="Times New Roman" w:hAnsi="Times New Roman" w:cs="Times New Roman"/>
          <w:snapToGrid w:val="0"/>
          <w:szCs w:val="24"/>
        </w:rPr>
      </w:pPr>
      <w:r w:rsidRPr="005B1DF9">
        <w:rPr>
          <w:rFonts w:ascii="Times New Roman" w:eastAsia="Times New Roman" w:hAnsi="Times New Roman" w:cs="Times New Roman"/>
          <w:snapToGrid w:val="0"/>
          <w:szCs w:val="24"/>
        </w:rPr>
        <w:t>Gydytojas gali nuspręsti Jūsų dozę padidinti. Svarbu, kad vaikas reguliariai lankytųsi pas gydytoją, nes jam tampant vyresniu ir didėjant kūno svoriui reikia koreguoti dozę.</w:t>
      </w:r>
    </w:p>
    <w:p w14:paraId="5AE555F5" w14:textId="6757D77E" w:rsidR="005B1DF9" w:rsidRDefault="005B1DF9" w:rsidP="00A35A18">
      <w:pPr>
        <w:numPr>
          <w:ilvl w:val="12"/>
          <w:numId w:val="0"/>
        </w:numPr>
        <w:spacing w:after="0" w:line="240" w:lineRule="auto"/>
        <w:ind w:right="-2"/>
        <w:rPr>
          <w:rFonts w:ascii="Times New Roman" w:eastAsia="Times New Roman" w:hAnsi="Times New Roman" w:cs="Times New Roman"/>
          <w:snapToGrid w:val="0"/>
          <w:szCs w:val="24"/>
        </w:rPr>
      </w:pPr>
    </w:p>
    <w:p w14:paraId="2FF2E1B4" w14:textId="40BF7BEC" w:rsidR="005B1DF9" w:rsidRDefault="005B1DF9" w:rsidP="00A35A18">
      <w:pPr>
        <w:numPr>
          <w:ilvl w:val="12"/>
          <w:numId w:val="0"/>
        </w:numPr>
        <w:spacing w:after="0" w:line="240" w:lineRule="auto"/>
        <w:ind w:right="-2"/>
        <w:rPr>
          <w:rFonts w:ascii="Times New Roman" w:eastAsia="Times New Roman" w:hAnsi="Times New Roman" w:cs="Times New Roman"/>
          <w:snapToGrid w:val="0"/>
          <w:szCs w:val="24"/>
        </w:rPr>
      </w:pPr>
      <w:r w:rsidRPr="005B1DF9">
        <w:rPr>
          <w:rFonts w:ascii="Times New Roman" w:eastAsia="Times New Roman" w:hAnsi="Times New Roman" w:cs="Times New Roman"/>
          <w:snapToGrid w:val="0"/>
          <w:szCs w:val="24"/>
        </w:rPr>
        <w:t xml:space="preserve">Jei kartu vartojama </w:t>
      </w:r>
      <w:proofErr w:type="spellStart"/>
      <w:r w:rsidRPr="005B1DF9">
        <w:rPr>
          <w:rFonts w:ascii="Times New Roman" w:eastAsia="Times New Roman" w:hAnsi="Times New Roman" w:cs="Times New Roman"/>
          <w:snapToGrid w:val="0"/>
          <w:szCs w:val="24"/>
        </w:rPr>
        <w:t>ciklosporino</w:t>
      </w:r>
      <w:proofErr w:type="spellEnd"/>
      <w:r w:rsidRPr="005B1DF9">
        <w:rPr>
          <w:rFonts w:ascii="Times New Roman" w:eastAsia="Times New Roman" w:hAnsi="Times New Roman" w:cs="Times New Roman"/>
          <w:snapToGrid w:val="0"/>
          <w:szCs w:val="24"/>
        </w:rPr>
        <w:t xml:space="preserve"> A, vaikams ir paaugliams galima vartoti ne didesnę kaip 2,5</w:t>
      </w:r>
      <w:r>
        <w:rPr>
          <w:rFonts w:ascii="Times New Roman" w:eastAsia="Times New Roman" w:hAnsi="Times New Roman" w:cs="Times New Roman"/>
          <w:snapToGrid w:val="0"/>
          <w:szCs w:val="24"/>
        </w:rPr>
        <w:t> </w:t>
      </w:r>
      <w:r w:rsidRPr="005B1DF9">
        <w:rPr>
          <w:rFonts w:ascii="Times New Roman" w:eastAsia="Times New Roman" w:hAnsi="Times New Roman" w:cs="Times New Roman"/>
          <w:snapToGrid w:val="0"/>
          <w:szCs w:val="24"/>
        </w:rPr>
        <w:t xml:space="preserve">mg </w:t>
      </w:r>
      <w:proofErr w:type="spellStart"/>
      <w:r w:rsidR="000F77C3">
        <w:rPr>
          <w:rFonts w:ascii="Times New Roman" w:eastAsia="Times New Roman" w:hAnsi="Times New Roman" w:cs="Times New Roman"/>
          <w:snapToGrid w:val="0"/>
          <w:szCs w:val="24"/>
        </w:rPr>
        <w:t>Ambrisentan</w:t>
      </w:r>
      <w:proofErr w:type="spellEnd"/>
      <w:r w:rsidR="000F77C3">
        <w:rPr>
          <w:rFonts w:ascii="Times New Roman" w:eastAsia="Times New Roman" w:hAnsi="Times New Roman" w:cs="Times New Roman"/>
          <w:snapToGrid w:val="0"/>
          <w:szCs w:val="24"/>
        </w:rPr>
        <w:t xml:space="preserve"> </w:t>
      </w:r>
      <w:proofErr w:type="spellStart"/>
      <w:r w:rsidR="000F77C3">
        <w:rPr>
          <w:rFonts w:ascii="Times New Roman" w:eastAsia="Times New Roman" w:hAnsi="Times New Roman" w:cs="Times New Roman"/>
          <w:snapToGrid w:val="0"/>
          <w:szCs w:val="24"/>
        </w:rPr>
        <w:t>Zentiva</w:t>
      </w:r>
      <w:proofErr w:type="spellEnd"/>
      <w:r w:rsidRPr="005B1DF9">
        <w:rPr>
          <w:rFonts w:ascii="Times New Roman" w:eastAsia="Times New Roman" w:hAnsi="Times New Roman" w:cs="Times New Roman"/>
          <w:snapToGrid w:val="0"/>
          <w:szCs w:val="24"/>
        </w:rPr>
        <w:t xml:space="preserve"> dozę vieną kartą per parą (jei kūno svoris yra mažesnis kaip 50</w:t>
      </w:r>
      <w:r w:rsidR="000F77C3">
        <w:rPr>
          <w:rFonts w:ascii="Times New Roman" w:eastAsia="Times New Roman" w:hAnsi="Times New Roman" w:cs="Times New Roman"/>
          <w:snapToGrid w:val="0"/>
          <w:szCs w:val="24"/>
        </w:rPr>
        <w:t> </w:t>
      </w:r>
      <w:r w:rsidRPr="005B1DF9">
        <w:rPr>
          <w:rFonts w:ascii="Times New Roman" w:eastAsia="Times New Roman" w:hAnsi="Times New Roman" w:cs="Times New Roman"/>
          <w:snapToGrid w:val="0"/>
          <w:szCs w:val="24"/>
        </w:rPr>
        <w:t>kg) arba ne didesnę kaip 5</w:t>
      </w:r>
      <w:r w:rsidR="000F77C3">
        <w:rPr>
          <w:rFonts w:ascii="Times New Roman" w:eastAsia="Times New Roman" w:hAnsi="Times New Roman" w:cs="Times New Roman"/>
          <w:snapToGrid w:val="0"/>
          <w:szCs w:val="24"/>
        </w:rPr>
        <w:t> </w:t>
      </w:r>
      <w:r w:rsidRPr="005B1DF9">
        <w:rPr>
          <w:rFonts w:ascii="Times New Roman" w:eastAsia="Times New Roman" w:hAnsi="Times New Roman" w:cs="Times New Roman"/>
          <w:snapToGrid w:val="0"/>
          <w:szCs w:val="24"/>
        </w:rPr>
        <w:t xml:space="preserve">mg </w:t>
      </w:r>
      <w:proofErr w:type="spellStart"/>
      <w:r w:rsidR="000F77C3">
        <w:rPr>
          <w:rFonts w:ascii="Times New Roman" w:eastAsia="Times New Roman" w:hAnsi="Times New Roman" w:cs="Times New Roman"/>
          <w:snapToGrid w:val="0"/>
          <w:szCs w:val="24"/>
        </w:rPr>
        <w:t>Ambrisentan</w:t>
      </w:r>
      <w:proofErr w:type="spellEnd"/>
      <w:r w:rsidR="000F77C3">
        <w:rPr>
          <w:rFonts w:ascii="Times New Roman" w:eastAsia="Times New Roman" w:hAnsi="Times New Roman" w:cs="Times New Roman"/>
          <w:snapToGrid w:val="0"/>
          <w:szCs w:val="24"/>
        </w:rPr>
        <w:t xml:space="preserve"> </w:t>
      </w:r>
      <w:proofErr w:type="spellStart"/>
      <w:r w:rsidR="000F77C3">
        <w:rPr>
          <w:rFonts w:ascii="Times New Roman" w:eastAsia="Times New Roman" w:hAnsi="Times New Roman" w:cs="Times New Roman"/>
          <w:snapToGrid w:val="0"/>
          <w:szCs w:val="24"/>
        </w:rPr>
        <w:t>Zentiva</w:t>
      </w:r>
      <w:proofErr w:type="spellEnd"/>
      <w:r w:rsidRPr="005B1DF9">
        <w:rPr>
          <w:rFonts w:ascii="Times New Roman" w:eastAsia="Times New Roman" w:hAnsi="Times New Roman" w:cs="Times New Roman"/>
          <w:snapToGrid w:val="0"/>
          <w:szCs w:val="24"/>
        </w:rPr>
        <w:t xml:space="preserve"> dozę vieną kartą per parą (jei kūno svoris yra 5</w:t>
      </w:r>
      <w:r w:rsidR="000F77C3">
        <w:rPr>
          <w:rFonts w:ascii="Times New Roman" w:eastAsia="Times New Roman" w:hAnsi="Times New Roman" w:cs="Times New Roman"/>
          <w:snapToGrid w:val="0"/>
          <w:szCs w:val="24"/>
        </w:rPr>
        <w:t> </w:t>
      </w:r>
      <w:r w:rsidRPr="005B1DF9">
        <w:rPr>
          <w:rFonts w:ascii="Times New Roman" w:eastAsia="Times New Roman" w:hAnsi="Times New Roman" w:cs="Times New Roman"/>
          <w:snapToGrid w:val="0"/>
          <w:szCs w:val="24"/>
        </w:rPr>
        <w:t xml:space="preserve"> kg ar didesnis).</w:t>
      </w:r>
    </w:p>
    <w:p w14:paraId="0D01D87E" w14:textId="77777777" w:rsidR="0006197D" w:rsidRDefault="0006197D" w:rsidP="00A35A18">
      <w:pPr>
        <w:numPr>
          <w:ilvl w:val="12"/>
          <w:numId w:val="0"/>
        </w:numPr>
        <w:spacing w:after="0" w:line="240" w:lineRule="auto"/>
        <w:ind w:right="-2"/>
        <w:rPr>
          <w:rFonts w:ascii="Times New Roman" w:eastAsia="Times New Roman" w:hAnsi="Times New Roman" w:cs="Times New Roman"/>
          <w:snapToGrid w:val="0"/>
          <w:szCs w:val="24"/>
        </w:rPr>
      </w:pPr>
    </w:p>
    <w:p w14:paraId="12131270" w14:textId="67A8FBE2" w:rsidR="005B1DF9" w:rsidRDefault="000F77C3" w:rsidP="00A35A18">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Jei reikalinga 2,5 mg dozė, turi būti vartojamas kitas rinkoje esantis preparatas.</w:t>
      </w:r>
    </w:p>
    <w:p w14:paraId="1117F8DF" w14:textId="77777777" w:rsidR="000F77C3" w:rsidRPr="005B1DF9" w:rsidRDefault="000F77C3" w:rsidP="00A35A18">
      <w:pPr>
        <w:numPr>
          <w:ilvl w:val="12"/>
          <w:numId w:val="0"/>
        </w:numPr>
        <w:spacing w:after="0" w:line="240" w:lineRule="auto"/>
        <w:ind w:right="-2"/>
        <w:rPr>
          <w:rFonts w:ascii="Times New Roman" w:eastAsia="Times New Roman" w:hAnsi="Times New Roman" w:cs="Times New Roman"/>
          <w:snapToGrid w:val="0"/>
          <w:szCs w:val="24"/>
        </w:rPr>
      </w:pPr>
    </w:p>
    <w:p w14:paraId="62892273" w14:textId="1D9A1F90" w:rsidR="00A35A18" w:rsidRDefault="00A35A18" w:rsidP="00A35A18">
      <w:pPr>
        <w:numPr>
          <w:ilvl w:val="12"/>
          <w:numId w:val="0"/>
        </w:numPr>
        <w:spacing w:after="0" w:line="240" w:lineRule="auto"/>
        <w:ind w:right="-2"/>
        <w:rPr>
          <w:rFonts w:ascii="Times New Roman" w:eastAsia="Times New Roman" w:hAnsi="Times New Roman" w:cs="Times New Roman"/>
          <w:b/>
          <w:bCs/>
          <w:snapToGrid w:val="0"/>
          <w:szCs w:val="24"/>
        </w:rPr>
      </w:pPr>
      <w:r w:rsidRPr="00633873">
        <w:rPr>
          <w:rFonts w:ascii="Times New Roman" w:eastAsia="Times New Roman" w:hAnsi="Times New Roman" w:cs="Times New Roman"/>
          <w:b/>
          <w:bCs/>
          <w:snapToGrid w:val="0"/>
          <w:szCs w:val="24"/>
        </w:rPr>
        <w:t xml:space="preserve">Kaip vartoti </w:t>
      </w:r>
      <w:proofErr w:type="spellStart"/>
      <w:r w:rsidRPr="00633873">
        <w:rPr>
          <w:rFonts w:ascii="Times New Roman" w:eastAsia="Times New Roman" w:hAnsi="Times New Roman" w:cs="Times New Roman"/>
          <w:b/>
          <w:bCs/>
          <w:snapToGrid w:val="0"/>
          <w:szCs w:val="24"/>
        </w:rPr>
        <w:t>Ambrisentan</w:t>
      </w:r>
      <w:proofErr w:type="spellEnd"/>
      <w:r w:rsidRPr="00633873">
        <w:rPr>
          <w:rFonts w:ascii="Times New Roman" w:eastAsia="Times New Roman" w:hAnsi="Times New Roman" w:cs="Times New Roman"/>
          <w:b/>
          <w:bCs/>
          <w:snapToGrid w:val="0"/>
          <w:szCs w:val="24"/>
        </w:rPr>
        <w:t xml:space="preserve"> </w:t>
      </w:r>
      <w:proofErr w:type="spellStart"/>
      <w:r w:rsidR="00E62DAA" w:rsidRPr="00633873">
        <w:rPr>
          <w:rFonts w:ascii="Times New Roman" w:eastAsia="Times New Roman" w:hAnsi="Times New Roman" w:cs="Times New Roman"/>
          <w:b/>
          <w:bCs/>
          <w:snapToGrid w:val="0"/>
          <w:szCs w:val="24"/>
        </w:rPr>
        <w:t>Zentiva</w:t>
      </w:r>
      <w:proofErr w:type="spellEnd"/>
    </w:p>
    <w:p w14:paraId="41FB71F0"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Geriausia tabletę išgerti kasdien tuo pačiu metu. Prarykite tabletę visą (tabletės negalima dalyti, smulkinti ar kramtyti) ir užsigerkite stikline vandens.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galima vartoti ir valgant, ir nevalgius.</w:t>
      </w:r>
    </w:p>
    <w:p w14:paraId="664EEE0F" w14:textId="77777777" w:rsidR="0001518C" w:rsidRPr="00633873" w:rsidRDefault="0001518C" w:rsidP="00A35A18">
      <w:pPr>
        <w:numPr>
          <w:ilvl w:val="12"/>
          <w:numId w:val="0"/>
        </w:numPr>
        <w:spacing w:after="0" w:line="240" w:lineRule="auto"/>
        <w:ind w:right="-2"/>
        <w:rPr>
          <w:rFonts w:ascii="Times New Roman" w:eastAsia="Times New Roman" w:hAnsi="Times New Roman" w:cs="Times New Roman"/>
          <w:snapToGrid w:val="0"/>
          <w:szCs w:val="24"/>
        </w:rPr>
      </w:pPr>
    </w:p>
    <w:p w14:paraId="7D0FA889" w14:textId="089D5810" w:rsidR="00A35A18" w:rsidRPr="00633873" w:rsidRDefault="00A35A18" w:rsidP="00A35A1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 xml:space="preserve">Ką daryti pavartojus per didelę </w:t>
      </w:r>
      <w:proofErr w:type="spellStart"/>
      <w:r w:rsidRPr="00633873">
        <w:rPr>
          <w:rFonts w:ascii="Times New Roman" w:eastAsia="Times New Roman" w:hAnsi="Times New Roman" w:cs="Times New Roman"/>
          <w:b/>
          <w:bCs/>
          <w:snapToGrid w:val="0"/>
          <w:szCs w:val="28"/>
          <w:lang w:eastAsia="x-none"/>
        </w:rPr>
        <w:t>Ambrisentan</w:t>
      </w:r>
      <w:proofErr w:type="spellEnd"/>
      <w:r w:rsidRPr="00633873">
        <w:rPr>
          <w:rFonts w:ascii="Times New Roman" w:eastAsia="Times New Roman" w:hAnsi="Times New Roman" w:cs="Times New Roman"/>
          <w:b/>
          <w:bCs/>
          <w:snapToGrid w:val="0"/>
          <w:szCs w:val="28"/>
          <w:lang w:eastAsia="x-none"/>
        </w:rPr>
        <w:t xml:space="preserve"> </w:t>
      </w:r>
      <w:proofErr w:type="spellStart"/>
      <w:r w:rsidR="00E62DAA" w:rsidRPr="00633873">
        <w:rPr>
          <w:rFonts w:ascii="Times New Roman" w:eastAsia="Times New Roman" w:hAnsi="Times New Roman" w:cs="Times New Roman"/>
          <w:b/>
          <w:bCs/>
          <w:snapToGrid w:val="0"/>
          <w:szCs w:val="28"/>
          <w:lang w:eastAsia="x-none"/>
        </w:rPr>
        <w:t>Zentiva</w:t>
      </w:r>
      <w:proofErr w:type="spellEnd"/>
      <w:r w:rsidRPr="00633873">
        <w:rPr>
          <w:rFonts w:ascii="Times New Roman" w:eastAsia="Times New Roman" w:hAnsi="Times New Roman" w:cs="Times New Roman"/>
          <w:b/>
          <w:bCs/>
          <w:snapToGrid w:val="0"/>
          <w:szCs w:val="28"/>
          <w:lang w:eastAsia="x-none"/>
        </w:rPr>
        <w:t xml:space="preserve"> dozę</w:t>
      </w:r>
    </w:p>
    <w:p w14:paraId="5CC18FF8" w14:textId="615C7038"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Jeigu atsitiktinai išgėrėte per daug tablečių, yra didesnė tikimybė, kad pasireikš šalutinis poveikis, pvz., galvos skausmas, paraudimas, svaigulys, pykinimas </w:t>
      </w:r>
      <w:r w:rsidR="0001518C" w:rsidRPr="00633873">
        <w:rPr>
          <w:rFonts w:ascii="Times New Roman" w:eastAsia="Times New Roman" w:hAnsi="Times New Roman" w:cs="Times New Roman"/>
          <w:snapToGrid w:val="0"/>
          <w:szCs w:val="24"/>
        </w:rPr>
        <w:t xml:space="preserve">(šleikštulys) </w:t>
      </w:r>
      <w:r w:rsidRPr="00633873">
        <w:rPr>
          <w:rFonts w:ascii="Times New Roman" w:eastAsia="Times New Roman" w:hAnsi="Times New Roman" w:cs="Times New Roman"/>
          <w:snapToGrid w:val="0"/>
          <w:szCs w:val="24"/>
        </w:rPr>
        <w:t xml:space="preserve">arba kraujospūdžio sumažėjimas, </w:t>
      </w:r>
      <w:r w:rsidR="00657777" w:rsidRPr="00633873">
        <w:rPr>
          <w:rFonts w:ascii="Times New Roman" w:eastAsia="Times New Roman" w:hAnsi="Times New Roman" w:cs="Times New Roman"/>
          <w:snapToGrid w:val="0"/>
          <w:szCs w:val="24"/>
        </w:rPr>
        <w:t xml:space="preserve">dėl kurio </w:t>
      </w:r>
      <w:r w:rsidR="0001518C" w:rsidRPr="00633873">
        <w:rPr>
          <w:rFonts w:ascii="Times New Roman" w:eastAsia="Times New Roman" w:hAnsi="Times New Roman" w:cs="Times New Roman"/>
          <w:snapToGrid w:val="0"/>
          <w:szCs w:val="24"/>
        </w:rPr>
        <w:t>gali</w:t>
      </w:r>
      <w:r w:rsidR="00657777" w:rsidRPr="00633873">
        <w:rPr>
          <w:rFonts w:ascii="Times New Roman" w:eastAsia="Times New Roman" w:hAnsi="Times New Roman" w:cs="Times New Roman"/>
          <w:snapToGrid w:val="0"/>
          <w:szCs w:val="24"/>
        </w:rPr>
        <w:t xml:space="preserve"> pasireikšti galvos sukimasis</w:t>
      </w:r>
      <w:r w:rsidRPr="00633873">
        <w:rPr>
          <w:rFonts w:ascii="Times New Roman" w:eastAsia="Times New Roman" w:hAnsi="Times New Roman" w:cs="Times New Roman"/>
          <w:snapToGrid w:val="0"/>
          <w:szCs w:val="24"/>
        </w:rPr>
        <w:t>.</w:t>
      </w:r>
    </w:p>
    <w:p w14:paraId="08BD1535"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58E34C3F"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b/>
          <w:bCs/>
          <w:snapToGrid w:val="0"/>
          <w:szCs w:val="24"/>
        </w:rPr>
      </w:pPr>
      <w:r w:rsidRPr="00633873">
        <w:rPr>
          <w:rFonts w:ascii="Times New Roman" w:eastAsia="Times New Roman" w:hAnsi="Times New Roman" w:cs="Times New Roman"/>
          <w:b/>
          <w:bCs/>
          <w:snapToGrid w:val="0"/>
          <w:szCs w:val="24"/>
        </w:rPr>
        <w:t>→</w:t>
      </w:r>
      <w:r w:rsidRPr="00633873">
        <w:rPr>
          <w:rFonts w:ascii="Times New Roman" w:eastAsia="Times New Roman" w:hAnsi="Times New Roman" w:cs="Times New Roman"/>
          <w:snapToGrid w:val="0"/>
          <w:szCs w:val="24"/>
        </w:rPr>
        <w:t xml:space="preserve"> </w:t>
      </w:r>
      <w:r w:rsidRPr="00633873">
        <w:rPr>
          <w:rFonts w:ascii="Times New Roman" w:eastAsia="Times New Roman" w:hAnsi="Times New Roman" w:cs="Times New Roman"/>
          <w:b/>
          <w:bCs/>
          <w:snapToGrid w:val="0"/>
          <w:szCs w:val="24"/>
        </w:rPr>
        <w:t>Kreipkitės patarimo į gydytoją arba vaistininką, jeigu išgėrėte daugiau tablečių nei buvo paskirta.</w:t>
      </w:r>
    </w:p>
    <w:p w14:paraId="22F0FD5B"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12345830" w14:textId="77777777" w:rsidR="00A35A18" w:rsidRPr="00633873" w:rsidRDefault="00A35A18" w:rsidP="00A35A1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 xml:space="preserve">Pamiršus pavartoti </w:t>
      </w:r>
      <w:proofErr w:type="spellStart"/>
      <w:r w:rsidRPr="00633873">
        <w:rPr>
          <w:rFonts w:ascii="Times New Roman" w:eastAsia="Times New Roman" w:hAnsi="Times New Roman" w:cs="Times New Roman"/>
          <w:b/>
          <w:bCs/>
          <w:snapToGrid w:val="0"/>
          <w:szCs w:val="28"/>
          <w:lang w:eastAsia="x-none"/>
        </w:rPr>
        <w:t>Ambrisentan</w:t>
      </w:r>
      <w:proofErr w:type="spellEnd"/>
      <w:r w:rsidRPr="00633873">
        <w:rPr>
          <w:rFonts w:ascii="Times New Roman" w:eastAsia="Times New Roman" w:hAnsi="Times New Roman" w:cs="Times New Roman"/>
          <w:b/>
          <w:bCs/>
          <w:snapToGrid w:val="0"/>
          <w:szCs w:val="28"/>
          <w:lang w:eastAsia="x-none"/>
        </w:rPr>
        <w:t xml:space="preserve"> </w:t>
      </w:r>
      <w:proofErr w:type="spellStart"/>
      <w:r w:rsidR="00E62DAA" w:rsidRPr="00633873">
        <w:rPr>
          <w:rFonts w:ascii="Times New Roman" w:eastAsia="Times New Roman" w:hAnsi="Times New Roman" w:cs="Times New Roman"/>
          <w:b/>
          <w:bCs/>
          <w:snapToGrid w:val="0"/>
          <w:szCs w:val="28"/>
          <w:lang w:eastAsia="x-none"/>
        </w:rPr>
        <w:t>Zentiva</w:t>
      </w:r>
      <w:proofErr w:type="spellEnd"/>
    </w:p>
    <w:p w14:paraId="7D27F1E4"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Pamiršus išgerti </w:t>
      </w: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00E62DAA"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dozę, tiesiog išgerkite tabletę, kai tik atsiminsite, o toliau vaistą vartokite įprastai.</w:t>
      </w:r>
    </w:p>
    <w:p w14:paraId="0077AA79"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9D39424"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b/>
          <w:bCs/>
          <w:snapToGrid w:val="0"/>
          <w:szCs w:val="24"/>
        </w:rPr>
      </w:pPr>
      <w:r w:rsidRPr="00633873">
        <w:rPr>
          <w:rFonts w:ascii="Times New Roman" w:eastAsia="Times New Roman" w:hAnsi="Times New Roman" w:cs="Times New Roman"/>
          <w:b/>
          <w:bCs/>
          <w:snapToGrid w:val="0"/>
          <w:szCs w:val="24"/>
        </w:rPr>
        <w:t>→ Negalima vartoti dvigubos dozės norint kompensuoti praleistą dozę.</w:t>
      </w:r>
    </w:p>
    <w:p w14:paraId="14E6D4B1"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767A3E56" w14:textId="1A830A83" w:rsidR="00A35A18" w:rsidRPr="00633873" w:rsidRDefault="000F77C3" w:rsidP="00A35A18">
      <w:pPr>
        <w:numPr>
          <w:ilvl w:val="12"/>
          <w:numId w:val="0"/>
        </w:numPr>
        <w:spacing w:after="0" w:line="240" w:lineRule="auto"/>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 xml:space="preserve">Jeigu </w:t>
      </w:r>
      <w:r w:rsidR="00A35A18" w:rsidRPr="00633873">
        <w:rPr>
          <w:rFonts w:ascii="Times New Roman" w:eastAsia="Times New Roman" w:hAnsi="Times New Roman" w:cs="Times New Roman"/>
          <w:b/>
          <w:bCs/>
          <w:snapToGrid w:val="0"/>
          <w:szCs w:val="28"/>
          <w:lang w:eastAsia="x-none"/>
        </w:rPr>
        <w:t>nusto</w:t>
      </w:r>
      <w:r>
        <w:rPr>
          <w:rFonts w:ascii="Times New Roman" w:eastAsia="Times New Roman" w:hAnsi="Times New Roman" w:cs="Times New Roman"/>
          <w:b/>
          <w:bCs/>
          <w:snapToGrid w:val="0"/>
          <w:szCs w:val="28"/>
          <w:lang w:eastAsia="x-none"/>
        </w:rPr>
        <w:t>jote</w:t>
      </w:r>
      <w:r w:rsidR="00A35A18" w:rsidRPr="00633873">
        <w:rPr>
          <w:rFonts w:ascii="Times New Roman" w:eastAsia="Times New Roman" w:hAnsi="Times New Roman" w:cs="Times New Roman"/>
          <w:b/>
          <w:bCs/>
          <w:snapToGrid w:val="0"/>
          <w:szCs w:val="28"/>
          <w:lang w:eastAsia="x-none"/>
        </w:rPr>
        <w:t xml:space="preserve"> vartoti </w:t>
      </w:r>
      <w:proofErr w:type="spellStart"/>
      <w:r w:rsidR="00A35A18" w:rsidRPr="00633873">
        <w:rPr>
          <w:rFonts w:ascii="Times New Roman" w:eastAsia="Times New Roman" w:hAnsi="Times New Roman" w:cs="Times New Roman"/>
          <w:b/>
          <w:bCs/>
          <w:snapToGrid w:val="0"/>
          <w:szCs w:val="28"/>
          <w:lang w:eastAsia="x-none"/>
        </w:rPr>
        <w:t>Ambrisentan</w:t>
      </w:r>
      <w:proofErr w:type="spellEnd"/>
      <w:r w:rsidR="00A35A18" w:rsidRPr="00633873">
        <w:rPr>
          <w:rFonts w:ascii="Times New Roman" w:eastAsia="Times New Roman" w:hAnsi="Times New Roman" w:cs="Times New Roman"/>
          <w:b/>
          <w:bCs/>
          <w:snapToGrid w:val="0"/>
          <w:szCs w:val="28"/>
          <w:lang w:eastAsia="x-none"/>
        </w:rPr>
        <w:t xml:space="preserve"> </w:t>
      </w:r>
      <w:proofErr w:type="spellStart"/>
      <w:r w:rsidR="00E62DAA" w:rsidRPr="00633873">
        <w:rPr>
          <w:rFonts w:ascii="Times New Roman" w:eastAsia="Times New Roman" w:hAnsi="Times New Roman" w:cs="Times New Roman"/>
          <w:b/>
          <w:bCs/>
          <w:snapToGrid w:val="0"/>
          <w:szCs w:val="20"/>
        </w:rPr>
        <w:t>Zentiva</w:t>
      </w:r>
      <w:proofErr w:type="spellEnd"/>
    </w:p>
    <w:p w14:paraId="4AB65BFF"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Gydymas </w:t>
      </w:r>
      <w:proofErr w:type="spellStart"/>
      <w:r w:rsidRPr="00633873">
        <w:rPr>
          <w:rFonts w:ascii="Times New Roman" w:eastAsia="Times New Roman" w:hAnsi="Times New Roman" w:cs="Times New Roman"/>
          <w:snapToGrid w:val="0"/>
          <w:szCs w:val="28"/>
          <w:lang w:eastAsia="x-none"/>
        </w:rPr>
        <w:t>Ambrisentan</w:t>
      </w:r>
      <w:proofErr w:type="spellEnd"/>
      <w:r w:rsidRPr="00633873">
        <w:rPr>
          <w:rFonts w:ascii="Times New Roman" w:eastAsia="Times New Roman" w:hAnsi="Times New Roman" w:cs="Times New Roman"/>
          <w:snapToGrid w:val="0"/>
          <w:szCs w:val="28"/>
          <w:lang w:eastAsia="x-none"/>
        </w:rPr>
        <w:t xml:space="preserve"> </w:t>
      </w:r>
      <w:proofErr w:type="spellStart"/>
      <w:r w:rsidR="00E62DAA" w:rsidRPr="00633873">
        <w:rPr>
          <w:rFonts w:ascii="Times New Roman" w:eastAsia="Times New Roman" w:hAnsi="Times New Roman" w:cs="Times New Roman"/>
          <w:snapToGrid w:val="0"/>
          <w:szCs w:val="20"/>
        </w:rPr>
        <w:t>Zentiva</w:t>
      </w:r>
      <w:proofErr w:type="spellEnd"/>
      <w:r w:rsidRPr="00633873">
        <w:rPr>
          <w:rFonts w:ascii="Times New Roman" w:eastAsia="Times New Roman" w:hAnsi="Times New Roman" w:cs="Times New Roman"/>
          <w:snapToGrid w:val="0"/>
          <w:szCs w:val="28"/>
          <w:lang w:eastAsia="x-none"/>
        </w:rPr>
        <w:t xml:space="preserve"> reikalingas tam, kad galėtumėte nuolat kontroliuoti PH.</w:t>
      </w:r>
    </w:p>
    <w:p w14:paraId="50F41356"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8"/>
          <w:lang w:eastAsia="x-none"/>
        </w:rPr>
      </w:pPr>
    </w:p>
    <w:p w14:paraId="3E96B1F1" w14:textId="77777777" w:rsidR="00A35A18" w:rsidRPr="00633873" w:rsidRDefault="00A35A18" w:rsidP="00A35A18">
      <w:pPr>
        <w:numPr>
          <w:ilvl w:val="12"/>
          <w:numId w:val="0"/>
        </w:numPr>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 xml:space="preserve">→ Nenustokite vartoti </w:t>
      </w:r>
      <w:proofErr w:type="spellStart"/>
      <w:r w:rsidRPr="00633873">
        <w:rPr>
          <w:rFonts w:ascii="Times New Roman" w:eastAsia="Times New Roman" w:hAnsi="Times New Roman" w:cs="Times New Roman"/>
          <w:b/>
          <w:bCs/>
          <w:snapToGrid w:val="0"/>
          <w:szCs w:val="28"/>
          <w:lang w:eastAsia="x-none"/>
        </w:rPr>
        <w:t>Ambrisentan</w:t>
      </w:r>
      <w:proofErr w:type="spellEnd"/>
      <w:r w:rsidRPr="00633873">
        <w:rPr>
          <w:rFonts w:ascii="Times New Roman" w:eastAsia="Times New Roman" w:hAnsi="Times New Roman" w:cs="Times New Roman"/>
          <w:b/>
          <w:bCs/>
          <w:snapToGrid w:val="0"/>
          <w:szCs w:val="28"/>
          <w:lang w:eastAsia="x-none"/>
        </w:rPr>
        <w:t xml:space="preserve"> </w:t>
      </w:r>
      <w:proofErr w:type="spellStart"/>
      <w:r w:rsidR="00E62DAA" w:rsidRPr="00633873">
        <w:rPr>
          <w:rFonts w:ascii="Times New Roman" w:eastAsia="Times New Roman" w:hAnsi="Times New Roman" w:cs="Times New Roman"/>
          <w:b/>
          <w:bCs/>
          <w:snapToGrid w:val="0"/>
          <w:szCs w:val="20"/>
        </w:rPr>
        <w:t>Zentiva</w:t>
      </w:r>
      <w:proofErr w:type="spellEnd"/>
      <w:r w:rsidRPr="00633873">
        <w:rPr>
          <w:rFonts w:ascii="Times New Roman" w:eastAsia="Times New Roman" w:hAnsi="Times New Roman" w:cs="Times New Roman"/>
          <w:b/>
          <w:bCs/>
          <w:snapToGrid w:val="0"/>
          <w:szCs w:val="28"/>
          <w:lang w:eastAsia="x-none"/>
        </w:rPr>
        <w:t xml:space="preserve">, </w:t>
      </w:r>
      <w:r w:rsidR="001D31E3" w:rsidRPr="00633873">
        <w:rPr>
          <w:rFonts w:ascii="Times New Roman" w:eastAsia="Times New Roman" w:hAnsi="Times New Roman" w:cs="Times New Roman"/>
          <w:b/>
          <w:bCs/>
          <w:snapToGrid w:val="0"/>
          <w:szCs w:val="28"/>
          <w:lang w:eastAsia="x-none"/>
        </w:rPr>
        <w:t>nebent Jums tai nurodė gydytojas</w:t>
      </w:r>
      <w:r w:rsidRPr="00633873">
        <w:rPr>
          <w:rFonts w:ascii="Times New Roman" w:eastAsia="Times New Roman" w:hAnsi="Times New Roman" w:cs="Times New Roman"/>
          <w:b/>
          <w:bCs/>
          <w:snapToGrid w:val="0"/>
          <w:szCs w:val="28"/>
          <w:lang w:eastAsia="x-none"/>
        </w:rPr>
        <w:t>.</w:t>
      </w:r>
    </w:p>
    <w:p w14:paraId="36355360"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8"/>
          <w:lang w:eastAsia="x-none"/>
        </w:rPr>
      </w:pPr>
    </w:p>
    <w:p w14:paraId="36CC6823"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8"/>
          <w:lang w:eastAsia="x-none"/>
        </w:rPr>
        <w:t>Jeigu kiltų daugiau klausimų dėl šio vaisto vartojimo, kreipkitės į gydytoją arba vaistininką.</w:t>
      </w:r>
    </w:p>
    <w:p w14:paraId="5AC3CD85"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24B05A1C"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1C7DA224" w14:textId="77777777" w:rsidR="00A35A18" w:rsidRPr="00633873" w:rsidRDefault="00A35A18" w:rsidP="00A35A18">
      <w:pPr>
        <w:widowControl w:val="0"/>
        <w:spacing w:after="0" w:line="240" w:lineRule="auto"/>
        <w:ind w:left="567" w:hanging="567"/>
        <w:outlineLvl w:val="0"/>
        <w:rPr>
          <w:rFonts w:ascii="Times New Roman" w:eastAsia="Times New Roman" w:hAnsi="Times New Roman" w:cs="Times New Roman"/>
          <w:b/>
        </w:rPr>
      </w:pPr>
      <w:r w:rsidRPr="00633873">
        <w:rPr>
          <w:rFonts w:ascii="Times New Roman" w:eastAsia="Times New Roman" w:hAnsi="Times New Roman" w:cs="Times New Roman"/>
          <w:b/>
        </w:rPr>
        <w:t>4.</w:t>
      </w:r>
      <w:r w:rsidRPr="00633873">
        <w:rPr>
          <w:rFonts w:ascii="Times New Roman" w:eastAsia="Times New Roman" w:hAnsi="Times New Roman" w:cs="Times New Roman"/>
          <w:b/>
        </w:rPr>
        <w:tab/>
        <w:t>Galimas šalutinis poveikis</w:t>
      </w:r>
    </w:p>
    <w:p w14:paraId="1AC1FAE0"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1EC214E8" w14:textId="77777777" w:rsidR="00A35A18" w:rsidRPr="00633873" w:rsidRDefault="00A35A18" w:rsidP="00A35A18">
      <w:pPr>
        <w:numPr>
          <w:ilvl w:val="12"/>
          <w:numId w:val="0"/>
        </w:numPr>
        <w:spacing w:after="0" w:line="240" w:lineRule="auto"/>
        <w:ind w:right="-29"/>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Šis vaistas, kaip ir visi kiti, gali sukelti šalutinį poveikį, nors jis pasireiškia ne visiems žmonėms.</w:t>
      </w:r>
    </w:p>
    <w:p w14:paraId="16A8BE3C" w14:textId="77777777" w:rsidR="00A35A18" w:rsidRPr="00633873" w:rsidRDefault="00A35A18" w:rsidP="00A35A18">
      <w:pPr>
        <w:numPr>
          <w:ilvl w:val="12"/>
          <w:numId w:val="0"/>
        </w:numPr>
        <w:spacing w:after="0" w:line="240" w:lineRule="auto"/>
        <w:ind w:right="-29"/>
        <w:rPr>
          <w:rFonts w:ascii="Times New Roman" w:eastAsia="Times New Roman" w:hAnsi="Times New Roman" w:cs="Times New Roman"/>
          <w:snapToGrid w:val="0"/>
          <w:szCs w:val="24"/>
        </w:rPr>
      </w:pPr>
    </w:p>
    <w:p w14:paraId="49BFD896" w14:textId="572811F5" w:rsidR="00A35A18" w:rsidRDefault="000F77C3" w:rsidP="00A35A18">
      <w:pPr>
        <w:tabs>
          <w:tab w:val="left" w:pos="567"/>
        </w:tabs>
        <w:spacing w:after="0" w:line="240" w:lineRule="auto"/>
        <w:rPr>
          <w:rFonts w:ascii="Times New Roman" w:eastAsia="Times New Roman" w:hAnsi="Times New Roman" w:cs="Times New Roman"/>
          <w:b/>
          <w:bCs/>
          <w:snapToGrid w:val="0"/>
          <w:szCs w:val="28"/>
          <w:lang w:eastAsia="x-none"/>
        </w:rPr>
      </w:pPr>
      <w:r w:rsidRPr="009F7541">
        <w:rPr>
          <w:rFonts w:ascii="Times New Roman" w:eastAsia="Times New Roman" w:hAnsi="Times New Roman" w:cs="Times New Roman"/>
          <w:b/>
          <w:bCs/>
          <w:snapToGrid w:val="0"/>
          <w:szCs w:val="28"/>
          <w:lang w:eastAsia="x-none"/>
        </w:rPr>
        <w:t>Sunk</w:t>
      </w:r>
      <w:r w:rsidR="005E5ECA">
        <w:rPr>
          <w:rFonts w:ascii="Times New Roman" w:eastAsia="Times New Roman" w:hAnsi="Times New Roman" w:cs="Times New Roman"/>
          <w:b/>
          <w:bCs/>
          <w:snapToGrid w:val="0"/>
          <w:szCs w:val="28"/>
          <w:lang w:eastAsia="x-none"/>
        </w:rPr>
        <w:t>u</w:t>
      </w:r>
      <w:r w:rsidRPr="009F7541">
        <w:rPr>
          <w:rFonts w:ascii="Times New Roman" w:eastAsia="Times New Roman" w:hAnsi="Times New Roman" w:cs="Times New Roman"/>
          <w:b/>
          <w:bCs/>
          <w:snapToGrid w:val="0"/>
          <w:szCs w:val="28"/>
          <w:lang w:eastAsia="x-none"/>
        </w:rPr>
        <w:t>s šalutini</w:t>
      </w:r>
      <w:r w:rsidR="005E5ECA">
        <w:rPr>
          <w:rFonts w:ascii="Times New Roman" w:eastAsia="Times New Roman" w:hAnsi="Times New Roman" w:cs="Times New Roman"/>
          <w:b/>
          <w:bCs/>
          <w:snapToGrid w:val="0"/>
          <w:szCs w:val="28"/>
          <w:lang w:eastAsia="x-none"/>
        </w:rPr>
        <w:t>s</w:t>
      </w:r>
      <w:r w:rsidRPr="009F7541">
        <w:rPr>
          <w:rFonts w:ascii="Times New Roman" w:eastAsia="Times New Roman" w:hAnsi="Times New Roman" w:cs="Times New Roman"/>
          <w:b/>
          <w:bCs/>
          <w:snapToGrid w:val="0"/>
          <w:szCs w:val="28"/>
          <w:lang w:eastAsia="x-none"/>
        </w:rPr>
        <w:t xml:space="preserve"> poveiki</w:t>
      </w:r>
      <w:r w:rsidR="005E5ECA">
        <w:rPr>
          <w:rFonts w:ascii="Times New Roman" w:eastAsia="Times New Roman" w:hAnsi="Times New Roman" w:cs="Times New Roman"/>
          <w:b/>
          <w:bCs/>
          <w:snapToGrid w:val="0"/>
          <w:szCs w:val="28"/>
          <w:lang w:eastAsia="x-none"/>
        </w:rPr>
        <w:t>s</w:t>
      </w:r>
    </w:p>
    <w:p w14:paraId="1BDB5B8F" w14:textId="5C70BD6E" w:rsidR="000F77C3" w:rsidRDefault="000F77C3" w:rsidP="00A35A18">
      <w:pPr>
        <w:tabs>
          <w:tab w:val="left" w:pos="567"/>
        </w:tabs>
        <w:spacing w:after="0" w:line="240" w:lineRule="auto"/>
        <w:rPr>
          <w:rFonts w:ascii="Times New Roman" w:eastAsia="Times New Roman" w:hAnsi="Times New Roman" w:cs="Times New Roman"/>
          <w:snapToGrid w:val="0"/>
          <w:szCs w:val="28"/>
          <w:lang w:eastAsia="x-none"/>
        </w:rPr>
      </w:pPr>
      <w:r>
        <w:rPr>
          <w:rFonts w:ascii="Times New Roman" w:eastAsia="Times New Roman" w:hAnsi="Times New Roman" w:cs="Times New Roman"/>
          <w:snapToGrid w:val="0"/>
          <w:szCs w:val="28"/>
          <w:lang w:eastAsia="x-none"/>
        </w:rPr>
        <w:t>Pasakykite savo gydytojui, jei pasireikš bet kuris toliau paminėtas poveikis.</w:t>
      </w:r>
    </w:p>
    <w:p w14:paraId="6C201B32" w14:textId="77777777" w:rsidR="000F77C3" w:rsidRPr="000F77C3" w:rsidRDefault="000F77C3" w:rsidP="00A35A18">
      <w:pPr>
        <w:tabs>
          <w:tab w:val="left" w:pos="567"/>
        </w:tabs>
        <w:spacing w:after="0" w:line="240" w:lineRule="auto"/>
        <w:rPr>
          <w:rFonts w:ascii="Times New Roman" w:eastAsia="Times New Roman" w:hAnsi="Times New Roman" w:cs="Times New Roman"/>
          <w:snapToGrid w:val="0"/>
          <w:szCs w:val="28"/>
          <w:lang w:eastAsia="x-none"/>
        </w:rPr>
      </w:pPr>
    </w:p>
    <w:p w14:paraId="5FE4CD14" w14:textId="77777777" w:rsidR="00A35A18" w:rsidRPr="00633873"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Alerginės reakcijos</w:t>
      </w:r>
    </w:p>
    <w:p w14:paraId="679C6941" w14:textId="57EA254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Tai dažnas šalutinis poveikis, kuris gali pasireikšti </w:t>
      </w:r>
      <w:r w:rsidR="000B375D" w:rsidRPr="00633873">
        <w:rPr>
          <w:rFonts w:ascii="Times New Roman" w:eastAsia="Times New Roman" w:hAnsi="Times New Roman" w:cs="Times New Roman"/>
          <w:b/>
          <w:bCs/>
          <w:snapToGrid w:val="0"/>
          <w:szCs w:val="28"/>
          <w:lang w:eastAsia="x-none"/>
        </w:rPr>
        <w:t>rečiau</w:t>
      </w:r>
      <w:r w:rsidRPr="00633873">
        <w:rPr>
          <w:rFonts w:ascii="Times New Roman" w:eastAsia="Times New Roman" w:hAnsi="Times New Roman" w:cs="Times New Roman"/>
          <w:b/>
          <w:bCs/>
          <w:snapToGrid w:val="0"/>
          <w:szCs w:val="28"/>
          <w:lang w:eastAsia="x-none"/>
        </w:rPr>
        <w:t xml:space="preserve"> kaip </w:t>
      </w:r>
      <w:r w:rsidR="000F77C3">
        <w:rPr>
          <w:rFonts w:ascii="Times New Roman" w:eastAsia="Times New Roman" w:hAnsi="Times New Roman" w:cs="Times New Roman"/>
          <w:b/>
          <w:bCs/>
          <w:snapToGrid w:val="0"/>
          <w:szCs w:val="28"/>
          <w:lang w:eastAsia="x-none"/>
        </w:rPr>
        <w:t>1</w:t>
      </w:r>
      <w:r w:rsidR="000F77C3" w:rsidRPr="00633873">
        <w:rPr>
          <w:rFonts w:ascii="Times New Roman" w:eastAsia="Times New Roman" w:hAnsi="Times New Roman" w:cs="Times New Roman"/>
          <w:b/>
          <w:bCs/>
          <w:snapToGrid w:val="0"/>
          <w:szCs w:val="28"/>
          <w:lang w:eastAsia="x-none"/>
        </w:rPr>
        <w:t xml:space="preserve"> </w:t>
      </w:r>
      <w:r w:rsidRPr="00633873">
        <w:rPr>
          <w:rFonts w:ascii="Times New Roman" w:eastAsia="Times New Roman" w:hAnsi="Times New Roman" w:cs="Times New Roman"/>
          <w:b/>
          <w:bCs/>
          <w:snapToGrid w:val="0"/>
          <w:szCs w:val="28"/>
          <w:lang w:eastAsia="x-none"/>
        </w:rPr>
        <w:t>iš 10</w:t>
      </w:r>
      <w:r w:rsidRPr="00633873">
        <w:rPr>
          <w:rFonts w:ascii="Times New Roman" w:eastAsia="Times New Roman" w:hAnsi="Times New Roman" w:cs="Times New Roman"/>
          <w:snapToGrid w:val="0"/>
          <w:szCs w:val="28"/>
          <w:lang w:eastAsia="x-none"/>
        </w:rPr>
        <w:t xml:space="preserve"> </w:t>
      </w:r>
      <w:r w:rsidR="005E5ECA">
        <w:rPr>
          <w:rFonts w:ascii="Times New Roman" w:eastAsia="Times New Roman" w:hAnsi="Times New Roman" w:cs="Times New Roman"/>
          <w:snapToGrid w:val="0"/>
          <w:szCs w:val="28"/>
          <w:lang w:eastAsia="x-none"/>
        </w:rPr>
        <w:t>asmenų</w:t>
      </w:r>
      <w:r w:rsidRPr="00633873">
        <w:rPr>
          <w:rFonts w:ascii="Times New Roman" w:eastAsia="Times New Roman" w:hAnsi="Times New Roman" w:cs="Times New Roman"/>
          <w:snapToGrid w:val="0"/>
          <w:szCs w:val="28"/>
          <w:lang w:eastAsia="x-none"/>
        </w:rPr>
        <w:t>. Galite pastebėti išbėrimą, niežėjimą ir patinimą (paprastai veido, lūpų, liežuvio ar gerklės), kuris gali apsunkinti kvėpavimą ar rijimą.</w:t>
      </w:r>
    </w:p>
    <w:p w14:paraId="767EDF84"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7C51C349" w14:textId="77777777" w:rsidR="00A35A18" w:rsidRPr="00633873"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Patinimas (edema), ypač kulkšnių ir pėdų</w:t>
      </w:r>
    </w:p>
    <w:p w14:paraId="67BDBCEE" w14:textId="25492245"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Tai labai dažnas šalutinis poveikis, kuris gali pasireikšti </w:t>
      </w:r>
      <w:r w:rsidR="005E5ECA">
        <w:rPr>
          <w:rFonts w:ascii="Times New Roman" w:eastAsia="Times New Roman" w:hAnsi="Times New Roman" w:cs="Times New Roman"/>
          <w:b/>
          <w:bCs/>
          <w:snapToGrid w:val="0"/>
          <w:szCs w:val="28"/>
          <w:lang w:eastAsia="x-none"/>
        </w:rPr>
        <w:t>ne rečiau</w:t>
      </w:r>
      <w:r w:rsidR="005E5ECA" w:rsidRPr="00633873">
        <w:rPr>
          <w:rFonts w:ascii="Times New Roman" w:eastAsia="Times New Roman" w:hAnsi="Times New Roman" w:cs="Times New Roman"/>
          <w:b/>
          <w:bCs/>
          <w:snapToGrid w:val="0"/>
          <w:szCs w:val="28"/>
          <w:lang w:eastAsia="x-none"/>
        </w:rPr>
        <w:t xml:space="preserve"> </w:t>
      </w:r>
      <w:r w:rsidRPr="00633873">
        <w:rPr>
          <w:rFonts w:ascii="Times New Roman" w:eastAsia="Times New Roman" w:hAnsi="Times New Roman" w:cs="Times New Roman"/>
          <w:b/>
          <w:bCs/>
          <w:snapToGrid w:val="0"/>
          <w:szCs w:val="28"/>
          <w:lang w:eastAsia="x-none"/>
        </w:rPr>
        <w:t xml:space="preserve">kaip </w:t>
      </w:r>
      <w:r w:rsidR="000F77C3">
        <w:rPr>
          <w:rFonts w:ascii="Times New Roman" w:eastAsia="Times New Roman" w:hAnsi="Times New Roman" w:cs="Times New Roman"/>
          <w:b/>
          <w:bCs/>
          <w:snapToGrid w:val="0"/>
          <w:szCs w:val="28"/>
          <w:lang w:eastAsia="x-none"/>
        </w:rPr>
        <w:t>1</w:t>
      </w:r>
      <w:r w:rsidR="000F77C3" w:rsidRPr="00633873">
        <w:rPr>
          <w:rFonts w:ascii="Times New Roman" w:eastAsia="Times New Roman" w:hAnsi="Times New Roman" w:cs="Times New Roman"/>
          <w:b/>
          <w:bCs/>
          <w:snapToGrid w:val="0"/>
          <w:szCs w:val="28"/>
          <w:lang w:eastAsia="x-none"/>
        </w:rPr>
        <w:t xml:space="preserve"> </w:t>
      </w:r>
      <w:r w:rsidRPr="00633873">
        <w:rPr>
          <w:rFonts w:ascii="Times New Roman" w:eastAsia="Times New Roman" w:hAnsi="Times New Roman" w:cs="Times New Roman"/>
          <w:b/>
          <w:bCs/>
          <w:snapToGrid w:val="0"/>
          <w:szCs w:val="28"/>
          <w:lang w:eastAsia="x-none"/>
        </w:rPr>
        <w:t>iš 10</w:t>
      </w:r>
      <w:r w:rsidRPr="00633873">
        <w:rPr>
          <w:rFonts w:ascii="Times New Roman" w:eastAsia="Times New Roman" w:hAnsi="Times New Roman" w:cs="Times New Roman"/>
          <w:snapToGrid w:val="0"/>
          <w:szCs w:val="28"/>
          <w:lang w:eastAsia="x-none"/>
        </w:rPr>
        <w:t xml:space="preserve"> </w:t>
      </w:r>
      <w:r w:rsidR="005E5ECA">
        <w:rPr>
          <w:rFonts w:ascii="Times New Roman" w:eastAsia="Times New Roman" w:hAnsi="Times New Roman" w:cs="Times New Roman"/>
          <w:snapToGrid w:val="0"/>
          <w:szCs w:val="28"/>
          <w:lang w:eastAsia="x-none"/>
        </w:rPr>
        <w:t>asmenų</w:t>
      </w:r>
      <w:r w:rsidRPr="00633873">
        <w:rPr>
          <w:rFonts w:ascii="Times New Roman" w:eastAsia="Times New Roman" w:hAnsi="Times New Roman" w:cs="Times New Roman"/>
          <w:snapToGrid w:val="0"/>
          <w:szCs w:val="28"/>
          <w:lang w:eastAsia="x-none"/>
        </w:rPr>
        <w:t>.</w:t>
      </w:r>
    </w:p>
    <w:p w14:paraId="7505E893"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7EB841BD" w14:textId="77777777" w:rsidR="00A35A18" w:rsidRPr="00633873"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Širdies nepakankamumas</w:t>
      </w:r>
    </w:p>
    <w:p w14:paraId="7DBEF70D" w14:textId="58CFF0B2"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Jis pasireiškia tada, kai širdis nepajėgia išstumti pakankamai kraujo</w:t>
      </w:r>
      <w:r w:rsidR="00E71C1A">
        <w:rPr>
          <w:rFonts w:ascii="Times New Roman" w:eastAsia="Times New Roman" w:hAnsi="Times New Roman" w:cs="Times New Roman"/>
          <w:snapToGrid w:val="0"/>
          <w:szCs w:val="28"/>
          <w:lang w:eastAsia="x-none"/>
        </w:rPr>
        <w:t>.</w:t>
      </w:r>
      <w:r w:rsidRPr="00633873">
        <w:rPr>
          <w:rFonts w:ascii="Times New Roman" w:eastAsia="Times New Roman" w:hAnsi="Times New Roman" w:cs="Times New Roman"/>
          <w:snapToGrid w:val="0"/>
          <w:szCs w:val="28"/>
          <w:lang w:eastAsia="x-none"/>
        </w:rPr>
        <w:t xml:space="preserve"> </w:t>
      </w:r>
      <w:r w:rsidR="00E71C1A" w:rsidRPr="00633873">
        <w:rPr>
          <w:rFonts w:ascii="Times New Roman" w:eastAsia="Times New Roman" w:hAnsi="Times New Roman" w:cs="Times New Roman"/>
          <w:snapToGrid w:val="0"/>
          <w:szCs w:val="28"/>
          <w:lang w:eastAsia="x-none"/>
        </w:rPr>
        <w:t xml:space="preserve">Tai dažnas šalutinis poveikis, kuris gali pasireikšti </w:t>
      </w:r>
      <w:r w:rsidR="00E71C1A" w:rsidRPr="00633873">
        <w:rPr>
          <w:rFonts w:ascii="Times New Roman" w:eastAsia="Times New Roman" w:hAnsi="Times New Roman" w:cs="Times New Roman"/>
          <w:b/>
          <w:bCs/>
          <w:snapToGrid w:val="0"/>
          <w:szCs w:val="28"/>
          <w:lang w:eastAsia="x-none"/>
        </w:rPr>
        <w:t xml:space="preserve">rečiau kaip </w:t>
      </w:r>
      <w:r w:rsidR="00E71C1A">
        <w:rPr>
          <w:rFonts w:ascii="Times New Roman" w:eastAsia="Times New Roman" w:hAnsi="Times New Roman" w:cs="Times New Roman"/>
          <w:b/>
          <w:bCs/>
          <w:snapToGrid w:val="0"/>
          <w:szCs w:val="28"/>
          <w:lang w:eastAsia="x-none"/>
        </w:rPr>
        <w:t>1</w:t>
      </w:r>
      <w:r w:rsidR="00E71C1A" w:rsidRPr="00633873">
        <w:rPr>
          <w:rFonts w:ascii="Times New Roman" w:eastAsia="Times New Roman" w:hAnsi="Times New Roman" w:cs="Times New Roman"/>
          <w:b/>
          <w:bCs/>
          <w:snapToGrid w:val="0"/>
          <w:szCs w:val="28"/>
          <w:lang w:eastAsia="x-none"/>
        </w:rPr>
        <w:t xml:space="preserve"> iš 10</w:t>
      </w:r>
      <w:r w:rsidR="00E71C1A" w:rsidRPr="00633873">
        <w:rPr>
          <w:rFonts w:ascii="Times New Roman" w:eastAsia="Times New Roman" w:hAnsi="Times New Roman" w:cs="Times New Roman"/>
          <w:snapToGrid w:val="0"/>
          <w:szCs w:val="28"/>
          <w:lang w:eastAsia="x-none"/>
        </w:rPr>
        <w:t xml:space="preserve"> </w:t>
      </w:r>
      <w:r w:rsidR="00E71C1A">
        <w:rPr>
          <w:rFonts w:ascii="Times New Roman" w:eastAsia="Times New Roman" w:hAnsi="Times New Roman" w:cs="Times New Roman"/>
          <w:snapToGrid w:val="0"/>
          <w:szCs w:val="28"/>
          <w:lang w:eastAsia="x-none"/>
        </w:rPr>
        <w:t>asmenų</w:t>
      </w:r>
      <w:r w:rsidR="00E71C1A" w:rsidRPr="00633873">
        <w:rPr>
          <w:rFonts w:ascii="Times New Roman" w:eastAsia="Times New Roman" w:hAnsi="Times New Roman" w:cs="Times New Roman"/>
          <w:snapToGrid w:val="0"/>
          <w:szCs w:val="28"/>
          <w:lang w:eastAsia="x-none"/>
        </w:rPr>
        <w:t>.</w:t>
      </w:r>
      <w:r w:rsidR="00E71C1A">
        <w:rPr>
          <w:rFonts w:ascii="Times New Roman" w:eastAsia="Times New Roman" w:hAnsi="Times New Roman" w:cs="Times New Roman"/>
          <w:snapToGrid w:val="0"/>
          <w:szCs w:val="28"/>
          <w:lang w:eastAsia="x-none"/>
        </w:rPr>
        <w:t xml:space="preserve"> Galimi simptomai:</w:t>
      </w:r>
      <w:r w:rsidRPr="00633873">
        <w:rPr>
          <w:rFonts w:ascii="Times New Roman" w:eastAsia="Times New Roman" w:hAnsi="Times New Roman" w:cs="Times New Roman"/>
          <w:snapToGrid w:val="0"/>
          <w:szCs w:val="28"/>
          <w:lang w:eastAsia="x-none"/>
        </w:rPr>
        <w:t xml:space="preserve"> dusulys, labai </w:t>
      </w:r>
      <w:r w:rsidR="000B375D" w:rsidRPr="00633873">
        <w:rPr>
          <w:rFonts w:ascii="Times New Roman" w:eastAsia="Times New Roman" w:hAnsi="Times New Roman" w:cs="Times New Roman"/>
          <w:snapToGrid w:val="0"/>
          <w:szCs w:val="28"/>
          <w:lang w:eastAsia="x-none"/>
        </w:rPr>
        <w:t>didelis</w:t>
      </w:r>
      <w:r w:rsidRPr="00633873">
        <w:rPr>
          <w:rFonts w:ascii="Times New Roman" w:eastAsia="Times New Roman" w:hAnsi="Times New Roman" w:cs="Times New Roman"/>
          <w:snapToGrid w:val="0"/>
          <w:szCs w:val="28"/>
          <w:lang w:eastAsia="x-none"/>
        </w:rPr>
        <w:t xml:space="preserve"> nuovargis bei kulkšnių ir </w:t>
      </w:r>
      <w:r w:rsidR="000B375D" w:rsidRPr="00633873">
        <w:rPr>
          <w:rFonts w:ascii="Times New Roman" w:eastAsia="Times New Roman" w:hAnsi="Times New Roman" w:cs="Times New Roman"/>
          <w:snapToGrid w:val="0"/>
          <w:szCs w:val="28"/>
          <w:lang w:eastAsia="x-none"/>
        </w:rPr>
        <w:t>pėdų</w:t>
      </w:r>
      <w:r w:rsidRPr="00633873">
        <w:rPr>
          <w:rFonts w:ascii="Times New Roman" w:eastAsia="Times New Roman" w:hAnsi="Times New Roman" w:cs="Times New Roman"/>
          <w:snapToGrid w:val="0"/>
          <w:szCs w:val="28"/>
          <w:lang w:eastAsia="x-none"/>
        </w:rPr>
        <w:t xml:space="preserve"> patinimas. </w:t>
      </w:r>
    </w:p>
    <w:p w14:paraId="2218B69E"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29229FD8" w14:textId="4A56665D" w:rsidR="00A35A18" w:rsidRPr="00E71C1A" w:rsidRDefault="00E71C1A" w:rsidP="00A35A18">
      <w:pPr>
        <w:tabs>
          <w:tab w:val="left" w:pos="567"/>
        </w:tabs>
        <w:spacing w:after="0" w:line="240" w:lineRule="auto"/>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 xml:space="preserve">Sumažėjęs </w:t>
      </w:r>
      <w:r w:rsidR="00A35A18" w:rsidRPr="00633873">
        <w:rPr>
          <w:rFonts w:ascii="Times New Roman" w:eastAsia="Times New Roman" w:hAnsi="Times New Roman" w:cs="Times New Roman"/>
          <w:b/>
          <w:bCs/>
          <w:snapToGrid w:val="0"/>
          <w:szCs w:val="28"/>
          <w:lang w:eastAsia="x-none"/>
        </w:rPr>
        <w:t>raudonųjų kraujo ląstelių kieki</w:t>
      </w:r>
      <w:r>
        <w:rPr>
          <w:rFonts w:ascii="Times New Roman" w:eastAsia="Times New Roman" w:hAnsi="Times New Roman" w:cs="Times New Roman"/>
          <w:b/>
          <w:bCs/>
          <w:snapToGrid w:val="0"/>
          <w:szCs w:val="28"/>
          <w:lang w:eastAsia="x-none"/>
        </w:rPr>
        <w:t>s (</w:t>
      </w:r>
      <w:r>
        <w:rPr>
          <w:rFonts w:ascii="Times New Roman" w:eastAsia="Times New Roman" w:hAnsi="Times New Roman" w:cs="Times New Roman"/>
          <w:b/>
          <w:bCs/>
          <w:i/>
          <w:iCs/>
          <w:snapToGrid w:val="0"/>
          <w:szCs w:val="28"/>
          <w:lang w:eastAsia="x-none"/>
        </w:rPr>
        <w:t>mažakraujystė</w:t>
      </w:r>
      <w:r>
        <w:rPr>
          <w:rFonts w:ascii="Times New Roman" w:eastAsia="Times New Roman" w:hAnsi="Times New Roman" w:cs="Times New Roman"/>
          <w:b/>
          <w:bCs/>
          <w:snapToGrid w:val="0"/>
          <w:szCs w:val="28"/>
          <w:lang w:eastAsia="x-none"/>
        </w:rPr>
        <w:t>)</w:t>
      </w:r>
    </w:p>
    <w:p w14:paraId="305AF025" w14:textId="6893B3F4"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Tai labai dažnas šalutinis poveikis, kuris gali pasireikšti </w:t>
      </w:r>
      <w:r w:rsidR="005E5ECA">
        <w:rPr>
          <w:rFonts w:ascii="Times New Roman" w:eastAsia="Times New Roman" w:hAnsi="Times New Roman" w:cs="Times New Roman"/>
          <w:b/>
          <w:bCs/>
          <w:snapToGrid w:val="0"/>
          <w:szCs w:val="28"/>
          <w:lang w:eastAsia="x-none"/>
        </w:rPr>
        <w:t>ne rečiau</w:t>
      </w:r>
      <w:r w:rsidR="005E5ECA" w:rsidRPr="00633873">
        <w:rPr>
          <w:rFonts w:ascii="Times New Roman" w:eastAsia="Times New Roman" w:hAnsi="Times New Roman" w:cs="Times New Roman"/>
          <w:b/>
          <w:bCs/>
          <w:snapToGrid w:val="0"/>
          <w:szCs w:val="28"/>
          <w:lang w:eastAsia="x-none"/>
        </w:rPr>
        <w:t xml:space="preserve"> </w:t>
      </w:r>
      <w:r w:rsidRPr="00633873">
        <w:rPr>
          <w:rFonts w:ascii="Times New Roman" w:eastAsia="Times New Roman" w:hAnsi="Times New Roman" w:cs="Times New Roman"/>
          <w:b/>
          <w:bCs/>
          <w:snapToGrid w:val="0"/>
          <w:szCs w:val="28"/>
          <w:lang w:eastAsia="x-none"/>
        </w:rPr>
        <w:t xml:space="preserve">kaip </w:t>
      </w:r>
      <w:r w:rsidR="000F77C3">
        <w:rPr>
          <w:rFonts w:ascii="Times New Roman" w:eastAsia="Times New Roman" w:hAnsi="Times New Roman" w:cs="Times New Roman"/>
          <w:b/>
          <w:bCs/>
          <w:snapToGrid w:val="0"/>
          <w:szCs w:val="28"/>
          <w:lang w:eastAsia="x-none"/>
        </w:rPr>
        <w:t>1</w:t>
      </w:r>
      <w:r w:rsidR="000F77C3" w:rsidRPr="00633873">
        <w:rPr>
          <w:rFonts w:ascii="Times New Roman" w:eastAsia="Times New Roman" w:hAnsi="Times New Roman" w:cs="Times New Roman"/>
          <w:b/>
          <w:bCs/>
          <w:snapToGrid w:val="0"/>
          <w:szCs w:val="28"/>
          <w:lang w:eastAsia="x-none"/>
        </w:rPr>
        <w:t xml:space="preserve"> </w:t>
      </w:r>
      <w:r w:rsidRPr="00633873">
        <w:rPr>
          <w:rFonts w:ascii="Times New Roman" w:eastAsia="Times New Roman" w:hAnsi="Times New Roman" w:cs="Times New Roman"/>
          <w:b/>
          <w:bCs/>
          <w:snapToGrid w:val="0"/>
          <w:szCs w:val="28"/>
          <w:lang w:eastAsia="x-none"/>
        </w:rPr>
        <w:t>iš 10</w:t>
      </w:r>
      <w:r w:rsidRPr="00633873">
        <w:rPr>
          <w:rFonts w:ascii="Times New Roman" w:eastAsia="Times New Roman" w:hAnsi="Times New Roman" w:cs="Times New Roman"/>
          <w:snapToGrid w:val="0"/>
          <w:szCs w:val="28"/>
          <w:lang w:eastAsia="x-none"/>
        </w:rPr>
        <w:t xml:space="preserve"> </w:t>
      </w:r>
      <w:r w:rsidR="005E5ECA">
        <w:rPr>
          <w:rFonts w:ascii="Times New Roman" w:eastAsia="Times New Roman" w:hAnsi="Times New Roman" w:cs="Times New Roman"/>
          <w:snapToGrid w:val="0"/>
          <w:szCs w:val="28"/>
          <w:lang w:eastAsia="x-none"/>
        </w:rPr>
        <w:t>asmenų</w:t>
      </w:r>
      <w:r w:rsidRPr="00633873">
        <w:rPr>
          <w:rFonts w:ascii="Times New Roman" w:eastAsia="Times New Roman" w:hAnsi="Times New Roman" w:cs="Times New Roman"/>
          <w:snapToGrid w:val="0"/>
          <w:szCs w:val="28"/>
          <w:lang w:eastAsia="x-none"/>
        </w:rPr>
        <w:t>.</w:t>
      </w:r>
      <w:r w:rsidR="00E71C1A" w:rsidRPr="00E71C1A">
        <w:rPr>
          <w:rFonts w:ascii="Times New Roman" w:eastAsia="Times New Roman" w:hAnsi="Times New Roman" w:cs="Times New Roman"/>
          <w:snapToGrid w:val="0"/>
          <w:szCs w:val="28"/>
          <w:lang w:eastAsia="x-none"/>
        </w:rPr>
        <w:t xml:space="preserve"> </w:t>
      </w:r>
      <w:r w:rsidR="00E71C1A" w:rsidRPr="00633873">
        <w:rPr>
          <w:rFonts w:ascii="Times New Roman" w:eastAsia="Times New Roman" w:hAnsi="Times New Roman" w:cs="Times New Roman"/>
          <w:snapToGrid w:val="0"/>
          <w:szCs w:val="28"/>
          <w:lang w:eastAsia="x-none"/>
        </w:rPr>
        <w:t>Kartais prireikia kraujo perpylimo.</w:t>
      </w:r>
      <w:r w:rsidR="00E71C1A" w:rsidRPr="00E71C1A">
        <w:rPr>
          <w:rFonts w:ascii="Times New Roman" w:eastAsia="Times New Roman" w:hAnsi="Times New Roman" w:cs="Times New Roman"/>
          <w:snapToGrid w:val="0"/>
          <w:szCs w:val="28"/>
          <w:lang w:eastAsia="x-none"/>
        </w:rPr>
        <w:t xml:space="preserve"> </w:t>
      </w:r>
      <w:r w:rsidR="00E71C1A">
        <w:rPr>
          <w:rFonts w:ascii="Times New Roman" w:eastAsia="Times New Roman" w:hAnsi="Times New Roman" w:cs="Times New Roman"/>
          <w:snapToGrid w:val="0"/>
          <w:szCs w:val="28"/>
          <w:lang w:eastAsia="x-none"/>
        </w:rPr>
        <w:t xml:space="preserve">Galimi simptomai: </w:t>
      </w:r>
      <w:r w:rsidR="00E71C1A" w:rsidRPr="00633873">
        <w:rPr>
          <w:rFonts w:ascii="Times New Roman" w:eastAsia="Times New Roman" w:hAnsi="Times New Roman" w:cs="Times New Roman"/>
          <w:snapToGrid w:val="0"/>
          <w:szCs w:val="28"/>
          <w:lang w:eastAsia="x-none"/>
        </w:rPr>
        <w:t>nuovargis</w:t>
      </w:r>
      <w:r w:rsidR="00E71C1A">
        <w:rPr>
          <w:rFonts w:ascii="Times New Roman" w:eastAsia="Times New Roman" w:hAnsi="Times New Roman" w:cs="Times New Roman"/>
          <w:snapToGrid w:val="0"/>
          <w:szCs w:val="28"/>
          <w:lang w:eastAsia="x-none"/>
        </w:rPr>
        <w:t xml:space="preserve"> ir</w:t>
      </w:r>
      <w:r w:rsidR="00E71C1A" w:rsidRPr="00633873">
        <w:rPr>
          <w:rFonts w:ascii="Times New Roman" w:eastAsia="Times New Roman" w:hAnsi="Times New Roman" w:cs="Times New Roman"/>
          <w:snapToGrid w:val="0"/>
          <w:szCs w:val="28"/>
          <w:lang w:eastAsia="x-none"/>
        </w:rPr>
        <w:t xml:space="preserve"> silpnumas, dusulys ir bloga bendroji savijauta.</w:t>
      </w:r>
    </w:p>
    <w:p w14:paraId="2BBB8AA4"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54C28F31" w14:textId="6F7A5E7C" w:rsidR="00A35A18" w:rsidRPr="00633873" w:rsidRDefault="00E71C1A" w:rsidP="00A35A18">
      <w:pPr>
        <w:tabs>
          <w:tab w:val="left" w:pos="567"/>
        </w:tabs>
        <w:spacing w:after="0" w:line="240" w:lineRule="auto"/>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M</w:t>
      </w:r>
      <w:r w:rsidR="00A35A18" w:rsidRPr="00633873">
        <w:rPr>
          <w:rFonts w:ascii="Times New Roman" w:eastAsia="Times New Roman" w:hAnsi="Times New Roman" w:cs="Times New Roman"/>
          <w:b/>
          <w:bCs/>
          <w:snapToGrid w:val="0"/>
          <w:szCs w:val="28"/>
          <w:lang w:eastAsia="x-none"/>
        </w:rPr>
        <w:t>ažas kraujospūdis</w:t>
      </w:r>
      <w:r>
        <w:rPr>
          <w:rFonts w:ascii="Times New Roman" w:eastAsia="Times New Roman" w:hAnsi="Times New Roman" w:cs="Times New Roman"/>
          <w:b/>
          <w:bCs/>
          <w:snapToGrid w:val="0"/>
          <w:szCs w:val="28"/>
          <w:lang w:eastAsia="x-none"/>
        </w:rPr>
        <w:t xml:space="preserve"> (</w:t>
      </w:r>
      <w:proofErr w:type="spellStart"/>
      <w:r>
        <w:rPr>
          <w:rFonts w:ascii="Times New Roman" w:eastAsia="Times New Roman" w:hAnsi="Times New Roman" w:cs="Times New Roman"/>
          <w:b/>
          <w:bCs/>
          <w:i/>
          <w:iCs/>
          <w:snapToGrid w:val="0"/>
          <w:szCs w:val="28"/>
          <w:lang w:eastAsia="x-none"/>
        </w:rPr>
        <w:t>hipotenzija</w:t>
      </w:r>
      <w:proofErr w:type="spellEnd"/>
      <w:r w:rsidR="00A35A18" w:rsidRPr="00633873">
        <w:rPr>
          <w:rFonts w:ascii="Times New Roman" w:eastAsia="Times New Roman" w:hAnsi="Times New Roman" w:cs="Times New Roman"/>
          <w:b/>
          <w:bCs/>
          <w:snapToGrid w:val="0"/>
          <w:szCs w:val="28"/>
          <w:lang w:eastAsia="x-none"/>
        </w:rPr>
        <w:t>)</w:t>
      </w:r>
    </w:p>
    <w:p w14:paraId="46FC2DEE" w14:textId="1BA12808"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Tai dažnas šalutinis poveikis, kuris gali pasireikšti </w:t>
      </w:r>
      <w:r w:rsidR="000B375D" w:rsidRPr="00633873">
        <w:rPr>
          <w:rFonts w:ascii="Times New Roman" w:eastAsia="Times New Roman" w:hAnsi="Times New Roman" w:cs="Times New Roman"/>
          <w:b/>
          <w:bCs/>
          <w:snapToGrid w:val="0"/>
          <w:szCs w:val="28"/>
          <w:lang w:eastAsia="x-none"/>
        </w:rPr>
        <w:t>rečiau</w:t>
      </w:r>
      <w:r w:rsidRPr="00633873">
        <w:rPr>
          <w:rFonts w:ascii="Times New Roman" w:eastAsia="Times New Roman" w:hAnsi="Times New Roman" w:cs="Times New Roman"/>
          <w:b/>
          <w:bCs/>
          <w:snapToGrid w:val="0"/>
          <w:szCs w:val="28"/>
          <w:lang w:eastAsia="x-none"/>
        </w:rPr>
        <w:t xml:space="preserve"> kaip </w:t>
      </w:r>
      <w:r w:rsidR="000F77C3">
        <w:rPr>
          <w:rFonts w:ascii="Times New Roman" w:eastAsia="Times New Roman" w:hAnsi="Times New Roman" w:cs="Times New Roman"/>
          <w:b/>
          <w:bCs/>
          <w:snapToGrid w:val="0"/>
          <w:szCs w:val="28"/>
          <w:lang w:eastAsia="x-none"/>
        </w:rPr>
        <w:t>1</w:t>
      </w:r>
      <w:r w:rsidR="000F77C3" w:rsidRPr="00633873">
        <w:rPr>
          <w:rFonts w:ascii="Times New Roman" w:eastAsia="Times New Roman" w:hAnsi="Times New Roman" w:cs="Times New Roman"/>
          <w:b/>
          <w:bCs/>
          <w:snapToGrid w:val="0"/>
          <w:szCs w:val="28"/>
          <w:lang w:eastAsia="x-none"/>
        </w:rPr>
        <w:t xml:space="preserve"> </w:t>
      </w:r>
      <w:r w:rsidRPr="00633873">
        <w:rPr>
          <w:rFonts w:ascii="Times New Roman" w:eastAsia="Times New Roman" w:hAnsi="Times New Roman" w:cs="Times New Roman"/>
          <w:b/>
          <w:bCs/>
          <w:snapToGrid w:val="0"/>
          <w:szCs w:val="28"/>
          <w:lang w:eastAsia="x-none"/>
        </w:rPr>
        <w:t xml:space="preserve">iš 10 </w:t>
      </w:r>
      <w:r w:rsidRPr="00633873">
        <w:rPr>
          <w:rFonts w:ascii="Times New Roman" w:eastAsia="Times New Roman" w:hAnsi="Times New Roman" w:cs="Times New Roman"/>
          <w:snapToGrid w:val="0"/>
          <w:szCs w:val="28"/>
          <w:lang w:eastAsia="x-none"/>
        </w:rPr>
        <w:t>žmonių.</w:t>
      </w:r>
      <w:r w:rsidR="00E71C1A">
        <w:rPr>
          <w:rFonts w:ascii="Times New Roman" w:eastAsia="Times New Roman" w:hAnsi="Times New Roman" w:cs="Times New Roman"/>
          <w:snapToGrid w:val="0"/>
          <w:szCs w:val="28"/>
          <w:lang w:eastAsia="x-none"/>
        </w:rPr>
        <w:t xml:space="preserve"> Galimi simptomai: svaigulys.</w:t>
      </w:r>
    </w:p>
    <w:p w14:paraId="537AE936"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2D51B015" w14:textId="7546E6D4"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b/>
          <w:bCs/>
          <w:snapToGrid w:val="0"/>
          <w:szCs w:val="28"/>
          <w:lang w:eastAsia="x-none"/>
        </w:rPr>
        <w:t>→ Nedelsdami praneškite gydytojui</w:t>
      </w:r>
      <w:r w:rsidRPr="00633873">
        <w:rPr>
          <w:rFonts w:ascii="Times New Roman" w:eastAsia="Times New Roman" w:hAnsi="Times New Roman" w:cs="Times New Roman"/>
          <w:snapToGrid w:val="0"/>
          <w:szCs w:val="28"/>
          <w:lang w:eastAsia="x-none"/>
        </w:rPr>
        <w:t xml:space="preserve">, jei </w:t>
      </w:r>
      <w:r w:rsidR="000F77C3">
        <w:rPr>
          <w:rFonts w:ascii="Times New Roman" w:eastAsia="Times New Roman" w:hAnsi="Times New Roman" w:cs="Times New Roman"/>
          <w:snapToGrid w:val="0"/>
          <w:szCs w:val="28"/>
          <w:lang w:eastAsia="x-none"/>
        </w:rPr>
        <w:t xml:space="preserve">Jums (ar Jūsų vaikui) </w:t>
      </w:r>
      <w:r w:rsidRPr="00633873">
        <w:rPr>
          <w:rFonts w:ascii="Times New Roman" w:eastAsia="Times New Roman" w:hAnsi="Times New Roman" w:cs="Times New Roman"/>
          <w:snapToGrid w:val="0"/>
          <w:szCs w:val="28"/>
          <w:lang w:eastAsia="x-none"/>
        </w:rPr>
        <w:t xml:space="preserve">pasireiškė toks poveikis, ypač jeigu jis </w:t>
      </w:r>
      <w:r w:rsidR="001D31E3" w:rsidRPr="00633873">
        <w:rPr>
          <w:rFonts w:ascii="Times New Roman" w:eastAsia="Times New Roman" w:hAnsi="Times New Roman" w:cs="Times New Roman"/>
          <w:snapToGrid w:val="0"/>
          <w:szCs w:val="28"/>
          <w:lang w:eastAsia="x-none"/>
        </w:rPr>
        <w:t>atsirado</w:t>
      </w:r>
      <w:r w:rsidRPr="00633873">
        <w:rPr>
          <w:rFonts w:ascii="Times New Roman" w:eastAsia="Times New Roman" w:hAnsi="Times New Roman" w:cs="Times New Roman"/>
          <w:snapToGrid w:val="0"/>
          <w:szCs w:val="28"/>
          <w:lang w:eastAsia="x-none"/>
        </w:rPr>
        <w:t xml:space="preserve"> staiga po </w:t>
      </w:r>
      <w:proofErr w:type="spellStart"/>
      <w:r w:rsidRPr="00633873">
        <w:rPr>
          <w:rFonts w:ascii="Times New Roman" w:eastAsia="Times New Roman" w:hAnsi="Times New Roman" w:cs="Times New Roman"/>
          <w:snapToGrid w:val="0"/>
          <w:szCs w:val="28"/>
          <w:lang w:eastAsia="x-none"/>
        </w:rPr>
        <w:t>Ambrisentan</w:t>
      </w:r>
      <w:proofErr w:type="spellEnd"/>
      <w:r w:rsidRPr="00633873">
        <w:rPr>
          <w:rFonts w:ascii="Times New Roman" w:eastAsia="Times New Roman" w:hAnsi="Times New Roman" w:cs="Times New Roman"/>
          <w:snapToGrid w:val="0"/>
          <w:szCs w:val="28"/>
          <w:lang w:eastAsia="x-none"/>
        </w:rPr>
        <w:t xml:space="preserve"> </w:t>
      </w:r>
      <w:proofErr w:type="spellStart"/>
      <w:r w:rsidR="00E62DAA" w:rsidRPr="00633873">
        <w:rPr>
          <w:rFonts w:ascii="Times New Roman" w:eastAsia="Times New Roman" w:hAnsi="Times New Roman" w:cs="Times New Roman"/>
          <w:snapToGrid w:val="0"/>
          <w:szCs w:val="28"/>
          <w:lang w:eastAsia="x-none"/>
        </w:rPr>
        <w:t>Zentiva</w:t>
      </w:r>
      <w:proofErr w:type="spellEnd"/>
      <w:r w:rsidRPr="00633873">
        <w:rPr>
          <w:rFonts w:ascii="Times New Roman" w:eastAsia="Times New Roman" w:hAnsi="Times New Roman" w:cs="Times New Roman"/>
          <w:snapToGrid w:val="0"/>
          <w:szCs w:val="28"/>
          <w:lang w:eastAsia="x-none"/>
        </w:rPr>
        <w:t xml:space="preserve"> </w:t>
      </w:r>
      <w:r w:rsidR="001D31E3" w:rsidRPr="00633873">
        <w:rPr>
          <w:rFonts w:ascii="Times New Roman" w:eastAsia="Times New Roman" w:hAnsi="Times New Roman" w:cs="Times New Roman"/>
          <w:snapToGrid w:val="0"/>
          <w:szCs w:val="28"/>
          <w:lang w:eastAsia="x-none"/>
        </w:rPr>
        <w:t>pavartojimo</w:t>
      </w:r>
      <w:r w:rsidRPr="00633873">
        <w:rPr>
          <w:rFonts w:ascii="Times New Roman" w:eastAsia="Times New Roman" w:hAnsi="Times New Roman" w:cs="Times New Roman"/>
          <w:snapToGrid w:val="0"/>
          <w:szCs w:val="28"/>
          <w:lang w:eastAsia="x-none"/>
        </w:rPr>
        <w:t>.</w:t>
      </w:r>
    </w:p>
    <w:p w14:paraId="31DCEBF3"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03548659" w14:textId="40BF3854"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b/>
          <w:bCs/>
          <w:snapToGrid w:val="0"/>
          <w:szCs w:val="28"/>
          <w:lang w:eastAsia="x-none"/>
        </w:rPr>
        <w:t>Svarbu reguliariai atlikti kraujo tyrimus</w:t>
      </w:r>
      <w:r w:rsidRPr="00633873">
        <w:rPr>
          <w:rFonts w:ascii="Times New Roman" w:eastAsia="Times New Roman" w:hAnsi="Times New Roman" w:cs="Times New Roman"/>
          <w:snapToGrid w:val="0"/>
          <w:szCs w:val="28"/>
          <w:lang w:eastAsia="x-none"/>
        </w:rPr>
        <w:t xml:space="preserve">, kad būtų galima stebėti, ar nepasireiškia mažakraujystė ir ar tinkamai veikia Jūsų kepenys. </w:t>
      </w:r>
      <w:r w:rsidRPr="00633873">
        <w:rPr>
          <w:rFonts w:ascii="Times New Roman" w:eastAsia="Times New Roman" w:hAnsi="Times New Roman" w:cs="Times New Roman"/>
          <w:b/>
          <w:bCs/>
          <w:snapToGrid w:val="0"/>
          <w:szCs w:val="28"/>
          <w:lang w:eastAsia="x-none"/>
        </w:rPr>
        <w:t>Būtinai perskaitykite informaciją, esančią 2</w:t>
      </w:r>
      <w:r w:rsidR="002D3ECE" w:rsidRPr="00633873">
        <w:rPr>
          <w:rFonts w:ascii="Times New Roman" w:eastAsia="Times New Roman" w:hAnsi="Times New Roman" w:cs="Times New Roman"/>
          <w:b/>
          <w:bCs/>
          <w:snapToGrid w:val="0"/>
          <w:szCs w:val="28"/>
          <w:lang w:eastAsia="x-none"/>
        </w:rPr>
        <w:t> skyri</w:t>
      </w:r>
      <w:r w:rsidR="000B375D" w:rsidRPr="00633873">
        <w:rPr>
          <w:rFonts w:ascii="Times New Roman" w:eastAsia="Times New Roman" w:hAnsi="Times New Roman" w:cs="Times New Roman"/>
          <w:b/>
          <w:bCs/>
          <w:snapToGrid w:val="0"/>
          <w:szCs w:val="28"/>
          <w:lang w:eastAsia="x-none"/>
        </w:rPr>
        <w:t>uje poskyriuose</w:t>
      </w:r>
      <w:r w:rsidRPr="00633873">
        <w:rPr>
          <w:rFonts w:ascii="Times New Roman" w:eastAsia="Times New Roman" w:hAnsi="Times New Roman" w:cs="Times New Roman"/>
          <w:snapToGrid w:val="0"/>
          <w:szCs w:val="28"/>
          <w:lang w:eastAsia="x-none"/>
        </w:rPr>
        <w:t xml:space="preserve"> „Jums reikės reguliariai tirti kraują“ ir „</w:t>
      </w:r>
      <w:r w:rsidRPr="00633873">
        <w:rPr>
          <w:rFonts w:ascii="Times New Roman" w:eastAsia="Times New Roman" w:hAnsi="Times New Roman" w:cs="Times New Roman"/>
          <w:snapToGrid w:val="0"/>
          <w:szCs w:val="24"/>
        </w:rPr>
        <w:t>Galimi kepenų veiklos sutrikimo požymiai yra</w:t>
      </w:r>
      <w:r w:rsidRPr="00633873">
        <w:rPr>
          <w:rFonts w:ascii="Times New Roman" w:eastAsia="Times New Roman" w:hAnsi="Times New Roman" w:cs="Times New Roman"/>
          <w:snapToGrid w:val="0"/>
          <w:szCs w:val="28"/>
          <w:lang w:eastAsia="x-none"/>
        </w:rPr>
        <w:t>“.</w:t>
      </w:r>
    </w:p>
    <w:p w14:paraId="5CB2B93B"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4F78EF6A" w14:textId="58A0A66A" w:rsidR="00A35A18" w:rsidRPr="00633873"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Kit</w:t>
      </w:r>
      <w:r w:rsidR="000F77C3">
        <w:rPr>
          <w:rFonts w:ascii="Times New Roman" w:eastAsia="Times New Roman" w:hAnsi="Times New Roman" w:cs="Times New Roman"/>
          <w:b/>
          <w:bCs/>
          <w:snapToGrid w:val="0"/>
          <w:szCs w:val="28"/>
          <w:lang w:eastAsia="x-none"/>
        </w:rPr>
        <w:t>a</w:t>
      </w:r>
      <w:r w:rsidRPr="00633873">
        <w:rPr>
          <w:rFonts w:ascii="Times New Roman" w:eastAsia="Times New Roman" w:hAnsi="Times New Roman" w:cs="Times New Roman"/>
          <w:b/>
          <w:bCs/>
          <w:snapToGrid w:val="0"/>
          <w:szCs w:val="28"/>
          <w:lang w:eastAsia="x-none"/>
        </w:rPr>
        <w:t>s šalutinis poveikis</w:t>
      </w:r>
    </w:p>
    <w:p w14:paraId="6D85A453" w14:textId="43531F87" w:rsidR="00A35A18" w:rsidRPr="009F7541"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0F77C3">
        <w:rPr>
          <w:rFonts w:ascii="Times New Roman" w:eastAsia="Times New Roman" w:hAnsi="Times New Roman" w:cs="Times New Roman"/>
          <w:b/>
          <w:bCs/>
          <w:snapToGrid w:val="0"/>
          <w:szCs w:val="28"/>
          <w:lang w:eastAsia="x-none"/>
        </w:rPr>
        <w:t>Labai dažn</w:t>
      </w:r>
      <w:r w:rsidR="000F77C3" w:rsidRPr="000F77C3">
        <w:rPr>
          <w:rFonts w:ascii="Times New Roman" w:eastAsia="Times New Roman" w:hAnsi="Times New Roman" w:cs="Times New Roman"/>
          <w:b/>
          <w:bCs/>
          <w:snapToGrid w:val="0"/>
          <w:szCs w:val="28"/>
          <w:lang w:eastAsia="x-none"/>
        </w:rPr>
        <w:t>i</w:t>
      </w:r>
      <w:r w:rsidRPr="000F77C3">
        <w:rPr>
          <w:rFonts w:ascii="Times New Roman" w:eastAsia="Times New Roman" w:hAnsi="Times New Roman" w:cs="Times New Roman"/>
          <w:b/>
          <w:bCs/>
          <w:snapToGrid w:val="0"/>
          <w:szCs w:val="28"/>
          <w:lang w:eastAsia="x-none"/>
        </w:rPr>
        <w:t xml:space="preserve"> šalutini</w:t>
      </w:r>
      <w:r w:rsidR="000F77C3" w:rsidRPr="000F77C3">
        <w:rPr>
          <w:rFonts w:ascii="Times New Roman" w:eastAsia="Times New Roman" w:hAnsi="Times New Roman" w:cs="Times New Roman"/>
          <w:b/>
          <w:bCs/>
          <w:snapToGrid w:val="0"/>
          <w:szCs w:val="28"/>
          <w:lang w:eastAsia="x-none"/>
        </w:rPr>
        <w:t>o</w:t>
      </w:r>
      <w:r w:rsidRPr="000F77C3">
        <w:rPr>
          <w:rFonts w:ascii="Times New Roman" w:eastAsia="Times New Roman" w:hAnsi="Times New Roman" w:cs="Times New Roman"/>
          <w:b/>
          <w:bCs/>
          <w:snapToGrid w:val="0"/>
          <w:szCs w:val="28"/>
          <w:lang w:eastAsia="x-none"/>
        </w:rPr>
        <w:t xml:space="preserve"> poveiki</w:t>
      </w:r>
      <w:r w:rsidR="000F77C3" w:rsidRPr="000F77C3">
        <w:rPr>
          <w:rFonts w:ascii="Times New Roman" w:eastAsia="Times New Roman" w:hAnsi="Times New Roman" w:cs="Times New Roman"/>
          <w:b/>
          <w:bCs/>
          <w:snapToGrid w:val="0"/>
          <w:szCs w:val="28"/>
          <w:lang w:eastAsia="x-none"/>
        </w:rPr>
        <w:t>o reiškiniai</w:t>
      </w:r>
      <w:r w:rsidR="007D387C" w:rsidRPr="009F7541">
        <w:rPr>
          <w:rFonts w:ascii="Times New Roman" w:hAnsi="Times New Roman" w:cs="Times New Roman"/>
          <w:b/>
          <w:bCs/>
        </w:rPr>
        <w:t xml:space="preserve"> (</w:t>
      </w:r>
      <w:r w:rsidR="007D387C" w:rsidRPr="009F7541">
        <w:rPr>
          <w:rFonts w:ascii="Times New Roman" w:eastAsia="Times New Roman" w:hAnsi="Times New Roman" w:cs="Times New Roman"/>
          <w:b/>
          <w:bCs/>
          <w:snapToGrid w:val="0"/>
          <w:szCs w:val="28"/>
          <w:lang w:eastAsia="x-none"/>
        </w:rPr>
        <w:t xml:space="preserve">gali pasireikšti </w:t>
      </w:r>
      <w:r w:rsidR="000F77C3" w:rsidRPr="009F7541">
        <w:rPr>
          <w:rFonts w:ascii="Times New Roman" w:eastAsia="Times New Roman" w:hAnsi="Times New Roman" w:cs="Times New Roman"/>
          <w:b/>
          <w:bCs/>
          <w:snapToGrid w:val="0"/>
          <w:szCs w:val="28"/>
          <w:lang w:eastAsia="x-none"/>
        </w:rPr>
        <w:t xml:space="preserve">ne rečiau </w:t>
      </w:r>
      <w:r w:rsidR="007D387C" w:rsidRPr="009F7541">
        <w:rPr>
          <w:rFonts w:ascii="Times New Roman" w:eastAsia="Times New Roman" w:hAnsi="Times New Roman" w:cs="Times New Roman"/>
          <w:b/>
          <w:bCs/>
          <w:snapToGrid w:val="0"/>
          <w:szCs w:val="28"/>
          <w:lang w:eastAsia="x-none"/>
        </w:rPr>
        <w:t xml:space="preserve">kaip </w:t>
      </w:r>
      <w:r w:rsidR="000F77C3" w:rsidRPr="009F7541">
        <w:rPr>
          <w:rFonts w:ascii="Times New Roman" w:eastAsia="Times New Roman" w:hAnsi="Times New Roman" w:cs="Times New Roman"/>
          <w:b/>
          <w:bCs/>
          <w:snapToGrid w:val="0"/>
          <w:szCs w:val="28"/>
          <w:lang w:eastAsia="x-none"/>
        </w:rPr>
        <w:t xml:space="preserve">1 </w:t>
      </w:r>
      <w:r w:rsidR="007D387C" w:rsidRPr="009F7541">
        <w:rPr>
          <w:rFonts w:ascii="Times New Roman" w:eastAsia="Times New Roman" w:hAnsi="Times New Roman" w:cs="Times New Roman"/>
          <w:b/>
          <w:bCs/>
          <w:snapToGrid w:val="0"/>
          <w:szCs w:val="28"/>
          <w:lang w:eastAsia="x-none"/>
        </w:rPr>
        <w:t xml:space="preserve">iš 10 </w:t>
      </w:r>
      <w:r w:rsidR="000F77C3" w:rsidRPr="009F7541">
        <w:rPr>
          <w:rFonts w:ascii="Times New Roman" w:eastAsia="Times New Roman" w:hAnsi="Times New Roman" w:cs="Times New Roman"/>
          <w:b/>
          <w:bCs/>
          <w:snapToGrid w:val="0"/>
          <w:szCs w:val="28"/>
          <w:lang w:eastAsia="x-none"/>
        </w:rPr>
        <w:t>asmenų</w:t>
      </w:r>
      <w:r w:rsidR="007D387C" w:rsidRPr="009F7541">
        <w:rPr>
          <w:rFonts w:ascii="Times New Roman" w:eastAsia="Times New Roman" w:hAnsi="Times New Roman" w:cs="Times New Roman"/>
          <w:b/>
          <w:bCs/>
          <w:snapToGrid w:val="0"/>
          <w:szCs w:val="28"/>
          <w:lang w:eastAsia="x-none"/>
        </w:rPr>
        <w:t>)</w:t>
      </w:r>
      <w:r w:rsidRPr="009F7541">
        <w:rPr>
          <w:rFonts w:ascii="Times New Roman" w:eastAsia="Times New Roman" w:hAnsi="Times New Roman" w:cs="Times New Roman"/>
          <w:b/>
          <w:bCs/>
          <w:snapToGrid w:val="0"/>
          <w:szCs w:val="28"/>
          <w:lang w:eastAsia="x-none"/>
        </w:rPr>
        <w:t>:</w:t>
      </w:r>
    </w:p>
    <w:p w14:paraId="3AFDF6CB" w14:textId="77777777"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galvos skausmas;</w:t>
      </w:r>
    </w:p>
    <w:p w14:paraId="3BF1A04A" w14:textId="77777777"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svaigulys;</w:t>
      </w:r>
    </w:p>
    <w:p w14:paraId="3F9F08DB" w14:textId="77777777"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proofErr w:type="spellStart"/>
      <w:r w:rsidRPr="00633873">
        <w:rPr>
          <w:rFonts w:ascii="Times New Roman" w:eastAsia="Times New Roman" w:hAnsi="Times New Roman" w:cs="Times New Roman"/>
          <w:snapToGrid w:val="0"/>
          <w:szCs w:val="28"/>
          <w:lang w:eastAsia="x-none"/>
        </w:rPr>
        <w:t>palpitacijos</w:t>
      </w:r>
      <w:proofErr w:type="spellEnd"/>
      <w:r w:rsidRPr="00633873">
        <w:rPr>
          <w:rFonts w:ascii="Times New Roman" w:eastAsia="Times New Roman" w:hAnsi="Times New Roman" w:cs="Times New Roman"/>
          <w:snapToGrid w:val="0"/>
          <w:szCs w:val="28"/>
          <w:lang w:eastAsia="x-none"/>
        </w:rPr>
        <w:t xml:space="preserve"> (dažno ar nereguliaraus širdies plakimo pojūtis);</w:t>
      </w:r>
    </w:p>
    <w:p w14:paraId="53238875" w14:textId="77777777"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dusulio pasunkėjimas netrukus po to, kai pradedama vartoti </w:t>
      </w:r>
      <w:proofErr w:type="spellStart"/>
      <w:r w:rsidR="007D387C" w:rsidRPr="00633873">
        <w:rPr>
          <w:rFonts w:ascii="Times New Roman" w:eastAsia="Times New Roman" w:hAnsi="Times New Roman" w:cs="Times New Roman"/>
          <w:snapToGrid w:val="0"/>
          <w:szCs w:val="28"/>
          <w:lang w:eastAsia="x-none"/>
        </w:rPr>
        <w:t>a</w:t>
      </w:r>
      <w:r w:rsidRPr="00633873">
        <w:rPr>
          <w:rFonts w:ascii="Times New Roman" w:eastAsia="Times New Roman" w:hAnsi="Times New Roman" w:cs="Times New Roman"/>
          <w:snapToGrid w:val="0"/>
          <w:szCs w:val="28"/>
          <w:lang w:eastAsia="x-none"/>
        </w:rPr>
        <w:t>mbrisentan</w:t>
      </w:r>
      <w:r w:rsidR="007D387C" w:rsidRPr="00633873">
        <w:rPr>
          <w:rFonts w:ascii="Times New Roman" w:eastAsia="Times New Roman" w:hAnsi="Times New Roman" w:cs="Times New Roman"/>
          <w:snapToGrid w:val="0"/>
          <w:szCs w:val="28"/>
          <w:lang w:eastAsia="x-none"/>
        </w:rPr>
        <w:t>o</w:t>
      </w:r>
      <w:proofErr w:type="spellEnd"/>
      <w:r w:rsidRPr="00633873">
        <w:rPr>
          <w:rFonts w:ascii="Times New Roman" w:eastAsia="Times New Roman" w:hAnsi="Times New Roman" w:cs="Times New Roman"/>
          <w:snapToGrid w:val="0"/>
          <w:szCs w:val="28"/>
          <w:lang w:eastAsia="x-none"/>
        </w:rPr>
        <w:t>;</w:t>
      </w:r>
    </w:p>
    <w:p w14:paraId="1536D49C" w14:textId="77777777"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skystos išskyros iš nosies arba nosies užsikimšimas, prienosinių ančių paburkimas ar skausmas;</w:t>
      </w:r>
    </w:p>
    <w:p w14:paraId="738731EC" w14:textId="05EE8BAA"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pykinimas;</w:t>
      </w:r>
    </w:p>
    <w:p w14:paraId="24930EFE" w14:textId="77777777"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viduriavimas;</w:t>
      </w:r>
    </w:p>
    <w:p w14:paraId="38B2DB40" w14:textId="77777777" w:rsidR="00A35A18" w:rsidRPr="00633873" w:rsidRDefault="00A35A18" w:rsidP="009F7541">
      <w:pPr>
        <w:numPr>
          <w:ilvl w:val="0"/>
          <w:numId w:val="22"/>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nuovargio jutimas.</w:t>
      </w:r>
    </w:p>
    <w:p w14:paraId="4091E9D6"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38C48A70" w14:textId="77777777" w:rsidR="00A35A18" w:rsidRPr="00633873"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 xml:space="preserve">Vartojant kartu su </w:t>
      </w:r>
      <w:proofErr w:type="spellStart"/>
      <w:r w:rsidRPr="00633873">
        <w:rPr>
          <w:rFonts w:ascii="Times New Roman" w:eastAsia="Times New Roman" w:hAnsi="Times New Roman" w:cs="Times New Roman"/>
          <w:b/>
          <w:bCs/>
          <w:snapToGrid w:val="0"/>
          <w:szCs w:val="28"/>
          <w:lang w:eastAsia="x-none"/>
        </w:rPr>
        <w:t>tadalafiliu</w:t>
      </w:r>
      <w:proofErr w:type="spellEnd"/>
      <w:r w:rsidRPr="00633873">
        <w:rPr>
          <w:rFonts w:ascii="Times New Roman" w:eastAsia="Times New Roman" w:hAnsi="Times New Roman" w:cs="Times New Roman"/>
          <w:b/>
          <w:bCs/>
          <w:snapToGrid w:val="0"/>
          <w:szCs w:val="28"/>
          <w:lang w:eastAsia="x-none"/>
        </w:rPr>
        <w:t xml:space="preserve"> (kitu vaistu nuo PH)</w:t>
      </w:r>
    </w:p>
    <w:p w14:paraId="66FFC067"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Papildomai (nei paminėta aukščiau) gali pasireikšti:</w:t>
      </w:r>
    </w:p>
    <w:p w14:paraId="7C8527D3" w14:textId="77777777" w:rsidR="00A35A18" w:rsidRPr="00633873" w:rsidRDefault="000B375D" w:rsidP="009F7541">
      <w:pPr>
        <w:numPr>
          <w:ilvl w:val="0"/>
          <w:numId w:val="23"/>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veido ir kaklo </w:t>
      </w:r>
      <w:r w:rsidR="00A35A18" w:rsidRPr="00633873">
        <w:rPr>
          <w:rFonts w:ascii="Times New Roman" w:eastAsia="Times New Roman" w:hAnsi="Times New Roman" w:cs="Times New Roman"/>
          <w:snapToGrid w:val="0"/>
          <w:szCs w:val="28"/>
          <w:lang w:eastAsia="x-none"/>
        </w:rPr>
        <w:t>paraudimas (paraudusi oda);</w:t>
      </w:r>
    </w:p>
    <w:p w14:paraId="1B55C5E3" w14:textId="77777777" w:rsidR="00A35A18" w:rsidRPr="00633873" w:rsidRDefault="00A35A18" w:rsidP="009F7541">
      <w:pPr>
        <w:numPr>
          <w:ilvl w:val="0"/>
          <w:numId w:val="23"/>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vėmimas;</w:t>
      </w:r>
    </w:p>
    <w:p w14:paraId="44954F3C" w14:textId="77777777" w:rsidR="00A35A18" w:rsidRPr="00633873" w:rsidRDefault="00A35A18" w:rsidP="009F7541">
      <w:pPr>
        <w:numPr>
          <w:ilvl w:val="0"/>
          <w:numId w:val="23"/>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krūtinės skausmas/diskomfortas.</w:t>
      </w:r>
    </w:p>
    <w:p w14:paraId="2F0D8C5C"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35CE7DEA" w14:textId="6339F876" w:rsidR="007D387C" w:rsidRPr="009F7541" w:rsidRDefault="00A35A18" w:rsidP="007D387C">
      <w:pPr>
        <w:tabs>
          <w:tab w:val="left" w:pos="567"/>
        </w:tabs>
        <w:spacing w:after="0" w:line="240" w:lineRule="auto"/>
        <w:rPr>
          <w:rFonts w:ascii="Times New Roman" w:eastAsia="Times New Roman" w:hAnsi="Times New Roman" w:cs="Times New Roman"/>
          <w:b/>
          <w:bCs/>
          <w:snapToGrid w:val="0"/>
          <w:szCs w:val="28"/>
          <w:lang w:eastAsia="x-none"/>
        </w:rPr>
      </w:pPr>
      <w:r w:rsidRPr="000F77C3">
        <w:rPr>
          <w:rFonts w:ascii="Times New Roman" w:eastAsia="Times New Roman" w:hAnsi="Times New Roman" w:cs="Times New Roman"/>
          <w:b/>
          <w:bCs/>
          <w:snapToGrid w:val="0"/>
          <w:szCs w:val="28"/>
          <w:lang w:eastAsia="x-none"/>
        </w:rPr>
        <w:t>Dažn</w:t>
      </w:r>
      <w:r w:rsidR="000F77C3" w:rsidRPr="000F77C3">
        <w:rPr>
          <w:rFonts w:ascii="Times New Roman" w:eastAsia="Times New Roman" w:hAnsi="Times New Roman" w:cs="Times New Roman"/>
          <w:b/>
          <w:bCs/>
          <w:snapToGrid w:val="0"/>
          <w:szCs w:val="28"/>
          <w:lang w:eastAsia="x-none"/>
        </w:rPr>
        <w:t>i</w:t>
      </w:r>
      <w:r w:rsidRPr="000F77C3">
        <w:rPr>
          <w:rFonts w:ascii="Times New Roman" w:eastAsia="Times New Roman" w:hAnsi="Times New Roman" w:cs="Times New Roman"/>
          <w:b/>
          <w:bCs/>
          <w:snapToGrid w:val="0"/>
          <w:szCs w:val="28"/>
          <w:lang w:eastAsia="x-none"/>
        </w:rPr>
        <w:t xml:space="preserve"> šalutini</w:t>
      </w:r>
      <w:r w:rsidR="000F77C3" w:rsidRPr="000F77C3">
        <w:rPr>
          <w:rFonts w:ascii="Times New Roman" w:eastAsia="Times New Roman" w:hAnsi="Times New Roman" w:cs="Times New Roman"/>
          <w:b/>
          <w:bCs/>
          <w:snapToGrid w:val="0"/>
          <w:szCs w:val="28"/>
          <w:lang w:eastAsia="x-none"/>
        </w:rPr>
        <w:t>o</w:t>
      </w:r>
      <w:r w:rsidRPr="000F77C3">
        <w:rPr>
          <w:rFonts w:ascii="Times New Roman" w:eastAsia="Times New Roman" w:hAnsi="Times New Roman" w:cs="Times New Roman"/>
          <w:b/>
          <w:bCs/>
          <w:snapToGrid w:val="0"/>
          <w:szCs w:val="28"/>
          <w:lang w:eastAsia="x-none"/>
        </w:rPr>
        <w:t xml:space="preserve"> poveiki</w:t>
      </w:r>
      <w:r w:rsidR="000F77C3" w:rsidRPr="000F77C3">
        <w:rPr>
          <w:rFonts w:ascii="Times New Roman" w:eastAsia="Times New Roman" w:hAnsi="Times New Roman" w:cs="Times New Roman"/>
          <w:b/>
          <w:bCs/>
          <w:snapToGrid w:val="0"/>
          <w:szCs w:val="28"/>
          <w:lang w:eastAsia="x-none"/>
        </w:rPr>
        <w:t>o</w:t>
      </w:r>
      <w:r w:rsidR="007D387C" w:rsidRPr="009F7541">
        <w:rPr>
          <w:rFonts w:ascii="Times New Roman" w:eastAsia="Times New Roman" w:hAnsi="Times New Roman" w:cs="Times New Roman"/>
          <w:b/>
          <w:bCs/>
          <w:snapToGrid w:val="0"/>
          <w:szCs w:val="28"/>
          <w:lang w:eastAsia="x-none"/>
        </w:rPr>
        <w:t xml:space="preserve"> </w:t>
      </w:r>
      <w:r w:rsidR="000F77C3" w:rsidRPr="009F7541">
        <w:rPr>
          <w:rFonts w:ascii="Times New Roman" w:eastAsia="Times New Roman" w:hAnsi="Times New Roman" w:cs="Times New Roman"/>
          <w:b/>
          <w:bCs/>
          <w:snapToGrid w:val="0"/>
          <w:szCs w:val="28"/>
          <w:lang w:eastAsia="x-none"/>
        </w:rPr>
        <w:t xml:space="preserve">reiškiniai </w:t>
      </w:r>
      <w:r w:rsidR="007D387C" w:rsidRPr="009F7541">
        <w:rPr>
          <w:rFonts w:ascii="Times New Roman" w:eastAsia="Times New Roman" w:hAnsi="Times New Roman" w:cs="Times New Roman"/>
          <w:b/>
          <w:bCs/>
          <w:snapToGrid w:val="0"/>
          <w:szCs w:val="28"/>
          <w:lang w:eastAsia="x-none"/>
        </w:rPr>
        <w:t xml:space="preserve">(gali pasireikšti </w:t>
      </w:r>
      <w:r w:rsidR="000B375D" w:rsidRPr="009F7541">
        <w:rPr>
          <w:rFonts w:ascii="Times New Roman" w:eastAsia="Times New Roman" w:hAnsi="Times New Roman" w:cs="Times New Roman"/>
          <w:b/>
          <w:bCs/>
          <w:snapToGrid w:val="0"/>
          <w:szCs w:val="28"/>
          <w:lang w:eastAsia="x-none"/>
        </w:rPr>
        <w:t>rečiau</w:t>
      </w:r>
      <w:r w:rsidR="007D387C" w:rsidRPr="009F7541">
        <w:rPr>
          <w:rFonts w:ascii="Times New Roman" w:eastAsia="Times New Roman" w:hAnsi="Times New Roman" w:cs="Times New Roman"/>
          <w:b/>
          <w:bCs/>
          <w:snapToGrid w:val="0"/>
          <w:szCs w:val="28"/>
          <w:lang w:eastAsia="x-none"/>
        </w:rPr>
        <w:t xml:space="preserve"> kaip </w:t>
      </w:r>
      <w:r w:rsidR="000F77C3" w:rsidRPr="009F7541">
        <w:rPr>
          <w:rFonts w:ascii="Times New Roman" w:eastAsia="Times New Roman" w:hAnsi="Times New Roman" w:cs="Times New Roman"/>
          <w:b/>
          <w:bCs/>
          <w:snapToGrid w:val="0"/>
          <w:szCs w:val="28"/>
          <w:lang w:eastAsia="x-none"/>
        </w:rPr>
        <w:t xml:space="preserve">1 </w:t>
      </w:r>
      <w:r w:rsidR="007D387C" w:rsidRPr="009F7541">
        <w:rPr>
          <w:rFonts w:ascii="Times New Roman" w:eastAsia="Times New Roman" w:hAnsi="Times New Roman" w:cs="Times New Roman"/>
          <w:b/>
          <w:bCs/>
          <w:snapToGrid w:val="0"/>
          <w:szCs w:val="28"/>
          <w:lang w:eastAsia="x-none"/>
        </w:rPr>
        <w:t xml:space="preserve">iš 10 </w:t>
      </w:r>
      <w:r w:rsidR="000F77C3" w:rsidRPr="009F7541">
        <w:rPr>
          <w:rFonts w:ascii="Times New Roman" w:eastAsia="Times New Roman" w:hAnsi="Times New Roman" w:cs="Times New Roman"/>
          <w:b/>
          <w:bCs/>
          <w:snapToGrid w:val="0"/>
          <w:szCs w:val="28"/>
          <w:lang w:eastAsia="x-none"/>
        </w:rPr>
        <w:t>asmenų</w:t>
      </w:r>
      <w:r w:rsidR="007D387C" w:rsidRPr="009F7541">
        <w:rPr>
          <w:rFonts w:ascii="Times New Roman" w:eastAsia="Times New Roman" w:hAnsi="Times New Roman" w:cs="Times New Roman"/>
          <w:b/>
          <w:bCs/>
          <w:snapToGrid w:val="0"/>
          <w:szCs w:val="28"/>
          <w:lang w:eastAsia="x-none"/>
        </w:rPr>
        <w:t>):</w:t>
      </w:r>
    </w:p>
    <w:p w14:paraId="4DC14157" w14:textId="19B5A706"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neryškus mat</w:t>
      </w:r>
      <w:r w:rsidR="000B375D" w:rsidRPr="00633873">
        <w:rPr>
          <w:rFonts w:ascii="Times New Roman" w:eastAsia="Times New Roman" w:hAnsi="Times New Roman" w:cs="Times New Roman"/>
          <w:snapToGrid w:val="0"/>
          <w:szCs w:val="28"/>
          <w:lang w:eastAsia="x-none"/>
        </w:rPr>
        <w:t>ymas</w:t>
      </w:r>
      <w:r w:rsidRPr="00633873">
        <w:rPr>
          <w:rFonts w:ascii="Times New Roman" w:eastAsia="Times New Roman" w:hAnsi="Times New Roman" w:cs="Times New Roman"/>
          <w:snapToGrid w:val="0"/>
          <w:szCs w:val="28"/>
          <w:lang w:eastAsia="x-none"/>
        </w:rPr>
        <w:t xml:space="preserve"> arba kiti regėjimo sutrikimai;</w:t>
      </w:r>
    </w:p>
    <w:p w14:paraId="09F47D73"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apalpimas;</w:t>
      </w:r>
    </w:p>
    <w:p w14:paraId="037D6C43"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nenormalūs kepenų veiklą rodančių kraujo tyrimų rezultatai;</w:t>
      </w:r>
    </w:p>
    <w:p w14:paraId="7DAF04C0"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skystos išskyros iš nosies</w:t>
      </w:r>
      <w:r w:rsidR="000B375D" w:rsidRPr="00633873">
        <w:rPr>
          <w:rFonts w:ascii="Times New Roman" w:eastAsia="Times New Roman" w:hAnsi="Times New Roman" w:cs="Times New Roman"/>
          <w:snapToGrid w:val="0"/>
          <w:szCs w:val="28"/>
          <w:lang w:eastAsia="x-none"/>
        </w:rPr>
        <w:t xml:space="preserve"> (sloga)</w:t>
      </w:r>
      <w:r w:rsidRPr="00633873">
        <w:rPr>
          <w:rFonts w:ascii="Times New Roman" w:eastAsia="Times New Roman" w:hAnsi="Times New Roman" w:cs="Times New Roman"/>
          <w:snapToGrid w:val="0"/>
          <w:szCs w:val="28"/>
          <w:lang w:eastAsia="x-none"/>
        </w:rPr>
        <w:t>;</w:t>
      </w:r>
    </w:p>
    <w:p w14:paraId="3E5645B7"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vidurių užkietėjimas;</w:t>
      </w:r>
    </w:p>
    <w:p w14:paraId="0EBD6303"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skrandžio (pilvo) skausmas;</w:t>
      </w:r>
    </w:p>
    <w:p w14:paraId="128C224A"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krūtinės skausmas arba diskomfortas;</w:t>
      </w:r>
    </w:p>
    <w:p w14:paraId="250C2D34"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paraudimas (paraudusi oda);</w:t>
      </w:r>
    </w:p>
    <w:p w14:paraId="5F2EDFD5"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vėmimas;</w:t>
      </w:r>
    </w:p>
    <w:p w14:paraId="244DD435"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silpnumo pojūtis;</w:t>
      </w:r>
    </w:p>
    <w:p w14:paraId="58D2C952"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kraujavimas iš nosies;</w:t>
      </w:r>
    </w:p>
    <w:p w14:paraId="2982475A"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išbėrimas.</w:t>
      </w:r>
    </w:p>
    <w:p w14:paraId="05F80524"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16E9E775" w14:textId="77777777" w:rsidR="00A35A18" w:rsidRPr="00633873"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 xml:space="preserve">Vartojant kartu su </w:t>
      </w:r>
      <w:proofErr w:type="spellStart"/>
      <w:r w:rsidRPr="00633873">
        <w:rPr>
          <w:rFonts w:ascii="Times New Roman" w:eastAsia="Times New Roman" w:hAnsi="Times New Roman" w:cs="Times New Roman"/>
          <w:b/>
          <w:bCs/>
          <w:snapToGrid w:val="0"/>
          <w:szCs w:val="28"/>
          <w:lang w:eastAsia="x-none"/>
        </w:rPr>
        <w:t>tadalafiliu</w:t>
      </w:r>
      <w:proofErr w:type="spellEnd"/>
    </w:p>
    <w:p w14:paraId="266141E1" w14:textId="10897AD3"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 xml:space="preserve">Papildomai (nei paminėta aukščiau </w:t>
      </w:r>
      <w:r w:rsidR="00E71C1A">
        <w:rPr>
          <w:rFonts w:ascii="Times New Roman" w:eastAsia="Times New Roman" w:hAnsi="Times New Roman" w:cs="Times New Roman"/>
          <w:snapToGrid w:val="0"/>
          <w:szCs w:val="28"/>
          <w:lang w:eastAsia="x-none"/>
        </w:rPr>
        <w:t>(</w:t>
      </w:r>
      <w:r w:rsidRPr="00633873">
        <w:rPr>
          <w:rFonts w:ascii="Times New Roman" w:eastAsia="Times New Roman" w:hAnsi="Times New Roman" w:cs="Times New Roman"/>
          <w:snapToGrid w:val="0"/>
          <w:szCs w:val="28"/>
          <w:lang w:eastAsia="x-none"/>
        </w:rPr>
        <w:t>išskyrus nenormalius kepenų veiklą rodančių kraujo tyrimų rezultatus) gali pasireikšti:</w:t>
      </w:r>
    </w:p>
    <w:p w14:paraId="7C292E6D" w14:textId="3D5AF52D"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spengimas ausyse (</w:t>
      </w:r>
      <w:r w:rsidRPr="00570F2A">
        <w:rPr>
          <w:rFonts w:ascii="Times New Roman" w:eastAsia="Times New Roman" w:hAnsi="Times New Roman" w:cs="Times New Roman"/>
          <w:i/>
          <w:iCs/>
          <w:snapToGrid w:val="0"/>
          <w:szCs w:val="28"/>
          <w:lang w:eastAsia="x-none"/>
        </w:rPr>
        <w:t>ūžesys</w:t>
      </w:r>
      <w:r w:rsidRPr="00633873">
        <w:rPr>
          <w:rFonts w:ascii="Times New Roman" w:eastAsia="Times New Roman" w:hAnsi="Times New Roman" w:cs="Times New Roman"/>
          <w:snapToGrid w:val="0"/>
          <w:szCs w:val="28"/>
          <w:lang w:eastAsia="x-none"/>
        </w:rPr>
        <w:t>).</w:t>
      </w:r>
    </w:p>
    <w:p w14:paraId="52E6F5B2"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016C8F4D" w14:textId="5ACDED02" w:rsidR="009757E0" w:rsidRPr="009F7541" w:rsidRDefault="00A35A18" w:rsidP="009757E0">
      <w:pPr>
        <w:tabs>
          <w:tab w:val="left" w:pos="567"/>
        </w:tabs>
        <w:spacing w:after="0" w:line="240" w:lineRule="auto"/>
        <w:rPr>
          <w:rFonts w:ascii="Times New Roman" w:eastAsia="Times New Roman" w:hAnsi="Times New Roman" w:cs="Times New Roman"/>
          <w:b/>
          <w:bCs/>
          <w:snapToGrid w:val="0"/>
          <w:szCs w:val="28"/>
          <w:lang w:eastAsia="x-none"/>
        </w:rPr>
      </w:pPr>
      <w:r w:rsidRPr="005E5ECA">
        <w:rPr>
          <w:rFonts w:ascii="Times New Roman" w:eastAsia="Times New Roman" w:hAnsi="Times New Roman" w:cs="Times New Roman"/>
          <w:b/>
          <w:bCs/>
          <w:snapToGrid w:val="0"/>
          <w:szCs w:val="28"/>
          <w:lang w:eastAsia="x-none"/>
        </w:rPr>
        <w:t>Nedažn</w:t>
      </w:r>
      <w:r w:rsidR="000F77C3" w:rsidRPr="005E5ECA">
        <w:rPr>
          <w:rFonts w:ascii="Times New Roman" w:eastAsia="Times New Roman" w:hAnsi="Times New Roman" w:cs="Times New Roman"/>
          <w:b/>
          <w:bCs/>
          <w:snapToGrid w:val="0"/>
          <w:szCs w:val="28"/>
          <w:lang w:eastAsia="x-none"/>
        </w:rPr>
        <w:t>i</w:t>
      </w:r>
      <w:r w:rsidRPr="005E5ECA">
        <w:rPr>
          <w:rFonts w:ascii="Times New Roman" w:eastAsia="Times New Roman" w:hAnsi="Times New Roman" w:cs="Times New Roman"/>
          <w:b/>
          <w:bCs/>
          <w:snapToGrid w:val="0"/>
          <w:szCs w:val="28"/>
          <w:lang w:eastAsia="x-none"/>
        </w:rPr>
        <w:t xml:space="preserve"> šalutini</w:t>
      </w:r>
      <w:r w:rsidR="000F77C3" w:rsidRPr="005E5ECA">
        <w:rPr>
          <w:rFonts w:ascii="Times New Roman" w:eastAsia="Times New Roman" w:hAnsi="Times New Roman" w:cs="Times New Roman"/>
          <w:b/>
          <w:bCs/>
          <w:snapToGrid w:val="0"/>
          <w:szCs w:val="28"/>
          <w:lang w:eastAsia="x-none"/>
        </w:rPr>
        <w:t>o</w:t>
      </w:r>
      <w:r w:rsidRPr="005E5ECA">
        <w:rPr>
          <w:rFonts w:ascii="Times New Roman" w:eastAsia="Times New Roman" w:hAnsi="Times New Roman" w:cs="Times New Roman"/>
          <w:b/>
          <w:bCs/>
          <w:snapToGrid w:val="0"/>
          <w:szCs w:val="28"/>
          <w:lang w:eastAsia="x-none"/>
        </w:rPr>
        <w:t xml:space="preserve"> poveiki</w:t>
      </w:r>
      <w:r w:rsidR="000F77C3" w:rsidRPr="005E5ECA">
        <w:rPr>
          <w:rFonts w:ascii="Times New Roman" w:eastAsia="Times New Roman" w:hAnsi="Times New Roman" w:cs="Times New Roman"/>
          <w:b/>
          <w:bCs/>
          <w:snapToGrid w:val="0"/>
          <w:szCs w:val="28"/>
          <w:lang w:eastAsia="x-none"/>
        </w:rPr>
        <w:t>o reiškiniai</w:t>
      </w:r>
      <w:r w:rsidR="009757E0" w:rsidRPr="005E5ECA">
        <w:rPr>
          <w:rFonts w:ascii="Times New Roman" w:eastAsia="Times New Roman" w:hAnsi="Times New Roman" w:cs="Times New Roman"/>
          <w:b/>
          <w:bCs/>
          <w:snapToGrid w:val="0"/>
          <w:szCs w:val="28"/>
          <w:lang w:eastAsia="x-none"/>
        </w:rPr>
        <w:t xml:space="preserve"> </w:t>
      </w:r>
      <w:r w:rsidR="009757E0" w:rsidRPr="009F7541">
        <w:rPr>
          <w:rFonts w:ascii="Times New Roman" w:eastAsia="Times New Roman" w:hAnsi="Times New Roman" w:cs="Times New Roman"/>
          <w:b/>
          <w:bCs/>
          <w:snapToGrid w:val="0"/>
          <w:szCs w:val="28"/>
          <w:lang w:eastAsia="x-none"/>
        </w:rPr>
        <w:t xml:space="preserve">(gali pasireikšti </w:t>
      </w:r>
      <w:r w:rsidR="000B375D" w:rsidRPr="009F7541">
        <w:rPr>
          <w:rFonts w:ascii="Times New Roman" w:eastAsia="Times New Roman" w:hAnsi="Times New Roman" w:cs="Times New Roman"/>
          <w:b/>
          <w:bCs/>
          <w:snapToGrid w:val="0"/>
          <w:szCs w:val="28"/>
          <w:lang w:eastAsia="x-none"/>
        </w:rPr>
        <w:t>rečiau</w:t>
      </w:r>
      <w:r w:rsidR="009757E0" w:rsidRPr="009F7541">
        <w:rPr>
          <w:rFonts w:ascii="Times New Roman" w:eastAsia="Times New Roman" w:hAnsi="Times New Roman" w:cs="Times New Roman"/>
          <w:b/>
          <w:bCs/>
          <w:snapToGrid w:val="0"/>
          <w:szCs w:val="28"/>
          <w:lang w:eastAsia="x-none"/>
        </w:rPr>
        <w:t xml:space="preserve"> kaip </w:t>
      </w:r>
      <w:r w:rsidR="005E5ECA" w:rsidRPr="009F7541">
        <w:rPr>
          <w:rFonts w:ascii="Times New Roman" w:eastAsia="Times New Roman" w:hAnsi="Times New Roman" w:cs="Times New Roman"/>
          <w:b/>
          <w:bCs/>
          <w:snapToGrid w:val="0"/>
          <w:szCs w:val="28"/>
          <w:lang w:eastAsia="x-none"/>
        </w:rPr>
        <w:t xml:space="preserve">1 </w:t>
      </w:r>
      <w:r w:rsidR="009757E0" w:rsidRPr="009F7541">
        <w:rPr>
          <w:rFonts w:ascii="Times New Roman" w:eastAsia="Times New Roman" w:hAnsi="Times New Roman" w:cs="Times New Roman"/>
          <w:b/>
          <w:bCs/>
          <w:snapToGrid w:val="0"/>
          <w:szCs w:val="28"/>
          <w:lang w:eastAsia="x-none"/>
        </w:rPr>
        <w:t xml:space="preserve">iš 100 </w:t>
      </w:r>
      <w:r w:rsidR="005E5ECA" w:rsidRPr="009F7541">
        <w:rPr>
          <w:rFonts w:ascii="Times New Roman" w:eastAsia="Times New Roman" w:hAnsi="Times New Roman" w:cs="Times New Roman"/>
          <w:b/>
          <w:bCs/>
          <w:snapToGrid w:val="0"/>
          <w:szCs w:val="28"/>
          <w:lang w:eastAsia="x-none"/>
        </w:rPr>
        <w:t>asmenų</w:t>
      </w:r>
      <w:r w:rsidR="009757E0" w:rsidRPr="009F7541">
        <w:rPr>
          <w:rFonts w:ascii="Times New Roman" w:eastAsia="Times New Roman" w:hAnsi="Times New Roman" w:cs="Times New Roman"/>
          <w:b/>
          <w:bCs/>
          <w:snapToGrid w:val="0"/>
          <w:szCs w:val="28"/>
          <w:lang w:eastAsia="x-none"/>
        </w:rPr>
        <w:t>):</w:t>
      </w:r>
    </w:p>
    <w:p w14:paraId="3CC22416"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kepenų pažeidimas;</w:t>
      </w:r>
    </w:p>
    <w:p w14:paraId="7EEF32C9"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kepenų uždegimas, kurį sukelia pačio organizmo gynybinės sistemos (</w:t>
      </w:r>
      <w:r w:rsidRPr="00570F2A">
        <w:rPr>
          <w:rFonts w:ascii="Times New Roman" w:eastAsia="Times New Roman" w:hAnsi="Times New Roman" w:cs="Times New Roman"/>
          <w:i/>
          <w:iCs/>
          <w:snapToGrid w:val="0"/>
          <w:szCs w:val="28"/>
          <w:lang w:eastAsia="x-none"/>
        </w:rPr>
        <w:t>autoimuninis hepatitas</w:t>
      </w:r>
      <w:r w:rsidRPr="00633873">
        <w:rPr>
          <w:rFonts w:ascii="Times New Roman" w:eastAsia="Times New Roman" w:hAnsi="Times New Roman" w:cs="Times New Roman"/>
          <w:snapToGrid w:val="0"/>
          <w:szCs w:val="28"/>
          <w:lang w:eastAsia="x-none"/>
        </w:rPr>
        <w:t>).</w:t>
      </w:r>
    </w:p>
    <w:p w14:paraId="397C49AC" w14:textId="77777777" w:rsidR="00A35A18" w:rsidRPr="00633873" w:rsidRDefault="00A35A18" w:rsidP="00A35A18">
      <w:pPr>
        <w:tabs>
          <w:tab w:val="left" w:pos="567"/>
        </w:tabs>
        <w:spacing w:after="0" w:line="240" w:lineRule="auto"/>
        <w:rPr>
          <w:rFonts w:ascii="Times New Roman" w:eastAsia="Times New Roman" w:hAnsi="Times New Roman" w:cs="Times New Roman"/>
          <w:snapToGrid w:val="0"/>
          <w:szCs w:val="28"/>
          <w:lang w:eastAsia="x-none"/>
        </w:rPr>
      </w:pPr>
    </w:p>
    <w:p w14:paraId="702320AD" w14:textId="77777777" w:rsidR="00A35A18" w:rsidRPr="00633873" w:rsidRDefault="00A35A18" w:rsidP="00A35A18">
      <w:pPr>
        <w:tabs>
          <w:tab w:val="left" w:pos="567"/>
        </w:tabs>
        <w:spacing w:after="0" w:line="240" w:lineRule="auto"/>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lastRenderedPageBreak/>
        <w:t xml:space="preserve">Vartojant kartu su </w:t>
      </w:r>
      <w:proofErr w:type="spellStart"/>
      <w:r w:rsidRPr="00633873">
        <w:rPr>
          <w:rFonts w:ascii="Times New Roman" w:eastAsia="Times New Roman" w:hAnsi="Times New Roman" w:cs="Times New Roman"/>
          <w:b/>
          <w:bCs/>
          <w:snapToGrid w:val="0"/>
          <w:szCs w:val="28"/>
          <w:lang w:eastAsia="x-none"/>
        </w:rPr>
        <w:t>tadalafiliu</w:t>
      </w:r>
      <w:proofErr w:type="spellEnd"/>
    </w:p>
    <w:p w14:paraId="0EA97AD9" w14:textId="77777777" w:rsidR="00A35A18" w:rsidRPr="00633873" w:rsidRDefault="00A35A18" w:rsidP="009F7541">
      <w:pPr>
        <w:numPr>
          <w:ilvl w:val="0"/>
          <w:numId w:val="24"/>
        </w:numPr>
        <w:tabs>
          <w:tab w:val="left" w:pos="567"/>
        </w:tabs>
        <w:spacing w:after="0" w:line="240" w:lineRule="auto"/>
        <w:ind w:left="567" w:hanging="567"/>
        <w:rPr>
          <w:rFonts w:ascii="Times New Roman" w:eastAsia="Times New Roman" w:hAnsi="Times New Roman" w:cs="Times New Roman"/>
          <w:snapToGrid w:val="0"/>
          <w:szCs w:val="28"/>
          <w:lang w:eastAsia="x-none"/>
        </w:rPr>
      </w:pPr>
      <w:r w:rsidRPr="00633873">
        <w:rPr>
          <w:rFonts w:ascii="Times New Roman" w:eastAsia="Times New Roman" w:hAnsi="Times New Roman" w:cs="Times New Roman"/>
          <w:snapToGrid w:val="0"/>
          <w:szCs w:val="28"/>
          <w:lang w:eastAsia="x-none"/>
        </w:rPr>
        <w:t>staigus apkurtimas.</w:t>
      </w:r>
    </w:p>
    <w:p w14:paraId="16DA7CD3" w14:textId="228C6D70" w:rsidR="00A35A18" w:rsidRDefault="00A35A18" w:rsidP="00A35A18">
      <w:pPr>
        <w:tabs>
          <w:tab w:val="left" w:pos="567"/>
        </w:tabs>
        <w:spacing w:after="0" w:line="240" w:lineRule="auto"/>
        <w:rPr>
          <w:rFonts w:ascii="Times New Roman" w:eastAsia="Times New Roman" w:hAnsi="Times New Roman" w:cs="Times New Roman"/>
          <w:b/>
          <w:snapToGrid w:val="0"/>
          <w:szCs w:val="24"/>
        </w:rPr>
      </w:pPr>
    </w:p>
    <w:p w14:paraId="0FBCA930" w14:textId="77777777" w:rsidR="005E5ECA" w:rsidRPr="009F7541" w:rsidRDefault="005E5ECA" w:rsidP="005E5ECA">
      <w:pPr>
        <w:autoSpaceDE w:val="0"/>
        <w:autoSpaceDN w:val="0"/>
        <w:adjustRightInd w:val="0"/>
        <w:spacing w:after="0" w:line="240" w:lineRule="auto"/>
        <w:rPr>
          <w:rFonts w:ascii="Times New Roman" w:hAnsi="Times New Roman" w:cs="Times New Roman"/>
          <w:color w:val="000000"/>
        </w:rPr>
      </w:pPr>
      <w:r w:rsidRPr="009F7541">
        <w:rPr>
          <w:rFonts w:ascii="Times New Roman" w:hAnsi="Times New Roman" w:cs="Times New Roman"/>
          <w:b/>
          <w:bCs/>
          <w:color w:val="000000"/>
        </w:rPr>
        <w:t xml:space="preserve">Šalutinis poveikis, kuris gali pasireikšti vaikams ir paaugliams </w:t>
      </w:r>
    </w:p>
    <w:p w14:paraId="004F2055" w14:textId="0CCCB71D" w:rsidR="005E5ECA" w:rsidRDefault="005E5ECA" w:rsidP="005E5ECA">
      <w:pPr>
        <w:tabs>
          <w:tab w:val="left" w:pos="567"/>
        </w:tabs>
        <w:spacing w:after="0" w:line="240" w:lineRule="auto"/>
        <w:rPr>
          <w:rFonts w:ascii="Times New Roman" w:hAnsi="Times New Roman" w:cs="Times New Roman"/>
          <w:color w:val="000000"/>
        </w:rPr>
      </w:pPr>
      <w:r w:rsidRPr="009F7541">
        <w:rPr>
          <w:rFonts w:ascii="Times New Roman" w:hAnsi="Times New Roman" w:cs="Times New Roman"/>
          <w:color w:val="000000"/>
        </w:rPr>
        <w:t>Tikėtina, kad šalutinis poveikis bus panašus į išvardytą suaugusiesiems.</w:t>
      </w:r>
    </w:p>
    <w:p w14:paraId="24998FC8" w14:textId="77777777" w:rsidR="005E5ECA" w:rsidRPr="00633873" w:rsidRDefault="005E5ECA" w:rsidP="005E5ECA">
      <w:pPr>
        <w:tabs>
          <w:tab w:val="left" w:pos="567"/>
        </w:tabs>
        <w:spacing w:after="0" w:line="240" w:lineRule="auto"/>
        <w:rPr>
          <w:rFonts w:ascii="Times New Roman" w:eastAsia="Times New Roman" w:hAnsi="Times New Roman" w:cs="Times New Roman"/>
          <w:b/>
          <w:snapToGrid w:val="0"/>
          <w:szCs w:val="24"/>
        </w:rPr>
      </w:pPr>
    </w:p>
    <w:p w14:paraId="56F361A6" w14:textId="77777777" w:rsidR="00A35A18" w:rsidRPr="00633873" w:rsidRDefault="00A35A18" w:rsidP="009F7541">
      <w:pPr>
        <w:keepNext/>
        <w:tabs>
          <w:tab w:val="left" w:pos="567"/>
        </w:tabs>
        <w:spacing w:after="0" w:line="240" w:lineRule="auto"/>
        <w:rPr>
          <w:rFonts w:ascii="Times New Roman" w:eastAsia="Times New Roman" w:hAnsi="Times New Roman" w:cs="Times New Roman"/>
          <w:b/>
          <w:snapToGrid w:val="0"/>
          <w:szCs w:val="24"/>
        </w:rPr>
      </w:pPr>
      <w:r w:rsidRPr="00633873">
        <w:rPr>
          <w:rFonts w:ascii="Times New Roman" w:eastAsia="Times New Roman" w:hAnsi="Times New Roman" w:cs="Times New Roman"/>
          <w:b/>
          <w:snapToGrid w:val="0"/>
          <w:szCs w:val="24"/>
        </w:rPr>
        <w:t>Pranešimas apie šalutinį poveikį</w:t>
      </w:r>
    </w:p>
    <w:p w14:paraId="51F60395" w14:textId="3A567D4B" w:rsidR="00A35A18" w:rsidRPr="00633873" w:rsidRDefault="00A35A18" w:rsidP="00A35A18">
      <w:pPr>
        <w:tabs>
          <w:tab w:val="left" w:pos="567"/>
        </w:tabs>
        <w:spacing w:after="0" w:line="260" w:lineRule="exact"/>
        <w:ind w:right="-449"/>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0"/>
        </w:rPr>
        <w:t>Jeigu pasireiškė šalutinis poveikis, įskaitant šiame lapelyje nenurodytą, pasakykite gydytojui</w:t>
      </w:r>
      <w:r w:rsidR="00484ABB">
        <w:rPr>
          <w:rFonts w:ascii="Times New Roman" w:eastAsia="Times New Roman" w:hAnsi="Times New Roman" w:cs="Times New Roman"/>
          <w:snapToGrid w:val="0"/>
          <w:szCs w:val="20"/>
        </w:rPr>
        <w:t>,</w:t>
      </w:r>
      <w:r w:rsidRPr="00633873">
        <w:rPr>
          <w:rFonts w:ascii="Times New Roman" w:eastAsia="Times New Roman" w:hAnsi="Times New Roman" w:cs="Times New Roman"/>
          <w:snapToGrid w:val="0"/>
          <w:szCs w:val="20"/>
        </w:rPr>
        <w:t xml:space="preserve"> vaistininkui</w:t>
      </w:r>
      <w:r w:rsidR="00484ABB">
        <w:rPr>
          <w:rFonts w:ascii="Times New Roman" w:eastAsia="Times New Roman" w:hAnsi="Times New Roman" w:cs="Times New Roman"/>
          <w:snapToGrid w:val="0"/>
          <w:szCs w:val="20"/>
        </w:rPr>
        <w:t xml:space="preserve"> arba </w:t>
      </w:r>
      <w:r w:rsidR="00484ABB" w:rsidRPr="0065133F">
        <w:rPr>
          <w:rFonts w:ascii="Times New Roman" w:eastAsia="Times New Roman" w:hAnsi="Times New Roman" w:cs="Times New Roman"/>
          <w:snapToGrid w:val="0"/>
        </w:rPr>
        <w:t>slaugytojui</w:t>
      </w:r>
      <w:r w:rsidRPr="0065133F">
        <w:rPr>
          <w:rFonts w:ascii="Times New Roman" w:eastAsia="Times New Roman" w:hAnsi="Times New Roman" w:cs="Times New Roman"/>
          <w:snapToGrid w:val="0"/>
        </w:rPr>
        <w:t xml:space="preserve">. </w:t>
      </w:r>
      <w:r w:rsidR="00E71C1A" w:rsidRPr="00570F2A">
        <w:rPr>
          <w:rFonts w:ascii="Times New Roman" w:eastAsia="Times New Roman" w:hAnsi="Times New Roman" w:cs="Times New Roman"/>
          <w:color w:val="000000"/>
        </w:rPr>
        <w:t xml:space="preserve">Pranešimą apie šalutinį poveikį galite užpildyti ir pateikti Valstybinės vaistų kontrolės tarnybos prie Lietuvos Respublikos sveikatos apsaugos ministerijos tinklalapyje </w:t>
      </w:r>
      <w:hyperlink r:id="rId10" w:history="1">
        <w:r w:rsidR="00484ABB" w:rsidRPr="00570F2A">
          <w:rPr>
            <w:rStyle w:val="Hipersaitas"/>
            <w:rFonts w:ascii="Times New Roman" w:eastAsia="Times New Roman" w:hAnsi="Times New Roman" w:cs="Times New Roman"/>
          </w:rPr>
          <w:t>https://vvkt.lrv.lt/lt/</w:t>
        </w:r>
      </w:hyperlink>
      <w:r w:rsidR="00484ABB" w:rsidRPr="00570F2A">
        <w:rPr>
          <w:rFonts w:ascii="Times New Roman" w:eastAsia="Times New Roman" w:hAnsi="Times New Roman" w:cs="Times New Roman"/>
          <w:color w:val="000000"/>
        </w:rPr>
        <w:t xml:space="preserve"> </w:t>
      </w:r>
      <w:r w:rsidR="00E71C1A" w:rsidRPr="00570F2A">
        <w:rPr>
          <w:rFonts w:ascii="Times New Roman" w:eastAsia="Times New Roman" w:hAnsi="Times New Roman" w:cs="Times New Roman"/>
          <w:color w:val="000000"/>
        </w:rPr>
        <w:t xml:space="preserve">nurodytais būdais arba paskambinti nemokamu telefonu </w:t>
      </w:r>
      <w:r w:rsidR="001F70AA">
        <w:rPr>
          <w:rFonts w:ascii="Times New Roman" w:eastAsia="Times New Roman" w:hAnsi="Times New Roman" w:cs="Times New Roman"/>
          <w:color w:val="000000"/>
        </w:rPr>
        <w:t>+370</w:t>
      </w:r>
      <w:r w:rsidR="00E71C1A" w:rsidRPr="00570F2A">
        <w:rPr>
          <w:rFonts w:ascii="Times New Roman" w:eastAsia="Times New Roman" w:hAnsi="Times New Roman" w:cs="Times New Roman"/>
          <w:color w:val="000000"/>
        </w:rPr>
        <w:t xml:space="preserve"> 800 73 568. Pranešdami apie šalutinį poveikį galite mums padėti gauti daugiau informacijos apie šio vaisto saugumą.</w:t>
      </w:r>
    </w:p>
    <w:p w14:paraId="65F442A5" w14:textId="77777777" w:rsidR="00A35A18" w:rsidRPr="00633873" w:rsidRDefault="00A35A18" w:rsidP="00A35A18">
      <w:pPr>
        <w:tabs>
          <w:tab w:val="left" w:pos="567"/>
        </w:tabs>
        <w:spacing w:after="0" w:line="260" w:lineRule="exact"/>
        <w:ind w:right="-449"/>
        <w:rPr>
          <w:rFonts w:ascii="Times New Roman" w:eastAsia="Times New Roman" w:hAnsi="Times New Roman" w:cs="Times New Roman"/>
          <w:snapToGrid w:val="0"/>
          <w:szCs w:val="24"/>
        </w:rPr>
      </w:pPr>
    </w:p>
    <w:p w14:paraId="66AD93C6" w14:textId="77777777" w:rsidR="00A35A18" w:rsidRPr="00633873" w:rsidRDefault="00A35A18" w:rsidP="00A35A18">
      <w:pPr>
        <w:tabs>
          <w:tab w:val="left" w:pos="567"/>
        </w:tabs>
        <w:spacing w:after="0" w:line="260" w:lineRule="exact"/>
        <w:ind w:right="-449"/>
        <w:rPr>
          <w:rFonts w:ascii="Times New Roman" w:eastAsia="Times New Roman" w:hAnsi="Times New Roman" w:cs="Times New Roman"/>
          <w:snapToGrid w:val="0"/>
          <w:szCs w:val="24"/>
        </w:rPr>
      </w:pPr>
    </w:p>
    <w:p w14:paraId="2C0AF8FC" w14:textId="77777777" w:rsidR="00A35A18" w:rsidRPr="00633873" w:rsidRDefault="00A35A18" w:rsidP="00A35A18">
      <w:pPr>
        <w:widowControl w:val="0"/>
        <w:spacing w:after="0" w:line="240" w:lineRule="auto"/>
        <w:ind w:left="567" w:hanging="567"/>
        <w:outlineLvl w:val="0"/>
        <w:rPr>
          <w:rFonts w:ascii="Times New Roman" w:eastAsia="Times New Roman" w:hAnsi="Times New Roman" w:cs="Times New Roman"/>
          <w:b/>
        </w:rPr>
      </w:pPr>
      <w:r w:rsidRPr="00633873">
        <w:rPr>
          <w:rFonts w:ascii="Times New Roman" w:eastAsia="Times New Roman" w:hAnsi="Times New Roman" w:cs="Times New Roman"/>
          <w:b/>
        </w:rPr>
        <w:t>5.</w:t>
      </w:r>
      <w:r w:rsidRPr="00633873">
        <w:rPr>
          <w:rFonts w:ascii="Times New Roman" w:eastAsia="Times New Roman" w:hAnsi="Times New Roman" w:cs="Times New Roman"/>
          <w:b/>
        </w:rPr>
        <w:tab/>
        <w:t xml:space="preserve">Kaip laikyti </w:t>
      </w:r>
      <w:proofErr w:type="spellStart"/>
      <w:r w:rsidRPr="00633873">
        <w:rPr>
          <w:rFonts w:ascii="Times New Roman" w:eastAsia="Times New Roman" w:hAnsi="Times New Roman" w:cs="Times New Roman"/>
          <w:b/>
        </w:rPr>
        <w:t>Ambrisentan</w:t>
      </w:r>
      <w:proofErr w:type="spellEnd"/>
      <w:r w:rsidRPr="00633873">
        <w:rPr>
          <w:rFonts w:ascii="Times New Roman" w:eastAsia="Times New Roman" w:hAnsi="Times New Roman" w:cs="Times New Roman"/>
          <w:b/>
        </w:rPr>
        <w:t xml:space="preserve"> </w:t>
      </w:r>
      <w:proofErr w:type="spellStart"/>
      <w:r w:rsidR="00E62DAA" w:rsidRPr="00633873">
        <w:rPr>
          <w:rFonts w:ascii="Times New Roman" w:eastAsia="Times New Roman" w:hAnsi="Times New Roman" w:cs="Times New Roman"/>
          <w:b/>
        </w:rPr>
        <w:t>Zentiva</w:t>
      </w:r>
      <w:proofErr w:type="spellEnd"/>
    </w:p>
    <w:p w14:paraId="3BFE9E29"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320650BB"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Šį vaistą laikykite vaikams nepastebimoje ir nepasiekiamoje vietoje.</w:t>
      </w:r>
    </w:p>
    <w:p w14:paraId="3753D480"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260BFFAE"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Ant dėžutės ir lizdinės plokštelės po „EXP“ nurodytam tinkamumo laikui pasibaigus, šio vaisto vartoti negalima. Vaistas tinkamas vartoti iki paskutinės nurodyto mėnesio dienos.</w:t>
      </w:r>
    </w:p>
    <w:p w14:paraId="355C6D22"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35D390A9" w14:textId="77777777" w:rsidR="00891F10" w:rsidRPr="00633873" w:rsidRDefault="00891F10" w:rsidP="00891F10">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Baltos PVC/PVDC/aliuminio lizdinės plokštelės</w:t>
      </w:r>
    </w:p>
    <w:p w14:paraId="10617F09" w14:textId="4B419125" w:rsidR="00891F10" w:rsidRPr="00633873" w:rsidRDefault="00891F10" w:rsidP="00891F10">
      <w:pPr>
        <w:spacing w:after="0" w:line="240" w:lineRule="auto"/>
        <w:rPr>
          <w:rFonts w:ascii="Times New Roman" w:eastAsia="Times New Roman" w:hAnsi="Times New Roman" w:cs="Times New Roman"/>
          <w:snapToGrid w:val="0"/>
          <w:color w:val="0D0D0D"/>
          <w:szCs w:val="24"/>
        </w:rPr>
      </w:pPr>
      <w:r w:rsidRPr="00633873">
        <w:rPr>
          <w:rFonts w:ascii="Times New Roman" w:eastAsia="Times New Roman" w:hAnsi="Times New Roman" w:cs="Times New Roman"/>
          <w:snapToGrid w:val="0"/>
          <w:color w:val="0D0D0D"/>
          <w:szCs w:val="24"/>
        </w:rPr>
        <w:t xml:space="preserve">Šio </w:t>
      </w:r>
      <w:r w:rsidR="000249D1" w:rsidRPr="00633873">
        <w:rPr>
          <w:rFonts w:ascii="Times New Roman" w:eastAsia="Times New Roman" w:hAnsi="Times New Roman" w:cs="Times New Roman"/>
          <w:snapToGrid w:val="0"/>
          <w:color w:val="0D0D0D"/>
          <w:szCs w:val="24"/>
        </w:rPr>
        <w:t>vaisto</w:t>
      </w:r>
      <w:r w:rsidRPr="00633873">
        <w:rPr>
          <w:rFonts w:ascii="Times New Roman" w:eastAsia="Times New Roman" w:hAnsi="Times New Roman" w:cs="Times New Roman"/>
          <w:snapToGrid w:val="0"/>
          <w:color w:val="0D0D0D"/>
          <w:szCs w:val="24"/>
        </w:rPr>
        <w:t xml:space="preserve"> laikymui specialių temperatūros sąlygų nereikalaujama. Laikyti gamintojo lizdinėje plokštelėje, kad </w:t>
      </w:r>
      <w:r w:rsidR="000249D1" w:rsidRPr="00633873">
        <w:rPr>
          <w:rFonts w:ascii="Times New Roman" w:eastAsia="Times New Roman" w:hAnsi="Times New Roman" w:cs="Times New Roman"/>
          <w:snapToGrid w:val="0"/>
          <w:color w:val="0D0D0D"/>
          <w:szCs w:val="24"/>
        </w:rPr>
        <w:t>vaistas</w:t>
      </w:r>
      <w:r w:rsidRPr="00633873">
        <w:rPr>
          <w:rFonts w:ascii="Times New Roman" w:eastAsia="Times New Roman" w:hAnsi="Times New Roman" w:cs="Times New Roman"/>
          <w:snapToGrid w:val="0"/>
          <w:color w:val="0D0D0D"/>
          <w:szCs w:val="24"/>
        </w:rPr>
        <w:t xml:space="preserve"> būtų apsaugotas nuo šviesos.</w:t>
      </w:r>
    </w:p>
    <w:p w14:paraId="0753355E" w14:textId="77777777" w:rsidR="00891F10" w:rsidRPr="00633873" w:rsidRDefault="00891F10" w:rsidP="00891F10">
      <w:pPr>
        <w:spacing w:after="0" w:line="240" w:lineRule="auto"/>
        <w:rPr>
          <w:rFonts w:ascii="Times New Roman" w:eastAsia="Times New Roman" w:hAnsi="Times New Roman" w:cs="Times New Roman"/>
          <w:snapToGrid w:val="0"/>
          <w:szCs w:val="24"/>
        </w:rPr>
      </w:pPr>
    </w:p>
    <w:p w14:paraId="1E331A5D" w14:textId="77777777" w:rsidR="00891F10" w:rsidRPr="00633873" w:rsidRDefault="00891F10" w:rsidP="00891F10">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Permatomos PVC/PE/PVDC/aliuminio lizdinės plokštelės</w:t>
      </w:r>
    </w:p>
    <w:p w14:paraId="298712A4" w14:textId="58047492" w:rsidR="00891F10" w:rsidRPr="00633873" w:rsidRDefault="00891F10" w:rsidP="00891F10">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Šio </w:t>
      </w:r>
      <w:r w:rsidR="000249D1" w:rsidRPr="00633873">
        <w:rPr>
          <w:rFonts w:ascii="Times New Roman" w:eastAsia="Times New Roman" w:hAnsi="Times New Roman" w:cs="Times New Roman"/>
          <w:snapToGrid w:val="0"/>
          <w:szCs w:val="24"/>
        </w:rPr>
        <w:t>vaisto</w:t>
      </w:r>
      <w:r w:rsidRPr="00633873">
        <w:rPr>
          <w:rFonts w:ascii="Times New Roman" w:eastAsia="Times New Roman" w:hAnsi="Times New Roman" w:cs="Times New Roman"/>
          <w:snapToGrid w:val="0"/>
          <w:szCs w:val="24"/>
        </w:rPr>
        <w:t xml:space="preserve"> laikymui specialių temperatūros sąlygų nereikalaujama. Laikyti gamintojo pakuotėje, kad </w:t>
      </w:r>
      <w:r w:rsidR="000249D1" w:rsidRPr="00633873">
        <w:rPr>
          <w:rFonts w:ascii="Times New Roman" w:eastAsia="Times New Roman" w:hAnsi="Times New Roman" w:cs="Times New Roman"/>
          <w:snapToGrid w:val="0"/>
          <w:szCs w:val="24"/>
        </w:rPr>
        <w:t>vaistas</w:t>
      </w:r>
      <w:r w:rsidRPr="00633873">
        <w:rPr>
          <w:rFonts w:ascii="Times New Roman" w:eastAsia="Times New Roman" w:hAnsi="Times New Roman" w:cs="Times New Roman"/>
          <w:snapToGrid w:val="0"/>
          <w:szCs w:val="24"/>
        </w:rPr>
        <w:t xml:space="preserve"> būtų apsaugotas nuo šviesos.</w:t>
      </w:r>
    </w:p>
    <w:p w14:paraId="3DE2E18A"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43F33B4E"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i/>
          <w:snapToGrid w:val="0"/>
          <w:szCs w:val="20"/>
        </w:rPr>
      </w:pPr>
      <w:r w:rsidRPr="00633873">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14:paraId="653706CF"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B0D2D7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1396B24F" w14:textId="77777777" w:rsidR="00A35A18" w:rsidRPr="00633873" w:rsidRDefault="00A35A18" w:rsidP="00A35A18">
      <w:pPr>
        <w:widowControl w:val="0"/>
        <w:spacing w:after="0" w:line="240" w:lineRule="auto"/>
        <w:ind w:left="567" w:hanging="567"/>
        <w:outlineLvl w:val="0"/>
        <w:rPr>
          <w:rFonts w:ascii="Times New Roman" w:eastAsia="Times New Roman" w:hAnsi="Times New Roman" w:cs="Times New Roman"/>
          <w:b/>
        </w:rPr>
      </w:pPr>
      <w:r w:rsidRPr="00633873">
        <w:rPr>
          <w:rFonts w:ascii="Times New Roman" w:eastAsia="Times New Roman" w:hAnsi="Times New Roman" w:cs="Times New Roman"/>
          <w:b/>
        </w:rPr>
        <w:t>6.</w:t>
      </w:r>
      <w:r w:rsidRPr="00633873">
        <w:rPr>
          <w:rFonts w:ascii="Times New Roman" w:eastAsia="Times New Roman" w:hAnsi="Times New Roman" w:cs="Times New Roman"/>
          <w:b/>
        </w:rPr>
        <w:tab/>
        <w:t>Pakuotės turinys ir kita informacija</w:t>
      </w:r>
    </w:p>
    <w:p w14:paraId="17434663" w14:textId="77777777" w:rsidR="00A35A18" w:rsidRPr="00633873" w:rsidRDefault="00A35A18" w:rsidP="00A35A18">
      <w:pPr>
        <w:numPr>
          <w:ilvl w:val="12"/>
          <w:numId w:val="0"/>
        </w:numPr>
        <w:spacing w:after="0" w:line="240" w:lineRule="auto"/>
        <w:rPr>
          <w:rFonts w:ascii="Times New Roman" w:eastAsia="Times New Roman" w:hAnsi="Times New Roman" w:cs="Times New Roman"/>
          <w:snapToGrid w:val="0"/>
          <w:szCs w:val="24"/>
        </w:rPr>
      </w:pPr>
    </w:p>
    <w:p w14:paraId="0AEFF499" w14:textId="77777777" w:rsidR="00A35A18" w:rsidRPr="00633873" w:rsidRDefault="00A35A18" w:rsidP="00A35A1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roofErr w:type="spellStart"/>
      <w:r w:rsidRPr="00633873">
        <w:rPr>
          <w:rFonts w:ascii="Times New Roman" w:eastAsia="Times New Roman" w:hAnsi="Times New Roman" w:cs="Times New Roman"/>
          <w:b/>
          <w:bCs/>
          <w:snapToGrid w:val="0"/>
          <w:szCs w:val="28"/>
          <w:lang w:eastAsia="x-none"/>
        </w:rPr>
        <w:t>Ambrisentan</w:t>
      </w:r>
      <w:proofErr w:type="spellEnd"/>
      <w:r w:rsidRPr="00633873">
        <w:rPr>
          <w:rFonts w:ascii="Times New Roman" w:eastAsia="Times New Roman" w:hAnsi="Times New Roman" w:cs="Times New Roman"/>
          <w:b/>
          <w:bCs/>
          <w:snapToGrid w:val="0"/>
          <w:szCs w:val="28"/>
          <w:lang w:eastAsia="x-none"/>
        </w:rPr>
        <w:t xml:space="preserve"> </w:t>
      </w:r>
      <w:proofErr w:type="spellStart"/>
      <w:r w:rsidR="00E62DAA" w:rsidRPr="00633873">
        <w:rPr>
          <w:rFonts w:ascii="Times New Roman" w:eastAsia="Times New Roman" w:hAnsi="Times New Roman" w:cs="Times New Roman"/>
          <w:b/>
          <w:bCs/>
          <w:snapToGrid w:val="0"/>
          <w:szCs w:val="28"/>
          <w:lang w:eastAsia="x-none"/>
        </w:rPr>
        <w:t>Zentiva</w:t>
      </w:r>
      <w:proofErr w:type="spellEnd"/>
      <w:r w:rsidRPr="00633873">
        <w:rPr>
          <w:rFonts w:ascii="Times New Roman" w:eastAsia="Times New Roman" w:hAnsi="Times New Roman" w:cs="Times New Roman"/>
          <w:b/>
          <w:bCs/>
          <w:snapToGrid w:val="0"/>
          <w:szCs w:val="28"/>
          <w:lang w:eastAsia="x-none"/>
        </w:rPr>
        <w:t xml:space="preserve"> sudėtis</w:t>
      </w:r>
    </w:p>
    <w:p w14:paraId="328740A3" w14:textId="77777777" w:rsidR="003124B1" w:rsidRPr="00633873" w:rsidRDefault="00A35A18" w:rsidP="0022563C">
      <w:pPr>
        <w:numPr>
          <w:ilvl w:val="0"/>
          <w:numId w:val="26"/>
        </w:numPr>
        <w:tabs>
          <w:tab w:val="left" w:pos="567"/>
        </w:tabs>
        <w:spacing w:after="0" w:line="240" w:lineRule="auto"/>
        <w:ind w:left="567" w:right="-2" w:hanging="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Veiklioji medžiaga yra </w:t>
      </w:r>
      <w:proofErr w:type="spellStart"/>
      <w:r w:rsidRPr="00633873">
        <w:rPr>
          <w:rFonts w:ascii="Times New Roman" w:eastAsia="Times New Roman" w:hAnsi="Times New Roman" w:cs="Times New Roman"/>
          <w:snapToGrid w:val="0"/>
          <w:szCs w:val="24"/>
        </w:rPr>
        <w:t>ambrisentanas</w:t>
      </w:r>
      <w:proofErr w:type="spellEnd"/>
      <w:r w:rsidRPr="00633873">
        <w:rPr>
          <w:rFonts w:ascii="Times New Roman" w:eastAsia="Times New Roman" w:hAnsi="Times New Roman" w:cs="Times New Roman"/>
          <w:snapToGrid w:val="0"/>
          <w:szCs w:val="24"/>
        </w:rPr>
        <w:t>.</w:t>
      </w:r>
    </w:p>
    <w:p w14:paraId="09C789C1" w14:textId="77777777" w:rsidR="003124B1" w:rsidRPr="00633873" w:rsidRDefault="003124B1" w:rsidP="003124B1">
      <w:pPr>
        <w:pStyle w:val="Sraopastraipa"/>
        <w:tabs>
          <w:tab w:val="left" w:pos="567"/>
        </w:tabs>
        <w:spacing w:after="0" w:line="260" w:lineRule="exact"/>
        <w:ind w:left="567"/>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Ambrisentan</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Zentiva</w:t>
      </w:r>
      <w:proofErr w:type="spellEnd"/>
      <w:r w:rsidRPr="00633873">
        <w:rPr>
          <w:rFonts w:ascii="Times New Roman" w:eastAsia="Times New Roman" w:hAnsi="Times New Roman" w:cs="Times New Roman"/>
          <w:snapToGrid w:val="0"/>
          <w:szCs w:val="24"/>
          <w:u w:val="single"/>
        </w:rPr>
        <w:t xml:space="preserve"> 5 mg plėvele dengtos tabletės</w:t>
      </w:r>
    </w:p>
    <w:p w14:paraId="46FC711A" w14:textId="77777777" w:rsidR="003124B1" w:rsidRPr="00633873" w:rsidRDefault="003124B1" w:rsidP="003124B1">
      <w:pPr>
        <w:pStyle w:val="Sraopastraipa"/>
        <w:tabs>
          <w:tab w:val="left" w:pos="567"/>
        </w:tabs>
        <w:spacing w:after="0" w:line="260" w:lineRule="exact"/>
        <w:ind w:left="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Kiekvienoje tabletėje yra 5 mg </w:t>
      </w:r>
      <w:proofErr w:type="spellStart"/>
      <w:r w:rsidRPr="00633873">
        <w:rPr>
          <w:rFonts w:ascii="Times New Roman" w:eastAsia="Times New Roman" w:hAnsi="Times New Roman" w:cs="Times New Roman"/>
          <w:snapToGrid w:val="0"/>
          <w:szCs w:val="24"/>
        </w:rPr>
        <w:t>ambrisentano</w:t>
      </w:r>
      <w:proofErr w:type="spellEnd"/>
      <w:r w:rsidRPr="00633873">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cr/>
      </w:r>
    </w:p>
    <w:p w14:paraId="5D8BD0EE" w14:textId="77777777" w:rsidR="003124B1" w:rsidRPr="00633873" w:rsidRDefault="003124B1" w:rsidP="003124B1">
      <w:pPr>
        <w:pStyle w:val="Sraopastraipa"/>
        <w:tabs>
          <w:tab w:val="left" w:pos="567"/>
        </w:tabs>
        <w:spacing w:after="0" w:line="260" w:lineRule="exact"/>
        <w:ind w:left="567"/>
        <w:rPr>
          <w:rFonts w:ascii="Times New Roman" w:eastAsia="Times New Roman" w:hAnsi="Times New Roman" w:cs="Times New Roman"/>
          <w:snapToGrid w:val="0"/>
          <w:szCs w:val="24"/>
          <w:highlight w:val="lightGray"/>
          <w:u w:val="single"/>
        </w:rPr>
      </w:pPr>
      <w:proofErr w:type="spellStart"/>
      <w:r w:rsidRPr="00633873">
        <w:rPr>
          <w:rFonts w:ascii="Times New Roman" w:eastAsia="Times New Roman" w:hAnsi="Times New Roman" w:cs="Times New Roman"/>
          <w:snapToGrid w:val="0"/>
          <w:szCs w:val="24"/>
          <w:highlight w:val="lightGray"/>
          <w:u w:val="single"/>
        </w:rPr>
        <w:t>Ambrisentan</w:t>
      </w:r>
      <w:proofErr w:type="spellEnd"/>
      <w:r w:rsidRPr="00633873">
        <w:rPr>
          <w:rFonts w:ascii="Times New Roman" w:eastAsia="Times New Roman" w:hAnsi="Times New Roman" w:cs="Times New Roman"/>
          <w:snapToGrid w:val="0"/>
          <w:szCs w:val="24"/>
          <w:highlight w:val="lightGray"/>
          <w:u w:val="single"/>
        </w:rPr>
        <w:t xml:space="preserve"> </w:t>
      </w:r>
      <w:proofErr w:type="spellStart"/>
      <w:r w:rsidRPr="00633873">
        <w:rPr>
          <w:rFonts w:ascii="Times New Roman" w:eastAsia="Times New Roman" w:hAnsi="Times New Roman" w:cs="Times New Roman"/>
          <w:snapToGrid w:val="0"/>
          <w:szCs w:val="24"/>
          <w:highlight w:val="lightGray"/>
          <w:u w:val="single"/>
        </w:rPr>
        <w:t>Zentiva</w:t>
      </w:r>
      <w:proofErr w:type="spellEnd"/>
      <w:r w:rsidRPr="00633873">
        <w:rPr>
          <w:rFonts w:ascii="Times New Roman" w:eastAsia="Times New Roman" w:hAnsi="Times New Roman" w:cs="Times New Roman"/>
          <w:snapToGrid w:val="0"/>
          <w:szCs w:val="24"/>
          <w:highlight w:val="lightGray"/>
          <w:u w:val="single"/>
        </w:rPr>
        <w:t xml:space="preserve"> 10 mg plėvele dengtos tabletės</w:t>
      </w:r>
    </w:p>
    <w:p w14:paraId="57DB162C" w14:textId="77777777" w:rsidR="003124B1" w:rsidRPr="00633873" w:rsidRDefault="003124B1" w:rsidP="003124B1">
      <w:pPr>
        <w:pStyle w:val="Sraopastraipa"/>
        <w:tabs>
          <w:tab w:val="left" w:pos="567"/>
        </w:tabs>
        <w:spacing w:after="0" w:line="260" w:lineRule="exact"/>
        <w:ind w:left="567"/>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highlight w:val="lightGray"/>
        </w:rPr>
        <w:t xml:space="preserve">Kiekvienoje tabletėje yra 10 mg </w:t>
      </w:r>
      <w:proofErr w:type="spellStart"/>
      <w:r w:rsidRPr="00633873">
        <w:rPr>
          <w:rFonts w:ascii="Times New Roman" w:eastAsia="Times New Roman" w:hAnsi="Times New Roman" w:cs="Times New Roman"/>
          <w:snapToGrid w:val="0"/>
          <w:szCs w:val="24"/>
          <w:highlight w:val="lightGray"/>
        </w:rPr>
        <w:t>ambrisentano</w:t>
      </w:r>
      <w:proofErr w:type="spellEnd"/>
      <w:r w:rsidRPr="00633873">
        <w:rPr>
          <w:rFonts w:ascii="Times New Roman" w:eastAsia="Times New Roman" w:hAnsi="Times New Roman" w:cs="Times New Roman"/>
          <w:snapToGrid w:val="0"/>
          <w:szCs w:val="24"/>
          <w:highlight w:val="lightGray"/>
        </w:rPr>
        <w:t>.</w:t>
      </w:r>
      <w:r w:rsidRPr="00633873">
        <w:rPr>
          <w:rFonts w:ascii="Times New Roman" w:eastAsia="Times New Roman" w:hAnsi="Times New Roman" w:cs="Times New Roman"/>
          <w:snapToGrid w:val="0"/>
          <w:szCs w:val="24"/>
        </w:rPr>
        <w:cr/>
      </w:r>
    </w:p>
    <w:p w14:paraId="0AEE7C6A" w14:textId="77777777" w:rsidR="003124B1" w:rsidRPr="00633873" w:rsidRDefault="00A35A18" w:rsidP="0022563C">
      <w:pPr>
        <w:numPr>
          <w:ilvl w:val="0"/>
          <w:numId w:val="26"/>
        </w:numPr>
        <w:tabs>
          <w:tab w:val="left" w:pos="567"/>
        </w:tabs>
        <w:spacing w:after="0" w:line="240" w:lineRule="auto"/>
        <w:ind w:right="-2"/>
        <w:rPr>
          <w:rFonts w:ascii="Times New Roman" w:eastAsia="Times New Roman" w:hAnsi="Times New Roman" w:cs="Times New Roman"/>
          <w:snapToGrid w:val="0"/>
          <w:szCs w:val="24"/>
          <w:u w:val="single"/>
        </w:rPr>
      </w:pPr>
      <w:r w:rsidRPr="00633873">
        <w:rPr>
          <w:rFonts w:ascii="Times New Roman" w:eastAsia="Times New Roman" w:hAnsi="Times New Roman" w:cs="Times New Roman"/>
          <w:snapToGrid w:val="0"/>
          <w:szCs w:val="24"/>
          <w:u w:val="single"/>
        </w:rPr>
        <w:t>Pagalbinės medžiagos</w:t>
      </w:r>
    </w:p>
    <w:p w14:paraId="7A27AD98" w14:textId="77777777" w:rsidR="003124B1" w:rsidRPr="00633873" w:rsidRDefault="003124B1" w:rsidP="003124B1">
      <w:pPr>
        <w:tabs>
          <w:tab w:val="left" w:pos="567"/>
        </w:tabs>
        <w:spacing w:after="0" w:line="240" w:lineRule="auto"/>
        <w:ind w:left="567"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Tabletės branduolys:</w:t>
      </w:r>
      <w:r w:rsidR="00A35A18" w:rsidRPr="00633873">
        <w:rPr>
          <w:rFonts w:ascii="Times New Roman" w:eastAsia="Times New Roman" w:hAnsi="Times New Roman" w:cs="Times New Roman"/>
          <w:snapToGrid w:val="0"/>
          <w:szCs w:val="24"/>
        </w:rPr>
        <w:t xml:space="preserve"> </w:t>
      </w:r>
      <w:proofErr w:type="spellStart"/>
      <w:r w:rsidR="00A35A18" w:rsidRPr="00633873">
        <w:rPr>
          <w:rFonts w:ascii="Times New Roman" w:eastAsia="Times New Roman" w:hAnsi="Times New Roman" w:cs="Times New Roman"/>
          <w:snapToGrid w:val="0"/>
          <w:szCs w:val="24"/>
        </w:rPr>
        <w:t>mikrokristalinė</w:t>
      </w:r>
      <w:proofErr w:type="spellEnd"/>
      <w:r w:rsidR="00A35A18" w:rsidRPr="00633873">
        <w:rPr>
          <w:rFonts w:ascii="Times New Roman" w:eastAsia="Times New Roman" w:hAnsi="Times New Roman" w:cs="Times New Roman"/>
          <w:snapToGrid w:val="0"/>
          <w:szCs w:val="24"/>
        </w:rPr>
        <w:t xml:space="preserve"> celiuliozė (E460), laktozė </w:t>
      </w:r>
      <w:proofErr w:type="spellStart"/>
      <w:r w:rsidR="00A35A18" w:rsidRPr="00633873">
        <w:rPr>
          <w:rFonts w:ascii="Times New Roman" w:eastAsia="Times New Roman" w:hAnsi="Times New Roman" w:cs="Times New Roman"/>
          <w:snapToGrid w:val="0"/>
          <w:szCs w:val="24"/>
        </w:rPr>
        <w:t>monohidratas</w:t>
      </w:r>
      <w:proofErr w:type="spellEnd"/>
      <w:r w:rsidR="00A35A18" w:rsidRPr="00633873">
        <w:rPr>
          <w:rFonts w:ascii="Times New Roman" w:eastAsia="Times New Roman" w:hAnsi="Times New Roman" w:cs="Times New Roman"/>
          <w:snapToGrid w:val="0"/>
          <w:szCs w:val="24"/>
        </w:rPr>
        <w:t xml:space="preserve">, </w:t>
      </w:r>
      <w:proofErr w:type="spellStart"/>
      <w:r w:rsidR="00A35A18" w:rsidRPr="00633873">
        <w:rPr>
          <w:rFonts w:ascii="Times New Roman" w:eastAsia="Times New Roman" w:hAnsi="Times New Roman" w:cs="Times New Roman"/>
          <w:snapToGrid w:val="0"/>
          <w:szCs w:val="24"/>
        </w:rPr>
        <w:t>kroskarmeliozės</w:t>
      </w:r>
      <w:proofErr w:type="spellEnd"/>
      <w:r w:rsidR="00A35A18" w:rsidRPr="00633873">
        <w:rPr>
          <w:rFonts w:ascii="Times New Roman" w:eastAsia="Times New Roman" w:hAnsi="Times New Roman" w:cs="Times New Roman"/>
          <w:snapToGrid w:val="0"/>
          <w:szCs w:val="24"/>
        </w:rPr>
        <w:t xml:space="preserve"> natrio druska (E468), magnio </w:t>
      </w:r>
      <w:proofErr w:type="spellStart"/>
      <w:r w:rsidR="00A35A18" w:rsidRPr="00633873">
        <w:rPr>
          <w:rFonts w:ascii="Times New Roman" w:eastAsia="Times New Roman" w:hAnsi="Times New Roman" w:cs="Times New Roman"/>
          <w:snapToGrid w:val="0"/>
          <w:szCs w:val="24"/>
        </w:rPr>
        <w:t>stearatas</w:t>
      </w:r>
      <w:proofErr w:type="spellEnd"/>
      <w:r w:rsidR="00A35A18" w:rsidRPr="00633873">
        <w:rPr>
          <w:rFonts w:ascii="Times New Roman" w:eastAsia="Times New Roman" w:hAnsi="Times New Roman" w:cs="Times New Roman"/>
          <w:snapToGrid w:val="0"/>
          <w:szCs w:val="24"/>
        </w:rPr>
        <w:t xml:space="preserve"> (E572)</w:t>
      </w:r>
      <w:r w:rsidRPr="00633873">
        <w:rPr>
          <w:rFonts w:ascii="Times New Roman" w:eastAsia="Times New Roman" w:hAnsi="Times New Roman" w:cs="Times New Roman"/>
          <w:snapToGrid w:val="0"/>
          <w:szCs w:val="24"/>
        </w:rPr>
        <w:t>.</w:t>
      </w:r>
    </w:p>
    <w:p w14:paraId="5F3B9E2C" w14:textId="77777777" w:rsidR="00A35A18" w:rsidRPr="00633873" w:rsidRDefault="003124B1" w:rsidP="003124B1">
      <w:pPr>
        <w:tabs>
          <w:tab w:val="left" w:pos="567"/>
        </w:tabs>
        <w:spacing w:after="0" w:line="240" w:lineRule="auto"/>
        <w:ind w:left="567"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Tabletės plėvelė:</w:t>
      </w:r>
      <w:r w:rsidR="00A35A18" w:rsidRPr="00633873">
        <w:rPr>
          <w:rFonts w:ascii="Times New Roman" w:eastAsia="Times New Roman" w:hAnsi="Times New Roman" w:cs="Times New Roman"/>
          <w:snapToGrid w:val="0"/>
          <w:szCs w:val="24"/>
        </w:rPr>
        <w:t xml:space="preserve"> polivinilo alkoholis</w:t>
      </w:r>
      <w:r w:rsidRPr="00633873">
        <w:rPr>
          <w:rFonts w:ascii="Times New Roman" w:eastAsia="Times New Roman" w:hAnsi="Times New Roman" w:cs="Times New Roman"/>
          <w:snapToGrid w:val="0"/>
          <w:szCs w:val="24"/>
        </w:rPr>
        <w:t xml:space="preserve"> (E1203)</w:t>
      </w:r>
      <w:r w:rsidR="00A35A18" w:rsidRPr="00633873">
        <w:rPr>
          <w:rFonts w:ascii="Times New Roman" w:eastAsia="Times New Roman" w:hAnsi="Times New Roman" w:cs="Times New Roman"/>
          <w:snapToGrid w:val="0"/>
          <w:szCs w:val="24"/>
        </w:rPr>
        <w:t xml:space="preserve">, titano dioksidas (E171), </w:t>
      </w:r>
      <w:proofErr w:type="spellStart"/>
      <w:r w:rsidR="00A35A18" w:rsidRPr="00633873">
        <w:rPr>
          <w:rFonts w:ascii="Times New Roman" w:eastAsia="Times New Roman" w:hAnsi="Times New Roman" w:cs="Times New Roman"/>
          <w:snapToGrid w:val="0"/>
          <w:szCs w:val="24"/>
        </w:rPr>
        <w:t>makrogolis</w:t>
      </w:r>
      <w:proofErr w:type="spellEnd"/>
      <w:r w:rsidRPr="00633873">
        <w:rPr>
          <w:rFonts w:ascii="Times New Roman" w:eastAsia="Times New Roman" w:hAnsi="Times New Roman" w:cs="Times New Roman"/>
          <w:snapToGrid w:val="0"/>
          <w:szCs w:val="24"/>
        </w:rPr>
        <w:t xml:space="preserve"> MW 3350</w:t>
      </w:r>
      <w:r w:rsidR="00A35A18" w:rsidRPr="00633873">
        <w:rPr>
          <w:rFonts w:ascii="Times New Roman" w:eastAsia="Times New Roman" w:hAnsi="Times New Roman" w:cs="Times New Roman"/>
          <w:snapToGrid w:val="0"/>
          <w:szCs w:val="24"/>
        </w:rPr>
        <w:t>/</w:t>
      </w:r>
      <w:proofErr w:type="spellStart"/>
      <w:r w:rsidR="00A35A18" w:rsidRPr="00633873">
        <w:rPr>
          <w:rFonts w:ascii="Times New Roman" w:eastAsia="Times New Roman" w:hAnsi="Times New Roman" w:cs="Times New Roman"/>
          <w:snapToGrid w:val="0"/>
          <w:szCs w:val="24"/>
        </w:rPr>
        <w:t>polietilenglikolis</w:t>
      </w:r>
      <w:proofErr w:type="spellEnd"/>
      <w:r w:rsidR="00A35A18" w:rsidRPr="00633873">
        <w:rPr>
          <w:rFonts w:ascii="Times New Roman" w:eastAsia="Times New Roman" w:hAnsi="Times New Roman" w:cs="Times New Roman"/>
          <w:snapToGrid w:val="0"/>
          <w:szCs w:val="24"/>
        </w:rPr>
        <w:t xml:space="preserve"> (E1521), talkas (E553b), </w:t>
      </w:r>
      <w:proofErr w:type="spellStart"/>
      <w:r w:rsidR="00A35A18" w:rsidRPr="00633873">
        <w:rPr>
          <w:rFonts w:ascii="Times New Roman" w:eastAsia="Times New Roman" w:hAnsi="Times New Roman" w:cs="Times New Roman"/>
          <w:snapToGrid w:val="0"/>
          <w:szCs w:val="24"/>
        </w:rPr>
        <w:t>Alura</w:t>
      </w:r>
      <w:proofErr w:type="spellEnd"/>
      <w:r w:rsidR="00A35A18" w:rsidRPr="00633873">
        <w:rPr>
          <w:rFonts w:ascii="Times New Roman" w:eastAsia="Times New Roman" w:hAnsi="Times New Roman" w:cs="Times New Roman"/>
          <w:snapToGrid w:val="0"/>
          <w:szCs w:val="24"/>
        </w:rPr>
        <w:t xml:space="preserve"> raudonasis AC (E129)</w:t>
      </w:r>
      <w:r w:rsidR="007F3B55" w:rsidRPr="00633873">
        <w:rPr>
          <w:rFonts w:ascii="Times New Roman" w:eastAsia="Times New Roman" w:hAnsi="Times New Roman" w:cs="Times New Roman"/>
          <w:snapToGrid w:val="0"/>
          <w:szCs w:val="24"/>
        </w:rPr>
        <w:t>,</w:t>
      </w:r>
      <w:r w:rsidR="00A35A18" w:rsidRPr="00633873">
        <w:rPr>
          <w:rFonts w:ascii="Times New Roman" w:eastAsia="Times New Roman" w:hAnsi="Times New Roman" w:cs="Times New Roman"/>
          <w:snapToGrid w:val="0"/>
          <w:szCs w:val="24"/>
        </w:rPr>
        <w:t xml:space="preserve"> </w:t>
      </w:r>
      <w:proofErr w:type="spellStart"/>
      <w:r w:rsidR="00A35A18" w:rsidRPr="00633873">
        <w:rPr>
          <w:rFonts w:ascii="Times New Roman" w:eastAsia="Times New Roman" w:hAnsi="Times New Roman" w:cs="Times New Roman"/>
          <w:snapToGrid w:val="0"/>
          <w:szCs w:val="24"/>
        </w:rPr>
        <w:t>lecitinas</w:t>
      </w:r>
      <w:proofErr w:type="spellEnd"/>
      <w:r w:rsidR="00A35A18" w:rsidRPr="00633873">
        <w:rPr>
          <w:rFonts w:ascii="Times New Roman" w:eastAsia="Times New Roman" w:hAnsi="Times New Roman" w:cs="Times New Roman"/>
          <w:snapToGrid w:val="0"/>
          <w:szCs w:val="24"/>
        </w:rPr>
        <w:t xml:space="preserve"> (sojų) (E322).</w:t>
      </w:r>
    </w:p>
    <w:p w14:paraId="0D2FE4DD"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16BB4D3" w14:textId="77777777" w:rsidR="00A35A18" w:rsidRPr="00633873" w:rsidRDefault="00A35A18" w:rsidP="00A35A1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roofErr w:type="spellStart"/>
      <w:r w:rsidRPr="00633873">
        <w:rPr>
          <w:rFonts w:ascii="Times New Roman" w:eastAsia="Times New Roman" w:hAnsi="Times New Roman" w:cs="Times New Roman"/>
          <w:b/>
          <w:bCs/>
          <w:snapToGrid w:val="0"/>
          <w:szCs w:val="28"/>
          <w:lang w:eastAsia="x-none"/>
        </w:rPr>
        <w:t>Ambrisentan</w:t>
      </w:r>
      <w:proofErr w:type="spellEnd"/>
      <w:r w:rsidRPr="00633873">
        <w:rPr>
          <w:rFonts w:ascii="Times New Roman" w:eastAsia="Times New Roman" w:hAnsi="Times New Roman" w:cs="Times New Roman"/>
          <w:b/>
          <w:bCs/>
          <w:snapToGrid w:val="0"/>
          <w:szCs w:val="28"/>
          <w:lang w:eastAsia="x-none"/>
        </w:rPr>
        <w:t xml:space="preserve"> </w:t>
      </w:r>
      <w:proofErr w:type="spellStart"/>
      <w:r w:rsidR="00E62DAA" w:rsidRPr="00633873">
        <w:rPr>
          <w:rFonts w:ascii="Times New Roman" w:eastAsia="Times New Roman" w:hAnsi="Times New Roman" w:cs="Times New Roman"/>
          <w:b/>
          <w:bCs/>
          <w:snapToGrid w:val="0"/>
          <w:szCs w:val="28"/>
          <w:lang w:eastAsia="x-none"/>
        </w:rPr>
        <w:t>Zentiva</w:t>
      </w:r>
      <w:proofErr w:type="spellEnd"/>
      <w:r w:rsidRPr="00633873">
        <w:rPr>
          <w:rFonts w:ascii="Times New Roman" w:eastAsia="Times New Roman" w:hAnsi="Times New Roman" w:cs="Times New Roman"/>
          <w:b/>
          <w:bCs/>
          <w:snapToGrid w:val="0"/>
          <w:szCs w:val="28"/>
          <w:lang w:eastAsia="x-none"/>
        </w:rPr>
        <w:t xml:space="preserve"> išvaizda ir kiekis pakuotėje</w:t>
      </w:r>
    </w:p>
    <w:p w14:paraId="1C04C185"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7D80CE00" w14:textId="77777777" w:rsidR="007F3B55" w:rsidRPr="00633873" w:rsidRDefault="007F3B55" w:rsidP="009F7541">
      <w:pPr>
        <w:keepNext/>
        <w:tabs>
          <w:tab w:val="left" w:pos="567"/>
        </w:tabs>
        <w:spacing w:after="0" w:line="260" w:lineRule="exact"/>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Ambrisentan</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Zentiva</w:t>
      </w:r>
      <w:proofErr w:type="spellEnd"/>
      <w:r w:rsidRPr="00633873">
        <w:rPr>
          <w:rFonts w:ascii="Times New Roman" w:eastAsia="Times New Roman" w:hAnsi="Times New Roman" w:cs="Times New Roman"/>
          <w:snapToGrid w:val="0"/>
          <w:szCs w:val="24"/>
          <w:u w:val="single"/>
        </w:rPr>
        <w:t xml:space="preserve"> 5 mg plėvele dengtos tabletės</w:t>
      </w:r>
    </w:p>
    <w:p w14:paraId="516BD4AA" w14:textId="77777777" w:rsidR="007F3B55" w:rsidRPr="00633873" w:rsidRDefault="007F3B55" w:rsidP="007F3B55">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Šviesiai rausva, kvadratinė, išgaubta plėvele dengta tabletė, vienoje pusėje įspausta „5“, kita pusė lygi, nominalusis ilgis/plotis maždaug 5,9 mm.</w:t>
      </w:r>
    </w:p>
    <w:p w14:paraId="30CA6D54" w14:textId="77777777" w:rsidR="007F3B55" w:rsidRPr="00633873" w:rsidRDefault="007F3B55" w:rsidP="007F3B55">
      <w:pPr>
        <w:tabs>
          <w:tab w:val="left" w:pos="567"/>
        </w:tabs>
        <w:spacing w:after="0" w:line="260" w:lineRule="exact"/>
        <w:rPr>
          <w:rFonts w:ascii="Times New Roman" w:eastAsia="Times New Roman" w:hAnsi="Times New Roman" w:cs="Times New Roman"/>
          <w:snapToGrid w:val="0"/>
          <w:szCs w:val="24"/>
        </w:rPr>
      </w:pPr>
    </w:p>
    <w:p w14:paraId="60D0F4BF" w14:textId="77777777" w:rsidR="007F3B55" w:rsidRPr="00633873" w:rsidRDefault="007F3B55" w:rsidP="009F7541">
      <w:pPr>
        <w:keepNext/>
        <w:tabs>
          <w:tab w:val="left" w:pos="567"/>
        </w:tabs>
        <w:spacing w:after="0" w:line="260" w:lineRule="exact"/>
        <w:rPr>
          <w:rFonts w:ascii="Times New Roman" w:eastAsia="Times New Roman" w:hAnsi="Times New Roman" w:cs="Times New Roman"/>
          <w:snapToGrid w:val="0"/>
          <w:szCs w:val="24"/>
          <w:highlight w:val="lightGray"/>
          <w:u w:val="single"/>
        </w:rPr>
      </w:pPr>
      <w:proofErr w:type="spellStart"/>
      <w:r w:rsidRPr="00633873">
        <w:rPr>
          <w:rFonts w:ascii="Times New Roman" w:eastAsia="Times New Roman" w:hAnsi="Times New Roman" w:cs="Times New Roman"/>
          <w:snapToGrid w:val="0"/>
          <w:szCs w:val="24"/>
          <w:highlight w:val="lightGray"/>
          <w:u w:val="single"/>
        </w:rPr>
        <w:lastRenderedPageBreak/>
        <w:t>Ambrisentan</w:t>
      </w:r>
      <w:proofErr w:type="spellEnd"/>
      <w:r w:rsidRPr="00633873">
        <w:rPr>
          <w:rFonts w:ascii="Times New Roman" w:eastAsia="Times New Roman" w:hAnsi="Times New Roman" w:cs="Times New Roman"/>
          <w:snapToGrid w:val="0"/>
          <w:szCs w:val="24"/>
          <w:highlight w:val="lightGray"/>
          <w:u w:val="single"/>
        </w:rPr>
        <w:t xml:space="preserve"> </w:t>
      </w:r>
      <w:proofErr w:type="spellStart"/>
      <w:r w:rsidRPr="00633873">
        <w:rPr>
          <w:rFonts w:ascii="Times New Roman" w:eastAsia="Times New Roman" w:hAnsi="Times New Roman" w:cs="Times New Roman"/>
          <w:snapToGrid w:val="0"/>
          <w:szCs w:val="24"/>
          <w:highlight w:val="lightGray"/>
          <w:u w:val="single"/>
        </w:rPr>
        <w:t>Zentiva</w:t>
      </w:r>
      <w:proofErr w:type="spellEnd"/>
      <w:r w:rsidRPr="00633873">
        <w:rPr>
          <w:rFonts w:ascii="Times New Roman" w:eastAsia="Times New Roman" w:hAnsi="Times New Roman" w:cs="Times New Roman"/>
          <w:snapToGrid w:val="0"/>
          <w:szCs w:val="24"/>
          <w:highlight w:val="lightGray"/>
          <w:u w:val="single"/>
        </w:rPr>
        <w:t xml:space="preserve"> 10 mg plėvele dengtos tabletės</w:t>
      </w:r>
    </w:p>
    <w:p w14:paraId="4B4A3D4B" w14:textId="77777777" w:rsidR="007F3B55" w:rsidRPr="00633873" w:rsidRDefault="007F3B55" w:rsidP="007F3B55">
      <w:pPr>
        <w:tabs>
          <w:tab w:val="left" w:pos="567"/>
        </w:tabs>
        <w:spacing w:after="0" w:line="260" w:lineRule="exact"/>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highlight w:val="lightGray"/>
        </w:rPr>
        <w:t>Rožinė, pailga, abipus išgaubta plėvele dengta tabletė, vienoje pusėje įspausta „10“, kita pusė lygi, nominalusis ilgis maždaug 11,1 mm, nominalusis plotis maždaug 5,6 mm.</w:t>
      </w:r>
    </w:p>
    <w:p w14:paraId="7A1E5463"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78985A9D" w14:textId="77777777" w:rsidR="007F3B55" w:rsidRPr="00633873" w:rsidRDefault="007F3B55" w:rsidP="007F3B55">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Ambrisentan</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tiekiamas supakuotas baltose PVC/PVDC/aliuminio lizdinės plokštelėse ir (arba) permatomose PVC/PE/PVDC/aliuminio lizdinėse plokštelėse.</w:t>
      </w:r>
    </w:p>
    <w:p w14:paraId="07D93498" w14:textId="77777777" w:rsidR="007F3B55" w:rsidRPr="00633873" w:rsidRDefault="007F3B55" w:rsidP="007F3B55">
      <w:pPr>
        <w:spacing w:after="0" w:line="240" w:lineRule="auto"/>
        <w:rPr>
          <w:rFonts w:ascii="Times New Roman" w:eastAsia="Times New Roman" w:hAnsi="Times New Roman" w:cs="Times New Roman"/>
          <w:snapToGrid w:val="0"/>
          <w:szCs w:val="24"/>
        </w:rPr>
      </w:pPr>
    </w:p>
    <w:p w14:paraId="32C372ED" w14:textId="3512CC81" w:rsidR="007F3B55" w:rsidRPr="00633873" w:rsidRDefault="007F3B55" w:rsidP="007F3B55">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Pakuotės dydis: kartono dėžutėje yra </w:t>
      </w:r>
      <w:r w:rsidRPr="00176502">
        <w:rPr>
          <w:rFonts w:ascii="Times New Roman" w:eastAsia="Times New Roman" w:hAnsi="Times New Roman" w:cs="Times New Roman"/>
          <w:snapToGrid w:val="0"/>
          <w:szCs w:val="24"/>
        </w:rPr>
        <w:t>10</w:t>
      </w:r>
      <w:r w:rsidR="00176502">
        <w:rPr>
          <w:rFonts w:ascii="Times New Roman" w:eastAsia="Times New Roman" w:hAnsi="Times New Roman" w:cs="Times New Roman"/>
          <w:snapToGrid w:val="0"/>
          <w:szCs w:val="24"/>
        </w:rPr>
        <w:t xml:space="preserve">, </w:t>
      </w:r>
      <w:r w:rsidRPr="006E25DF">
        <w:rPr>
          <w:rFonts w:ascii="Times New Roman" w:eastAsia="Times New Roman" w:hAnsi="Times New Roman" w:cs="Times New Roman"/>
          <w:snapToGrid w:val="0"/>
          <w:szCs w:val="24"/>
        </w:rPr>
        <w:t>30</w:t>
      </w:r>
      <w:r w:rsidR="00176502">
        <w:rPr>
          <w:rFonts w:ascii="Times New Roman" w:eastAsia="Times New Roman" w:hAnsi="Times New Roman" w:cs="Times New Roman"/>
          <w:snapToGrid w:val="0"/>
          <w:szCs w:val="24"/>
        </w:rPr>
        <w:t xml:space="preserve"> </w:t>
      </w:r>
      <w:r w:rsidR="00176502" w:rsidRPr="00483E68">
        <w:rPr>
          <w:rFonts w:ascii="Times New Roman" w:hAnsi="Times New Roman"/>
        </w:rPr>
        <w:t xml:space="preserve">arba </w:t>
      </w:r>
      <w:r w:rsidR="00176502">
        <w:rPr>
          <w:rFonts w:ascii="Times New Roman" w:eastAsia="Times New Roman" w:hAnsi="Times New Roman" w:cs="Times New Roman"/>
          <w:snapToGrid w:val="0"/>
          <w:szCs w:val="24"/>
        </w:rPr>
        <w:t>60</w:t>
      </w:r>
      <w:r w:rsidRPr="00633873">
        <w:rPr>
          <w:rFonts w:ascii="Times New Roman" w:eastAsia="Times New Roman" w:hAnsi="Times New Roman" w:cs="Times New Roman"/>
          <w:snapToGrid w:val="0"/>
          <w:szCs w:val="24"/>
        </w:rPr>
        <w:t xml:space="preserve"> plėvele dengtų tablečių arba </w:t>
      </w:r>
      <w:proofErr w:type="spellStart"/>
      <w:r w:rsidRPr="00633873">
        <w:rPr>
          <w:rFonts w:ascii="Times New Roman" w:eastAsia="Times New Roman" w:hAnsi="Times New Roman" w:cs="Times New Roman"/>
          <w:snapToGrid w:val="0"/>
          <w:szCs w:val="24"/>
        </w:rPr>
        <w:t>dalomosios</w:t>
      </w:r>
      <w:proofErr w:type="spellEnd"/>
      <w:r w:rsidRPr="00633873">
        <w:rPr>
          <w:rFonts w:ascii="Times New Roman" w:eastAsia="Times New Roman" w:hAnsi="Times New Roman" w:cs="Times New Roman"/>
          <w:snapToGrid w:val="0"/>
          <w:szCs w:val="24"/>
        </w:rPr>
        <w:t xml:space="preserve"> lizdinės plokštelės po 10 </w:t>
      </w:r>
      <w:r w:rsidR="005E5ECA" w:rsidRPr="005E5ECA">
        <w:rPr>
          <w:rFonts w:ascii="Times New Roman" w:eastAsia="Times New Roman" w:hAnsi="Times New Roman" w:cs="Times New Roman"/>
          <w:snapToGrid w:val="0"/>
          <w:szCs w:val="24"/>
        </w:rPr>
        <w:t>×</w:t>
      </w:r>
      <w:r w:rsidRPr="00633873">
        <w:rPr>
          <w:rFonts w:ascii="Times New Roman" w:eastAsia="Times New Roman" w:hAnsi="Times New Roman" w:cs="Times New Roman"/>
          <w:snapToGrid w:val="0"/>
          <w:szCs w:val="24"/>
        </w:rPr>
        <w:t> 1</w:t>
      </w:r>
      <w:r w:rsidR="00176502">
        <w:rPr>
          <w:rFonts w:ascii="Times New Roman" w:eastAsia="Times New Roman" w:hAnsi="Times New Roman" w:cs="Times New Roman"/>
          <w:snapToGrid w:val="0"/>
          <w:szCs w:val="24"/>
        </w:rPr>
        <w:t>,</w:t>
      </w:r>
      <w:r w:rsidRPr="006E25DF">
        <w:rPr>
          <w:rFonts w:ascii="Times New Roman" w:eastAsia="Times New Roman" w:hAnsi="Times New Roman" w:cs="Times New Roman"/>
          <w:snapToGrid w:val="0"/>
          <w:szCs w:val="24"/>
        </w:rPr>
        <w:t xml:space="preserve"> 30 </w:t>
      </w:r>
      <w:r w:rsidR="005E5ECA" w:rsidRPr="006E25DF">
        <w:rPr>
          <w:rFonts w:ascii="Times New Roman" w:eastAsia="Times New Roman" w:hAnsi="Times New Roman" w:cs="Times New Roman"/>
          <w:snapToGrid w:val="0"/>
          <w:szCs w:val="20"/>
        </w:rPr>
        <w:t>×</w:t>
      </w:r>
      <w:r w:rsidRPr="006E25DF">
        <w:rPr>
          <w:rFonts w:ascii="Times New Roman" w:eastAsia="Times New Roman" w:hAnsi="Times New Roman" w:cs="Times New Roman"/>
          <w:snapToGrid w:val="0"/>
          <w:szCs w:val="24"/>
        </w:rPr>
        <w:t> 1</w:t>
      </w:r>
      <w:r w:rsidR="00176502">
        <w:rPr>
          <w:rFonts w:ascii="Times New Roman" w:eastAsia="Times New Roman" w:hAnsi="Times New Roman" w:cs="Times New Roman"/>
          <w:snapToGrid w:val="0"/>
          <w:szCs w:val="24"/>
        </w:rPr>
        <w:t xml:space="preserve"> </w:t>
      </w:r>
      <w:r w:rsidR="00176502" w:rsidRPr="00483E68">
        <w:rPr>
          <w:rFonts w:ascii="Times New Roman" w:hAnsi="Times New Roman"/>
        </w:rPr>
        <w:t xml:space="preserve">arba </w:t>
      </w:r>
      <w:r w:rsidR="00176502">
        <w:rPr>
          <w:rFonts w:ascii="Times New Roman" w:eastAsia="Times New Roman" w:hAnsi="Times New Roman" w:cs="Times New Roman"/>
          <w:snapToGrid w:val="0"/>
          <w:szCs w:val="24"/>
        </w:rPr>
        <w:t>6</w:t>
      </w:r>
      <w:r w:rsidR="00176502" w:rsidRPr="00AA6FF4">
        <w:rPr>
          <w:rFonts w:ascii="Times New Roman" w:eastAsia="Times New Roman" w:hAnsi="Times New Roman" w:cs="Times New Roman"/>
          <w:snapToGrid w:val="0"/>
          <w:szCs w:val="24"/>
        </w:rPr>
        <w:t>0</w:t>
      </w:r>
      <w:r w:rsidR="00176502" w:rsidRPr="00483E68">
        <w:rPr>
          <w:rFonts w:ascii="Times New Roman" w:hAnsi="Times New Roman"/>
        </w:rPr>
        <w:t> × 1</w:t>
      </w:r>
      <w:r w:rsidRPr="00633873">
        <w:rPr>
          <w:rFonts w:ascii="Times New Roman" w:eastAsia="Times New Roman" w:hAnsi="Times New Roman" w:cs="Times New Roman"/>
          <w:snapToGrid w:val="0"/>
          <w:szCs w:val="24"/>
        </w:rPr>
        <w:t xml:space="preserve"> plėvele dengtą tabletę.</w:t>
      </w:r>
    </w:p>
    <w:p w14:paraId="0F1CC16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5D34FF1C"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Gali būti tiekiamos ne visų dydžių pakuotės.</w:t>
      </w:r>
    </w:p>
    <w:p w14:paraId="552BBBD3"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9D161A7" w14:textId="77777777" w:rsidR="00A35A18" w:rsidRPr="00633873" w:rsidRDefault="00A35A18" w:rsidP="00A35A18">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b/>
          <w:bCs/>
          <w:snapToGrid w:val="0"/>
          <w:szCs w:val="28"/>
          <w:lang w:eastAsia="x-none"/>
        </w:rPr>
        <w:t>Registruotojas ir gamintojas</w:t>
      </w:r>
    </w:p>
    <w:p w14:paraId="409BE888"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38349155" w14:textId="77777777" w:rsidR="00A35A18" w:rsidRPr="00633873" w:rsidRDefault="00A35A18" w:rsidP="00A35A18">
      <w:pPr>
        <w:spacing w:after="0" w:line="240" w:lineRule="auto"/>
        <w:rPr>
          <w:rFonts w:ascii="Times New Roman" w:eastAsia="Times New Roman" w:hAnsi="Times New Roman" w:cs="Times New Roman"/>
          <w:i/>
          <w:iCs/>
          <w:snapToGrid w:val="0"/>
          <w:szCs w:val="24"/>
        </w:rPr>
      </w:pPr>
      <w:r w:rsidRPr="00633873">
        <w:rPr>
          <w:rFonts w:ascii="Times New Roman" w:eastAsia="Times New Roman" w:hAnsi="Times New Roman" w:cs="Times New Roman"/>
          <w:i/>
          <w:iCs/>
          <w:snapToGrid w:val="0"/>
          <w:szCs w:val="24"/>
        </w:rPr>
        <w:t>Registruotojas</w:t>
      </w:r>
    </w:p>
    <w:p w14:paraId="53B8413F" w14:textId="77777777" w:rsidR="00942891" w:rsidRPr="00633873" w:rsidRDefault="00942891" w:rsidP="00942891">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Zentiva</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k.s</w:t>
      </w:r>
      <w:proofErr w:type="spellEnd"/>
      <w:r w:rsidRPr="00633873">
        <w:rPr>
          <w:rFonts w:ascii="Times New Roman" w:eastAsia="Times New Roman" w:hAnsi="Times New Roman" w:cs="Times New Roman"/>
          <w:snapToGrid w:val="0"/>
          <w:szCs w:val="24"/>
        </w:rPr>
        <w:t>.</w:t>
      </w:r>
    </w:p>
    <w:p w14:paraId="5EABDFC8"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U </w:t>
      </w:r>
      <w:proofErr w:type="spellStart"/>
      <w:r w:rsidRPr="00633873">
        <w:rPr>
          <w:rFonts w:ascii="Times New Roman" w:eastAsia="Times New Roman" w:hAnsi="Times New Roman" w:cs="Times New Roman"/>
          <w:snapToGrid w:val="0"/>
          <w:szCs w:val="24"/>
        </w:rPr>
        <w:t>kabelovny</w:t>
      </w:r>
      <w:proofErr w:type="spellEnd"/>
      <w:r w:rsidRPr="00633873">
        <w:rPr>
          <w:rFonts w:ascii="Times New Roman" w:eastAsia="Times New Roman" w:hAnsi="Times New Roman" w:cs="Times New Roman"/>
          <w:snapToGrid w:val="0"/>
          <w:szCs w:val="24"/>
        </w:rPr>
        <w:t xml:space="preserve"> 130</w:t>
      </w:r>
    </w:p>
    <w:p w14:paraId="02B4E9F4" w14:textId="77777777" w:rsidR="00942891" w:rsidRPr="00633873" w:rsidRDefault="00942891" w:rsidP="00942891">
      <w:pPr>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Dolni</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Mėcholupy</w:t>
      </w:r>
      <w:proofErr w:type="spellEnd"/>
    </w:p>
    <w:p w14:paraId="717FF780"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102 37 Praha 10</w:t>
      </w:r>
    </w:p>
    <w:p w14:paraId="5546DCBE" w14:textId="77777777" w:rsidR="00942891" w:rsidRPr="00633873" w:rsidRDefault="00942891" w:rsidP="00942891">
      <w:pPr>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Čekija</w:t>
      </w:r>
    </w:p>
    <w:p w14:paraId="1A8F3D84"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snapToGrid w:val="0"/>
          <w:szCs w:val="24"/>
        </w:rPr>
      </w:pPr>
    </w:p>
    <w:p w14:paraId="0437B84A" w14:textId="77777777" w:rsidR="00A35A18" w:rsidRPr="00633873" w:rsidRDefault="00A35A18" w:rsidP="00A35A18">
      <w:pPr>
        <w:numPr>
          <w:ilvl w:val="12"/>
          <w:numId w:val="0"/>
        </w:numPr>
        <w:spacing w:after="0" w:line="240" w:lineRule="auto"/>
        <w:ind w:right="-2"/>
        <w:rPr>
          <w:rFonts w:ascii="Times New Roman" w:eastAsia="Times New Roman" w:hAnsi="Times New Roman" w:cs="Times New Roman"/>
          <w:i/>
          <w:iCs/>
          <w:snapToGrid w:val="0"/>
          <w:szCs w:val="24"/>
        </w:rPr>
      </w:pPr>
      <w:r w:rsidRPr="00633873">
        <w:rPr>
          <w:rFonts w:ascii="Times New Roman" w:eastAsia="Times New Roman" w:hAnsi="Times New Roman" w:cs="Times New Roman"/>
          <w:i/>
          <w:iCs/>
          <w:snapToGrid w:val="0"/>
          <w:szCs w:val="24"/>
        </w:rPr>
        <w:t>Gamintojas</w:t>
      </w:r>
    </w:p>
    <w:p w14:paraId="68A59F5C"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Genepharm</w:t>
      </w:r>
      <w:proofErr w:type="spellEnd"/>
      <w:r w:rsidRPr="00633873">
        <w:rPr>
          <w:rFonts w:ascii="Times New Roman" w:eastAsia="Times New Roman" w:hAnsi="Times New Roman" w:cs="Times New Roman"/>
          <w:snapToGrid w:val="0"/>
          <w:szCs w:val="24"/>
          <w:u w:val="single"/>
        </w:rPr>
        <w:t xml:space="preserve"> S.A, </w:t>
      </w:r>
    </w:p>
    <w:p w14:paraId="34DF7A45"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18 km </w:t>
      </w:r>
      <w:proofErr w:type="spellStart"/>
      <w:r w:rsidRPr="00633873">
        <w:rPr>
          <w:rFonts w:ascii="Times New Roman" w:eastAsia="Times New Roman" w:hAnsi="Times New Roman" w:cs="Times New Roman"/>
          <w:snapToGrid w:val="0"/>
          <w:szCs w:val="24"/>
        </w:rPr>
        <w:t>Marathonos</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Avenue</w:t>
      </w:r>
      <w:proofErr w:type="spellEnd"/>
      <w:r w:rsidRPr="00633873">
        <w:rPr>
          <w:rFonts w:ascii="Times New Roman" w:eastAsia="Times New Roman" w:hAnsi="Times New Roman" w:cs="Times New Roman"/>
          <w:snapToGrid w:val="0"/>
          <w:szCs w:val="24"/>
        </w:rPr>
        <w:t xml:space="preserve">, </w:t>
      </w:r>
    </w:p>
    <w:p w14:paraId="7C62677A"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153 51 </w:t>
      </w:r>
      <w:proofErr w:type="spellStart"/>
      <w:r w:rsidRPr="00633873">
        <w:rPr>
          <w:rFonts w:ascii="Times New Roman" w:eastAsia="Times New Roman" w:hAnsi="Times New Roman" w:cs="Times New Roman"/>
          <w:snapToGrid w:val="0"/>
          <w:szCs w:val="24"/>
        </w:rPr>
        <w:t>Pallini</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Attiki</w:t>
      </w:r>
      <w:proofErr w:type="spellEnd"/>
      <w:r w:rsidRPr="00633873">
        <w:rPr>
          <w:rFonts w:ascii="Times New Roman" w:eastAsia="Times New Roman" w:hAnsi="Times New Roman" w:cs="Times New Roman"/>
          <w:snapToGrid w:val="0"/>
          <w:szCs w:val="24"/>
        </w:rPr>
        <w:t xml:space="preserve">, </w:t>
      </w:r>
    </w:p>
    <w:p w14:paraId="6628BF49"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Graikija</w:t>
      </w:r>
    </w:p>
    <w:p w14:paraId="443F390C"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p>
    <w:p w14:paraId="487C5FEB"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arba</w:t>
      </w:r>
    </w:p>
    <w:p w14:paraId="66789D0D"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u w:val="single"/>
        </w:rPr>
      </w:pPr>
    </w:p>
    <w:p w14:paraId="3C2DDE07"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u w:val="single"/>
        </w:rPr>
      </w:pPr>
      <w:proofErr w:type="spellStart"/>
      <w:r w:rsidRPr="00633873">
        <w:rPr>
          <w:rFonts w:ascii="Times New Roman" w:eastAsia="Times New Roman" w:hAnsi="Times New Roman" w:cs="Times New Roman"/>
          <w:snapToGrid w:val="0"/>
          <w:szCs w:val="24"/>
          <w:u w:val="single"/>
        </w:rPr>
        <w:t>Delorbis</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Pharmaceuticals</w:t>
      </w:r>
      <w:proofErr w:type="spellEnd"/>
      <w:r w:rsidRPr="00633873">
        <w:rPr>
          <w:rFonts w:ascii="Times New Roman" w:eastAsia="Times New Roman" w:hAnsi="Times New Roman" w:cs="Times New Roman"/>
          <w:snapToGrid w:val="0"/>
          <w:szCs w:val="24"/>
          <w:u w:val="single"/>
        </w:rPr>
        <w:t xml:space="preserve"> </w:t>
      </w:r>
      <w:proofErr w:type="spellStart"/>
      <w:r w:rsidRPr="00633873">
        <w:rPr>
          <w:rFonts w:ascii="Times New Roman" w:eastAsia="Times New Roman" w:hAnsi="Times New Roman" w:cs="Times New Roman"/>
          <w:snapToGrid w:val="0"/>
          <w:szCs w:val="24"/>
          <w:u w:val="single"/>
        </w:rPr>
        <w:t>Ltd</w:t>
      </w:r>
      <w:proofErr w:type="spellEnd"/>
      <w:r w:rsidRPr="00633873">
        <w:rPr>
          <w:rFonts w:ascii="Times New Roman" w:eastAsia="Times New Roman" w:hAnsi="Times New Roman" w:cs="Times New Roman"/>
          <w:snapToGrid w:val="0"/>
          <w:szCs w:val="24"/>
          <w:u w:val="single"/>
        </w:rPr>
        <w:t xml:space="preserve">, </w:t>
      </w:r>
    </w:p>
    <w:p w14:paraId="46AB985F"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l7 </w:t>
      </w:r>
      <w:proofErr w:type="spellStart"/>
      <w:r w:rsidRPr="00633873">
        <w:rPr>
          <w:rFonts w:ascii="Times New Roman" w:eastAsia="Times New Roman" w:hAnsi="Times New Roman" w:cs="Times New Roman"/>
          <w:snapToGrid w:val="0"/>
          <w:szCs w:val="24"/>
        </w:rPr>
        <w:t>Athinon</w:t>
      </w:r>
      <w:proofErr w:type="spellEnd"/>
      <w:r w:rsidRPr="00633873">
        <w:rPr>
          <w:rFonts w:ascii="Times New Roman" w:eastAsia="Times New Roman" w:hAnsi="Times New Roman" w:cs="Times New Roman"/>
          <w:snapToGrid w:val="0"/>
          <w:szCs w:val="24"/>
        </w:rPr>
        <w:t xml:space="preserve"> str., </w:t>
      </w:r>
    </w:p>
    <w:p w14:paraId="40014895"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proofErr w:type="spellStart"/>
      <w:r w:rsidRPr="00633873">
        <w:rPr>
          <w:rFonts w:ascii="Times New Roman" w:eastAsia="Times New Roman" w:hAnsi="Times New Roman" w:cs="Times New Roman"/>
          <w:snapToGrid w:val="0"/>
          <w:szCs w:val="24"/>
        </w:rPr>
        <w:t>Ergates</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Industrial</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Area</w:t>
      </w:r>
      <w:proofErr w:type="spellEnd"/>
      <w:r w:rsidRPr="00633873">
        <w:rPr>
          <w:rFonts w:ascii="Times New Roman" w:eastAsia="Times New Roman" w:hAnsi="Times New Roman" w:cs="Times New Roman"/>
          <w:snapToGrid w:val="0"/>
          <w:szCs w:val="24"/>
        </w:rPr>
        <w:t xml:space="preserve">, </w:t>
      </w:r>
    </w:p>
    <w:p w14:paraId="0C4A4E54"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 xml:space="preserve">2643 </w:t>
      </w:r>
      <w:proofErr w:type="spellStart"/>
      <w:r w:rsidRPr="00633873">
        <w:rPr>
          <w:rFonts w:ascii="Times New Roman" w:eastAsia="Times New Roman" w:hAnsi="Times New Roman" w:cs="Times New Roman"/>
          <w:snapToGrid w:val="0"/>
          <w:szCs w:val="24"/>
        </w:rPr>
        <w:t>Ergates</w:t>
      </w:r>
      <w:proofErr w:type="spellEnd"/>
      <w:r w:rsidRPr="00633873">
        <w:rPr>
          <w:rFonts w:ascii="Times New Roman" w:eastAsia="Times New Roman" w:hAnsi="Times New Roman" w:cs="Times New Roman"/>
          <w:snapToGrid w:val="0"/>
          <w:szCs w:val="24"/>
        </w:rPr>
        <w:t xml:space="preserve">, </w:t>
      </w:r>
      <w:proofErr w:type="spellStart"/>
      <w:r w:rsidRPr="00633873">
        <w:rPr>
          <w:rFonts w:ascii="Times New Roman" w:eastAsia="Times New Roman" w:hAnsi="Times New Roman" w:cs="Times New Roman"/>
          <w:snapToGrid w:val="0"/>
          <w:szCs w:val="24"/>
        </w:rPr>
        <w:t>Lefkosia</w:t>
      </w:r>
      <w:proofErr w:type="spellEnd"/>
      <w:r w:rsidRPr="00633873">
        <w:rPr>
          <w:rFonts w:ascii="Times New Roman" w:eastAsia="Times New Roman" w:hAnsi="Times New Roman" w:cs="Times New Roman"/>
          <w:snapToGrid w:val="0"/>
          <w:szCs w:val="24"/>
        </w:rPr>
        <w:t>,</w:t>
      </w:r>
    </w:p>
    <w:p w14:paraId="19ABA9F6" w14:textId="77777777" w:rsidR="00B736F6" w:rsidRPr="00633873" w:rsidRDefault="00B736F6" w:rsidP="00B736F6">
      <w:pPr>
        <w:tabs>
          <w:tab w:val="left" w:pos="567"/>
        </w:tabs>
        <w:spacing w:after="0" w:line="240" w:lineRule="auto"/>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4"/>
        </w:rPr>
        <w:t>Kipras</w:t>
      </w:r>
    </w:p>
    <w:p w14:paraId="69A3F3BE" w14:textId="77777777" w:rsidR="000249D1" w:rsidRPr="00633873" w:rsidRDefault="000249D1" w:rsidP="000249D1">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14:paraId="1A75A10C" w14:textId="77777777" w:rsidR="005F4A49" w:rsidRDefault="005F4A49" w:rsidP="005F4A49">
      <w:pPr>
        <w:tabs>
          <w:tab w:val="left" w:pos="567"/>
        </w:tab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arba</w:t>
      </w:r>
    </w:p>
    <w:p w14:paraId="2DB01590" w14:textId="77777777" w:rsidR="005F4A49" w:rsidRDefault="005F4A49" w:rsidP="005F4A49">
      <w:pPr>
        <w:tabs>
          <w:tab w:val="left" w:pos="567"/>
        </w:tabs>
        <w:spacing w:after="0" w:line="240" w:lineRule="auto"/>
        <w:rPr>
          <w:rFonts w:ascii="Times New Roman" w:eastAsia="Times New Roman" w:hAnsi="Times New Roman" w:cs="Times New Roman"/>
          <w:snapToGrid w:val="0"/>
          <w:szCs w:val="24"/>
        </w:rPr>
      </w:pPr>
    </w:p>
    <w:p w14:paraId="573804BC" w14:textId="77777777" w:rsidR="005F4A49" w:rsidRPr="00353AE9" w:rsidRDefault="005F4A49" w:rsidP="005F4A49">
      <w:pPr>
        <w:tabs>
          <w:tab w:val="left" w:pos="567"/>
        </w:tabs>
        <w:spacing w:after="0" w:line="240" w:lineRule="auto"/>
        <w:rPr>
          <w:rFonts w:ascii="Times New Roman" w:eastAsia="Times New Roman" w:hAnsi="Times New Roman" w:cs="Times New Roman"/>
          <w:snapToGrid w:val="0"/>
          <w:szCs w:val="24"/>
          <w:lang w:val="de-DE"/>
        </w:rPr>
      </w:pPr>
      <w:r w:rsidRPr="00353AE9">
        <w:rPr>
          <w:rFonts w:ascii="Times New Roman" w:eastAsia="Times New Roman" w:hAnsi="Times New Roman" w:cs="Times New Roman"/>
          <w:snapToGrid w:val="0"/>
          <w:szCs w:val="24"/>
          <w:lang w:val="de-DE"/>
        </w:rPr>
        <w:t>Prestige Promotion Verkaufsförderung &amp;</w:t>
      </w:r>
    </w:p>
    <w:p w14:paraId="1B1A8ED2" w14:textId="77777777" w:rsidR="005F4A49" w:rsidRPr="00353AE9" w:rsidRDefault="005F4A49" w:rsidP="005F4A49">
      <w:pPr>
        <w:tabs>
          <w:tab w:val="left" w:pos="567"/>
        </w:tabs>
        <w:spacing w:after="0" w:line="240" w:lineRule="auto"/>
        <w:rPr>
          <w:rFonts w:ascii="Times New Roman" w:eastAsia="Times New Roman" w:hAnsi="Times New Roman" w:cs="Times New Roman"/>
          <w:snapToGrid w:val="0"/>
          <w:szCs w:val="24"/>
          <w:lang w:val="de-DE"/>
        </w:rPr>
      </w:pPr>
      <w:r w:rsidRPr="00353AE9">
        <w:rPr>
          <w:rFonts w:ascii="Times New Roman" w:eastAsia="Times New Roman" w:hAnsi="Times New Roman" w:cs="Times New Roman"/>
          <w:snapToGrid w:val="0"/>
          <w:szCs w:val="24"/>
          <w:lang w:val="de-DE"/>
        </w:rPr>
        <w:t>Werbeservice GmbH</w:t>
      </w:r>
    </w:p>
    <w:p w14:paraId="64E5BEB1" w14:textId="77777777" w:rsidR="005F4A49" w:rsidRPr="00353AE9" w:rsidRDefault="005F4A49" w:rsidP="005F4A49">
      <w:pPr>
        <w:tabs>
          <w:tab w:val="left" w:pos="567"/>
        </w:tabs>
        <w:spacing w:after="0" w:line="240" w:lineRule="auto"/>
        <w:rPr>
          <w:rFonts w:ascii="Times New Roman" w:eastAsia="Times New Roman" w:hAnsi="Times New Roman" w:cs="Times New Roman"/>
          <w:snapToGrid w:val="0"/>
          <w:szCs w:val="24"/>
          <w:lang w:val="de-DE"/>
        </w:rPr>
      </w:pPr>
      <w:proofErr w:type="spellStart"/>
      <w:r w:rsidRPr="00353AE9">
        <w:rPr>
          <w:rFonts w:ascii="Times New Roman" w:eastAsia="Times New Roman" w:hAnsi="Times New Roman" w:cs="Times New Roman"/>
          <w:snapToGrid w:val="0"/>
          <w:szCs w:val="24"/>
          <w:lang w:val="de-DE"/>
        </w:rPr>
        <w:t>Borsigstraße</w:t>
      </w:r>
      <w:proofErr w:type="spellEnd"/>
      <w:r w:rsidRPr="00353AE9">
        <w:rPr>
          <w:rFonts w:ascii="Times New Roman" w:eastAsia="Times New Roman" w:hAnsi="Times New Roman" w:cs="Times New Roman"/>
          <w:snapToGrid w:val="0"/>
          <w:szCs w:val="24"/>
          <w:lang w:val="de-DE"/>
        </w:rPr>
        <w:t xml:space="preserve"> 2,</w:t>
      </w:r>
    </w:p>
    <w:p w14:paraId="5CD1732D" w14:textId="77777777" w:rsidR="005F4A49" w:rsidRDefault="005F4A49" w:rsidP="005F4A49">
      <w:pPr>
        <w:tabs>
          <w:tab w:val="left" w:pos="567"/>
        </w:tabs>
        <w:spacing w:after="0" w:line="240" w:lineRule="auto"/>
        <w:rPr>
          <w:rFonts w:ascii="Times New Roman" w:eastAsia="Times New Roman" w:hAnsi="Times New Roman" w:cs="Times New Roman"/>
          <w:snapToGrid w:val="0"/>
          <w:szCs w:val="24"/>
          <w:lang w:val="de-DE"/>
        </w:rPr>
      </w:pPr>
      <w:r w:rsidRPr="00353AE9">
        <w:rPr>
          <w:rFonts w:ascii="Times New Roman" w:eastAsia="Times New Roman" w:hAnsi="Times New Roman" w:cs="Times New Roman"/>
          <w:snapToGrid w:val="0"/>
          <w:szCs w:val="24"/>
          <w:lang w:val="de-DE"/>
        </w:rPr>
        <w:t>63755 Alzenau,</w:t>
      </w:r>
    </w:p>
    <w:p w14:paraId="0DD0962D" w14:textId="6A3C6E3F" w:rsidR="005F4A49" w:rsidRDefault="005F4A49" w:rsidP="005F4A49">
      <w:pPr>
        <w:numPr>
          <w:ilvl w:val="12"/>
          <w:numId w:val="0"/>
        </w:numPr>
        <w:tabs>
          <w:tab w:val="left" w:pos="567"/>
        </w:tabs>
        <w:spacing w:after="0" w:line="260" w:lineRule="exact"/>
        <w:ind w:right="-2"/>
        <w:rPr>
          <w:rFonts w:ascii="Times New Roman" w:eastAsia="Times New Roman" w:hAnsi="Times New Roman" w:cs="Times New Roman"/>
          <w:snapToGrid w:val="0"/>
          <w:szCs w:val="24"/>
          <w:lang w:val="de-DE"/>
        </w:rPr>
      </w:pPr>
      <w:proofErr w:type="spellStart"/>
      <w:r>
        <w:rPr>
          <w:rFonts w:ascii="Times New Roman" w:eastAsia="Times New Roman" w:hAnsi="Times New Roman" w:cs="Times New Roman"/>
          <w:snapToGrid w:val="0"/>
          <w:szCs w:val="24"/>
          <w:lang w:val="de-DE"/>
        </w:rPr>
        <w:t>Vokietija</w:t>
      </w:r>
      <w:proofErr w:type="spellEnd"/>
    </w:p>
    <w:p w14:paraId="1E4D966C" w14:textId="77777777" w:rsidR="005F4A49" w:rsidRPr="00633873" w:rsidRDefault="005F4A49" w:rsidP="005F4A49">
      <w:pPr>
        <w:numPr>
          <w:ilvl w:val="12"/>
          <w:numId w:val="0"/>
        </w:numPr>
        <w:tabs>
          <w:tab w:val="left" w:pos="567"/>
        </w:tabs>
        <w:spacing w:after="0" w:line="260" w:lineRule="exact"/>
        <w:ind w:right="-2"/>
        <w:rPr>
          <w:rFonts w:ascii="Times New Roman" w:eastAsia="Times New Roman" w:hAnsi="Times New Roman" w:cs="Times New Roman"/>
          <w:b/>
          <w:snapToGrid w:val="0"/>
          <w:szCs w:val="20"/>
        </w:rPr>
      </w:pPr>
    </w:p>
    <w:p w14:paraId="51CAB4C3" w14:textId="3BF40978" w:rsidR="00A35A18" w:rsidRPr="00633873" w:rsidRDefault="00A35A18" w:rsidP="00A35A1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33873">
        <w:rPr>
          <w:rFonts w:ascii="Times New Roman" w:eastAsia="Times New Roman" w:hAnsi="Times New Roman" w:cs="Times New Roman"/>
          <w:b/>
          <w:snapToGrid w:val="0"/>
          <w:szCs w:val="20"/>
        </w:rPr>
        <w:t>Šis vaistas E</w:t>
      </w:r>
      <w:r w:rsidR="005E5ECA">
        <w:rPr>
          <w:rFonts w:ascii="Times New Roman" w:eastAsia="Times New Roman" w:hAnsi="Times New Roman" w:cs="Times New Roman"/>
          <w:b/>
          <w:snapToGrid w:val="0"/>
          <w:szCs w:val="20"/>
        </w:rPr>
        <w:t>uropos ekonominės erdvės</w:t>
      </w:r>
      <w:r w:rsidRPr="00633873">
        <w:rPr>
          <w:rFonts w:ascii="Times New Roman" w:eastAsia="Times New Roman" w:hAnsi="Times New Roman" w:cs="Times New Roman"/>
          <w:b/>
          <w:snapToGrid w:val="0"/>
          <w:szCs w:val="20"/>
        </w:rPr>
        <w:t xml:space="preserve"> valstybėse narėse</w:t>
      </w:r>
      <w:r w:rsidR="005E5ECA">
        <w:rPr>
          <w:rFonts w:ascii="Times New Roman" w:eastAsia="Times New Roman" w:hAnsi="Times New Roman" w:cs="Times New Roman"/>
          <w:b/>
          <w:snapToGrid w:val="0"/>
          <w:szCs w:val="20"/>
        </w:rPr>
        <w:t xml:space="preserve"> ir Jungtinėje Karalystėje (Šiaurės Airijoje)</w:t>
      </w:r>
      <w:r w:rsidRPr="00633873">
        <w:rPr>
          <w:rFonts w:ascii="Times New Roman" w:eastAsia="Times New Roman" w:hAnsi="Times New Roman" w:cs="Times New Roman"/>
          <w:b/>
          <w:snapToGrid w:val="0"/>
          <w:szCs w:val="20"/>
        </w:rPr>
        <w:t xml:space="preserve"> registruotas tokiais pavadinimais</w:t>
      </w:r>
      <w:r w:rsidRPr="00633873">
        <w:rPr>
          <w:rFonts w:ascii="Times New Roman" w:eastAsia="Times New Roman" w:hAnsi="Times New Roman" w:cs="Times New Roman"/>
          <w:snapToGrid w:val="0"/>
          <w:szCs w:val="20"/>
        </w:rPr>
        <w:t>:</w:t>
      </w:r>
    </w:p>
    <w:p w14:paraId="68857687" w14:textId="64B2B368" w:rsidR="00A35A18" w:rsidRPr="00633873" w:rsidRDefault="00B736F6" w:rsidP="00F64FA9">
      <w:pPr>
        <w:numPr>
          <w:ilvl w:val="12"/>
          <w:numId w:val="0"/>
        </w:numPr>
        <w:tabs>
          <w:tab w:val="left" w:pos="567"/>
        </w:tabs>
        <w:spacing w:after="0" w:line="260" w:lineRule="exact"/>
        <w:ind w:right="-2"/>
        <w:rPr>
          <w:rFonts w:ascii="Times New Roman" w:eastAsia="Times New Roman" w:hAnsi="Times New Roman" w:cs="Times New Roman"/>
          <w:b/>
          <w:bCs/>
          <w:snapToGrid w:val="0"/>
          <w:szCs w:val="28"/>
          <w:lang w:eastAsia="x-none"/>
        </w:rPr>
      </w:pPr>
      <w:r w:rsidRPr="00633873">
        <w:rPr>
          <w:rFonts w:ascii="Times New Roman" w:eastAsia="Times New Roman" w:hAnsi="Times New Roman" w:cs="Times New Roman"/>
          <w:snapToGrid w:val="0"/>
          <w:szCs w:val="20"/>
        </w:rPr>
        <w:t xml:space="preserve">Bulgarija, Čekija, Estija, </w:t>
      </w:r>
      <w:r w:rsidR="00C8160F" w:rsidRPr="00633873">
        <w:rPr>
          <w:rFonts w:ascii="Times New Roman" w:eastAsia="Times New Roman" w:hAnsi="Times New Roman" w:cs="Times New Roman"/>
          <w:snapToGrid w:val="0"/>
          <w:szCs w:val="20"/>
        </w:rPr>
        <w:t>Italija, Jungtinė Karalystė</w:t>
      </w:r>
      <w:r w:rsidR="005E5ECA">
        <w:rPr>
          <w:rFonts w:ascii="Times New Roman" w:eastAsia="Times New Roman" w:hAnsi="Times New Roman" w:cs="Times New Roman"/>
          <w:snapToGrid w:val="0"/>
          <w:szCs w:val="20"/>
        </w:rPr>
        <w:t xml:space="preserve"> (Šiaurės Airija)</w:t>
      </w:r>
      <w:r w:rsidR="00C8160F" w:rsidRPr="00633873">
        <w:rPr>
          <w:rFonts w:ascii="Times New Roman" w:eastAsia="Times New Roman" w:hAnsi="Times New Roman" w:cs="Times New Roman"/>
          <w:snapToGrid w:val="0"/>
          <w:szCs w:val="20"/>
        </w:rPr>
        <w:t xml:space="preserve">, Latvija, </w:t>
      </w:r>
      <w:r w:rsidR="00F64FA9" w:rsidRPr="00633873">
        <w:rPr>
          <w:rFonts w:ascii="Times New Roman" w:eastAsia="Times New Roman" w:hAnsi="Times New Roman" w:cs="Times New Roman"/>
          <w:snapToGrid w:val="0"/>
          <w:szCs w:val="20"/>
        </w:rPr>
        <w:t xml:space="preserve">Lietuva, Lenkija, </w:t>
      </w:r>
      <w:r w:rsidR="00C8160F" w:rsidRPr="00633873">
        <w:rPr>
          <w:rFonts w:ascii="Times New Roman" w:eastAsia="Times New Roman" w:hAnsi="Times New Roman" w:cs="Times New Roman"/>
          <w:snapToGrid w:val="0"/>
          <w:szCs w:val="20"/>
        </w:rPr>
        <w:t xml:space="preserve">Nyderlandai, Prancūzija, </w:t>
      </w:r>
      <w:r w:rsidR="00F64FA9" w:rsidRPr="00633873">
        <w:rPr>
          <w:rFonts w:ascii="Times New Roman" w:eastAsia="Times New Roman" w:hAnsi="Times New Roman" w:cs="Times New Roman"/>
          <w:snapToGrid w:val="0"/>
          <w:szCs w:val="20"/>
        </w:rPr>
        <w:t xml:space="preserve">Rumunija, Slovakija, </w:t>
      </w:r>
      <w:r w:rsidR="00C8160F" w:rsidRPr="00633873">
        <w:rPr>
          <w:rFonts w:ascii="Times New Roman" w:eastAsia="Times New Roman" w:hAnsi="Times New Roman" w:cs="Times New Roman"/>
          <w:snapToGrid w:val="0"/>
          <w:szCs w:val="20"/>
        </w:rPr>
        <w:t>Vokietija</w:t>
      </w:r>
      <w:r w:rsidR="00F64FA9" w:rsidRPr="00633873">
        <w:rPr>
          <w:rFonts w:ascii="Times New Roman" w:eastAsia="Times New Roman" w:hAnsi="Times New Roman" w:cs="Times New Roman"/>
          <w:snapToGrid w:val="0"/>
          <w:szCs w:val="20"/>
        </w:rPr>
        <w:t xml:space="preserve">: </w:t>
      </w:r>
      <w:proofErr w:type="spellStart"/>
      <w:r w:rsidR="007F3B55" w:rsidRPr="009F7541">
        <w:rPr>
          <w:rFonts w:ascii="Times New Roman" w:eastAsia="Times New Roman" w:hAnsi="Times New Roman" w:cs="Times New Roman"/>
          <w:snapToGrid w:val="0"/>
          <w:szCs w:val="28"/>
          <w:lang w:eastAsia="x-none"/>
        </w:rPr>
        <w:t>Ambrisentan</w:t>
      </w:r>
      <w:proofErr w:type="spellEnd"/>
      <w:r w:rsidR="007F3B55" w:rsidRPr="009F7541">
        <w:rPr>
          <w:rFonts w:ascii="Times New Roman" w:eastAsia="Times New Roman" w:hAnsi="Times New Roman" w:cs="Times New Roman"/>
          <w:snapToGrid w:val="0"/>
          <w:szCs w:val="28"/>
          <w:lang w:eastAsia="x-none"/>
        </w:rPr>
        <w:t xml:space="preserve"> </w:t>
      </w:r>
      <w:proofErr w:type="spellStart"/>
      <w:r w:rsidR="007F3B55" w:rsidRPr="009F7541">
        <w:rPr>
          <w:rFonts w:ascii="Times New Roman" w:eastAsia="Times New Roman" w:hAnsi="Times New Roman" w:cs="Times New Roman"/>
          <w:snapToGrid w:val="0"/>
          <w:szCs w:val="28"/>
          <w:lang w:eastAsia="x-none"/>
        </w:rPr>
        <w:t>Zentiva</w:t>
      </w:r>
      <w:proofErr w:type="spellEnd"/>
    </w:p>
    <w:p w14:paraId="63210324" w14:textId="77777777" w:rsidR="007F3B55" w:rsidRPr="00633873" w:rsidRDefault="007F3B55" w:rsidP="00A35A18">
      <w:pPr>
        <w:tabs>
          <w:tab w:val="left" w:pos="567"/>
        </w:tabs>
        <w:spacing w:after="0" w:line="260" w:lineRule="exact"/>
        <w:ind w:left="567" w:hanging="567"/>
        <w:rPr>
          <w:rFonts w:ascii="Times New Roman" w:eastAsia="Times New Roman" w:hAnsi="Times New Roman" w:cs="Times New Roman"/>
          <w:snapToGrid w:val="0"/>
          <w:szCs w:val="20"/>
        </w:rPr>
      </w:pPr>
    </w:p>
    <w:p w14:paraId="01038513" w14:textId="79619738" w:rsidR="002077EA" w:rsidRPr="00633873" w:rsidRDefault="00A35A18" w:rsidP="00A35A18">
      <w:pPr>
        <w:numPr>
          <w:ilvl w:val="12"/>
          <w:numId w:val="0"/>
        </w:numPr>
        <w:spacing w:after="0" w:line="240" w:lineRule="auto"/>
        <w:ind w:right="-2"/>
        <w:rPr>
          <w:rFonts w:ascii="Times New Roman" w:eastAsia="Times New Roman" w:hAnsi="Times New Roman" w:cs="Times New Roman"/>
          <w:b/>
          <w:snapToGrid w:val="0"/>
          <w:szCs w:val="20"/>
        </w:rPr>
      </w:pPr>
      <w:r w:rsidRPr="00633873">
        <w:rPr>
          <w:rFonts w:ascii="Times New Roman" w:eastAsia="Times New Roman" w:hAnsi="Times New Roman" w:cs="Times New Roman"/>
          <w:b/>
          <w:snapToGrid w:val="0"/>
          <w:szCs w:val="20"/>
        </w:rPr>
        <w:t>Šis pakuotės lapelis paskutinį kartą peržiūrėtas</w:t>
      </w:r>
      <w:r w:rsidR="002077EA" w:rsidRPr="00633873">
        <w:rPr>
          <w:rFonts w:ascii="Times New Roman" w:eastAsia="Times New Roman" w:hAnsi="Times New Roman" w:cs="Times New Roman"/>
          <w:b/>
          <w:snapToGrid w:val="0"/>
          <w:szCs w:val="20"/>
        </w:rPr>
        <w:t xml:space="preserve"> 202</w:t>
      </w:r>
      <w:r w:rsidR="00A70DCE">
        <w:rPr>
          <w:rFonts w:ascii="Times New Roman" w:eastAsia="Times New Roman" w:hAnsi="Times New Roman" w:cs="Times New Roman"/>
          <w:b/>
          <w:snapToGrid w:val="0"/>
          <w:szCs w:val="20"/>
        </w:rPr>
        <w:t>5-</w:t>
      </w:r>
      <w:r w:rsidR="004E4A74">
        <w:rPr>
          <w:rFonts w:ascii="Times New Roman" w:eastAsia="Times New Roman" w:hAnsi="Times New Roman" w:cs="Times New Roman"/>
          <w:b/>
          <w:snapToGrid w:val="0"/>
          <w:szCs w:val="20"/>
        </w:rPr>
        <w:t>11-30</w:t>
      </w:r>
      <w:r w:rsidR="002077EA" w:rsidRPr="00633873">
        <w:rPr>
          <w:rFonts w:ascii="Times New Roman" w:eastAsia="Times New Roman" w:hAnsi="Times New Roman" w:cs="Times New Roman"/>
          <w:b/>
          <w:snapToGrid w:val="0"/>
          <w:szCs w:val="20"/>
        </w:rPr>
        <w:t>.</w:t>
      </w:r>
    </w:p>
    <w:p w14:paraId="1851DC99" w14:textId="77777777" w:rsidR="00A35A18" w:rsidRPr="00633873" w:rsidRDefault="00A35A18" w:rsidP="00A35A18">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17888604" w14:textId="67B774BB" w:rsidR="00A35A18" w:rsidRPr="00633873" w:rsidRDefault="00A35A18" w:rsidP="00A35A18">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633873">
        <w:rPr>
          <w:rFonts w:ascii="Times New Roman" w:eastAsia="Times New Roman" w:hAnsi="Times New Roman" w:cs="Times New Roman"/>
          <w:snapToGrid w:val="0"/>
          <w:szCs w:val="20"/>
        </w:rPr>
        <w:t xml:space="preserve">Išsami informacija apie šį </w:t>
      </w:r>
      <w:r w:rsidRPr="00633873">
        <w:rPr>
          <w:rFonts w:ascii="Times New Roman" w:eastAsia="Times New Roman" w:hAnsi="Times New Roman" w:cs="Times New Roman"/>
          <w:snapToGrid w:val="0"/>
          <w:szCs w:val="24"/>
        </w:rPr>
        <w:t>vaistą</w:t>
      </w:r>
      <w:r w:rsidRPr="00633873">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00484ABB" w:rsidRPr="00484ABB">
        <w:rPr>
          <w:rFonts w:ascii="Times New Roman" w:eastAsia="Times New Roman" w:hAnsi="Times New Roman" w:cs="Times New Roman"/>
          <w:i/>
          <w:szCs w:val="24"/>
        </w:rPr>
        <w:t xml:space="preserve"> </w:t>
      </w:r>
      <w:r w:rsidR="00484ABB" w:rsidRPr="00484ABB">
        <w:rPr>
          <w:rFonts w:ascii="Times New Roman" w:eastAsia="SimSun" w:hAnsi="Times New Roman" w:cs="Times New Roman"/>
          <w:color w:val="0000FF"/>
          <w:szCs w:val="20"/>
          <w:u w:val="single"/>
        </w:rPr>
        <w:t>https://vvkt.lrv.lt/lt/</w:t>
      </w:r>
      <w:r w:rsidRPr="00633873">
        <w:rPr>
          <w:rFonts w:ascii="Times New Roman" w:eastAsia="Times New Roman" w:hAnsi="Times New Roman" w:cs="Times New Roman"/>
          <w:snapToGrid w:val="0"/>
          <w:szCs w:val="20"/>
        </w:rPr>
        <w:t>.</w:t>
      </w:r>
    </w:p>
    <w:p w14:paraId="6B8A1646"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p w14:paraId="2B857EEE" w14:textId="77777777" w:rsidR="00A35A18" w:rsidRPr="00633873" w:rsidRDefault="00A35A18" w:rsidP="00A35A18">
      <w:pPr>
        <w:tabs>
          <w:tab w:val="left" w:pos="567"/>
        </w:tabs>
        <w:spacing w:after="0" w:line="260" w:lineRule="exact"/>
        <w:rPr>
          <w:rFonts w:ascii="Times New Roman" w:eastAsia="Times New Roman" w:hAnsi="Times New Roman" w:cs="Times New Roman"/>
          <w:snapToGrid w:val="0"/>
          <w:szCs w:val="20"/>
        </w:rPr>
      </w:pPr>
    </w:p>
    <w:bookmarkEnd w:id="5"/>
    <w:p w14:paraId="3B6341E9" w14:textId="77777777" w:rsidR="00324F37" w:rsidRPr="00633873" w:rsidRDefault="00324F37"/>
    <w:sectPr w:rsidR="00324F37" w:rsidRPr="00633873" w:rsidSect="009F7541">
      <w:headerReference w:type="default" r:id="rId11"/>
      <w:footerReference w:type="default" r:id="rId12"/>
      <w:headerReference w:type="first" r:id="rId13"/>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41E7" w14:textId="77777777" w:rsidR="00863740" w:rsidRDefault="00863740" w:rsidP="00904BE7">
      <w:pPr>
        <w:spacing w:after="0" w:line="240" w:lineRule="auto"/>
      </w:pPr>
      <w:r>
        <w:separator/>
      </w:r>
    </w:p>
  </w:endnote>
  <w:endnote w:type="continuationSeparator" w:id="0">
    <w:p w14:paraId="1C816217" w14:textId="77777777" w:rsidR="00863740" w:rsidRDefault="00863740" w:rsidP="00904BE7">
      <w:pPr>
        <w:spacing w:after="0" w:line="240" w:lineRule="auto"/>
      </w:pPr>
      <w:r>
        <w:continuationSeparator/>
      </w:r>
    </w:p>
  </w:endnote>
  <w:endnote w:type="continuationNotice" w:id="1">
    <w:p w14:paraId="5B1ED88C" w14:textId="77777777" w:rsidR="00863740" w:rsidRDefault="00863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77682"/>
      <w:docPartObj>
        <w:docPartGallery w:val="Page Numbers (Bottom of Page)"/>
        <w:docPartUnique/>
      </w:docPartObj>
    </w:sdtPr>
    <w:sdtEndPr>
      <w:rPr>
        <w:noProof/>
      </w:rPr>
    </w:sdtEndPr>
    <w:sdtContent>
      <w:p w14:paraId="56B6B883" w14:textId="623C2E4D" w:rsidR="00153913" w:rsidRDefault="00153913">
        <w:pPr>
          <w:pStyle w:val="Porat"/>
          <w:jc w:val="center"/>
        </w:pPr>
        <w:r>
          <w:fldChar w:fldCharType="begin"/>
        </w:r>
        <w:r>
          <w:instrText xml:space="preserve"> PAGE   \* MERGEFORMAT </w:instrText>
        </w:r>
        <w:r>
          <w:fldChar w:fldCharType="separate"/>
        </w:r>
        <w:r w:rsidR="00A70DCE">
          <w:rPr>
            <w:noProof/>
          </w:rPr>
          <w:t>38</w:t>
        </w:r>
        <w:r>
          <w:rPr>
            <w:noProof/>
          </w:rPr>
          <w:fldChar w:fldCharType="end"/>
        </w:r>
      </w:p>
    </w:sdtContent>
  </w:sdt>
  <w:p w14:paraId="6A0E8AEB" w14:textId="77777777" w:rsidR="00153913" w:rsidRDefault="001539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E06D" w14:textId="77777777" w:rsidR="00863740" w:rsidRDefault="00863740" w:rsidP="00904BE7">
      <w:pPr>
        <w:spacing w:after="0" w:line="240" w:lineRule="auto"/>
      </w:pPr>
      <w:r>
        <w:separator/>
      </w:r>
    </w:p>
  </w:footnote>
  <w:footnote w:type="continuationSeparator" w:id="0">
    <w:p w14:paraId="63524B16" w14:textId="77777777" w:rsidR="00863740" w:rsidRDefault="00863740" w:rsidP="00904BE7">
      <w:pPr>
        <w:spacing w:after="0" w:line="240" w:lineRule="auto"/>
      </w:pPr>
      <w:r>
        <w:continuationSeparator/>
      </w:r>
    </w:p>
  </w:footnote>
  <w:footnote w:type="continuationNotice" w:id="1">
    <w:p w14:paraId="0A838E86" w14:textId="77777777" w:rsidR="00863740" w:rsidRDefault="008637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80D1" w14:textId="3A61AE29" w:rsidR="00153913" w:rsidRDefault="001539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6092" w14:textId="62964854" w:rsidR="00153913" w:rsidRDefault="001539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85775"/>
    <w:multiLevelType w:val="hybridMultilevel"/>
    <w:tmpl w:val="BC3E1546"/>
    <w:lvl w:ilvl="0" w:tplc="53DA6594">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2129B"/>
    <w:multiLevelType w:val="hybridMultilevel"/>
    <w:tmpl w:val="FCC26B66"/>
    <w:lvl w:ilvl="0" w:tplc="53DA6594">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96CAB"/>
    <w:multiLevelType w:val="hybridMultilevel"/>
    <w:tmpl w:val="D0E2144C"/>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12292D"/>
    <w:multiLevelType w:val="hybridMultilevel"/>
    <w:tmpl w:val="9C423FE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814AA4"/>
    <w:multiLevelType w:val="hybridMultilevel"/>
    <w:tmpl w:val="74D6CE94"/>
    <w:lvl w:ilvl="0" w:tplc="53DA65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CF2C60"/>
    <w:multiLevelType w:val="hybridMultilevel"/>
    <w:tmpl w:val="49AA8A44"/>
    <w:lvl w:ilvl="0" w:tplc="53DA6594">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E6245B"/>
    <w:multiLevelType w:val="hybridMultilevel"/>
    <w:tmpl w:val="CA8602FE"/>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3C0813"/>
    <w:multiLevelType w:val="hybridMultilevel"/>
    <w:tmpl w:val="EF60C792"/>
    <w:lvl w:ilvl="0" w:tplc="53DA65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06E67"/>
    <w:multiLevelType w:val="hybridMultilevel"/>
    <w:tmpl w:val="603C61D4"/>
    <w:lvl w:ilvl="0" w:tplc="53DA6594">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4018C"/>
    <w:multiLevelType w:val="hybridMultilevel"/>
    <w:tmpl w:val="25CA2C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754D49"/>
    <w:multiLevelType w:val="hybridMultilevel"/>
    <w:tmpl w:val="42B6B2EE"/>
    <w:lvl w:ilvl="0" w:tplc="53DA65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404543"/>
    <w:multiLevelType w:val="hybridMultilevel"/>
    <w:tmpl w:val="B122D124"/>
    <w:lvl w:ilvl="0" w:tplc="53DA6594">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DD2895"/>
    <w:multiLevelType w:val="hybridMultilevel"/>
    <w:tmpl w:val="52420B0A"/>
    <w:lvl w:ilvl="0" w:tplc="53DA65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5FD4"/>
    <w:multiLevelType w:val="hybridMultilevel"/>
    <w:tmpl w:val="23FA9462"/>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0F550E"/>
    <w:multiLevelType w:val="hybridMultilevel"/>
    <w:tmpl w:val="73526D4C"/>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5455B4"/>
    <w:multiLevelType w:val="hybridMultilevel"/>
    <w:tmpl w:val="6B82F27E"/>
    <w:lvl w:ilvl="0" w:tplc="53DA659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86225C"/>
    <w:multiLevelType w:val="hybridMultilevel"/>
    <w:tmpl w:val="CE5E9BC0"/>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A83287"/>
    <w:multiLevelType w:val="hybridMultilevel"/>
    <w:tmpl w:val="4F500D60"/>
    <w:lvl w:ilvl="0" w:tplc="53DA6594">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50DAF"/>
    <w:multiLevelType w:val="hybridMultilevel"/>
    <w:tmpl w:val="23A854D2"/>
    <w:lvl w:ilvl="0" w:tplc="BE9E6A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986246">
    <w:abstractNumId w:val="2"/>
  </w:num>
  <w:num w:numId="2" w16cid:durableId="2110856491">
    <w:abstractNumId w:val="21"/>
  </w:num>
  <w:num w:numId="3" w16cid:durableId="821653442">
    <w:abstractNumId w:val="0"/>
    <w:lvlOverride w:ilvl="0">
      <w:lvl w:ilvl="0">
        <w:start w:val="1"/>
        <w:numFmt w:val="bullet"/>
        <w:lvlText w:val="-"/>
        <w:lvlJc w:val="left"/>
        <w:pPr>
          <w:ind w:left="360" w:hanging="360"/>
        </w:pPr>
      </w:lvl>
    </w:lvlOverride>
  </w:num>
  <w:num w:numId="4" w16cid:durableId="478694238">
    <w:abstractNumId w:val="0"/>
    <w:lvlOverride w:ilvl="0">
      <w:lvl w:ilvl="0">
        <w:start w:val="1"/>
        <w:numFmt w:val="bullet"/>
        <w:lvlText w:val=""/>
        <w:lvlJc w:val="left"/>
        <w:pPr>
          <w:ind w:left="360" w:hanging="360"/>
        </w:pPr>
        <w:rPr>
          <w:rFonts w:ascii="Symbol" w:hAnsi="Symbol" w:hint="default"/>
        </w:rPr>
      </w:lvl>
    </w:lvlOverride>
  </w:num>
  <w:num w:numId="5" w16cid:durableId="395082466">
    <w:abstractNumId w:val="0"/>
    <w:lvlOverride w:ilvl="0">
      <w:lvl w:ilvl="0">
        <w:start w:val="1"/>
        <w:numFmt w:val="bullet"/>
        <w:lvlText w:val="-"/>
        <w:lvlJc w:val="left"/>
        <w:pPr>
          <w:ind w:left="360" w:hanging="360"/>
        </w:pPr>
      </w:lvl>
    </w:lvlOverride>
  </w:num>
  <w:num w:numId="6" w16cid:durableId="1013383545">
    <w:abstractNumId w:val="17"/>
  </w:num>
  <w:num w:numId="7" w16cid:durableId="588541719">
    <w:abstractNumId w:val="19"/>
  </w:num>
  <w:num w:numId="8" w16cid:durableId="1072627794">
    <w:abstractNumId w:val="18"/>
  </w:num>
  <w:num w:numId="9" w16cid:durableId="1043096695">
    <w:abstractNumId w:val="20"/>
  </w:num>
  <w:num w:numId="10" w16cid:durableId="794493232">
    <w:abstractNumId w:val="16"/>
  </w:num>
  <w:num w:numId="11" w16cid:durableId="746340668">
    <w:abstractNumId w:val="23"/>
  </w:num>
  <w:num w:numId="12" w16cid:durableId="972905590">
    <w:abstractNumId w:val="8"/>
  </w:num>
  <w:num w:numId="13" w16cid:durableId="1383627589">
    <w:abstractNumId w:val="4"/>
  </w:num>
  <w:num w:numId="14" w16cid:durableId="126632810">
    <w:abstractNumId w:val="5"/>
  </w:num>
  <w:num w:numId="15" w16cid:durableId="2035223924">
    <w:abstractNumId w:val="11"/>
  </w:num>
  <w:num w:numId="16" w16cid:durableId="1703823208">
    <w:abstractNumId w:val="15"/>
  </w:num>
  <w:num w:numId="17" w16cid:durableId="1770807915">
    <w:abstractNumId w:val="7"/>
  </w:num>
  <w:num w:numId="18" w16cid:durableId="1655061468">
    <w:abstractNumId w:val="14"/>
  </w:num>
  <w:num w:numId="19" w16cid:durableId="1341736755">
    <w:abstractNumId w:val="1"/>
  </w:num>
  <w:num w:numId="20" w16cid:durableId="312105891">
    <w:abstractNumId w:val="13"/>
  </w:num>
  <w:num w:numId="21" w16cid:durableId="1241677109">
    <w:abstractNumId w:val="3"/>
  </w:num>
  <w:num w:numId="22" w16cid:durableId="2129855589">
    <w:abstractNumId w:val="12"/>
  </w:num>
  <w:num w:numId="23" w16cid:durableId="1013797961">
    <w:abstractNumId w:val="6"/>
  </w:num>
  <w:num w:numId="24" w16cid:durableId="1849557786">
    <w:abstractNumId w:val="9"/>
  </w:num>
  <w:num w:numId="25" w16cid:durableId="66848120">
    <w:abstractNumId w:val="22"/>
  </w:num>
  <w:num w:numId="26" w16cid:durableId="2073380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D9"/>
    <w:rsid w:val="0001518C"/>
    <w:rsid w:val="00015791"/>
    <w:rsid w:val="00023EB0"/>
    <w:rsid w:val="000249D1"/>
    <w:rsid w:val="000570FC"/>
    <w:rsid w:val="00057907"/>
    <w:rsid w:val="0006197D"/>
    <w:rsid w:val="00071095"/>
    <w:rsid w:val="00080FFD"/>
    <w:rsid w:val="000824C5"/>
    <w:rsid w:val="00091F85"/>
    <w:rsid w:val="000920FB"/>
    <w:rsid w:val="000A46F1"/>
    <w:rsid w:val="000B375D"/>
    <w:rsid w:val="000C4249"/>
    <w:rsid w:val="000C63E5"/>
    <w:rsid w:val="000E04F1"/>
    <w:rsid w:val="000E2C2C"/>
    <w:rsid w:val="000F77C3"/>
    <w:rsid w:val="00100868"/>
    <w:rsid w:val="0010255F"/>
    <w:rsid w:val="0010512E"/>
    <w:rsid w:val="00136A40"/>
    <w:rsid w:val="00153913"/>
    <w:rsid w:val="00153FEB"/>
    <w:rsid w:val="001553D8"/>
    <w:rsid w:val="00170B42"/>
    <w:rsid w:val="0017479E"/>
    <w:rsid w:val="00176502"/>
    <w:rsid w:val="001A14B7"/>
    <w:rsid w:val="001A5517"/>
    <w:rsid w:val="001C22A0"/>
    <w:rsid w:val="001D31E3"/>
    <w:rsid w:val="001D7C95"/>
    <w:rsid w:val="001E7EFF"/>
    <w:rsid w:val="001F70AA"/>
    <w:rsid w:val="002077EA"/>
    <w:rsid w:val="00212782"/>
    <w:rsid w:val="00212F88"/>
    <w:rsid w:val="002210FF"/>
    <w:rsid w:val="0022563C"/>
    <w:rsid w:val="002322D0"/>
    <w:rsid w:val="00244F5D"/>
    <w:rsid w:val="00261F26"/>
    <w:rsid w:val="00274A59"/>
    <w:rsid w:val="00296756"/>
    <w:rsid w:val="002A2724"/>
    <w:rsid w:val="002A4C21"/>
    <w:rsid w:val="002B10DB"/>
    <w:rsid w:val="002C6317"/>
    <w:rsid w:val="002D3ECE"/>
    <w:rsid w:val="002D597B"/>
    <w:rsid w:val="00307721"/>
    <w:rsid w:val="003124B1"/>
    <w:rsid w:val="0031351D"/>
    <w:rsid w:val="00314749"/>
    <w:rsid w:val="003229C0"/>
    <w:rsid w:val="00324F37"/>
    <w:rsid w:val="00340FCE"/>
    <w:rsid w:val="003725E0"/>
    <w:rsid w:val="00384699"/>
    <w:rsid w:val="00385307"/>
    <w:rsid w:val="00385ED6"/>
    <w:rsid w:val="003A738C"/>
    <w:rsid w:val="003C6BC5"/>
    <w:rsid w:val="003D2556"/>
    <w:rsid w:val="003D466B"/>
    <w:rsid w:val="003E79F3"/>
    <w:rsid w:val="004060D6"/>
    <w:rsid w:val="0041201B"/>
    <w:rsid w:val="00435467"/>
    <w:rsid w:val="00436FE9"/>
    <w:rsid w:val="00441AF1"/>
    <w:rsid w:val="0045177F"/>
    <w:rsid w:val="004527CE"/>
    <w:rsid w:val="0046022F"/>
    <w:rsid w:val="00470E35"/>
    <w:rsid w:val="004737D3"/>
    <w:rsid w:val="00483E68"/>
    <w:rsid w:val="00484ABB"/>
    <w:rsid w:val="004B529C"/>
    <w:rsid w:val="004C0760"/>
    <w:rsid w:val="004E4A74"/>
    <w:rsid w:val="004F6B54"/>
    <w:rsid w:val="00570F2A"/>
    <w:rsid w:val="0057568C"/>
    <w:rsid w:val="00577297"/>
    <w:rsid w:val="005B1DF9"/>
    <w:rsid w:val="005C0515"/>
    <w:rsid w:val="005C7F69"/>
    <w:rsid w:val="005D6707"/>
    <w:rsid w:val="005E5ECA"/>
    <w:rsid w:val="005E718C"/>
    <w:rsid w:val="005E7245"/>
    <w:rsid w:val="005F06C0"/>
    <w:rsid w:val="005F1948"/>
    <w:rsid w:val="005F4A49"/>
    <w:rsid w:val="005F6B3D"/>
    <w:rsid w:val="00601915"/>
    <w:rsid w:val="00605A29"/>
    <w:rsid w:val="00620B5C"/>
    <w:rsid w:val="00633873"/>
    <w:rsid w:val="00634190"/>
    <w:rsid w:val="0065133F"/>
    <w:rsid w:val="00657777"/>
    <w:rsid w:val="00670963"/>
    <w:rsid w:val="00676768"/>
    <w:rsid w:val="0068229B"/>
    <w:rsid w:val="00683000"/>
    <w:rsid w:val="00693637"/>
    <w:rsid w:val="006D4C77"/>
    <w:rsid w:val="006E25DF"/>
    <w:rsid w:val="00710D49"/>
    <w:rsid w:val="00720D3F"/>
    <w:rsid w:val="00722430"/>
    <w:rsid w:val="0072410F"/>
    <w:rsid w:val="00733B56"/>
    <w:rsid w:val="0078202E"/>
    <w:rsid w:val="0078516E"/>
    <w:rsid w:val="007A08E9"/>
    <w:rsid w:val="007A3849"/>
    <w:rsid w:val="007B0EAB"/>
    <w:rsid w:val="007B6403"/>
    <w:rsid w:val="007D05F8"/>
    <w:rsid w:val="007D0772"/>
    <w:rsid w:val="007D387C"/>
    <w:rsid w:val="007E2561"/>
    <w:rsid w:val="007E6B5B"/>
    <w:rsid w:val="007F3B55"/>
    <w:rsid w:val="008038AE"/>
    <w:rsid w:val="00813E19"/>
    <w:rsid w:val="008150FE"/>
    <w:rsid w:val="0081522D"/>
    <w:rsid w:val="00857C35"/>
    <w:rsid w:val="00863740"/>
    <w:rsid w:val="00884D5D"/>
    <w:rsid w:val="008854DB"/>
    <w:rsid w:val="00891F10"/>
    <w:rsid w:val="008A78F7"/>
    <w:rsid w:val="008B6BB5"/>
    <w:rsid w:val="008B75B3"/>
    <w:rsid w:val="008E0F7A"/>
    <w:rsid w:val="008E3214"/>
    <w:rsid w:val="008F1D66"/>
    <w:rsid w:val="00904BE7"/>
    <w:rsid w:val="00927661"/>
    <w:rsid w:val="00942891"/>
    <w:rsid w:val="00947A83"/>
    <w:rsid w:val="0095060B"/>
    <w:rsid w:val="009757E0"/>
    <w:rsid w:val="009D0D0B"/>
    <w:rsid w:val="009D3410"/>
    <w:rsid w:val="009F7541"/>
    <w:rsid w:val="00A016DA"/>
    <w:rsid w:val="00A35A18"/>
    <w:rsid w:val="00A605A5"/>
    <w:rsid w:val="00A70716"/>
    <w:rsid w:val="00A70DCE"/>
    <w:rsid w:val="00A73BFB"/>
    <w:rsid w:val="00A77150"/>
    <w:rsid w:val="00A82894"/>
    <w:rsid w:val="00AA02E9"/>
    <w:rsid w:val="00AB3123"/>
    <w:rsid w:val="00AC6347"/>
    <w:rsid w:val="00AD65E2"/>
    <w:rsid w:val="00AE1812"/>
    <w:rsid w:val="00AE4FE7"/>
    <w:rsid w:val="00AF4D8A"/>
    <w:rsid w:val="00B02527"/>
    <w:rsid w:val="00B0798F"/>
    <w:rsid w:val="00B159EB"/>
    <w:rsid w:val="00B31824"/>
    <w:rsid w:val="00B53A9F"/>
    <w:rsid w:val="00B70E51"/>
    <w:rsid w:val="00B736F6"/>
    <w:rsid w:val="00BA2DE8"/>
    <w:rsid w:val="00BC2435"/>
    <w:rsid w:val="00BC43A8"/>
    <w:rsid w:val="00BC688B"/>
    <w:rsid w:val="00BD0F78"/>
    <w:rsid w:val="00BD264C"/>
    <w:rsid w:val="00BE38AE"/>
    <w:rsid w:val="00BF180B"/>
    <w:rsid w:val="00C12338"/>
    <w:rsid w:val="00C47A1D"/>
    <w:rsid w:val="00C50C1A"/>
    <w:rsid w:val="00C61A88"/>
    <w:rsid w:val="00C67EE3"/>
    <w:rsid w:val="00C8160F"/>
    <w:rsid w:val="00C85BE7"/>
    <w:rsid w:val="00C863B3"/>
    <w:rsid w:val="00CB35D9"/>
    <w:rsid w:val="00CF1A2A"/>
    <w:rsid w:val="00CF2289"/>
    <w:rsid w:val="00D2468F"/>
    <w:rsid w:val="00D331C6"/>
    <w:rsid w:val="00D35BFB"/>
    <w:rsid w:val="00D413D6"/>
    <w:rsid w:val="00D574D0"/>
    <w:rsid w:val="00D62047"/>
    <w:rsid w:val="00D806F4"/>
    <w:rsid w:val="00D8128A"/>
    <w:rsid w:val="00D902C0"/>
    <w:rsid w:val="00D933F0"/>
    <w:rsid w:val="00D956B6"/>
    <w:rsid w:val="00DB4572"/>
    <w:rsid w:val="00DC6302"/>
    <w:rsid w:val="00E01F53"/>
    <w:rsid w:val="00E160F9"/>
    <w:rsid w:val="00E16453"/>
    <w:rsid w:val="00E22B0F"/>
    <w:rsid w:val="00E2378A"/>
    <w:rsid w:val="00E23933"/>
    <w:rsid w:val="00E31330"/>
    <w:rsid w:val="00E32473"/>
    <w:rsid w:val="00E332E0"/>
    <w:rsid w:val="00E51F13"/>
    <w:rsid w:val="00E55815"/>
    <w:rsid w:val="00E62DAA"/>
    <w:rsid w:val="00E71C1A"/>
    <w:rsid w:val="00E861CA"/>
    <w:rsid w:val="00EA4620"/>
    <w:rsid w:val="00EA5C6F"/>
    <w:rsid w:val="00EE3002"/>
    <w:rsid w:val="00EE7E36"/>
    <w:rsid w:val="00EF1036"/>
    <w:rsid w:val="00EF749E"/>
    <w:rsid w:val="00F01AA0"/>
    <w:rsid w:val="00F3270C"/>
    <w:rsid w:val="00F50AFE"/>
    <w:rsid w:val="00F61F20"/>
    <w:rsid w:val="00F64FA9"/>
    <w:rsid w:val="00FB12C9"/>
    <w:rsid w:val="00FB5D03"/>
    <w:rsid w:val="00FB6E15"/>
    <w:rsid w:val="00FC0099"/>
    <w:rsid w:val="00FE5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0BD8"/>
  <w15:chartTrackingRefBased/>
  <w15:docId w15:val="{5DA963C2-E87B-4C0A-8C96-B1268514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1F10"/>
  </w:style>
  <w:style w:type="paragraph" w:styleId="Antrat1">
    <w:name w:val="heading 1"/>
    <w:basedOn w:val="prastasis"/>
    <w:next w:val="prastasis"/>
    <w:link w:val="Antrat1Diagrama"/>
    <w:uiPriority w:val="99"/>
    <w:qFormat/>
    <w:rsid w:val="00A35A18"/>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A35A18"/>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A35A18"/>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A35A18"/>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A35A18"/>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A35A18"/>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A35A18"/>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A35A18"/>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A35A18"/>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5A18"/>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A35A1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A35A1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A35A18"/>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A35A1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35A18"/>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35A1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35A1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35A18"/>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A35A18"/>
  </w:style>
  <w:style w:type="paragraph" w:styleId="Porat">
    <w:name w:val="footer"/>
    <w:basedOn w:val="prastasis"/>
    <w:link w:val="PoratDiagrama"/>
    <w:uiPriority w:val="99"/>
    <w:rsid w:val="00A35A18"/>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A35A18"/>
    <w:rPr>
      <w:rFonts w:ascii="Times New Roman" w:eastAsia="Times New Roman" w:hAnsi="Times New Roman" w:cs="Times New Roman"/>
      <w:snapToGrid w:val="0"/>
      <w:szCs w:val="20"/>
      <w:lang w:val="en-GB" w:eastAsia="x-none"/>
    </w:rPr>
  </w:style>
  <w:style w:type="character" w:customStyle="1" w:styleId="HeaderChar">
    <w:name w:val="Header Char"/>
    <w:rsid w:val="00A35A18"/>
    <w:rPr>
      <w:snapToGrid w:val="0"/>
      <w:sz w:val="22"/>
      <w:lang w:val="en-GB" w:eastAsia="en-US"/>
    </w:rPr>
  </w:style>
  <w:style w:type="character" w:styleId="Puslapionumeris">
    <w:name w:val="page number"/>
    <w:uiPriority w:val="99"/>
    <w:rsid w:val="00A35A18"/>
    <w:rPr>
      <w:rFonts w:cs="Times New Roman"/>
    </w:rPr>
  </w:style>
  <w:style w:type="character" w:styleId="Hipersaitas">
    <w:name w:val="Hyperlink"/>
    <w:uiPriority w:val="99"/>
    <w:rsid w:val="00A35A18"/>
    <w:rPr>
      <w:color w:val="0000FF"/>
      <w:u w:val="single"/>
    </w:rPr>
  </w:style>
  <w:style w:type="paragraph" w:customStyle="1" w:styleId="BodytextAgency">
    <w:name w:val="Body text (Agency)"/>
    <w:basedOn w:val="prastasis"/>
    <w:link w:val="BodytextAgencyChar"/>
    <w:uiPriority w:val="99"/>
    <w:rsid w:val="00A35A18"/>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A35A18"/>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A35A18"/>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A35A18"/>
    <w:rPr>
      <w:rFonts w:ascii="Courier New" w:hAnsi="Courier New"/>
      <w:color w:val="00FF00"/>
      <w:sz w:val="40"/>
    </w:rPr>
  </w:style>
  <w:style w:type="character" w:customStyle="1" w:styleId="tw4winTerm">
    <w:name w:val="tw4winTerm"/>
    <w:uiPriority w:val="99"/>
    <w:rsid w:val="00A35A18"/>
    <w:rPr>
      <w:color w:val="0000FF"/>
    </w:rPr>
  </w:style>
  <w:style w:type="character" w:customStyle="1" w:styleId="tw4winPopup">
    <w:name w:val="tw4winPopup"/>
    <w:uiPriority w:val="99"/>
    <w:rsid w:val="00A35A18"/>
    <w:rPr>
      <w:rFonts w:ascii="Courier New" w:hAnsi="Courier New"/>
      <w:noProof/>
      <w:color w:val="008000"/>
    </w:rPr>
  </w:style>
  <w:style w:type="character" w:customStyle="1" w:styleId="tw4winJump">
    <w:name w:val="tw4winJump"/>
    <w:uiPriority w:val="99"/>
    <w:rsid w:val="00A35A18"/>
    <w:rPr>
      <w:rFonts w:ascii="Courier New" w:hAnsi="Courier New"/>
      <w:noProof/>
      <w:color w:val="008080"/>
    </w:rPr>
  </w:style>
  <w:style w:type="character" w:customStyle="1" w:styleId="tw4winExternal">
    <w:name w:val="tw4winExternal"/>
    <w:uiPriority w:val="99"/>
    <w:rsid w:val="00A35A18"/>
    <w:rPr>
      <w:rFonts w:ascii="Courier New" w:hAnsi="Courier New"/>
      <w:noProof/>
      <w:color w:val="808080"/>
    </w:rPr>
  </w:style>
  <w:style w:type="character" w:customStyle="1" w:styleId="tw4winInternal">
    <w:name w:val="tw4winInternal"/>
    <w:uiPriority w:val="99"/>
    <w:rsid w:val="00A35A18"/>
    <w:rPr>
      <w:rFonts w:ascii="Courier New" w:hAnsi="Courier New"/>
      <w:noProof/>
      <w:color w:val="FF0000"/>
    </w:rPr>
  </w:style>
  <w:style w:type="character" w:customStyle="1" w:styleId="DONOTTRANSLATE">
    <w:name w:val="DO_NOT_TRANSLATE"/>
    <w:uiPriority w:val="99"/>
    <w:rsid w:val="00A35A18"/>
    <w:rPr>
      <w:rFonts w:ascii="Courier New" w:hAnsi="Courier New"/>
      <w:noProof/>
      <w:color w:val="800000"/>
    </w:rPr>
  </w:style>
  <w:style w:type="paragraph" w:styleId="Debesliotekstas">
    <w:name w:val="Balloon Text"/>
    <w:basedOn w:val="prastasis"/>
    <w:link w:val="DebesliotekstasDiagrama"/>
    <w:uiPriority w:val="99"/>
    <w:rsid w:val="00A35A18"/>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A35A18"/>
    <w:rPr>
      <w:rFonts w:ascii="Tahoma" w:eastAsia="Times New Roman" w:hAnsi="Tahoma" w:cs="Times New Roman"/>
      <w:snapToGrid w:val="0"/>
      <w:sz w:val="16"/>
      <w:szCs w:val="16"/>
      <w:lang w:val="en-GB" w:eastAsia="x-none"/>
    </w:rPr>
  </w:style>
  <w:style w:type="character" w:styleId="Komentaronuoroda">
    <w:name w:val="annotation reference"/>
    <w:uiPriority w:val="99"/>
    <w:rsid w:val="00A35A18"/>
    <w:rPr>
      <w:sz w:val="16"/>
      <w:szCs w:val="16"/>
    </w:rPr>
  </w:style>
  <w:style w:type="paragraph" w:styleId="Komentarotekstas">
    <w:name w:val="annotation text"/>
    <w:basedOn w:val="prastasis"/>
    <w:link w:val="KomentarotekstasDiagrama"/>
    <w:uiPriority w:val="99"/>
    <w:rsid w:val="00A35A18"/>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A35A18"/>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35A18"/>
    <w:rPr>
      <w:b/>
      <w:bCs/>
    </w:rPr>
  </w:style>
  <w:style w:type="character" w:customStyle="1" w:styleId="KomentarotemaDiagrama">
    <w:name w:val="Komentaro tema Diagrama"/>
    <w:basedOn w:val="KomentarotekstasDiagrama"/>
    <w:link w:val="Komentarotema"/>
    <w:uiPriority w:val="99"/>
    <w:rsid w:val="00A35A18"/>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35A18"/>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A35A18"/>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A35A18"/>
    <w:rPr>
      <w:rFonts w:ascii="Courier New" w:hAnsi="Courier New"/>
      <w:vanish/>
      <w:color w:val="800080"/>
      <w:sz w:val="24"/>
      <w:vertAlign w:val="subscript"/>
    </w:rPr>
  </w:style>
  <w:style w:type="paragraph" w:styleId="Antrats">
    <w:name w:val="header"/>
    <w:basedOn w:val="prastasis"/>
    <w:link w:val="AntratsDiagrama"/>
    <w:uiPriority w:val="99"/>
    <w:rsid w:val="00A35A18"/>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A35A18"/>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35A18"/>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A35A1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35A18"/>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A35A18"/>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35A18"/>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A35A1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35A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A35A18"/>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35A18"/>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A35A18"/>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35A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A35A18"/>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35A18"/>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35A18"/>
    <w:pPr>
      <w:tabs>
        <w:tab w:val="clear" w:pos="720"/>
        <w:tab w:val="num" w:pos="360"/>
      </w:tabs>
      <w:ind w:left="709" w:hanging="425"/>
    </w:pPr>
    <w:rPr>
      <w:sz w:val="22"/>
    </w:rPr>
  </w:style>
  <w:style w:type="paragraph" w:customStyle="1" w:styleId="AHeader3">
    <w:name w:val="AHeader 3"/>
    <w:basedOn w:val="AHeader2"/>
    <w:uiPriority w:val="99"/>
    <w:rsid w:val="00A35A18"/>
    <w:pPr>
      <w:ind w:left="1276" w:hanging="567"/>
    </w:pPr>
  </w:style>
  <w:style w:type="paragraph" w:customStyle="1" w:styleId="AHeader2abc">
    <w:name w:val="AHeader 2 abc"/>
    <w:basedOn w:val="AHeader3"/>
    <w:uiPriority w:val="99"/>
    <w:rsid w:val="00A35A18"/>
    <w:pPr>
      <w:jc w:val="both"/>
    </w:pPr>
    <w:rPr>
      <w:b w:val="0"/>
      <w:bCs w:val="0"/>
    </w:rPr>
  </w:style>
  <w:style w:type="paragraph" w:customStyle="1" w:styleId="AHeader3abc">
    <w:name w:val="AHeader 3 abc"/>
    <w:basedOn w:val="AHeader2abc"/>
    <w:uiPriority w:val="99"/>
    <w:rsid w:val="00A35A18"/>
    <w:pPr>
      <w:ind w:left="1701" w:hanging="425"/>
    </w:pPr>
  </w:style>
  <w:style w:type="paragraph" w:styleId="Pagrindiniotekstotrauka3">
    <w:name w:val="Body Text Indent 3"/>
    <w:basedOn w:val="prastasis"/>
    <w:link w:val="Pagrindiniotekstotrauka3Diagrama"/>
    <w:uiPriority w:val="99"/>
    <w:rsid w:val="00A35A18"/>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A35A18"/>
    <w:rPr>
      <w:rFonts w:ascii="Times New Roman" w:eastAsia="SimSun" w:hAnsi="Times New Roman" w:cs="Times New Roman"/>
      <w:szCs w:val="21"/>
      <w:lang w:val="en-GB"/>
    </w:rPr>
  </w:style>
  <w:style w:type="character" w:styleId="Perirtashipersaitas">
    <w:name w:val="FollowedHyperlink"/>
    <w:uiPriority w:val="99"/>
    <w:rsid w:val="00A35A18"/>
    <w:rPr>
      <w:rFonts w:cs="Times New Roman"/>
      <w:color w:val="800080"/>
      <w:u w:val="single"/>
    </w:rPr>
  </w:style>
  <w:style w:type="character" w:styleId="Grietas">
    <w:name w:val="Strong"/>
    <w:uiPriority w:val="99"/>
    <w:qFormat/>
    <w:rsid w:val="00A35A18"/>
    <w:rPr>
      <w:rFonts w:cs="Times New Roman"/>
      <w:b/>
      <w:bCs/>
    </w:rPr>
  </w:style>
  <w:style w:type="character" w:customStyle="1" w:styleId="BodytextAgencyChar">
    <w:name w:val="Body text (Agency) Char"/>
    <w:link w:val="BodytextAgency"/>
    <w:uiPriority w:val="99"/>
    <w:locked/>
    <w:rsid w:val="00A35A18"/>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35A18"/>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35A18"/>
    <w:pPr>
      <w:keepNext/>
    </w:pPr>
    <w:rPr>
      <w:rFonts w:eastAsia="SimSun" w:cs="Verdana"/>
      <w:b/>
      <w:snapToGrid/>
      <w:szCs w:val="18"/>
      <w:lang w:eastAsia="en-GB"/>
    </w:rPr>
  </w:style>
  <w:style w:type="character" w:customStyle="1" w:styleId="NormalAgencyChar">
    <w:name w:val="Normal (Agency) Char"/>
    <w:link w:val="NormalAgency"/>
    <w:uiPriority w:val="99"/>
    <w:locked/>
    <w:rsid w:val="00A35A18"/>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A35A1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A35A18"/>
    <w:rPr>
      <w:rFonts w:ascii="Courier New" w:eastAsia="SimSun" w:hAnsi="Courier New" w:cs="Times New Roman"/>
      <w:sz w:val="20"/>
      <w:szCs w:val="20"/>
      <w:lang w:val="en-US"/>
    </w:rPr>
  </w:style>
  <w:style w:type="paragraph" w:customStyle="1" w:styleId="Default">
    <w:name w:val="Default"/>
    <w:rsid w:val="00A35A1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35A18"/>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A35A18"/>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35A18"/>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A35A18"/>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35A18"/>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A35A18"/>
    <w:rPr>
      <w:rFonts w:ascii="Times New Roman" w:eastAsia="SimSun" w:hAnsi="Times New Roman" w:cs="Times New Roman"/>
      <w:noProof/>
      <w:sz w:val="20"/>
      <w:szCs w:val="20"/>
      <w:lang w:val="x-none" w:eastAsia="x-none"/>
    </w:rPr>
  </w:style>
  <w:style w:type="character" w:customStyle="1" w:styleId="CharChar12">
    <w:name w:val="Char Char12"/>
    <w:locked/>
    <w:rsid w:val="00A35A18"/>
    <w:rPr>
      <w:snapToGrid w:val="0"/>
      <w:lang w:val="en-GB" w:eastAsia="en-US" w:bidi="ar-SA"/>
    </w:rPr>
  </w:style>
  <w:style w:type="table" w:styleId="Lentelstinklelis">
    <w:name w:val="Table Grid"/>
    <w:basedOn w:val="prastojilentel"/>
    <w:uiPriority w:val="39"/>
    <w:rsid w:val="00A35A18"/>
    <w:pPr>
      <w:spacing w:after="0" w:line="240" w:lineRule="auto"/>
    </w:pPr>
    <w:rPr>
      <w:rFonts w:ascii="Calibri" w:eastAsia="Calibri" w:hAnsi="Calibri" w:cs="Arial"/>
      <w:sz w:val="20"/>
      <w:szCs w:val="20"/>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DLABELHEADING">
    <w:name w:val="QRD LABELHEADING"/>
    <w:basedOn w:val="prastasis"/>
    <w:qFormat/>
    <w:rsid w:val="00A35A1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SimSun" w:hAnsi="Times New Roman" w:cs="Times New Roman"/>
      <w:b/>
      <w:bCs/>
      <w:lang w:eastAsia="en-GB"/>
    </w:rPr>
  </w:style>
  <w:style w:type="character" w:customStyle="1" w:styleId="KomentarotekstasDiagrama1">
    <w:name w:val="Komentaro tekstas Diagrama1"/>
    <w:uiPriority w:val="99"/>
    <w:semiHidden/>
    <w:rsid w:val="00A35A18"/>
    <w:rPr>
      <w:lang w:eastAsia="en-GB"/>
    </w:rPr>
  </w:style>
  <w:style w:type="character" w:customStyle="1" w:styleId="resultoftext">
    <w:name w:val="resultoftext"/>
    <w:rsid w:val="00A35A18"/>
  </w:style>
  <w:style w:type="paragraph" w:styleId="Sraopastraipa">
    <w:name w:val="List Paragraph"/>
    <w:basedOn w:val="prastasis"/>
    <w:uiPriority w:val="34"/>
    <w:qFormat/>
    <w:rsid w:val="002D3ECE"/>
    <w:pPr>
      <w:ind w:left="720"/>
      <w:contextualSpacing/>
    </w:pPr>
  </w:style>
  <w:style w:type="paragraph" w:customStyle="1" w:styleId="TableParagraph">
    <w:name w:val="Table Paragraph"/>
    <w:basedOn w:val="prastasis"/>
    <w:uiPriority w:val="1"/>
    <w:qFormat/>
    <w:rsid w:val="004B529C"/>
    <w:pPr>
      <w:widowControl w:val="0"/>
      <w:autoSpaceDE w:val="0"/>
      <w:autoSpaceDN w:val="0"/>
      <w:spacing w:after="0" w:line="240" w:lineRule="auto"/>
      <w:ind w:left="200"/>
    </w:pPr>
    <w:rPr>
      <w:rFonts w:ascii="Times New Roman" w:eastAsia="Times New Roman" w:hAnsi="Times New Roman" w:cs="Times New Roman"/>
      <w:lang w:val="en-US"/>
    </w:rPr>
  </w:style>
  <w:style w:type="character" w:customStyle="1" w:styleId="Neapdorotaspaminjimas1">
    <w:name w:val="Neapdorotas paminėjimas1"/>
    <w:basedOn w:val="Numatytasispastraiposriftas"/>
    <w:uiPriority w:val="99"/>
    <w:semiHidden/>
    <w:unhideWhenUsed/>
    <w:rsid w:val="00B5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5DCD6-B638-4537-A519-1FF8683E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53208</Words>
  <Characters>30329</Characters>
  <Application>Microsoft Office Word</Application>
  <DocSecurity>4</DocSecurity>
  <Lines>252</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MG/LT</dc:creator>
  <cp:keywords/>
  <dc:description/>
  <cp:lastModifiedBy>Albina Burkauskaitė</cp:lastModifiedBy>
  <cp:revision>2</cp:revision>
  <dcterms:created xsi:type="dcterms:W3CDTF">2026-01-09T07:12:00Z</dcterms:created>
  <dcterms:modified xsi:type="dcterms:W3CDTF">2026-01-09T07:12:00Z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2021-12-03T20:07:14Z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3bb78f33-7710-4a62-847f-0b5fc4968a74</vt:lpwstr>
  </property>
  <property fmtid="{D5CDD505-2E9C-101B-9397-08002B2CF9AE}" pid="8" name="MSIP_Label_c63a0701-319b-41bf-8431-58956e491e60_ContentBits">
    <vt:lpwstr>0</vt:lpwstr>
  </property>
</Properties>
</file>