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F1" w:rsidRPr="00B27759" w:rsidRDefault="001856F1" w:rsidP="001856F1">
      <w:pPr>
        <w:pStyle w:val="Paprastasistekstas"/>
        <w:tabs>
          <w:tab w:val="left" w:pos="4962"/>
        </w:tabs>
        <w:rPr>
          <w:rFonts w:ascii="Times New Roman" w:hAnsi="Times New Roman"/>
          <w:snapToGrid w:val="0"/>
          <w:color w:val="000000"/>
          <w:sz w:val="22"/>
          <w:szCs w:val="22"/>
          <w:lang w:val="lt-LT"/>
        </w:rPr>
      </w:pPr>
      <w:r w:rsidRPr="00B27759">
        <w:rPr>
          <w:rFonts w:ascii="Times New Roman" w:hAnsi="Times New Roman"/>
          <w:color w:val="000000"/>
          <w:sz w:val="22"/>
          <w:szCs w:val="22"/>
          <w:lang w:val="lt-LT"/>
        </w:rPr>
        <w:tab/>
        <w:t xml:space="preserve">  </w:t>
      </w:r>
    </w:p>
    <w:p w:rsidR="001856F1" w:rsidRPr="00B27759" w:rsidRDefault="001856F1" w:rsidP="001856F1">
      <w:pPr>
        <w:pStyle w:val="Paprastasistekstas"/>
        <w:tabs>
          <w:tab w:val="left" w:pos="4962"/>
        </w:tabs>
        <w:rPr>
          <w:rFonts w:ascii="Times New Roman" w:hAnsi="Times New Roman"/>
          <w:color w:val="000000"/>
          <w:sz w:val="22"/>
          <w:szCs w:val="22"/>
          <w:lang w:val="lt-LT"/>
        </w:rPr>
      </w:pPr>
    </w:p>
    <w:p w:rsidR="001856F1" w:rsidRPr="00B27759" w:rsidRDefault="001856F1" w:rsidP="001856F1">
      <w:pPr>
        <w:pStyle w:val="Paprastasistekstas"/>
        <w:ind w:left="5245"/>
        <w:rPr>
          <w:rFonts w:ascii="Times New Roman" w:hAnsi="Times New Roman"/>
          <w:color w:val="000000"/>
          <w:sz w:val="22"/>
          <w:szCs w:val="22"/>
          <w:lang w:val="lt-LT"/>
        </w:rPr>
      </w:pPr>
    </w:p>
    <w:p w:rsidR="001856F1" w:rsidRPr="00B27759" w:rsidRDefault="001856F1" w:rsidP="001856F1">
      <w:pPr>
        <w:widowControl w:val="0"/>
        <w:tabs>
          <w:tab w:val="clear" w:pos="567"/>
        </w:tabs>
        <w:spacing w:line="240" w:lineRule="auto"/>
        <w:rPr>
          <w:color w:val="008000"/>
          <w:szCs w:val="22"/>
          <w:lang w:val="lt-LT"/>
        </w:rPr>
      </w:pPr>
    </w:p>
    <w:p w:rsidR="001856F1" w:rsidRPr="00B27759" w:rsidRDefault="001856F1" w:rsidP="001856F1">
      <w:pPr>
        <w:spacing w:line="240" w:lineRule="auto"/>
        <w:outlineLvl w:val="0"/>
        <w:rPr>
          <w:b/>
          <w:szCs w:val="22"/>
          <w:lang w:val="lt-LT"/>
        </w:rPr>
      </w:pPr>
    </w:p>
    <w:p w:rsidR="001856F1" w:rsidRPr="00B27759" w:rsidRDefault="001856F1" w:rsidP="001856F1">
      <w:pPr>
        <w:spacing w:line="240" w:lineRule="auto"/>
        <w:outlineLvl w:val="0"/>
        <w:rPr>
          <w:b/>
          <w:szCs w:val="22"/>
          <w:lang w:val="lt-LT"/>
        </w:rPr>
      </w:pPr>
    </w:p>
    <w:p w:rsidR="001856F1" w:rsidRPr="00B27759" w:rsidRDefault="001856F1" w:rsidP="001856F1">
      <w:pPr>
        <w:spacing w:line="240" w:lineRule="auto"/>
        <w:outlineLvl w:val="0"/>
        <w:rPr>
          <w:b/>
          <w:szCs w:val="22"/>
          <w:lang w:val="lt-LT"/>
        </w:rPr>
      </w:pPr>
    </w:p>
    <w:p w:rsidR="001856F1" w:rsidRPr="00B27759" w:rsidRDefault="001856F1" w:rsidP="001856F1">
      <w:pPr>
        <w:spacing w:line="240" w:lineRule="auto"/>
        <w:outlineLvl w:val="0"/>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1856F1" w:rsidRPr="00B27759" w:rsidRDefault="001856F1" w:rsidP="001856F1">
      <w:pPr>
        <w:tabs>
          <w:tab w:val="left" w:pos="-1440"/>
          <w:tab w:val="left" w:pos="-720"/>
        </w:tabs>
        <w:spacing w:line="240" w:lineRule="auto"/>
        <w:rPr>
          <w:b/>
          <w:szCs w:val="22"/>
          <w:lang w:val="lt-LT"/>
        </w:rPr>
      </w:pPr>
    </w:p>
    <w:p w:rsidR="00630ACA" w:rsidRPr="00B27759" w:rsidRDefault="00630ACA" w:rsidP="001856F1">
      <w:pPr>
        <w:pStyle w:val="Antrat2"/>
        <w:spacing w:before="0" w:after="0" w:line="240" w:lineRule="auto"/>
        <w:jc w:val="center"/>
        <w:rPr>
          <w:rFonts w:ascii="Times New Roman" w:hAnsi="Times New Roman"/>
          <w:i w:val="0"/>
          <w:sz w:val="22"/>
          <w:szCs w:val="22"/>
          <w:lang w:val="lt-LT"/>
        </w:rPr>
      </w:pPr>
    </w:p>
    <w:p w:rsidR="00630ACA" w:rsidRPr="00B27759" w:rsidRDefault="00630ACA" w:rsidP="001856F1">
      <w:pPr>
        <w:pStyle w:val="Antrat2"/>
        <w:spacing w:before="0" w:after="0" w:line="240" w:lineRule="auto"/>
        <w:jc w:val="center"/>
        <w:rPr>
          <w:rFonts w:ascii="Times New Roman" w:hAnsi="Times New Roman"/>
          <w:i w:val="0"/>
          <w:sz w:val="22"/>
          <w:szCs w:val="22"/>
          <w:lang w:val="lt-LT"/>
        </w:rPr>
      </w:pPr>
    </w:p>
    <w:p w:rsidR="00630ACA" w:rsidRPr="00B27759" w:rsidRDefault="00630ACA" w:rsidP="001856F1">
      <w:pPr>
        <w:pStyle w:val="Antrat2"/>
        <w:spacing w:before="0" w:after="0" w:line="240" w:lineRule="auto"/>
        <w:jc w:val="center"/>
        <w:rPr>
          <w:rFonts w:ascii="Times New Roman" w:hAnsi="Times New Roman"/>
          <w:i w:val="0"/>
          <w:sz w:val="22"/>
          <w:szCs w:val="22"/>
          <w:lang w:val="lt-LT"/>
        </w:rPr>
      </w:pPr>
    </w:p>
    <w:p w:rsidR="001856F1" w:rsidRPr="00B27759" w:rsidRDefault="001856F1" w:rsidP="001856F1">
      <w:pPr>
        <w:pStyle w:val="Antrat2"/>
        <w:spacing w:before="0" w:after="0" w:line="240" w:lineRule="auto"/>
        <w:jc w:val="center"/>
        <w:rPr>
          <w:rFonts w:ascii="Times New Roman" w:hAnsi="Times New Roman"/>
          <w:bCs w:val="0"/>
          <w:i w:val="0"/>
          <w:iCs w:val="0"/>
          <w:sz w:val="22"/>
          <w:szCs w:val="22"/>
          <w:lang w:val="lt-LT"/>
        </w:rPr>
      </w:pPr>
      <w:r w:rsidRPr="00B27759">
        <w:rPr>
          <w:rFonts w:ascii="Times New Roman" w:hAnsi="Times New Roman"/>
          <w:i w:val="0"/>
          <w:sz w:val="22"/>
          <w:szCs w:val="22"/>
          <w:lang w:val="lt-LT"/>
        </w:rPr>
        <w:t>I PRIEDAS</w:t>
      </w:r>
    </w:p>
    <w:p w:rsidR="001856F1" w:rsidRPr="00B27759" w:rsidRDefault="001856F1" w:rsidP="001856F1">
      <w:pPr>
        <w:spacing w:line="240" w:lineRule="auto"/>
        <w:jc w:val="center"/>
        <w:rPr>
          <w:szCs w:val="22"/>
          <w:lang w:val="lt-LT"/>
        </w:rPr>
      </w:pPr>
    </w:p>
    <w:p w:rsidR="001856F1" w:rsidRPr="00B27759" w:rsidRDefault="001856F1" w:rsidP="001856F1">
      <w:pPr>
        <w:tabs>
          <w:tab w:val="left" w:pos="-1440"/>
          <w:tab w:val="left" w:pos="-720"/>
        </w:tabs>
        <w:spacing w:line="240" w:lineRule="auto"/>
        <w:jc w:val="center"/>
        <w:rPr>
          <w:b/>
          <w:szCs w:val="22"/>
          <w:lang w:val="lt-LT"/>
        </w:rPr>
      </w:pPr>
      <w:r w:rsidRPr="00B27759">
        <w:rPr>
          <w:b/>
          <w:szCs w:val="22"/>
          <w:lang w:val="lt-LT"/>
        </w:rPr>
        <w:t>PREPARATO CHARAKTERISTIKŲ SANTRAUKA</w:t>
      </w:r>
    </w:p>
    <w:p w:rsidR="001856F1" w:rsidRPr="00B27759" w:rsidRDefault="001856F1" w:rsidP="00037962">
      <w:pPr>
        <w:pStyle w:val="Antrat3"/>
        <w:spacing w:before="0" w:after="0" w:line="240" w:lineRule="auto"/>
        <w:rPr>
          <w:rFonts w:ascii="Times New Roman" w:hAnsi="Times New Roman"/>
          <w:sz w:val="22"/>
          <w:szCs w:val="22"/>
          <w:lang w:val="lt-LT"/>
        </w:rPr>
      </w:pPr>
      <w:r w:rsidRPr="00B27759">
        <w:rPr>
          <w:szCs w:val="22"/>
          <w:lang w:val="lt-LT" w:eastAsia="zh-CN"/>
        </w:rPr>
        <w:br w:type="page"/>
      </w:r>
      <w:r w:rsidRPr="00B27759">
        <w:rPr>
          <w:rFonts w:ascii="Times New Roman" w:hAnsi="Times New Roman"/>
          <w:sz w:val="22"/>
          <w:szCs w:val="22"/>
          <w:lang w:val="lt-LT"/>
        </w:rPr>
        <w:lastRenderedPageBreak/>
        <w:t>1.</w:t>
      </w:r>
      <w:r w:rsidRPr="00B27759">
        <w:rPr>
          <w:rFonts w:ascii="Times New Roman" w:hAnsi="Times New Roman"/>
          <w:sz w:val="22"/>
          <w:szCs w:val="22"/>
          <w:lang w:val="lt-LT"/>
        </w:rPr>
        <w:tab/>
        <w:t>VAISTINIO PREPARATO PAVADINIMAS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color w:val="222222"/>
          <w:szCs w:val="22"/>
          <w:lang w:val="lt-LT"/>
        </w:rPr>
        <w:t>Fingolimod Teva</w:t>
      </w:r>
      <w:r w:rsidRPr="00B27759">
        <w:rPr>
          <w:color w:val="222222"/>
          <w:szCs w:val="22"/>
          <w:shd w:val="clear" w:color="auto" w:fill="FFFFFF"/>
          <w:lang w:val="lt-LT"/>
        </w:rPr>
        <w:t xml:space="preserve"> 0,5 mg kietosios kapsulės</w:t>
      </w:r>
      <w:bookmarkStart w:id="0" w:name="_GoBack"/>
      <w:bookmarkEnd w:id="0"/>
      <w:r w:rsidRPr="00B27759">
        <w:rPr>
          <w:noProof/>
          <w:szCs w:val="22"/>
          <w:lang w:val="lt-LT"/>
        </w:rPr>
        <w:t xml:space="preserve">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2.</w:t>
      </w:r>
      <w:r w:rsidRPr="00B27759">
        <w:rPr>
          <w:rFonts w:ascii="Times New Roman" w:hAnsi="Times New Roman"/>
          <w:sz w:val="22"/>
          <w:szCs w:val="22"/>
          <w:lang w:val="lt-LT"/>
        </w:rPr>
        <w:tab/>
        <w:t>KOKYBINĖ IR KIEKYBINĖ SUDĖTIS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Kiekvienoje kapsulėje yra </w:t>
      </w:r>
      <w:r w:rsidR="00F44F12" w:rsidRPr="00B27759">
        <w:rPr>
          <w:szCs w:val="22"/>
          <w:lang w:val="lt-LT"/>
        </w:rPr>
        <w:t>0,5 mg fingolimodo (hidrochlorido pavidalu).</w:t>
      </w:r>
      <w:r w:rsidRPr="00B27759">
        <w:rPr>
          <w:szCs w:val="22"/>
          <w:lang w:val="lt-LT"/>
        </w:rPr>
        <w:t xml:space="preserve"> </w:t>
      </w:r>
    </w:p>
    <w:p w:rsidR="001856F1" w:rsidRPr="00B27759" w:rsidRDefault="001856F1" w:rsidP="001856F1">
      <w:pPr>
        <w:spacing w:line="240" w:lineRule="auto"/>
        <w:rPr>
          <w:noProof/>
          <w:szCs w:val="22"/>
          <w:lang w:val="lt-LT"/>
        </w:rPr>
      </w:pPr>
    </w:p>
    <w:p w:rsidR="001856F1" w:rsidRPr="00B27759" w:rsidRDefault="001856F1" w:rsidP="001856F1">
      <w:pPr>
        <w:spacing w:line="240" w:lineRule="auto"/>
        <w:rPr>
          <w:szCs w:val="22"/>
          <w:lang w:val="lt-LT"/>
        </w:rPr>
      </w:pPr>
      <w:r w:rsidRPr="00B27759">
        <w:rPr>
          <w:noProof/>
          <w:szCs w:val="22"/>
          <w:lang w:val="lt-LT"/>
        </w:rPr>
        <w:t>Visos pagalbinės medžiagos išvardytos 6.1 skyriuje.</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3.</w:t>
      </w:r>
      <w:r w:rsidRPr="00B27759">
        <w:rPr>
          <w:rFonts w:ascii="Times New Roman" w:hAnsi="Times New Roman"/>
          <w:sz w:val="22"/>
          <w:szCs w:val="22"/>
          <w:lang w:val="lt-LT"/>
        </w:rPr>
        <w:tab/>
        <w:t>FARMACINĖ FORMA</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noProof/>
          <w:szCs w:val="22"/>
          <w:lang w:val="lt-LT"/>
        </w:rPr>
        <w:t>Kietoji kapsulė.</w:t>
      </w:r>
    </w:p>
    <w:p w:rsidR="001856F1" w:rsidRPr="00B27759" w:rsidRDefault="001856F1" w:rsidP="001856F1">
      <w:pPr>
        <w:spacing w:line="240" w:lineRule="auto"/>
        <w:rPr>
          <w:noProof/>
          <w:szCs w:val="22"/>
          <w:lang w:val="lt-LT"/>
        </w:rPr>
      </w:pPr>
    </w:p>
    <w:p w:rsidR="001856F1" w:rsidRPr="00B27759" w:rsidRDefault="00EF4EC9" w:rsidP="001856F1">
      <w:pPr>
        <w:spacing w:line="240" w:lineRule="auto"/>
        <w:rPr>
          <w:noProof/>
          <w:szCs w:val="22"/>
          <w:lang w:val="lt-LT"/>
        </w:rPr>
      </w:pPr>
      <w:r>
        <w:rPr>
          <w:noProof/>
          <w:szCs w:val="22"/>
          <w:lang w:val="lt-LT"/>
        </w:rPr>
        <w:t>Ž</w:t>
      </w:r>
      <w:r w:rsidR="001856F1" w:rsidRPr="00B27759">
        <w:rPr>
          <w:noProof/>
          <w:szCs w:val="22"/>
          <w:lang w:val="lt-LT"/>
        </w:rPr>
        <w:t xml:space="preserve">elatininė </w:t>
      </w:r>
      <w:r w:rsidR="00F44F12" w:rsidRPr="00B27759">
        <w:rPr>
          <w:noProof/>
          <w:szCs w:val="22"/>
          <w:lang w:val="lt-LT"/>
        </w:rPr>
        <w:t>apie 14</w:t>
      </w:r>
      <w:r w:rsidR="001856F1" w:rsidRPr="00B27759">
        <w:rPr>
          <w:noProof/>
          <w:szCs w:val="22"/>
          <w:lang w:val="lt-LT"/>
        </w:rPr>
        <w:t xml:space="preserve"> mm </w:t>
      </w:r>
      <w:r w:rsidR="00F44F12" w:rsidRPr="00B27759">
        <w:rPr>
          <w:noProof/>
          <w:szCs w:val="22"/>
          <w:lang w:val="lt-LT"/>
        </w:rPr>
        <w:t>d</w:t>
      </w:r>
      <w:r w:rsidR="001856F1" w:rsidRPr="00B27759">
        <w:rPr>
          <w:noProof/>
          <w:szCs w:val="22"/>
          <w:lang w:val="lt-LT"/>
        </w:rPr>
        <w:t xml:space="preserve">ydžio kapsulė su </w:t>
      </w:r>
      <w:r w:rsidR="00F44F12" w:rsidRPr="00B27759">
        <w:rPr>
          <w:noProof/>
          <w:szCs w:val="22"/>
          <w:lang w:val="lt-LT"/>
        </w:rPr>
        <w:t xml:space="preserve">juodu užrašu </w:t>
      </w:r>
      <w:r w:rsidR="00F44F12" w:rsidRPr="00E32EE4">
        <w:rPr>
          <w:noProof/>
          <w:szCs w:val="22"/>
          <w:lang w:val="lt-LT"/>
        </w:rPr>
        <w:t>„TV 7820“ ant geltono</w:t>
      </w:r>
      <w:r w:rsidR="001856F1" w:rsidRPr="00E32EE4">
        <w:rPr>
          <w:noProof/>
          <w:szCs w:val="22"/>
          <w:lang w:val="lt-LT"/>
        </w:rPr>
        <w:t xml:space="preserve">s spalvos </w:t>
      </w:r>
      <w:r w:rsidRPr="00E32EE4">
        <w:rPr>
          <w:noProof/>
          <w:szCs w:val="22"/>
          <w:lang w:val="lt-LT"/>
        </w:rPr>
        <w:t xml:space="preserve">kapsulės </w:t>
      </w:r>
      <w:r w:rsidR="00F44F12" w:rsidRPr="00E32EE4">
        <w:rPr>
          <w:noProof/>
          <w:szCs w:val="22"/>
          <w:lang w:val="lt-LT"/>
        </w:rPr>
        <w:t>dangtelio ir užrašu „TV 7820“</w:t>
      </w:r>
      <w:r w:rsidR="00690BD9" w:rsidRPr="00E32EE4">
        <w:rPr>
          <w:noProof/>
          <w:szCs w:val="22"/>
          <w:lang w:val="lt-LT"/>
        </w:rPr>
        <w:t xml:space="preserve"> </w:t>
      </w:r>
      <w:r w:rsidR="00F44F12" w:rsidRPr="00E32EE4">
        <w:rPr>
          <w:noProof/>
          <w:szCs w:val="22"/>
          <w:lang w:val="lt-LT"/>
        </w:rPr>
        <w:t>ant nepermatomo baltos spalvos</w:t>
      </w:r>
      <w:r w:rsidRPr="00E32EE4">
        <w:rPr>
          <w:noProof/>
          <w:szCs w:val="22"/>
          <w:lang w:val="lt-LT"/>
        </w:rPr>
        <w:t xml:space="preserve"> kapsulės</w:t>
      </w:r>
      <w:r w:rsidR="00F44F12" w:rsidRPr="00E32EE4">
        <w:rPr>
          <w:noProof/>
          <w:szCs w:val="22"/>
          <w:lang w:val="lt-LT"/>
        </w:rPr>
        <w:t xml:space="preserve"> </w:t>
      </w:r>
      <w:r w:rsidR="001856F1" w:rsidRPr="00E32EE4">
        <w:rPr>
          <w:noProof/>
          <w:szCs w:val="22"/>
          <w:lang w:val="lt-LT"/>
        </w:rPr>
        <w:t>korpus</w:t>
      </w:r>
      <w:r w:rsidR="00F44F12" w:rsidRPr="00E32EE4">
        <w:rPr>
          <w:noProof/>
          <w:szCs w:val="22"/>
          <w:lang w:val="lt-LT"/>
        </w:rPr>
        <w:t>o</w:t>
      </w:r>
      <w:r w:rsidR="001856F1" w:rsidRPr="00E32EE4">
        <w:rPr>
          <w:noProof/>
          <w:szCs w:val="22"/>
          <w:lang w:val="lt-LT"/>
        </w:rPr>
        <w:t>.</w:t>
      </w:r>
    </w:p>
    <w:p w:rsidR="001856F1" w:rsidRPr="00B27759" w:rsidRDefault="001856F1" w:rsidP="001856F1">
      <w:pPr>
        <w:spacing w:line="240" w:lineRule="auto"/>
        <w:rPr>
          <w:noProof/>
          <w:szCs w:val="22"/>
          <w:lang w:val="lt-LT"/>
        </w:rPr>
      </w:pPr>
    </w:p>
    <w:p w:rsidR="001856F1" w:rsidRPr="00B27759" w:rsidRDefault="001856F1" w:rsidP="001856F1">
      <w:pPr>
        <w:spacing w:line="240" w:lineRule="auto"/>
        <w:rPr>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4.</w:t>
      </w:r>
      <w:r w:rsidRPr="00B27759">
        <w:rPr>
          <w:rFonts w:ascii="Times New Roman" w:hAnsi="Times New Roman"/>
          <w:sz w:val="22"/>
          <w:szCs w:val="22"/>
          <w:lang w:val="lt-LT"/>
        </w:rPr>
        <w:tab/>
        <w:t>KLINIKINĖ INFORMACIJA</w:t>
      </w:r>
    </w:p>
    <w:p w:rsidR="001856F1" w:rsidRPr="00B27759" w:rsidRDefault="001856F1" w:rsidP="001856F1">
      <w:pPr>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4.1</w:t>
      </w:r>
      <w:r w:rsidRPr="00B27759">
        <w:rPr>
          <w:rFonts w:ascii="Times New Roman" w:hAnsi="Times New Roman"/>
          <w:sz w:val="22"/>
          <w:szCs w:val="22"/>
          <w:lang w:val="lt-LT"/>
        </w:rPr>
        <w:tab/>
        <w:t>Terapinės indikacijos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noProof/>
          <w:szCs w:val="22"/>
          <w:lang w:val="lt-LT"/>
        </w:rPr>
        <w:t>Fingolimod Teva skir</w:t>
      </w:r>
      <w:r w:rsidR="00A85980">
        <w:rPr>
          <w:noProof/>
          <w:szCs w:val="22"/>
          <w:lang w:val="lt-LT"/>
        </w:rPr>
        <w:t>tas</w:t>
      </w:r>
      <w:r w:rsidRPr="00B27759">
        <w:rPr>
          <w:noProof/>
          <w:szCs w:val="22"/>
          <w:lang w:val="lt-LT"/>
        </w:rPr>
        <w:t xml:space="preserve"> kaip ligos eigą modifikuojanti monoterapija itin aktyvios formos recidyvuojančios remituojančios išsėtinės sklerozės gydymui šioms suaugusių pacientų ir 10 metų bei vyresnių vaikų grupėms: </w:t>
      </w:r>
    </w:p>
    <w:p w:rsidR="001856F1" w:rsidRPr="00B27759" w:rsidRDefault="001856F1" w:rsidP="001856F1">
      <w:pPr>
        <w:numPr>
          <w:ilvl w:val="0"/>
          <w:numId w:val="2"/>
        </w:numPr>
        <w:spacing w:line="240" w:lineRule="auto"/>
        <w:ind w:left="567" w:hanging="567"/>
        <w:rPr>
          <w:noProof/>
          <w:szCs w:val="22"/>
          <w:lang w:val="lt-LT"/>
        </w:rPr>
      </w:pPr>
      <w:r w:rsidRPr="00B27759">
        <w:rPr>
          <w:noProof/>
          <w:szCs w:val="22"/>
          <w:lang w:val="lt-LT"/>
        </w:rPr>
        <w:t xml:space="preserve">itin aktyvia ligos forma sergantiems pacientams, kuriems nepadeda visavertis ir tinkamas gydymo kursas bent vienu ligos eigą modifikuojančiu vaistiniu preparatu (išimtys ir informacija apie „išplovimo“ (šalinimo iš organizmo) laikotarpį pateikiama 4.4 ir 5.1 skyriuose); </w:t>
      </w:r>
    </w:p>
    <w:p w:rsidR="001856F1" w:rsidRPr="00B27759" w:rsidRDefault="001856F1" w:rsidP="001856F1">
      <w:pPr>
        <w:spacing w:line="240" w:lineRule="auto"/>
        <w:rPr>
          <w:noProof/>
          <w:szCs w:val="22"/>
          <w:lang w:val="lt-LT"/>
        </w:rPr>
      </w:pPr>
      <w:r w:rsidRPr="00B27759">
        <w:rPr>
          <w:noProof/>
          <w:szCs w:val="22"/>
          <w:lang w:val="lt-LT"/>
        </w:rPr>
        <w:t xml:space="preserve">arba </w:t>
      </w:r>
    </w:p>
    <w:p w:rsidR="001856F1" w:rsidRPr="00B27759" w:rsidRDefault="001856F1" w:rsidP="001856F1">
      <w:pPr>
        <w:numPr>
          <w:ilvl w:val="0"/>
          <w:numId w:val="2"/>
        </w:numPr>
        <w:spacing w:line="240" w:lineRule="auto"/>
        <w:ind w:left="567" w:hanging="567"/>
        <w:rPr>
          <w:noProof/>
          <w:szCs w:val="22"/>
          <w:lang w:val="lt-LT"/>
        </w:rPr>
      </w:pPr>
      <w:r w:rsidRPr="00B27759">
        <w:rPr>
          <w:noProof/>
          <w:szCs w:val="22"/>
          <w:lang w:val="lt-LT"/>
        </w:rPr>
        <w:t xml:space="preserve">sparčiai besivystančia sunkia recidyvuojančia remituojančia išsėtine skleroze sergantiems pacientams, kurie patyrė 2 arba daugiau negalią sukeliančių paūmėjimų per vienerius metus, bei kuriems atlikus galvos smegenų magnetinio rezonanso tyrimą (MRT) nustatyta 1 arba daugiau gadolinį kaupiančių pažaidų arba reikšmingai padaugėjo T2 režime matomų pažaidų, lyginant su paskutiniuoju neseniai atliktu MRT tyrimu. </w:t>
      </w:r>
    </w:p>
    <w:p w:rsidR="001856F1" w:rsidRPr="00B27759" w:rsidRDefault="001856F1" w:rsidP="001856F1">
      <w:pPr>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4.2</w:t>
      </w:r>
      <w:r w:rsidRPr="00B27759">
        <w:rPr>
          <w:rFonts w:ascii="Times New Roman" w:hAnsi="Times New Roman"/>
          <w:sz w:val="22"/>
          <w:szCs w:val="22"/>
          <w:lang w:val="lt-LT"/>
        </w:rPr>
        <w:tab/>
        <w:t>Dozavimas ir vartojimo metodas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noProof/>
          <w:szCs w:val="22"/>
          <w:lang w:val="lt-LT"/>
        </w:rPr>
        <w:t xml:space="preserve">Gydymą turėtų skirti ir prižiūrėti išsėtinės sklerozės srityje patirties turintis gydytojas. </w:t>
      </w:r>
    </w:p>
    <w:p w:rsidR="001856F1" w:rsidRPr="00B27759" w:rsidRDefault="001856F1" w:rsidP="001856F1">
      <w:pPr>
        <w:spacing w:line="240" w:lineRule="auto"/>
        <w:rPr>
          <w:noProof/>
          <w:szCs w:val="22"/>
          <w:lang w:val="lt-LT"/>
        </w:rPr>
      </w:pP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Dozavimas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Suaugusiesiems rekomenduojama Fingolimod Teva dozė yra viena per burną vartojama 0,5 mg kapsulė kartą per parą.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Vaikams (10 metų ir vyresniems) rekomenduojama dozė priklauso nuo kūno svorio: </w:t>
      </w:r>
    </w:p>
    <w:p w:rsidR="001856F1" w:rsidRPr="00B27759" w:rsidRDefault="001856F1" w:rsidP="001856F1">
      <w:pPr>
        <w:numPr>
          <w:ilvl w:val="0"/>
          <w:numId w:val="2"/>
        </w:numPr>
        <w:spacing w:line="240" w:lineRule="auto"/>
        <w:ind w:left="567" w:hanging="567"/>
        <w:rPr>
          <w:strike/>
          <w:noProof/>
          <w:szCs w:val="22"/>
          <w:lang w:val="lt-LT"/>
        </w:rPr>
      </w:pPr>
      <w:r w:rsidRPr="00B27759">
        <w:rPr>
          <w:noProof/>
          <w:szCs w:val="22"/>
          <w:lang w:val="lt-LT"/>
        </w:rPr>
        <w:t xml:space="preserve">vaikams, kurių kūno svoris yra ≤ 40 kg: po vieną per burną vartojamą </w:t>
      </w:r>
      <w:r w:rsidR="005919A7" w:rsidRPr="00B27759">
        <w:rPr>
          <w:noProof/>
          <w:szCs w:val="22"/>
          <w:lang w:val="lt-LT"/>
        </w:rPr>
        <w:t>0,25 mg kapsulę kartą per parą.</w:t>
      </w:r>
    </w:p>
    <w:p w:rsidR="001856F1" w:rsidRPr="00B27759" w:rsidRDefault="001856F1" w:rsidP="001856F1">
      <w:pPr>
        <w:numPr>
          <w:ilvl w:val="0"/>
          <w:numId w:val="2"/>
        </w:numPr>
        <w:spacing w:line="240" w:lineRule="auto"/>
        <w:ind w:left="567" w:hanging="567"/>
        <w:rPr>
          <w:noProof/>
          <w:szCs w:val="22"/>
          <w:lang w:val="lt-LT"/>
        </w:rPr>
      </w:pPr>
      <w:r w:rsidRPr="00B27759">
        <w:rPr>
          <w:noProof/>
          <w:szCs w:val="22"/>
          <w:lang w:val="lt-LT"/>
        </w:rPr>
        <w:t xml:space="preserve">vaikams, kurių kūno svoris yra &gt; 40 kg: po vieną per burną vartojamą 0,5 mg kapsulę kartą per parą.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Vaikams, kurių gydymas pradedamas 0,25 mg kapsulėmis ir kuriems vėliau kūno svoris</w:t>
      </w:r>
      <w:r w:rsidR="00630ACA" w:rsidRPr="00B27759">
        <w:rPr>
          <w:noProof/>
          <w:szCs w:val="22"/>
          <w:lang w:val="lt-LT"/>
        </w:rPr>
        <w:t xml:space="preserve"> pasiekia stabilų didesnį kaip </w:t>
      </w:r>
      <w:r w:rsidRPr="00B27759">
        <w:rPr>
          <w:noProof/>
          <w:szCs w:val="22"/>
          <w:lang w:val="lt-LT"/>
        </w:rPr>
        <w:t xml:space="preserve">40 kg, reikia pakeisti į 0,5 mg kapsules.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Keičiant gydymą iš 0,25 mg į 0,5 mg paros dozę, rekomenduojama pakartotinai laikytis tokių pat pirmosios dozės poveikio stebėjimo priemonių, kaip ir pradedant gydymą. </w:t>
      </w:r>
    </w:p>
    <w:p w:rsidR="001856F1" w:rsidRPr="00B27759" w:rsidRDefault="001856F1" w:rsidP="001856F1">
      <w:pPr>
        <w:spacing w:line="240" w:lineRule="auto"/>
        <w:rPr>
          <w:noProof/>
          <w:szCs w:val="22"/>
          <w:lang w:val="lt-LT"/>
        </w:rPr>
      </w:pPr>
      <w:r w:rsidRPr="00B27759">
        <w:rPr>
          <w:noProof/>
          <w:szCs w:val="22"/>
          <w:lang w:val="lt-LT"/>
        </w:rPr>
        <w:lastRenderedPageBreak/>
        <w:t xml:space="preserve"> </w:t>
      </w:r>
    </w:p>
    <w:p w:rsidR="001856F1" w:rsidRPr="00B27759" w:rsidRDefault="001856F1" w:rsidP="001856F1">
      <w:pPr>
        <w:spacing w:line="240" w:lineRule="auto"/>
        <w:rPr>
          <w:noProof/>
          <w:szCs w:val="22"/>
          <w:lang w:val="lt-LT"/>
        </w:rPr>
      </w:pPr>
      <w:r w:rsidRPr="00B27759">
        <w:rPr>
          <w:noProof/>
          <w:szCs w:val="22"/>
          <w:lang w:val="lt-LT"/>
        </w:rPr>
        <w:t xml:space="preserve">Fingolimod Teva galima vartoti valgant arba nevalgius.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Vėl pradėjus vartoti vaistinio preparato rekomenduojamas toks pat paciento būklės stebėjimas, kaip ir pradedant vartoti pirmąją dozę, tais atvejais, kai gydymas buvo nutrauktas: </w:t>
      </w:r>
    </w:p>
    <w:p w:rsidR="001856F1" w:rsidRPr="00B27759" w:rsidRDefault="001856F1" w:rsidP="001856F1">
      <w:pPr>
        <w:numPr>
          <w:ilvl w:val="0"/>
          <w:numId w:val="3"/>
        </w:numPr>
        <w:spacing w:line="240" w:lineRule="auto"/>
        <w:ind w:left="567" w:hanging="567"/>
        <w:rPr>
          <w:noProof/>
          <w:szCs w:val="22"/>
          <w:lang w:val="lt-LT"/>
        </w:rPr>
      </w:pPr>
      <w:r w:rsidRPr="00B27759">
        <w:rPr>
          <w:noProof/>
          <w:szCs w:val="22"/>
          <w:lang w:val="lt-LT"/>
        </w:rPr>
        <w:t xml:space="preserve">1 dienai ar ilgiau per pirmąsias 2 gydymo savaites. </w:t>
      </w:r>
    </w:p>
    <w:p w:rsidR="001856F1" w:rsidRPr="00B27759" w:rsidRDefault="001856F1" w:rsidP="001856F1">
      <w:pPr>
        <w:numPr>
          <w:ilvl w:val="0"/>
          <w:numId w:val="3"/>
        </w:numPr>
        <w:spacing w:line="240" w:lineRule="auto"/>
        <w:ind w:left="567" w:hanging="567"/>
        <w:rPr>
          <w:noProof/>
          <w:szCs w:val="22"/>
          <w:lang w:val="lt-LT"/>
        </w:rPr>
      </w:pPr>
      <w:r w:rsidRPr="00B27759">
        <w:rPr>
          <w:noProof/>
          <w:szCs w:val="22"/>
          <w:lang w:val="lt-LT"/>
        </w:rPr>
        <w:t xml:space="preserve">ilgiau kaip 7 dienoms per 3-iąją ir 4-ąją gydymo savaites. </w:t>
      </w:r>
    </w:p>
    <w:p w:rsidR="001856F1" w:rsidRPr="00B27759" w:rsidRDefault="001856F1" w:rsidP="001856F1">
      <w:pPr>
        <w:numPr>
          <w:ilvl w:val="0"/>
          <w:numId w:val="3"/>
        </w:numPr>
        <w:spacing w:line="240" w:lineRule="auto"/>
        <w:ind w:left="567" w:hanging="567"/>
        <w:rPr>
          <w:noProof/>
          <w:szCs w:val="22"/>
          <w:lang w:val="lt-LT"/>
        </w:rPr>
      </w:pPr>
      <w:r w:rsidRPr="00B27759">
        <w:rPr>
          <w:noProof/>
          <w:szCs w:val="22"/>
          <w:lang w:val="lt-LT"/>
        </w:rPr>
        <w:t xml:space="preserve">ilgiau kaip 2 savaitėms po vieno gydymo mėnesio. </w:t>
      </w:r>
    </w:p>
    <w:p w:rsidR="00F44F12" w:rsidRPr="00B27759" w:rsidRDefault="00F44F12" w:rsidP="001856F1">
      <w:pPr>
        <w:spacing w:line="240" w:lineRule="auto"/>
        <w:rPr>
          <w:noProof/>
          <w:szCs w:val="22"/>
          <w:lang w:val="lt-LT"/>
        </w:rPr>
      </w:pPr>
    </w:p>
    <w:p w:rsidR="001856F1" w:rsidRPr="00B27759" w:rsidRDefault="001856F1" w:rsidP="001856F1">
      <w:pPr>
        <w:spacing w:line="240" w:lineRule="auto"/>
        <w:rPr>
          <w:noProof/>
          <w:szCs w:val="22"/>
          <w:lang w:val="lt-LT"/>
        </w:rPr>
      </w:pPr>
      <w:r w:rsidRPr="00B27759">
        <w:rPr>
          <w:noProof/>
          <w:szCs w:val="22"/>
          <w:lang w:val="lt-LT"/>
        </w:rPr>
        <w:t xml:space="preserve">Jeigu gydymas buvo nutrauktas trumpesniam laikui nei nurodyta aukščiau, gydymą reikia tęsti geriant kitą dozę įprasta tvarka (žr. 4.4 skyrių). </w:t>
      </w: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 </w:t>
      </w:r>
    </w:p>
    <w:p w:rsidR="001856F1" w:rsidRPr="00B27759" w:rsidRDefault="001856F1" w:rsidP="001856F1">
      <w:pPr>
        <w:spacing w:line="240" w:lineRule="auto"/>
        <w:rPr>
          <w:noProof/>
          <w:szCs w:val="22"/>
          <w:u w:val="single"/>
          <w:lang w:val="lt-LT"/>
        </w:rPr>
      </w:pPr>
      <w:r w:rsidRPr="00B27759">
        <w:rPr>
          <w:noProof/>
          <w:szCs w:val="22"/>
          <w:u w:val="single"/>
          <w:lang w:val="lt-LT"/>
        </w:rPr>
        <w:t>Ypatingos populiacijos</w:t>
      </w: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 </w:t>
      </w:r>
    </w:p>
    <w:p w:rsidR="001856F1" w:rsidRPr="00B27759" w:rsidRDefault="001856F1" w:rsidP="001856F1">
      <w:pPr>
        <w:spacing w:line="240" w:lineRule="auto"/>
        <w:rPr>
          <w:i/>
          <w:noProof/>
          <w:szCs w:val="22"/>
          <w:u w:val="single"/>
          <w:lang w:val="lt-LT"/>
        </w:rPr>
      </w:pPr>
      <w:r w:rsidRPr="00B27759">
        <w:rPr>
          <w:i/>
          <w:noProof/>
          <w:szCs w:val="22"/>
          <w:u w:val="single"/>
          <w:lang w:val="lt-LT"/>
        </w:rPr>
        <w:t>Senyviems pacientams</w:t>
      </w:r>
    </w:p>
    <w:p w:rsidR="001856F1" w:rsidRPr="00B27759" w:rsidRDefault="001856F1" w:rsidP="001856F1">
      <w:pPr>
        <w:spacing w:line="240" w:lineRule="auto"/>
        <w:rPr>
          <w:noProof/>
          <w:szCs w:val="22"/>
          <w:lang w:val="lt-LT"/>
        </w:rPr>
      </w:pPr>
      <w:r w:rsidRPr="00B27759">
        <w:rPr>
          <w:noProof/>
          <w:szCs w:val="22"/>
          <w:lang w:val="lt-LT"/>
        </w:rPr>
        <w:t xml:space="preserve">Fingolimod Teva reikia atsargiai vartoti 65 metų ir vyresniems pacientams, nes duomenų apie saugumą ir veiksmingumą nepakanka (žr. 5.2 skyrių). </w:t>
      </w:r>
    </w:p>
    <w:p w:rsidR="001856F1" w:rsidRPr="00B27759" w:rsidRDefault="001856F1" w:rsidP="001856F1">
      <w:pPr>
        <w:spacing w:line="240" w:lineRule="auto"/>
        <w:contextualSpacing/>
        <w:outlineLvl w:val="0"/>
        <w:rPr>
          <w:i/>
          <w:iCs/>
          <w:color w:val="000000"/>
          <w:szCs w:val="22"/>
          <w:lang w:val="lt-LT"/>
        </w:rPr>
      </w:pPr>
    </w:p>
    <w:p w:rsidR="001856F1" w:rsidRPr="00B27759" w:rsidRDefault="001856F1" w:rsidP="001856F1">
      <w:pPr>
        <w:spacing w:line="240" w:lineRule="auto"/>
        <w:contextualSpacing/>
        <w:outlineLvl w:val="0"/>
        <w:rPr>
          <w:i/>
          <w:iCs/>
          <w:color w:val="000000"/>
          <w:szCs w:val="22"/>
          <w:u w:val="single"/>
          <w:lang w:val="lt-LT"/>
        </w:rPr>
      </w:pPr>
      <w:r w:rsidRPr="00B27759">
        <w:rPr>
          <w:i/>
          <w:iCs/>
          <w:color w:val="000000"/>
          <w:szCs w:val="22"/>
          <w:u w:val="single"/>
          <w:lang w:val="lt-LT"/>
        </w:rPr>
        <w:t>Pacientams, kurių inkstų funkcija sutrikusi</w:t>
      </w:r>
    </w:p>
    <w:p w:rsidR="001856F1" w:rsidRPr="00B27759" w:rsidRDefault="001856F1" w:rsidP="001856F1">
      <w:pPr>
        <w:spacing w:line="240" w:lineRule="auto"/>
        <w:contextualSpacing/>
        <w:outlineLvl w:val="0"/>
        <w:rPr>
          <w:iCs/>
          <w:color w:val="000000"/>
          <w:szCs w:val="22"/>
          <w:lang w:val="lt-LT"/>
        </w:rPr>
      </w:pPr>
      <w:r w:rsidRPr="00B27759">
        <w:rPr>
          <w:iCs/>
          <w:color w:val="000000"/>
          <w:szCs w:val="22"/>
          <w:lang w:val="lt-LT"/>
        </w:rPr>
        <w:t xml:space="preserve">Pagrindinių išsėtine skleroze (IS) sergančių pacientų tyrimų metu </w:t>
      </w:r>
      <w:r w:rsidR="00F44F12" w:rsidRPr="00B27759">
        <w:rPr>
          <w:iCs/>
          <w:color w:val="000000"/>
          <w:szCs w:val="22"/>
          <w:lang w:val="lt-LT"/>
        </w:rPr>
        <w:t>fingolimodo</w:t>
      </w:r>
      <w:r w:rsidRPr="00B27759">
        <w:rPr>
          <w:iCs/>
          <w:color w:val="000000"/>
          <w:szCs w:val="22"/>
          <w:lang w:val="lt-LT"/>
        </w:rPr>
        <w:t xml:space="preserve"> poveikis nebuvo tirtas pacientams, kurių inkstų funkcija buvo sutrikusi. Remiantis klinikinės farmakologijos tyrimų duomenimis, pacientams, kuriems nustatytas lengvas, vidutinio sunkumo ar sunkus inkstų funkcijos sutrikimas, vaistinio preparato dozės keisti nereikia.</w:t>
      </w:r>
    </w:p>
    <w:p w:rsidR="001856F1" w:rsidRPr="00B27759" w:rsidRDefault="001856F1" w:rsidP="001856F1">
      <w:pPr>
        <w:spacing w:line="240" w:lineRule="auto"/>
        <w:contextualSpacing/>
        <w:outlineLvl w:val="0"/>
        <w:rPr>
          <w:i/>
          <w:iCs/>
          <w:color w:val="000000"/>
          <w:szCs w:val="22"/>
          <w:lang w:val="lt-LT"/>
        </w:rPr>
      </w:pPr>
    </w:p>
    <w:p w:rsidR="001856F1" w:rsidRPr="00B27759" w:rsidRDefault="001856F1" w:rsidP="001856F1">
      <w:pPr>
        <w:spacing w:line="240" w:lineRule="auto"/>
        <w:contextualSpacing/>
        <w:outlineLvl w:val="0"/>
        <w:rPr>
          <w:iCs/>
          <w:color w:val="000000"/>
          <w:szCs w:val="22"/>
          <w:u w:val="single"/>
          <w:lang w:val="lt-LT"/>
        </w:rPr>
      </w:pPr>
      <w:r w:rsidRPr="00B27759">
        <w:rPr>
          <w:i/>
          <w:iCs/>
          <w:color w:val="000000"/>
          <w:szCs w:val="22"/>
          <w:u w:val="single"/>
          <w:lang w:val="lt-LT"/>
        </w:rPr>
        <w:t>Pacientams, kurių kepenų funkcija sutrikusi</w:t>
      </w:r>
    </w:p>
    <w:p w:rsidR="001856F1" w:rsidRPr="00B27759" w:rsidRDefault="001856F1" w:rsidP="001856F1">
      <w:pPr>
        <w:spacing w:line="240" w:lineRule="auto"/>
        <w:rPr>
          <w:szCs w:val="22"/>
          <w:lang w:val="lt-LT"/>
        </w:rPr>
      </w:pPr>
      <w:r w:rsidRPr="00B27759">
        <w:rPr>
          <w:szCs w:val="22"/>
          <w:lang w:val="lt-LT"/>
        </w:rPr>
        <w:t xml:space="preserve">Fingolimod Teva draudžiama vartoti pacientams, kuriems yra sunkus kepenų funkcijos sutrikimas (C klasės pagal </w:t>
      </w:r>
      <w:r w:rsidRPr="00B27759">
        <w:rPr>
          <w:i/>
          <w:szCs w:val="22"/>
          <w:lang w:val="lt-LT"/>
        </w:rPr>
        <w:t>Child-Pugh</w:t>
      </w:r>
      <w:r w:rsidRPr="00B27759">
        <w:rPr>
          <w:szCs w:val="22"/>
          <w:lang w:val="lt-LT"/>
        </w:rPr>
        <w:t>) (žr. 4.3 skyrių). Nors pacientams, kuriems yra nesunkus ar vidutinio sunkumo kepenų funkcijos sutrikimas, dozės keisti nereikia, tokius pacientus pradėti gydyti šiuo vaistiniu preparatu reikia atsargiai (žr. 4.4 ir 5.2 skyrius).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i/>
          <w:szCs w:val="22"/>
          <w:u w:val="single"/>
          <w:lang w:val="lt-LT"/>
        </w:rPr>
      </w:pPr>
      <w:r w:rsidRPr="00B27759">
        <w:rPr>
          <w:i/>
          <w:noProof/>
          <w:szCs w:val="22"/>
          <w:u w:val="single"/>
          <w:lang w:val="lt-LT"/>
        </w:rPr>
        <w:t>Vaikų populiacija</w:t>
      </w:r>
    </w:p>
    <w:p w:rsidR="001856F1" w:rsidRPr="00B27759" w:rsidRDefault="001856F1" w:rsidP="001856F1">
      <w:pPr>
        <w:spacing w:line="240" w:lineRule="auto"/>
        <w:rPr>
          <w:szCs w:val="22"/>
          <w:lang w:val="lt-LT"/>
        </w:rPr>
      </w:pPr>
      <w:r w:rsidRPr="00B27759">
        <w:rPr>
          <w:szCs w:val="22"/>
          <w:lang w:val="lt-LT"/>
        </w:rPr>
        <w:t>Fingolimod</w:t>
      </w:r>
      <w:r w:rsidR="00F44F12" w:rsidRPr="00B27759">
        <w:rPr>
          <w:szCs w:val="22"/>
          <w:lang w:val="lt-LT"/>
        </w:rPr>
        <w:t>o</w:t>
      </w:r>
      <w:r w:rsidRPr="00B27759">
        <w:rPr>
          <w:szCs w:val="22"/>
          <w:lang w:val="lt-LT"/>
        </w:rPr>
        <w:t xml:space="preserve"> saugumas ir veiksmingumas vaikams iki 10 metų dar neištirti. Duomenų nėra.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Apie vaistinio preparato poveikį 10-12 metų vaikams duomenų </w:t>
      </w:r>
      <w:r w:rsidR="00A85980">
        <w:rPr>
          <w:szCs w:val="22"/>
          <w:lang w:val="lt-LT"/>
        </w:rPr>
        <w:t>nepakanka</w:t>
      </w:r>
      <w:r w:rsidRPr="00B27759">
        <w:rPr>
          <w:szCs w:val="22"/>
          <w:lang w:val="lt-LT"/>
        </w:rPr>
        <w:t xml:space="preserve"> (žr. 4.4, 4.8 ir 5.1 skyrius). </w:t>
      </w:r>
    </w:p>
    <w:p w:rsidR="001856F1" w:rsidRPr="00B27759" w:rsidRDefault="001856F1" w:rsidP="001856F1">
      <w:pPr>
        <w:spacing w:line="240" w:lineRule="auto"/>
        <w:rPr>
          <w:i/>
          <w:szCs w:val="22"/>
          <w:lang w:val="lt-LT"/>
        </w:rPr>
      </w:pPr>
    </w:p>
    <w:p w:rsidR="001856F1" w:rsidRPr="00B27759" w:rsidRDefault="001856F1" w:rsidP="001856F1">
      <w:pPr>
        <w:spacing w:line="240" w:lineRule="auto"/>
        <w:rPr>
          <w:szCs w:val="22"/>
          <w:u w:val="single"/>
          <w:lang w:val="lt-LT"/>
        </w:rPr>
      </w:pPr>
      <w:r w:rsidRPr="00B27759">
        <w:rPr>
          <w:noProof/>
          <w:szCs w:val="22"/>
          <w:u w:val="single"/>
          <w:lang w:val="lt-LT"/>
        </w:rPr>
        <w:t>Vartojimo metodas</w:t>
      </w:r>
      <w:r w:rsidRPr="00B27759">
        <w:rPr>
          <w:szCs w:val="22"/>
          <w:u w:val="single"/>
          <w:lang w:val="lt-LT"/>
        </w:rPr>
        <w:t xml:space="preserve">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noProof/>
          <w:szCs w:val="22"/>
          <w:lang w:val="lt-LT"/>
        </w:rPr>
        <w:t>Šis vaistinis preparatas skirtas vartoti per burną.</w:t>
      </w:r>
    </w:p>
    <w:p w:rsidR="00F44F12" w:rsidRPr="00B27759" w:rsidRDefault="00F44F12" w:rsidP="001856F1">
      <w:pPr>
        <w:spacing w:line="240" w:lineRule="auto"/>
        <w:rPr>
          <w:noProof/>
          <w:szCs w:val="22"/>
          <w:lang w:val="lt-LT"/>
        </w:rPr>
      </w:pPr>
    </w:p>
    <w:p w:rsidR="00F44F12" w:rsidRPr="00B27759" w:rsidRDefault="00F44F12" w:rsidP="001856F1">
      <w:pPr>
        <w:spacing w:line="240" w:lineRule="auto"/>
        <w:rPr>
          <w:noProof/>
          <w:szCs w:val="22"/>
          <w:lang w:val="lt-LT"/>
        </w:rPr>
      </w:pPr>
      <w:r w:rsidRPr="00B27759">
        <w:rPr>
          <w:noProof/>
          <w:szCs w:val="22"/>
          <w:lang w:val="lt-LT"/>
        </w:rPr>
        <w:t>Kapsules visuomet reikia nuryti nepažeistas, neatidarytas.</w:t>
      </w:r>
    </w:p>
    <w:p w:rsidR="001856F1" w:rsidRPr="00B27759" w:rsidRDefault="001856F1" w:rsidP="001856F1">
      <w:pPr>
        <w:pStyle w:val="Antrat4"/>
        <w:spacing w:line="240" w:lineRule="auto"/>
        <w:jc w:val="left"/>
        <w:rPr>
          <w:rFonts w:ascii="Times New Roman" w:hAnsi="Times New Roman"/>
          <w:sz w:val="22"/>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4.3</w:t>
      </w:r>
      <w:r w:rsidRPr="00B27759">
        <w:rPr>
          <w:rFonts w:ascii="Times New Roman" w:hAnsi="Times New Roman"/>
          <w:sz w:val="22"/>
          <w:szCs w:val="22"/>
          <w:lang w:val="lt-LT"/>
        </w:rPr>
        <w:tab/>
        <w:t>Kontraindikacijos</w:t>
      </w:r>
    </w:p>
    <w:p w:rsidR="001856F1" w:rsidRPr="00B27759" w:rsidRDefault="001856F1" w:rsidP="001856F1">
      <w:pPr>
        <w:spacing w:line="240" w:lineRule="auto"/>
        <w:rPr>
          <w:szCs w:val="22"/>
          <w:lang w:val="lt-LT"/>
        </w:rPr>
      </w:pPr>
    </w:p>
    <w:p w:rsidR="00690BD9" w:rsidRDefault="001856F1" w:rsidP="001856F1">
      <w:pPr>
        <w:numPr>
          <w:ilvl w:val="0"/>
          <w:numId w:val="4"/>
        </w:numPr>
        <w:spacing w:line="240" w:lineRule="auto"/>
        <w:ind w:left="567" w:hanging="567"/>
        <w:rPr>
          <w:szCs w:val="22"/>
          <w:lang w:val="lt-LT"/>
        </w:rPr>
      </w:pPr>
      <w:r w:rsidRPr="00B27759">
        <w:rPr>
          <w:szCs w:val="22"/>
          <w:lang w:val="lt-LT"/>
        </w:rPr>
        <w:t>Imunodeficito sindromas.</w:t>
      </w:r>
    </w:p>
    <w:p w:rsidR="001856F1" w:rsidRPr="00B27759" w:rsidRDefault="001856F1" w:rsidP="00690BD9">
      <w:pPr>
        <w:spacing w:line="240" w:lineRule="auto"/>
        <w:ind w:left="567"/>
        <w:rPr>
          <w:szCs w:val="22"/>
          <w:lang w:val="lt-LT"/>
        </w:rPr>
      </w:pPr>
      <w:r w:rsidRPr="00B27759">
        <w:rPr>
          <w:szCs w:val="22"/>
          <w:lang w:val="lt-LT"/>
        </w:rPr>
        <w:t xml:space="preserve"> </w:t>
      </w:r>
    </w:p>
    <w:p w:rsidR="001856F1" w:rsidRDefault="001856F1" w:rsidP="001856F1">
      <w:pPr>
        <w:numPr>
          <w:ilvl w:val="1"/>
          <w:numId w:val="4"/>
        </w:numPr>
        <w:spacing w:line="240" w:lineRule="auto"/>
        <w:ind w:left="567" w:hanging="567"/>
        <w:rPr>
          <w:szCs w:val="22"/>
          <w:lang w:val="lt-LT"/>
        </w:rPr>
      </w:pPr>
      <w:r w:rsidRPr="00B27759">
        <w:rPr>
          <w:szCs w:val="22"/>
          <w:lang w:val="lt-LT"/>
        </w:rPr>
        <w:t>Pacientai, kuriems yra padidėjusi oportunistinių infekcijų pasireiškimo rizika, įskaitant pacientus su susilpnėjusia imunine sistema (pavyzdžiui, pacientams, kurie šiuo metu vartoja imuninę sistemą slopinančių vaistinių preparatų ar kuri</w:t>
      </w:r>
      <w:r w:rsidR="00A85980">
        <w:rPr>
          <w:szCs w:val="22"/>
          <w:lang w:val="lt-LT"/>
        </w:rPr>
        <w:t>ų</w:t>
      </w:r>
      <w:r w:rsidRPr="00B27759">
        <w:rPr>
          <w:szCs w:val="22"/>
          <w:lang w:val="lt-LT"/>
        </w:rPr>
        <w:t xml:space="preserve"> imuninė sistema susil</w:t>
      </w:r>
      <w:r w:rsidR="009606ED">
        <w:rPr>
          <w:szCs w:val="22"/>
          <w:lang w:val="lt-LT"/>
        </w:rPr>
        <w:t>pnėjusi dėl ankstesnio gydymo).</w:t>
      </w:r>
    </w:p>
    <w:p w:rsidR="009606ED" w:rsidRPr="00B27759" w:rsidRDefault="009606ED" w:rsidP="009606ED">
      <w:pPr>
        <w:spacing w:line="240" w:lineRule="auto"/>
        <w:ind w:left="567"/>
        <w:rPr>
          <w:szCs w:val="22"/>
          <w:lang w:val="lt-LT"/>
        </w:rPr>
      </w:pPr>
    </w:p>
    <w:p w:rsidR="001856F1" w:rsidRDefault="001856F1" w:rsidP="001856F1">
      <w:pPr>
        <w:numPr>
          <w:ilvl w:val="1"/>
          <w:numId w:val="4"/>
        </w:numPr>
        <w:spacing w:line="240" w:lineRule="auto"/>
        <w:ind w:left="567" w:hanging="567"/>
        <w:rPr>
          <w:szCs w:val="22"/>
          <w:lang w:val="lt-LT"/>
        </w:rPr>
      </w:pPr>
      <w:r w:rsidRPr="00B27759">
        <w:rPr>
          <w:szCs w:val="22"/>
          <w:lang w:val="lt-LT"/>
        </w:rPr>
        <w:t>Sunkios aktyvios infekcijos, aktyvios lėtinės infekcijos (hepatitas, tuberkuliozė).</w:t>
      </w:r>
    </w:p>
    <w:p w:rsidR="009606ED" w:rsidRPr="00B27759" w:rsidRDefault="009606ED" w:rsidP="009606ED">
      <w:pPr>
        <w:spacing w:line="240" w:lineRule="auto"/>
        <w:rPr>
          <w:szCs w:val="22"/>
          <w:lang w:val="lt-LT"/>
        </w:rPr>
      </w:pPr>
    </w:p>
    <w:p w:rsidR="009606ED" w:rsidRDefault="001856F1" w:rsidP="001856F1">
      <w:pPr>
        <w:numPr>
          <w:ilvl w:val="1"/>
          <w:numId w:val="4"/>
        </w:numPr>
        <w:spacing w:line="240" w:lineRule="auto"/>
        <w:ind w:left="567" w:hanging="567"/>
        <w:rPr>
          <w:szCs w:val="22"/>
          <w:lang w:val="lt-LT"/>
        </w:rPr>
      </w:pPr>
      <w:r w:rsidRPr="00B27759">
        <w:rPr>
          <w:szCs w:val="22"/>
          <w:lang w:val="lt-LT"/>
        </w:rPr>
        <w:t>Aktyvūs piktybiniai navikai.</w:t>
      </w:r>
    </w:p>
    <w:p w:rsidR="001856F1" w:rsidRPr="00B27759" w:rsidRDefault="001856F1" w:rsidP="009606ED">
      <w:pPr>
        <w:spacing w:line="240" w:lineRule="auto"/>
        <w:rPr>
          <w:szCs w:val="22"/>
          <w:lang w:val="lt-LT"/>
        </w:rPr>
      </w:pPr>
      <w:r w:rsidRPr="00B27759">
        <w:rPr>
          <w:szCs w:val="22"/>
          <w:lang w:val="lt-LT"/>
        </w:rPr>
        <w:t xml:space="preserve"> </w:t>
      </w:r>
    </w:p>
    <w:p w:rsidR="001856F1" w:rsidRDefault="001856F1" w:rsidP="001856F1">
      <w:pPr>
        <w:numPr>
          <w:ilvl w:val="1"/>
          <w:numId w:val="4"/>
        </w:numPr>
        <w:spacing w:line="240" w:lineRule="auto"/>
        <w:ind w:left="567" w:hanging="567"/>
        <w:rPr>
          <w:szCs w:val="22"/>
          <w:lang w:val="lt-LT"/>
        </w:rPr>
      </w:pPr>
      <w:r w:rsidRPr="00B27759">
        <w:rPr>
          <w:szCs w:val="22"/>
          <w:lang w:val="lt-LT"/>
        </w:rPr>
        <w:t xml:space="preserve">Sunkus kepenų funkcijos sutrikimas (C klasės pagal </w:t>
      </w:r>
      <w:r w:rsidRPr="00B27759">
        <w:rPr>
          <w:i/>
          <w:szCs w:val="22"/>
          <w:lang w:val="lt-LT"/>
        </w:rPr>
        <w:t>Child-Pugh</w:t>
      </w:r>
      <w:r w:rsidRPr="00B27759">
        <w:rPr>
          <w:szCs w:val="22"/>
          <w:lang w:val="lt-LT"/>
        </w:rPr>
        <w:t xml:space="preserve">). </w:t>
      </w:r>
    </w:p>
    <w:p w:rsidR="009606ED" w:rsidRPr="00B27759" w:rsidRDefault="009606ED" w:rsidP="009606ED">
      <w:pPr>
        <w:spacing w:line="240" w:lineRule="auto"/>
        <w:rPr>
          <w:szCs w:val="22"/>
          <w:lang w:val="lt-LT"/>
        </w:rPr>
      </w:pPr>
    </w:p>
    <w:p w:rsidR="001856F1" w:rsidRDefault="001856F1" w:rsidP="001856F1">
      <w:pPr>
        <w:numPr>
          <w:ilvl w:val="1"/>
          <w:numId w:val="4"/>
        </w:numPr>
        <w:spacing w:line="240" w:lineRule="auto"/>
        <w:ind w:left="567" w:hanging="567"/>
        <w:rPr>
          <w:szCs w:val="22"/>
          <w:lang w:val="lt-LT"/>
        </w:rPr>
      </w:pPr>
      <w:r w:rsidRPr="00B27759">
        <w:rPr>
          <w:szCs w:val="22"/>
          <w:lang w:val="lt-LT"/>
        </w:rPr>
        <w:lastRenderedPageBreak/>
        <w:t xml:space="preserve">Pacientai, kurie per pastaruosius 6 mėnesius sirgo miokardo infarktu (MI), nestabilia krūtinės angina, insultu/praeinančiu smegenų išemijos priepuoliu (PSIP), dekompensuotu širdies nepakankamumu (reikalaujančiu stacionaraus gydymo) arba III/IV funkcinės klasės širdies nepakankamumu pagal Niujorko širdies asociacijos (angl. </w:t>
      </w:r>
      <w:r w:rsidRPr="00B27759">
        <w:rPr>
          <w:i/>
          <w:szCs w:val="22"/>
          <w:lang w:val="lt-LT"/>
        </w:rPr>
        <w:t>New York Heart Asscociation, [NYHA]</w:t>
      </w:r>
      <w:r w:rsidRPr="00B27759">
        <w:rPr>
          <w:szCs w:val="22"/>
          <w:lang w:val="lt-LT"/>
        </w:rPr>
        <w:t>) klasifikaciją (žr. 4.4 skyrių).</w:t>
      </w:r>
    </w:p>
    <w:p w:rsidR="009606ED" w:rsidRPr="00B27759" w:rsidRDefault="009606ED" w:rsidP="009606ED">
      <w:pPr>
        <w:spacing w:line="240" w:lineRule="auto"/>
        <w:rPr>
          <w:szCs w:val="22"/>
          <w:lang w:val="lt-LT"/>
        </w:rPr>
      </w:pPr>
    </w:p>
    <w:p w:rsidR="001856F1" w:rsidRDefault="001856F1" w:rsidP="001856F1">
      <w:pPr>
        <w:numPr>
          <w:ilvl w:val="1"/>
          <w:numId w:val="4"/>
        </w:numPr>
        <w:spacing w:line="240" w:lineRule="auto"/>
        <w:ind w:left="567" w:hanging="567"/>
        <w:rPr>
          <w:szCs w:val="22"/>
          <w:lang w:val="lt-LT"/>
        </w:rPr>
      </w:pPr>
      <w:r w:rsidRPr="00B27759">
        <w:rPr>
          <w:szCs w:val="22"/>
          <w:lang w:val="lt-LT"/>
        </w:rPr>
        <w:t xml:space="preserve">Pacientai, sergantys sunkia širdies aritmija, kuriems reikalingas antiaritminis gydymas Ia ar III klasės antiaritminiais vaistiniais preparatais (žr. 4.4 skyrių). </w:t>
      </w:r>
    </w:p>
    <w:p w:rsidR="009606ED" w:rsidRPr="00B27759" w:rsidRDefault="009606ED" w:rsidP="009606ED">
      <w:pPr>
        <w:spacing w:line="240" w:lineRule="auto"/>
        <w:rPr>
          <w:szCs w:val="22"/>
          <w:lang w:val="lt-LT"/>
        </w:rPr>
      </w:pPr>
    </w:p>
    <w:p w:rsidR="009606ED" w:rsidRDefault="001856F1" w:rsidP="001856F1">
      <w:pPr>
        <w:numPr>
          <w:ilvl w:val="1"/>
          <w:numId w:val="4"/>
        </w:numPr>
        <w:spacing w:line="240" w:lineRule="auto"/>
        <w:ind w:left="567" w:hanging="567"/>
        <w:rPr>
          <w:szCs w:val="22"/>
          <w:lang w:val="lt-LT"/>
        </w:rPr>
      </w:pPr>
      <w:r w:rsidRPr="00B27759">
        <w:rPr>
          <w:szCs w:val="22"/>
          <w:lang w:val="lt-LT"/>
        </w:rPr>
        <w:t>Pacientai, kuriems yra antrojo laipsnio Mobitz II tipo atrioventrikulinė (AV) blokada ar trečiojo laipsnio AV blokada, arba sinusinio mazgo silpnumo sindromas, jeigu nenaudojamas širdies stimuliatoriaus (žr. 4.4 skyrių).</w:t>
      </w:r>
    </w:p>
    <w:p w:rsidR="001856F1" w:rsidRPr="00B27759" w:rsidRDefault="001856F1" w:rsidP="009606ED">
      <w:pPr>
        <w:spacing w:line="240" w:lineRule="auto"/>
        <w:rPr>
          <w:szCs w:val="22"/>
          <w:lang w:val="lt-LT"/>
        </w:rPr>
      </w:pPr>
      <w:r w:rsidRPr="00B27759">
        <w:rPr>
          <w:szCs w:val="22"/>
          <w:lang w:val="lt-LT"/>
        </w:rPr>
        <w:t xml:space="preserve"> </w:t>
      </w:r>
    </w:p>
    <w:p w:rsidR="001856F1" w:rsidRDefault="001856F1" w:rsidP="001856F1">
      <w:pPr>
        <w:numPr>
          <w:ilvl w:val="1"/>
          <w:numId w:val="4"/>
        </w:numPr>
        <w:spacing w:line="240" w:lineRule="auto"/>
        <w:ind w:left="567" w:hanging="567"/>
        <w:rPr>
          <w:szCs w:val="22"/>
          <w:lang w:val="lt-LT"/>
        </w:rPr>
      </w:pPr>
      <w:r w:rsidRPr="00B27759">
        <w:rPr>
          <w:szCs w:val="22"/>
          <w:lang w:val="lt-LT"/>
        </w:rPr>
        <w:t xml:space="preserve">Pacientai, kurių pradinis QTc intervalas yra ≥500 ms (žr. 4.4 skyrių). </w:t>
      </w:r>
    </w:p>
    <w:p w:rsidR="009606ED" w:rsidRPr="00B27759" w:rsidRDefault="009606ED" w:rsidP="009606ED">
      <w:pPr>
        <w:spacing w:line="240" w:lineRule="auto"/>
        <w:rPr>
          <w:szCs w:val="22"/>
          <w:lang w:val="lt-LT"/>
        </w:rPr>
      </w:pPr>
    </w:p>
    <w:p w:rsidR="001856F1" w:rsidRDefault="001856F1" w:rsidP="001856F1">
      <w:pPr>
        <w:numPr>
          <w:ilvl w:val="1"/>
          <w:numId w:val="4"/>
        </w:numPr>
        <w:spacing w:line="240" w:lineRule="auto"/>
        <w:ind w:left="567" w:hanging="567"/>
        <w:rPr>
          <w:szCs w:val="22"/>
          <w:lang w:val="lt-LT"/>
        </w:rPr>
      </w:pPr>
      <w:r w:rsidRPr="00B27759">
        <w:rPr>
          <w:szCs w:val="22"/>
          <w:lang w:val="lt-LT"/>
        </w:rPr>
        <w:t xml:space="preserve">Nėštumo metu ir vaisingoms moterims, nenaudojančioms veiksmingomis kontracepcijos priemonių (žr. 4.4 ir 4.6 skyrius). </w:t>
      </w:r>
    </w:p>
    <w:p w:rsidR="009606ED" w:rsidRPr="00B27759" w:rsidRDefault="009606ED" w:rsidP="009606ED">
      <w:pPr>
        <w:spacing w:line="240" w:lineRule="auto"/>
        <w:rPr>
          <w:szCs w:val="22"/>
          <w:lang w:val="lt-LT"/>
        </w:rPr>
      </w:pPr>
    </w:p>
    <w:p w:rsidR="001856F1" w:rsidRPr="00B27759" w:rsidRDefault="001856F1" w:rsidP="001856F1">
      <w:pPr>
        <w:numPr>
          <w:ilvl w:val="1"/>
          <w:numId w:val="4"/>
        </w:numPr>
        <w:spacing w:line="240" w:lineRule="auto"/>
        <w:ind w:left="567" w:hanging="567"/>
        <w:rPr>
          <w:szCs w:val="22"/>
          <w:lang w:val="lt-LT"/>
        </w:rPr>
      </w:pPr>
      <w:r w:rsidRPr="00B27759">
        <w:rPr>
          <w:szCs w:val="22"/>
          <w:lang w:val="lt-LT"/>
        </w:rPr>
        <w:t xml:space="preserve">Padidėjęs jautrumas veikliajai arba bet kuriai 6.1 skyriuje nurodytai pagalbinei medžiagai.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4.4</w:t>
      </w:r>
      <w:r w:rsidRPr="00B27759">
        <w:rPr>
          <w:rFonts w:ascii="Times New Roman" w:hAnsi="Times New Roman"/>
          <w:sz w:val="22"/>
          <w:szCs w:val="22"/>
          <w:lang w:val="lt-LT"/>
        </w:rPr>
        <w:tab/>
        <w:t>Specialūs įspėjimai ir atsargumo priemonės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Bradiaritmija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Gydymo pradžia sukelia laikiną širdies susitraukimų dažnio sumažėjimą ir taip pat gali būti susijęs su atrioventrikulinio laidumo sulėtėjimu, įskaitant pavienius laikinos, savaime praeinančios visiškos AV blokados pasireiškimo atvejus (žr. 4.8 ir 5.1 skyrius).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atskiriems pacientams iki pirmojo mėnesio pabaigos širdies susitraukimų dažnis iki pradinių reikšmių gali negrįžti. Širdies laidumo sutrikimai paprastai buvo laikini ir besimptomiai. Dėl jų pasireiškimo paprastai gydyti nereikėjo, jie praeidavo per pirmąsias 24 vaistinio preparato vartojimo valandas. Prireikus fingolimodo sukeltą sumažėjusį širdies susitraukimų dažnį galima padidinti parenteriniu būdu pavartojus atropino ar izoprenalino.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Prieš vartojant pirmąją Fingolimod Teva dozę ir praėjus 6 valandoms po jos, visiems pacientams reikia atlikti ir įvertinti </w:t>
      </w:r>
      <w:r w:rsidR="00A85980">
        <w:rPr>
          <w:szCs w:val="22"/>
          <w:lang w:val="lt-LT"/>
        </w:rPr>
        <w:t>elektrokardiogramą (</w:t>
      </w:r>
      <w:r w:rsidRPr="00B27759">
        <w:rPr>
          <w:szCs w:val="22"/>
          <w:lang w:val="lt-LT"/>
        </w:rPr>
        <w:t>EKG</w:t>
      </w:r>
      <w:r w:rsidR="00A85980">
        <w:rPr>
          <w:szCs w:val="22"/>
          <w:lang w:val="lt-LT"/>
        </w:rPr>
        <w:t>)</w:t>
      </w:r>
      <w:r w:rsidRPr="00B27759">
        <w:rPr>
          <w:szCs w:val="22"/>
          <w:lang w:val="lt-LT"/>
        </w:rPr>
        <w:t xml:space="preserve">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Pacientams keičiant gydymą 0,25 mg paros doze į 0,5 mg paros dozę, rekomenduojama laikytis tokių pat atsargumo priemonių, kaip ir pradedant skirti pirmąją dozę.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Jeigu pavartojus vaistinio preparato dozę pasireikštų su bradiaritmija susijusių simptomų, reikia pradėti tinkamai kontroliuoti klinikinę paciento</w:t>
      </w:r>
      <w:r w:rsidRPr="00B27759" w:rsidDel="00E660D8">
        <w:rPr>
          <w:szCs w:val="22"/>
          <w:lang w:val="lt-LT"/>
        </w:rPr>
        <w:t xml:space="preserve"> </w:t>
      </w:r>
      <w:r w:rsidRPr="00B27759">
        <w:rPr>
          <w:szCs w:val="22"/>
          <w:lang w:val="lt-LT"/>
        </w:rPr>
        <w:t xml:space="preserve">būklę toliau stebėti, kol išnyks simptomai. Jeigu po pirmosios dozės vartojimo būklės stebėjimo laikotarpiu pacientui prireikia skirti vaistinių preparatų, paciento būklę reikia toliau stebėti per naktį gydymo įstaigoje, o po antrosios Fingolimod Teva dozės vartojimo paciento būklę reikia pakartotinai stebėti taip pat kaip po pirmosios dozės vartojimo.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Jeigu praėjus 6 valandoms po pirmosios vaistinio preparato dozės vartojimo širdies susitraukimų dažnis yra mažiausias (tai gali rodyti, kad dar nėra pasireiškęs didžiausias farmakodinaminis poveikis širdies funkcijai), paciento būklę reikia toliau stebėti dar bent 2 valandas, kol širdies susitraukimų dažnis pradeda didėti. Be to, jeigu praėjus 6 valandoms širdies susitraukimų dažnis suaugusiesiems yra </w:t>
      </w:r>
      <w:r w:rsidRPr="00B27759">
        <w:rPr>
          <w:szCs w:val="22"/>
          <w:lang w:val="lt-LT"/>
        </w:rPr>
        <w:lastRenderedPageBreak/>
        <w:t xml:space="preserve">mažesnis kaip 45 kartai per minutę, 12 metų ir vyresniems vaikams yra mažesnis kaip 55 kartai per minutę, 10-12 metų vaikams yra mažesnis kaip 60 kartų per minutę, arba EKG registruojama naujai atsiradusi antrojo ar didesnio laipsnio AV blokada arba QTc intervalas yra ≥500 ms, paciento būklę reikia toliau stebėti (mažiausiai per naktį), kol simptomai išnyks. Jeigu bet kuriuo metu pasireikštų trečiojo laipsnio AV blokada, paciento būklę taip pat reikia toliau stebėti (mažiausiai per naktį).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Vėl po pertraukos pradėjus gydyti Fingolimod Teva gali pasikartoti poveikis širdies susitraukimų dažniui ir atrioventrikuliniam laidumui priklausomai nuo to, kuriam laikui buvo nutrauktas vaistinio preparato vartojimas ir kada tai įvyko nuo gydymo pradžios. Vėl pradėjus vartoti vaistinio preparato rekomenduojamas toks pat paciento būklės stebėjimas, kaip ir pradedant vartoti pirmąją dozę, tais atvejais, kai gydymas buvo nutrauktas</w:t>
      </w:r>
      <w:r w:rsidR="00015CD7">
        <w:rPr>
          <w:szCs w:val="22"/>
          <w:lang w:val="lt-LT"/>
        </w:rPr>
        <w:t xml:space="preserve"> (žr. </w:t>
      </w:r>
      <w:r w:rsidR="00015CD7" w:rsidRPr="002F7292">
        <w:rPr>
          <w:szCs w:val="22"/>
          <w:lang w:val="lt-LT"/>
        </w:rPr>
        <w:t>4.2 skyrių)</w:t>
      </w:r>
      <w:r w:rsidR="00015CD7">
        <w:rPr>
          <w:szCs w:val="22"/>
          <w:lang w:val="lt-LT"/>
        </w:rPr>
        <w:t>.</w:t>
      </w:r>
      <w:r w:rsidRPr="00B27759">
        <w:rPr>
          <w:szCs w:val="22"/>
          <w:lang w:val="lt-LT"/>
        </w:rPr>
        <w:t xml:space="preserve">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Gauta labai retų pranešimų apie T bangos inversijos atvejus suaugusiems pacientams, gydytiems fingolimodu. T bangos inversijos atveju, gydytojas turi įsitikinti, kad pacientui nėra miokardo išemijos požymių ar simptomų. Jei įtariama miokardo išemija, rekomenduojama pasikonsultuoti su kardiologu.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Kadangi vartojant vaistinio preparato gali pasireikšti sunkių širdies ritmo sutrikimų arba reikšminga bradikardija, Fingolimod Teva negalima vartoti pacientams, kuriems yra sinoatrialinio laidumo blokada, anksčiau buvo simptominė bradikardija, pasikartojančios sinkopės ar širdies sustojimas, taip pat tiems, kuriems reikšmingai pailgėjęs QT intervalas (QTc &gt;470 ms [suaugusioms moterims], QTc</w:t>
      </w:r>
      <w:r w:rsidR="00630ACA" w:rsidRPr="00B27759">
        <w:rPr>
          <w:szCs w:val="22"/>
          <w:lang w:val="lt-LT"/>
        </w:rPr>
        <w:t> </w:t>
      </w:r>
      <w:r w:rsidRPr="00B27759">
        <w:rPr>
          <w:szCs w:val="22"/>
          <w:lang w:val="lt-LT"/>
        </w:rPr>
        <w:t xml:space="preserve"> &gt;460 ms [mergaitėms] arba &gt;450 ms [suaugusiems vyrams, berniukams]), arba yra nekontroliuojama hipertenzija, arba sunki miego apnėja (taip pat žr. 4.3 skyrių). Šiems pacientams gydymo Fingolimod Teva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 skyrių).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Fingolimod</w:t>
      </w:r>
      <w:r w:rsidR="00AC6D9D" w:rsidRPr="00B27759">
        <w:rPr>
          <w:szCs w:val="22"/>
          <w:lang w:val="lt-LT"/>
        </w:rPr>
        <w:t>o</w:t>
      </w:r>
      <w:r w:rsidRPr="00B27759">
        <w:rPr>
          <w:szCs w:val="22"/>
          <w:lang w:val="lt-LT"/>
        </w:rPr>
        <w:t xml:space="preserve"> poveikis nebuvo tirtas širdies ritmo sutrikimais sergantiems pacientams, kuriems reikia skirti gydymą Ia klasės (pvz., chinidinu, dizopiramidu) arba III klasės (pvz., amjodaronu, sotaloliu) antiaritminiais vaistiniais preparatais. Ia ir III klasės antiaritminių vaistinių preparatų vartojimas buvo susijęs su polimorfinės skilvelinės tachikardijos (</w:t>
      </w:r>
      <w:r w:rsidRPr="00B27759">
        <w:rPr>
          <w:i/>
          <w:szCs w:val="22"/>
          <w:lang w:val="lt-LT"/>
        </w:rPr>
        <w:t>torsades de pointes</w:t>
      </w:r>
      <w:r w:rsidRPr="00B27759">
        <w:rPr>
          <w:szCs w:val="22"/>
          <w:lang w:val="lt-LT"/>
        </w:rPr>
        <w:t xml:space="preserve">) pasireiškimo atvejais pacientams, kuriems yra bradikardija (žr. 4.3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Apie gydymą </w:t>
      </w:r>
      <w:r w:rsidR="00AC6D9D" w:rsidRPr="00B27759">
        <w:rPr>
          <w:szCs w:val="22"/>
          <w:lang w:val="lt-LT"/>
        </w:rPr>
        <w:t>f</w:t>
      </w:r>
      <w:r w:rsidRPr="00B27759">
        <w:rPr>
          <w:szCs w:val="22"/>
          <w:lang w:val="lt-LT"/>
        </w:rPr>
        <w:t>ingolimod</w:t>
      </w:r>
      <w:r w:rsidR="00AC6D9D" w:rsidRPr="00B27759">
        <w:rPr>
          <w:szCs w:val="22"/>
          <w:lang w:val="lt-LT"/>
        </w:rPr>
        <w:t>u</w:t>
      </w:r>
      <w:r w:rsidRPr="00B27759">
        <w:rPr>
          <w:szCs w:val="22"/>
          <w:lang w:val="lt-LT"/>
        </w:rPr>
        <w:t xml:space="preserve"> pacientų, kurie kartu vartoja beta adrenoblokatorių, širdies susitraukimų dažnį mažinančių kalcio kanalo blokatorių (pvz., verapamilio ar diltiazemo) arba kitų širdies susitraukimų dažnį galinčių mažinti medžiagų (pvz., ivabradino, digoksino, cholinesterazę slopinančių vaistinių preparatų ar pilokarpino) patirties yra nedaug. Kadangi gydymo </w:t>
      </w:r>
      <w:r w:rsidR="00AC6D9D" w:rsidRPr="00B27759">
        <w:rPr>
          <w:szCs w:val="22"/>
          <w:lang w:val="lt-LT"/>
        </w:rPr>
        <w:t>fingolimodu</w:t>
      </w:r>
      <w:r w:rsidRPr="00B27759">
        <w:rPr>
          <w:szCs w:val="22"/>
          <w:lang w:val="lt-LT"/>
        </w:rPr>
        <w:t xml:space="preserve"> pradžia taip pat susijusi su sumažėjusiu širdies susitraukimų dažniu (taip pat žr. 4.8 skyriaus poskyrį „Bradiaritmija“), kartu vartojant šių medžiagų ir pradedant gydyti gali pasireikšti sunki bradikardija ir širdies laidumo blokada. Kadangi gali pasireikšti adityvus poveikis širdies susitraukimų dažniui, Fingolimod Teva negalima pradėti gydyti pacientų, kurie jau vartoja nurodytų medžiagų (taip pat žr. 4.5 skyrių). Šių pacientų gydymą Fingolimod Teva galima svarstyti tik tais atvejais, kai manoma, jog laukiama nauda viršys galimą riziką. Jeigu svarstoma pradėti gydyti Fingolimod Teva, prieš pradedant vartoti šio vaistinio preparato reikia pasikonsultuoti su kardiologu dėl esamo gydymo keitimo į širdies susitraukimų dažnio nemažinančiais vaistiniais preparatais. Jeigu širdies susitraukimų dažnį mažinančių vaistinių preparatų vartojimo nutraukti negalima, reikia pasikonsultuoti su kardiologu dėl tinkamų būklės stebėjimo priemonių po pirmosios vaistinio preparato dozės pavartojimo, taip pat pacientų būklę rekomenduojama stebėti mažiausiai per naktį (taip pat žr. 4.5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QT intervalas </w:t>
      </w:r>
    </w:p>
    <w:p w:rsidR="001856F1" w:rsidRPr="00B27759" w:rsidRDefault="001856F1" w:rsidP="001856F1">
      <w:pPr>
        <w:spacing w:line="240" w:lineRule="auto"/>
        <w:rPr>
          <w:szCs w:val="22"/>
          <w:u w:val="single"/>
          <w:lang w:val="lt-LT"/>
        </w:rPr>
      </w:pPr>
      <w:r w:rsidRPr="00B27759">
        <w:rPr>
          <w:szCs w:val="22"/>
          <w:u w:val="single"/>
          <w:lang w:val="lt-LT"/>
        </w:rPr>
        <w:t xml:space="preserve"> </w:t>
      </w:r>
    </w:p>
    <w:p w:rsidR="001856F1" w:rsidRPr="00B27759" w:rsidRDefault="001856F1" w:rsidP="001856F1">
      <w:pPr>
        <w:spacing w:line="240" w:lineRule="auto"/>
        <w:rPr>
          <w:szCs w:val="22"/>
          <w:lang w:val="lt-LT"/>
        </w:rPr>
      </w:pPr>
      <w:r w:rsidRPr="00B27759">
        <w:rPr>
          <w:szCs w:val="22"/>
          <w:lang w:val="lt-LT"/>
        </w:rPr>
        <w:t>Išsamaus vaistinio preparato poveikio QT intervalui tyrimo duomenimis, vartojant 1,25 mg arba 2,5 mg fingolimodo dozes ir nusistovėjus pusiausvyrinėms koncentracijoms, kai vis dar tęsėsi neigiamas chronotropinis vaistinio preparato poveikis, nustatytas pailgėjęs QTc intervalas, kurio viršutinė 90</w:t>
      </w:r>
      <w:r w:rsidR="00AC6D9D" w:rsidRPr="00B27759">
        <w:rPr>
          <w:szCs w:val="22"/>
          <w:lang w:val="lt-LT"/>
        </w:rPr>
        <w:t> </w:t>
      </w:r>
      <w:r w:rsidRPr="00B27759">
        <w:rPr>
          <w:szCs w:val="22"/>
          <w:lang w:val="lt-LT"/>
        </w:rPr>
        <w:t>% PI riba buvo ≤13,0 ms. Ryšio tarp fingolimodo dozės ar ekspozicijos ir pailgėjusio QTc intervalo nenustatyta.</w:t>
      </w:r>
      <w:r w:rsidRPr="006A5202">
        <w:rPr>
          <w:snapToGrid/>
          <w:szCs w:val="22"/>
          <w:lang w:val="lt-LT" w:eastAsia="lt-LT"/>
        </w:rPr>
        <w:t xml:space="preserve"> </w:t>
      </w:r>
      <w:r w:rsidRPr="00B27759">
        <w:rPr>
          <w:szCs w:val="22"/>
          <w:lang w:val="lt-LT"/>
        </w:rPr>
        <w:t xml:space="preserve">Stabilių signalų dėl su fingolimodo vartojimu susijusio QTc intervalo pailgėjimo, vertinant tiek absoliučių, tiek pokyčio nuo pradinių reikšmių, nenustatyta. </w:t>
      </w:r>
    </w:p>
    <w:p w:rsidR="001856F1" w:rsidRPr="00B27759" w:rsidRDefault="001856F1" w:rsidP="001856F1">
      <w:pPr>
        <w:spacing w:line="240" w:lineRule="auto"/>
        <w:rPr>
          <w:szCs w:val="22"/>
          <w:lang w:val="lt-LT"/>
        </w:rPr>
      </w:pPr>
      <w:r w:rsidRPr="00B27759">
        <w:rPr>
          <w:szCs w:val="22"/>
          <w:lang w:val="lt-LT"/>
        </w:rPr>
        <w:lastRenderedPageBreak/>
        <w:t xml:space="preserve"> </w:t>
      </w:r>
    </w:p>
    <w:p w:rsidR="001856F1" w:rsidRPr="00B27759" w:rsidRDefault="001856F1" w:rsidP="001856F1">
      <w:pPr>
        <w:spacing w:line="240" w:lineRule="auto"/>
        <w:rPr>
          <w:szCs w:val="22"/>
          <w:lang w:val="lt-LT"/>
        </w:rPr>
      </w:pPr>
      <w:r w:rsidRPr="00B27759">
        <w:rPr>
          <w:szCs w:val="22"/>
          <w:lang w:val="lt-LT"/>
        </w:rPr>
        <w:t xml:space="preserve">Klinikinė šių duomenų reikšmė nežinoma. Klinikinių tyrimų, kuriuose dalyvavo išsėtine skleroze sergantys pacientai, duomenimis, kliniškai reikšmingo poveikio QTc intervalo pailgėjimui nenustatyta, tačiau į šiuos klinikinius tyrimus pacientai, kuriems buvo padidėjusi QT intervalo pailgėjimo rizika, nebuvo įtraukiami.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Pacientams, kuriems yra atitinkamų rizikos veiksnių, pavyzdžiui, hipokalemija ar įgimtas QT intervalo pailgėjimas, geriausia vengti skirti QTc intervalą galinčių ilginti vaistinių preparatų.</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Imuninę sistemą slopinantis poveikis </w:t>
      </w:r>
    </w:p>
    <w:p w:rsidR="001856F1" w:rsidRPr="00B27759" w:rsidRDefault="001856F1" w:rsidP="001856F1">
      <w:pPr>
        <w:spacing w:line="240" w:lineRule="auto"/>
        <w:rPr>
          <w:szCs w:val="22"/>
          <w:lang w:val="lt-LT"/>
        </w:rPr>
      </w:pPr>
      <w:r w:rsidRPr="00B27759">
        <w:rPr>
          <w:szCs w:val="22"/>
          <w:lang w:val="lt-LT"/>
        </w:rPr>
        <w:t xml:space="preserve">Fingolimodas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įtariama tokia rizika, kiekvienu konkrečiu atveju būtina apsvarstyti gydymo nutraukimą (taip pat žr. 4.4 skyriaus poskyrius „Infekcijos“ ir „Odos navikai“, bei 4.8 skyriaus poskyrį ”Limfomos“).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Infekcijos </w:t>
      </w:r>
    </w:p>
    <w:p w:rsidR="001856F1" w:rsidRPr="00B27759" w:rsidRDefault="001856F1" w:rsidP="001856F1">
      <w:pPr>
        <w:spacing w:line="240" w:lineRule="auto"/>
        <w:rPr>
          <w:szCs w:val="22"/>
          <w:lang w:val="lt-LT"/>
        </w:rPr>
      </w:pPr>
      <w:r w:rsidRPr="00B27759">
        <w:rPr>
          <w:szCs w:val="22"/>
          <w:lang w:val="lt-LT"/>
        </w:rPr>
        <w:t xml:space="preserve">Pagrindinis farmakodinaminis </w:t>
      </w:r>
      <w:r w:rsidR="001A4F82" w:rsidRPr="00B27759">
        <w:rPr>
          <w:szCs w:val="22"/>
          <w:lang w:val="lt-LT"/>
        </w:rPr>
        <w:t>f</w:t>
      </w:r>
      <w:r w:rsidRPr="00B27759">
        <w:rPr>
          <w:szCs w:val="22"/>
          <w:lang w:val="lt-LT"/>
        </w:rPr>
        <w:t>ingolimod</w:t>
      </w:r>
      <w:r w:rsidR="001A4F82" w:rsidRPr="00B27759">
        <w:rPr>
          <w:szCs w:val="22"/>
          <w:lang w:val="lt-LT"/>
        </w:rPr>
        <w:t>o</w:t>
      </w:r>
      <w:r w:rsidRPr="00B27759">
        <w:rPr>
          <w:szCs w:val="22"/>
          <w:lang w:val="lt-LT"/>
        </w:rPr>
        <w:t xml:space="preserve"> poveikis yra nuo dozės priklausomas limfocitų skaičiaus sumažėjimas periferiniame kraujyje iki 20-30 % palyginti su pradine reikšme. Šis poveikis pasireiškia dėl grįžtamosios limfocitų sekvestracijos limfiniame audinyje (žr. 5.1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Prieš pradedant skirti gydymą Fingolimod Teva, gydytojui reikėtų žinoti neseniai atlikto (t. y., iki 6 mėnesių laikotarpiu arba po ankstesniojo gydymo nutraukimo) bendrojo kraujo tyrimo (BKT) rezultatus. Taip pat rekomenduojama reguliariai atlikti BKT gydymo metu po 3 mėnesių ir vėliau bent kartą per metus bei pasireiškus infekcijos požymiams. Jeigu nustatoma, kad absoliutus limfocitų skaičius yra &lt;0,2 x 10</w:t>
      </w:r>
      <w:r w:rsidRPr="00B27759">
        <w:rPr>
          <w:szCs w:val="22"/>
          <w:vertAlign w:val="superscript"/>
          <w:lang w:val="lt-LT"/>
        </w:rPr>
        <w:t>9</w:t>
      </w:r>
      <w:r w:rsidRPr="00B27759">
        <w:rPr>
          <w:szCs w:val="22"/>
          <w:lang w:val="lt-LT"/>
        </w:rPr>
        <w:t>/ l, gydymą reikia nutraukti iki limfocitų skaičius atsistatys (kadangi klinikinių tyrimų metu fingolimodo vartojimas būdavo nutraukiamas, jeigu pacientams absoliutus limfocitų skaičius būdavo &lt; 0,2 x 10</w:t>
      </w:r>
      <w:r w:rsidRPr="00B27759">
        <w:rPr>
          <w:szCs w:val="22"/>
          <w:vertAlign w:val="superscript"/>
          <w:lang w:val="lt-LT"/>
        </w:rPr>
        <w:t>9</w:t>
      </w:r>
      <w:r w:rsidRPr="00B27759">
        <w:rPr>
          <w:szCs w:val="22"/>
          <w:lang w:val="lt-LT"/>
        </w:rPr>
        <w:t xml:space="preserve">/ l).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Gydymo Fingolimod Teva pradžią reikia atidėti sunkia aktyvia infekcija sergantiems pacientams iki tol, kol infekcija išnyks.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Dėl </w:t>
      </w:r>
      <w:r w:rsidR="001A4F82" w:rsidRPr="00B27759">
        <w:rPr>
          <w:szCs w:val="22"/>
          <w:lang w:val="lt-LT"/>
        </w:rPr>
        <w:t>f</w:t>
      </w:r>
      <w:r w:rsidRPr="00B27759">
        <w:rPr>
          <w:szCs w:val="22"/>
          <w:lang w:val="lt-LT"/>
        </w:rPr>
        <w:t>ingolimod</w:t>
      </w:r>
      <w:r w:rsidR="001A4F82" w:rsidRPr="00B27759">
        <w:rPr>
          <w:szCs w:val="22"/>
          <w:lang w:val="lt-LT"/>
        </w:rPr>
        <w:t>o</w:t>
      </w:r>
      <w:r w:rsidRPr="00B27759">
        <w:rPr>
          <w:szCs w:val="22"/>
          <w:lang w:val="lt-LT"/>
        </w:rPr>
        <w:t xml:space="preserve"> sukeliamo poveikio imuninei sistemai gali padidėti infekcijų pasireiškimo rizika, įskaitant oportunistines infekcijas (žr. 4.8 skyrių). Vaistinio preparato vartojimo metu pacientams, kuriems pasireiškia infekcijos simptomų, reikia taikyti veiksmingus diagnozės nustatymo ir gydymo metodus. Vertinant pacientą, kuriam įtariama sunki infekcija, reikia kreiptis į gydytoją, turintį patirties gydant infekcijas. </w:t>
      </w:r>
      <w:r w:rsidR="00015CD7">
        <w:rPr>
          <w:szCs w:val="22"/>
          <w:lang w:val="lt-LT"/>
        </w:rPr>
        <w:t>P</w:t>
      </w:r>
      <w:r w:rsidRPr="00B27759">
        <w:rPr>
          <w:szCs w:val="22"/>
          <w:lang w:val="lt-LT"/>
        </w:rPr>
        <w:t xml:space="preserve">acientams reikia nurodyti, kad gydymo metu nedelsiant praneštų gydytojui apie infekcijos simptomus. </w:t>
      </w:r>
    </w:p>
    <w:p w:rsidR="001856F1" w:rsidRPr="00B27759" w:rsidRDefault="001856F1" w:rsidP="001856F1">
      <w:pPr>
        <w:spacing w:line="240" w:lineRule="auto"/>
        <w:rPr>
          <w:szCs w:val="22"/>
          <w:lang w:val="lt-LT"/>
        </w:rPr>
      </w:pPr>
      <w:r w:rsidRPr="00B27759">
        <w:rPr>
          <w:szCs w:val="22"/>
          <w:lang w:val="lt-LT"/>
        </w:rPr>
        <w:t xml:space="preserve"> </w:t>
      </w:r>
    </w:p>
    <w:p w:rsidR="00015CD7" w:rsidRDefault="001856F1" w:rsidP="001856F1">
      <w:pPr>
        <w:spacing w:line="240" w:lineRule="auto"/>
        <w:rPr>
          <w:szCs w:val="22"/>
          <w:lang w:val="lt-LT"/>
        </w:rPr>
      </w:pPr>
      <w:r w:rsidRPr="00B27759">
        <w:rPr>
          <w:szCs w:val="22"/>
          <w:lang w:val="lt-LT"/>
        </w:rPr>
        <w:t>Jeigu pacientui pasireiškia sunki infekcija, reikia apsvarstyti laikino Fingolimod Teva vartojimo nutraukimo galimybę; prieš vėl pradedant vartoti vaistinio preparato reikia apsvarstyti gydymo naudą ir riziką.</w:t>
      </w:r>
    </w:p>
    <w:p w:rsidR="00015CD7" w:rsidRPr="004F513A" w:rsidRDefault="00015CD7" w:rsidP="00015CD7">
      <w:pPr>
        <w:tabs>
          <w:tab w:val="clear" w:pos="567"/>
        </w:tabs>
        <w:autoSpaceDE w:val="0"/>
        <w:autoSpaceDN w:val="0"/>
        <w:adjustRightInd w:val="0"/>
        <w:spacing w:line="240" w:lineRule="auto"/>
        <w:rPr>
          <w:rFonts w:eastAsia="Calibri"/>
          <w:snapToGrid/>
          <w:color w:val="000000"/>
          <w:szCs w:val="22"/>
          <w:lang w:val="lt-LT" w:eastAsia="lt-LT"/>
        </w:rPr>
      </w:pPr>
      <w:r w:rsidRPr="004F513A">
        <w:rPr>
          <w:rFonts w:eastAsia="Calibri"/>
          <w:snapToGrid/>
          <w:color w:val="000000"/>
          <w:szCs w:val="22"/>
          <w:lang w:val="lt-LT" w:eastAsia="lt-LT"/>
        </w:rPr>
        <w:t xml:space="preserve">Nutraukus vaistinio preparato vartojimą fingolimodo šalinimas gali trukti iki dviejų mėnesių, todėl visą šį laikotarpį reikia toliau atidžiai stebėti dėl infekcijos pasireiškimo. Pacientams reikia nurodyti, kad praneštų apie pasireiškusius infekcijos simptomus dar iki 2 mėnesių po fingolimodo vartojimo nutraukimo. </w:t>
      </w:r>
    </w:p>
    <w:p w:rsidR="00015CD7" w:rsidRDefault="00015CD7" w:rsidP="00015CD7">
      <w:pPr>
        <w:tabs>
          <w:tab w:val="clear" w:pos="567"/>
        </w:tabs>
        <w:autoSpaceDE w:val="0"/>
        <w:autoSpaceDN w:val="0"/>
        <w:adjustRightInd w:val="0"/>
        <w:spacing w:line="240" w:lineRule="auto"/>
        <w:rPr>
          <w:rFonts w:eastAsia="Calibri"/>
          <w:i/>
          <w:iCs/>
          <w:snapToGrid/>
          <w:color w:val="000000"/>
          <w:szCs w:val="22"/>
          <w:lang w:val="lt-LT" w:eastAsia="lt-LT"/>
        </w:rPr>
      </w:pPr>
    </w:p>
    <w:p w:rsidR="00015CD7" w:rsidRPr="002F7292" w:rsidRDefault="00015CD7" w:rsidP="00015CD7">
      <w:pPr>
        <w:tabs>
          <w:tab w:val="clear" w:pos="567"/>
        </w:tabs>
        <w:autoSpaceDE w:val="0"/>
        <w:autoSpaceDN w:val="0"/>
        <w:adjustRightInd w:val="0"/>
        <w:spacing w:line="240" w:lineRule="auto"/>
        <w:rPr>
          <w:rFonts w:eastAsia="Calibri"/>
          <w:snapToGrid/>
          <w:color w:val="000000"/>
          <w:szCs w:val="22"/>
          <w:u w:val="single"/>
          <w:lang w:val="lt-LT" w:eastAsia="lt-LT"/>
        </w:rPr>
      </w:pPr>
      <w:r w:rsidRPr="002F7292">
        <w:rPr>
          <w:rFonts w:eastAsia="Calibri"/>
          <w:i/>
          <w:iCs/>
          <w:snapToGrid/>
          <w:color w:val="000000"/>
          <w:szCs w:val="22"/>
          <w:u w:val="single"/>
          <w:lang w:val="lt-LT" w:eastAsia="lt-LT"/>
        </w:rPr>
        <w:t xml:space="preserve">Herpes </w:t>
      </w:r>
      <w:r w:rsidRPr="002F7292">
        <w:rPr>
          <w:rFonts w:eastAsia="Calibri"/>
          <w:snapToGrid/>
          <w:color w:val="000000"/>
          <w:szCs w:val="22"/>
          <w:u w:val="single"/>
          <w:lang w:val="lt-LT" w:eastAsia="lt-LT"/>
        </w:rPr>
        <w:t>viruso</w:t>
      </w:r>
      <w:r w:rsidRPr="002F7292">
        <w:rPr>
          <w:rFonts w:eastAsia="Calibri"/>
          <w:i/>
          <w:iCs/>
          <w:snapToGrid/>
          <w:color w:val="000000"/>
          <w:szCs w:val="22"/>
          <w:u w:val="single"/>
          <w:lang w:val="lt-LT" w:eastAsia="lt-LT"/>
        </w:rPr>
        <w:t xml:space="preserve"> </w:t>
      </w:r>
      <w:r w:rsidRPr="002F7292">
        <w:rPr>
          <w:rFonts w:eastAsia="Calibri"/>
          <w:snapToGrid/>
          <w:color w:val="000000"/>
          <w:szCs w:val="22"/>
          <w:u w:val="single"/>
          <w:lang w:val="lt-LT" w:eastAsia="lt-LT"/>
        </w:rPr>
        <w:t>sukelta infekcija</w:t>
      </w:r>
      <w:r w:rsidRPr="002F7292">
        <w:rPr>
          <w:rFonts w:eastAsia="Calibri"/>
          <w:i/>
          <w:iCs/>
          <w:snapToGrid/>
          <w:color w:val="000000"/>
          <w:szCs w:val="22"/>
          <w:u w:val="single"/>
          <w:lang w:val="lt-LT" w:eastAsia="lt-LT"/>
        </w:rPr>
        <w:t xml:space="preserve"> </w:t>
      </w:r>
    </w:p>
    <w:p w:rsidR="00015CD7" w:rsidRDefault="00015CD7" w:rsidP="00015CD7">
      <w:pPr>
        <w:spacing w:line="240" w:lineRule="auto"/>
        <w:rPr>
          <w:szCs w:val="22"/>
          <w:lang w:val="lt-LT"/>
        </w:rPr>
      </w:pPr>
      <w:r>
        <w:rPr>
          <w:rFonts w:eastAsia="Calibri"/>
          <w:snapToGrid/>
          <w:color w:val="000000"/>
          <w:szCs w:val="22"/>
          <w:lang w:val="lt-LT" w:eastAsia="lt-LT"/>
        </w:rPr>
        <w:t>Fingolimod Teva</w:t>
      </w:r>
      <w:r w:rsidRPr="004F513A">
        <w:rPr>
          <w:rFonts w:eastAsia="Calibri"/>
          <w:snapToGrid/>
          <w:color w:val="000000"/>
          <w:szCs w:val="22"/>
          <w:lang w:val="lt-LT" w:eastAsia="lt-LT"/>
        </w:rPr>
        <w:t xml:space="preserve"> gydymo metu pasireiškė sunkių, gyvybei pavojingų, o kartais ir mirtinų encefalito, meningito ar meningoencefalito atvejų, kuriuos sukelė paprastosios pūslelinės (</w:t>
      </w:r>
      <w:r w:rsidRPr="004F513A">
        <w:rPr>
          <w:rFonts w:eastAsia="Calibri"/>
          <w:i/>
          <w:iCs/>
          <w:snapToGrid/>
          <w:color w:val="000000"/>
          <w:szCs w:val="22"/>
          <w:lang w:val="lt-LT" w:eastAsia="lt-LT"/>
        </w:rPr>
        <w:t>herpes simplex</w:t>
      </w:r>
      <w:r w:rsidRPr="004F513A">
        <w:rPr>
          <w:rFonts w:eastAsia="Calibri"/>
          <w:snapToGrid/>
          <w:color w:val="000000"/>
          <w:szCs w:val="22"/>
          <w:lang w:val="lt-LT" w:eastAsia="lt-LT"/>
        </w:rPr>
        <w:t xml:space="preserve">) ir </w:t>
      </w:r>
      <w:r w:rsidRPr="004F513A">
        <w:rPr>
          <w:rFonts w:eastAsia="Calibri"/>
          <w:i/>
          <w:iCs/>
          <w:snapToGrid/>
          <w:color w:val="000000"/>
          <w:szCs w:val="22"/>
          <w:lang w:val="lt-LT" w:eastAsia="lt-LT"/>
        </w:rPr>
        <w:t xml:space="preserve">varicella zoster </w:t>
      </w:r>
      <w:r w:rsidRPr="004F513A">
        <w:rPr>
          <w:rFonts w:eastAsia="Calibri"/>
          <w:snapToGrid/>
          <w:color w:val="000000"/>
          <w:szCs w:val="22"/>
          <w:lang w:val="lt-LT" w:eastAsia="lt-LT"/>
        </w:rPr>
        <w:t xml:space="preserve">virusai. Jei pasireiškia herpinis encefalitas, meningitas arba meningoencefalitas, </w:t>
      </w:r>
      <w:r>
        <w:rPr>
          <w:rFonts w:eastAsia="Calibri"/>
          <w:snapToGrid/>
          <w:color w:val="000000"/>
          <w:szCs w:val="22"/>
          <w:lang w:val="lt-LT" w:eastAsia="lt-LT"/>
        </w:rPr>
        <w:t>Fingolimod Teva</w:t>
      </w:r>
      <w:r w:rsidRPr="004F513A">
        <w:rPr>
          <w:rFonts w:eastAsia="Calibri"/>
          <w:snapToGrid/>
          <w:color w:val="000000"/>
          <w:szCs w:val="22"/>
          <w:lang w:val="lt-LT" w:eastAsia="lt-LT"/>
        </w:rPr>
        <w:t xml:space="preserve"> vartojimą reikia nutraukti ir skirti atitinkamą infekcijos gydymą.</w:t>
      </w:r>
    </w:p>
    <w:p w:rsidR="00015CD7" w:rsidRDefault="00015CD7" w:rsidP="00015CD7">
      <w:pPr>
        <w:spacing w:line="240" w:lineRule="auto"/>
        <w:rPr>
          <w:szCs w:val="22"/>
          <w:lang w:val="lt-LT"/>
        </w:rPr>
      </w:pPr>
    </w:p>
    <w:p w:rsidR="00015CD7" w:rsidRPr="00B27759" w:rsidRDefault="00015CD7" w:rsidP="00015CD7">
      <w:pPr>
        <w:spacing w:line="240" w:lineRule="auto"/>
        <w:rPr>
          <w:szCs w:val="22"/>
          <w:lang w:val="lt-LT"/>
        </w:rPr>
      </w:pPr>
      <w:r w:rsidRPr="00B27759">
        <w:rPr>
          <w:szCs w:val="22"/>
          <w:lang w:val="lt-LT"/>
        </w:rPr>
        <w:t xml:space="preserve">Prieš pradedant skirti gydymą Fingolimod Teva, reikia ištirti pacientų imunitetą prieš vėjaraupius. Pacientams, kuriems sveikatos priežiūros specialistai nėra patvirtinę persirgtų vėjaraupių arba kuriems </w:t>
      </w:r>
      <w:r w:rsidRPr="00B27759">
        <w:rPr>
          <w:szCs w:val="22"/>
          <w:lang w:val="lt-LT"/>
        </w:rPr>
        <w:lastRenderedPageBreak/>
        <w:t xml:space="preserve">nėra dokumentuotas visas vakcinacijos nuo vėjaraupių kursas, prieš pradedant skirti Fingolimod Teva rekomenduojama ištirti antikūnus prieš </w:t>
      </w:r>
      <w:r w:rsidRPr="00B27759">
        <w:rPr>
          <w:i/>
          <w:szCs w:val="22"/>
          <w:lang w:val="lt-LT"/>
        </w:rPr>
        <w:t>varicella zoster</w:t>
      </w:r>
      <w:r w:rsidRPr="00B27759">
        <w:rPr>
          <w:szCs w:val="22"/>
          <w:lang w:val="lt-LT"/>
        </w:rPr>
        <w:t xml:space="preserve"> virusą (VZV). Pacientus, kuriems šių antikūnų nenustatoma, prieš paskiriant gydymą Fingolimod Teva rekomenduojama paskiepyti visu vakcinos nuo vėjaraupių kursu (žr. 4.8 skyrių). Fingolimod Teva vartojimo pradžią reikia atidėti 1 mėnesiui, kad pasireikštų visas vakcinacijos poveikis. </w:t>
      </w:r>
    </w:p>
    <w:p w:rsidR="00015CD7" w:rsidRPr="00B27759" w:rsidRDefault="00015CD7" w:rsidP="00015CD7">
      <w:pPr>
        <w:spacing w:line="240" w:lineRule="auto"/>
        <w:rPr>
          <w:szCs w:val="22"/>
          <w:lang w:val="lt-LT"/>
        </w:rPr>
      </w:pPr>
    </w:p>
    <w:p w:rsidR="001856F1" w:rsidRPr="00B27759" w:rsidRDefault="00015CD7" w:rsidP="001856F1">
      <w:pPr>
        <w:spacing w:line="240" w:lineRule="auto"/>
        <w:rPr>
          <w:szCs w:val="22"/>
          <w:lang w:val="lt-LT"/>
        </w:rPr>
      </w:pPr>
      <w:r w:rsidRPr="002F7292">
        <w:rPr>
          <w:iCs/>
          <w:szCs w:val="22"/>
          <w:u w:val="single"/>
          <w:lang w:val="lt-LT"/>
        </w:rPr>
        <w:t>Kriptokokų sukeltas meningitas</w:t>
      </w:r>
      <w:r w:rsidR="001856F1"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Po vaistinio preparato pateikimo į rinką  gauta pranešimų apie kriptokokų sukelto meningito (grybelinės infekcijos) atvejus, kartais mirtinus, pasireiškusius praėjus maždaug 2-3 metams nuo gydymo pradžios, nors tikslus tokio poveikio ryšys su gydymo trukme nežinomas (žr. 4.8 skyrių). Pacientams, kurių ligos simptomai ir požymiai atitinka kriptokokų sukelto meningito (pvz., galvos skausmas lydimas tokių psichikos pokyčių, kaip sumišimo, haliucinacijų, ir (arba) asmenybės pokyčių), turėtų būti atliktas greitas diagnostinis įvertinimas. Jei diagnozuojamas kriptokokų sukeltas meningitas, fingolimodo vartojimą reikia sustabdyti ir pradėti tinkamą gydymą. Būtina konsultuotis su kelių sričių specialistais (t.y., infekcinių ligų specialistu), jeigu nusprendžiama iš naujo skirti fingolimodo. </w:t>
      </w:r>
    </w:p>
    <w:p w:rsidR="001856F1" w:rsidRDefault="001856F1" w:rsidP="001856F1">
      <w:pPr>
        <w:spacing w:line="240" w:lineRule="auto"/>
        <w:rPr>
          <w:szCs w:val="22"/>
          <w:lang w:val="lt-LT"/>
        </w:rPr>
      </w:pPr>
    </w:p>
    <w:p w:rsidR="00015CD7" w:rsidRPr="002F7292" w:rsidRDefault="00015CD7" w:rsidP="001856F1">
      <w:pPr>
        <w:spacing w:line="240" w:lineRule="auto"/>
        <w:rPr>
          <w:iCs/>
          <w:szCs w:val="22"/>
          <w:u w:val="single"/>
          <w:lang w:val="lt-LT"/>
        </w:rPr>
      </w:pPr>
      <w:r w:rsidRPr="002F7292">
        <w:rPr>
          <w:iCs/>
          <w:szCs w:val="22"/>
          <w:u w:val="single"/>
          <w:lang w:val="lt-LT"/>
        </w:rPr>
        <w:t>Progresuojanti daugiažidininė leukoencefalopatija</w:t>
      </w:r>
    </w:p>
    <w:p w:rsidR="001856F1" w:rsidRPr="00B27759" w:rsidRDefault="001856F1" w:rsidP="001856F1">
      <w:pPr>
        <w:spacing w:line="240" w:lineRule="auto"/>
        <w:rPr>
          <w:szCs w:val="22"/>
          <w:lang w:val="lt-LT"/>
        </w:rPr>
      </w:pPr>
      <w:r w:rsidRPr="00B27759">
        <w:rPr>
          <w:szCs w:val="22"/>
          <w:lang w:val="lt-LT"/>
        </w:rPr>
        <w:t xml:space="preserve">Gydant fingolimodu po vaistinio preparato registracijos buvo gauta pranešimų apie progresuojančios daugiažidinės leukoencefalopatijos (PDL) atvejus (žr. 4.8 skyrių). PDL yra </w:t>
      </w:r>
      <w:r w:rsidRPr="00B27759">
        <w:rPr>
          <w:i/>
          <w:szCs w:val="22"/>
          <w:lang w:val="lt-LT"/>
        </w:rPr>
        <w:t>John Cunningham</w:t>
      </w:r>
      <w:r w:rsidRPr="00B27759">
        <w:rPr>
          <w:szCs w:val="22"/>
          <w:lang w:val="lt-LT"/>
        </w:rPr>
        <w:t xml:space="preserve"> viruso (JCV) sukeliama oportunistinė infekcija, kuri gali baigtis mirtimi arba sukelti sunkią negalią. PDL atvejų pasireiškė praėjus maždaug 2-3 metams nuo monoterapijos pradžios, kai anksčiau nebuvo skirta natalizumabo. Nors atrodo, kad tikėtina rizika ilgainiui didėja kumuliuojantis ekspozicijai, tiksli gydymo trukmės įtaka nežinoma. Papildomų PDL atvejų pasireiškė pacientams, anksčiau gydytiems natalizumabu, kurio vartojimo ryšys su PDL yra žinomas. PDL gali atsirasti tik esant JCV infekcijai. Jei atliekami JCV nustatymo mėginiai, reikia atsižvelgti į tai, kad limfopenijos įtaka antikūnų prieš JCV testavimo tikslumui nebuvo tirta fingolimodu gydytiems pacientams. Taip pat reikia pažymėti, kad neigiamas antikūnų prieš JCV tyrimo rezultatas neužkerta kelio vėlesnėms JCV infekcijos galimybės. Prieš pradedant gydymą fingolimodu, reikia turėti pradinį (ne senesnį kaip 3 mėnesių) MRT vėlesnės informacijos palyginimui. MRT pokyčių jau gali būti pastebima prieš pasireiškiant klinikiniams požymiams ar simptomams. Įprasto MRT tyrimo metu (pagal nacionalines ir vietines rekomendacijas) gydytojai turi atkreipti dėmesį į galimus PDL pažeidimus. MRT gali būti laikomas didesnio budrumo dalimi pacientams su padidėjusia PML rizika. </w:t>
      </w:r>
    </w:p>
    <w:p w:rsidR="001856F1" w:rsidRPr="00B27759" w:rsidRDefault="001856F1" w:rsidP="001856F1">
      <w:pPr>
        <w:spacing w:line="240" w:lineRule="auto"/>
        <w:rPr>
          <w:szCs w:val="22"/>
          <w:lang w:val="lt-LT"/>
        </w:rPr>
      </w:pPr>
      <w:r w:rsidRPr="00B27759">
        <w:rPr>
          <w:szCs w:val="22"/>
          <w:lang w:val="lt-LT"/>
        </w:rPr>
        <w:t xml:space="preserve">Remiantis MRT pokyčiais ir teigiamu JCV DNR tyrimo smegenų skystyje rodmeniu fingolimodo vartojusiems pacientams buvo nustatyta besimptomių PDL atvejų. Jei įtariama PDL, siekiant patikslinti diagnozę reikia nedelsiant atlikti MRT ir laikinai nutraukti gydymą fingolimodu, kol bus atmesta PDL diagnozė. </w:t>
      </w:r>
    </w:p>
    <w:p w:rsidR="00015CD7" w:rsidRDefault="00015CD7" w:rsidP="001856F1">
      <w:pPr>
        <w:spacing w:line="240" w:lineRule="auto"/>
        <w:rPr>
          <w:szCs w:val="22"/>
          <w:lang w:val="lt-LT"/>
        </w:rPr>
      </w:pPr>
    </w:p>
    <w:p w:rsidR="001856F1" w:rsidRPr="002F7292" w:rsidRDefault="00015CD7" w:rsidP="001856F1">
      <w:pPr>
        <w:spacing w:line="240" w:lineRule="auto"/>
        <w:rPr>
          <w:iCs/>
          <w:szCs w:val="22"/>
          <w:u w:val="single"/>
          <w:lang w:val="lt-LT"/>
        </w:rPr>
      </w:pPr>
      <w:r w:rsidRPr="002F7292">
        <w:rPr>
          <w:iCs/>
          <w:szCs w:val="22"/>
          <w:u w:val="single"/>
          <w:lang w:val="lt-LT"/>
        </w:rPr>
        <w:t>Žmogaus papilomos viruso sukelta infekcija</w:t>
      </w:r>
    </w:p>
    <w:p w:rsidR="001856F1" w:rsidRPr="00B27759" w:rsidRDefault="001856F1" w:rsidP="001856F1">
      <w:pPr>
        <w:spacing w:line="240" w:lineRule="auto"/>
        <w:rPr>
          <w:szCs w:val="22"/>
          <w:lang w:val="lt-LT"/>
        </w:rPr>
      </w:pPr>
      <w:r w:rsidRPr="00B27759">
        <w:rPr>
          <w:szCs w:val="22"/>
          <w:lang w:val="lt-LT"/>
        </w:rPr>
        <w:t xml:space="preserve">Po vaistinio preparato pateikimo į rinką gydant fingolimodu buvo gauta pranešimų apie žmogaus papilomos viruso (ŽPV) sukeltos infekcijos, įskaitant papilomos, displazijų, karpų ir su ŽPV susijusio vėžio, atvejus. Dėl imuninę sistemą slopinančių fingolimodo savybių, prieš pradedant gydymą fingolimodu vakcinacijos nuo ŽPV paskyrimą reikėtų svarstyti atsižvelgiant į skiepijimo rekomendacijas. Laikantis įprastos klinikinės praktikos, rekomenduojama patikra nuo vėžio, įskaitant </w:t>
      </w:r>
      <w:r w:rsidRPr="00B27759">
        <w:rPr>
          <w:i/>
          <w:szCs w:val="22"/>
          <w:lang w:val="lt-LT"/>
        </w:rPr>
        <w:t>PAP</w:t>
      </w:r>
      <w:r w:rsidR="00BC0B35" w:rsidRPr="00B27759">
        <w:rPr>
          <w:szCs w:val="22"/>
          <w:lang w:val="lt-LT"/>
        </w:rPr>
        <w:t xml:space="preserve"> testo (gimdos kaklelio citologinio testo</w:t>
      </w:r>
      <w:r w:rsidRPr="00B27759">
        <w:rPr>
          <w:szCs w:val="22"/>
          <w:lang w:val="lt-LT"/>
        </w:rPr>
        <w:t xml:space="preserve">) atlikimą.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Tinklainės geltonosios dėmės edema </w:t>
      </w:r>
    </w:p>
    <w:p w:rsidR="001856F1" w:rsidRPr="00B27759" w:rsidRDefault="001856F1" w:rsidP="001856F1">
      <w:pPr>
        <w:spacing w:line="240" w:lineRule="auto"/>
        <w:rPr>
          <w:szCs w:val="22"/>
          <w:lang w:val="lt-LT"/>
        </w:rPr>
      </w:pPr>
      <w:r w:rsidRPr="00B27759">
        <w:rPr>
          <w:szCs w:val="22"/>
          <w:lang w:val="lt-LT"/>
        </w:rPr>
        <w:t>Tinklainės geltonosios dėmės edemos su regos sutrikimo simptomais ar be jų pasireiškimo atvejų pranešta 0,5 % fingolimodo 0,5 mg doze gydytų pacientų; jie daugiausia pasireikšdavo pirmaisiais 3</w:t>
      </w:r>
      <w:r w:rsidR="00630ACA" w:rsidRPr="00B27759">
        <w:rPr>
          <w:szCs w:val="22"/>
          <w:lang w:val="lt-LT"/>
        </w:rPr>
        <w:t> </w:t>
      </w:r>
      <w:r w:rsidRPr="00B27759">
        <w:rPr>
          <w:szCs w:val="22"/>
          <w:lang w:val="lt-LT"/>
        </w:rPr>
        <w:t>-</w:t>
      </w:r>
      <w:r w:rsidR="00630ACA" w:rsidRPr="00B27759">
        <w:rPr>
          <w:szCs w:val="22"/>
          <w:lang w:val="lt-LT"/>
        </w:rPr>
        <w:t> </w:t>
      </w:r>
      <w:r w:rsidRPr="00B27759">
        <w:rPr>
          <w:szCs w:val="22"/>
          <w:lang w:val="lt-LT"/>
        </w:rPr>
        <w:t xml:space="preserve">4 vaistinio preparato vartojimo mėnesiais (žr. 4.8 skyrių). Todėl praėjus 3-4 mėnesiams nuo vaistinio preparato vartojimo pradžios, rekomenduojama ištirti akis. Jeigu vaistinio preparato vartojantis pacientas bet kuriuo metu pasiskundžia regos sutrikimu, reikia ištirti akių dugną, įskaitant ir tinklainės geltonąją dėmę.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Pacientams, kurie anksčiau sirgo uveitu, ir tiems, kurie serga cukriniu diabetu, yra padidėjusi tinklainės geltonosios dėmės edemos pasireiškimo rizika (žr. 4.8 skyrių). Fingolimod</w:t>
      </w:r>
      <w:r w:rsidR="00BC0B35" w:rsidRPr="00B27759">
        <w:rPr>
          <w:szCs w:val="22"/>
          <w:lang w:val="lt-LT"/>
        </w:rPr>
        <w:t>o</w:t>
      </w:r>
      <w:r w:rsidRPr="00B27759">
        <w:rPr>
          <w:szCs w:val="22"/>
          <w:lang w:val="lt-LT"/>
        </w:rPr>
        <w:t xml:space="preserve"> poveikis </w:t>
      </w:r>
      <w:r w:rsidRPr="00B27759">
        <w:rPr>
          <w:szCs w:val="22"/>
          <w:lang w:val="lt-LT"/>
        </w:rPr>
        <w:lastRenderedPageBreak/>
        <w:t xml:space="preserve">nebuvo tirtas išsėtine skleroze ir kartu cukriniu diabetu sergantiems pacientams. Išsėtine skleroze sergantiems pacientams, kartu sergantiems cukriniu diabetu arba anksčiau sirgusiems uveitu, prieš pradedant gydymą rekomenduojama ištirti akis bei vėliau kartotinai atlikti šiuos tyrimus vaistinio preparato vartojimo metu.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Pacientams, kuriems pasireiškė tinklainės geltonosios dėmės edema, tolesnis </w:t>
      </w:r>
      <w:r w:rsidR="00015CD7">
        <w:rPr>
          <w:szCs w:val="22"/>
          <w:lang w:val="lt-LT"/>
        </w:rPr>
        <w:t>gydymas</w:t>
      </w:r>
      <w:r w:rsidRPr="00B27759">
        <w:rPr>
          <w:szCs w:val="22"/>
          <w:lang w:val="lt-LT"/>
        </w:rPr>
        <w:t xml:space="preserve"> nebuvo ištirtas. Jeigu pacientui išsivysto geltonosios dėmės edema, Fingolimod Teva vartojimą rekomenduojama nutraukti. Apsisprendžiant, ar regresavus geltonosios dėmės edemai vėl pradėti </w:t>
      </w:r>
      <w:r w:rsidR="00015CD7">
        <w:rPr>
          <w:szCs w:val="22"/>
          <w:lang w:val="lt-LT"/>
        </w:rPr>
        <w:t>gydymą</w:t>
      </w:r>
      <w:r w:rsidRPr="00B27759">
        <w:rPr>
          <w:szCs w:val="22"/>
          <w:lang w:val="lt-LT"/>
        </w:rPr>
        <w:t xml:space="preserve">, ar jo </w:t>
      </w:r>
      <w:r w:rsidR="00015CD7">
        <w:rPr>
          <w:szCs w:val="22"/>
          <w:lang w:val="lt-LT"/>
        </w:rPr>
        <w:t>neskirti</w:t>
      </w:r>
      <w:r w:rsidRPr="00B27759">
        <w:rPr>
          <w:szCs w:val="22"/>
          <w:lang w:val="lt-LT"/>
        </w:rPr>
        <w:t xml:space="preserve">, reikia atsižvelgti į galimą gydymo naudą ir riziką kiekvienam pacientui atskirai.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Kepenų </w:t>
      </w:r>
      <w:r w:rsidR="00015CD7">
        <w:rPr>
          <w:szCs w:val="22"/>
          <w:u w:val="single"/>
          <w:lang w:val="lt-LT"/>
        </w:rPr>
        <w:t>pažeidimai</w:t>
      </w:r>
      <w:r w:rsidR="00015CD7" w:rsidRPr="00B27759">
        <w:rPr>
          <w:szCs w:val="22"/>
          <w:u w:val="single"/>
          <w:lang w:val="lt-LT"/>
        </w:rPr>
        <w:t xml:space="preserve"> </w:t>
      </w:r>
    </w:p>
    <w:p w:rsidR="001856F1" w:rsidRPr="00B27759" w:rsidRDefault="001856F1" w:rsidP="001856F1">
      <w:pPr>
        <w:spacing w:line="240" w:lineRule="auto"/>
        <w:rPr>
          <w:szCs w:val="22"/>
          <w:lang w:val="lt-LT"/>
        </w:rPr>
      </w:pPr>
      <w:r w:rsidRPr="00B27759">
        <w:rPr>
          <w:szCs w:val="22"/>
          <w:lang w:val="lt-LT"/>
        </w:rPr>
        <w:t xml:space="preserve">Gauta pranešimų apie išsėtine skleroze sergantiems ir </w:t>
      </w:r>
      <w:r w:rsidR="00BC0B35" w:rsidRPr="00B27759">
        <w:rPr>
          <w:szCs w:val="22"/>
          <w:lang w:val="lt-LT"/>
        </w:rPr>
        <w:t>f</w:t>
      </w:r>
      <w:r w:rsidRPr="00B27759">
        <w:rPr>
          <w:szCs w:val="22"/>
          <w:lang w:val="lt-LT"/>
        </w:rPr>
        <w:t>ingolimod</w:t>
      </w:r>
      <w:r w:rsidR="00BC0B35" w:rsidRPr="00B27759">
        <w:rPr>
          <w:szCs w:val="22"/>
          <w:lang w:val="lt-LT"/>
        </w:rPr>
        <w:t>ą</w:t>
      </w:r>
      <w:r w:rsidRPr="00B27759">
        <w:rPr>
          <w:szCs w:val="22"/>
          <w:lang w:val="lt-LT"/>
        </w:rPr>
        <w:t xml:space="preserve"> vartojusiems pacientams nustatytą padidėjusį kepenų fermentų, ypač alanino aminotransaminazės (ALT), taip pat ir gama gliutamiltransferazės (GGT) bei aspartato transaminazės (AST), aktyvumą. </w:t>
      </w:r>
      <w:r w:rsidR="00015CD7" w:rsidRPr="002F7292">
        <w:rPr>
          <w:szCs w:val="22"/>
          <w:lang w:val="lt-LT"/>
        </w:rPr>
        <w:t xml:space="preserve">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bilirubino koncentraciją, atsirado jau po dešimties dienų po pirmosios dozės pavartojimo, o taip pat buvo pastebėti po ilgesnio vaistinio preparato vartojimo. </w:t>
      </w:r>
      <w:r w:rsidRPr="00B27759">
        <w:rPr>
          <w:szCs w:val="22"/>
          <w:lang w:val="lt-LT"/>
        </w:rPr>
        <w:t xml:space="preserve">Klinikinių tyrimų metu 3 kartus ir daugiau virš viršutinės normos ribos (VNR) padidėjęs ALT aktyvumas nustatytas 8,0 % fingolimodo 0,5 mg doze gydytų suaugusių pacientų, lyginant su 1,9 % placebo vartojusių pacientų. Penkis kartus virš VNR padidėjęs ALT aktyvumas nustatytas 1,8 % fingolimodo vartojusių pacientų ir 0,9 % placebo grupės pacientų. Klinikinių tyrimų metu fingolimodo vartojimas buvo nutrauktas tuomet, jeigu šios koncentracijos padidėjo daugiau kaip 5 kartus virš VNR. Atnaujinus vaistinio preparato vartojimą, kai kuriems pacientams kepenų transaminazių aktyvumas vėl padidėjo, tai patvirtina šio sutrikimo ryšį su fingolimodo vartojimu. Klinikinių tyrimų metu transaminazių aktyvumas padidėjo bet kuriuo tyrimo metu, nors dažniausiai tai atsitiko per pirmuosius 12 mėnesių. Nutraukus fingolimodo vartojimą, transaminazių aktyvumas serume tapo normalus per maždaug 2 mėnesius.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BC0B35" w:rsidP="001856F1">
      <w:pPr>
        <w:spacing w:line="240" w:lineRule="auto"/>
        <w:rPr>
          <w:szCs w:val="22"/>
          <w:lang w:val="lt-LT"/>
        </w:rPr>
      </w:pPr>
      <w:r w:rsidRPr="00B27759">
        <w:rPr>
          <w:szCs w:val="22"/>
          <w:lang w:val="lt-LT"/>
        </w:rPr>
        <w:t>Fingolimodo</w:t>
      </w:r>
      <w:r w:rsidR="001856F1" w:rsidRPr="00B27759">
        <w:rPr>
          <w:szCs w:val="22"/>
          <w:lang w:val="lt-LT"/>
        </w:rPr>
        <w:t xml:space="preserve"> poveikis nebuvo tirtas pacientams, kuriems iki tyrimo pradžios jau buvo sunkus kepenų pažeidimas (C klasės pagal </w:t>
      </w:r>
      <w:r w:rsidR="001856F1" w:rsidRPr="00B27759">
        <w:rPr>
          <w:i/>
          <w:szCs w:val="22"/>
          <w:lang w:val="lt-LT"/>
        </w:rPr>
        <w:t>Child-Pugh</w:t>
      </w:r>
      <w:r w:rsidR="001856F1" w:rsidRPr="00B27759">
        <w:rPr>
          <w:szCs w:val="22"/>
          <w:lang w:val="lt-LT"/>
        </w:rPr>
        <w:t xml:space="preserve">), todėl šiems pacientams vaistinio preparato vartoti negalima (žr. 4.3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Dėl imuninę sistemą slopinančių fingolimodo savybių aktyviu virusiniu hepatitu sergantiems pacientams vaistinio preparato vartojimo pradžią reikėtų atidėti iki tol, kol jie pasveiks.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Prieš pradedant </w:t>
      </w:r>
      <w:r w:rsidR="00015CD7">
        <w:rPr>
          <w:szCs w:val="22"/>
          <w:lang w:val="lt-LT"/>
        </w:rPr>
        <w:t>gydymą</w:t>
      </w:r>
      <w:r w:rsidRPr="00B27759">
        <w:rPr>
          <w:szCs w:val="22"/>
          <w:lang w:val="lt-LT"/>
        </w:rPr>
        <w:t xml:space="preserve"> reikia žinoti neseniai (t. y., per paskutiniuosius 6 mėnesius) atliktų transaminazių aktyvumo ir bilirubino kiekio tyrimų rezultatus. Tais atvejais, kai klinikinių simptomų nepasireiškia, kepenų transaminazių </w:t>
      </w:r>
      <w:r w:rsidR="00015CD7">
        <w:rPr>
          <w:szCs w:val="22"/>
          <w:lang w:val="lt-LT"/>
        </w:rPr>
        <w:t>ir bilirubino koncentracijas serume</w:t>
      </w:r>
      <w:r w:rsidR="00015CD7" w:rsidRPr="00B27759">
        <w:rPr>
          <w:szCs w:val="22"/>
          <w:lang w:val="lt-LT"/>
        </w:rPr>
        <w:t xml:space="preserve"> </w:t>
      </w:r>
      <w:r w:rsidRPr="00B27759">
        <w:rPr>
          <w:szCs w:val="22"/>
          <w:lang w:val="lt-LT"/>
        </w:rPr>
        <w:t>reikia tirti praėjus 1, 3, 6, 9 ir 12 mėnesių nuo gydymo pradžios bei reguliariai vėliau</w:t>
      </w:r>
      <w:r w:rsidR="00015CD7" w:rsidRPr="00015CD7">
        <w:rPr>
          <w:szCs w:val="22"/>
          <w:lang w:val="lt-LT"/>
        </w:rPr>
        <w:t xml:space="preserve"> </w:t>
      </w:r>
      <w:r w:rsidR="00015CD7">
        <w:rPr>
          <w:szCs w:val="22"/>
          <w:lang w:val="lt-LT"/>
        </w:rPr>
        <w:t xml:space="preserve">iki </w:t>
      </w:r>
      <w:r w:rsidR="00015CD7" w:rsidRPr="002F7292">
        <w:rPr>
          <w:szCs w:val="22"/>
          <w:lang w:val="lt-LT"/>
        </w:rPr>
        <w:t>2</w:t>
      </w:r>
      <w:r w:rsidR="00015CD7">
        <w:rPr>
          <w:szCs w:val="22"/>
          <w:lang w:val="lt-LT"/>
        </w:rPr>
        <w:t xml:space="preserve"> mėnesių po Fingolimod Teva vartojimo nutraukimo</w:t>
      </w:r>
      <w:r w:rsidR="00015CD7" w:rsidRPr="00B27759">
        <w:rPr>
          <w:szCs w:val="22"/>
          <w:lang w:val="lt-LT"/>
        </w:rPr>
        <w:t xml:space="preserve">. </w:t>
      </w:r>
      <w:r w:rsidR="00015CD7" w:rsidRPr="002F7292">
        <w:rPr>
          <w:szCs w:val="22"/>
          <w:lang w:val="lt-LT"/>
        </w:rPr>
        <w:t>Nesant klinikinių simptomų, jeigu kepenų transaminazių aktyvumai padidėja daugiau kaip 3, bet mažiau kaip 5 kartus virš VNR, nesant padidėjusiam bilirubino kiekiui serume, jas tirti reikia dažniau, taip pat kartu reikia ištirti bilirubino koncentraciją ir šarminės fosfatazės (ŠF) aktyvumą serume, siekiant nustatyti, ar jos toliau didėja, ir nustatyti, ar yra alternatyvi kepenų funkcijos sutrikimo etiologija. Jeigu kepenų transaminazių koncentracijos padidėja bent 5 kartus virš VNR arba mažiausiai 3 kartus virš VNR ir yra susijusios su bet kokiu bilirubino koncentracijos padidėjimu serume, Fingolimod Teva vartojimą reikia nutraukti. Reikia tęsti kepenų funkcijos rodiklių stebėjimą. Jeigu serumo lygis normalizuojasi (įskaitant atvejus, kai nustatoma alternatyvi kepenų funkcijos pažeidimo priežastis), Fingolimod Teva vartojimą galima atnaujinti, kruopščiai įvertinus naudos ir rizikos santykį pacientui.</w:t>
      </w: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Pacientams, kuriems atsiranda kepenų funkcijos sutrikimą rodančių simptomų, pavyzdžiui, nepaaiškinamas pykinimas, vėmimas, pilvo skausmas, nuovargis, apetito nebuvimas ar gelta ir (arba) patamsėjęs šlapimas, reikia ištirti kepenų fermentų aktyvumą</w:t>
      </w:r>
      <w:r w:rsidR="00015CD7">
        <w:rPr>
          <w:szCs w:val="22"/>
          <w:lang w:val="lt-LT"/>
        </w:rPr>
        <w:t xml:space="preserve"> ir bilirubino koncentraciją</w:t>
      </w:r>
      <w:r w:rsidRPr="00B27759">
        <w:rPr>
          <w:szCs w:val="22"/>
          <w:lang w:val="lt-LT"/>
        </w:rPr>
        <w:t xml:space="preserve">; jeigu patvirtinamas reikšmingas kepenų pažeidimas </w:t>
      </w:r>
      <w:r w:rsidR="00015CD7">
        <w:rPr>
          <w:szCs w:val="22"/>
          <w:lang w:val="lt-LT"/>
        </w:rPr>
        <w:t>gydymą</w:t>
      </w:r>
      <w:r w:rsidRPr="00B27759">
        <w:rPr>
          <w:szCs w:val="22"/>
          <w:lang w:val="lt-LT"/>
        </w:rPr>
        <w:t xml:space="preserve"> reikia nutraukti. </w:t>
      </w:r>
      <w:r w:rsidR="00015CD7" w:rsidRPr="002F7292">
        <w:rPr>
          <w:szCs w:val="22"/>
          <w:lang w:val="lt-LT"/>
        </w:rPr>
        <w:t>Gydymas negali būti atnaujintas, išskyrus atvejus, kai bus nustatyta patikima alternatyvi kepenų pažeidimo požymių ir simptomų etiologija.</w:t>
      </w: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lastRenderedPageBreak/>
        <w:t>Nors nėra duomenų, įrodančių, kad pacientams, kuriems anksčiau buvo reikšminga kepenų l</w:t>
      </w:r>
      <w:r w:rsidR="00630ACA" w:rsidRPr="00B27759">
        <w:rPr>
          <w:szCs w:val="22"/>
          <w:lang w:val="lt-LT"/>
        </w:rPr>
        <w:t xml:space="preserve">iga, vartojant </w:t>
      </w:r>
      <w:r w:rsidRPr="00B27759">
        <w:rPr>
          <w:szCs w:val="22"/>
          <w:lang w:val="lt-LT"/>
        </w:rPr>
        <w:t xml:space="preserve">Fingolimod Teva yra didesnė rizika pasireikšti kepenų funkcijos tyrimų rezultatų padidėjimui, Fingolimod Teva gydyti tokius pacientus reikia atsargiai.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Poveikis kraujospūdžiui </w:t>
      </w:r>
    </w:p>
    <w:p w:rsidR="001856F1" w:rsidRPr="00B27759" w:rsidRDefault="001856F1" w:rsidP="001856F1">
      <w:pPr>
        <w:spacing w:line="240" w:lineRule="auto"/>
        <w:rPr>
          <w:szCs w:val="22"/>
          <w:lang w:val="lt-LT"/>
        </w:rPr>
      </w:pPr>
      <w:r w:rsidRPr="00B27759">
        <w:rPr>
          <w:szCs w:val="22"/>
          <w:lang w:val="lt-LT"/>
        </w:rPr>
        <w:t xml:space="preserve">Nekontroliuojama vaistiniais preparatais hipertenzija sergantys pacientai prieš vaistinio preparato pateikimą į rinką nebuvo įtraukiami į klinikinius tyrimus, todėl </w:t>
      </w:r>
      <w:r w:rsidR="00BC0B35" w:rsidRPr="00B27759">
        <w:rPr>
          <w:szCs w:val="22"/>
          <w:lang w:val="lt-LT"/>
        </w:rPr>
        <w:t>f</w:t>
      </w:r>
      <w:r w:rsidRPr="00B27759">
        <w:rPr>
          <w:szCs w:val="22"/>
          <w:lang w:val="lt-LT"/>
        </w:rPr>
        <w:t>ingolimod</w:t>
      </w:r>
      <w:r w:rsidR="00A85980">
        <w:rPr>
          <w:szCs w:val="22"/>
          <w:lang w:val="lt-LT"/>
        </w:rPr>
        <w:t>ą</w:t>
      </w:r>
      <w:r w:rsidRPr="00B27759">
        <w:rPr>
          <w:szCs w:val="22"/>
          <w:lang w:val="lt-LT"/>
        </w:rPr>
        <w:t xml:space="preserve"> reikia ypatingai atsargiai vartoti nekontroliuojama hipertenzija sergantiems pacientams.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IS sergančių pacientų klinikinių tyrimų metu fingolimodo 0,5 mg vartojusiems pacientams sistolinis kraujospūdis vidutiniškai padidėjo maždaug 3 mmHg, diastolinis kraujospūdis – maždaug 1 mmHg.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w:t>
      </w:r>
      <w:r w:rsidR="00630ACA" w:rsidRPr="00B27759">
        <w:rPr>
          <w:szCs w:val="22"/>
          <w:lang w:val="lt-LT"/>
        </w:rPr>
        <w:t> </w:t>
      </w:r>
      <w:r w:rsidRPr="00B27759">
        <w:rPr>
          <w:szCs w:val="22"/>
          <w:lang w:val="lt-LT"/>
        </w:rPr>
        <w:t>% fingolimodo 0,</w:t>
      </w:r>
      <w:r w:rsidR="00630ACA" w:rsidRPr="00B27759">
        <w:rPr>
          <w:szCs w:val="22"/>
          <w:lang w:val="lt-LT"/>
        </w:rPr>
        <w:t>5 mg vartojusių pacientų ir 3,3 </w:t>
      </w:r>
      <w:r w:rsidRPr="00B27759">
        <w:rPr>
          <w:szCs w:val="22"/>
          <w:lang w:val="lt-LT"/>
        </w:rPr>
        <w:t xml:space="preserve">% placebo grupės pacientų. Todėl </w:t>
      </w:r>
      <w:r w:rsidR="00015CD7">
        <w:rPr>
          <w:szCs w:val="22"/>
          <w:lang w:val="lt-LT"/>
        </w:rPr>
        <w:t>gydymo</w:t>
      </w:r>
      <w:r w:rsidRPr="00B27759">
        <w:rPr>
          <w:szCs w:val="22"/>
          <w:lang w:val="lt-LT"/>
        </w:rPr>
        <w:t xml:space="preserve"> metu reikia reguliariai matuoti kraujospūdį.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Poveikis kvėpavimo sistemai </w:t>
      </w:r>
    </w:p>
    <w:p w:rsidR="001856F1" w:rsidRPr="00B27759" w:rsidRDefault="001856F1" w:rsidP="001856F1">
      <w:pPr>
        <w:spacing w:line="240" w:lineRule="auto"/>
        <w:rPr>
          <w:szCs w:val="22"/>
          <w:lang w:val="lt-LT"/>
        </w:rPr>
      </w:pPr>
      <w:r w:rsidRPr="00B27759">
        <w:rPr>
          <w:szCs w:val="22"/>
          <w:lang w:val="lt-LT"/>
        </w:rPr>
        <w:t>Fingolimod</w:t>
      </w:r>
      <w:r w:rsidR="00BC0B35" w:rsidRPr="00B27759">
        <w:rPr>
          <w:szCs w:val="22"/>
          <w:lang w:val="lt-LT"/>
        </w:rPr>
        <w:t>u</w:t>
      </w:r>
      <w:r w:rsidRPr="00B27759">
        <w:rPr>
          <w:szCs w:val="22"/>
          <w:lang w:val="lt-LT"/>
        </w:rPr>
        <w:t xml:space="preserve"> gydomiems pacientams, pradedant pirmuoju vaistinio preparato vartojimo mėnesiu ir stabiliai vėliau, pastebėtos nedaug sumažėjusios forsuoto iškvėpimo tūrio (angl. </w:t>
      </w:r>
      <w:r w:rsidRPr="00B27759">
        <w:rPr>
          <w:i/>
          <w:szCs w:val="22"/>
          <w:lang w:val="lt-LT"/>
        </w:rPr>
        <w:t>forced expiratory volume</w:t>
      </w:r>
      <w:r w:rsidRPr="00B27759">
        <w:rPr>
          <w:szCs w:val="22"/>
          <w:lang w:val="lt-LT"/>
        </w:rPr>
        <w:t xml:space="preserve"> – FEV</w:t>
      </w:r>
      <w:r w:rsidRPr="00B27759">
        <w:rPr>
          <w:szCs w:val="22"/>
          <w:vertAlign w:val="subscript"/>
          <w:lang w:val="lt-LT"/>
        </w:rPr>
        <w:t>1</w:t>
      </w:r>
      <w:r w:rsidRPr="00B27759">
        <w:rPr>
          <w:szCs w:val="22"/>
          <w:lang w:val="lt-LT"/>
        </w:rPr>
        <w:t xml:space="preserve">) ir anglies monoksido difuzijos talpos (angl. </w:t>
      </w:r>
      <w:r w:rsidRPr="00B27759">
        <w:rPr>
          <w:i/>
          <w:szCs w:val="22"/>
          <w:lang w:val="lt-LT"/>
        </w:rPr>
        <w:t>diffusion capacity for carbon monoxide</w:t>
      </w:r>
      <w:r w:rsidRPr="00B27759">
        <w:rPr>
          <w:szCs w:val="22"/>
          <w:lang w:val="lt-LT"/>
        </w:rPr>
        <w:t xml:space="preserve"> – DLCO) reikšmės. Jų poveikis priklausė nuo vaistinio preparato dozės. Fingolimod Teva reikia atsargiai vartoti sunkia kvėpavimo sistemos liga, plaučių fibroze ir lėtine obstrukcine plaučių liga sergantiems pacientams (žr. taip pat 4.8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Užpakalinės grįžtamosios encefalopatijos sindromas </w:t>
      </w:r>
    </w:p>
    <w:p w:rsidR="001856F1" w:rsidRPr="00B27759" w:rsidRDefault="001856F1" w:rsidP="001856F1">
      <w:pPr>
        <w:spacing w:line="240" w:lineRule="auto"/>
        <w:rPr>
          <w:szCs w:val="22"/>
          <w:lang w:val="lt-LT"/>
        </w:rPr>
      </w:pPr>
      <w:r w:rsidRPr="00B27759">
        <w:rPr>
          <w:szCs w:val="22"/>
          <w:lang w:val="lt-LT"/>
        </w:rPr>
        <w:t xml:space="preserve">Klinikinių tyrimų metu ir po vaistinio preparato pateikimo į rinką nustatyta retų užpakalinės grįžtamosios encefalopatijos sindromo (UGES) pasireiškimo atvejų 0,5 mg dozę vartojusiems pacientams (žr. 4.8 skyrių). Pranešta apie pasireiškusius simptomus įskaitant: staiga prasidėjusį stiprų galvos skausmą, pykinimą, vėmimą, sutrikusią psichikos būklę,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Fingolimod Teva vartojimą reikia nutraukti.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Ankstesnis gydymas imuninę sistemą slopinančiais arba moduliuojančiais vaistiniais preparatais </w:t>
      </w:r>
    </w:p>
    <w:p w:rsidR="001856F1" w:rsidRPr="00B27759" w:rsidRDefault="001856F1" w:rsidP="001856F1">
      <w:pPr>
        <w:spacing w:line="240" w:lineRule="auto"/>
        <w:rPr>
          <w:szCs w:val="22"/>
          <w:lang w:val="lt-LT"/>
        </w:rPr>
      </w:pPr>
      <w:r w:rsidRPr="00B27759">
        <w:rPr>
          <w:szCs w:val="22"/>
          <w:lang w:val="lt-LT"/>
        </w:rPr>
        <w:t xml:space="preserve">Tyrimų, skirtų įvertinti </w:t>
      </w:r>
      <w:r w:rsidR="00BC0B35" w:rsidRPr="00B27759">
        <w:rPr>
          <w:szCs w:val="22"/>
          <w:lang w:val="lt-LT"/>
        </w:rPr>
        <w:t>f</w:t>
      </w:r>
      <w:r w:rsidRPr="00B27759">
        <w:rPr>
          <w:szCs w:val="22"/>
          <w:lang w:val="lt-LT"/>
        </w:rPr>
        <w:t>ingolimod</w:t>
      </w:r>
      <w:r w:rsidR="00BC0B35" w:rsidRPr="00B27759">
        <w:rPr>
          <w:szCs w:val="22"/>
          <w:lang w:val="lt-LT"/>
        </w:rPr>
        <w:t>o</w:t>
      </w:r>
      <w:r w:rsidRPr="00B27759">
        <w:rPr>
          <w:szCs w:val="22"/>
          <w:lang w:val="lt-LT"/>
        </w:rPr>
        <w:t xml:space="preserve"> veiksmingumą ir saugumą pacientams pakeitus gydymą iš teriflunomido, dimetilfumarato ar alemtuzumabo, neatlikta. Pacientams keičiant gydymą kitu ligos eigą modifikuojančiu vaistiniu preparatu į gydymą Fingolimod Teva, būtina atsižvelgti į anksčiau vartoto vaistinio preparato pusinės eliminacijos laiką ir veikimo mechanizmą, kad būtų išvengta adityvaus poveikio imuninei sistemai ir tuo pačiu sumažinta ligos suaktyvėjimo rizika. Prieš pradedant skirti Fingolimod Teva rekomenduojama atlikti bendrąjį kraujo tyrimą (BKT), kad būtų įsitikinta, jog ankstesniojo gydymo poveikis imuninei sistemai (t. y. citopenija) išnyko.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Fingolimod Teva paprastai galima paskirti vartoti iš karto po gydymo interferonu ir glatiramero acetatu nutraukimo.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Jeigu vartota dimetilfumarato, išplovimo (šalinimo iš organizmo) laikotarpis turi būti pakankamas, kad BKT rodikliai atsistatytų prieš pradedant gydyti Fingolimod Teva.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Nutraukus natalizumabo vartojimą, dėl ilgo pusinės eliminacijos laiko šio vaistinio preparato eliminacija paprastai užtrunka iki 2-3 mėnesių. Teriflunomidas iš kraujo plazmos taip pat eliminuojamas lėtai. Netaikant pagreitintos eliminacijos procedūrų, teriflunomido klirensas iš plazmos gali trukti nuo keleto mėnesių iki 2 metų. Rekomenduojama skirti pagreitintos eliminacijos procedūras, kaip nurodyta teriflunomido preparato charakteristikų santraukoje, arba kitu atveju išplovimo laikotarpis turėtų būti ne trumpesnis kaip 3,5 mėnesio. Pacientams keičiant gydymą natalizumabu ar teriflunomidu į gydymą Fingolimod Teva, dėl galimo bendro poveikio imuninei sistemai būtina laikytis atsargumo priemonių.</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Alemtuzumabui būdingas stiprus ir ilgalaikis imuninę sistemą slopinantis poveikis. Kadangi tikroji šio poveikio trukmė nežinoma, nutraukus gydymą alemtuzumabu pradėti skirti gydymą Fingolimod Teva nerekomenduojama, nebent atskiram pacientui šio gydymo nauda aiškiai viršija riziką.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Sprendimas paskirti ilgalaikį kombinuotąjį gydymą kartu su kortikosteroidais turi būti priimtas tik atidžiai apsvarsčius.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Vartojimas kartu su stipriais CYP450 induktoriais </w:t>
      </w:r>
    </w:p>
    <w:p w:rsidR="001856F1" w:rsidRPr="00B27759" w:rsidRDefault="001856F1" w:rsidP="001856F1">
      <w:pPr>
        <w:spacing w:line="240" w:lineRule="auto"/>
        <w:rPr>
          <w:szCs w:val="22"/>
          <w:lang w:val="lt-LT"/>
        </w:rPr>
      </w:pPr>
      <w:r w:rsidRPr="00B27759">
        <w:rPr>
          <w:szCs w:val="22"/>
          <w:lang w:val="lt-LT"/>
        </w:rPr>
        <w:t xml:space="preserve">Fingolimodo kartu su stipriais CYP450 induktoriais reikia skirti atsargiai. Nerekomenduojama skirti kartu su jonažolės preparatais (žr. 4.5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Piktybiniai navikai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i/>
          <w:szCs w:val="22"/>
          <w:lang w:val="lt-LT"/>
        </w:rPr>
      </w:pPr>
      <w:r w:rsidRPr="00B27759">
        <w:rPr>
          <w:i/>
          <w:szCs w:val="22"/>
          <w:lang w:val="lt-LT"/>
        </w:rPr>
        <w:t xml:space="preserve">Odos piktybiniai navikai </w:t>
      </w:r>
    </w:p>
    <w:p w:rsidR="001856F1" w:rsidRPr="00B27759" w:rsidRDefault="001856F1" w:rsidP="001856F1">
      <w:pPr>
        <w:spacing w:line="240" w:lineRule="auto"/>
        <w:rPr>
          <w:szCs w:val="22"/>
          <w:lang w:val="lt-LT"/>
        </w:rPr>
      </w:pPr>
      <w:r w:rsidRPr="00B27759">
        <w:rPr>
          <w:szCs w:val="22"/>
          <w:lang w:val="lt-LT"/>
        </w:rPr>
        <w:t>Gauta pranešimų apie bazalinių ląstelių karcinomos (BLK) ir kitų odos navikų, įskaitant piktybinę melanomą, plokščiųjų ląstelių karcinomą, Kapoši (</w:t>
      </w:r>
      <w:r w:rsidRPr="00B27759">
        <w:rPr>
          <w:i/>
          <w:szCs w:val="22"/>
          <w:lang w:val="lt-LT"/>
        </w:rPr>
        <w:t>Kaposi</w:t>
      </w:r>
      <w:r w:rsidRPr="00B27759">
        <w:rPr>
          <w:szCs w:val="22"/>
          <w:lang w:val="lt-LT"/>
        </w:rPr>
        <w:t xml:space="preserve">) sarkomą ir Merkel ląstelių karcinomą atvejus Fingolimod Teva vartojantiems pacientams (žr. 4.8 skyrių). Reikia stebėti odos pažeidimus, rekomenduojamas medicininis odos įvertinimas gydymo pradžioje, tuomet kas 6-12 mėnesių, atsižvelgiant į klinikines aplinkybes. Pasireiškus įtartiniems pažeidimams, pacientui būtina dermatologo konsultacija.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Kadangi yra galima piktybinių odos navikų rizika, pacientus, vartojančius fingolimodo, reikia įspėti saugotis saulės spindulių poveikio,</w:t>
      </w:r>
      <w:r w:rsidRPr="006A5202">
        <w:rPr>
          <w:snapToGrid/>
          <w:szCs w:val="22"/>
          <w:lang w:val="lt-LT" w:eastAsia="lt-LT"/>
        </w:rPr>
        <w:t xml:space="preserve"> </w:t>
      </w:r>
      <w:r w:rsidRPr="00B27759">
        <w:rPr>
          <w:szCs w:val="22"/>
          <w:lang w:val="lt-LT"/>
        </w:rPr>
        <w:t>jei nenaudojamos apsaugos priemonės. Šiems pacientams negali būti skirta fototerapija UV-B spinduliais arba fotochemoterapija (</w:t>
      </w:r>
      <w:r w:rsidRPr="00B27759">
        <w:rPr>
          <w:i/>
          <w:szCs w:val="22"/>
          <w:lang w:val="lt-LT"/>
        </w:rPr>
        <w:t>PUVA</w:t>
      </w: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i/>
          <w:szCs w:val="22"/>
          <w:lang w:val="lt-LT"/>
        </w:rPr>
      </w:pPr>
      <w:r w:rsidRPr="00B27759">
        <w:rPr>
          <w:i/>
          <w:szCs w:val="22"/>
          <w:lang w:val="lt-LT"/>
        </w:rPr>
        <w:t xml:space="preserve">Limfomos </w:t>
      </w:r>
    </w:p>
    <w:p w:rsidR="001856F1" w:rsidRPr="00B27759" w:rsidRDefault="001856F1" w:rsidP="001856F1">
      <w:pPr>
        <w:spacing w:line="240" w:lineRule="auto"/>
        <w:rPr>
          <w:szCs w:val="22"/>
          <w:lang w:val="lt-LT"/>
        </w:rPr>
      </w:pPr>
      <w:r w:rsidRPr="00B27759">
        <w:rPr>
          <w:szCs w:val="22"/>
          <w:lang w:val="lt-LT"/>
        </w:rPr>
        <w:t>Klinikinių tyrimų metu ir po vaistinio preparato pateikimo į rinką nustatyta limfomos pasireiškimo atvejų (žr. 4.8 skyrių). Buvo nustatyta heterogeniškų atvejų pagal limfomos pobūdį, daugiausia pasireiškė ne Hodžkino limfoma, įskaitant B ląstelių bei T ląstelių limfomas. Pastebėta odos T ląstelių limfomos (</w:t>
      </w:r>
      <w:r w:rsidRPr="00B27759">
        <w:rPr>
          <w:i/>
          <w:szCs w:val="22"/>
          <w:lang w:val="lt-LT"/>
        </w:rPr>
        <w:t>mycosis fungoides</w:t>
      </w:r>
      <w:r w:rsidRPr="00B27759">
        <w:rPr>
          <w:szCs w:val="22"/>
          <w:lang w:val="lt-LT"/>
        </w:rPr>
        <w:t>) atvejų. Taip pat nustatytas mirtį lėmęs</w:t>
      </w:r>
      <w:r w:rsidRPr="006A5202">
        <w:rPr>
          <w:snapToGrid/>
          <w:szCs w:val="22"/>
          <w:lang w:val="lt-LT" w:eastAsia="lt-LT"/>
        </w:rPr>
        <w:t xml:space="preserve"> </w:t>
      </w:r>
      <w:r w:rsidRPr="00B27759">
        <w:rPr>
          <w:szCs w:val="22"/>
          <w:lang w:val="lt-LT"/>
        </w:rPr>
        <w:t xml:space="preserve">Epšteino-Baro (angl. </w:t>
      </w:r>
      <w:r w:rsidRPr="00B27759">
        <w:rPr>
          <w:i/>
          <w:szCs w:val="22"/>
          <w:lang w:val="lt-LT"/>
        </w:rPr>
        <w:t>Epstein-Barr</w:t>
      </w:r>
      <w:r w:rsidRPr="00B27759">
        <w:rPr>
          <w:szCs w:val="22"/>
          <w:lang w:val="lt-LT"/>
        </w:rPr>
        <w:t xml:space="preserve">) virusui (EBV) teigiamos B ląstelių limfomos atvejis. Jeigu įtariama limfoma, </w:t>
      </w:r>
      <w:r w:rsidR="00015CD7">
        <w:rPr>
          <w:szCs w:val="22"/>
          <w:lang w:val="lt-LT"/>
        </w:rPr>
        <w:t>gydymą</w:t>
      </w:r>
      <w:r w:rsidRPr="00B27759">
        <w:rPr>
          <w:szCs w:val="22"/>
          <w:lang w:val="lt-LT"/>
        </w:rPr>
        <w:t xml:space="preserve"> reikia nutraukti.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Vaisingos moterys </w:t>
      </w:r>
    </w:p>
    <w:p w:rsidR="001856F1" w:rsidRPr="00B27759" w:rsidRDefault="001856F1" w:rsidP="001856F1">
      <w:pPr>
        <w:spacing w:line="240" w:lineRule="auto"/>
        <w:rPr>
          <w:szCs w:val="22"/>
          <w:lang w:val="lt-LT"/>
        </w:rPr>
      </w:pPr>
      <w:r w:rsidRPr="00B27759">
        <w:rPr>
          <w:szCs w:val="22"/>
          <w:lang w:val="lt-LT"/>
        </w:rPr>
        <w:t xml:space="preserve">Dėl galimo pavojaus vaisiui, fingolimodo draudžiama vartoti nėštumo metu ir vaisingoms moterims, kurios nenaudoja veiksmingos kontracepcijos. Prieš skiriant gydymą vaisingoms moterims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„Gydytojo informacinėje pakuotėje“ pateikiamą informaciją).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Tumefaktinės pažaidos </w:t>
      </w:r>
    </w:p>
    <w:p w:rsidR="001856F1" w:rsidRPr="00B27759" w:rsidRDefault="001856F1" w:rsidP="001856F1">
      <w:pPr>
        <w:spacing w:line="240" w:lineRule="auto"/>
        <w:rPr>
          <w:szCs w:val="22"/>
          <w:lang w:val="lt-LT"/>
        </w:rPr>
      </w:pPr>
      <w:r w:rsidRPr="00B27759">
        <w:rPr>
          <w:szCs w:val="22"/>
          <w:lang w:val="lt-LT"/>
        </w:rPr>
        <w:t xml:space="preserve">Vaistinį preparatą </w:t>
      </w:r>
      <w:r w:rsidR="00A85980">
        <w:rPr>
          <w:szCs w:val="22"/>
          <w:lang w:val="lt-LT"/>
        </w:rPr>
        <w:t>pateikus į rinką</w:t>
      </w:r>
      <w:r w:rsidRPr="00B27759">
        <w:rPr>
          <w:szCs w:val="22"/>
          <w:lang w:val="lt-LT"/>
        </w:rPr>
        <w:t xml:space="preserve"> buvo gauta retų pranešimų apie tumefaktinių pažaidų atvejus, susijusius su IS paūmėjimu. Pasireiškus sunkiems ligos recidyvo atvejams, reikia atlikti MRT tyrimą, kad būtų galima atmesti tumefaktines pažaidas. Gydytojas turi apsvarstyti </w:t>
      </w:r>
      <w:r w:rsidR="00015CD7">
        <w:rPr>
          <w:szCs w:val="22"/>
          <w:lang w:val="lt-LT"/>
        </w:rPr>
        <w:t>gydymo</w:t>
      </w:r>
      <w:r w:rsidRPr="00B27759">
        <w:rPr>
          <w:szCs w:val="22"/>
          <w:lang w:val="lt-LT"/>
        </w:rPr>
        <w:t xml:space="preserve"> nutraukimą kiekvienu konkrečiu atveju, atsižvelgdamas į galimą gydymo naudą ir riziką kiekvienam pacientui atskirai.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Ligos suaktyvėjimas (atsinaujinimas) nutraukus gydymą fingolimodu </w:t>
      </w:r>
    </w:p>
    <w:p w:rsidR="001856F1" w:rsidRPr="00B27759" w:rsidRDefault="001856F1" w:rsidP="001856F1">
      <w:pPr>
        <w:spacing w:line="240" w:lineRule="auto"/>
        <w:rPr>
          <w:szCs w:val="22"/>
          <w:lang w:val="lt-LT"/>
        </w:rPr>
      </w:pPr>
      <w:r w:rsidRPr="00B27759">
        <w:rPr>
          <w:szCs w:val="22"/>
          <w:lang w:val="lt-LT"/>
        </w:rPr>
        <w:t xml:space="preserve">Po vaistinio preparato pateikimo į rinką retai keletui pacientų, kurie nutraukė fingolimodo vartojimą, pasireiškė sunkus ligos paūmėjimas. Jis dažniausiai pasireiškė per 12 savaičių po fingolimodo vartojimo pabaigos, tačiau buvo gauta pranešimų apie šį reiškinį iki 24 savaičių po gydymo fingolimodu nutraukimo. Todėl gydymą fingolimodu reikia nutraukti atsargiai. Jei manoma, kad nutraukti fingolimodo vartojimą būtina, turi būti įvertinta ypač didelio ligos aktyvumo pasikartojimo galimybė, o pacientai stebimi, ar jiems nepasireiškė atitinkami ligos požymiai ir simptomai, bei prireikus būtina pradėti reikiamą gydymą (žr. toliau „Gydymo nutraukimas“). </w:t>
      </w:r>
    </w:p>
    <w:p w:rsidR="001856F1" w:rsidRPr="00B27759" w:rsidRDefault="001856F1" w:rsidP="001856F1">
      <w:pPr>
        <w:spacing w:line="240" w:lineRule="auto"/>
        <w:rPr>
          <w:szCs w:val="22"/>
          <w:lang w:val="lt-LT"/>
        </w:rPr>
      </w:pPr>
      <w:r w:rsidRPr="00B27759">
        <w:rPr>
          <w:szCs w:val="22"/>
          <w:lang w:val="lt-LT"/>
        </w:rPr>
        <w:lastRenderedPageBreak/>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Gydymo nutraukimas </w:t>
      </w:r>
    </w:p>
    <w:p w:rsidR="001856F1" w:rsidRPr="00B27759" w:rsidRDefault="001856F1" w:rsidP="001856F1">
      <w:pPr>
        <w:spacing w:line="240" w:lineRule="auto"/>
        <w:rPr>
          <w:szCs w:val="22"/>
          <w:lang w:val="lt-LT"/>
        </w:rPr>
      </w:pPr>
      <w:r w:rsidRPr="00B27759">
        <w:rPr>
          <w:szCs w:val="22"/>
          <w:lang w:val="lt-LT"/>
        </w:rPr>
        <w:t>Jeigu priimamas sprendimas nutraukti gydymą</w:t>
      </w:r>
      <w:r w:rsidR="0001078B" w:rsidRPr="00B27759">
        <w:rPr>
          <w:szCs w:val="22"/>
          <w:lang w:val="lt-LT"/>
        </w:rPr>
        <w:t xml:space="preserve"> fingolimodu</w:t>
      </w:r>
      <w:r w:rsidRPr="00B27759">
        <w:rPr>
          <w:szCs w:val="22"/>
          <w:lang w:val="lt-LT"/>
        </w:rPr>
        <w:t xml:space="preserve">, </w:t>
      </w:r>
      <w:r w:rsidR="0001078B" w:rsidRPr="00B27759">
        <w:rPr>
          <w:szCs w:val="22"/>
          <w:lang w:val="lt-LT"/>
        </w:rPr>
        <w:t>jo</w:t>
      </w:r>
      <w:r w:rsidRPr="00B27759">
        <w:rPr>
          <w:szCs w:val="22"/>
          <w:lang w:val="lt-LT"/>
        </w:rPr>
        <w:t xml:space="preserve"> pašalinamui iš kraujotakos būtina nevartoti 6 savaites (šis laikas pagrįstas pusinės eliminacijos laiku) (žr. 5.2 skyrių). Daugeliui pacientų limfocitų skaičius palaipsniui tampa normalus per 1-2 mėnesius po vaistinio preparato vartojimo nutraukimo (žr. 5.1 skyrių), tačiau kai kuriems pacientams visiškas atsistatymas gali užtrukti žymiai ilgiau. Šiuo laikotarpiu pradėjus gydyti kitais vaistiniais preparatais kartu pasireikš ir fingolimodo poveikis. Netrukus po Fingolimod Teva vartojimo nutraukimo pradėjus skirti imunosupresantų, gali pasireikšti adityvus poveikis imuninei sistemai, todėl reikia laikytis atsargumo priemonių.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Taip pat reikia laikytis atsargumo priemonių pacientams, kuriems nutrauktas gydymas fingolimodu, dėl ligos atsinaujinimo pavojaus (žr. anksčiau „Ligos suaktyvėjimas (atsinaujinimas) nutraukus gydymą fingolimodu“). Jei Fingolimod Teva vartojimą būtina nutraukti, šiuo laikotarpiu pacientai turi būti stebimi dėl galimų ligos atsinaujinimo požymių. </w:t>
      </w:r>
    </w:p>
    <w:p w:rsidR="001856F1" w:rsidRDefault="001856F1" w:rsidP="001856F1">
      <w:pPr>
        <w:spacing w:line="240" w:lineRule="auto"/>
        <w:rPr>
          <w:szCs w:val="22"/>
          <w:lang w:val="lt-LT"/>
        </w:rPr>
      </w:pPr>
      <w:r w:rsidRPr="00B27759">
        <w:rPr>
          <w:szCs w:val="22"/>
          <w:lang w:val="lt-LT"/>
        </w:rPr>
        <w:t xml:space="preserve"> </w:t>
      </w:r>
    </w:p>
    <w:p w:rsidR="00687291" w:rsidRPr="00B27759" w:rsidRDefault="00687291" w:rsidP="00687291">
      <w:pPr>
        <w:spacing w:line="240" w:lineRule="auto"/>
        <w:rPr>
          <w:szCs w:val="22"/>
          <w:u w:val="single"/>
          <w:lang w:val="lt-LT"/>
        </w:rPr>
      </w:pPr>
      <w:r w:rsidRPr="00B27759">
        <w:rPr>
          <w:szCs w:val="22"/>
          <w:u w:val="single"/>
          <w:lang w:val="lt-LT"/>
        </w:rPr>
        <w:t xml:space="preserve">Serologinių tyrimų rezultatų netikslumas </w:t>
      </w:r>
    </w:p>
    <w:p w:rsidR="00687291" w:rsidRPr="00B27759" w:rsidRDefault="00687291" w:rsidP="00687291">
      <w:pPr>
        <w:spacing w:line="240" w:lineRule="auto"/>
        <w:rPr>
          <w:szCs w:val="22"/>
          <w:lang w:val="lt-LT"/>
        </w:rPr>
      </w:pPr>
      <w:r w:rsidRPr="00B27759">
        <w:rPr>
          <w:szCs w:val="22"/>
          <w:lang w:val="lt-LT"/>
        </w:rPr>
        <w:t xml:space="preserve">Kadangi fingolimodas mažina limfocitų skaičių kraujyje dėl jų persiskirstymo antriniuose limfoidiniuose organuose, </w:t>
      </w:r>
      <w:r>
        <w:rPr>
          <w:szCs w:val="22"/>
          <w:lang w:val="lt-LT"/>
        </w:rPr>
        <w:t>Fingolimod Teva</w:t>
      </w:r>
      <w:r w:rsidRPr="00B27759">
        <w:rPr>
          <w:szCs w:val="22"/>
          <w:lang w:val="lt-LT"/>
        </w:rPr>
        <w:t xml:space="preserve"> vartojantiems pacientams limfocitų skaičiaus nustatymas periferiniame kraujyje negali būti naudojamas vertinant limfocitų tipų pokyčius. </w:t>
      </w:r>
      <w:r w:rsidRPr="002F7292">
        <w:rPr>
          <w:szCs w:val="22"/>
          <w:lang w:val="lt-LT"/>
        </w:rPr>
        <w:t>Laboratoriniams tyrimams, kai reikia analizuoti cirkuliuojančias mononuklearines ląsteles, atlikti būtina paimti didesnį kraujo kiekį, kadangi yra sumažėjęs cirkuliuojančių limfocitų skaičius.</w:t>
      </w:r>
    </w:p>
    <w:p w:rsidR="00687291" w:rsidRPr="00B27759" w:rsidRDefault="00687291" w:rsidP="001856F1">
      <w:pPr>
        <w:spacing w:line="240" w:lineRule="auto"/>
        <w:rPr>
          <w:szCs w:val="22"/>
          <w:lang w:val="lt-LT"/>
        </w:rPr>
      </w:pPr>
    </w:p>
    <w:p w:rsidR="001856F1" w:rsidRPr="002F7292" w:rsidRDefault="001856F1" w:rsidP="001856F1">
      <w:pPr>
        <w:spacing w:line="240" w:lineRule="auto"/>
        <w:rPr>
          <w:szCs w:val="22"/>
          <w:u w:val="single"/>
          <w:lang w:val="lt-LT"/>
        </w:rPr>
      </w:pPr>
      <w:r w:rsidRPr="002F7292">
        <w:rPr>
          <w:szCs w:val="22"/>
          <w:u w:val="single"/>
          <w:lang w:val="lt-LT"/>
        </w:rPr>
        <w:t xml:space="preserve">Vaikų populiacija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Saugumo savybių pobūdis vaikams yra panašus į nustatytąjį suaugusiesiems, todėl suaugusiems nurodyti įspėjimai ir atsargumo priemonės taip pat taikomi vaikams.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Skiriant </w:t>
      </w:r>
      <w:r w:rsidR="0001078B" w:rsidRPr="00B27759">
        <w:rPr>
          <w:szCs w:val="22"/>
          <w:lang w:val="lt-LT"/>
        </w:rPr>
        <w:t>f</w:t>
      </w:r>
      <w:r w:rsidRPr="00B27759">
        <w:rPr>
          <w:szCs w:val="22"/>
          <w:lang w:val="lt-LT"/>
        </w:rPr>
        <w:t>ingolimod</w:t>
      </w:r>
      <w:r w:rsidR="0001078B" w:rsidRPr="00B27759">
        <w:rPr>
          <w:szCs w:val="22"/>
          <w:lang w:val="lt-LT"/>
        </w:rPr>
        <w:t>o</w:t>
      </w:r>
      <w:r w:rsidRPr="00B27759">
        <w:rPr>
          <w:szCs w:val="22"/>
          <w:lang w:val="lt-LT"/>
        </w:rPr>
        <w:t xml:space="preserve"> vaikams ypatingai svarbu atsižvelgti į toliau nurodytus įspėjimus: </w:t>
      </w:r>
    </w:p>
    <w:p w:rsidR="001856F1" w:rsidRPr="00B27759" w:rsidRDefault="001856F1" w:rsidP="001856F1">
      <w:pPr>
        <w:numPr>
          <w:ilvl w:val="0"/>
          <w:numId w:val="6"/>
        </w:numPr>
        <w:spacing w:line="240" w:lineRule="auto"/>
        <w:ind w:left="567" w:hanging="567"/>
        <w:rPr>
          <w:szCs w:val="22"/>
          <w:lang w:val="lt-LT"/>
        </w:rPr>
      </w:pPr>
      <w:r w:rsidRPr="00B27759">
        <w:rPr>
          <w:szCs w:val="22"/>
          <w:lang w:val="lt-LT"/>
        </w:rPr>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rsidR="001856F1" w:rsidRPr="00B27759" w:rsidRDefault="001856F1" w:rsidP="001856F1">
      <w:pPr>
        <w:numPr>
          <w:ilvl w:val="0"/>
          <w:numId w:val="6"/>
        </w:numPr>
        <w:spacing w:line="240" w:lineRule="auto"/>
        <w:ind w:left="567" w:hanging="567"/>
        <w:rPr>
          <w:szCs w:val="22"/>
          <w:lang w:val="lt-LT"/>
        </w:rPr>
      </w:pPr>
      <w:r w:rsidRPr="00B27759">
        <w:rPr>
          <w:szCs w:val="22"/>
          <w:lang w:val="lt-LT"/>
        </w:rPr>
        <w:t>kont</w:t>
      </w:r>
      <w:r w:rsidR="00630ACA" w:rsidRPr="00B27759">
        <w:rPr>
          <w:szCs w:val="22"/>
          <w:lang w:val="lt-LT"/>
        </w:rPr>
        <w:t xml:space="preserve">roliuojamojo vaikų tyrimo D2311 </w:t>
      </w:r>
      <w:r w:rsidRPr="00B27759">
        <w:rPr>
          <w:szCs w:val="22"/>
          <w:lang w:val="lt-LT"/>
        </w:rPr>
        <w:t xml:space="preserve">metu nustatyta traukulių, nerimo, prislėgtos nuotaikos ir depresijos atvejų, kurių pasireiškimo dažnis fingolimodo vartojusiems pacientams buvo didesnis nei vartojusiesiems interferono beta-1a. Šiam pacientų pogrupiui reikia laikytis atsargumo priemonių (žr. 4.8 skyriaus poskyrį „Vaikų populiacija“); </w:t>
      </w:r>
    </w:p>
    <w:p w:rsidR="001856F1" w:rsidRPr="00B27759" w:rsidRDefault="0001078B" w:rsidP="001856F1">
      <w:pPr>
        <w:numPr>
          <w:ilvl w:val="0"/>
          <w:numId w:val="6"/>
        </w:numPr>
        <w:spacing w:line="240" w:lineRule="auto"/>
        <w:ind w:left="567" w:hanging="567"/>
        <w:rPr>
          <w:szCs w:val="22"/>
          <w:lang w:val="lt-LT"/>
        </w:rPr>
      </w:pPr>
      <w:r w:rsidRPr="00B27759">
        <w:rPr>
          <w:szCs w:val="22"/>
          <w:lang w:val="lt-LT"/>
        </w:rPr>
        <w:t>f</w:t>
      </w:r>
      <w:r w:rsidR="001856F1" w:rsidRPr="00B27759">
        <w:rPr>
          <w:szCs w:val="22"/>
          <w:lang w:val="lt-LT"/>
        </w:rPr>
        <w:t>ingolimod</w:t>
      </w:r>
      <w:r w:rsidRPr="00B27759">
        <w:rPr>
          <w:szCs w:val="22"/>
          <w:lang w:val="lt-LT"/>
        </w:rPr>
        <w:t>o</w:t>
      </w:r>
      <w:r w:rsidR="001856F1" w:rsidRPr="00B27759">
        <w:rPr>
          <w:szCs w:val="22"/>
          <w:lang w:val="lt-LT"/>
        </w:rPr>
        <w:t xml:space="preserve"> vartojusiems vaikams pastebėta izoliuotai nedaug padidėjusio bilirubino kiekio atvejų; </w:t>
      </w:r>
    </w:p>
    <w:p w:rsidR="001856F1" w:rsidRPr="00B27759" w:rsidRDefault="001856F1" w:rsidP="001856F1">
      <w:pPr>
        <w:numPr>
          <w:ilvl w:val="0"/>
          <w:numId w:val="6"/>
        </w:numPr>
        <w:spacing w:line="240" w:lineRule="auto"/>
        <w:ind w:left="567" w:hanging="567"/>
        <w:rPr>
          <w:szCs w:val="22"/>
          <w:lang w:val="lt-LT"/>
        </w:rPr>
      </w:pPr>
      <w:r w:rsidRPr="00B27759">
        <w:rPr>
          <w:szCs w:val="22"/>
          <w:lang w:val="lt-LT"/>
        </w:rPr>
        <w:t xml:space="preserve">rekomenduojama, kad prieš paskiriant gydymą Fingolimod Teva vaikams būtų užbaigtas visas imunizacijos planas pagal galiojančias imunizacijos gaires (žr. anksčiau poskyrį „Infekcijos“); </w:t>
      </w:r>
    </w:p>
    <w:p w:rsidR="001856F1" w:rsidRPr="00B27759" w:rsidRDefault="001856F1" w:rsidP="001856F1">
      <w:pPr>
        <w:numPr>
          <w:ilvl w:val="0"/>
          <w:numId w:val="6"/>
        </w:numPr>
        <w:spacing w:line="240" w:lineRule="auto"/>
        <w:ind w:left="567" w:hanging="567"/>
        <w:rPr>
          <w:szCs w:val="22"/>
          <w:lang w:val="lt-LT"/>
        </w:rPr>
      </w:pPr>
      <w:r w:rsidRPr="00B27759">
        <w:rPr>
          <w:szCs w:val="22"/>
          <w:lang w:val="lt-LT"/>
        </w:rPr>
        <w:t xml:space="preserve">turima labai nedaug duomenų apie vaistinio preparato poveikį 10-12 metų vaikams, sveriantiesiems mažiau kaip 40 kg arba tiems, kurių lytinio brendimo stadija pagal Tanner yra &lt; 2 (žr. 4.8 ir 5.1 skyrius). Šių pogrupių pacientams reikia laikytis atsargumo priemonių, kadangi turima labai nedaug klinikinio tyrimo duomenų; </w:t>
      </w:r>
    </w:p>
    <w:p w:rsidR="0001078B" w:rsidRPr="00B27759" w:rsidRDefault="001856F1" w:rsidP="0001078B">
      <w:pPr>
        <w:numPr>
          <w:ilvl w:val="0"/>
          <w:numId w:val="6"/>
        </w:numPr>
        <w:spacing w:line="240" w:lineRule="auto"/>
        <w:ind w:left="567" w:hanging="567"/>
        <w:rPr>
          <w:szCs w:val="22"/>
          <w:lang w:val="lt-LT"/>
        </w:rPr>
      </w:pPr>
      <w:r w:rsidRPr="00B27759">
        <w:rPr>
          <w:szCs w:val="22"/>
          <w:lang w:val="lt-LT"/>
        </w:rPr>
        <w:t>neturima ilgalaikio vartojimo saugumo duomenų vaikų populiacijai.</w:t>
      </w:r>
    </w:p>
    <w:p w:rsidR="0001078B" w:rsidRPr="00B27759" w:rsidRDefault="0001078B" w:rsidP="0001078B">
      <w:pPr>
        <w:spacing w:line="240" w:lineRule="auto"/>
        <w:rPr>
          <w:szCs w:val="22"/>
          <w:lang w:val="lt-LT"/>
        </w:rPr>
      </w:pPr>
    </w:p>
    <w:p w:rsidR="0001078B" w:rsidRPr="00B27759" w:rsidRDefault="0001078B" w:rsidP="0001078B">
      <w:pPr>
        <w:spacing w:line="240" w:lineRule="auto"/>
        <w:rPr>
          <w:szCs w:val="22"/>
          <w:u w:val="single"/>
          <w:lang w:val="lt-LT"/>
        </w:rPr>
      </w:pPr>
      <w:r w:rsidRPr="00B27759">
        <w:rPr>
          <w:szCs w:val="22"/>
          <w:u w:val="single"/>
          <w:lang w:val="lt-LT"/>
        </w:rPr>
        <w:t>Natris</w:t>
      </w:r>
    </w:p>
    <w:p w:rsidR="00655233" w:rsidRPr="00B27759" w:rsidRDefault="00655233" w:rsidP="009606ED">
      <w:pPr>
        <w:rPr>
          <w:snapToGrid/>
          <w:szCs w:val="22"/>
          <w:lang w:val="lt-LT"/>
        </w:rPr>
      </w:pPr>
      <w:r w:rsidRPr="00B27759">
        <w:rPr>
          <w:szCs w:val="22"/>
          <w:lang w:val="lt-LT"/>
        </w:rPr>
        <w:t xml:space="preserve">Šio vaistinio preparato </w:t>
      </w:r>
      <w:r w:rsidR="009606ED">
        <w:rPr>
          <w:szCs w:val="22"/>
          <w:lang w:val="lt-LT"/>
        </w:rPr>
        <w:t>kapsulėje</w:t>
      </w:r>
      <w:r w:rsidRPr="00B27759">
        <w:rPr>
          <w:szCs w:val="22"/>
          <w:lang w:val="lt-LT"/>
        </w:rPr>
        <w:t xml:space="preserve"> yra mažiau kaip 1 mmol (23 mg) natrio, t.</w:t>
      </w:r>
      <w:r w:rsidR="004110E0">
        <w:rPr>
          <w:szCs w:val="22"/>
          <w:lang w:val="lt-LT"/>
        </w:rPr>
        <w:t xml:space="preserve"> </w:t>
      </w:r>
      <w:r w:rsidRPr="00B27759">
        <w:rPr>
          <w:szCs w:val="22"/>
          <w:lang w:val="lt-LT"/>
        </w:rPr>
        <w:t xml:space="preserve">y. jis beveik neturi reikšmės. </w:t>
      </w:r>
    </w:p>
    <w:p w:rsidR="001856F1" w:rsidRPr="00B27759" w:rsidRDefault="001856F1" w:rsidP="001856F1">
      <w:pPr>
        <w:spacing w:line="240" w:lineRule="auto"/>
        <w:ind w:left="567"/>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4.5</w:t>
      </w:r>
      <w:r w:rsidRPr="00B27759">
        <w:rPr>
          <w:rFonts w:ascii="Times New Roman" w:hAnsi="Times New Roman"/>
          <w:sz w:val="22"/>
          <w:szCs w:val="22"/>
          <w:lang w:val="lt-LT"/>
        </w:rPr>
        <w:tab/>
        <w:t>Sąveika su kitais vaistiniais preparatais ir kitokia sąveika</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Priešvėžiniai, imuninę sistemą moduliuojantys ar ją slopinantys vaistiniai preparatai </w:t>
      </w:r>
    </w:p>
    <w:p w:rsidR="001856F1" w:rsidRPr="00B27759" w:rsidRDefault="001856F1" w:rsidP="001856F1">
      <w:pPr>
        <w:spacing w:line="240" w:lineRule="auto"/>
        <w:rPr>
          <w:szCs w:val="22"/>
          <w:lang w:val="lt-LT"/>
        </w:rPr>
      </w:pPr>
      <w:r w:rsidRPr="00B27759">
        <w:rPr>
          <w:szCs w:val="22"/>
          <w:lang w:val="lt-LT"/>
        </w:rPr>
        <w:t xml:space="preserve">Kartu vartoti priešvėžinių, imuninę sistemą moduliuojančių ar ją slopinančių vaistinių preparatų negalima dėl adityvaus poveikio imuninei sistemai rizikos (žr. 4.3 ir 4.4 skyrius).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Taip pat reikia laikytis atsargumo priemonių pacientams keičiant ankstesnį gydymą vaistiniais preparatais, turinčiais ilgą poveikį imuninei sistemai, pavyzdžiui, natalizumabu, teriflunomidu ar </w:t>
      </w:r>
      <w:r w:rsidRPr="00B27759">
        <w:rPr>
          <w:szCs w:val="22"/>
          <w:lang w:val="lt-LT"/>
        </w:rPr>
        <w:lastRenderedPageBreak/>
        <w:t xml:space="preserve">mitoksantronu (žr. 4.4 skyrių). Klinikinių IS sergančių pacientų tyrimų duomenimis, kartu skiriamas ligos atkryčių gydymas trumpu kortikosteroidų kursu su padidėjusia infekcijų pasireiškimo rizika nebuvo susijęs.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Vakcinavimas </w:t>
      </w:r>
    </w:p>
    <w:p w:rsidR="001856F1" w:rsidRPr="00B27759" w:rsidRDefault="001856F1" w:rsidP="001856F1">
      <w:pPr>
        <w:spacing w:line="240" w:lineRule="auto"/>
        <w:rPr>
          <w:szCs w:val="22"/>
          <w:lang w:val="lt-LT"/>
        </w:rPr>
      </w:pPr>
      <w:r w:rsidRPr="00B27759">
        <w:rPr>
          <w:szCs w:val="22"/>
          <w:lang w:val="lt-LT"/>
        </w:rPr>
        <w:t xml:space="preserve">Fingolimod Teva vartojimo metu ir dar iki dvejų mėnesių po to vakcinavimas gali būti mažiau veiksmingas. Gyvos susilpnintos vakcinos gali kelti infekcijų riziką, todėl reikėtų vengti jų vartoti (žr. 4.4 ir 4.8 skyrius).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Bradikardiją sukeliančios medžiagos </w:t>
      </w:r>
    </w:p>
    <w:p w:rsidR="001856F1" w:rsidRPr="00B27759" w:rsidRDefault="001856F1" w:rsidP="001856F1">
      <w:pPr>
        <w:spacing w:line="240" w:lineRule="auto"/>
        <w:rPr>
          <w:szCs w:val="22"/>
          <w:lang w:val="lt-LT"/>
        </w:rPr>
      </w:pPr>
      <w:r w:rsidRPr="00B27759">
        <w:rPr>
          <w:szCs w:val="22"/>
          <w:lang w:val="lt-LT"/>
        </w:rPr>
        <w:t>Fingolimodo poveikis buvo tirtas jo vartojant kartu su atenololiu ir diltiazemu. Kai vaistinių preparatų sąveikos tyrimo su sveikais savanoriais metu fingolimodo buvo vartojama kartu su atenololiu, fingolimodo vartojimo pradžioje</w:t>
      </w:r>
      <w:r w:rsidR="00F84DE6" w:rsidRPr="00B27759">
        <w:rPr>
          <w:szCs w:val="22"/>
          <w:lang w:val="lt-LT"/>
        </w:rPr>
        <w:t xml:space="preserve"> papildomai 15 </w:t>
      </w:r>
      <w:r w:rsidRPr="00B27759">
        <w:rPr>
          <w:szCs w:val="22"/>
          <w:lang w:val="lt-LT"/>
        </w:rPr>
        <w:t xml:space="preserve">% sumažėjo širdies susitraukimų dažnis, vaistinio preparato vartojant kartu su diltiazemu tokio poveikio nepastebėta. Dėl galimo adityvaus poveikio širdies susitraukimų dažniui Fingolimod Teva negalima pradėti gydyti pacientų, kurie vartoja beta adrenoblokatorių ar kitų širdies susitraukimų dažnį galinčių mažinti vaistinių preparatų, pvz., Ia ir III klasių antiaritminių vaistinių preparatų, kalcio kanalo blokatorių (pvz., verapamilio ar diltiazemo), ivabradino, digoksino, cholinesterazę slopinančių vaistinių preparatų ar pilokarpino (žr. 4.4 ir 4.8 skyrius). Jeigu svarstoma šiems pacientams pradėti gydymą Fingolimod Teva, reikia pasikonsultuoti su kardiologu dėl gydymo keitimo į širdies susitraukimų dažnio nemažinančius vaistinius preparatus arba dėl tinkamų būklės stebėjimo priemonių pradedant vartoti Fingolimod Teva. Jeigu širdies susitraukimų dažnį mažinančių vaistinių preparatų vartojimo nutraukti negalima, pacientų būklę rekomenduojama stebėti mažiausiai per naktį.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u w:val="single"/>
          <w:lang w:val="lt-LT"/>
        </w:rPr>
      </w:pPr>
      <w:r w:rsidRPr="00B27759">
        <w:rPr>
          <w:szCs w:val="22"/>
          <w:u w:val="single"/>
          <w:lang w:val="lt-LT"/>
        </w:rPr>
        <w:t xml:space="preserve">Farmakokinetinė kitų vartojamų medžiagų įtaka fingolimodo poveikiui </w:t>
      </w:r>
    </w:p>
    <w:p w:rsidR="001856F1" w:rsidRPr="00B27759" w:rsidRDefault="001856F1" w:rsidP="001856F1">
      <w:pPr>
        <w:spacing w:line="240" w:lineRule="auto"/>
        <w:rPr>
          <w:szCs w:val="22"/>
          <w:lang w:val="lt-LT"/>
        </w:rPr>
      </w:pPr>
      <w:r w:rsidRPr="00B27759">
        <w:rPr>
          <w:szCs w:val="22"/>
          <w:lang w:val="lt-LT"/>
        </w:rPr>
        <w:t xml:space="preserve">Fingolimodas daugiausia metabolizuojamas veikiant CYP4F2 izofermentui. Kiti fermentai, pavyzdžiui, CYP3A4, taip pat gali prisidėti prie vaistinio preparato metabolizmo, ypatingai tais atvejais, kai stipriai sužadinamas CYP3A4. Nesitikima, kad stiprūs transporto baltymų inhibitoriai įtakotų fingolimodo metabolizmą. Fingolimodo skiriant kartu su ketokonazolu, dėl pasireiškiančio CYP4F2 izofermento slopinimo 1,7 karto padidėjo fingolimodo ir fingolimodo fosfato ekspozicija (AUC). Vaistinio preparato reikia atsargiai skirti kartu su medžiagomis, kurios gali slopinti CYP3A4 fermentą (proteazių inhibitoriais, azolo grupės priešgrybeliniais vaistiniais preparatais, kai kuriais makrolidų grupės antibiotikais, pavyzdžiui, klaritromicinu ar telitromicinu).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Vartojant po 600 mg du kartus per parą karbamazepino dozę esant nusistovėjusiai pusiausvyrinei koncentracijai ir kartu paskyrus vieną 2 mg fingolimodo dozę, pastarojo vaistinio preparato bei jo metabolitų AUC sumažėjo maždaug 40 %. Skiriant kartu kitų stiprių CYP3A4 fermento induktorių, pavyzdžiui, rifampicino, fenobarbitalio, fenitoino, efavirenzo ir jonažolės preparatų, fingolimodo ir jo metabolitų AUC gali sumažėti mažiausiai tokiu pat santykiu. Kadangi tai gali sumažinti fingolimodo veiksmingumą, minėtų vaistinių preparatų kartu reikia skirti atsargiai. Tačiau skirti kartu su jonažol</w:t>
      </w:r>
      <w:r w:rsidR="00F84DE6" w:rsidRPr="00B27759">
        <w:rPr>
          <w:szCs w:val="22"/>
          <w:lang w:val="lt-LT"/>
        </w:rPr>
        <w:t>ių</w:t>
      </w:r>
      <w:r w:rsidRPr="00B27759">
        <w:rPr>
          <w:szCs w:val="22"/>
          <w:lang w:val="lt-LT"/>
        </w:rPr>
        <w:t xml:space="preserve"> preparatais nerekomenduojama (žr. 4.4 skyrių).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Farmakokinetinė fingolimodo įtaka kitų medžiagų poveikiui </w:t>
      </w:r>
    </w:p>
    <w:p w:rsidR="001856F1" w:rsidRPr="00B27759" w:rsidRDefault="001856F1" w:rsidP="001856F1">
      <w:pPr>
        <w:spacing w:line="240" w:lineRule="auto"/>
        <w:rPr>
          <w:szCs w:val="22"/>
          <w:lang w:val="lt-LT"/>
        </w:rPr>
      </w:pPr>
      <w:r w:rsidRPr="00B27759">
        <w:rPr>
          <w:szCs w:val="22"/>
          <w:lang w:val="lt-LT"/>
        </w:rPr>
        <w:t xml:space="preserve">Mažai tikėtina, kad fingolimodas sąveikautų su medžiagomis, kurios daugiausia metabolizuojamos CYP450 fermentų arba kurios yra svarbiausių transporto baltymų substratai.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Fingolimodo vartojimas kartu su ciklosporinu nesukėlė kokių nors ciklosporino ar fingolimodo ekspozicijos pokyčių. Todėl nesitikima, kad fingolimodas keistų vaistinių preparatų, kurie yra CYP3A4 substratai, farmakokinetiką.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Fingolimodo vartojimas kartu su geriamaisiais kontraceptikais (etinilestradioliu ir levonorgestreliu) kokių nors geriamųjų kontraceptikų ekspozicijos pokyčių nesukėlė. Sąveikos tyrimų su geriamaisiais kontraceptikais, kurių sudėtyje yra kitų progestagenų, neatlikta, tačiau fingolimodo poveikio šių kontraceptikų ekspozicijai nesitikima. </w:t>
      </w:r>
    </w:p>
    <w:p w:rsidR="001856F1" w:rsidRPr="00B27759" w:rsidRDefault="001856F1" w:rsidP="001856F1">
      <w:pPr>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4.6</w:t>
      </w:r>
      <w:r w:rsidRPr="00B27759">
        <w:rPr>
          <w:rFonts w:ascii="Times New Roman" w:hAnsi="Times New Roman"/>
          <w:sz w:val="22"/>
          <w:szCs w:val="22"/>
          <w:lang w:val="lt-LT"/>
        </w:rPr>
        <w:tab/>
        <w:t>Vaisingumas, nėštumo ir žindymo laikotarpis</w:t>
      </w:r>
    </w:p>
    <w:p w:rsidR="001856F1" w:rsidRPr="00B27759" w:rsidRDefault="001856F1" w:rsidP="001856F1">
      <w:pPr>
        <w:spacing w:line="240" w:lineRule="auto"/>
        <w:rPr>
          <w:color w:val="0D0D0D"/>
          <w:szCs w:val="22"/>
          <w:u w:val="single"/>
          <w:lang w:val="lt-LT"/>
        </w:rPr>
      </w:pPr>
    </w:p>
    <w:p w:rsidR="001856F1" w:rsidRPr="00B27759" w:rsidRDefault="001856F1" w:rsidP="001856F1">
      <w:pPr>
        <w:spacing w:line="240" w:lineRule="auto"/>
        <w:rPr>
          <w:noProof/>
          <w:color w:val="0D0D0D"/>
          <w:szCs w:val="22"/>
          <w:u w:val="single"/>
          <w:lang w:val="lt-LT"/>
        </w:rPr>
      </w:pPr>
      <w:r w:rsidRPr="00B27759">
        <w:rPr>
          <w:noProof/>
          <w:color w:val="0D0D0D"/>
          <w:szCs w:val="22"/>
          <w:u w:val="single"/>
          <w:lang w:val="lt-LT"/>
        </w:rPr>
        <w:lastRenderedPageBreak/>
        <w:t xml:space="preserve">Vaisingos moterys / moterų kontracepcija </w:t>
      </w:r>
    </w:p>
    <w:p w:rsidR="001856F1" w:rsidRPr="00B27759" w:rsidRDefault="001856F1" w:rsidP="001856F1">
      <w:pPr>
        <w:spacing w:line="240" w:lineRule="auto"/>
        <w:rPr>
          <w:noProof/>
          <w:color w:val="0D0D0D"/>
          <w:szCs w:val="22"/>
          <w:u w:val="single"/>
          <w:lang w:val="lt-LT"/>
        </w:rPr>
      </w:pPr>
      <w:r w:rsidRPr="00B27759">
        <w:rPr>
          <w:noProof/>
          <w:color w:val="0D0D0D"/>
          <w:szCs w:val="22"/>
          <w:u w:val="single"/>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Fingolimodo negalima vartoti vaisingoms moterims, kurios nevartoja veiksmingos kontracepcijos priemonių (žr. 4.3 skyrių). Todėl prieš skiriant gydymą vaisingoms moterims, būtina įsitikinti, kad joms atlikto nėštumo testo rezultatas yra neigiamas, ir joms reikia paaiškinti dėl rimtos rizikos vaisiui. Vaisingos moterys privalo </w:t>
      </w:r>
      <w:r w:rsidR="00A85980">
        <w:rPr>
          <w:noProof/>
          <w:color w:val="0D0D0D"/>
          <w:szCs w:val="22"/>
          <w:lang w:val="lt-LT"/>
        </w:rPr>
        <w:t>naudoti</w:t>
      </w:r>
      <w:r w:rsidR="00A85980" w:rsidRPr="00B27759">
        <w:rPr>
          <w:noProof/>
          <w:color w:val="0D0D0D"/>
          <w:szCs w:val="22"/>
          <w:lang w:val="lt-LT"/>
        </w:rPr>
        <w:t xml:space="preserve"> </w:t>
      </w:r>
      <w:r w:rsidRPr="00B27759">
        <w:rPr>
          <w:noProof/>
          <w:color w:val="0D0D0D"/>
          <w:szCs w:val="22"/>
          <w:lang w:val="lt-LT"/>
        </w:rPr>
        <w:t xml:space="preserve">veiksmingą kontracepcijos metodą fingolimodo gydymo  metu ir paskui bent 2 mėnesius po gydymo, kadangi nutraukus fingolimodo vartojimą, prireikiamaždaug 2 mėnesių po gydymo pabaigos, kol jis pašalinamas iš organizmo (žr. 4.4 skyrių). </w:t>
      </w:r>
    </w:p>
    <w:p w:rsidR="00F84DE6" w:rsidRPr="00B27759" w:rsidRDefault="00F84DE6" w:rsidP="001856F1">
      <w:pPr>
        <w:spacing w:line="240" w:lineRule="auto"/>
        <w:rPr>
          <w:noProof/>
          <w:color w:val="0D0D0D"/>
          <w:szCs w:val="22"/>
          <w:lang w:val="lt-LT"/>
        </w:rPr>
      </w:pP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Specialiosios priemonės taip pat įtrauktos į Gydytojo informacinę pakuotę. Šias priemones būtina įgyvendinti prieš paskiriant fingolimodo pacientėms moterims ir jų gydymo metu.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Nutraukus gydymą fingolimodu dėl nėštumo planavimo, reikia įvertinti ligos aktyvumo atsinaujinimo galimybę (žr. 4.4 skyrių). </w:t>
      </w:r>
    </w:p>
    <w:p w:rsidR="001856F1" w:rsidRPr="00B27759" w:rsidRDefault="001856F1" w:rsidP="001856F1">
      <w:pPr>
        <w:spacing w:line="240" w:lineRule="auto"/>
        <w:rPr>
          <w:noProof/>
          <w:color w:val="0D0D0D"/>
          <w:szCs w:val="22"/>
          <w:u w:val="single"/>
          <w:lang w:val="lt-LT"/>
        </w:rPr>
      </w:pPr>
      <w:r w:rsidRPr="00B27759">
        <w:rPr>
          <w:noProof/>
          <w:color w:val="0D0D0D"/>
          <w:szCs w:val="22"/>
          <w:u w:val="single"/>
          <w:lang w:val="lt-LT"/>
        </w:rPr>
        <w:t xml:space="preserve"> </w:t>
      </w:r>
    </w:p>
    <w:p w:rsidR="001856F1" w:rsidRPr="00B27759" w:rsidRDefault="001856F1" w:rsidP="001856F1">
      <w:pPr>
        <w:spacing w:line="240" w:lineRule="auto"/>
        <w:rPr>
          <w:noProof/>
          <w:color w:val="0D0D0D"/>
          <w:szCs w:val="22"/>
          <w:u w:val="single"/>
          <w:lang w:val="lt-LT"/>
        </w:rPr>
      </w:pPr>
      <w:r w:rsidRPr="00B27759">
        <w:rPr>
          <w:noProof/>
          <w:color w:val="0D0D0D"/>
          <w:szCs w:val="22"/>
          <w:u w:val="single"/>
          <w:lang w:val="lt-LT"/>
        </w:rPr>
        <w:t xml:space="preserve">Nėštumas </w:t>
      </w:r>
    </w:p>
    <w:p w:rsidR="001856F1" w:rsidRPr="00B27759" w:rsidRDefault="001856F1" w:rsidP="001856F1">
      <w:pPr>
        <w:spacing w:line="240" w:lineRule="auto"/>
        <w:rPr>
          <w:noProof/>
          <w:color w:val="0D0D0D"/>
          <w:szCs w:val="22"/>
          <w:lang w:val="lt-LT"/>
        </w:rPr>
      </w:pPr>
      <w:r w:rsidRPr="00B27759">
        <w:rPr>
          <w:noProof/>
          <w:color w:val="0D0D0D"/>
          <w:szCs w:val="22"/>
          <w:u w:val="single"/>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Remiantis patyrimu su žmonėmis po vaistinio preparato pateikimo į rinką, manoma,, kad fingolimodas, vartojamas nėštumo metu sukelia sunkių apsigimimų rizikos padidėjimą 2 kartus, lyginant su dažniu bendrojoje populiacijoje (kuris EUROCAT duomenimis yra 2 - 3 %;). </w:t>
      </w:r>
    </w:p>
    <w:p w:rsidR="001856F1" w:rsidRPr="00B27759" w:rsidRDefault="001856F1" w:rsidP="001856F1">
      <w:pPr>
        <w:spacing w:line="240" w:lineRule="auto"/>
        <w:rPr>
          <w:noProof/>
          <w:color w:val="0D0D0D"/>
          <w:szCs w:val="22"/>
          <w:u w:val="single"/>
          <w:lang w:val="lt-LT"/>
        </w:rPr>
      </w:pPr>
      <w:r w:rsidRPr="00B27759">
        <w:rPr>
          <w:noProof/>
          <w:color w:val="0D0D0D"/>
          <w:szCs w:val="22"/>
          <w:u w:val="single"/>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Dažniausiai nustatyti toliau nurodyti sunkūs apsigimimai:</w:t>
      </w:r>
    </w:p>
    <w:p w:rsidR="001856F1" w:rsidRPr="00B27759" w:rsidRDefault="001856F1" w:rsidP="001856F1">
      <w:pPr>
        <w:numPr>
          <w:ilvl w:val="0"/>
          <w:numId w:val="7"/>
        </w:numPr>
        <w:spacing w:line="240" w:lineRule="auto"/>
        <w:ind w:left="567" w:hanging="567"/>
        <w:rPr>
          <w:noProof/>
          <w:color w:val="0D0D0D"/>
          <w:szCs w:val="22"/>
          <w:lang w:val="lt-LT"/>
        </w:rPr>
      </w:pPr>
      <w:r w:rsidRPr="00B27759">
        <w:rPr>
          <w:noProof/>
          <w:color w:val="0D0D0D"/>
          <w:szCs w:val="22"/>
          <w:lang w:val="lt-LT"/>
        </w:rPr>
        <w:t xml:space="preserve">įgimta širdies yda, pavyzdžiui, prieširdžių ir skilvelių pertvaros defektai, Falo </w:t>
      </w:r>
      <w:r w:rsidRPr="00B27759">
        <w:rPr>
          <w:i/>
          <w:noProof/>
          <w:color w:val="0D0D0D"/>
          <w:szCs w:val="22"/>
          <w:lang w:val="lt-LT"/>
        </w:rPr>
        <w:t>(Fallot)</w:t>
      </w:r>
      <w:r w:rsidRPr="00B27759">
        <w:rPr>
          <w:noProof/>
          <w:color w:val="0D0D0D"/>
          <w:szCs w:val="22"/>
          <w:lang w:val="lt-LT"/>
        </w:rPr>
        <w:t xml:space="preserve"> tetrada; </w:t>
      </w:r>
    </w:p>
    <w:p w:rsidR="001856F1" w:rsidRPr="00B27759" w:rsidRDefault="001856F1" w:rsidP="001856F1">
      <w:pPr>
        <w:numPr>
          <w:ilvl w:val="0"/>
          <w:numId w:val="7"/>
        </w:numPr>
        <w:spacing w:line="240" w:lineRule="auto"/>
        <w:ind w:left="567" w:hanging="567"/>
        <w:rPr>
          <w:noProof/>
          <w:color w:val="0D0D0D"/>
          <w:szCs w:val="22"/>
          <w:lang w:val="lt-LT"/>
        </w:rPr>
      </w:pPr>
      <w:r w:rsidRPr="00B27759">
        <w:rPr>
          <w:noProof/>
          <w:color w:val="0D0D0D"/>
          <w:szCs w:val="22"/>
          <w:lang w:val="lt-LT"/>
        </w:rPr>
        <w:t xml:space="preserve">inkstų sklaidos defektai; </w:t>
      </w:r>
    </w:p>
    <w:p w:rsidR="001856F1" w:rsidRPr="00B27759" w:rsidRDefault="001856F1" w:rsidP="001856F1">
      <w:pPr>
        <w:numPr>
          <w:ilvl w:val="0"/>
          <w:numId w:val="7"/>
        </w:numPr>
        <w:spacing w:line="240" w:lineRule="auto"/>
        <w:ind w:left="567" w:hanging="567"/>
        <w:rPr>
          <w:noProof/>
          <w:color w:val="0D0D0D"/>
          <w:szCs w:val="22"/>
          <w:lang w:val="lt-LT"/>
        </w:rPr>
      </w:pPr>
      <w:r w:rsidRPr="00B27759">
        <w:rPr>
          <w:noProof/>
          <w:color w:val="0D0D0D"/>
          <w:szCs w:val="22"/>
          <w:lang w:val="lt-LT"/>
        </w:rPr>
        <w:t xml:space="preserve">skeleto raumenų sklaidos defektai. </w:t>
      </w:r>
    </w:p>
    <w:p w:rsidR="001856F1" w:rsidRPr="00B27759" w:rsidRDefault="001856F1" w:rsidP="001856F1">
      <w:pPr>
        <w:spacing w:line="240" w:lineRule="auto"/>
        <w:ind w:firstLine="60"/>
        <w:rPr>
          <w:noProof/>
          <w:color w:val="0D0D0D"/>
          <w:szCs w:val="22"/>
          <w:lang w:val="lt-LT"/>
        </w:rPr>
      </w:pP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Duomenų apie fingolimodo poveikį gimdymui ir išstūmimui nėra.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Su gyvūnais atlikti tyrimai parodė toksinį poveikį reprodukcijai, įskaitant vaisiais žūtį ir organų defektų susidarymą, ypatingai išlikusį arterinį kamieną ir skilvelių pertvaros defektą (žr. 5.3 skyrių). Be to, nustatyta, kad fingolimodo veikiamas receptorius (sfingozino 1 fosfato receptorius) svarbus kraujagyslių formavimuisi embriogenezės metu.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 </w:t>
      </w:r>
    </w:p>
    <w:p w:rsidR="001856F1" w:rsidRPr="00B27759" w:rsidRDefault="001856F1" w:rsidP="001856F1">
      <w:pPr>
        <w:spacing w:line="240" w:lineRule="auto"/>
        <w:rPr>
          <w:noProof/>
          <w:color w:val="0D0D0D"/>
          <w:szCs w:val="22"/>
          <w:lang w:val="lt-LT"/>
        </w:rPr>
      </w:pPr>
      <w:r w:rsidRPr="00B27759">
        <w:rPr>
          <w:noProof/>
          <w:color w:val="0D0D0D"/>
          <w:szCs w:val="22"/>
          <w:lang w:val="lt-LT"/>
        </w:rPr>
        <w:t xml:space="preserve">Taigi, fingolimodo draudžiama vartoti nėštumo metu (žr. 4.3 skyrių). Fingolimodo vartojimą reikia nutraukti likus 2 mėnesiams iki nėštumo planavimo (žr. 4.4 skyrių). Jeigu moteris pastoja gydymosi metu, fingolimodo vartojimą būtina nutraukti. Moterį reikia informuoti apie su gydymu susijusio žalingo poveikio vaisiui riziką, taip pat reikia atlikti tyrimus ultragarsu. </w:t>
      </w:r>
    </w:p>
    <w:p w:rsidR="001856F1" w:rsidRPr="00B27759" w:rsidRDefault="001856F1" w:rsidP="001856F1">
      <w:pPr>
        <w:spacing w:line="240" w:lineRule="auto"/>
        <w:rPr>
          <w:noProof/>
          <w:color w:val="0D0D0D"/>
          <w:szCs w:val="22"/>
          <w:lang w:val="lt-LT"/>
        </w:rPr>
      </w:pPr>
    </w:p>
    <w:p w:rsidR="001856F1" w:rsidRPr="00B27759" w:rsidRDefault="001856F1" w:rsidP="001856F1">
      <w:pPr>
        <w:spacing w:line="240" w:lineRule="auto"/>
        <w:rPr>
          <w:color w:val="0D0D0D"/>
          <w:szCs w:val="22"/>
          <w:u w:val="single"/>
          <w:lang w:val="lt-LT"/>
        </w:rPr>
      </w:pPr>
      <w:r w:rsidRPr="00B27759">
        <w:rPr>
          <w:color w:val="0D0D0D"/>
          <w:szCs w:val="22"/>
          <w:u w:val="single"/>
          <w:lang w:val="lt-LT"/>
        </w:rPr>
        <w:t>Žindymas</w:t>
      </w:r>
    </w:p>
    <w:p w:rsidR="001856F1" w:rsidRPr="00B27759" w:rsidRDefault="001856F1" w:rsidP="001856F1">
      <w:pPr>
        <w:spacing w:line="240" w:lineRule="auto"/>
        <w:rPr>
          <w:noProof/>
          <w:color w:val="0D0D0D"/>
          <w:szCs w:val="22"/>
          <w:u w:val="single"/>
          <w:lang w:val="lt-LT"/>
        </w:rPr>
      </w:pPr>
    </w:p>
    <w:p w:rsidR="001856F1" w:rsidRPr="00B27759" w:rsidRDefault="001856F1" w:rsidP="001856F1">
      <w:pPr>
        <w:spacing w:line="240" w:lineRule="auto"/>
        <w:rPr>
          <w:noProof/>
          <w:color w:val="0D0D0D"/>
          <w:szCs w:val="22"/>
          <w:lang w:val="lt-LT"/>
        </w:rPr>
      </w:pPr>
      <w:r w:rsidRPr="00B27759">
        <w:rPr>
          <w:noProof/>
          <w:color w:val="0D0D0D"/>
          <w:szCs w:val="22"/>
          <w:lang w:val="lt-LT"/>
        </w:rPr>
        <w:t>Fingolimodo išsiskiria į gyvūnų, kuriems vaistinio preparato skiriama žindymo metu, pieną (žr. 5.3 skyrių). Kadangi gali pasireikšti sunkios nepageidaujamos fingolimodo reakcijos žindomiems kūdikiams, Fingolimod Teva vartojančios moterys neturėtų žindyti kūdikio.</w:t>
      </w:r>
    </w:p>
    <w:p w:rsidR="001856F1" w:rsidRPr="00B27759" w:rsidRDefault="001856F1" w:rsidP="001856F1">
      <w:pPr>
        <w:spacing w:line="240" w:lineRule="auto"/>
        <w:rPr>
          <w:noProof/>
          <w:color w:val="0D0D0D"/>
          <w:szCs w:val="22"/>
          <w:lang w:val="lt-LT"/>
        </w:rPr>
      </w:pPr>
    </w:p>
    <w:p w:rsidR="001856F1" w:rsidRPr="00B27759" w:rsidRDefault="001856F1" w:rsidP="001856F1">
      <w:pPr>
        <w:spacing w:line="240" w:lineRule="auto"/>
        <w:rPr>
          <w:noProof/>
          <w:color w:val="0D0D0D"/>
          <w:szCs w:val="22"/>
          <w:u w:val="single"/>
          <w:lang w:val="lt-LT"/>
        </w:rPr>
      </w:pPr>
      <w:r w:rsidRPr="00B27759">
        <w:rPr>
          <w:color w:val="0D0D0D"/>
          <w:szCs w:val="22"/>
          <w:u w:val="single"/>
          <w:lang w:val="lt-LT"/>
        </w:rPr>
        <w:t>Vaisingumas</w:t>
      </w:r>
    </w:p>
    <w:p w:rsidR="001856F1" w:rsidRPr="00B27759" w:rsidRDefault="001856F1" w:rsidP="001856F1">
      <w:pPr>
        <w:spacing w:line="240" w:lineRule="auto"/>
        <w:rPr>
          <w:color w:val="0D0D0D"/>
          <w:szCs w:val="22"/>
          <w:u w:val="single"/>
          <w:lang w:val="lt-LT"/>
        </w:rPr>
      </w:pPr>
    </w:p>
    <w:p w:rsidR="001856F1" w:rsidRPr="00B27759" w:rsidRDefault="001856F1" w:rsidP="001856F1">
      <w:pPr>
        <w:spacing w:line="240" w:lineRule="auto"/>
        <w:rPr>
          <w:color w:val="0D0D0D"/>
          <w:szCs w:val="22"/>
          <w:lang w:val="lt-LT"/>
        </w:rPr>
      </w:pPr>
      <w:r w:rsidRPr="00B27759">
        <w:rPr>
          <w:color w:val="0D0D0D"/>
          <w:szCs w:val="22"/>
          <w:lang w:val="lt-LT"/>
        </w:rPr>
        <w:t>Ikiklinikinių tyrimų duomenys nerodo, kad fingolimodo vartojimas galėtų būti susijęs su didesne sumažėjusio vaisingumo rizika (žr. 5.3 skyrių).</w:t>
      </w:r>
    </w:p>
    <w:p w:rsidR="001856F1" w:rsidRPr="00B27759" w:rsidRDefault="001856F1" w:rsidP="001856F1">
      <w:pPr>
        <w:spacing w:line="240" w:lineRule="auto"/>
        <w:rPr>
          <w:color w:val="0D0D0D"/>
          <w:szCs w:val="22"/>
          <w:u w:val="single"/>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4.7</w:t>
      </w:r>
      <w:r w:rsidRPr="00B27759">
        <w:rPr>
          <w:rFonts w:ascii="Times New Roman" w:hAnsi="Times New Roman"/>
          <w:sz w:val="22"/>
          <w:szCs w:val="22"/>
          <w:lang w:val="lt-LT"/>
        </w:rPr>
        <w:tab/>
        <w:t>Poveikis gebėjimui vairuoti ir valdyti mechanizmus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noProof/>
          <w:szCs w:val="22"/>
          <w:lang w:val="lt-LT"/>
        </w:rPr>
      </w:pPr>
      <w:r w:rsidRPr="00B27759">
        <w:rPr>
          <w:noProof/>
          <w:szCs w:val="22"/>
          <w:lang w:val="lt-LT"/>
        </w:rPr>
        <w:t>Fingolimod</w:t>
      </w:r>
      <w:r w:rsidR="00687291">
        <w:rPr>
          <w:noProof/>
          <w:szCs w:val="22"/>
          <w:lang w:val="lt-LT"/>
        </w:rPr>
        <w:t>as</w:t>
      </w:r>
      <w:r w:rsidRPr="00B27759">
        <w:rPr>
          <w:noProof/>
          <w:szCs w:val="22"/>
          <w:lang w:val="lt-LT"/>
        </w:rPr>
        <w:t xml:space="preserve"> gebėjimo vairuoti ir valdyti mechanizmus neveikia arba veikia nereikšmingai.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Tačiau pradedant </w:t>
      </w:r>
      <w:r w:rsidR="00687291">
        <w:rPr>
          <w:noProof/>
          <w:szCs w:val="22"/>
          <w:lang w:val="lt-LT"/>
        </w:rPr>
        <w:t xml:space="preserve">skirti gydymą </w:t>
      </w:r>
      <w:r w:rsidRPr="00B27759">
        <w:rPr>
          <w:noProof/>
          <w:szCs w:val="22"/>
          <w:lang w:val="lt-LT"/>
        </w:rPr>
        <w:t xml:space="preserve">retkarčiais gali atsirasti svaigulys ar mieguistumas. Pradedant skirti gydymą Fingolimod Teva, pacientų būklę rekomenduojama stebėti 6 valandas (žr. 4.4 skyriuje poskyrį „Bradiaritmija“).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outlineLvl w:val="0"/>
        <w:rPr>
          <w:szCs w:val="22"/>
          <w:lang w:val="lt-LT"/>
        </w:rPr>
      </w:pPr>
      <w:r w:rsidRPr="00B27759">
        <w:rPr>
          <w:b/>
          <w:szCs w:val="22"/>
          <w:lang w:val="lt-LT"/>
        </w:rPr>
        <w:lastRenderedPageBreak/>
        <w:t>4.8</w:t>
      </w:r>
      <w:r w:rsidRPr="00B27759">
        <w:rPr>
          <w:b/>
          <w:szCs w:val="22"/>
          <w:lang w:val="lt-LT"/>
        </w:rPr>
        <w:tab/>
        <w:t>Nepageidaujamas poveikis</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iCs/>
          <w:szCs w:val="22"/>
          <w:u w:val="single"/>
          <w:lang w:val="lt-LT" w:eastAsia="lt-LT"/>
        </w:rPr>
      </w:pPr>
      <w:r w:rsidRPr="00B27759">
        <w:rPr>
          <w:iCs/>
          <w:szCs w:val="22"/>
          <w:u w:val="single"/>
          <w:lang w:val="lt-LT" w:eastAsia="lt-LT"/>
        </w:rPr>
        <w:t>Saugumo duomenų santrauka</w:t>
      </w:r>
    </w:p>
    <w:p w:rsidR="001856F1" w:rsidRPr="00B27759" w:rsidRDefault="001856F1" w:rsidP="001856F1">
      <w:pPr>
        <w:spacing w:line="240" w:lineRule="auto"/>
        <w:rPr>
          <w:iCs/>
          <w:szCs w:val="22"/>
          <w:u w:val="single"/>
          <w:lang w:val="lt-LT" w:eastAsia="lt-LT"/>
        </w:rPr>
      </w:pPr>
    </w:p>
    <w:p w:rsidR="001856F1" w:rsidRPr="00B27759" w:rsidRDefault="001856F1" w:rsidP="001856F1">
      <w:pPr>
        <w:spacing w:line="240" w:lineRule="auto"/>
        <w:rPr>
          <w:iCs/>
          <w:szCs w:val="22"/>
          <w:lang w:val="lt-LT" w:eastAsia="lt-LT"/>
        </w:rPr>
      </w:pPr>
      <w:r w:rsidRPr="00B27759">
        <w:rPr>
          <w:iCs/>
          <w:szCs w:val="22"/>
          <w:lang w:val="lt-LT" w:eastAsia="lt-LT"/>
        </w:rPr>
        <w:t xml:space="preserve">Toliau nurodytos tyrimų metu </w:t>
      </w:r>
      <w:r w:rsidR="00687291" w:rsidRPr="002F7292">
        <w:rPr>
          <w:szCs w:val="22"/>
          <w:lang w:val="lt-LT"/>
        </w:rPr>
        <w:t>ir iš spontaninių pranešimų bei literatūros šaltinių po pateikimo į rinką gautos</w:t>
      </w:r>
      <w:r w:rsidRPr="00B27759">
        <w:rPr>
          <w:iCs/>
          <w:szCs w:val="22"/>
          <w:lang w:val="lt-LT" w:eastAsia="lt-LT"/>
        </w:rPr>
        <w:t xml:space="preserve"> nepageidaujamos reakcijos. Nepageidaujamo poveikio dažnis apibūdinamas taip: labai dažnas (≥1/10);</w:t>
      </w:r>
      <w:r w:rsidRPr="00B27759">
        <w:rPr>
          <w:iCs/>
          <w:szCs w:val="22"/>
          <w:u w:val="single"/>
          <w:lang w:val="lt-LT" w:eastAsia="lt-LT"/>
        </w:rPr>
        <w:t xml:space="preserve"> </w:t>
      </w:r>
      <w:r w:rsidRPr="00B27759">
        <w:rPr>
          <w:iCs/>
          <w:szCs w:val="22"/>
          <w:lang w:val="lt-LT" w:eastAsia="lt-LT"/>
        </w:rPr>
        <w:t xml:space="preserve">dažnas (nuo ≥1/100 iki &lt;1/10); nedažnas (nuo ≥1/1 000 iki &lt;1/100); retas (nuo ≥1/10 000 iki &lt;1/1 000); labai retas (&lt;1/10 000); dažnis nežinomas (negali būti apskaičiuotas pagal turimus duomenis). </w:t>
      </w:r>
      <w:r w:rsidR="00687291">
        <w:rPr>
          <w:szCs w:val="22"/>
        </w:rPr>
        <w:t>Kiekvienoje dažnio grupėje nepageidaujamos reakcijos pateikiamos mažėjančio sunkumo tvarka.</w:t>
      </w:r>
    </w:p>
    <w:p w:rsidR="001856F1" w:rsidRPr="00B27759" w:rsidRDefault="001856F1" w:rsidP="001856F1">
      <w:pPr>
        <w:spacing w:line="240" w:lineRule="auto"/>
        <w:rPr>
          <w:iCs/>
          <w:szCs w:val="22"/>
          <w:lang w:val="lt-LT" w:eastAsia="lt-LT"/>
        </w:rPr>
      </w:pPr>
    </w:p>
    <w:p w:rsidR="001856F1" w:rsidRPr="00B27759" w:rsidRDefault="001856F1" w:rsidP="001856F1">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1856F1" w:rsidRPr="00B27759"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autoSpaceDE w:val="0"/>
              <w:autoSpaceDN w:val="0"/>
              <w:adjustRightInd w:val="0"/>
              <w:spacing w:line="240" w:lineRule="auto"/>
              <w:rPr>
                <w:szCs w:val="22"/>
                <w:u w:val="single"/>
                <w:lang w:val="lt-LT"/>
              </w:rPr>
            </w:pPr>
            <w:r w:rsidRPr="00B27759">
              <w:rPr>
                <w:b/>
                <w:szCs w:val="22"/>
                <w:lang w:val="lt-LT"/>
              </w:rPr>
              <w:t xml:space="preserve">Infekcijos ir infestacijos </w:t>
            </w:r>
          </w:p>
        </w:tc>
      </w:tr>
      <w:tr w:rsidR="001856F1"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autoSpaceDE w:val="0"/>
              <w:autoSpaceDN w:val="0"/>
              <w:adjustRightInd w:val="0"/>
              <w:spacing w:line="240" w:lineRule="auto"/>
              <w:rPr>
                <w:szCs w:val="22"/>
                <w:u w:val="single"/>
                <w:lang w:val="lt-LT"/>
              </w:rPr>
            </w:pPr>
            <w:r w:rsidRPr="00B27759">
              <w:rPr>
                <w:i/>
                <w:szCs w:val="22"/>
                <w:lang w:val="lt-LT"/>
              </w:rPr>
              <w:t>Labai dažnas</w:t>
            </w:r>
            <w:r w:rsidRPr="00B27759">
              <w:rPr>
                <w:szCs w:val="22"/>
                <w:lang w:val="lt-LT"/>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autoSpaceDE w:val="0"/>
              <w:autoSpaceDN w:val="0"/>
              <w:adjustRightInd w:val="0"/>
              <w:spacing w:line="240" w:lineRule="auto"/>
              <w:rPr>
                <w:szCs w:val="22"/>
                <w:u w:val="single"/>
                <w:lang w:val="lt-LT"/>
              </w:rPr>
            </w:pPr>
            <w:r w:rsidRPr="00B27759">
              <w:rPr>
                <w:szCs w:val="22"/>
                <w:lang w:val="lt-LT"/>
              </w:rPr>
              <w:t>Gripas</w:t>
            </w:r>
            <w:r w:rsidR="00F84DE6" w:rsidRPr="00B27759">
              <w:rPr>
                <w:szCs w:val="22"/>
                <w:lang w:val="lt-LT"/>
              </w:rPr>
              <w:t>, sinusitas</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Herpes viruso sukelta infekcija, bronchitas, įvairiaspalvė dedervinė</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i/>
                <w:szCs w:val="22"/>
                <w:lang w:val="lt-LT"/>
              </w:rPr>
              <w:t>Nedažnas</w:t>
            </w:r>
            <w:r w:rsidRPr="00B27759">
              <w:rPr>
                <w:szCs w:val="22"/>
                <w:lang w:val="lt-LT"/>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 xml:space="preserve">Pneumonija </w:t>
            </w:r>
          </w:p>
        </w:tc>
      </w:tr>
      <w:tr w:rsidR="00F84DE6" w:rsidRPr="00B27759" w:rsidTr="00684A34">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i/>
                <w:szCs w:val="22"/>
                <w:lang w:val="lt-LT"/>
              </w:rPr>
              <w:t>Dažnis nežinomas</w:t>
            </w:r>
            <w:r w:rsidRPr="00B27759">
              <w:rPr>
                <w:szCs w:val="22"/>
                <w:lang w:val="lt-LT"/>
              </w:rPr>
              <w:t>:</w:t>
            </w:r>
          </w:p>
        </w:tc>
        <w:tc>
          <w:tcPr>
            <w:tcW w:w="6202"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tabs>
                <w:tab w:val="left" w:pos="2268"/>
              </w:tabs>
              <w:autoSpaceDE w:val="0"/>
              <w:autoSpaceDN w:val="0"/>
              <w:adjustRightInd w:val="0"/>
              <w:spacing w:line="240" w:lineRule="auto"/>
              <w:rPr>
                <w:szCs w:val="22"/>
                <w:u w:val="single"/>
                <w:lang w:val="lt-LT"/>
              </w:rPr>
            </w:pPr>
            <w:r w:rsidRPr="00B27759">
              <w:rPr>
                <w:szCs w:val="22"/>
                <w:lang w:val="lt-LT"/>
              </w:rPr>
              <w:t xml:space="preserve">Progresuojanti daugiažidinė leukoencefalopatija (PDL)**, </w:t>
            </w:r>
          </w:p>
        </w:tc>
      </w:tr>
      <w:tr w:rsidR="00F84DE6" w:rsidRPr="00B27759" w:rsidTr="00684A34">
        <w:tc>
          <w:tcPr>
            <w:tcW w:w="2858" w:type="dxa"/>
            <w:vMerge/>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p>
        </w:tc>
        <w:tc>
          <w:tcPr>
            <w:tcW w:w="6202" w:type="dxa"/>
            <w:tcBorders>
              <w:top w:val="nil"/>
              <w:left w:val="single" w:sz="4" w:space="0" w:color="auto"/>
              <w:bottom w:val="single" w:sz="4" w:space="0" w:color="auto"/>
              <w:right w:val="single" w:sz="4" w:space="0" w:color="auto"/>
            </w:tcBorders>
            <w:shd w:val="clear" w:color="auto" w:fill="auto"/>
          </w:tcPr>
          <w:p w:rsidR="00F84DE6" w:rsidRPr="00B27759" w:rsidRDefault="008374CB" w:rsidP="00F84DE6">
            <w:pPr>
              <w:autoSpaceDE w:val="0"/>
              <w:autoSpaceDN w:val="0"/>
              <w:adjustRightInd w:val="0"/>
              <w:spacing w:line="240" w:lineRule="auto"/>
              <w:rPr>
                <w:color w:val="000000"/>
                <w:szCs w:val="22"/>
                <w:u w:val="single"/>
                <w:lang w:val="lt-LT"/>
              </w:rPr>
            </w:pPr>
            <w:r w:rsidRPr="00B27759">
              <w:rPr>
                <w:color w:val="000000"/>
                <w:szCs w:val="22"/>
                <w:lang w:val="lt-LT"/>
              </w:rPr>
              <w:t>k</w:t>
            </w:r>
            <w:r w:rsidR="00F84DE6" w:rsidRPr="00B27759">
              <w:rPr>
                <w:color w:val="000000"/>
                <w:szCs w:val="22"/>
                <w:lang w:val="lt-LT"/>
              </w:rPr>
              <w:t>riptokokų sukeltos infekcijos**</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b/>
                <w:szCs w:val="22"/>
                <w:lang w:val="lt-LT"/>
              </w:rPr>
              <w:t>Gerybiniai, piktybiniai ir nepatikslinti navikai (tarp jų cistos ir polipai)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 xml:space="preserve">Bazalinių </w:t>
            </w:r>
            <w:r w:rsidR="00A85980">
              <w:rPr>
                <w:szCs w:val="22"/>
                <w:lang w:val="lt-LT"/>
              </w:rPr>
              <w:t xml:space="preserve">(pamatinių) </w:t>
            </w:r>
            <w:r w:rsidRPr="00B27759">
              <w:rPr>
                <w:szCs w:val="22"/>
                <w:lang w:val="lt-LT"/>
              </w:rPr>
              <w:t>ląstelių karcinoma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Piktybinė melanoma****</w:t>
            </w:r>
          </w:p>
        </w:tc>
      </w:tr>
      <w:tr w:rsidR="00F84DE6" w:rsidRPr="00B27759" w:rsidTr="00684A34">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Retas:</w:t>
            </w:r>
          </w:p>
        </w:tc>
        <w:tc>
          <w:tcPr>
            <w:tcW w:w="6202"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Limfoma***</w:t>
            </w:r>
            <w:r w:rsidR="008374CB" w:rsidRPr="00B27759">
              <w:rPr>
                <w:szCs w:val="22"/>
                <w:lang w:val="lt-LT"/>
              </w:rPr>
              <w:t>, plokščiųjų ląstelių karcinoma****</w:t>
            </w:r>
            <w:r w:rsidRPr="00B27759">
              <w:rPr>
                <w:szCs w:val="22"/>
                <w:lang w:val="lt-LT"/>
              </w:rPr>
              <w:t xml:space="preserve"> </w:t>
            </w:r>
          </w:p>
        </w:tc>
      </w:tr>
      <w:tr w:rsidR="00F84DE6" w:rsidRPr="00B27759" w:rsidTr="00684A34">
        <w:tc>
          <w:tcPr>
            <w:tcW w:w="2858" w:type="dxa"/>
            <w:vMerge/>
            <w:tcBorders>
              <w:top w:val="nil"/>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p>
        </w:tc>
        <w:tc>
          <w:tcPr>
            <w:tcW w:w="6202" w:type="dxa"/>
            <w:tcBorders>
              <w:top w:val="nil"/>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Kapoši (Kaposi) sarkoma****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Merkel ląstelių karcinoma***</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b/>
                <w:szCs w:val="22"/>
                <w:lang w:val="lt-LT"/>
              </w:rPr>
              <w:t xml:space="preserve">Kraujo ir limfinės sistemos sutrikimai </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8374CB">
            <w:pPr>
              <w:autoSpaceDE w:val="0"/>
              <w:autoSpaceDN w:val="0"/>
              <w:adjustRightInd w:val="0"/>
              <w:spacing w:line="240" w:lineRule="auto"/>
              <w:rPr>
                <w:szCs w:val="22"/>
                <w:u w:val="single"/>
                <w:lang w:val="lt-LT"/>
              </w:rPr>
            </w:pPr>
            <w:r w:rsidRPr="00B27759">
              <w:rPr>
                <w:szCs w:val="22"/>
                <w:lang w:val="lt-LT"/>
              </w:rPr>
              <w:t>Limfopenija</w:t>
            </w:r>
            <w:r w:rsidR="008374CB" w:rsidRPr="00B27759">
              <w:rPr>
                <w:szCs w:val="22"/>
                <w:lang w:val="lt-LT"/>
              </w:rPr>
              <w:t>, leukopenija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Trombocitopenija</w:t>
            </w:r>
          </w:p>
        </w:tc>
      </w:tr>
      <w:tr w:rsidR="00F84DE6" w:rsidRPr="002F5D9D" w:rsidTr="00684A34">
        <w:tc>
          <w:tcPr>
            <w:tcW w:w="2858"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Autoimuninė hemolizinė anemija***</w:t>
            </w:r>
            <w:r w:rsidR="00FB4A4D" w:rsidRPr="00B27759">
              <w:rPr>
                <w:szCs w:val="22"/>
                <w:lang w:val="lt-LT"/>
              </w:rPr>
              <w:t>, periferinė edema***</w:t>
            </w:r>
          </w:p>
        </w:tc>
      </w:tr>
      <w:tr w:rsidR="00F84DE6" w:rsidRPr="00B27759" w:rsidTr="00684A34">
        <w:tc>
          <w:tcPr>
            <w:tcW w:w="9060" w:type="dxa"/>
            <w:gridSpan w:val="2"/>
            <w:tcBorders>
              <w:top w:val="single" w:sz="4" w:space="0" w:color="auto"/>
              <w:left w:val="single" w:sz="4" w:space="0" w:color="auto"/>
              <w:bottom w:val="single" w:sz="4" w:space="0" w:color="auto"/>
              <w:right w:val="nil"/>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b/>
                <w:szCs w:val="22"/>
                <w:lang w:val="lt-LT"/>
              </w:rPr>
              <w:t xml:space="preserve">Imuninės sistemos sutrikimai </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Padidėjusio jautrumo reakcijos gydymo pradžioje, įskaitant išbėrimą, dilgėlinę ir angioneurozinę edemą***</w:t>
            </w:r>
          </w:p>
        </w:tc>
      </w:tr>
      <w:tr w:rsidR="00F84DE6" w:rsidRPr="00B27759" w:rsidTr="00684A34">
        <w:tc>
          <w:tcPr>
            <w:tcW w:w="9060" w:type="dxa"/>
            <w:gridSpan w:val="2"/>
            <w:tcBorders>
              <w:top w:val="nil"/>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b/>
                <w:szCs w:val="22"/>
                <w:lang w:val="lt-LT"/>
              </w:rPr>
              <w:t>Psichikos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Depresija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Prislėgta nuotaika</w:t>
            </w:r>
          </w:p>
        </w:tc>
      </w:tr>
      <w:tr w:rsidR="00F84DE6" w:rsidRPr="00B27759" w:rsidTr="00684A34">
        <w:tc>
          <w:tcPr>
            <w:tcW w:w="9060" w:type="dxa"/>
            <w:gridSpan w:val="2"/>
            <w:tcBorders>
              <w:top w:val="nil"/>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Nervų sistemos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Galvos skausmas</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B4A4D">
            <w:pPr>
              <w:autoSpaceDE w:val="0"/>
              <w:autoSpaceDN w:val="0"/>
              <w:adjustRightInd w:val="0"/>
              <w:spacing w:line="240" w:lineRule="auto"/>
              <w:rPr>
                <w:szCs w:val="22"/>
                <w:u w:val="single"/>
                <w:lang w:val="lt-LT"/>
              </w:rPr>
            </w:pPr>
            <w:r w:rsidRPr="00B27759">
              <w:rPr>
                <w:szCs w:val="22"/>
                <w:lang w:val="lt-LT"/>
              </w:rPr>
              <w:t>Svaigulys</w:t>
            </w:r>
            <w:r w:rsidR="00FB4A4D" w:rsidRPr="00B27759">
              <w:rPr>
                <w:szCs w:val="22"/>
                <w:lang w:val="lt-LT"/>
              </w:rPr>
              <w:t>, migrena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B4A4D">
            <w:pPr>
              <w:autoSpaceDE w:val="0"/>
              <w:autoSpaceDN w:val="0"/>
              <w:adjustRightInd w:val="0"/>
              <w:spacing w:line="240" w:lineRule="auto"/>
              <w:rPr>
                <w:i/>
                <w:szCs w:val="22"/>
                <w:u w:val="single"/>
                <w:lang w:val="lt-LT"/>
              </w:rPr>
            </w:pPr>
            <w:r w:rsidRPr="00B27759">
              <w:rPr>
                <w:i/>
                <w:szCs w:val="22"/>
                <w:lang w:val="lt-LT"/>
              </w:rPr>
              <w:t>Nedažn</w:t>
            </w:r>
            <w:r w:rsidR="00FB4A4D" w:rsidRPr="00B27759">
              <w:rPr>
                <w:i/>
                <w:szCs w:val="22"/>
                <w:lang w:val="lt-LT"/>
              </w:rPr>
              <w:t>as</w:t>
            </w:r>
            <w:r w:rsidRPr="00B27759">
              <w:rPr>
                <w:i/>
                <w:szCs w:val="22"/>
                <w:lang w:val="lt-LT"/>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Traukuliai</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Užpakalinės grįžtamosios encefalopatijos sindromas (UGES)*</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i/>
                <w:szCs w:val="22"/>
                <w:lang w:val="lt-LT"/>
              </w:rPr>
              <w:t>Dažnis nežinomas</w:t>
            </w:r>
            <w:r w:rsidRPr="00B27759">
              <w:rPr>
                <w:szCs w:val="22"/>
                <w:lang w:val="lt-LT"/>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Sunkus ligos paūmėjimas nutraukus fingolimodo vartojimą***</w:t>
            </w:r>
          </w:p>
        </w:tc>
      </w:tr>
      <w:tr w:rsidR="00F84DE6" w:rsidRPr="00B27759"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Akių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Neryškus matymas</w:t>
            </w:r>
          </w:p>
        </w:tc>
      </w:tr>
      <w:tr w:rsidR="00F84DE6" w:rsidRPr="00B27759" w:rsidTr="00684A34">
        <w:tc>
          <w:tcPr>
            <w:tcW w:w="2858"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Nedažnas:</w:t>
            </w:r>
          </w:p>
        </w:tc>
        <w:tc>
          <w:tcPr>
            <w:tcW w:w="6202"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Tinklainės geltonosios dėmės edema</w:t>
            </w:r>
          </w:p>
        </w:tc>
      </w:tr>
      <w:tr w:rsidR="00F84DE6" w:rsidRPr="00B27759" w:rsidTr="00684A34">
        <w:tc>
          <w:tcPr>
            <w:tcW w:w="9060" w:type="dxa"/>
            <w:gridSpan w:val="2"/>
            <w:tcBorders>
              <w:top w:val="nil"/>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b/>
                <w:szCs w:val="22"/>
                <w:lang w:val="lt-LT"/>
              </w:rPr>
              <w:t>Širdies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B4A4D">
            <w:pPr>
              <w:autoSpaceDE w:val="0"/>
              <w:autoSpaceDN w:val="0"/>
              <w:adjustRightInd w:val="0"/>
              <w:spacing w:line="240" w:lineRule="auto"/>
              <w:rPr>
                <w:szCs w:val="22"/>
                <w:u w:val="single"/>
                <w:lang w:val="lt-LT"/>
              </w:rPr>
            </w:pPr>
            <w:r w:rsidRPr="00B27759">
              <w:rPr>
                <w:szCs w:val="22"/>
                <w:lang w:val="lt-LT"/>
              </w:rPr>
              <w:t>Bradikardija</w:t>
            </w:r>
            <w:r w:rsidR="00FB4A4D" w:rsidRPr="00B27759">
              <w:rPr>
                <w:szCs w:val="22"/>
                <w:lang w:val="lt-LT"/>
              </w:rPr>
              <w:t>, atrioventrikulinė blokada</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T bangos inversija***</w:t>
            </w:r>
          </w:p>
        </w:tc>
      </w:tr>
      <w:tr w:rsidR="00F84DE6" w:rsidRPr="00B27759"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Kraujagyslių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Hipertenzija</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Kvėpavimo sistemos, krūtinės ląstos ir tarpuplaučio sutrikimai</w:t>
            </w:r>
          </w:p>
        </w:tc>
      </w:tr>
      <w:tr w:rsidR="00F84DE6" w:rsidRPr="00B27759" w:rsidTr="00684A34">
        <w:tc>
          <w:tcPr>
            <w:tcW w:w="2858" w:type="dxa"/>
            <w:tcBorders>
              <w:top w:val="single" w:sz="4" w:space="0" w:color="auto"/>
              <w:left w:val="nil"/>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Kosulys</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Dusulys</w:t>
            </w:r>
          </w:p>
        </w:tc>
      </w:tr>
      <w:tr w:rsidR="00F84DE6" w:rsidRPr="00B27759"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Virškinimo trakto sutrikimai</w:t>
            </w:r>
          </w:p>
        </w:tc>
      </w:tr>
      <w:tr w:rsidR="00F84DE6" w:rsidRPr="00B27759" w:rsidTr="002F7292">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Viduriavimas</w:t>
            </w:r>
          </w:p>
        </w:tc>
      </w:tr>
      <w:tr w:rsidR="00F84DE6" w:rsidRPr="00B27759" w:rsidTr="002F7292">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Pykinimas***</w:t>
            </w:r>
          </w:p>
        </w:tc>
      </w:tr>
      <w:tr w:rsidR="00687291" w:rsidRPr="002F5D9D" w:rsidTr="000C628E">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687291" w:rsidRPr="00B27759" w:rsidRDefault="00687291" w:rsidP="00F84DE6">
            <w:pPr>
              <w:autoSpaceDE w:val="0"/>
              <w:autoSpaceDN w:val="0"/>
              <w:adjustRightInd w:val="0"/>
              <w:spacing w:line="240" w:lineRule="auto"/>
              <w:rPr>
                <w:szCs w:val="22"/>
                <w:lang w:val="lt-LT"/>
              </w:rPr>
            </w:pPr>
            <w:r w:rsidRPr="002F5D9D">
              <w:rPr>
                <w:b/>
                <w:bCs/>
                <w:i/>
                <w:szCs w:val="22"/>
                <w:lang w:val="pt-PT"/>
              </w:rPr>
              <w:lastRenderedPageBreak/>
              <w:t>Kepenų, tulžies pūslės ir latakų sutrikimai</w:t>
            </w:r>
          </w:p>
        </w:tc>
      </w:tr>
      <w:tr w:rsidR="00687291" w:rsidRPr="00B27759" w:rsidTr="002F7292">
        <w:tc>
          <w:tcPr>
            <w:tcW w:w="2858" w:type="dxa"/>
            <w:tcBorders>
              <w:top w:val="single" w:sz="4" w:space="0" w:color="auto"/>
              <w:left w:val="single" w:sz="4" w:space="0" w:color="auto"/>
              <w:bottom w:val="single" w:sz="4" w:space="0" w:color="auto"/>
              <w:right w:val="single" w:sz="4" w:space="0" w:color="auto"/>
            </w:tcBorders>
            <w:shd w:val="clear" w:color="auto" w:fill="auto"/>
          </w:tcPr>
          <w:p w:rsidR="00687291" w:rsidRPr="00B27759" w:rsidRDefault="00687291" w:rsidP="00F84DE6">
            <w:pPr>
              <w:autoSpaceDE w:val="0"/>
              <w:autoSpaceDN w:val="0"/>
              <w:adjustRightInd w:val="0"/>
              <w:spacing w:line="240" w:lineRule="auto"/>
              <w:rPr>
                <w:i/>
                <w:szCs w:val="22"/>
                <w:lang w:val="lt-LT"/>
              </w:rPr>
            </w:pPr>
            <w:r>
              <w:rPr>
                <w:szCs w:val="22"/>
                <w:lang w:val="lt-LT"/>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687291" w:rsidRPr="00B27759" w:rsidRDefault="00687291" w:rsidP="00F84DE6">
            <w:pPr>
              <w:autoSpaceDE w:val="0"/>
              <w:autoSpaceDN w:val="0"/>
              <w:adjustRightInd w:val="0"/>
              <w:spacing w:line="240" w:lineRule="auto"/>
              <w:rPr>
                <w:szCs w:val="22"/>
                <w:lang w:val="lt-LT"/>
              </w:rPr>
            </w:pPr>
            <w:r>
              <w:rPr>
                <w:szCs w:val="22"/>
              </w:rPr>
              <w:t>Ūminis kepenų nepakankamumas***</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Odos ir poodinio audinio sutrikimai</w:t>
            </w:r>
          </w:p>
        </w:tc>
      </w:tr>
      <w:tr w:rsidR="00F84DE6" w:rsidRPr="00B27759" w:rsidTr="00684A34">
        <w:tc>
          <w:tcPr>
            <w:tcW w:w="2858" w:type="dxa"/>
            <w:tcBorders>
              <w:top w:val="single" w:sz="4" w:space="0" w:color="auto"/>
              <w:left w:val="single" w:sz="4" w:space="0" w:color="auto"/>
              <w:bottom w:val="nil"/>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nil"/>
            </w:tcBorders>
            <w:shd w:val="clear" w:color="auto" w:fill="auto"/>
          </w:tcPr>
          <w:p w:rsidR="00F84DE6" w:rsidRPr="00B27759" w:rsidRDefault="00F84DE6" w:rsidP="00FB4A4D">
            <w:pPr>
              <w:autoSpaceDE w:val="0"/>
              <w:autoSpaceDN w:val="0"/>
              <w:adjustRightInd w:val="0"/>
              <w:spacing w:line="240" w:lineRule="auto"/>
              <w:rPr>
                <w:szCs w:val="22"/>
                <w:u w:val="single"/>
                <w:lang w:val="lt-LT"/>
              </w:rPr>
            </w:pPr>
            <w:r w:rsidRPr="00B27759">
              <w:rPr>
                <w:szCs w:val="22"/>
                <w:lang w:val="lt-LT"/>
              </w:rPr>
              <w:t>Egzema</w:t>
            </w:r>
            <w:r w:rsidR="00FB4A4D" w:rsidRPr="00B27759">
              <w:rPr>
                <w:szCs w:val="22"/>
                <w:lang w:val="lt-LT"/>
              </w:rPr>
              <w:t>, alopecija (nuplikimas), niežėjimas</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Skeleto, raumenų ir jungiamojo audinio sutrikimai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Nugaros skausmas</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nil"/>
              <w:left w:val="single" w:sz="4" w:space="0" w:color="auto"/>
              <w:bottom w:val="single" w:sz="4" w:space="0" w:color="auto"/>
              <w:right w:val="nil"/>
            </w:tcBorders>
            <w:shd w:val="clear" w:color="auto" w:fill="auto"/>
          </w:tcPr>
          <w:p w:rsidR="00F84DE6" w:rsidRPr="00B27759" w:rsidRDefault="00F84DE6" w:rsidP="00FB4A4D">
            <w:pPr>
              <w:autoSpaceDE w:val="0"/>
              <w:autoSpaceDN w:val="0"/>
              <w:adjustRightInd w:val="0"/>
              <w:spacing w:line="240" w:lineRule="auto"/>
              <w:rPr>
                <w:szCs w:val="22"/>
                <w:u w:val="single"/>
                <w:lang w:val="lt-LT"/>
              </w:rPr>
            </w:pPr>
            <w:r w:rsidRPr="00B27759">
              <w:rPr>
                <w:szCs w:val="22"/>
                <w:lang w:val="lt-LT"/>
              </w:rPr>
              <w:t>Mialgija</w:t>
            </w:r>
            <w:r w:rsidR="00FB4A4D" w:rsidRPr="00B27759">
              <w:rPr>
                <w:szCs w:val="22"/>
                <w:lang w:val="lt-LT"/>
              </w:rPr>
              <w:t>, artralgija</w:t>
            </w:r>
          </w:p>
        </w:tc>
      </w:tr>
      <w:tr w:rsidR="00F84DE6" w:rsidRPr="002F5D9D"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Bendrieji sutrikimai ir vartojimo vietos pažeidimai</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Astenija</w:t>
            </w:r>
          </w:p>
        </w:tc>
      </w:tr>
      <w:tr w:rsidR="00F84DE6" w:rsidRPr="00B27759" w:rsidTr="00684A3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b/>
                <w:szCs w:val="22"/>
                <w:u w:val="single"/>
                <w:lang w:val="lt-LT"/>
              </w:rPr>
            </w:pPr>
            <w:r w:rsidRPr="00B27759">
              <w:rPr>
                <w:b/>
                <w:szCs w:val="22"/>
                <w:lang w:val="lt-LT"/>
              </w:rPr>
              <w:t>Tyrimai</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 xml:space="preserve">Kepenų fermentų aktyvumo padidėjimas (padidėjęs </w:t>
            </w:r>
            <w:r w:rsidR="00687291" w:rsidRPr="002F7292">
              <w:rPr>
                <w:szCs w:val="22"/>
                <w:lang w:val="lt-LT"/>
              </w:rPr>
              <w:t>alanino transaminazės</w:t>
            </w:r>
            <w:r w:rsidRPr="00B27759">
              <w:rPr>
                <w:szCs w:val="22"/>
                <w:lang w:val="lt-LT"/>
              </w:rPr>
              <w:t>, gama gliutamiltransferazės, aspartato transaminazės aktyvumas)</w:t>
            </w:r>
          </w:p>
        </w:tc>
      </w:tr>
      <w:tr w:rsidR="00F84DE6" w:rsidRPr="002F5D9D"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B4A4D">
            <w:pPr>
              <w:autoSpaceDE w:val="0"/>
              <w:autoSpaceDN w:val="0"/>
              <w:adjustRightInd w:val="0"/>
              <w:spacing w:line="240" w:lineRule="auto"/>
              <w:rPr>
                <w:szCs w:val="22"/>
                <w:u w:val="single"/>
                <w:lang w:val="lt-LT"/>
              </w:rPr>
            </w:pPr>
            <w:r w:rsidRPr="00B27759">
              <w:rPr>
                <w:szCs w:val="22"/>
                <w:lang w:val="lt-LT"/>
              </w:rPr>
              <w:t>Sumažėjęs kūno svoris***</w:t>
            </w:r>
            <w:r w:rsidR="00FB4A4D" w:rsidRPr="00B27759">
              <w:rPr>
                <w:szCs w:val="22"/>
                <w:lang w:val="lt-LT"/>
              </w:rPr>
              <w:t>, padidėjęs trigliceridų kiekis kraujyje</w:t>
            </w:r>
          </w:p>
        </w:tc>
      </w:tr>
      <w:tr w:rsidR="00F84DE6" w:rsidRPr="00B27759" w:rsidTr="00684A34">
        <w:tc>
          <w:tcPr>
            <w:tcW w:w="2858"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i/>
                <w:szCs w:val="22"/>
                <w:u w:val="single"/>
                <w:lang w:val="lt-LT"/>
              </w:rPr>
            </w:pPr>
            <w:r w:rsidRPr="00B27759">
              <w:rPr>
                <w:i/>
                <w:szCs w:val="22"/>
                <w:lang w:val="lt-LT"/>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rsidR="00F84DE6" w:rsidRPr="00B27759" w:rsidRDefault="00F84DE6" w:rsidP="00F84DE6">
            <w:pPr>
              <w:autoSpaceDE w:val="0"/>
              <w:autoSpaceDN w:val="0"/>
              <w:adjustRightInd w:val="0"/>
              <w:spacing w:line="240" w:lineRule="auto"/>
              <w:rPr>
                <w:szCs w:val="22"/>
                <w:u w:val="single"/>
                <w:lang w:val="lt-LT"/>
              </w:rPr>
            </w:pPr>
            <w:r w:rsidRPr="00B27759">
              <w:rPr>
                <w:szCs w:val="22"/>
                <w:lang w:val="lt-LT"/>
              </w:rPr>
              <w:t xml:space="preserve">Sumažėjęs neutrofilų skaičius </w:t>
            </w:r>
          </w:p>
        </w:tc>
      </w:tr>
    </w:tbl>
    <w:p w:rsidR="001856F1" w:rsidRPr="00B27759" w:rsidRDefault="001856F1" w:rsidP="001856F1">
      <w:pPr>
        <w:autoSpaceDE w:val="0"/>
        <w:autoSpaceDN w:val="0"/>
        <w:adjustRightInd w:val="0"/>
        <w:spacing w:line="240" w:lineRule="auto"/>
        <w:rPr>
          <w:szCs w:val="22"/>
          <w:lang w:val="lt-LT"/>
        </w:rPr>
      </w:pPr>
    </w:p>
    <w:p w:rsidR="009A78B2" w:rsidRPr="00B27759" w:rsidRDefault="001856F1" w:rsidP="001856F1">
      <w:pPr>
        <w:autoSpaceDE w:val="0"/>
        <w:autoSpaceDN w:val="0"/>
        <w:adjustRightInd w:val="0"/>
        <w:spacing w:line="240" w:lineRule="auto"/>
        <w:rPr>
          <w:szCs w:val="22"/>
          <w:lang w:val="lt-LT"/>
        </w:rPr>
      </w:pPr>
      <w:r w:rsidRPr="00B27759">
        <w:rPr>
          <w:szCs w:val="22"/>
          <w:lang w:val="lt-LT"/>
        </w:rPr>
        <w:t xml:space="preserve">* Dažnio kategorija nustatyta remiantis apskaičiuotąja fingolimodo ekspozicija maždaug 10 000 pacientų visuose klinikiniuose tyrimuose.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Vaistinį preparatą pateikus į rinką buvo pranešta apie PDL ir kriptokokų sukeltas infekcijas (įskaitant kriptokokų sukelto meningito atvejus) (žr. 4.4 skyrių).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Nepageidaujamos reakcijos, gautos iš spontaninių pranešimų bei literatūros šaltinių.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Dažnio kategorija ir rizikos įvertinimas buvo pagrįsti visų klinikinių tyrimų duomenimis, kuriuose dalyvavo daugiau kaip 24 000 pacientų, vartojusių 0,5 mg fingolimodo.</w:t>
      </w:r>
    </w:p>
    <w:p w:rsidR="001856F1" w:rsidRPr="00B27759" w:rsidRDefault="001856F1" w:rsidP="001856F1">
      <w:pPr>
        <w:autoSpaceDE w:val="0"/>
        <w:autoSpaceDN w:val="0"/>
        <w:adjustRightInd w:val="0"/>
        <w:spacing w:line="240" w:lineRule="auto"/>
        <w:rPr>
          <w:szCs w:val="22"/>
          <w:lang w:val="lt-LT"/>
        </w:rPr>
      </w:pPr>
    </w:p>
    <w:p w:rsidR="001856F1" w:rsidRPr="00B27759" w:rsidRDefault="001856F1" w:rsidP="001856F1">
      <w:pPr>
        <w:autoSpaceDE w:val="0"/>
        <w:autoSpaceDN w:val="0"/>
        <w:adjustRightInd w:val="0"/>
        <w:rPr>
          <w:iCs/>
          <w:szCs w:val="22"/>
          <w:lang w:val="lt-LT" w:eastAsia="lt-LT"/>
        </w:rPr>
      </w:pPr>
      <w:r w:rsidRPr="00B27759">
        <w:rPr>
          <w:iCs/>
          <w:szCs w:val="22"/>
          <w:u w:val="single"/>
          <w:lang w:val="lt-LT" w:eastAsia="lt-LT"/>
        </w:rPr>
        <w:t>Atrinktų nepageidaujamų reakcijų apibūdinimas</w:t>
      </w:r>
    </w:p>
    <w:p w:rsidR="001856F1" w:rsidRPr="00B27759" w:rsidRDefault="001856F1" w:rsidP="001856F1">
      <w:pPr>
        <w:autoSpaceDE w:val="0"/>
        <w:autoSpaceDN w:val="0"/>
        <w:adjustRightInd w:val="0"/>
        <w:spacing w:line="240" w:lineRule="auto"/>
        <w:rPr>
          <w:szCs w:val="22"/>
          <w:u w:val="single"/>
          <w:lang w:val="lt-LT"/>
        </w:rPr>
      </w:pPr>
    </w:p>
    <w:p w:rsidR="001856F1" w:rsidRPr="00B27759" w:rsidRDefault="001856F1" w:rsidP="001856F1">
      <w:pPr>
        <w:autoSpaceDE w:val="0"/>
        <w:autoSpaceDN w:val="0"/>
        <w:adjustRightInd w:val="0"/>
        <w:spacing w:line="240" w:lineRule="auto"/>
        <w:rPr>
          <w:i/>
          <w:szCs w:val="22"/>
          <w:lang w:val="lt-LT"/>
        </w:rPr>
      </w:pPr>
      <w:r w:rsidRPr="00B27759">
        <w:rPr>
          <w:i/>
          <w:szCs w:val="22"/>
          <w:lang w:val="lt-LT"/>
        </w:rPr>
        <w:t>Infekcijos</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Klinikinių tyrimų, kuriuose dalyvavo IS sergantys pacientai, duomenimis, bendrasis infekcijų pasireiškimo dažnis (65,1</w:t>
      </w:r>
      <w:r w:rsidR="007A6E86">
        <w:rPr>
          <w:szCs w:val="22"/>
          <w:lang w:val="lt-LT"/>
        </w:rPr>
        <w:t> </w:t>
      </w:r>
      <w:r w:rsidRPr="00B27759">
        <w:rPr>
          <w:szCs w:val="22"/>
          <w:lang w:val="lt-LT"/>
        </w:rPr>
        <w:t xml:space="preserve">%) 0,5 mg vaistinio preparato dozę vartojusiems pacientams buvo panašus kaip placebo grupės pacientams. Tačiau </w:t>
      </w:r>
      <w:r w:rsidR="009A78B2" w:rsidRPr="00B27759">
        <w:rPr>
          <w:szCs w:val="22"/>
          <w:lang w:val="lt-LT"/>
        </w:rPr>
        <w:t>f</w:t>
      </w:r>
      <w:r w:rsidRPr="00B27759">
        <w:rPr>
          <w:szCs w:val="22"/>
          <w:lang w:val="lt-LT"/>
        </w:rPr>
        <w:t>ingolimod</w:t>
      </w:r>
      <w:r w:rsidR="009A78B2" w:rsidRPr="00B27759">
        <w:rPr>
          <w:szCs w:val="22"/>
          <w:lang w:val="lt-LT"/>
        </w:rPr>
        <w:t>o</w:t>
      </w:r>
      <w:r w:rsidRPr="00B27759">
        <w:rPr>
          <w:szCs w:val="22"/>
          <w:lang w:val="lt-LT"/>
        </w:rPr>
        <w:t xml:space="preserve"> vartojusiems pacientams dažniau pasireiškė apatinių kvėpavimo takų infekcijų, pirmiausia bronchito, ir, rečiau, herpes viruso sukeltų infekcijų bei pneumonijos atvejų.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Gauta pranešimų apie kelis išplitusios herpes infekcijos, įskaitant mirtį lėmusius, atvejus, pasireiškusius net ir 0,5 mg dozę vartojusiems pacientams.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Vaistiniam preparatui pateikus į rinką, gauta pranešimų apie oportunistinių patogenų sukeltų infekcijų atvejus, tokius kaip virusinius (pavyzdžiui, </w:t>
      </w:r>
      <w:r w:rsidRPr="00B27759">
        <w:rPr>
          <w:i/>
          <w:szCs w:val="22"/>
          <w:lang w:val="lt-LT"/>
        </w:rPr>
        <w:t>Varicella-zoster</w:t>
      </w:r>
      <w:r w:rsidRPr="00B27759">
        <w:rPr>
          <w:szCs w:val="22"/>
          <w:lang w:val="lt-LT"/>
        </w:rPr>
        <w:t xml:space="preserve"> virusą (VZV), </w:t>
      </w:r>
      <w:r w:rsidRPr="00B27759">
        <w:rPr>
          <w:i/>
          <w:szCs w:val="22"/>
          <w:lang w:val="lt-LT"/>
        </w:rPr>
        <w:t>John Cunningham</w:t>
      </w:r>
      <w:r w:rsidRPr="00B27759">
        <w:rPr>
          <w:szCs w:val="22"/>
          <w:lang w:val="lt-LT"/>
        </w:rPr>
        <w:t xml:space="preserve"> virusą (JCV), sukeliantį progresuojančią daugiažidinę leukoencefalopatiją, </w:t>
      </w:r>
      <w:r w:rsidRPr="00B27759">
        <w:rPr>
          <w:i/>
          <w:szCs w:val="22"/>
          <w:lang w:val="lt-LT"/>
        </w:rPr>
        <w:t>herpes simplex</w:t>
      </w:r>
      <w:r w:rsidRPr="00B27759">
        <w:rPr>
          <w:szCs w:val="22"/>
          <w:lang w:val="lt-LT"/>
        </w:rPr>
        <w:t xml:space="preserve"> virusą (HSV)), grybelinius (pavyzdžiui, </w:t>
      </w:r>
      <w:r w:rsidR="00A85980" w:rsidRPr="0062471E">
        <w:rPr>
          <w:szCs w:val="22"/>
          <w:lang w:val="lt-LT"/>
        </w:rPr>
        <w:t>kriptokokai</w:t>
      </w:r>
      <w:r w:rsidRPr="00B27759">
        <w:rPr>
          <w:szCs w:val="22"/>
          <w:lang w:val="lt-LT"/>
        </w:rPr>
        <w:t xml:space="preserve">, įskaitant kriptokokų sukeltą meningitą) arba bakterinius (pavyzdžiui, atipines mikobakterijas), kai kurie iš jų buvo mirtini (žr. 4.4 skyrių).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Po vaistinio preparato pateikimo į rinką gydant fingolimodu, buvo gauta pranešimų apie žmogaus papilomos viruso (ŽPV) sukeltos infekcijos, įskaitant papilomos, displazijų, karpų ir su ŽPV susijusio vėžio, atvejus. Dėl imuninę sistemą slopinančių fingolimodo savybių, vakcinacijos nuo ŽPV paskyrimą reikėtų svarstyti prieš pradedant gydymą fingolimodu, atsižvelgiant į skiepijimo rekomendacijas. Laikantis įprastos klinikinės praktikos, rekomenduojama patikra nuo vėžio, įskaitant PAP testo atlikimą.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w:t>
      </w:r>
    </w:p>
    <w:p w:rsidR="001856F1" w:rsidRPr="00B27759" w:rsidRDefault="001856F1" w:rsidP="001856F1">
      <w:pPr>
        <w:autoSpaceDE w:val="0"/>
        <w:autoSpaceDN w:val="0"/>
        <w:adjustRightInd w:val="0"/>
        <w:spacing w:line="240" w:lineRule="auto"/>
        <w:rPr>
          <w:i/>
          <w:szCs w:val="22"/>
          <w:lang w:val="lt-LT"/>
        </w:rPr>
      </w:pPr>
      <w:r w:rsidRPr="00B27759">
        <w:rPr>
          <w:i/>
          <w:szCs w:val="22"/>
          <w:lang w:val="lt-LT"/>
        </w:rPr>
        <w:t xml:space="preserve">Tinklainės geltonosios dėmės edema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w:t>
      </w:r>
      <w:r w:rsidRPr="00B27759">
        <w:rPr>
          <w:szCs w:val="22"/>
          <w:lang w:val="lt-LT"/>
        </w:rPr>
        <w:lastRenderedPageBreak/>
        <w:t xml:space="preserve">paprastai sumažėjo ar visiškai išnyko savaime nutraukus </w:t>
      </w:r>
      <w:r w:rsidR="00687291">
        <w:rPr>
          <w:szCs w:val="22"/>
          <w:lang w:val="lt-LT"/>
        </w:rPr>
        <w:t>gydymą</w:t>
      </w:r>
      <w:r w:rsidRPr="00B27759">
        <w:rPr>
          <w:szCs w:val="22"/>
          <w:lang w:val="lt-LT"/>
        </w:rPr>
        <w:t xml:space="preserve">. Šio sutrikimo pasikartojimo rizika vėl atnaujinus vaistinio preparato vartojimą nebuvo tirta.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Tinklainės geltonosios dėmės edemos pasireiškimo dažnis didesnis tiems išsėtine skleroze sergantiems pacientams, kurie anksčiau sirgo uveitu (17 % atvejų šiems pacientams palyginti su 0,6 % atvejų pacientams, kuriems anksčiau nebuvo uveito). Fingolimod</w:t>
      </w:r>
      <w:r w:rsidR="009A78B2" w:rsidRPr="00B27759">
        <w:rPr>
          <w:szCs w:val="22"/>
          <w:lang w:val="lt-LT"/>
        </w:rPr>
        <w:t>o</w:t>
      </w:r>
      <w:r w:rsidRPr="00B27759">
        <w:rPr>
          <w:szCs w:val="22"/>
          <w:lang w:val="lt-LT"/>
        </w:rPr>
        <w:t xml:space="preserve"> poveikis nebuvo tirtas IS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fingolimodo dozes, 2 kartus padidėjo tinklainės geltonosios dėmės edemos pasireiškimo dažnis. </w:t>
      </w:r>
    </w:p>
    <w:p w:rsidR="001856F1" w:rsidRPr="00B27759" w:rsidRDefault="001856F1" w:rsidP="001856F1">
      <w:pPr>
        <w:autoSpaceDE w:val="0"/>
        <w:autoSpaceDN w:val="0"/>
        <w:adjustRightInd w:val="0"/>
        <w:spacing w:line="240" w:lineRule="auto"/>
        <w:rPr>
          <w:i/>
          <w:szCs w:val="22"/>
          <w:lang w:val="lt-LT"/>
        </w:rPr>
      </w:pPr>
    </w:p>
    <w:p w:rsidR="001856F1" w:rsidRPr="00B27759" w:rsidRDefault="001856F1" w:rsidP="001856F1">
      <w:pPr>
        <w:autoSpaceDE w:val="0"/>
        <w:autoSpaceDN w:val="0"/>
        <w:adjustRightInd w:val="0"/>
        <w:spacing w:line="240" w:lineRule="auto"/>
        <w:rPr>
          <w:i/>
          <w:szCs w:val="22"/>
          <w:lang w:val="lt-LT"/>
        </w:rPr>
      </w:pPr>
      <w:r w:rsidRPr="00B27759">
        <w:rPr>
          <w:i/>
          <w:szCs w:val="22"/>
          <w:lang w:val="lt-LT"/>
        </w:rPr>
        <w:t xml:space="preserve">Bradiaritmija </w:t>
      </w:r>
    </w:p>
    <w:p w:rsidR="001856F1" w:rsidRPr="00B27759" w:rsidRDefault="001856F1" w:rsidP="001856F1">
      <w:pPr>
        <w:autoSpaceDE w:val="0"/>
        <w:autoSpaceDN w:val="0"/>
        <w:adjustRightInd w:val="0"/>
        <w:spacing w:line="240" w:lineRule="auto"/>
        <w:rPr>
          <w:szCs w:val="22"/>
          <w:lang w:val="lt-LT"/>
        </w:rPr>
      </w:pPr>
      <w:r w:rsidRPr="00B27759">
        <w:rPr>
          <w:szCs w:val="22"/>
          <w:lang w:val="lt-LT"/>
        </w:rPr>
        <w:t xml:space="preserve">Gydymo </w:t>
      </w:r>
      <w:r w:rsidR="009A78B2" w:rsidRPr="00B27759">
        <w:rPr>
          <w:szCs w:val="22"/>
          <w:lang w:val="lt-LT"/>
        </w:rPr>
        <w:t>pra</w:t>
      </w:r>
      <w:r w:rsidRPr="00B27759">
        <w:rPr>
          <w:szCs w:val="22"/>
          <w:lang w:val="lt-LT"/>
        </w:rPr>
        <w:t>džia sukelia laikiną širdies susitraukimų dažnio sumažėjimą ir taip pat gali būti susijęs su atrioventrikulinio laidumo sulėtėjimu. Klinikinių tyrimų, kuriuose dalyvavo išsėtine skleroze sergantys pacientai, duomenimis, labiausiai širdies susitraukimų dažnis sumažėjo per 6 valandas po vaistinio preparato vartojimo pradžios. Fingolimod</w:t>
      </w:r>
      <w:r w:rsidR="009A78B2" w:rsidRPr="00B27759">
        <w:rPr>
          <w:szCs w:val="22"/>
          <w:lang w:val="lt-LT"/>
        </w:rPr>
        <w:t>o</w:t>
      </w:r>
      <w:r w:rsidRPr="00B27759">
        <w:rPr>
          <w:szCs w:val="22"/>
          <w:lang w:val="lt-LT"/>
        </w:rPr>
        <w:t xml:space="preserve"> 0,5 mg vartojusiems pacientams širdies susitraukimų dažnis vidutiniškai sumažėjo 12-13 kartų per minutę. Vartojusiems </w:t>
      </w:r>
      <w:r w:rsidR="009A78B2" w:rsidRPr="00B27759">
        <w:rPr>
          <w:szCs w:val="22"/>
          <w:lang w:val="lt-LT"/>
        </w:rPr>
        <w:t>f</w:t>
      </w:r>
      <w:r w:rsidRPr="00B27759">
        <w:rPr>
          <w:szCs w:val="22"/>
          <w:lang w:val="lt-LT"/>
        </w:rPr>
        <w:t>ingolimod</w:t>
      </w:r>
      <w:r w:rsidR="009A78B2" w:rsidRPr="00B27759">
        <w:rPr>
          <w:szCs w:val="22"/>
          <w:lang w:val="lt-LT"/>
        </w:rPr>
        <w:t>o</w:t>
      </w:r>
      <w:r w:rsidRPr="00B27759">
        <w:rPr>
          <w:szCs w:val="22"/>
          <w:lang w:val="lt-LT"/>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 tačiau keliems pacientams pasireiškė nesunkių ar vidutinio sunkumo simptomų, įskaitant hipotenziją, svaigulį, nuovargį ir (arba) širdies plakimo pojūtį (palpitaciją), kurie išnyko per vaistinio preparato vartojimo pirmąsias 24 valandas (taip pat žr. 4.4 ir 5.1 skyrius).</w:t>
      </w:r>
    </w:p>
    <w:p w:rsidR="001856F1" w:rsidRPr="00B27759" w:rsidRDefault="001856F1" w:rsidP="001856F1">
      <w:pPr>
        <w:autoSpaceDE w:val="0"/>
        <w:autoSpaceDN w:val="0"/>
        <w:adjustRightInd w:val="0"/>
        <w:spacing w:line="240" w:lineRule="auto"/>
        <w:rPr>
          <w:noProof/>
          <w:szCs w:val="22"/>
          <w:u w:val="single"/>
          <w:lang w:val="lt-LT"/>
        </w:rPr>
      </w:pP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0,5 mg vartojusių pacientų, 2,8 % interferono beta-1a injekcijomis į raumenis vartojusių pacientų ir 1,6 % placebo grupės pacientų. Antrojo laipsnio atrioventrikulinė blokada nustatyta mažiau kaip 0,2 % Fingolimod Teva 0,5 mg vartojusių suaugusių pacientų. Vaistin</w:t>
      </w:r>
      <w:r w:rsidR="00A85980">
        <w:rPr>
          <w:noProof/>
          <w:szCs w:val="22"/>
          <w:lang w:val="lt-LT"/>
        </w:rPr>
        <w:t>į</w:t>
      </w:r>
      <w:r w:rsidRPr="00B27759">
        <w:rPr>
          <w:noProof/>
          <w:szCs w:val="22"/>
          <w:lang w:val="lt-LT"/>
        </w:rPr>
        <w:t xml:space="preserve"> preparat</w:t>
      </w:r>
      <w:r w:rsidR="00A85980">
        <w:rPr>
          <w:noProof/>
          <w:szCs w:val="22"/>
          <w:lang w:val="lt-LT"/>
        </w:rPr>
        <w:t>ą</w:t>
      </w:r>
      <w:r w:rsidRPr="00B27759">
        <w:rPr>
          <w:noProof/>
          <w:szCs w:val="22"/>
          <w:lang w:val="lt-LT"/>
        </w:rPr>
        <w:t xml:space="preserve"> pate</w:t>
      </w:r>
      <w:r w:rsidR="00A85980">
        <w:rPr>
          <w:noProof/>
          <w:szCs w:val="22"/>
          <w:lang w:val="lt-LT"/>
        </w:rPr>
        <w:t>i</w:t>
      </w:r>
      <w:r w:rsidRPr="00B27759">
        <w:rPr>
          <w:noProof/>
          <w:szCs w:val="22"/>
          <w:lang w:val="lt-LT"/>
        </w:rPr>
        <w:t xml:space="preserve">kus į rinką, gauta pavienių pranešimų apie laikinos, savaime praeinančios visiškos AV blokados pasireiškimo atvejus per šešių valandų trukmės stebėjimo laikotarpį po pirmosios </w:t>
      </w:r>
      <w:r w:rsidR="009A78B2" w:rsidRPr="00B27759">
        <w:rPr>
          <w:noProof/>
          <w:szCs w:val="22"/>
          <w:lang w:val="lt-LT"/>
        </w:rPr>
        <w:t>f</w:t>
      </w:r>
      <w:r w:rsidRPr="00B27759">
        <w:rPr>
          <w:noProof/>
          <w:szCs w:val="22"/>
          <w:lang w:val="lt-LT"/>
        </w:rPr>
        <w:t>ingolimod</w:t>
      </w:r>
      <w:r w:rsidR="009A78B2" w:rsidRPr="00B27759">
        <w:rPr>
          <w:noProof/>
          <w:szCs w:val="22"/>
          <w:lang w:val="lt-LT"/>
        </w:rPr>
        <w:t>o</w:t>
      </w:r>
      <w:r w:rsidRPr="00B27759">
        <w:rPr>
          <w:noProof/>
          <w:szCs w:val="22"/>
          <w:lang w:val="lt-LT"/>
        </w:rPr>
        <w:t xml:space="preserve">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w:t>
      </w:r>
      <w:r w:rsidR="009A78B2" w:rsidRPr="00B27759">
        <w:rPr>
          <w:noProof/>
          <w:szCs w:val="22"/>
          <w:lang w:val="lt-LT"/>
        </w:rPr>
        <w:t>f</w:t>
      </w:r>
      <w:r w:rsidRPr="00B27759">
        <w:rPr>
          <w:noProof/>
          <w:szCs w:val="22"/>
          <w:lang w:val="lt-LT"/>
        </w:rPr>
        <w:t>ingolimod</w:t>
      </w:r>
      <w:r w:rsidR="009A78B2" w:rsidRPr="00B27759">
        <w:rPr>
          <w:noProof/>
          <w:szCs w:val="22"/>
          <w:lang w:val="lt-LT"/>
        </w:rPr>
        <w:t>o</w:t>
      </w:r>
      <w:r w:rsidRPr="00B27759">
        <w:rPr>
          <w:noProof/>
          <w:szCs w:val="22"/>
          <w:lang w:val="lt-LT"/>
        </w:rPr>
        <w:t xml:space="preserve"> 0,5 mg vartojusiam pacientui dėl pasireiškusios besimptomės antrojo laipsnio Mobitz I tipo atrioventrikulinės blokados buvo skirta izoprenalino.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Po vaistinio preparato pateikimo į rinką nustatyta pavienių vėlyvos pradžios reiškinių, įskaitant atvejus, kai per 24 valandas nuo pirmosios vaistinio preparato dozės vartojimo pasireiškė laikina asistolija ir ištiko nepaaiškinama mirtis. Šių reiškinių pasireiškimą galėjo lemti ir kartu vartojami vaistiniai preparatai, ir (arba) kitos ligos. Jų pasireiškimo ryšys su </w:t>
      </w:r>
      <w:r w:rsidR="009A78B2" w:rsidRPr="00B27759">
        <w:rPr>
          <w:noProof/>
          <w:szCs w:val="22"/>
          <w:lang w:val="lt-LT"/>
        </w:rPr>
        <w:t>f</w:t>
      </w:r>
      <w:r w:rsidRPr="00B27759">
        <w:rPr>
          <w:noProof/>
          <w:szCs w:val="22"/>
          <w:lang w:val="lt-LT"/>
        </w:rPr>
        <w:t>ingolimod</w:t>
      </w:r>
      <w:r w:rsidR="009A78B2" w:rsidRPr="00B27759">
        <w:rPr>
          <w:noProof/>
          <w:szCs w:val="22"/>
          <w:lang w:val="lt-LT"/>
        </w:rPr>
        <w:t>o</w:t>
      </w:r>
      <w:r w:rsidRPr="00B27759">
        <w:rPr>
          <w:noProof/>
          <w:szCs w:val="22"/>
          <w:lang w:val="lt-LT"/>
        </w:rPr>
        <w:t xml:space="preserve"> vartojimu neaiškus.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Kraujospūdis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Klinikinių tyrimų, kuriuose dalyvavo išsėtine skleroze sergantys pacientai, duomenimis, </w:t>
      </w:r>
      <w:r w:rsidR="009A78B2" w:rsidRPr="00B27759">
        <w:rPr>
          <w:noProof/>
          <w:szCs w:val="22"/>
          <w:lang w:val="lt-LT"/>
        </w:rPr>
        <w:t>f</w:t>
      </w:r>
      <w:r w:rsidRPr="00B27759">
        <w:rPr>
          <w:noProof/>
          <w:szCs w:val="22"/>
          <w:lang w:val="lt-LT"/>
        </w:rPr>
        <w:t>i</w:t>
      </w:r>
      <w:r w:rsidR="009A78B2" w:rsidRPr="00B27759">
        <w:rPr>
          <w:noProof/>
          <w:szCs w:val="22"/>
          <w:lang w:val="lt-LT"/>
        </w:rPr>
        <w:t>ngolimodo</w:t>
      </w:r>
      <w:r w:rsidRPr="00B27759">
        <w:rPr>
          <w:noProof/>
          <w:szCs w:val="22"/>
          <w:lang w:val="lt-LT"/>
        </w:rPr>
        <w:t xml:space="preserve"> 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6,5 % fingolimodo 0,5 mg vartojusių pacientų ir 3,3 % placebo grupės pacientų. Vaistinį preparatą pateikus į rinką, gauta pranešimų apie per pirmąjį mėnesį po vaistinio preparato vartojimo pradžios ir pirmąją gydymo dieną pasireiškusius hipertenzijos atvejus, dėl kurių gali reikėti skirti vaistinių preparatų nuo hipertenzijos arba nutraukti </w:t>
      </w:r>
      <w:r w:rsidR="009A78B2" w:rsidRPr="00B27759">
        <w:rPr>
          <w:noProof/>
          <w:szCs w:val="22"/>
          <w:lang w:val="lt-LT"/>
        </w:rPr>
        <w:t>f</w:t>
      </w:r>
      <w:r w:rsidRPr="00B27759">
        <w:rPr>
          <w:noProof/>
          <w:szCs w:val="22"/>
          <w:lang w:val="lt-LT"/>
        </w:rPr>
        <w:t>ingolimod</w:t>
      </w:r>
      <w:r w:rsidR="009A78B2" w:rsidRPr="00B27759">
        <w:rPr>
          <w:noProof/>
          <w:szCs w:val="22"/>
          <w:lang w:val="lt-LT"/>
        </w:rPr>
        <w:t>o</w:t>
      </w:r>
      <w:r w:rsidRPr="00B27759">
        <w:rPr>
          <w:noProof/>
          <w:szCs w:val="22"/>
          <w:lang w:val="lt-LT"/>
        </w:rPr>
        <w:t xml:space="preserve"> vartojimą (taip pat žr. 4.4 skyriuje poskyrį „Poveikis kraujospūdžiui“).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Kepenų funkcija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lastRenderedPageBreak/>
        <w:t xml:space="preserve">Gauta pranešimų apie išsėtine skleroze sergantiems </w:t>
      </w:r>
      <w:r w:rsidR="00A74B14" w:rsidRPr="00B27759">
        <w:rPr>
          <w:noProof/>
          <w:szCs w:val="22"/>
          <w:lang w:val="lt-LT"/>
        </w:rPr>
        <w:t>f</w:t>
      </w:r>
      <w:r w:rsidRPr="00B27759">
        <w:rPr>
          <w:noProof/>
          <w:szCs w:val="22"/>
          <w:lang w:val="lt-LT"/>
        </w:rPr>
        <w:t>ingolimod</w:t>
      </w:r>
      <w:r w:rsidR="00A74B14" w:rsidRPr="00B27759">
        <w:rPr>
          <w:noProof/>
          <w:szCs w:val="22"/>
          <w:lang w:val="lt-LT"/>
        </w:rPr>
        <w:t>u</w:t>
      </w:r>
      <w:r w:rsidRPr="00B27759">
        <w:rPr>
          <w:noProof/>
          <w:szCs w:val="22"/>
          <w:lang w:val="lt-LT"/>
        </w:rPr>
        <w:t xml:space="preserve"> gydytiems suaugusiems pacientams ir vaikams pasireiškusius kepenų fermentų aktyvumo padidėjimo atvejus. Klinikinių tyrimų duomenimis, besimptomis ALT aktyvumo serume padidėjimas ≥3x VNR (viršutinė normos riba) ir ≥5x VNR pasireiškė, atitinkamai, 8,0 % ir 1,8 % </w:t>
      </w:r>
      <w:r w:rsidR="00A74B14" w:rsidRPr="00B27759">
        <w:rPr>
          <w:noProof/>
          <w:szCs w:val="22"/>
          <w:lang w:val="lt-LT"/>
        </w:rPr>
        <w:t>f</w:t>
      </w:r>
      <w:r w:rsidRPr="00B27759">
        <w:rPr>
          <w:noProof/>
          <w:szCs w:val="22"/>
          <w:lang w:val="lt-LT"/>
        </w:rPr>
        <w:t>ingolimod</w:t>
      </w:r>
      <w:r w:rsidR="00A74B14" w:rsidRPr="00B27759">
        <w:rPr>
          <w:noProof/>
          <w:szCs w:val="22"/>
          <w:lang w:val="lt-LT"/>
        </w:rPr>
        <w:t>o</w:t>
      </w:r>
      <w:r w:rsidRPr="00B27759">
        <w:rPr>
          <w:noProof/>
          <w:szCs w:val="22"/>
          <w:lang w:val="lt-LT"/>
        </w:rPr>
        <w:t xml:space="preserve"> 0,5 mg vartojusių suaugusių pacientų. Kai kuriems pacientams po kurio laiko vėl pradėjus vartoti vaistinio preparato, kepenų transaminazių aktyvumas padidėjo iš naujo, tai patvirtina šio sutrikimo ryšį su vaistinio preparato vartojimu. Klinikinių tyrimų metu transaminazių aktyvumas padidėjo bet kuriuo tyrimo metu, nors dažniausiai tai atsitiko per pirmuosius 12 mėnesių. Nutraukus </w:t>
      </w:r>
      <w:r w:rsidR="00687291">
        <w:rPr>
          <w:noProof/>
          <w:szCs w:val="22"/>
          <w:lang w:val="lt-LT"/>
        </w:rPr>
        <w:t>gydymą</w:t>
      </w:r>
      <w:r w:rsidRPr="00B27759">
        <w:rPr>
          <w:noProof/>
          <w:szCs w:val="22"/>
          <w:lang w:val="lt-LT"/>
        </w:rPr>
        <w:t xml:space="preserve">, ALT aktyvumas grįždavo į normalias reikšmes maždaug per 2 mėnesius. Keliems pacientams (N = 10 1,25 mg dozę vartojusiųjų tarpe ir N = 2 0,5 mg dozę vartojusiųjų tarpe), kuriems ALT </w:t>
      </w:r>
      <w:r w:rsidR="00A85980">
        <w:rPr>
          <w:noProof/>
          <w:szCs w:val="22"/>
          <w:lang w:val="lt-LT"/>
        </w:rPr>
        <w:t>aktyvumas</w:t>
      </w:r>
      <w:r w:rsidRPr="00B27759">
        <w:rPr>
          <w:noProof/>
          <w:szCs w:val="22"/>
          <w:lang w:val="lt-LT"/>
        </w:rPr>
        <w:t xml:space="preserve"> padidėjo ≥</w:t>
      </w:r>
      <w:r w:rsidR="00FD1988" w:rsidRPr="00B27759">
        <w:rPr>
          <w:szCs w:val="22"/>
          <w:lang w:val="lt-LT"/>
        </w:rPr>
        <w:t> </w:t>
      </w:r>
      <w:r w:rsidR="00FD1988" w:rsidRPr="00B27759">
        <w:rPr>
          <w:noProof/>
          <w:szCs w:val="22"/>
          <w:lang w:val="lt-LT"/>
        </w:rPr>
        <w:t>5x </w:t>
      </w:r>
      <w:r w:rsidRPr="00B27759">
        <w:rPr>
          <w:noProof/>
          <w:szCs w:val="22"/>
          <w:lang w:val="lt-LT"/>
        </w:rPr>
        <w:t xml:space="preserve">VNR ir kurie toliau vartojo </w:t>
      </w:r>
      <w:r w:rsidR="00A74B14" w:rsidRPr="00B27759">
        <w:rPr>
          <w:noProof/>
          <w:szCs w:val="22"/>
          <w:lang w:val="lt-LT"/>
        </w:rPr>
        <w:t>f</w:t>
      </w:r>
      <w:r w:rsidRPr="00B27759">
        <w:rPr>
          <w:noProof/>
          <w:szCs w:val="22"/>
          <w:lang w:val="lt-LT"/>
        </w:rPr>
        <w:t>ingolimod</w:t>
      </w:r>
      <w:r w:rsidR="00A74B14" w:rsidRPr="00B27759">
        <w:rPr>
          <w:noProof/>
          <w:szCs w:val="22"/>
          <w:lang w:val="lt-LT"/>
        </w:rPr>
        <w:t>ą</w:t>
      </w:r>
      <w:r w:rsidRPr="00B27759">
        <w:rPr>
          <w:noProof/>
          <w:szCs w:val="22"/>
          <w:lang w:val="lt-LT"/>
        </w:rPr>
        <w:t xml:space="preserve">, ALT aktyvumas grįžo į normalias reikšmes maždaug per 5 mėnesius (taip pat žr. 4.4 skyriuje poskyrį „Kepenų funkcija“).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Nervų sistemos sutrikimai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(ŪIEM, angl., </w:t>
      </w:r>
      <w:r w:rsidRPr="00B27759">
        <w:rPr>
          <w:i/>
          <w:noProof/>
          <w:szCs w:val="22"/>
          <w:lang w:val="lt-LT"/>
        </w:rPr>
        <w:t xml:space="preserve">acute disseminated encephalomielitis - </w:t>
      </w:r>
      <w:r w:rsidRPr="00B27759">
        <w:rPr>
          <w:noProof/>
          <w:szCs w:val="22"/>
          <w:lang w:val="lt-LT"/>
        </w:rPr>
        <w:t xml:space="preserve">ADEM) panašų sutrikimą. </w:t>
      </w:r>
    </w:p>
    <w:p w:rsidR="00A74B14" w:rsidRPr="00B27759" w:rsidRDefault="00A74B14" w:rsidP="001856F1">
      <w:pPr>
        <w:autoSpaceDE w:val="0"/>
        <w:autoSpaceDN w:val="0"/>
        <w:adjustRightInd w:val="0"/>
        <w:spacing w:line="240" w:lineRule="auto"/>
        <w:rPr>
          <w:noProof/>
          <w:szCs w:val="22"/>
          <w:lang w:val="lt-LT"/>
        </w:rPr>
      </w:pP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Klinikinių tyrimų metu ir po vaistinio preparato pateikimo į rinką </w:t>
      </w:r>
      <w:r w:rsidR="00A74B14" w:rsidRPr="00B27759">
        <w:rPr>
          <w:noProof/>
          <w:szCs w:val="22"/>
          <w:lang w:val="lt-LT"/>
        </w:rPr>
        <w:t>f</w:t>
      </w:r>
      <w:r w:rsidRPr="00B27759">
        <w:rPr>
          <w:noProof/>
          <w:szCs w:val="22"/>
          <w:lang w:val="lt-LT"/>
        </w:rPr>
        <w:t>ingolimod</w:t>
      </w:r>
      <w:r w:rsidR="00A74B14" w:rsidRPr="00B27759">
        <w:rPr>
          <w:noProof/>
          <w:szCs w:val="22"/>
          <w:lang w:val="lt-LT"/>
        </w:rPr>
        <w:t>ą</w:t>
      </w:r>
      <w:r w:rsidRPr="00B27759">
        <w:rPr>
          <w:noProof/>
          <w:szCs w:val="22"/>
          <w:lang w:val="lt-LT"/>
        </w:rPr>
        <w:t xml:space="preserve"> vartojusiems pacientams nustatyta traukulių pasireiškimo, įskaitant epilepsinę būklę, atvejų.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Kraujagyslių sutrikimai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Didesnę fingolimodo dozę (1,25 mg) vartojusiems pacientams pasireiškė retų periferinių arterijų okliuzinės ligos atvejų.</w:t>
      </w:r>
    </w:p>
    <w:p w:rsidR="001856F1" w:rsidRPr="00B27759" w:rsidRDefault="001856F1" w:rsidP="001856F1">
      <w:pPr>
        <w:autoSpaceDE w:val="0"/>
        <w:autoSpaceDN w:val="0"/>
        <w:adjustRightInd w:val="0"/>
        <w:spacing w:line="240" w:lineRule="auto"/>
        <w:rPr>
          <w:noProof/>
          <w:szCs w:val="22"/>
          <w:u w:val="single"/>
          <w:lang w:val="lt-LT"/>
        </w:rPr>
      </w:pP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Kvėpavimo sistema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Fingolimod</w:t>
      </w:r>
      <w:r w:rsidR="00A74B14" w:rsidRPr="00B27759">
        <w:rPr>
          <w:noProof/>
          <w:szCs w:val="22"/>
          <w:lang w:val="lt-LT"/>
        </w:rPr>
        <w:t>ą</w:t>
      </w:r>
      <w:r w:rsidRPr="00B27759">
        <w:rPr>
          <w:noProof/>
          <w:szCs w:val="22"/>
          <w:lang w:val="lt-LT"/>
        </w:rPr>
        <w:t xml:space="preserve"> vartojusiems pacientams nustatytos nuo vaistinio preparato dozės priklausomos nedaug sumažėjusios forsuoto iškvėpimo tūrio (angl. </w:t>
      </w:r>
      <w:r w:rsidRPr="00B27759">
        <w:rPr>
          <w:i/>
          <w:iCs/>
          <w:noProof/>
          <w:szCs w:val="22"/>
          <w:lang w:val="lt-LT"/>
        </w:rPr>
        <w:t xml:space="preserve">forced expiratory volume, </w:t>
      </w:r>
      <w:r w:rsidRPr="00B27759">
        <w:rPr>
          <w:noProof/>
          <w:szCs w:val="22"/>
          <w:lang w:val="lt-LT"/>
        </w:rPr>
        <w:t>FEV</w:t>
      </w:r>
      <w:r w:rsidRPr="00B27759">
        <w:rPr>
          <w:noProof/>
          <w:szCs w:val="22"/>
          <w:vertAlign w:val="subscript"/>
          <w:lang w:val="lt-LT"/>
        </w:rPr>
        <w:t>1</w:t>
      </w:r>
      <w:r w:rsidRPr="00B27759">
        <w:rPr>
          <w:noProof/>
          <w:szCs w:val="22"/>
          <w:lang w:val="lt-LT"/>
        </w:rPr>
        <w:t xml:space="preserve">) ir anglies monoksido difuzijos talpos (angl. </w:t>
      </w:r>
      <w:r w:rsidRPr="00B27759">
        <w:rPr>
          <w:i/>
          <w:iCs/>
          <w:noProof/>
          <w:szCs w:val="22"/>
          <w:lang w:val="lt-LT"/>
        </w:rPr>
        <w:t>diffusion capacity for carbon monoxide</w:t>
      </w:r>
      <w:r w:rsidRPr="00B27759">
        <w:rPr>
          <w:noProof/>
          <w:szCs w:val="22"/>
          <w:lang w:val="lt-LT"/>
        </w:rPr>
        <w:t>, DLCO) reikšmės, jos pradeda mažėti nuo pirmojo vaistinio preparato vartojimo mėnesio ir vėliau išlieka stabilios. Po 24 mėnesių numanomos procentinės FEV</w:t>
      </w:r>
      <w:r w:rsidRPr="00B27759">
        <w:rPr>
          <w:noProof/>
          <w:szCs w:val="22"/>
          <w:vertAlign w:val="subscript"/>
          <w:lang w:val="lt-LT"/>
        </w:rPr>
        <w:t>1</w:t>
      </w:r>
      <w:r w:rsidRPr="00B27759">
        <w:rPr>
          <w:noProof/>
          <w:szCs w:val="22"/>
          <w:lang w:val="lt-LT"/>
        </w:rPr>
        <w:t xml:space="preserve"> reikšmės sumažėjimas, palyginti su pradine reikšme, buvo 2,7 % fingolimodo 0,5 mg vartojusiems pacientams ir 1,2 % placebo grupės pacientams, šis skirtumas išnyko nutraukus vaistinio preparato vartojimą. Po 24 mėnesių anglies monoksido difuzijos talpos reikšmės sumažėjimas buvo 3,3 % fingolimodo 0,5 mg vartojusiems pacientams ir 2,7 % placebo grupės pacientams</w:t>
      </w:r>
      <w:r w:rsidR="00687291">
        <w:rPr>
          <w:noProof/>
          <w:szCs w:val="22"/>
          <w:lang w:val="lt-LT"/>
        </w:rPr>
        <w:t xml:space="preserve"> (taip pat žr. </w:t>
      </w:r>
      <w:r w:rsidR="00687291" w:rsidRPr="002F7292">
        <w:rPr>
          <w:szCs w:val="22"/>
          <w:lang w:val="lt-LT"/>
        </w:rPr>
        <w:t>4.4 skyrių „Poveikis kvėpavimo sistemai“)</w:t>
      </w: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 xml:space="preserve">Limfomos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Tiek klinikinių tyrimų metu, tiek vaistinį preparatą pateikus į rinką gauta pranešimų apie pasireiškusius skirtingų tipų limfomų atvejus, įskaitant mirtį lėmusios Epšteino-Baro (angl. </w:t>
      </w:r>
      <w:r w:rsidRPr="00B27759">
        <w:rPr>
          <w:i/>
          <w:noProof/>
          <w:szCs w:val="22"/>
          <w:lang w:val="lt-LT"/>
        </w:rPr>
        <w:t>Epstein-Barr</w:t>
      </w:r>
      <w:r w:rsidRPr="00B27759">
        <w:rPr>
          <w:noProof/>
          <w:szCs w:val="22"/>
          <w:lang w:val="lt-LT"/>
        </w:rPr>
        <w:t>) 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B27759">
        <w:rPr>
          <w:i/>
          <w:noProof/>
          <w:szCs w:val="22"/>
          <w:lang w:val="lt-LT"/>
        </w:rPr>
        <w:t>mycosis fungoides</w:t>
      </w:r>
      <w:r w:rsidRPr="00B27759">
        <w:rPr>
          <w:noProof/>
          <w:szCs w:val="22"/>
          <w:lang w:val="lt-LT"/>
        </w:rPr>
        <w:t>) atvejus</w:t>
      </w:r>
      <w:r w:rsidR="00687291">
        <w:rPr>
          <w:noProof/>
          <w:szCs w:val="22"/>
          <w:lang w:val="lt-LT"/>
        </w:rPr>
        <w:t xml:space="preserve"> </w:t>
      </w:r>
      <w:r w:rsidR="00687291" w:rsidRPr="002F7292">
        <w:rPr>
          <w:szCs w:val="22"/>
          <w:lang w:val="lt-LT"/>
        </w:rPr>
        <w:t>(taip pat žr. 4.4 skyrių „Piktybiniai navikai“)</w:t>
      </w: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i/>
          <w:noProof/>
          <w:szCs w:val="22"/>
          <w:lang w:val="lt-LT"/>
        </w:rPr>
      </w:pPr>
      <w:r w:rsidRPr="00B27759">
        <w:rPr>
          <w:i/>
          <w:noProof/>
          <w:szCs w:val="22"/>
          <w:lang w:val="lt-LT"/>
        </w:rPr>
        <w:t>Hemofagocitinis sindromas</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Gauta pranešimų apie labai retus, mirtį lėmusius hemofagocitinio sindromo (angl., </w:t>
      </w:r>
      <w:r w:rsidRPr="00B27759">
        <w:rPr>
          <w:i/>
          <w:noProof/>
          <w:szCs w:val="22"/>
          <w:lang w:val="lt-LT"/>
        </w:rPr>
        <w:t>haemophagocytic syndrome</w:t>
      </w:r>
      <w:r w:rsidRPr="00B27759">
        <w:rPr>
          <w:noProof/>
          <w:szCs w:val="22"/>
          <w:lang w:val="lt-LT"/>
        </w:rPr>
        <w:t xml:space="preserve"> – HPS) atvejus, kurie pasireiškė fingolimodo vartojusiems ir infekcija sirgusiems pacientams. HPS yra reta būklė, kurios pasireiškimas susijęs su infekcijomis, imunosupresija ir įvairiomis autoimuninėmis ligomis.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u w:val="single"/>
          <w:lang w:val="lt-LT"/>
        </w:rPr>
      </w:pPr>
      <w:r w:rsidRPr="00B27759">
        <w:rPr>
          <w:noProof/>
          <w:szCs w:val="22"/>
          <w:u w:val="single"/>
          <w:lang w:val="lt-LT"/>
        </w:rPr>
        <w:t xml:space="preserve">Vaikų populiacija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Kontroliuojamojo vaikų klinikinio tyrimo D2311 duomenimis (žr. 5.1 skyrių), bendrasis saugumo savybių pobūdis vaikams (nuo 10 metų iki mažiau kaip 18 metų), vartojusiems fingolimodo 0,25 mg arba 0,5 mg paros dozę, buvo panašus kaip ir nustatytasis suaugusiems pacientams. Tačiau šio tyrimo </w:t>
      </w:r>
      <w:r w:rsidRPr="00B27759">
        <w:rPr>
          <w:noProof/>
          <w:szCs w:val="22"/>
          <w:lang w:val="lt-LT"/>
        </w:rPr>
        <w:lastRenderedPageBreak/>
        <w:t>metu vaikams pastebėta daugiau nervų sistemos ir psichikos sutrikimų. Šio pogrup</w:t>
      </w:r>
      <w:r w:rsidR="00651DF0">
        <w:rPr>
          <w:noProof/>
          <w:szCs w:val="22"/>
          <w:lang w:val="lt-LT"/>
        </w:rPr>
        <w:t>io</w:t>
      </w:r>
      <w:r w:rsidRPr="00B27759">
        <w:rPr>
          <w:noProof/>
          <w:szCs w:val="22"/>
          <w:lang w:val="lt-LT"/>
        </w:rPr>
        <w:t xml:space="preserve"> pacientams reikia laikytis atsargumo priemonių, kadangi turima labai nedaug šio klinikinio tyrimo metu gautų duomenų.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Tyrimo su vaikais metu traukulių atvejų nustatyta 5,6 % fingolimodo vartojusių pacientų ir 0,9 % interferonu beta-1a gydytų pacientų.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Žinoma, kad depresija ir nerimas dažniau pasireiškia išsėtine skleroze sergančiųjų populiacijoje. Depresijos ir nerimo atvejų taip pat buvo nustatyta fingolimodo vartojusiems vaikams.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 xml:space="preserve"> </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Fingolimodo vartojusiems vaikams pastebėta izoliuotai nedaug padidėjusio bilirubino kiekio atvejų.</w:t>
      </w:r>
    </w:p>
    <w:p w:rsidR="001856F1" w:rsidRPr="00B27759" w:rsidRDefault="001856F1" w:rsidP="001856F1">
      <w:pPr>
        <w:autoSpaceDE w:val="0"/>
        <w:autoSpaceDN w:val="0"/>
        <w:adjustRightInd w:val="0"/>
        <w:spacing w:line="240" w:lineRule="auto"/>
        <w:rPr>
          <w:noProof/>
          <w:szCs w:val="22"/>
          <w:u w:val="single"/>
          <w:lang w:val="lt-LT"/>
        </w:rPr>
      </w:pPr>
    </w:p>
    <w:p w:rsidR="001856F1" w:rsidRPr="00B27759" w:rsidRDefault="001856F1" w:rsidP="001856F1">
      <w:pPr>
        <w:autoSpaceDE w:val="0"/>
        <w:autoSpaceDN w:val="0"/>
        <w:adjustRightInd w:val="0"/>
        <w:spacing w:line="240" w:lineRule="auto"/>
        <w:rPr>
          <w:szCs w:val="22"/>
          <w:u w:val="single"/>
          <w:lang w:val="lt-LT"/>
        </w:rPr>
      </w:pPr>
      <w:r w:rsidRPr="00B27759">
        <w:rPr>
          <w:noProof/>
          <w:szCs w:val="22"/>
          <w:u w:val="single"/>
          <w:lang w:val="lt-LT"/>
        </w:rPr>
        <w:t>Pranešimas apie įtariamas nepageidaujamas reakcijas</w:t>
      </w:r>
    </w:p>
    <w:p w:rsidR="001856F1" w:rsidRPr="00B27759" w:rsidRDefault="001856F1" w:rsidP="001856F1">
      <w:pPr>
        <w:autoSpaceDE w:val="0"/>
        <w:autoSpaceDN w:val="0"/>
        <w:adjustRightInd w:val="0"/>
        <w:spacing w:line="240" w:lineRule="auto"/>
        <w:rPr>
          <w:noProof/>
          <w:szCs w:val="22"/>
          <w:lang w:val="lt-LT"/>
        </w:rPr>
      </w:pPr>
      <w:r w:rsidRPr="00B27759">
        <w:rPr>
          <w:noProof/>
          <w:szCs w:val="22"/>
          <w:lang w:val="lt-LT"/>
        </w:rPr>
        <w:t>Svarbu pranešti apie įtariamas nepageidaujamas reakcijas, pastebėtas po vaistinio preparato registracijos, nes tai leidžia nuolat stebėti vaistinio preparato naudos ir rizikos santykį.</w:t>
      </w:r>
      <w:r w:rsidRPr="00B27759">
        <w:rPr>
          <w:szCs w:val="22"/>
          <w:lang w:val="lt-LT"/>
        </w:rPr>
        <w:t xml:space="preserve"> </w:t>
      </w:r>
      <w:r w:rsidRPr="00B27759">
        <w:rPr>
          <w:noProof/>
          <w:szCs w:val="22"/>
          <w:lang w:val="lt-LT"/>
        </w:rPr>
        <w:t>Sveikatos priežiūros specialistai turi pranešti apie bet kokias įtariamas nepageidaujamas reakcijas, užpildę interneto svetainėje http://</w:t>
      </w:r>
      <w:hyperlink r:id="rId8" w:history="1">
        <w:r w:rsidRPr="00B27759">
          <w:rPr>
            <w:rStyle w:val="Hipersaitas"/>
            <w:rFonts w:eastAsia="SimSun"/>
            <w:noProof/>
            <w:szCs w:val="22"/>
            <w:lang w:val="lt-LT"/>
          </w:rPr>
          <w:t>www.vvkt.lt</w:t>
        </w:r>
      </w:hyperlink>
      <w:r w:rsidRPr="00B27759">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27759">
          <w:rPr>
            <w:rStyle w:val="Hipersaitas"/>
            <w:rFonts w:eastAsia="SimSun"/>
            <w:noProof/>
            <w:szCs w:val="22"/>
            <w:lang w:val="lt-LT"/>
          </w:rPr>
          <w:t>NepageidaujamaR@vvkt.lt</w:t>
        </w:r>
      </w:hyperlink>
      <w:r w:rsidRPr="00B27759">
        <w:rPr>
          <w:noProof/>
          <w:szCs w:val="22"/>
          <w:lang w:val="lt-LT"/>
        </w:rPr>
        <w:t>), per interneto svetainę (adresu http://www.vvkt.lt).</w:t>
      </w:r>
    </w:p>
    <w:p w:rsidR="001856F1" w:rsidRPr="00B27759" w:rsidRDefault="001856F1" w:rsidP="001856F1">
      <w:pPr>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4.9</w:t>
      </w:r>
      <w:r w:rsidRPr="00B27759">
        <w:rPr>
          <w:rFonts w:ascii="Times New Roman" w:hAnsi="Times New Roman"/>
          <w:sz w:val="22"/>
          <w:szCs w:val="22"/>
          <w:lang w:val="lt-LT"/>
        </w:rPr>
        <w:tab/>
        <w:t>Perdozavimas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Nustatyta, kad sveiki suaugę savanoriai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Pradėjus skirti gydymą, fingolimodas gali sukelti bradikardiją. Po pirmosios vaistinio preparato dozės vartojimo širdies susitraukimų dažnis paprastai pradeda mažėti praėjus vienai valandai, o mažiausias būna per 6 valandas. Neigiamas chronotropinis </w:t>
      </w:r>
      <w:r w:rsidR="00A74B14" w:rsidRPr="00B27759">
        <w:rPr>
          <w:szCs w:val="22"/>
          <w:lang w:val="lt-LT"/>
        </w:rPr>
        <w:t>f</w:t>
      </w:r>
      <w:r w:rsidRPr="00B27759">
        <w:rPr>
          <w:szCs w:val="22"/>
          <w:lang w:val="lt-LT"/>
        </w:rPr>
        <w:t>ingolimod</w:t>
      </w:r>
      <w:r w:rsidR="00A74B14" w:rsidRPr="00B27759">
        <w:rPr>
          <w:szCs w:val="22"/>
          <w:lang w:val="lt-LT"/>
        </w:rPr>
        <w:t>o</w:t>
      </w:r>
      <w:r w:rsidRPr="00B27759">
        <w:rPr>
          <w:szCs w:val="22"/>
          <w:lang w:val="lt-LT"/>
        </w:rPr>
        <w:t xml:space="preserve"> poveikis išlieka ir po 6 valandų, tačiau kitomis vaistinio preparato vartojimo dienomis laipsniškai silpnėja (išsamesnė informacija pateikta 4.4 skyriuje). Gauta pranešimų apie pasireiškusius sulėtėjusio atrioventrikulinio laidumo atvejus, įskaitant pavienius laikinos, savaime praeinančios visiškos AV blokados atvejus (žr. 4.4 ir 4.8 skyrius).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Jeigu perdozavimas sutampa su pirmuoju </w:t>
      </w:r>
      <w:r w:rsidR="00A74B14" w:rsidRPr="00B27759">
        <w:rPr>
          <w:szCs w:val="22"/>
          <w:lang w:val="lt-LT"/>
        </w:rPr>
        <w:t>f</w:t>
      </w:r>
      <w:r w:rsidRPr="00B27759">
        <w:rPr>
          <w:szCs w:val="22"/>
          <w:lang w:val="lt-LT"/>
        </w:rPr>
        <w:t>ingolimod</w:t>
      </w:r>
      <w:r w:rsidR="00A74B14" w:rsidRPr="00B27759">
        <w:rPr>
          <w:szCs w:val="22"/>
          <w:lang w:val="lt-LT"/>
        </w:rPr>
        <w:t>o</w:t>
      </w:r>
      <w:r w:rsidRPr="00B27759">
        <w:rPr>
          <w:szCs w:val="22"/>
          <w:lang w:val="lt-LT"/>
        </w:rPr>
        <w:t xml:space="preserve"> pavartojimu, svarbu pacientų būklę stebėti bent pirmąsias 6 valandas registruojant nuolatinę (realaus laiko) EKG ir kas valandą matuojant širdies susitraukimų dažnį bei kraujospūdį (žr. 4.4 skyrių).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QTc intervalas yra ≥500 ms, paciento būklę reikia toliau stebėti mažiausiai per naktį, kol simptomai išnyks. Jeigu bet kuriuo metu pasireikštų trečiojo laipsnio AV blokada, paciento būklę taip pat reikia toliau stebėti (mažiausiai per naktį).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Fingolimodo negalima pašalinti iš organizmo nei dializės, nei pakaitinės plazmos terapijos būdu.</w:t>
      </w:r>
    </w:p>
    <w:p w:rsidR="001856F1" w:rsidRPr="00B27759" w:rsidRDefault="001856F1" w:rsidP="001856F1">
      <w:pPr>
        <w:spacing w:line="240" w:lineRule="auto"/>
        <w:rPr>
          <w:szCs w:val="22"/>
          <w:lang w:val="lt-LT"/>
        </w:rPr>
      </w:pPr>
    </w:p>
    <w:p w:rsidR="00052342" w:rsidRPr="00B27759" w:rsidRDefault="00052342" w:rsidP="001856F1">
      <w:pPr>
        <w:pStyle w:val="Antrat3"/>
        <w:spacing w:before="0" w:after="0" w:line="240" w:lineRule="auto"/>
        <w:rPr>
          <w:rFonts w:ascii="Times New Roman" w:hAnsi="Times New Roman"/>
          <w:sz w:val="22"/>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5.</w:t>
      </w:r>
      <w:r w:rsidRPr="00B27759">
        <w:rPr>
          <w:rFonts w:ascii="Times New Roman" w:hAnsi="Times New Roman"/>
          <w:sz w:val="22"/>
          <w:szCs w:val="22"/>
          <w:lang w:val="lt-LT"/>
        </w:rPr>
        <w:tab/>
        <w:t>FARMAKOLOGINĖS SAVYBĖS</w:t>
      </w:r>
    </w:p>
    <w:p w:rsidR="001856F1" w:rsidRPr="00B27759" w:rsidRDefault="001856F1" w:rsidP="001856F1">
      <w:pPr>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5.1</w:t>
      </w:r>
      <w:r w:rsidRPr="00B27759">
        <w:rPr>
          <w:rFonts w:ascii="Times New Roman" w:hAnsi="Times New Roman"/>
          <w:bCs w:val="0"/>
          <w:sz w:val="22"/>
          <w:szCs w:val="22"/>
          <w:lang w:val="lt-LT"/>
        </w:rPr>
        <w:t xml:space="preserve"> </w:t>
      </w:r>
      <w:r w:rsidRPr="00B27759">
        <w:rPr>
          <w:rFonts w:ascii="Times New Roman" w:hAnsi="Times New Roman"/>
          <w:sz w:val="22"/>
          <w:szCs w:val="22"/>
          <w:lang w:val="lt-LT"/>
        </w:rPr>
        <w:tab/>
        <w:t>Farmakodinaminės savybės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Farmakoterapinė grupė – imunosupresantai, </w:t>
      </w:r>
      <w:r w:rsidR="009E29DA">
        <w:rPr>
          <w:szCs w:val="22"/>
          <w:lang w:val="lt-LT"/>
        </w:rPr>
        <w:t>sfingozino-1-fosfato (S1P) receptorių moduliatoriai</w:t>
      </w:r>
      <w:r w:rsidRPr="00B27759">
        <w:rPr>
          <w:szCs w:val="22"/>
          <w:lang w:val="lt-LT"/>
        </w:rPr>
        <w:t xml:space="preserve">, ATC kodas – </w:t>
      </w:r>
      <w:r w:rsidR="00A26680" w:rsidRPr="002F5D9D">
        <w:rPr>
          <w:lang w:val="lt-LT"/>
        </w:rPr>
        <w:t>L04AE01</w:t>
      </w:r>
      <w:r w:rsidRPr="00B27759">
        <w:rPr>
          <w:szCs w:val="22"/>
          <w:lang w:val="lt-LT"/>
        </w:rPr>
        <w:t>.</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noProof/>
          <w:szCs w:val="22"/>
          <w:u w:val="single"/>
          <w:lang w:val="lt-LT"/>
        </w:rPr>
        <w:lastRenderedPageBreak/>
        <w:t>Veikimo mechanizmas</w:t>
      </w:r>
    </w:p>
    <w:p w:rsidR="001856F1" w:rsidRPr="00B27759" w:rsidRDefault="001856F1" w:rsidP="001856F1">
      <w:pPr>
        <w:spacing w:line="240" w:lineRule="auto"/>
        <w:rPr>
          <w:szCs w:val="22"/>
          <w:lang w:val="lt-LT"/>
        </w:rPr>
      </w:pPr>
      <w:r w:rsidRPr="00B27759">
        <w:rPr>
          <w:szCs w:val="22"/>
          <w:lang w:val="lt-LT"/>
        </w:rPr>
        <w:t xml:space="preserve">Fingolimodas yra sfingozino 1-fosfato receptoriaus moduliatorius. Fingolimodas sfingozino kinazės poveikyje metabolizuojamas iki aktyvaus metabolito fingolimodo fosfato. Esant nedidelėms nanomolinėms koncentracijoms, fingolimodo fosfatas prisijungia prie limfocitų paviršiuje esančio sfingozino 1-fosfato (S1P) receptoriaus 1 ir lengvai praeina pro hematoencefalinį barjerą, tuomet prisijungia prie S1P receptoriaus 1, esančio centrinės nervų sistemos (CNS) neuronų paviršiuje.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B27759">
        <w:rPr>
          <w:i/>
          <w:szCs w:val="22"/>
          <w:lang w:val="lt-LT"/>
        </w:rPr>
        <w:t>in vitro</w:t>
      </w:r>
      <w:r w:rsidRPr="00B27759">
        <w:rPr>
          <w:szCs w:val="22"/>
          <w:lang w:val="lt-LT"/>
        </w:rPr>
        <w:t xml:space="preserve"> eksperimentų duomenys rodo, kad fingolimodas taip pat gali veikti sąveikaudamas su nervinių ląstelių S1P receptoriais.</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szCs w:val="22"/>
          <w:u w:val="single"/>
          <w:lang w:val="lt-LT"/>
        </w:rPr>
      </w:pPr>
      <w:r w:rsidRPr="00B27759">
        <w:rPr>
          <w:noProof/>
          <w:szCs w:val="22"/>
          <w:u w:val="single"/>
          <w:lang w:val="lt-LT"/>
        </w:rPr>
        <w:t>Farmakodinaminis poveikis</w:t>
      </w:r>
    </w:p>
    <w:p w:rsidR="001856F1" w:rsidRPr="00B27759" w:rsidRDefault="001856F1" w:rsidP="001856F1">
      <w:pPr>
        <w:spacing w:line="240" w:lineRule="auto"/>
        <w:rPr>
          <w:szCs w:val="22"/>
          <w:lang w:val="lt-LT"/>
        </w:rPr>
      </w:pPr>
      <w:r w:rsidRPr="00B27759">
        <w:rPr>
          <w:szCs w:val="22"/>
          <w:lang w:val="lt-LT"/>
        </w:rPr>
        <w:t>Per 4-6 valandas po pirmosios 0,5 mg fingolimodo dozės vartojimo, limfocitų skaičius periferiniame kraujyje sumažėja iki maždaug 75 % pradinės reikšmės. Toliau kasdien vartojant vaistinio preparato, limfocitų skaičius dviejų savaičių laikotarpiu toliau mažėja ir pasiekia mažiausią maždaug 500 ląstelių/mikrolitre skaičių arba maždaug 30 % pradinės reikšmės. 18 % pacientų bent vieno tyrimo me</w:t>
      </w:r>
      <w:r w:rsidR="00FD1988" w:rsidRPr="00B27759">
        <w:rPr>
          <w:szCs w:val="22"/>
          <w:lang w:val="lt-LT"/>
        </w:rPr>
        <w:t>tu nustatytas mažesnis kaip 200 </w:t>
      </w:r>
      <w:r w:rsidRPr="00B27759">
        <w:rPr>
          <w:szCs w:val="22"/>
          <w:lang w:val="lt-LT"/>
        </w:rPr>
        <w:t xml:space="preserve">ląstelių/mikrolitre skaičius. Ilgą laiką kasdien vartojant vaistinio preparato, mažas limfocitų skaičius išlieka. Dauguma T ir B limfocitų reguliariai cirkuliuoja pro limfoidinius organus; fingolimodas daugiausia veikia būtent šias ląsteles. Maždaug 15-20 % T limfocitų turi efektorinį atminties ląstelių fenotipą, jie svarbūs periferinei imuninei apsaugai. Kadangi šis limfocitų potipis paprastai pro limfoidinius organus necirkuliuoja, fingolimodas šių ląstelių neveikia. Nutraukus fingolimodo vartojimą, per keletą dienų pastebimas periferinių limfocitų skaičiaus didėjimas, paprastai normalios jų skaičiaus reikšmės pasiekiamos per 1-2 mėnesius. Ilgalaikis fingolimodo vartojimas sukelia nesunkų neutrofilų skaičiaus sumažėjimą iki maždaug 80 % pradinės reikšmės. Fingolimodas neįtakoja monocitų skaičiaus.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Fingolimod</w:t>
      </w:r>
      <w:r w:rsidR="00052342" w:rsidRPr="00B27759">
        <w:rPr>
          <w:szCs w:val="22"/>
          <w:lang w:val="lt-LT"/>
        </w:rPr>
        <w:t>as</w:t>
      </w:r>
      <w:r w:rsidRPr="00B27759">
        <w:rPr>
          <w:szCs w:val="22"/>
          <w:lang w:val="lt-LT"/>
        </w:rPr>
        <w:t xml:space="preserve"> sukelia laikiną širdies susitraukimų dažnio sumažėjimą ir atrioventrikulinio laidumo sulėtėjimą (žr. 4.4 ir 4.8 skyrius). Daugiausia širdies susitraukimų dažnis sumažėja per 6 valandas po vaistinio preparato dozės vartojimo, pirmąją parą pasiekiamas 70 % neigiamas chronotropinis poveikis. Tęsiant vaistinio preparato vartojimą, širdies susitraukimų dažnis per vieną mėnesį grįžta į pradines reikšmes. Fingolimodo sukeltą sumažėjusį širdies susitraukimų dažnį galima atstatyti parenteriniu būdu paskyrus atropino ar izoprenalino. Taip pat nustatyta, kad inhaliuojamasis salmeterolis pasižymi vidutiniškai stipriu teigiamu chronotropiniu poveikiu. Pradėjus skirti fingolimodo, padidėja priešlaikinio prieširdžių susitraukimo rizika, tačiau padidėjusio prieširdžių virpėjimo ar plazdėjimo, skilvelinių ritmo sutrikimų ar ektopinių ritmo sutrikimų pasireiškimo dažnio nenustatyta. Fingolimodo vartojimas nesusijęs su sumažėjusia širdies išstūmimo funkcija. Fingolimodo vartojimas neįtakoja autonominės širdies funkcijos reguliacijos, įskaitant širdies susitraukimų dažnio pokyčius per parą ir reakciją į fizinį krūvį.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Įtaka S1P4 receptoriui gali iš dalies prisidėti prie </w:t>
      </w:r>
      <w:r w:rsidR="00651DF0">
        <w:rPr>
          <w:szCs w:val="22"/>
          <w:lang w:val="lt-LT"/>
        </w:rPr>
        <w:t xml:space="preserve">vaistinio </w:t>
      </w:r>
      <w:r w:rsidRPr="00B27759">
        <w:rPr>
          <w:szCs w:val="22"/>
          <w:lang w:val="lt-LT"/>
        </w:rPr>
        <w:t xml:space="preserve">preparato poveikio, tačiau tai nėra pagrindinis receptorius, atsakingas už pasireiškiantį limfocitų kiekio sumažėjimą. Veikimo mechanizmas bradikardijos ir vazokonstrikcijos pasireiškimui taip pat buvo tirtas </w:t>
      </w:r>
      <w:r w:rsidRPr="00B27759">
        <w:rPr>
          <w:i/>
          <w:szCs w:val="22"/>
          <w:lang w:val="lt-LT"/>
        </w:rPr>
        <w:t>in vitro</w:t>
      </w:r>
      <w:r w:rsidRPr="00B27759">
        <w:rPr>
          <w:szCs w:val="22"/>
          <w:lang w:val="lt-LT"/>
        </w:rPr>
        <w:t xml:space="preserve"> su jūrų kiaulyčių ir izoliuotomis triušių aortomis bei vainikinėmis arterijomis. Nustatyta, kad bradikardiją pirmiausia gali lemti į vidų nukreiptų kalio kanalų arba G baltymo aktyvinamų į vidų nukreiptų K+ kanalų (angl. </w:t>
      </w:r>
      <w:r w:rsidRPr="00B27759">
        <w:rPr>
          <w:i/>
          <w:szCs w:val="22"/>
          <w:lang w:val="lt-LT"/>
        </w:rPr>
        <w:t>IKACh/GIRK)</w:t>
      </w:r>
      <w:r w:rsidRPr="00B27759">
        <w:rPr>
          <w:szCs w:val="22"/>
          <w:lang w:val="lt-LT"/>
        </w:rPr>
        <w:t xml:space="preserve"> aktyvavimas, o vazokonstrikciją, atrodo, lemia Rho kinazės ir nuo kalcio priklausomi mechanizmai.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Fingolimodo vienkartinių ar kartotinių 0,5 mg ir 1,25 mg dozių vartojimas dvi savaites nebuvo susijęs su reikšmingai padidėjusiu kvėpavimo takų rezistentiškumu, išmatuotu FEV</w:t>
      </w:r>
      <w:r w:rsidRPr="00B27759">
        <w:rPr>
          <w:szCs w:val="22"/>
          <w:vertAlign w:val="subscript"/>
          <w:lang w:val="lt-LT"/>
        </w:rPr>
        <w:t>1</w:t>
      </w:r>
      <w:r w:rsidRPr="00B27759">
        <w:rPr>
          <w:szCs w:val="22"/>
          <w:lang w:val="lt-LT"/>
        </w:rPr>
        <w:t xml:space="preserve"> rodikliu ir forsuoto iškvėpimo greičio (angl. f</w:t>
      </w:r>
      <w:r w:rsidRPr="00B27759">
        <w:rPr>
          <w:i/>
          <w:szCs w:val="22"/>
          <w:lang w:val="lt-LT"/>
        </w:rPr>
        <w:t>orced expiratory flow</w:t>
      </w:r>
      <w:r w:rsidRPr="00B27759">
        <w:rPr>
          <w:szCs w:val="22"/>
          <w:lang w:val="lt-LT"/>
        </w:rPr>
        <w:t xml:space="preserve">, FEF) 25-75 rodikliu. Tačiau vienkartinių ≥5 mg fingolimodo dozių (10 kartų didesnių nei rekomenduojama dozė) vartojimas buvo susijęs su nuo dozės priklausomu kvėpavimo takų rezistentiškumo padidėjimu. Kartotinių 0,5 mg, 1,25 mg ir 5 mg fingolimodo dozių vartojimas nebuvo susijęs su sutrikusiu prisotinimu deguonimi, sumažėjusiu prisotinimu deguonimi fizinio krūvio metu ir sustiprėjusia kvėpavimo takų reakcija į metacholiną. </w:t>
      </w:r>
      <w:r w:rsidRPr="00B27759">
        <w:rPr>
          <w:szCs w:val="22"/>
          <w:lang w:val="lt-LT"/>
        </w:rPr>
        <w:lastRenderedPageBreak/>
        <w:t>Fingolimodo vartojantiems asmenims pasireiškia normalus bronchus plečiantis atsakas inhaliavus beta-agonistų.</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szCs w:val="22"/>
          <w:u w:val="single"/>
          <w:lang w:val="lt-LT"/>
        </w:rPr>
      </w:pPr>
      <w:r w:rsidRPr="00B27759">
        <w:rPr>
          <w:noProof/>
          <w:szCs w:val="22"/>
          <w:u w:val="single"/>
          <w:lang w:val="lt-LT"/>
        </w:rPr>
        <w:t>Klinikinis veiksmingumas ir saugumas</w:t>
      </w:r>
    </w:p>
    <w:p w:rsidR="001856F1" w:rsidRPr="00B27759" w:rsidRDefault="001856F1" w:rsidP="001856F1">
      <w:pPr>
        <w:spacing w:line="240" w:lineRule="auto"/>
        <w:rPr>
          <w:szCs w:val="22"/>
          <w:lang w:val="lt-LT"/>
        </w:rPr>
      </w:pPr>
      <w:r w:rsidRPr="00B27759">
        <w:rPr>
          <w:szCs w:val="22"/>
          <w:lang w:val="lt-LT"/>
        </w:rPr>
        <w:t xml:space="preserve">Fingolimodo veiksmingumas nustatytas atlikus du klinikinius tyrimus, kurių metu buvo tiriamas kartą per parą vartojamų 0,5 mg ir 1,25 mg fingolimodo dozių poveikis recidyvuojančia-remituojančia išsėtine skleroze (RRIS) sergantiems suaugusiems pacientams. Abiejuose tyrimuose dalyvavo suaugę pacientai, kuriems pasireiškė ≥2 recidyvai per pastaruosius 2 metus arba ≥1 recidyvas per pastaruosius vienerius metus. Pacientų būklės įvertinimas pagal Išplėstinę negalios vertinimo skalę (angl. </w:t>
      </w:r>
      <w:r w:rsidRPr="00B27759">
        <w:rPr>
          <w:i/>
          <w:szCs w:val="22"/>
          <w:lang w:val="lt-LT"/>
        </w:rPr>
        <w:t>Expanded Disability Status Score – EDSS)</w:t>
      </w:r>
      <w:r w:rsidRPr="00B27759">
        <w:rPr>
          <w:szCs w:val="22"/>
          <w:lang w:val="lt-LT"/>
        </w:rPr>
        <w:t xml:space="preserve"> buvo nuo 0 iki 5,5 balo. Trečiasis klinikinis tyrimas, kuriame dalyvavo tokia pati tiriamoji suaugusiųjų populiacija, buvo baigtas po fingolimodo registracijos.</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Tyrimas D2301 (FREEDOMS) buvo 2 metų trukmės, atsitiktinių imčių, dvigubai koduotu būdu atliktas, placebu kontroliuojamas III fazės klinikinis tyrimas, kuriame dalyvavo 1 272 pacientai (425 pacientai vartojo 0,5 mg, 429 pacientai vartojo 1,25 mg fingolimodo, 418 pacientų vartojo placebo). Tyrimo pradžioje pacientų rodiklių reikšmių medianos buvo tokios: amžiaus mediana buvo 37 metai, ligos trukmės mediana – 6,7 metų, o EDSS skalės įvertinimo mediana – 2,0 balo. Tyrimo baigčių rezultatai pateikti 1 lentelėje. Reikšmingų skirtumų tarp 0,5 mg ir 1,25 mg fingolimodo dozių pagal bet kurias vertinamąsias baigtis nustatyta nebuvo.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b/>
          <w:szCs w:val="22"/>
          <w:lang w:val="lt-LT"/>
        </w:rPr>
      </w:pPr>
      <w:r w:rsidRPr="00B27759">
        <w:rPr>
          <w:b/>
          <w:szCs w:val="22"/>
          <w:lang w:val="lt-LT"/>
        </w:rPr>
        <w:t>1 lentelė. Tyrimas D2301 (FREEDOMS): svarbiausi rezultatai</w:t>
      </w:r>
    </w:p>
    <w:p w:rsidR="001856F1" w:rsidRPr="00B27759" w:rsidRDefault="001856F1" w:rsidP="001856F1">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B27759" w:rsidTr="00684A34">
        <w:trPr>
          <w:trHeight w:val="516"/>
        </w:trPr>
        <w:tc>
          <w:tcPr>
            <w:tcW w:w="5565" w:type="dxa"/>
            <w:shd w:val="clear" w:color="auto" w:fill="auto"/>
          </w:tcPr>
          <w:p w:rsidR="00052342" w:rsidRPr="00B27759" w:rsidRDefault="00052342" w:rsidP="00052342">
            <w:pPr>
              <w:spacing w:line="240" w:lineRule="auto"/>
              <w:jc w:val="center"/>
              <w:rPr>
                <w:szCs w:val="22"/>
                <w:u w:val="single"/>
                <w:lang w:val="lt-LT"/>
              </w:rPr>
            </w:pPr>
            <w:r w:rsidRPr="00B27759">
              <w:rPr>
                <w:b/>
                <w:szCs w:val="22"/>
                <w:lang w:val="lt-LT"/>
              </w:rPr>
              <w:t>Klinikinės vertinamosios baigtys</w:t>
            </w:r>
          </w:p>
        </w:tc>
        <w:tc>
          <w:tcPr>
            <w:tcW w:w="1916" w:type="dxa"/>
            <w:shd w:val="clear" w:color="auto" w:fill="auto"/>
          </w:tcPr>
          <w:p w:rsidR="00052342" w:rsidRPr="00B27759" w:rsidRDefault="00052342" w:rsidP="00052342">
            <w:pPr>
              <w:spacing w:line="240" w:lineRule="auto"/>
              <w:jc w:val="center"/>
              <w:rPr>
                <w:b/>
                <w:szCs w:val="22"/>
                <w:lang w:val="lt-LT"/>
              </w:rPr>
            </w:pPr>
            <w:r w:rsidRPr="00B27759">
              <w:rPr>
                <w:b/>
                <w:szCs w:val="22"/>
                <w:lang w:val="lt-LT"/>
              </w:rPr>
              <w:t>Fingolimodas 0,5 mg</w:t>
            </w:r>
          </w:p>
        </w:tc>
        <w:tc>
          <w:tcPr>
            <w:tcW w:w="1579" w:type="dxa"/>
            <w:shd w:val="clear" w:color="auto" w:fill="auto"/>
          </w:tcPr>
          <w:p w:rsidR="00052342" w:rsidRPr="00B27759" w:rsidRDefault="00052342" w:rsidP="00052342">
            <w:pPr>
              <w:spacing w:line="240" w:lineRule="auto"/>
              <w:jc w:val="center"/>
              <w:rPr>
                <w:b/>
                <w:szCs w:val="22"/>
                <w:lang w:val="lt-LT"/>
              </w:rPr>
            </w:pPr>
            <w:r w:rsidRPr="00B27759">
              <w:rPr>
                <w:b/>
                <w:szCs w:val="22"/>
                <w:lang w:val="lt-LT"/>
              </w:rPr>
              <w:t>Placebas</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Apskaičiuotas ligos recidyvų dažnis per metus (pirminė vertinamoji baigtis)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0,18**</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0,40</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Pacientų, kuriems po 24 mėnesių nepasireiškė ligos recidyvų, procentinė dalis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70 </w:t>
            </w:r>
            <w:r w:rsidR="001856F1" w:rsidRPr="00B27759">
              <w:rPr>
                <w:szCs w:val="22"/>
                <w:lang w:val="lt-LT"/>
              </w:rPr>
              <w:t>%**</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46 </w:t>
            </w:r>
            <w:r w:rsidR="001856F1" w:rsidRPr="00B27759">
              <w:rPr>
                <w:szCs w:val="22"/>
                <w:lang w:val="lt-LT"/>
              </w:rPr>
              <w:t>%</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 xml:space="preserve">Pacientų, kuriems patvirtintas 3 mėnesių trukmės negalios progresavimas, dalis† </w:t>
            </w:r>
          </w:p>
          <w:p w:rsidR="001856F1" w:rsidRPr="00B27759" w:rsidRDefault="001856F1" w:rsidP="00F32599">
            <w:pPr>
              <w:spacing w:line="240" w:lineRule="auto"/>
              <w:rPr>
                <w:szCs w:val="22"/>
                <w:lang w:val="lt-LT"/>
              </w:rPr>
            </w:pPr>
            <w:r w:rsidRPr="00B27759">
              <w:rPr>
                <w:szCs w:val="22"/>
                <w:lang w:val="lt-LT"/>
              </w:rPr>
              <w:t>Rizikos santykis (95 % PI)</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17 </w:t>
            </w:r>
            <w:r w:rsidR="001856F1" w:rsidRPr="00B27759">
              <w:rPr>
                <w:szCs w:val="22"/>
                <w:lang w:val="lt-LT"/>
              </w:rPr>
              <w:t>%</w:t>
            </w:r>
          </w:p>
          <w:p w:rsidR="001856F1" w:rsidRPr="00B27759" w:rsidRDefault="001856F1" w:rsidP="00052342">
            <w:pPr>
              <w:spacing w:line="240" w:lineRule="auto"/>
              <w:jc w:val="center"/>
              <w:rPr>
                <w:szCs w:val="22"/>
                <w:lang w:val="lt-LT"/>
              </w:rPr>
            </w:pPr>
            <w:r w:rsidRPr="00B27759">
              <w:rPr>
                <w:szCs w:val="22"/>
                <w:lang w:val="lt-LT"/>
              </w:rPr>
              <w:t>0,70 (0,52, 0,96)*</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24 </w:t>
            </w:r>
            <w:r w:rsidR="001856F1" w:rsidRPr="00B27759">
              <w:rPr>
                <w:szCs w:val="22"/>
                <w:lang w:val="lt-LT"/>
              </w:rPr>
              <w:t>%</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b/>
                <w:szCs w:val="22"/>
                <w:lang w:val="lt-LT"/>
              </w:rPr>
              <w:t>MRT vertinamosios baigtys</w:t>
            </w:r>
          </w:p>
        </w:tc>
        <w:tc>
          <w:tcPr>
            <w:tcW w:w="1916" w:type="dxa"/>
            <w:shd w:val="clear" w:color="auto" w:fill="auto"/>
          </w:tcPr>
          <w:p w:rsidR="001856F1" w:rsidRPr="00B27759" w:rsidRDefault="001856F1" w:rsidP="00052342">
            <w:pPr>
              <w:spacing w:line="240" w:lineRule="auto"/>
              <w:jc w:val="center"/>
              <w:rPr>
                <w:szCs w:val="22"/>
                <w:lang w:val="lt-LT"/>
              </w:rPr>
            </w:pPr>
          </w:p>
        </w:tc>
        <w:tc>
          <w:tcPr>
            <w:tcW w:w="1579" w:type="dxa"/>
            <w:shd w:val="clear" w:color="auto" w:fill="auto"/>
          </w:tcPr>
          <w:p w:rsidR="001856F1" w:rsidRPr="00B27759" w:rsidRDefault="001856F1" w:rsidP="00052342">
            <w:pPr>
              <w:spacing w:line="240" w:lineRule="auto"/>
              <w:jc w:val="center"/>
              <w:rPr>
                <w:szCs w:val="22"/>
                <w:lang w:val="lt-LT"/>
              </w:rPr>
            </w:pP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Naujų ar naujai padidėjusių pažaidų T2 režime skaičiaus mediana (vidurkis) per 24 mėnesius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0,0 (2,5)**</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5,0 (9,8)</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Gd-kaupiančių pažaidų skaičiaus mediana (vidurkis) 24 -ąjį mėnesį</w:t>
            </w:r>
          </w:p>
        </w:tc>
        <w:tc>
          <w:tcPr>
            <w:tcW w:w="1916" w:type="dxa"/>
            <w:shd w:val="clear" w:color="auto" w:fill="auto"/>
          </w:tcPr>
          <w:p w:rsidR="001856F1" w:rsidRPr="00B27759" w:rsidRDefault="001856F1" w:rsidP="00052342">
            <w:pPr>
              <w:spacing w:line="240" w:lineRule="auto"/>
              <w:jc w:val="center"/>
              <w:rPr>
                <w:szCs w:val="22"/>
                <w:lang w:val="lt-LT"/>
              </w:rPr>
            </w:pPr>
            <w:r w:rsidRPr="00B27759">
              <w:rPr>
                <w:szCs w:val="22"/>
                <w:lang w:val="lt-LT"/>
              </w:rPr>
              <w:t>0,0 (0,2)**</w:t>
            </w:r>
          </w:p>
        </w:tc>
        <w:tc>
          <w:tcPr>
            <w:tcW w:w="1579" w:type="dxa"/>
            <w:shd w:val="clear" w:color="auto" w:fill="auto"/>
          </w:tcPr>
          <w:p w:rsidR="001856F1" w:rsidRPr="00B27759" w:rsidRDefault="001856F1" w:rsidP="00052342">
            <w:pPr>
              <w:spacing w:line="240" w:lineRule="auto"/>
              <w:jc w:val="center"/>
              <w:rPr>
                <w:szCs w:val="22"/>
                <w:lang w:val="lt-LT"/>
              </w:rPr>
            </w:pPr>
            <w:r w:rsidRPr="00B27759">
              <w:rPr>
                <w:szCs w:val="22"/>
                <w:lang w:val="lt-LT"/>
              </w:rPr>
              <w:t>0,0 (1,1)</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Smegenų tūrio procentinio pokyčio mediana (vidurkis) per 24 mėnesius, %</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-0,7 (-0,8)**</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-1,0 (-1,3)</w:t>
            </w:r>
          </w:p>
        </w:tc>
      </w:tr>
      <w:tr w:rsidR="001856F1" w:rsidRPr="00B27759" w:rsidTr="00684A34">
        <w:tc>
          <w:tcPr>
            <w:tcW w:w="9060" w:type="dxa"/>
            <w:gridSpan w:val="3"/>
            <w:shd w:val="clear" w:color="auto" w:fill="auto"/>
          </w:tcPr>
          <w:p w:rsidR="001856F1" w:rsidRPr="00B27759" w:rsidRDefault="001856F1" w:rsidP="00F32599">
            <w:pPr>
              <w:ind w:left="567" w:hanging="567"/>
              <w:rPr>
                <w:szCs w:val="22"/>
                <w:lang w:val="lt-LT"/>
              </w:rPr>
            </w:pPr>
            <w:r w:rsidRPr="00B27759">
              <w:rPr>
                <w:szCs w:val="22"/>
                <w:lang w:val="lt-LT"/>
              </w:rPr>
              <w:t>†</w:t>
            </w:r>
            <w:r w:rsidR="00B74B8C" w:rsidRPr="00B27759">
              <w:rPr>
                <w:szCs w:val="22"/>
                <w:lang w:val="lt-LT"/>
              </w:rPr>
              <w:t xml:space="preserve"> </w:t>
            </w:r>
            <w:r w:rsidRPr="00B27759">
              <w:rPr>
                <w:szCs w:val="22"/>
                <w:lang w:val="lt-LT"/>
              </w:rPr>
              <w:t xml:space="preserve">Negalios progresavimas apibūdinamas kaip patvirtintas 1 balu padidėjęs EDSS skalės įvertinimas po 3 mėnesių </w:t>
            </w:r>
          </w:p>
          <w:p w:rsidR="001856F1" w:rsidRPr="00B27759" w:rsidRDefault="001856F1" w:rsidP="00F32599">
            <w:pPr>
              <w:rPr>
                <w:szCs w:val="22"/>
                <w:lang w:val="lt-LT"/>
              </w:rPr>
            </w:pPr>
            <w:r w:rsidRPr="00B27759">
              <w:rPr>
                <w:szCs w:val="22"/>
                <w:lang w:val="lt-LT"/>
              </w:rPr>
              <w:t xml:space="preserve">** p &lt; 0,001, *p &lt; 0,05, palyginti su placebo grupe </w:t>
            </w:r>
          </w:p>
          <w:p w:rsidR="001856F1" w:rsidRPr="00B27759" w:rsidRDefault="001856F1" w:rsidP="00052342">
            <w:pPr>
              <w:rPr>
                <w:szCs w:val="22"/>
                <w:u w:val="single"/>
                <w:lang w:val="lt-LT"/>
              </w:rPr>
            </w:pPr>
            <w:r w:rsidRPr="00B27759">
              <w:rPr>
                <w:szCs w:val="22"/>
                <w:lang w:val="lt-LT"/>
              </w:rPr>
              <w:t xml:space="preserve">Visi klinikinių vertinamųjų baigčių skaičiavimai atlikti </w:t>
            </w:r>
            <w:r w:rsidR="00052342" w:rsidRPr="00B27759">
              <w:rPr>
                <w:szCs w:val="22"/>
                <w:lang w:val="lt-LT"/>
              </w:rPr>
              <w:t>numatyt</w:t>
            </w:r>
            <w:r w:rsidRPr="00B27759">
              <w:rPr>
                <w:szCs w:val="22"/>
                <w:lang w:val="lt-LT"/>
              </w:rPr>
              <w:t xml:space="preserve">ų gydyti pacientų (angl. </w:t>
            </w:r>
            <w:r w:rsidRPr="00B27759">
              <w:rPr>
                <w:i/>
                <w:szCs w:val="22"/>
                <w:lang w:val="lt-LT"/>
              </w:rPr>
              <w:t>intent-to-treat</w:t>
            </w:r>
            <w:r w:rsidRPr="00B27759">
              <w:rPr>
                <w:szCs w:val="22"/>
                <w:lang w:val="lt-LT"/>
              </w:rPr>
              <w:t xml:space="preserve">) populiacijoje. MRT rodiklių skaičiavimai atlikti naudojant įvertinamus duomenis. </w:t>
            </w:r>
          </w:p>
        </w:tc>
      </w:tr>
    </w:tbl>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szCs w:val="22"/>
          <w:lang w:val="lt-LT"/>
        </w:rPr>
      </w:pPr>
      <w:r w:rsidRPr="00B27759">
        <w:rPr>
          <w:szCs w:val="22"/>
          <w:lang w:val="lt-LT"/>
        </w:rPr>
        <w:t xml:space="preserve">Pacientai, kurie baigė dalyvavimą 24 mėnesių trukmės pagrindiniame FREEDOMS tyrime, galėjo būti įtraukti į tęstinį tyrimą (D2301E1), kurio metu skiriamas fingolimodas, tačiau dozė parenkama koduotu būdu. Į šį tyrimą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(93 %). Tarp 24-ojo ir 36-ojo mėnesių apskaičiuotas ligos recidyvų dažnis per metus (angl. </w:t>
      </w:r>
      <w:r w:rsidRPr="00B27759">
        <w:rPr>
          <w:i/>
          <w:iCs/>
          <w:szCs w:val="22"/>
          <w:lang w:val="lt-LT"/>
        </w:rPr>
        <w:t>annualised relase rate,</w:t>
      </w:r>
      <w:r w:rsidRPr="00B27759">
        <w:rPr>
          <w:szCs w:val="22"/>
          <w:lang w:val="lt-LT"/>
        </w:rPr>
        <w:t xml:space="preserve"> ARR) pacientams, kurie pagrindinio tyrimo metu vartojo 0,5 mg fingolimodo dozę ir šios dozės vartojimą tęsė toliau, buvo 0,17 (0,21 pagrindinio tyrimo metu). Apskaičiuotas ligos recidyvų dažnis per metus pacientams, kuriems gydymas pakeistas iš placebo į 0,5 mg fingolimodo dozę, buvo 0,22 (0,42 pagrindinio tyrimo metu). </w:t>
      </w:r>
    </w:p>
    <w:p w:rsidR="00052342" w:rsidRPr="00B27759" w:rsidRDefault="00052342"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lastRenderedPageBreak/>
        <w:t xml:space="preserve">Panašūs rezultatai gauti atlikus atsikartojantį 2 metų trukmės, atsitiktinių imčių, dvigubai koduotą, placebu kontroliuojamą III fazės klinikinį tyrimą (D2309; FREEDOMS 2), kurio metu fingolimodo buvo skiriama 1083 RRIS sergantiems pacientams (358 pacientai vartojo fingolimodo 0,5 mg, 370 pacientų vartojo fingolimodo 1,25 mg, 355 pacientai vartojo placebo). Tyrimo pradžioje nustatytų pacientų savybių medianų reikšmės buvo tokios: amžius 41 metai, ligos trukmė 8,9 metų, EDSS skalės įvertinimas 2,5.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b/>
          <w:szCs w:val="22"/>
          <w:lang w:val="lt-LT"/>
        </w:rPr>
      </w:pPr>
      <w:r w:rsidRPr="00B27759">
        <w:rPr>
          <w:b/>
          <w:szCs w:val="22"/>
          <w:lang w:val="lt-LT"/>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B27759" w:rsidTr="00684A34">
        <w:trPr>
          <w:trHeight w:val="516"/>
        </w:trPr>
        <w:tc>
          <w:tcPr>
            <w:tcW w:w="5565" w:type="dxa"/>
            <w:shd w:val="clear" w:color="auto" w:fill="auto"/>
          </w:tcPr>
          <w:p w:rsidR="00052342" w:rsidRPr="00B27759" w:rsidRDefault="00052342" w:rsidP="00052342">
            <w:pPr>
              <w:spacing w:line="240" w:lineRule="auto"/>
              <w:jc w:val="center"/>
              <w:rPr>
                <w:szCs w:val="22"/>
                <w:u w:val="single"/>
                <w:lang w:val="lt-LT"/>
              </w:rPr>
            </w:pPr>
            <w:r w:rsidRPr="00B27759">
              <w:rPr>
                <w:b/>
                <w:szCs w:val="22"/>
                <w:lang w:val="lt-LT"/>
              </w:rPr>
              <w:t>Klinikinės vertinamosios baigtys</w:t>
            </w:r>
          </w:p>
        </w:tc>
        <w:tc>
          <w:tcPr>
            <w:tcW w:w="1916" w:type="dxa"/>
            <w:shd w:val="clear" w:color="auto" w:fill="auto"/>
          </w:tcPr>
          <w:p w:rsidR="00052342" w:rsidRPr="00B27759" w:rsidRDefault="00052342" w:rsidP="00052342">
            <w:pPr>
              <w:spacing w:line="240" w:lineRule="auto"/>
              <w:jc w:val="center"/>
              <w:rPr>
                <w:b/>
                <w:szCs w:val="22"/>
                <w:lang w:val="lt-LT"/>
              </w:rPr>
            </w:pPr>
            <w:r w:rsidRPr="00B27759">
              <w:rPr>
                <w:b/>
                <w:szCs w:val="22"/>
                <w:lang w:val="lt-LT"/>
              </w:rPr>
              <w:t>Fingolimodas 0,5 mg</w:t>
            </w:r>
          </w:p>
        </w:tc>
        <w:tc>
          <w:tcPr>
            <w:tcW w:w="1579" w:type="dxa"/>
            <w:shd w:val="clear" w:color="auto" w:fill="auto"/>
          </w:tcPr>
          <w:p w:rsidR="00052342" w:rsidRPr="00B27759" w:rsidRDefault="00052342" w:rsidP="00052342">
            <w:pPr>
              <w:spacing w:line="240" w:lineRule="auto"/>
              <w:jc w:val="center"/>
              <w:rPr>
                <w:b/>
                <w:szCs w:val="22"/>
                <w:lang w:val="lt-LT"/>
              </w:rPr>
            </w:pPr>
            <w:r w:rsidRPr="00B27759">
              <w:rPr>
                <w:b/>
                <w:szCs w:val="22"/>
                <w:lang w:val="lt-LT"/>
              </w:rPr>
              <w:t>Placebas</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Apskaičiuotas ligos recidyvų dažnis per metus (pirminė vertinamoji baigtis)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0,21**</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0,40</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Pacientų, kuriems po 24 mėnesių nepasireiškė ligos recidyvų, procentinė dalis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71,5 </w:t>
            </w:r>
            <w:r w:rsidR="001856F1" w:rsidRPr="00B27759">
              <w:rPr>
                <w:szCs w:val="22"/>
                <w:lang w:val="lt-LT"/>
              </w:rPr>
              <w:t>%**</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52,7 </w:t>
            </w:r>
            <w:r w:rsidR="001856F1" w:rsidRPr="00B27759">
              <w:rPr>
                <w:szCs w:val="22"/>
                <w:lang w:val="lt-LT"/>
              </w:rPr>
              <w:t>%</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 xml:space="preserve">Pacientų, kuriems patvirtintas 3 mėnesių trukmės negalios progresavimas, dalis† </w:t>
            </w:r>
          </w:p>
          <w:p w:rsidR="001856F1" w:rsidRPr="00B27759" w:rsidRDefault="001856F1" w:rsidP="00F32599">
            <w:pPr>
              <w:spacing w:line="240" w:lineRule="auto"/>
              <w:rPr>
                <w:szCs w:val="22"/>
                <w:lang w:val="lt-LT"/>
              </w:rPr>
            </w:pPr>
            <w:r w:rsidRPr="00B27759">
              <w:rPr>
                <w:szCs w:val="22"/>
                <w:lang w:val="lt-LT"/>
              </w:rPr>
              <w:t>Rizikos santykis (95 % PI)</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25 </w:t>
            </w:r>
            <w:r w:rsidR="001856F1" w:rsidRPr="00B27759">
              <w:rPr>
                <w:szCs w:val="22"/>
                <w:lang w:val="lt-LT"/>
              </w:rPr>
              <w:t>%</w:t>
            </w:r>
          </w:p>
          <w:p w:rsidR="001856F1" w:rsidRPr="00B27759" w:rsidRDefault="001856F1" w:rsidP="00052342">
            <w:pPr>
              <w:spacing w:line="240" w:lineRule="auto"/>
              <w:jc w:val="center"/>
              <w:rPr>
                <w:szCs w:val="22"/>
                <w:lang w:val="lt-LT"/>
              </w:rPr>
            </w:pPr>
            <w:r w:rsidRPr="00B27759">
              <w:rPr>
                <w:szCs w:val="22"/>
                <w:lang w:val="lt-LT"/>
              </w:rPr>
              <w:t>0,83 (0,61, 1,12)*</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29 </w:t>
            </w:r>
            <w:r w:rsidR="001856F1" w:rsidRPr="00B27759">
              <w:rPr>
                <w:szCs w:val="22"/>
                <w:lang w:val="lt-LT"/>
              </w:rPr>
              <w:t>%</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b/>
                <w:szCs w:val="22"/>
                <w:lang w:val="lt-LT"/>
              </w:rPr>
              <w:t>MRT vertinamosios baigtys</w:t>
            </w:r>
          </w:p>
        </w:tc>
        <w:tc>
          <w:tcPr>
            <w:tcW w:w="1916" w:type="dxa"/>
            <w:shd w:val="clear" w:color="auto" w:fill="auto"/>
          </w:tcPr>
          <w:p w:rsidR="001856F1" w:rsidRPr="00B27759" w:rsidRDefault="001856F1" w:rsidP="00F32599">
            <w:pPr>
              <w:spacing w:line="240" w:lineRule="auto"/>
              <w:rPr>
                <w:szCs w:val="22"/>
                <w:lang w:val="lt-LT"/>
              </w:rPr>
            </w:pPr>
          </w:p>
        </w:tc>
        <w:tc>
          <w:tcPr>
            <w:tcW w:w="1579" w:type="dxa"/>
            <w:shd w:val="clear" w:color="auto" w:fill="auto"/>
          </w:tcPr>
          <w:p w:rsidR="001856F1" w:rsidRPr="00B27759" w:rsidRDefault="001856F1" w:rsidP="00F32599">
            <w:pPr>
              <w:spacing w:line="240" w:lineRule="auto"/>
              <w:rPr>
                <w:szCs w:val="22"/>
                <w:lang w:val="lt-LT"/>
              </w:rPr>
            </w:pP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Naujų ar naujai padidėjusių pažaidų T2 režime skaičiaus mediana (vidurkis) per 24 mėnesius</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0,0 (2,3)**</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4,0 (8,9)</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Gd-kaupiančių pažaidų skaičiaus mediana (vidurkis) 24-ąjį mėnesį</w:t>
            </w:r>
          </w:p>
        </w:tc>
        <w:tc>
          <w:tcPr>
            <w:tcW w:w="1916" w:type="dxa"/>
            <w:shd w:val="clear" w:color="auto" w:fill="auto"/>
          </w:tcPr>
          <w:p w:rsidR="001856F1" w:rsidRPr="00B27759" w:rsidRDefault="001856F1" w:rsidP="00052342">
            <w:pPr>
              <w:spacing w:line="240" w:lineRule="auto"/>
              <w:jc w:val="center"/>
              <w:rPr>
                <w:szCs w:val="22"/>
                <w:lang w:val="lt-LT"/>
              </w:rPr>
            </w:pPr>
            <w:r w:rsidRPr="00B27759">
              <w:rPr>
                <w:szCs w:val="22"/>
                <w:lang w:val="lt-LT"/>
              </w:rPr>
              <w:t>0,0 (0,4)**</w:t>
            </w:r>
          </w:p>
        </w:tc>
        <w:tc>
          <w:tcPr>
            <w:tcW w:w="1579" w:type="dxa"/>
            <w:shd w:val="clear" w:color="auto" w:fill="auto"/>
          </w:tcPr>
          <w:p w:rsidR="001856F1" w:rsidRPr="00B27759" w:rsidRDefault="001856F1" w:rsidP="00052342">
            <w:pPr>
              <w:spacing w:line="240" w:lineRule="auto"/>
              <w:jc w:val="center"/>
              <w:rPr>
                <w:szCs w:val="22"/>
                <w:lang w:val="lt-LT"/>
              </w:rPr>
            </w:pPr>
            <w:r w:rsidRPr="00B27759">
              <w:rPr>
                <w:szCs w:val="22"/>
                <w:lang w:val="lt-LT"/>
              </w:rPr>
              <w:t>0,0 (1,2)</w:t>
            </w:r>
          </w:p>
        </w:tc>
      </w:tr>
      <w:tr w:rsidR="001856F1" w:rsidRPr="00B27759" w:rsidTr="00684A34">
        <w:tc>
          <w:tcPr>
            <w:tcW w:w="5565" w:type="dxa"/>
            <w:shd w:val="clear" w:color="auto" w:fill="auto"/>
          </w:tcPr>
          <w:p w:rsidR="001856F1" w:rsidRPr="00B27759" w:rsidRDefault="001856F1" w:rsidP="00F32599">
            <w:pPr>
              <w:spacing w:line="240" w:lineRule="auto"/>
              <w:rPr>
                <w:szCs w:val="22"/>
                <w:lang w:val="lt-LT"/>
              </w:rPr>
            </w:pPr>
            <w:r w:rsidRPr="00B27759">
              <w:rPr>
                <w:szCs w:val="22"/>
                <w:lang w:val="lt-LT"/>
              </w:rPr>
              <w:t>Smegenų tūrio procentinio pokyčio mediana (vidurkis) per 24 mėnesius, %</w:t>
            </w:r>
          </w:p>
        </w:tc>
        <w:tc>
          <w:tcPr>
            <w:tcW w:w="1916"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-0,71 (-0,86)**</w:t>
            </w:r>
          </w:p>
        </w:tc>
        <w:tc>
          <w:tcPr>
            <w:tcW w:w="1579" w:type="dxa"/>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-1,02 (-1,28)</w:t>
            </w:r>
          </w:p>
        </w:tc>
      </w:tr>
      <w:tr w:rsidR="001856F1" w:rsidRPr="00B27759" w:rsidTr="00684A34">
        <w:tc>
          <w:tcPr>
            <w:tcW w:w="9060" w:type="dxa"/>
            <w:gridSpan w:val="3"/>
            <w:shd w:val="clear" w:color="auto" w:fill="auto"/>
          </w:tcPr>
          <w:p w:rsidR="001856F1" w:rsidRPr="00B27759" w:rsidRDefault="001856F1" w:rsidP="00F32599">
            <w:pPr>
              <w:ind w:left="567" w:hanging="567"/>
              <w:rPr>
                <w:szCs w:val="22"/>
                <w:lang w:val="lt-LT"/>
              </w:rPr>
            </w:pPr>
            <w:r w:rsidRPr="00B27759">
              <w:rPr>
                <w:szCs w:val="22"/>
                <w:lang w:val="lt-LT"/>
              </w:rPr>
              <w:t>†</w:t>
            </w:r>
            <w:r w:rsidR="00B74B8C" w:rsidRPr="00B27759">
              <w:rPr>
                <w:szCs w:val="22"/>
                <w:lang w:val="lt-LT"/>
              </w:rPr>
              <w:t xml:space="preserve"> </w:t>
            </w:r>
            <w:r w:rsidRPr="00B27759">
              <w:rPr>
                <w:szCs w:val="22"/>
                <w:lang w:val="lt-LT"/>
              </w:rPr>
              <w:t xml:space="preserve">Negalios progresavimas apibūdinamas kaip patvirtintas 1 balu padidėjęs EDSS skalės įvertinimas po 3 mėnesių </w:t>
            </w:r>
          </w:p>
          <w:p w:rsidR="001856F1" w:rsidRPr="00B27759" w:rsidRDefault="001856F1" w:rsidP="00F32599">
            <w:pPr>
              <w:ind w:left="567" w:hanging="567"/>
              <w:rPr>
                <w:szCs w:val="22"/>
                <w:lang w:val="lt-LT"/>
              </w:rPr>
            </w:pPr>
            <w:r w:rsidRPr="00B27759">
              <w:rPr>
                <w:szCs w:val="22"/>
                <w:lang w:val="lt-LT"/>
              </w:rPr>
              <w:t>**</w:t>
            </w:r>
            <w:r w:rsidR="00B74B8C" w:rsidRPr="00B27759">
              <w:rPr>
                <w:szCs w:val="22"/>
                <w:lang w:val="lt-LT"/>
              </w:rPr>
              <w:t xml:space="preserve"> </w:t>
            </w:r>
            <w:r w:rsidRPr="00B27759">
              <w:rPr>
                <w:szCs w:val="22"/>
                <w:lang w:val="lt-LT"/>
              </w:rPr>
              <w:t xml:space="preserve">p &lt; 0,001, palyginti su placebo grupe </w:t>
            </w:r>
          </w:p>
          <w:p w:rsidR="001856F1" w:rsidRPr="00B27759" w:rsidRDefault="001856F1" w:rsidP="00052342">
            <w:pPr>
              <w:rPr>
                <w:szCs w:val="22"/>
                <w:u w:val="single"/>
                <w:lang w:val="lt-LT"/>
              </w:rPr>
            </w:pPr>
            <w:r w:rsidRPr="00B27759">
              <w:rPr>
                <w:szCs w:val="22"/>
                <w:lang w:val="lt-LT"/>
              </w:rPr>
              <w:t xml:space="preserve">Visi klinikinių vertinamųjų baigčių skaičiavimai atlikti </w:t>
            </w:r>
            <w:r w:rsidR="00052342" w:rsidRPr="00B27759">
              <w:rPr>
                <w:szCs w:val="22"/>
                <w:lang w:val="lt-LT"/>
              </w:rPr>
              <w:t>numaty</w:t>
            </w:r>
            <w:r w:rsidRPr="00B27759">
              <w:rPr>
                <w:szCs w:val="22"/>
                <w:lang w:val="lt-LT"/>
              </w:rPr>
              <w:t xml:space="preserve">tų gydyti pacientų (angl. </w:t>
            </w:r>
            <w:r w:rsidRPr="00B27759">
              <w:rPr>
                <w:i/>
                <w:iCs/>
                <w:szCs w:val="22"/>
                <w:lang w:val="lt-LT"/>
              </w:rPr>
              <w:t>intent-to-treat</w:t>
            </w:r>
            <w:r w:rsidRPr="00B27759">
              <w:rPr>
                <w:szCs w:val="22"/>
                <w:lang w:val="lt-LT"/>
              </w:rPr>
              <w:t xml:space="preserve">)populiacijoje. MRT rodiklių skaičiavimai atlikti naudojant įvertinamus duomenis. </w:t>
            </w:r>
          </w:p>
        </w:tc>
      </w:tr>
    </w:tbl>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szCs w:val="22"/>
          <w:lang w:val="lt-LT"/>
        </w:rPr>
      </w:pPr>
      <w:r w:rsidRPr="00B27759">
        <w:rPr>
          <w:szCs w:val="22"/>
          <w:lang w:val="lt-LT"/>
        </w:rPr>
        <w:t xml:space="preserve">Tyrimas D2302 (TRANSFORMS) buvo 1 metų trukmės, atsitiktinių imčių, dvigubai koduotu ir dvigubai maskuotu būdu atliktas, veikliuoju preparatu (interferonu beta-1a) kontroliuojamas III fazės klinikinis tyrimas, kuriame dalyvavo 1 280 pacientų (429 fingolimodo 0,5 mg vartoję pacientai, 420 fingolimodo 1,25 mg vartojusių pacientų, 431 interferono beta-1a po 30 µg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0,5 mg ir 1,25 mg fingolimodo dozių vartojimo pagal bet kurias vertinamąsias baigtis nustatyta nebuvo. </w:t>
      </w:r>
    </w:p>
    <w:p w:rsidR="001856F1" w:rsidRPr="00B27759" w:rsidRDefault="001856F1" w:rsidP="001856F1">
      <w:pPr>
        <w:spacing w:line="240" w:lineRule="auto"/>
        <w:rPr>
          <w:snapToGrid/>
          <w:szCs w:val="22"/>
          <w:lang w:val="lt-LT"/>
        </w:rPr>
      </w:pPr>
    </w:p>
    <w:p w:rsidR="001856F1" w:rsidRPr="00B27759" w:rsidRDefault="001856F1" w:rsidP="001856F1">
      <w:pPr>
        <w:spacing w:line="240" w:lineRule="auto"/>
        <w:rPr>
          <w:b/>
          <w:szCs w:val="22"/>
          <w:lang w:val="lt-LT"/>
        </w:rPr>
      </w:pPr>
      <w:r w:rsidRPr="00B27759">
        <w:rPr>
          <w:b/>
          <w:szCs w:val="22"/>
          <w:lang w:val="lt-LT"/>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052342" w:rsidRPr="00B27759" w:rsidTr="00684A34">
        <w:trPr>
          <w:trHeight w:val="769"/>
        </w:trPr>
        <w:tc>
          <w:tcPr>
            <w:tcW w:w="5523" w:type="dxa"/>
            <w:tcBorders>
              <w:top w:val="single" w:sz="4" w:space="0" w:color="auto"/>
              <w:left w:val="single" w:sz="4" w:space="0" w:color="auto"/>
              <w:right w:val="single" w:sz="4" w:space="0" w:color="auto"/>
            </w:tcBorders>
            <w:shd w:val="clear" w:color="auto" w:fill="auto"/>
          </w:tcPr>
          <w:p w:rsidR="00052342" w:rsidRPr="00B27759" w:rsidRDefault="00052342" w:rsidP="00052342">
            <w:pPr>
              <w:spacing w:line="240" w:lineRule="auto"/>
              <w:jc w:val="center"/>
              <w:rPr>
                <w:szCs w:val="22"/>
                <w:u w:val="single"/>
                <w:lang w:val="lt-LT"/>
              </w:rPr>
            </w:pPr>
            <w:r w:rsidRPr="00B27759">
              <w:rPr>
                <w:b/>
                <w:szCs w:val="22"/>
                <w:lang w:val="lt-LT"/>
              </w:rPr>
              <w:t>Klinikinės vertinamosios baigtys</w:t>
            </w:r>
          </w:p>
        </w:tc>
        <w:tc>
          <w:tcPr>
            <w:tcW w:w="1911" w:type="dxa"/>
            <w:tcBorders>
              <w:top w:val="single" w:sz="4" w:space="0" w:color="auto"/>
              <w:left w:val="single" w:sz="4" w:space="0" w:color="auto"/>
              <w:right w:val="single" w:sz="4" w:space="0" w:color="auto"/>
            </w:tcBorders>
            <w:shd w:val="clear" w:color="auto" w:fill="auto"/>
            <w:hideMark/>
          </w:tcPr>
          <w:p w:rsidR="00052342" w:rsidRPr="00B27759" w:rsidRDefault="00052342" w:rsidP="00052342">
            <w:pPr>
              <w:spacing w:line="240" w:lineRule="auto"/>
              <w:jc w:val="center"/>
              <w:rPr>
                <w:b/>
                <w:szCs w:val="22"/>
                <w:lang w:val="lt-LT"/>
              </w:rPr>
            </w:pPr>
            <w:r w:rsidRPr="00B27759">
              <w:rPr>
                <w:b/>
                <w:szCs w:val="22"/>
                <w:lang w:val="lt-LT"/>
              </w:rPr>
              <w:t>Fingolimodas 0,5 mg</w:t>
            </w:r>
          </w:p>
        </w:tc>
        <w:tc>
          <w:tcPr>
            <w:tcW w:w="1626" w:type="dxa"/>
            <w:tcBorders>
              <w:top w:val="single" w:sz="4" w:space="0" w:color="auto"/>
              <w:left w:val="single" w:sz="4" w:space="0" w:color="auto"/>
              <w:right w:val="single" w:sz="4" w:space="0" w:color="auto"/>
            </w:tcBorders>
            <w:shd w:val="clear" w:color="auto" w:fill="auto"/>
            <w:hideMark/>
          </w:tcPr>
          <w:p w:rsidR="00052342" w:rsidRPr="00B27759" w:rsidRDefault="00052342" w:rsidP="00052342">
            <w:pPr>
              <w:spacing w:line="240" w:lineRule="auto"/>
              <w:jc w:val="center"/>
              <w:rPr>
                <w:b/>
                <w:szCs w:val="22"/>
                <w:lang w:val="lt-LT"/>
              </w:rPr>
            </w:pPr>
            <w:r w:rsidRPr="00B27759">
              <w:rPr>
                <w:b/>
                <w:bCs/>
                <w:szCs w:val="22"/>
                <w:lang w:val="lt-LT"/>
              </w:rPr>
              <w:t>Interferonas beta-1a, 30 μg</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t>Apskaičiuotas ligos recidyvų dažnis per metus (pirminė vertinamoji baigtis)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0,33</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t>Pacientų, kuriems po 12 mėnesių nepasireiškė ligos recidyvų, procentinė dalis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83 </w:t>
            </w:r>
            <w:r w:rsidR="001856F1" w:rsidRPr="00B27759">
              <w:rPr>
                <w:szCs w:val="22"/>
                <w:lang w:val="lt-LT"/>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71 </w:t>
            </w:r>
            <w:r w:rsidR="001856F1" w:rsidRPr="00B27759">
              <w:rPr>
                <w:szCs w:val="22"/>
                <w:lang w:val="lt-LT"/>
              </w:rPr>
              <w:t>%</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t>Pacientų, kuriems patvirtintas 3 mėnesių trukmės negalios progresavimas, dalis†</w:t>
            </w:r>
          </w:p>
          <w:p w:rsidR="001856F1" w:rsidRPr="00B27759" w:rsidRDefault="001856F1" w:rsidP="00052342">
            <w:pPr>
              <w:spacing w:line="240" w:lineRule="auto"/>
              <w:rPr>
                <w:szCs w:val="22"/>
                <w:lang w:val="lt-LT"/>
              </w:rPr>
            </w:pPr>
            <w:r w:rsidRPr="00B27759">
              <w:rPr>
                <w:szCs w:val="22"/>
                <w:lang w:val="lt-LT"/>
              </w:rPr>
              <w:t>Rizikos santykis (95 % PI)</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6 </w:t>
            </w:r>
            <w:r w:rsidR="001856F1" w:rsidRPr="00B27759">
              <w:rPr>
                <w:szCs w:val="22"/>
                <w:lang w:val="lt-LT"/>
              </w:rPr>
              <w:t>%</w:t>
            </w:r>
          </w:p>
          <w:p w:rsidR="001856F1" w:rsidRPr="00B27759" w:rsidRDefault="001856F1" w:rsidP="00052342">
            <w:pPr>
              <w:spacing w:line="240" w:lineRule="auto"/>
              <w:jc w:val="center"/>
              <w:rPr>
                <w:szCs w:val="22"/>
                <w:lang w:val="lt-LT"/>
              </w:rPr>
            </w:pPr>
            <w:r w:rsidRPr="00B27759">
              <w:rPr>
                <w:szCs w:val="22"/>
                <w:lang w:val="lt-LT"/>
              </w:rPr>
              <w:t>0,71 (0,42, 1,21)*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052342" w:rsidP="00052342">
            <w:pPr>
              <w:spacing w:line="240" w:lineRule="auto"/>
              <w:jc w:val="center"/>
              <w:rPr>
                <w:szCs w:val="22"/>
                <w:lang w:val="lt-LT"/>
              </w:rPr>
            </w:pPr>
            <w:r w:rsidRPr="00B27759">
              <w:rPr>
                <w:szCs w:val="22"/>
                <w:lang w:val="lt-LT"/>
              </w:rPr>
              <w:t>8 </w:t>
            </w:r>
            <w:r w:rsidR="001856F1" w:rsidRPr="00B27759">
              <w:rPr>
                <w:szCs w:val="22"/>
                <w:lang w:val="lt-LT"/>
              </w:rPr>
              <w:t>%</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rPr>
                <w:szCs w:val="22"/>
                <w:lang w:val="lt-LT"/>
              </w:rPr>
            </w:pPr>
            <w:r w:rsidRPr="00B27759">
              <w:rPr>
                <w:b/>
                <w:szCs w:val="22"/>
                <w:lang w:val="lt-LT"/>
              </w:rPr>
              <w:t>MRT vertinamosios baigtys</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t>Naujų ar naujai padidėjusių pažaidų T2 režime skaičiaus mediana (vidurkis) per 12 mėnesius</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0,0 (1,7)**</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1,0 (2,6)</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t>Gd-kaupiančių pažaidų skaičiaus mediana (vidurkis) 12 -ąjį mėnesį</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jc w:val="center"/>
              <w:rPr>
                <w:szCs w:val="22"/>
                <w:lang w:val="lt-LT"/>
              </w:rPr>
            </w:pPr>
            <w:r w:rsidRPr="00B27759">
              <w:rPr>
                <w:szCs w:val="22"/>
                <w:lang w:val="lt-LT"/>
              </w:rPr>
              <w:t>0,0 (0,2)**</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jc w:val="center"/>
              <w:rPr>
                <w:szCs w:val="22"/>
                <w:lang w:val="lt-LT"/>
              </w:rPr>
            </w:pPr>
            <w:r w:rsidRPr="00B27759">
              <w:rPr>
                <w:szCs w:val="22"/>
                <w:lang w:val="lt-LT"/>
              </w:rPr>
              <w:t>0,0 (0,5)</w:t>
            </w:r>
          </w:p>
        </w:tc>
      </w:tr>
      <w:tr w:rsidR="001856F1" w:rsidRPr="00B27759" w:rsidTr="00684A3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spacing w:line="240" w:lineRule="auto"/>
              <w:rPr>
                <w:szCs w:val="22"/>
                <w:lang w:val="lt-LT"/>
              </w:rPr>
            </w:pPr>
            <w:r w:rsidRPr="00B27759">
              <w:rPr>
                <w:szCs w:val="22"/>
                <w:lang w:val="lt-LT"/>
              </w:rPr>
              <w:lastRenderedPageBreak/>
              <w:t>Smegenų tūrio procentinio pokyčio mediana (vidurkis) per 12 mėnesius, %</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-0,2 (-0,3)**</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052342">
            <w:pPr>
              <w:spacing w:line="240" w:lineRule="auto"/>
              <w:jc w:val="center"/>
              <w:rPr>
                <w:szCs w:val="22"/>
                <w:lang w:val="lt-LT"/>
              </w:rPr>
            </w:pPr>
          </w:p>
          <w:p w:rsidR="001856F1" w:rsidRPr="00B27759" w:rsidRDefault="001856F1" w:rsidP="00052342">
            <w:pPr>
              <w:spacing w:line="240" w:lineRule="auto"/>
              <w:jc w:val="center"/>
              <w:rPr>
                <w:szCs w:val="22"/>
                <w:lang w:val="lt-LT"/>
              </w:rPr>
            </w:pPr>
            <w:r w:rsidRPr="00B27759">
              <w:rPr>
                <w:szCs w:val="22"/>
                <w:lang w:val="lt-LT"/>
              </w:rPr>
              <w:t>-0,4 (-0,5)</w:t>
            </w:r>
          </w:p>
        </w:tc>
      </w:tr>
      <w:tr w:rsidR="001856F1" w:rsidRPr="00B27759" w:rsidTr="00684A34">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052342">
            <w:pPr>
              <w:ind w:left="567" w:hanging="567"/>
              <w:rPr>
                <w:szCs w:val="22"/>
                <w:lang w:val="lt-LT"/>
              </w:rPr>
            </w:pPr>
            <w:r w:rsidRPr="00B27759">
              <w:rPr>
                <w:szCs w:val="22"/>
                <w:lang w:val="lt-LT"/>
              </w:rPr>
              <w:t>† Negalios progresavimas apibūdinamas kaip patvirtintas 1 balu padidėjęs EDSS skalės įvertinimas po 3 mėnesių</w:t>
            </w:r>
          </w:p>
          <w:p w:rsidR="001856F1" w:rsidRPr="00B27759" w:rsidRDefault="001856F1" w:rsidP="00052342">
            <w:pPr>
              <w:rPr>
                <w:szCs w:val="22"/>
                <w:lang w:val="lt-LT"/>
              </w:rPr>
            </w:pPr>
            <w:r w:rsidRPr="00B27759">
              <w:rPr>
                <w:szCs w:val="22"/>
                <w:lang w:val="lt-LT"/>
              </w:rPr>
              <w:t>* p &lt; 0,01, **p &lt; 0,001, palyginti su interferonu beta-1a</w:t>
            </w:r>
          </w:p>
          <w:p w:rsidR="001856F1" w:rsidRPr="00B27759" w:rsidRDefault="001856F1" w:rsidP="00B74B8C">
            <w:pPr>
              <w:rPr>
                <w:szCs w:val="22"/>
                <w:u w:val="single"/>
                <w:lang w:val="lt-LT"/>
              </w:rPr>
            </w:pPr>
            <w:r w:rsidRPr="00B27759">
              <w:rPr>
                <w:szCs w:val="22"/>
                <w:lang w:val="lt-LT"/>
              </w:rPr>
              <w:t xml:space="preserve">Visi klinikinių vertinamųjų baigčių skaičiavimai atlikti </w:t>
            </w:r>
            <w:r w:rsidR="00B74B8C" w:rsidRPr="00B27759">
              <w:rPr>
                <w:szCs w:val="22"/>
                <w:lang w:val="lt-LT"/>
              </w:rPr>
              <w:t>numatytų</w:t>
            </w:r>
            <w:r w:rsidRPr="00B27759">
              <w:rPr>
                <w:szCs w:val="22"/>
                <w:lang w:val="lt-LT"/>
              </w:rPr>
              <w:t xml:space="preserve"> gydyti pacientų populiacijoje. MRT rodiklių skaičiavimai atlikti naudojant įvertinamus duomenis.</w:t>
            </w:r>
          </w:p>
        </w:tc>
      </w:tr>
    </w:tbl>
    <w:p w:rsidR="00975C64" w:rsidRPr="00B27759" w:rsidRDefault="00975C64"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Pacientai, kurie baigė dalyvavimą 12 mėnesių trukmės pagrindiniame TRANSFORMS tyrime, galėjo būti įtraukti į tęstinį tyrimą (D2302E1), kurio metu skiriamas fingolimodas, tačiau dozė parenkama koduotu būdu. Į šį tyrimą iš viso buvo įtraukta 1 030 pacientų, tačiau 3 iš šių pacientų nebuvo skiriamas gydymas (356 pacientai toliau vartojo 0,5 mg dozę, 330 pacientų toliau vartojo 1,25 mg dozę, 167 pacientams gydymas buvo pakeistas iš interferono beta-1a į gydymą 0,5 mg fingolimodo doze, o 174 pacientams gydymas buvo pakeistas iš interferono beta-1a į 1,25 mg</w:t>
      </w:r>
      <w:r w:rsidR="003B0E5C">
        <w:rPr>
          <w:szCs w:val="22"/>
          <w:lang w:val="lt-LT"/>
        </w:rPr>
        <w:t xml:space="preserve"> </w:t>
      </w:r>
      <w:r w:rsidRPr="00B27759">
        <w:rPr>
          <w:szCs w:val="22"/>
          <w:lang w:val="lt-LT"/>
        </w:rPr>
        <w:t xml:space="preserve">fingolimodo dozę). Po 12 mėnesių (24-ąjį mėnesį) tyrime vis dar dalyvavo 882 pacientai (86 %). Tarp 12-ojo ir 24-ojo mėnesių apskaičiuotas ligos recidyvų dažnis per metus pacientams, kurie pagrindinio tyrimo metu vartojo 0,5 mg fingolimodo dozę ir šios dozės vartojimą tęsė toliau, buvo 0,20 (0,19 pagrindinio tyrimo metu). Apskaičiuotas ligos recidyvų dažnis per metus pacientams, kuriems gydymas pakeistas iš interferono beta-1a į 0,5 mg fingolimodo dozę, buvo 0,33 (0,48 pagrindinio tyrimo metu).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Išsamesnė klinikinių tyrimų duomenų analizė rodo pastovų vaistinio preparato poveikį itin aktyvios formos recidyvuojančia remituojančia išsėtine skleroze sergančių pacientų pogrupiuose.</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u w:val="single"/>
          <w:lang w:val="lt-LT"/>
        </w:rPr>
      </w:pPr>
      <w:r w:rsidRPr="00B27759">
        <w:rPr>
          <w:noProof/>
          <w:szCs w:val="22"/>
          <w:u w:val="single"/>
          <w:lang w:val="lt-LT"/>
        </w:rPr>
        <w:t>Vaikų populiacija</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Kartą per parą vartojamų fingolimodo 0,25 mg arba 0,5 mg dozių (dozė buvo parenkama pagal kūno svorio ir ekspozicijos rodiklius) veiksmingumas ir saugumas buvo įvertinti recidyvuojančia – remituojančia išsėtine skleroze sergantiems vaikams nuo 10 metų iki mažiau kaip 18 metų.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Tyrimas D2311 (PARADIGMS) buvo dvigubai koduotas, dvigubai maskuotas, aktyviai</w:t>
      </w:r>
      <w:r w:rsidR="00975C64" w:rsidRPr="00B27759">
        <w:rPr>
          <w:szCs w:val="22"/>
          <w:lang w:val="lt-LT"/>
        </w:rPr>
        <w:t xml:space="preserve"> </w:t>
      </w:r>
      <w:r w:rsidRPr="00B27759">
        <w:rPr>
          <w:szCs w:val="22"/>
          <w:lang w:val="lt-LT"/>
        </w:rPr>
        <w:t>kontroliuojamas tyrimas, kurio trukmė buvo kintama ir svyravo iki 24 mėnesių. Į tyrimą buvo įtraukta 215 pacientų nuo 10 iki &lt; 18 </w:t>
      </w:r>
      <w:r w:rsidR="00975C64" w:rsidRPr="00B27759">
        <w:rPr>
          <w:szCs w:val="22"/>
          <w:lang w:val="lt-LT"/>
        </w:rPr>
        <w:t>metų</w:t>
      </w:r>
      <w:r w:rsidRPr="00B27759">
        <w:rPr>
          <w:szCs w:val="22"/>
          <w:lang w:val="lt-LT"/>
        </w:rPr>
        <w:t xml:space="preserve"> (n = 107 fingolimodo vartojusiųjų grupėje, o 108 pacientai buvo gydomi kartą per savaitę į raumenis leidžiama interferono beta-1a 30 µg doze).</w:t>
      </w:r>
    </w:p>
    <w:p w:rsidR="001856F1" w:rsidRPr="00B27759" w:rsidRDefault="001856F1" w:rsidP="001856F1">
      <w:pPr>
        <w:pStyle w:val="Antrat4"/>
        <w:spacing w:line="240" w:lineRule="auto"/>
        <w:jc w:val="left"/>
        <w:rPr>
          <w:rFonts w:ascii="Times New Roman" w:hAnsi="Times New Roman"/>
          <w:b w:val="0"/>
          <w:sz w:val="22"/>
          <w:szCs w:val="22"/>
          <w:lang w:val="lt-LT"/>
        </w:rPr>
      </w:pPr>
    </w:p>
    <w:p w:rsidR="001856F1" w:rsidRPr="00B27759" w:rsidRDefault="001856F1" w:rsidP="001856F1">
      <w:pPr>
        <w:pStyle w:val="Antrat4"/>
        <w:spacing w:line="240" w:lineRule="auto"/>
        <w:jc w:val="left"/>
        <w:rPr>
          <w:rFonts w:ascii="Times New Roman" w:hAnsi="Times New Roman"/>
          <w:b w:val="0"/>
          <w:sz w:val="22"/>
          <w:szCs w:val="22"/>
          <w:lang w:val="lt-LT"/>
        </w:rPr>
      </w:pPr>
      <w:r w:rsidRPr="00B27759">
        <w:rPr>
          <w:rFonts w:ascii="Times New Roman" w:hAnsi="Times New Roman"/>
          <w:b w:val="0"/>
          <w:sz w:val="22"/>
          <w:szCs w:val="22"/>
          <w:lang w:val="lt-LT"/>
        </w:rPr>
        <w:t>Tyrimo pradžioje nustatytų pacientų savybių medianų reikšmės buvo tokios: amžius 16 metų, ligos trukmės mediana 1,5 metų, o EDSS skalės įvertinimas 1,5 balo. Daugumos pacientų lytinė branda pagal Tanner įvert</w:t>
      </w:r>
      <w:r w:rsidR="00975C64" w:rsidRPr="00B27759">
        <w:rPr>
          <w:rFonts w:ascii="Times New Roman" w:hAnsi="Times New Roman"/>
          <w:b w:val="0"/>
          <w:sz w:val="22"/>
          <w:szCs w:val="22"/>
          <w:lang w:val="lt-LT"/>
        </w:rPr>
        <w:t>inta 2 ar didesne stadija (94,4 </w:t>
      </w:r>
      <w:r w:rsidRPr="00B27759">
        <w:rPr>
          <w:rFonts w:ascii="Times New Roman" w:hAnsi="Times New Roman"/>
          <w:b w:val="0"/>
          <w:sz w:val="22"/>
          <w:szCs w:val="22"/>
          <w:lang w:val="lt-LT"/>
        </w:rPr>
        <w:t>%) ir dauguma pacientų buvo &gt; 40 kg svorio (95,3 %). Iš viso 180 pacientų (84 %) baigė pagrindinį tyrimo laikotarpį vartodami tiriamojo vaistinio preparato (n = 99 [92,5 </w:t>
      </w:r>
      <w:r w:rsidR="00975C64" w:rsidRPr="00B27759">
        <w:rPr>
          <w:rFonts w:ascii="Times New Roman" w:hAnsi="Times New Roman"/>
          <w:b w:val="0"/>
          <w:sz w:val="22"/>
          <w:szCs w:val="22"/>
          <w:lang w:val="lt-LT"/>
        </w:rPr>
        <w:t>%] fingolimodo grupėje, 81 [75 </w:t>
      </w:r>
      <w:r w:rsidRPr="00B27759">
        <w:rPr>
          <w:rFonts w:ascii="Times New Roman" w:hAnsi="Times New Roman"/>
          <w:b w:val="0"/>
          <w:sz w:val="22"/>
          <w:szCs w:val="22"/>
          <w:lang w:val="lt-LT"/>
        </w:rPr>
        <w:t>%] interferono beta-1a grupėje). Vertinamųjų baigčių rezultatai nurodyti 4 lentelėje.</w:t>
      </w:r>
    </w:p>
    <w:p w:rsidR="001856F1" w:rsidRPr="00B27759" w:rsidRDefault="001856F1" w:rsidP="001856F1">
      <w:pPr>
        <w:pStyle w:val="Antrat4"/>
        <w:spacing w:line="240" w:lineRule="auto"/>
        <w:jc w:val="left"/>
        <w:rPr>
          <w:rFonts w:ascii="Times New Roman" w:hAnsi="Times New Roman"/>
          <w:b w:val="0"/>
          <w:sz w:val="22"/>
          <w:szCs w:val="22"/>
          <w:lang w:val="lt-LT"/>
        </w:rPr>
      </w:pPr>
    </w:p>
    <w:p w:rsidR="001856F1" w:rsidRPr="00B27759" w:rsidRDefault="001856F1" w:rsidP="001856F1">
      <w:pPr>
        <w:spacing w:line="240" w:lineRule="auto"/>
        <w:rPr>
          <w:b/>
          <w:szCs w:val="22"/>
          <w:lang w:val="lt-LT"/>
        </w:rPr>
      </w:pPr>
      <w:r w:rsidRPr="00B27759">
        <w:rPr>
          <w:b/>
          <w:szCs w:val="22"/>
          <w:lang w:val="lt-LT"/>
        </w:rPr>
        <w:t>4 lentelė. Tyrimas D2311 (PARADIGMS):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975C64" w:rsidRPr="00B27759" w:rsidTr="00684A34">
        <w:tc>
          <w:tcPr>
            <w:tcW w:w="4920" w:type="dxa"/>
            <w:vMerge w:val="restart"/>
            <w:tcBorders>
              <w:top w:val="single" w:sz="4" w:space="0" w:color="auto"/>
              <w:left w:val="single" w:sz="4" w:space="0" w:color="auto"/>
              <w:right w:val="single" w:sz="4" w:space="0" w:color="auto"/>
            </w:tcBorders>
            <w:shd w:val="clear" w:color="auto" w:fill="auto"/>
          </w:tcPr>
          <w:p w:rsidR="00975C64" w:rsidRPr="00B27759" w:rsidRDefault="00975C64" w:rsidP="00975C64">
            <w:pPr>
              <w:spacing w:line="240" w:lineRule="auto"/>
              <w:jc w:val="center"/>
              <w:rPr>
                <w:szCs w:val="22"/>
                <w:u w:val="single"/>
                <w:lang w:val="lt-LT"/>
              </w:rPr>
            </w:pPr>
            <w:r w:rsidRPr="00B27759">
              <w:rPr>
                <w:b/>
                <w:szCs w:val="22"/>
                <w:lang w:val="lt-LT"/>
              </w:rPr>
              <w:t>Klinikinės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rsidR="00975C64" w:rsidRPr="00B27759" w:rsidRDefault="00975C64" w:rsidP="00975C64">
            <w:pPr>
              <w:spacing w:line="240" w:lineRule="auto"/>
              <w:jc w:val="center"/>
              <w:rPr>
                <w:b/>
                <w:szCs w:val="22"/>
                <w:lang w:val="lt-LT"/>
              </w:rPr>
            </w:pPr>
            <w:r w:rsidRPr="00B27759">
              <w:rPr>
                <w:b/>
                <w:szCs w:val="22"/>
                <w:lang w:val="lt-LT"/>
              </w:rPr>
              <w:t>Fingolimodas 0,25 mg arba 0,5 mg</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975C64" w:rsidRPr="00B27759" w:rsidRDefault="00975C64" w:rsidP="00975C64">
            <w:pPr>
              <w:spacing w:line="240" w:lineRule="auto"/>
              <w:jc w:val="center"/>
              <w:rPr>
                <w:b/>
                <w:szCs w:val="22"/>
                <w:lang w:val="lt-LT"/>
              </w:rPr>
            </w:pPr>
            <w:r w:rsidRPr="00B27759">
              <w:rPr>
                <w:rStyle w:val="Bodytext2Bold"/>
                <w:lang w:val="lt-LT"/>
              </w:rPr>
              <w:t>Interferonas beta-1a 30 µg</w:t>
            </w:r>
          </w:p>
        </w:tc>
      </w:tr>
      <w:tr w:rsidR="00975C64" w:rsidRPr="00B27759" w:rsidTr="00684A34">
        <w:tc>
          <w:tcPr>
            <w:tcW w:w="4920" w:type="dxa"/>
            <w:vMerge/>
            <w:tcBorders>
              <w:left w:val="single" w:sz="4" w:space="0" w:color="auto"/>
              <w:bottom w:val="single" w:sz="4" w:space="0" w:color="auto"/>
              <w:right w:val="single" w:sz="4" w:space="0" w:color="auto"/>
            </w:tcBorders>
            <w:shd w:val="clear" w:color="auto" w:fill="auto"/>
          </w:tcPr>
          <w:p w:rsidR="00975C64" w:rsidRPr="00B27759" w:rsidRDefault="00975C64" w:rsidP="00975C64">
            <w:pPr>
              <w:spacing w:line="240" w:lineRule="auto"/>
              <w:jc w:val="center"/>
              <w:rPr>
                <w:szCs w:val="22"/>
                <w:lang w:val="lt-LT"/>
              </w:rPr>
            </w:pP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975C64" w:rsidRPr="00B27759" w:rsidRDefault="00975C64" w:rsidP="00975C64">
            <w:pPr>
              <w:spacing w:line="240" w:lineRule="auto"/>
              <w:jc w:val="center"/>
              <w:rPr>
                <w:szCs w:val="22"/>
                <w:lang w:val="lt-LT"/>
              </w:rPr>
            </w:pPr>
            <w:r w:rsidRPr="00B27759">
              <w:rPr>
                <w:szCs w:val="22"/>
                <w:lang w:val="lt-LT"/>
              </w:rPr>
              <w:t>N=107</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975C64" w:rsidRPr="00B27759" w:rsidRDefault="00975C64" w:rsidP="00975C64">
            <w:pPr>
              <w:spacing w:line="240" w:lineRule="auto"/>
              <w:jc w:val="center"/>
              <w:rPr>
                <w:szCs w:val="22"/>
                <w:lang w:val="lt-LT"/>
              </w:rPr>
            </w:pPr>
            <w:r w:rsidRPr="00B27759">
              <w:rPr>
                <w:szCs w:val="22"/>
                <w:lang w:val="lt-LT"/>
              </w:rPr>
              <w:t>N=107</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spacing w:line="240" w:lineRule="auto"/>
              <w:rPr>
                <w:szCs w:val="22"/>
                <w:lang w:val="lt-LT"/>
              </w:rPr>
            </w:pPr>
            <w:r w:rsidRPr="00B27759">
              <w:rPr>
                <w:szCs w:val="22"/>
                <w:lang w:val="lt-LT"/>
              </w:rPr>
              <w:t>Apskaičiuotas ligos recidyvų dažnis per metus (pirminė vertinamoji baigtis)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p>
          <w:p w:rsidR="001856F1" w:rsidRPr="00B27759" w:rsidRDefault="001856F1" w:rsidP="00975C64">
            <w:pPr>
              <w:spacing w:line="240" w:lineRule="auto"/>
              <w:jc w:val="center"/>
              <w:rPr>
                <w:szCs w:val="22"/>
                <w:lang w:val="lt-LT"/>
              </w:rPr>
            </w:pPr>
            <w:r w:rsidRPr="00B27759">
              <w:rPr>
                <w:szCs w:val="22"/>
                <w:lang w:val="lt-LT"/>
              </w:rPr>
              <w:t>0,122**</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p>
          <w:p w:rsidR="001856F1" w:rsidRPr="00B27759" w:rsidRDefault="001856F1" w:rsidP="00975C64">
            <w:pPr>
              <w:spacing w:line="240" w:lineRule="auto"/>
              <w:jc w:val="center"/>
              <w:rPr>
                <w:szCs w:val="22"/>
                <w:lang w:val="lt-LT"/>
              </w:rPr>
            </w:pPr>
            <w:r w:rsidRPr="00B27759">
              <w:rPr>
                <w:szCs w:val="22"/>
                <w:lang w:val="lt-LT"/>
              </w:rPr>
              <w:t>0,675</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spacing w:line="240" w:lineRule="auto"/>
              <w:rPr>
                <w:szCs w:val="22"/>
                <w:lang w:val="lt-LT"/>
              </w:rPr>
            </w:pPr>
            <w:r w:rsidRPr="00B27759">
              <w:rPr>
                <w:szCs w:val="22"/>
                <w:lang w:val="lt-LT"/>
              </w:rPr>
              <w:t>Pacientų, kuriems po 24 mėnesių nepasireiškė ligos recidyvų, procentinė dalis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p>
          <w:p w:rsidR="001856F1" w:rsidRPr="00B27759" w:rsidRDefault="00975C64" w:rsidP="00975C64">
            <w:pPr>
              <w:spacing w:line="240" w:lineRule="auto"/>
              <w:jc w:val="center"/>
              <w:rPr>
                <w:szCs w:val="22"/>
                <w:lang w:val="lt-LT"/>
              </w:rPr>
            </w:pPr>
            <w:r w:rsidRPr="00B27759">
              <w:rPr>
                <w:szCs w:val="22"/>
                <w:lang w:val="lt-LT"/>
              </w:rPr>
              <w:t>85,7 </w:t>
            </w:r>
            <w:r w:rsidR="001856F1" w:rsidRPr="00B27759">
              <w:rPr>
                <w:szCs w:val="22"/>
                <w:lang w:val="lt-LT"/>
              </w:rPr>
              <w:t>%**</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p>
          <w:p w:rsidR="001856F1" w:rsidRPr="00B27759" w:rsidRDefault="00975C64" w:rsidP="00975C64">
            <w:pPr>
              <w:spacing w:line="240" w:lineRule="auto"/>
              <w:jc w:val="center"/>
              <w:rPr>
                <w:szCs w:val="22"/>
                <w:lang w:val="lt-LT"/>
              </w:rPr>
            </w:pPr>
            <w:r w:rsidRPr="00B27759">
              <w:rPr>
                <w:szCs w:val="22"/>
                <w:lang w:val="lt-LT"/>
              </w:rPr>
              <w:t>38,8 </w:t>
            </w:r>
            <w:r w:rsidR="001856F1" w:rsidRPr="00B27759">
              <w:rPr>
                <w:szCs w:val="22"/>
                <w:lang w:val="lt-LT"/>
              </w:rPr>
              <w:t>%</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r w:rsidRPr="00B27759">
              <w:rPr>
                <w:b/>
                <w:szCs w:val="22"/>
                <w:lang w:val="lt-LT"/>
              </w:rPr>
              <w:t>MRT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spacing w:line="240" w:lineRule="auto"/>
              <w:rPr>
                <w:szCs w:val="22"/>
                <w:lang w:val="lt-LT"/>
              </w:rPr>
            </w:pPr>
            <w:r w:rsidRPr="00B27759">
              <w:rPr>
                <w:szCs w:val="22"/>
                <w:lang w:val="lt-LT"/>
              </w:rPr>
              <w:t xml:space="preserve">Apskaičiuotas naujų ar naujai padidėjusių pažaidų </w:t>
            </w:r>
            <w:r w:rsidRPr="00B27759">
              <w:rPr>
                <w:szCs w:val="22"/>
                <w:lang w:val="lt-LT"/>
              </w:rPr>
              <w:lastRenderedPageBreak/>
              <w:t xml:space="preserve">T2 režime skaičiaus </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lastRenderedPageBreak/>
              <w:t>N=106</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N=102</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r w:rsidRPr="00B27759">
              <w:rPr>
                <w:szCs w:val="22"/>
                <w:lang w:val="lt-LT"/>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4,393**</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9,269</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spacing w:line="240" w:lineRule="auto"/>
              <w:rPr>
                <w:szCs w:val="22"/>
                <w:lang w:val="lt-LT"/>
              </w:rPr>
            </w:pPr>
            <w:r w:rsidRPr="00B27759">
              <w:rPr>
                <w:szCs w:val="22"/>
                <w:lang w:val="lt-LT"/>
              </w:rPr>
              <w:t>Gd-kaupiančių pažaidų skaičiaus mediana (vidurkis) tyrimo metu iki 24 -ojo mėnesio</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975C64">
            <w:pPr>
              <w:spacing w:line="240" w:lineRule="auto"/>
              <w:jc w:val="center"/>
              <w:rPr>
                <w:szCs w:val="22"/>
                <w:lang w:val="lt-LT"/>
              </w:rPr>
            </w:pPr>
          </w:p>
          <w:p w:rsidR="001856F1" w:rsidRPr="00B27759" w:rsidRDefault="001856F1" w:rsidP="00975C64">
            <w:pPr>
              <w:spacing w:line="240" w:lineRule="auto"/>
              <w:jc w:val="center"/>
              <w:rPr>
                <w:szCs w:val="22"/>
                <w:lang w:val="lt-LT"/>
              </w:rPr>
            </w:pPr>
            <w:r w:rsidRPr="00B27759">
              <w:rPr>
                <w:szCs w:val="22"/>
                <w:lang w:val="lt-LT"/>
              </w:rPr>
              <w:t>N=105</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975C64">
            <w:pPr>
              <w:spacing w:line="240" w:lineRule="auto"/>
              <w:jc w:val="center"/>
              <w:rPr>
                <w:szCs w:val="22"/>
                <w:lang w:val="lt-LT"/>
              </w:rPr>
            </w:pPr>
          </w:p>
          <w:p w:rsidR="001856F1" w:rsidRPr="00B27759" w:rsidRDefault="001856F1" w:rsidP="00975C64">
            <w:pPr>
              <w:spacing w:line="240" w:lineRule="auto"/>
              <w:jc w:val="center"/>
              <w:rPr>
                <w:szCs w:val="22"/>
                <w:lang w:val="lt-LT"/>
              </w:rPr>
            </w:pPr>
            <w:r w:rsidRPr="00B27759">
              <w:rPr>
                <w:szCs w:val="22"/>
                <w:lang w:val="lt-LT"/>
              </w:rPr>
              <w:t>N=95</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r w:rsidRPr="00B27759">
              <w:rPr>
                <w:szCs w:val="22"/>
                <w:lang w:val="lt-LT"/>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0,436**</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1,282</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spacing w:line="240" w:lineRule="auto"/>
              <w:rPr>
                <w:szCs w:val="22"/>
                <w:lang w:val="lt-LT"/>
              </w:rPr>
            </w:pPr>
            <w:r w:rsidRPr="00B27759">
              <w:rPr>
                <w:szCs w:val="22"/>
                <w:lang w:val="lt-LT"/>
              </w:rPr>
              <w:t xml:space="preserve">Apskaičiuotasis galvos smegenų atrofijos nustatymo dažnis per metus nuo pradinių reikšmių iki 24 -ojo mėnesio </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N=96</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N=89</w:t>
            </w:r>
          </w:p>
        </w:tc>
      </w:tr>
      <w:tr w:rsidR="001856F1" w:rsidRPr="00B27759" w:rsidTr="00684A34">
        <w:tc>
          <w:tcPr>
            <w:tcW w:w="4920"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F32599">
            <w:pPr>
              <w:spacing w:line="240" w:lineRule="auto"/>
              <w:rPr>
                <w:szCs w:val="22"/>
                <w:lang w:val="lt-LT"/>
              </w:rPr>
            </w:pPr>
            <w:r w:rsidRPr="00B27759">
              <w:rPr>
                <w:szCs w:val="22"/>
                <w:lang w:val="lt-LT"/>
              </w:rPr>
              <w:t>Mažiausiųjų kvadrantų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-0,48*</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1856F1" w:rsidRPr="00B27759" w:rsidRDefault="001856F1" w:rsidP="00975C64">
            <w:pPr>
              <w:spacing w:line="240" w:lineRule="auto"/>
              <w:jc w:val="center"/>
              <w:rPr>
                <w:szCs w:val="22"/>
                <w:lang w:val="lt-LT"/>
              </w:rPr>
            </w:pPr>
            <w:r w:rsidRPr="00B27759">
              <w:rPr>
                <w:szCs w:val="22"/>
                <w:lang w:val="lt-LT"/>
              </w:rPr>
              <w:t>-0,80</w:t>
            </w:r>
          </w:p>
        </w:tc>
      </w:tr>
      <w:tr w:rsidR="001856F1" w:rsidRPr="002F5D9D" w:rsidTr="00684A34">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rsidR="001856F1" w:rsidRPr="00B27759" w:rsidRDefault="001856F1" w:rsidP="00F32599">
            <w:pPr>
              <w:ind w:left="567" w:hanging="567"/>
              <w:rPr>
                <w:szCs w:val="22"/>
                <w:lang w:val="lt-LT"/>
              </w:rPr>
            </w:pPr>
            <w:r w:rsidRPr="00B27759">
              <w:rPr>
                <w:szCs w:val="22"/>
                <w:lang w:val="lt-LT"/>
              </w:rPr>
              <w:t xml:space="preserve"># Vienas pacientas, atsitiktine tvarka priskirtas gydymo interferono beta-1a injekcijomis į raumenis grupei, negalėjo nuryti dvigubai maskuotai skiriamo vaistinio preparato, todėl nutraukė dalyvavimą tyrime. Jo duomenys nebuvo įtraukti į visų pacientų analizės ir saugumo analizės skaičiavimus. </w:t>
            </w:r>
          </w:p>
          <w:p w:rsidR="001856F1" w:rsidRPr="00B27759" w:rsidRDefault="001856F1" w:rsidP="00F32599">
            <w:pPr>
              <w:ind w:left="567" w:hanging="567"/>
              <w:rPr>
                <w:szCs w:val="22"/>
                <w:lang w:val="lt-LT"/>
              </w:rPr>
            </w:pPr>
            <w:r w:rsidRPr="00B27759">
              <w:rPr>
                <w:szCs w:val="22"/>
                <w:lang w:val="lt-LT"/>
              </w:rPr>
              <w:t xml:space="preserve">* p&lt;0,05, ** p&lt;0,001, palyginti su interferono beta-1a vartojusiųjų grupe. </w:t>
            </w:r>
          </w:p>
          <w:p w:rsidR="001856F1" w:rsidRPr="00B27759" w:rsidRDefault="001856F1" w:rsidP="00F32599">
            <w:pPr>
              <w:rPr>
                <w:szCs w:val="22"/>
                <w:u w:val="single"/>
                <w:lang w:val="lt-LT"/>
              </w:rPr>
            </w:pPr>
            <w:r w:rsidRPr="00B27759">
              <w:rPr>
                <w:szCs w:val="22"/>
                <w:lang w:val="lt-LT"/>
              </w:rPr>
              <w:t>Visi klinikinių vertinamųjų baigčių skaičiavimai atlikti visų pacientų grupėje.</w:t>
            </w:r>
          </w:p>
        </w:tc>
      </w:tr>
    </w:tbl>
    <w:p w:rsidR="00FD1988" w:rsidRPr="00B27759" w:rsidRDefault="00FD1988" w:rsidP="001856F1">
      <w:pPr>
        <w:pStyle w:val="Antrat4"/>
        <w:spacing w:line="240" w:lineRule="auto"/>
        <w:jc w:val="left"/>
        <w:rPr>
          <w:rFonts w:ascii="Times New Roman" w:hAnsi="Times New Roman"/>
          <w:sz w:val="22"/>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5.2</w:t>
      </w:r>
      <w:r w:rsidRPr="00B27759">
        <w:rPr>
          <w:rFonts w:ascii="Times New Roman" w:hAnsi="Times New Roman"/>
          <w:sz w:val="22"/>
          <w:szCs w:val="22"/>
          <w:lang w:val="lt-LT"/>
        </w:rPr>
        <w:tab/>
        <w:t>Farmakokinetinės savybės</w:t>
      </w:r>
    </w:p>
    <w:p w:rsidR="001856F1" w:rsidRPr="00B27759" w:rsidRDefault="001856F1" w:rsidP="001856F1">
      <w:pPr>
        <w:spacing w:line="240" w:lineRule="auto"/>
        <w:ind w:right="-142"/>
        <w:rPr>
          <w:szCs w:val="22"/>
          <w:lang w:val="lt-LT"/>
        </w:rPr>
      </w:pPr>
    </w:p>
    <w:p w:rsidR="001856F1" w:rsidRPr="00B27759" w:rsidRDefault="001856F1" w:rsidP="001856F1">
      <w:pPr>
        <w:spacing w:line="240" w:lineRule="auto"/>
        <w:ind w:right="-142"/>
        <w:rPr>
          <w:szCs w:val="22"/>
          <w:lang w:val="lt-LT"/>
        </w:rPr>
      </w:pPr>
      <w:r w:rsidRPr="00B27759">
        <w:rPr>
          <w:szCs w:val="22"/>
          <w:lang w:val="lt-LT"/>
        </w:rPr>
        <w:t>Farmakokinetikos duomenys gauti atlikus sveikų savanorių suaugusių</w:t>
      </w:r>
      <w:r w:rsidR="00E87B6E">
        <w:rPr>
          <w:szCs w:val="22"/>
          <w:lang w:val="lt-LT"/>
        </w:rPr>
        <w:t>jų</w:t>
      </w:r>
      <w:r w:rsidRPr="00B27759">
        <w:rPr>
          <w:szCs w:val="22"/>
          <w:lang w:val="lt-LT"/>
        </w:rPr>
        <w:t xml:space="preserve">, suaugusių pacientų po inkstų transplantacijos ir išsėtine skleroze sergančių suaugusių pacientų tyrimus. </w:t>
      </w:r>
    </w:p>
    <w:p w:rsidR="001856F1" w:rsidRPr="00B27759" w:rsidRDefault="001856F1" w:rsidP="001856F1">
      <w:pPr>
        <w:spacing w:line="240" w:lineRule="auto"/>
        <w:ind w:right="-142"/>
        <w:rPr>
          <w:szCs w:val="22"/>
          <w:lang w:val="lt-LT"/>
        </w:rPr>
      </w:pPr>
      <w:r w:rsidRPr="00B27759">
        <w:rPr>
          <w:szCs w:val="22"/>
          <w:lang w:val="lt-LT"/>
        </w:rPr>
        <w:t xml:space="preserve"> </w:t>
      </w:r>
    </w:p>
    <w:p w:rsidR="001856F1" w:rsidRPr="00B27759" w:rsidRDefault="001856F1" w:rsidP="001856F1">
      <w:pPr>
        <w:spacing w:line="240" w:lineRule="auto"/>
        <w:ind w:right="-142"/>
        <w:rPr>
          <w:szCs w:val="22"/>
          <w:lang w:val="lt-LT"/>
        </w:rPr>
      </w:pPr>
      <w:r w:rsidRPr="00B27759">
        <w:rPr>
          <w:szCs w:val="22"/>
          <w:lang w:val="lt-LT"/>
        </w:rPr>
        <w:t xml:space="preserve">Farmakologiškai veiklus metabolitas, užtikrinantis vaistinio preparato efektyvumą, yra fingolimodo fosfatas. </w:t>
      </w:r>
    </w:p>
    <w:p w:rsidR="001856F1" w:rsidRPr="00B27759" w:rsidRDefault="001856F1" w:rsidP="001856F1">
      <w:pPr>
        <w:spacing w:line="240" w:lineRule="auto"/>
        <w:ind w:right="-142"/>
        <w:rPr>
          <w:noProof/>
          <w:szCs w:val="22"/>
          <w:u w:val="single"/>
          <w:lang w:val="lt-LT"/>
        </w:rPr>
      </w:pPr>
    </w:p>
    <w:p w:rsidR="001856F1" w:rsidRPr="00B27759" w:rsidRDefault="001856F1" w:rsidP="001856F1">
      <w:pPr>
        <w:spacing w:line="240" w:lineRule="auto"/>
        <w:ind w:right="-142"/>
        <w:rPr>
          <w:szCs w:val="22"/>
          <w:u w:val="single"/>
          <w:lang w:val="lt-LT"/>
        </w:rPr>
      </w:pPr>
      <w:r w:rsidRPr="00B27759">
        <w:rPr>
          <w:noProof/>
          <w:szCs w:val="22"/>
          <w:u w:val="single"/>
          <w:lang w:val="lt-LT"/>
        </w:rPr>
        <w:t>Absorbcija</w:t>
      </w:r>
    </w:p>
    <w:p w:rsidR="001856F1" w:rsidRPr="00B27759" w:rsidRDefault="001856F1" w:rsidP="001856F1">
      <w:pPr>
        <w:spacing w:line="240" w:lineRule="auto"/>
        <w:rPr>
          <w:szCs w:val="22"/>
          <w:lang w:val="lt-LT"/>
        </w:rPr>
      </w:pPr>
      <w:r w:rsidRPr="00B27759">
        <w:rPr>
          <w:szCs w:val="22"/>
          <w:lang w:val="lt-LT"/>
        </w:rPr>
        <w:t>Fingolimodo absorbcija yra lėta (t</w:t>
      </w:r>
      <w:r w:rsidRPr="00B27759">
        <w:rPr>
          <w:szCs w:val="22"/>
          <w:vertAlign w:val="subscript"/>
          <w:lang w:val="lt-LT"/>
        </w:rPr>
        <w:t>max</w:t>
      </w:r>
      <w:r w:rsidRPr="00B27759">
        <w:rPr>
          <w:szCs w:val="22"/>
          <w:lang w:val="lt-LT"/>
        </w:rPr>
        <w:t xml:space="preserve"> yra 12-16 valandų) ir ekstensyvi (≥85 %). Menamas absoliutus geriamojo vaistinio preparato biologinis prieinamumas yra 93 </w:t>
      </w:r>
      <w:r w:rsidR="00975C64" w:rsidRPr="00B27759">
        <w:rPr>
          <w:szCs w:val="22"/>
          <w:lang w:val="lt-LT"/>
        </w:rPr>
        <w:t>% (95 </w:t>
      </w:r>
      <w:r w:rsidRPr="00B27759">
        <w:rPr>
          <w:szCs w:val="22"/>
          <w:lang w:val="lt-LT"/>
        </w:rPr>
        <w:t xml:space="preserve">% </w:t>
      </w:r>
      <w:r w:rsidR="00975C64" w:rsidRPr="00B27759">
        <w:rPr>
          <w:szCs w:val="22"/>
          <w:lang w:val="lt-LT"/>
        </w:rPr>
        <w:t>PI</w:t>
      </w:r>
      <w:r w:rsidRPr="00B27759">
        <w:rPr>
          <w:szCs w:val="22"/>
          <w:lang w:val="lt-LT"/>
        </w:rPr>
        <w:t xml:space="preserve">: 79-111 %). Vaistinio preparato vartojant </w:t>
      </w:r>
      <w:r w:rsidR="003B0E5C">
        <w:rPr>
          <w:szCs w:val="22"/>
          <w:lang w:val="lt-LT"/>
        </w:rPr>
        <w:t xml:space="preserve">vieną </w:t>
      </w:r>
      <w:r w:rsidRPr="00B27759">
        <w:rPr>
          <w:szCs w:val="22"/>
          <w:lang w:val="lt-LT"/>
        </w:rPr>
        <w:t xml:space="preserve">kartą per parą, pusiausvyrinė koncentracija kraujyje susidaro per 1-2 mėnesius, pusiausvyrinės koncentracijos reikšmė yra maždaug 10 kartų didesnė nei po pradinės dozės vartojimo susidaranti koncentracija. </w:t>
      </w:r>
    </w:p>
    <w:p w:rsidR="001856F1" w:rsidRPr="00B27759" w:rsidRDefault="001856F1" w:rsidP="001856F1">
      <w:pPr>
        <w:spacing w:line="240" w:lineRule="auto"/>
        <w:rPr>
          <w:szCs w:val="22"/>
          <w:u w:val="single"/>
          <w:lang w:val="lt-LT"/>
        </w:rPr>
      </w:pPr>
      <w:r w:rsidRPr="00B27759">
        <w:rPr>
          <w:szCs w:val="22"/>
          <w:u w:val="single"/>
          <w:lang w:val="lt-LT"/>
        </w:rPr>
        <w:t xml:space="preserve"> </w:t>
      </w:r>
    </w:p>
    <w:p w:rsidR="001856F1" w:rsidRPr="00B27759" w:rsidRDefault="001856F1" w:rsidP="001856F1">
      <w:pPr>
        <w:spacing w:line="240" w:lineRule="auto"/>
        <w:rPr>
          <w:szCs w:val="22"/>
          <w:lang w:val="lt-LT"/>
        </w:rPr>
      </w:pPr>
      <w:r w:rsidRPr="00B27759">
        <w:rPr>
          <w:szCs w:val="22"/>
          <w:lang w:val="lt-LT"/>
        </w:rPr>
        <w:t>Maisto vartojimas fingolimodo C</w:t>
      </w:r>
      <w:r w:rsidRPr="00B27759">
        <w:rPr>
          <w:szCs w:val="22"/>
          <w:vertAlign w:val="subscript"/>
          <w:lang w:val="lt-LT"/>
        </w:rPr>
        <w:t>max</w:t>
      </w:r>
      <w:r w:rsidRPr="00B27759">
        <w:rPr>
          <w:szCs w:val="22"/>
          <w:lang w:val="lt-LT"/>
        </w:rPr>
        <w:t xml:space="preserve"> rodiklio ir ekspozicijos (AUC) nekeičia. Fingolimodo fosfato C</w:t>
      </w:r>
      <w:r w:rsidRPr="00B27759">
        <w:rPr>
          <w:szCs w:val="22"/>
          <w:vertAlign w:val="subscript"/>
          <w:lang w:val="lt-LT"/>
        </w:rPr>
        <w:t>max</w:t>
      </w:r>
      <w:r w:rsidRPr="00B27759">
        <w:rPr>
          <w:szCs w:val="22"/>
          <w:lang w:val="lt-LT"/>
        </w:rPr>
        <w:t xml:space="preserve"> rodiklis šiek tiek sumažėjo 34 %, tačiau AUC nepakito. Todėl fingolimodo galima vartoti neatsižvelgiant į valgį (žr. 4.2 skyrių). </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noProof/>
          <w:szCs w:val="22"/>
          <w:u w:val="single"/>
          <w:lang w:val="lt-LT"/>
        </w:rPr>
      </w:pPr>
      <w:r w:rsidRPr="00B27759">
        <w:rPr>
          <w:noProof/>
          <w:szCs w:val="22"/>
          <w:u w:val="single"/>
          <w:lang w:val="lt-LT"/>
        </w:rPr>
        <w:t>Pasiskirstymas</w:t>
      </w:r>
    </w:p>
    <w:p w:rsidR="001856F1" w:rsidRPr="00B27759" w:rsidRDefault="001856F1" w:rsidP="001856F1">
      <w:pPr>
        <w:spacing w:line="240" w:lineRule="auto"/>
        <w:rPr>
          <w:noProof/>
          <w:szCs w:val="22"/>
          <w:u w:val="single"/>
          <w:lang w:val="lt-LT"/>
        </w:rPr>
      </w:pPr>
    </w:p>
    <w:p w:rsidR="001856F1" w:rsidRPr="00B27759" w:rsidRDefault="001856F1" w:rsidP="001856F1">
      <w:pPr>
        <w:spacing w:line="240" w:lineRule="auto"/>
        <w:rPr>
          <w:noProof/>
          <w:szCs w:val="22"/>
          <w:lang w:val="lt-LT"/>
        </w:rPr>
      </w:pPr>
      <w:r w:rsidRPr="00B27759">
        <w:rPr>
          <w:noProof/>
          <w:szCs w:val="22"/>
          <w:lang w:val="lt-LT"/>
        </w:rPr>
        <w:t xml:space="preserve">Fingolimodas gerai pasiskirsto eritrocituose, kraujo ląstelėse nustatoma jo frakcija sudaro 86 %. Fingolimodo fosfato mažiau - &lt;17 % patenka į kraujo ląsteles. Fingolimodas ir fingolimodo fosfatas stipriai susijungia su baltymais (&gt;99 %).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Fingolimodas ekstensyviai pasiskirsto organizmo audiniuose, jo</w:t>
      </w:r>
      <w:r w:rsidR="00FD1988" w:rsidRPr="00B27759">
        <w:rPr>
          <w:noProof/>
          <w:szCs w:val="22"/>
          <w:lang w:val="lt-LT"/>
        </w:rPr>
        <w:t xml:space="preserve"> pasiskirstymo tūris yra apie 1</w:t>
      </w:r>
      <w:r w:rsidRPr="00B27759">
        <w:rPr>
          <w:noProof/>
          <w:szCs w:val="22"/>
          <w:lang w:val="lt-LT"/>
        </w:rPr>
        <w:t>200 </w:t>
      </w:r>
      <w:r w:rsidRPr="00B27759">
        <w:rPr>
          <w:color w:val="000000"/>
          <w:szCs w:val="22"/>
          <w:lang w:val="lt-LT" w:bidi="en-US"/>
        </w:rPr>
        <w:t>±</w:t>
      </w:r>
      <w:r w:rsidRPr="00B27759">
        <w:rPr>
          <w:noProof/>
          <w:szCs w:val="22"/>
          <w:lang w:val="lt-LT"/>
        </w:rPr>
        <w:t>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koncentracijai buvo maždaug 10 000 kartų mažesnis nei vartota dozė per burną (0,5 mg).</w:t>
      </w:r>
    </w:p>
    <w:p w:rsidR="001856F1" w:rsidRPr="00B27759" w:rsidRDefault="001856F1" w:rsidP="001856F1">
      <w:pPr>
        <w:spacing w:line="240" w:lineRule="auto"/>
        <w:rPr>
          <w:noProof/>
          <w:szCs w:val="22"/>
          <w:u w:val="single"/>
          <w:lang w:val="lt-LT"/>
        </w:rPr>
      </w:pPr>
    </w:p>
    <w:p w:rsidR="001856F1" w:rsidRPr="00B27759" w:rsidRDefault="001856F1" w:rsidP="001856F1">
      <w:pPr>
        <w:spacing w:line="240" w:lineRule="auto"/>
        <w:rPr>
          <w:szCs w:val="22"/>
          <w:u w:val="single"/>
          <w:lang w:val="lt-LT"/>
        </w:rPr>
      </w:pPr>
      <w:r w:rsidRPr="00B27759">
        <w:rPr>
          <w:noProof/>
          <w:szCs w:val="22"/>
          <w:u w:val="single"/>
          <w:lang w:val="lt-LT"/>
        </w:rPr>
        <w:t>Biotransformacija</w:t>
      </w:r>
    </w:p>
    <w:p w:rsidR="001856F1" w:rsidRPr="00B27759" w:rsidRDefault="001856F1" w:rsidP="001856F1">
      <w:pPr>
        <w:spacing w:line="240" w:lineRule="auto"/>
        <w:rPr>
          <w:szCs w:val="22"/>
          <w:lang w:val="lt-LT"/>
        </w:rPr>
      </w:pPr>
      <w:r w:rsidRPr="00B27759">
        <w:rPr>
          <w:szCs w:val="22"/>
          <w:lang w:val="lt-LT"/>
        </w:rPr>
        <w:t xml:space="preserve">Fingolimodas žmogaus organizme transformuojamas grįžtamojo stereoselektyvaus fosforilinimo būdu į farmakologiškai veiklųjį fingolimodo fosfato (S)-enantiomerą. Oksidacijos būdu katalizuojamas daugiausia dalyvaujant CYP4F2 ir galimai kitiems izofermentams, vėliau į riebalų rūgščių skaidymą panašiu būdu fingolimodas metabolizuojamas į neaktvysius metabolitus. Taip pat buvo pastebėta, kad susidaro farmakologiškai neaktyvūs nepoliniai fingolimodo ceramido analogai. Svarbiausias </w:t>
      </w:r>
      <w:r w:rsidRPr="00B27759">
        <w:rPr>
          <w:szCs w:val="22"/>
          <w:lang w:val="lt-LT"/>
        </w:rPr>
        <w:lastRenderedPageBreak/>
        <w:t xml:space="preserve">fingolimodo metabolizme dalyvaujantis fermentas iš dalies nustatytas ir galėtų būti arba CYP4F2, arba CYP3A4.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Išgėrus vienkartinę [</w:t>
      </w:r>
      <w:r w:rsidRPr="00B27759">
        <w:rPr>
          <w:szCs w:val="22"/>
          <w:vertAlign w:val="superscript"/>
          <w:lang w:val="lt-LT"/>
        </w:rPr>
        <w:t>14</w:t>
      </w:r>
      <w:r w:rsidRPr="00B27759">
        <w:rPr>
          <w:szCs w:val="22"/>
          <w:lang w:val="lt-LT"/>
        </w:rPr>
        <w:t xml:space="preserve">C] radioaktyviuoju izotopu žymėtą fingolimodo dozę, svarbiausios kraujyje nustatomos su fingolimodu susijusios medžiagos iš visų radioaktyvių komponentų, įvertinus pagal jų įtaką AUC laikotarpiu iki 34 dienų po dozės vartojimo, yra pats fingolimodas (23 %), fingolimodo fosfatas (10 %) ir neaktyvūs metabolitai (M3 karboksilo rūgšties metabolitas (8 %), M29 ceramido metabolitas (9 %) bei M30 ceramido metabolitas (7 %)). </w:t>
      </w:r>
    </w:p>
    <w:p w:rsidR="001856F1" w:rsidRPr="00B27759" w:rsidRDefault="001856F1" w:rsidP="001856F1">
      <w:pPr>
        <w:spacing w:line="240" w:lineRule="auto"/>
        <w:rPr>
          <w:szCs w:val="22"/>
          <w:u w:val="single"/>
          <w:lang w:val="lt-LT"/>
        </w:rPr>
      </w:pPr>
      <w:r w:rsidRPr="00B27759">
        <w:rPr>
          <w:szCs w:val="22"/>
          <w:u w:val="single"/>
          <w:lang w:val="lt-LT"/>
        </w:rPr>
        <w:t xml:space="preserve"> </w:t>
      </w:r>
    </w:p>
    <w:p w:rsidR="001856F1" w:rsidRPr="00B27759" w:rsidRDefault="001856F1" w:rsidP="001856F1">
      <w:pPr>
        <w:spacing w:line="240" w:lineRule="auto"/>
        <w:rPr>
          <w:szCs w:val="22"/>
          <w:u w:val="single"/>
          <w:lang w:val="lt-LT"/>
        </w:rPr>
      </w:pPr>
      <w:r w:rsidRPr="00B27759">
        <w:rPr>
          <w:noProof/>
          <w:szCs w:val="22"/>
          <w:u w:val="single"/>
          <w:lang w:val="lt-LT"/>
        </w:rPr>
        <w:t>Eliminacija</w:t>
      </w:r>
    </w:p>
    <w:p w:rsidR="001856F1" w:rsidRPr="00B27759" w:rsidRDefault="001856F1" w:rsidP="001856F1">
      <w:pPr>
        <w:spacing w:line="240" w:lineRule="auto"/>
        <w:rPr>
          <w:szCs w:val="22"/>
          <w:lang w:val="lt-LT"/>
        </w:rPr>
      </w:pPr>
      <w:r w:rsidRPr="00B27759">
        <w:rPr>
          <w:szCs w:val="22"/>
          <w:lang w:val="lt-LT"/>
        </w:rPr>
        <w:t xml:space="preserve">Fingolimodo klirensas kraujyje yra 6,3 </w:t>
      </w:r>
      <w:r w:rsidRPr="00B27759">
        <w:rPr>
          <w:color w:val="000000"/>
          <w:szCs w:val="22"/>
          <w:lang w:val="lt-LT" w:bidi="en-US"/>
        </w:rPr>
        <w:t>±</w:t>
      </w:r>
      <w:r w:rsidRPr="00B27759">
        <w:rPr>
          <w:szCs w:val="22"/>
          <w:lang w:val="lt-LT"/>
        </w:rPr>
        <w:t xml:space="preserve"> 2,3 l/val., vidutinis menamas galutinės pusinės eliminacijos laikas (t</w:t>
      </w:r>
      <w:r w:rsidRPr="00B27759">
        <w:rPr>
          <w:szCs w:val="22"/>
          <w:vertAlign w:val="subscript"/>
          <w:lang w:val="lt-LT"/>
        </w:rPr>
        <w:t>1/2</w:t>
      </w:r>
      <w:r w:rsidRPr="00B27759">
        <w:rPr>
          <w:szCs w:val="22"/>
          <w:lang w:val="lt-LT"/>
        </w:rPr>
        <w:t>) yra 6-9</w:t>
      </w:r>
      <w:r w:rsidR="00975C64" w:rsidRPr="00B27759">
        <w:rPr>
          <w:szCs w:val="22"/>
          <w:lang w:val="lt-LT"/>
        </w:rPr>
        <w:t xml:space="preserve"> </w:t>
      </w:r>
      <w:r w:rsidRPr="00B27759">
        <w:rPr>
          <w:szCs w:val="22"/>
          <w:lang w:val="lt-LT"/>
        </w:rPr>
        <w:t xml:space="preserve">dienos. Fingolimodo ir fingolimodo fosfato koncentracijos kraujyje galutinėje fazėje mažėja lygiagrečiai, todėl jų abiejų pusinės eliminacijos laikotarpiai yra panašūs.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Apie 81 % išgertos vaistinio preparato dozės lėtai pašalinama su šlapimu neaktyvių metabolitų pavidalu. Nepakitusių fingolimodo ir fingolimodo fosfato su šlapimu neišsiskiria, tačiau jie yra svarbiausios išmatose nustatomos medžiagos, kiekvieno iš jų kiekis yra mažiau kaip 2,5 % suvartotos dozės. Po 34 dienų pašalinama 89 % suvartotos dozės.</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szCs w:val="22"/>
          <w:u w:val="single"/>
          <w:lang w:val="lt-LT"/>
        </w:rPr>
      </w:pPr>
      <w:r w:rsidRPr="00B27759">
        <w:rPr>
          <w:szCs w:val="22"/>
          <w:u w:val="single"/>
          <w:lang w:val="lt-LT"/>
        </w:rPr>
        <w:t xml:space="preserve">Tiesinis pobūdis </w:t>
      </w:r>
    </w:p>
    <w:p w:rsidR="001856F1" w:rsidRPr="00B27759" w:rsidRDefault="001856F1" w:rsidP="001856F1">
      <w:pPr>
        <w:spacing w:line="240" w:lineRule="auto"/>
        <w:rPr>
          <w:szCs w:val="22"/>
          <w:u w:val="single"/>
          <w:lang w:val="lt-LT"/>
        </w:rPr>
      </w:pPr>
      <w:r w:rsidRPr="00B27759">
        <w:rPr>
          <w:szCs w:val="22"/>
          <w:u w:val="single"/>
          <w:lang w:val="lt-LT"/>
        </w:rPr>
        <w:t xml:space="preserve"> </w:t>
      </w:r>
    </w:p>
    <w:p w:rsidR="001856F1" w:rsidRPr="00B27759" w:rsidRDefault="001856F1" w:rsidP="001856F1">
      <w:pPr>
        <w:spacing w:line="240" w:lineRule="auto"/>
        <w:rPr>
          <w:szCs w:val="22"/>
          <w:lang w:val="lt-LT"/>
        </w:rPr>
      </w:pPr>
      <w:r w:rsidRPr="00B27759">
        <w:rPr>
          <w:szCs w:val="22"/>
          <w:lang w:val="lt-LT"/>
        </w:rPr>
        <w:t xml:space="preserve">Vartojant kartotines 0,5 mg ir 1,25 mg vaistinio preparato dozes </w:t>
      </w:r>
      <w:r w:rsidR="003B0E5C">
        <w:rPr>
          <w:szCs w:val="22"/>
          <w:lang w:val="lt-LT"/>
        </w:rPr>
        <w:t xml:space="preserve">vieną </w:t>
      </w:r>
      <w:r w:rsidRPr="00B27759">
        <w:rPr>
          <w:szCs w:val="22"/>
          <w:lang w:val="lt-LT"/>
        </w:rPr>
        <w:t xml:space="preserve">kartą per parą, fingolimodo ir fingolimodo fosfato koncentracijos didėja aiškiai nuo dozės priklausomu būdu. </w:t>
      </w:r>
    </w:p>
    <w:p w:rsidR="001856F1" w:rsidRPr="00B27759" w:rsidRDefault="001856F1" w:rsidP="001856F1">
      <w:pPr>
        <w:spacing w:line="240" w:lineRule="auto"/>
        <w:rPr>
          <w:szCs w:val="22"/>
          <w:u w:val="single"/>
          <w:lang w:val="lt-LT"/>
        </w:rPr>
      </w:pPr>
      <w:r w:rsidRPr="00B27759">
        <w:rPr>
          <w:szCs w:val="22"/>
          <w:u w:val="single"/>
          <w:lang w:val="lt-LT"/>
        </w:rPr>
        <w:t xml:space="preserve"> </w:t>
      </w:r>
    </w:p>
    <w:p w:rsidR="001856F1" w:rsidRPr="00B27759" w:rsidRDefault="001856F1" w:rsidP="001856F1">
      <w:pPr>
        <w:spacing w:line="240" w:lineRule="auto"/>
        <w:contextualSpacing/>
        <w:outlineLvl w:val="0"/>
        <w:rPr>
          <w:szCs w:val="22"/>
          <w:u w:val="single"/>
          <w:lang w:val="lt-LT"/>
        </w:rPr>
      </w:pPr>
      <w:r w:rsidRPr="00B27759">
        <w:rPr>
          <w:color w:val="000000"/>
          <w:szCs w:val="22"/>
          <w:u w:val="single"/>
          <w:lang w:val="lt-LT"/>
        </w:rPr>
        <w:t>Ypatingos populiacijos</w:t>
      </w:r>
      <w:r w:rsidRPr="00B27759">
        <w:rPr>
          <w:szCs w:val="22"/>
          <w:u w:val="single"/>
          <w:lang w:val="lt-LT"/>
        </w:rPr>
        <w:t xml:space="preserve"> </w:t>
      </w:r>
    </w:p>
    <w:p w:rsidR="009D708D" w:rsidRDefault="009D708D" w:rsidP="001856F1">
      <w:pPr>
        <w:spacing w:line="240" w:lineRule="auto"/>
        <w:rPr>
          <w:szCs w:val="22"/>
          <w:u w:val="single"/>
          <w:lang w:val="lt-LT"/>
        </w:rPr>
      </w:pPr>
    </w:p>
    <w:p w:rsidR="001856F1" w:rsidRPr="00B27759" w:rsidRDefault="009D708D" w:rsidP="001856F1">
      <w:pPr>
        <w:spacing w:line="240" w:lineRule="auto"/>
        <w:rPr>
          <w:szCs w:val="22"/>
          <w:u w:val="single"/>
          <w:lang w:val="lt-LT"/>
        </w:rPr>
      </w:pPr>
      <w:r w:rsidRPr="002F5D9D">
        <w:rPr>
          <w:i/>
          <w:iCs/>
          <w:szCs w:val="22"/>
          <w:lang w:val="pt-PT"/>
        </w:rPr>
        <w:t>Lytis, etninė grupė ir inkstų sutrikimas</w:t>
      </w:r>
    </w:p>
    <w:p w:rsidR="001856F1" w:rsidRPr="00B27759" w:rsidRDefault="001856F1" w:rsidP="001856F1">
      <w:pPr>
        <w:spacing w:line="240" w:lineRule="auto"/>
        <w:rPr>
          <w:szCs w:val="22"/>
          <w:lang w:val="lt-LT"/>
        </w:rPr>
      </w:pPr>
      <w:r w:rsidRPr="00B27759">
        <w:rPr>
          <w:szCs w:val="22"/>
          <w:lang w:val="lt-LT"/>
        </w:rPr>
        <w:t xml:space="preserve">Fingolimodo ir fingolimodo fosfato farmakokinetinės savybės nesiskiria vyrams ir moterims, skirtingos etninės kilmės pacientams ir lengvu, vidutinio sunkumo ar sunkiu inkstų funkcijos sutrikimu sergantiems pacientams. </w:t>
      </w:r>
    </w:p>
    <w:p w:rsidR="001856F1" w:rsidRDefault="001856F1" w:rsidP="001856F1">
      <w:pPr>
        <w:spacing w:line="240" w:lineRule="auto"/>
        <w:rPr>
          <w:szCs w:val="22"/>
          <w:lang w:val="lt-LT"/>
        </w:rPr>
      </w:pPr>
    </w:p>
    <w:p w:rsidR="009D708D" w:rsidRPr="00B27759" w:rsidRDefault="00B773F8" w:rsidP="001856F1">
      <w:pPr>
        <w:spacing w:line="240" w:lineRule="auto"/>
        <w:rPr>
          <w:szCs w:val="22"/>
          <w:lang w:val="lt-LT"/>
        </w:rPr>
      </w:pPr>
      <w:r>
        <w:rPr>
          <w:i/>
          <w:iCs/>
          <w:szCs w:val="22"/>
          <w:lang w:val="lt-LT"/>
        </w:rPr>
        <w:t>K</w:t>
      </w:r>
      <w:r w:rsidR="009D708D" w:rsidRPr="002F7292">
        <w:rPr>
          <w:i/>
          <w:iCs/>
          <w:szCs w:val="22"/>
          <w:lang w:val="lt-LT"/>
        </w:rPr>
        <w:t>epenų sutrikimas</w:t>
      </w:r>
    </w:p>
    <w:p w:rsidR="001856F1" w:rsidRPr="00B27759" w:rsidRDefault="001856F1" w:rsidP="001856F1">
      <w:pPr>
        <w:spacing w:line="240" w:lineRule="auto"/>
        <w:rPr>
          <w:szCs w:val="22"/>
          <w:lang w:val="lt-LT"/>
        </w:rPr>
      </w:pPr>
      <w:r w:rsidRPr="00B27759">
        <w:rPr>
          <w:szCs w:val="22"/>
          <w:lang w:val="lt-LT"/>
        </w:rPr>
        <w:t xml:space="preserve">Lengvu, vidutinio sunkumo ar sunkiu kepenų sutrikimu (A, B ir C klasės pagal </w:t>
      </w:r>
      <w:r w:rsidRPr="00B27759">
        <w:rPr>
          <w:i/>
          <w:szCs w:val="22"/>
          <w:lang w:val="lt-LT"/>
        </w:rPr>
        <w:t>Child-Pugh</w:t>
      </w:r>
      <w:r w:rsidRPr="00B27759">
        <w:rPr>
          <w:szCs w:val="22"/>
          <w:lang w:val="lt-LT"/>
        </w:rPr>
        <w:t>) sergantiems pacientams fingolimodo C</w:t>
      </w:r>
      <w:r w:rsidRPr="00B27759">
        <w:rPr>
          <w:szCs w:val="22"/>
          <w:vertAlign w:val="subscript"/>
          <w:lang w:val="lt-LT"/>
        </w:rPr>
        <w:t>max</w:t>
      </w:r>
      <w:r w:rsidRPr="00B27759">
        <w:rPr>
          <w:szCs w:val="22"/>
          <w:lang w:val="lt-LT"/>
        </w:rPr>
        <w:t xml:space="preserve"> rodiklio pokyčių nepastebėta, tačiau AUC padidėjo, atitinkamai, 12 %, 44 % ir 103 %. Sunkiu kepenų sutrikimu (C klasės pagal </w:t>
      </w:r>
      <w:r w:rsidRPr="00B27759">
        <w:rPr>
          <w:i/>
          <w:szCs w:val="22"/>
          <w:lang w:val="lt-LT"/>
        </w:rPr>
        <w:t>Child-Pugh</w:t>
      </w:r>
      <w:r w:rsidRPr="00B27759">
        <w:rPr>
          <w:szCs w:val="22"/>
          <w:lang w:val="lt-LT"/>
        </w:rPr>
        <w:t>) sergantiems pacientams fingolimodo fosfato C</w:t>
      </w:r>
      <w:r w:rsidRPr="00B27759">
        <w:rPr>
          <w:szCs w:val="22"/>
          <w:vertAlign w:val="subscript"/>
          <w:lang w:val="lt-LT"/>
        </w:rPr>
        <w:t>max</w:t>
      </w:r>
      <w:r w:rsidRPr="00B27759">
        <w:rPr>
          <w:szCs w:val="22"/>
          <w:lang w:val="lt-LT"/>
        </w:rPr>
        <w:t xml:space="preserve"> rodiklis sumažėjo 22 %, o AUC reikšmingai nepakito. Lengvu ir vidutinio sunkumo kepenų sutrikimu sergantiems pacientams fingolimodo fosfato farmakokinetinės savybės tirtos nebuvo. </w:t>
      </w:r>
    </w:p>
    <w:p w:rsidR="001856F1" w:rsidRPr="00B27759" w:rsidRDefault="001856F1" w:rsidP="001856F1">
      <w:pPr>
        <w:spacing w:line="240" w:lineRule="auto"/>
        <w:rPr>
          <w:szCs w:val="22"/>
          <w:lang w:val="lt-LT"/>
        </w:rPr>
      </w:pPr>
    </w:p>
    <w:p w:rsidR="001856F1" w:rsidRPr="00B27759" w:rsidRDefault="001856F1" w:rsidP="001856F1">
      <w:pPr>
        <w:spacing w:line="240" w:lineRule="auto"/>
        <w:rPr>
          <w:szCs w:val="22"/>
          <w:lang w:val="lt-LT"/>
        </w:rPr>
      </w:pPr>
      <w:r w:rsidRPr="00B27759">
        <w:rPr>
          <w:szCs w:val="22"/>
          <w:lang w:val="lt-LT"/>
        </w:rPr>
        <w:t xml:space="preserve">Menamas fingolimodo pusinės eliminacijos laikotarpis lengvu kepenų sutrikimu sergantiems pacientams nepakinta, tačiau vidutinio sunkumo ar sunkiu kepenų sutrikimu sergantiems pacientams jis pailgėja maždaug 50 %. </w:t>
      </w:r>
    </w:p>
    <w:p w:rsidR="001856F1" w:rsidRPr="00B27759" w:rsidRDefault="001856F1" w:rsidP="001856F1">
      <w:pPr>
        <w:spacing w:line="240" w:lineRule="auto"/>
        <w:rPr>
          <w:szCs w:val="22"/>
          <w:lang w:val="lt-LT"/>
        </w:rPr>
      </w:pPr>
      <w:r w:rsidRPr="00B27759">
        <w:rPr>
          <w:szCs w:val="22"/>
          <w:lang w:val="lt-LT"/>
        </w:rPr>
        <w:t xml:space="preserve"> </w:t>
      </w:r>
    </w:p>
    <w:p w:rsidR="001856F1" w:rsidRPr="00B27759" w:rsidRDefault="001856F1" w:rsidP="001856F1">
      <w:pPr>
        <w:spacing w:line="240" w:lineRule="auto"/>
        <w:rPr>
          <w:szCs w:val="22"/>
          <w:lang w:val="lt-LT"/>
        </w:rPr>
      </w:pPr>
      <w:r w:rsidRPr="00B27759">
        <w:rPr>
          <w:szCs w:val="22"/>
          <w:lang w:val="lt-LT"/>
        </w:rPr>
        <w:t xml:space="preserve">Fingolimodo negalima vartoti sunkiu kepenų sutrikimu (C klasės pagal </w:t>
      </w:r>
      <w:r w:rsidRPr="00B27759">
        <w:rPr>
          <w:i/>
          <w:szCs w:val="22"/>
          <w:lang w:val="lt-LT"/>
        </w:rPr>
        <w:t>Child-Pugh</w:t>
      </w:r>
      <w:r w:rsidRPr="00B27759">
        <w:rPr>
          <w:szCs w:val="22"/>
          <w:lang w:val="lt-LT"/>
        </w:rPr>
        <w:t xml:space="preserve">) sergantiems pacientams (žr. 4.3 skyrių). Nesunkiu ir vidutinio sunkumo kepenų sutrikimu sergantiems pacientams pradėti skirti fingolimodo reikia atsargiai (žr. 4.2 skyrių). </w:t>
      </w:r>
    </w:p>
    <w:p w:rsidR="009D708D" w:rsidRDefault="009D708D" w:rsidP="001856F1">
      <w:pPr>
        <w:spacing w:line="240" w:lineRule="auto"/>
        <w:rPr>
          <w:szCs w:val="22"/>
          <w:lang w:val="lt-LT"/>
        </w:rPr>
      </w:pPr>
    </w:p>
    <w:p w:rsidR="001856F1" w:rsidRPr="00B27759" w:rsidRDefault="009D708D" w:rsidP="001856F1">
      <w:pPr>
        <w:spacing w:line="240" w:lineRule="auto"/>
        <w:rPr>
          <w:szCs w:val="22"/>
          <w:lang w:val="lt-LT"/>
        </w:rPr>
      </w:pPr>
      <w:r w:rsidRPr="002F5D9D">
        <w:rPr>
          <w:i/>
          <w:iCs/>
          <w:szCs w:val="22"/>
          <w:lang w:val="lt-LT"/>
        </w:rPr>
        <w:t>Senyvi pacientai</w:t>
      </w:r>
    </w:p>
    <w:p w:rsidR="001856F1" w:rsidRPr="00B27759" w:rsidRDefault="001856F1" w:rsidP="001856F1">
      <w:pPr>
        <w:spacing w:line="240" w:lineRule="auto"/>
        <w:rPr>
          <w:szCs w:val="22"/>
          <w:lang w:val="lt-LT"/>
        </w:rPr>
      </w:pPr>
      <w:r w:rsidRPr="00B27759">
        <w:rPr>
          <w:szCs w:val="22"/>
          <w:lang w:val="lt-LT"/>
        </w:rPr>
        <w:t xml:space="preserve">Klinikinės vaistinio preparato vartojimo patirties ir informacijos apie farmakokinetiką vyresniems kaip 65 metų pacientams yra nedaug. Fingolimodo reikia atsargiai vartoti 65 metų ir vyresniems pacientams (žr. 4.2 skyrių). </w:t>
      </w:r>
    </w:p>
    <w:p w:rsidR="001856F1" w:rsidRPr="00B27759" w:rsidRDefault="001856F1" w:rsidP="001856F1">
      <w:pPr>
        <w:spacing w:line="240" w:lineRule="auto"/>
        <w:rPr>
          <w:szCs w:val="22"/>
          <w:u w:val="single"/>
          <w:lang w:val="lt-LT"/>
        </w:rPr>
      </w:pP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Vaikų populiacija </w:t>
      </w: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 xml:space="preserve">Vaikams (10 metų ir vyresniems) vartojant nuo 0,25 mg iki 0,5 mg dozes, fingolimodo fosfato koncentracijos didėja pagal aiškiai nuo dozės priklausomą pobūdį. </w:t>
      </w:r>
    </w:p>
    <w:p w:rsidR="001856F1" w:rsidRPr="00B27759" w:rsidRDefault="001856F1" w:rsidP="001856F1">
      <w:pPr>
        <w:spacing w:line="240" w:lineRule="auto"/>
        <w:rPr>
          <w:noProof/>
          <w:szCs w:val="22"/>
          <w:lang w:val="lt-LT"/>
        </w:rPr>
      </w:pPr>
      <w:r w:rsidRPr="00B27759">
        <w:rPr>
          <w:noProof/>
          <w:szCs w:val="22"/>
          <w:lang w:val="lt-LT"/>
        </w:rPr>
        <w:t xml:space="preserve"> </w:t>
      </w:r>
    </w:p>
    <w:p w:rsidR="001856F1" w:rsidRPr="00B27759" w:rsidRDefault="001856F1" w:rsidP="001856F1">
      <w:pPr>
        <w:spacing w:line="240" w:lineRule="auto"/>
        <w:rPr>
          <w:noProof/>
          <w:szCs w:val="22"/>
          <w:u w:val="single"/>
          <w:lang w:val="lt-LT"/>
        </w:rPr>
      </w:pPr>
      <w:r w:rsidRPr="00B27759">
        <w:rPr>
          <w:noProof/>
          <w:szCs w:val="22"/>
          <w:lang w:val="lt-LT"/>
        </w:rPr>
        <w:lastRenderedPageBreak/>
        <w:t>Nusistovėjus pusiausvyrinei koncentracijai fingolimodo fosfato koncentracija vaikams (10 metų ir vyresniems), kasdien vartojusiems 0,25 mg arba 0,5 mg fingolimodo dozes, yra maždaug 25 % mažesnė nei suaugusiems pacientams, gydytiems fingolimodo 0,5 mg kartą per parą vartotomis dozėmis, nustatyta koncentracija.</w:t>
      </w:r>
      <w:r w:rsidRPr="00B27759">
        <w:rPr>
          <w:noProof/>
          <w:szCs w:val="22"/>
          <w:u w:val="single"/>
          <w:lang w:val="lt-LT"/>
        </w:rPr>
        <w:t xml:space="preserve"> </w:t>
      </w:r>
    </w:p>
    <w:p w:rsidR="001856F1" w:rsidRPr="00B27759" w:rsidRDefault="001856F1" w:rsidP="001856F1">
      <w:pPr>
        <w:spacing w:line="240" w:lineRule="auto"/>
        <w:rPr>
          <w:noProof/>
          <w:szCs w:val="22"/>
          <w:u w:val="single"/>
          <w:lang w:val="lt-LT"/>
        </w:rPr>
      </w:pPr>
      <w:r w:rsidRPr="00B27759">
        <w:rPr>
          <w:noProof/>
          <w:szCs w:val="22"/>
          <w:u w:val="single"/>
          <w:lang w:val="lt-LT"/>
        </w:rPr>
        <w:t xml:space="preserve"> </w:t>
      </w:r>
    </w:p>
    <w:p w:rsidR="001856F1" w:rsidRPr="00B27759" w:rsidRDefault="001856F1" w:rsidP="001856F1">
      <w:pPr>
        <w:spacing w:line="240" w:lineRule="auto"/>
        <w:rPr>
          <w:noProof/>
          <w:szCs w:val="22"/>
          <w:lang w:val="lt-LT"/>
        </w:rPr>
      </w:pPr>
      <w:r w:rsidRPr="00B27759">
        <w:rPr>
          <w:noProof/>
          <w:szCs w:val="22"/>
          <w:lang w:val="lt-LT"/>
        </w:rPr>
        <w:t>Duomenų apie vaikus, jaunesnius kaip 10 metų, nėra.</w:t>
      </w:r>
    </w:p>
    <w:p w:rsidR="001856F1" w:rsidRPr="00B27759" w:rsidRDefault="001856F1" w:rsidP="001856F1">
      <w:pPr>
        <w:spacing w:line="240" w:lineRule="auto"/>
        <w:rPr>
          <w:b/>
          <w:bCs/>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5.3</w:t>
      </w:r>
      <w:r w:rsidRPr="00B27759">
        <w:rPr>
          <w:rFonts w:ascii="Times New Roman" w:hAnsi="Times New Roman"/>
          <w:sz w:val="22"/>
          <w:szCs w:val="22"/>
          <w:lang w:val="lt-LT"/>
        </w:rPr>
        <w:tab/>
        <w:t>Ikiklinikinių saugumo tyrimų duomenys</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noProof/>
          <w:szCs w:val="22"/>
          <w:lang w:val="lt-LT"/>
        </w:rPr>
      </w:pPr>
      <w:r w:rsidRPr="00B27759">
        <w:rPr>
          <w:noProof/>
          <w:szCs w:val="22"/>
          <w:lang w:val="lt-LT"/>
        </w:rPr>
        <w:t>Fingolimodo saugumo savybės buvo vertintos ikiklinikinių tyrimų metu su pelėmis, žiurkėmis, šunimis ir beždžionėmis. Svarbiausi vaistinio preparato veikiami organai keletui gyvūnų rūšių yra limfoidinė sistema (pasireiškia limfopenija ir limfoidinio audinio atrofija), plaučiai (padidėja svoris, atsiranda lygiųjų raumenų hi</w:t>
      </w:r>
      <w:r w:rsidR="00FD1988" w:rsidRPr="00B27759">
        <w:rPr>
          <w:noProof/>
          <w:szCs w:val="22"/>
          <w:lang w:val="lt-LT"/>
        </w:rPr>
        <w:t xml:space="preserve">pertrofija bronchų ir alveolių </w:t>
      </w:r>
      <w:r w:rsidRPr="00B27759">
        <w:rPr>
          <w:noProof/>
          <w:szCs w:val="22"/>
          <w:lang w:val="lt-LT"/>
        </w:rPr>
        <w:t xml:space="preserve">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(AUC) vartojant 0,5 mg paros dozę).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ribą nei sisteminė ekspozicija žmogui (AUC) vartojant 0,5 mg paros dozę.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Tyrimų su gyvūnais metu nenustatyta nei mutageninių, nei klastogeninių fingolimodo savybių.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Fingolimodas neįtakoja žiurkių patinų spermatozoidų skaičiaus ar judrumo bei žiurkių patinų ir patelių vislumo, gyvūnams duodant didžiausią tirtą dozę (10 mg/kg kūno svorio), kuri atitinka apytiksliai 150 kartų didesnę ribą nei sisteminė ekspozicija žmogui (AUC) vartojant 0,5 mg paros dozę.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Fingolimodas sukėlė teratogeninį poveikį žiurkėms, kai buvo duodamos 0,1 mg/kg kūno svorio ar didesnės jo dozės. Duodant šią dozę, vaistinio preparato ekspozicija žiurkėms buvo panaši į ekspoziciją pacientams, vartojantiems terapines vaistinio preparato dozes (0,5 mg). Dažniausi vaisiaus vidaus organų vystymosi sutrikimai buvo išliekantis arterinis kamienas ir skilvelių pertvaros defektas. Teratogeninis poveikis triušiams nebuvo išsamiai įvertintas, tačiau duodant 1,5 mg/kg kūno svorio ir didesnes dozes, pastebėtas padidėjęs embrionų ir vaisių kritimų dažnis, o duodant 5 mg/kg kūno svorio dozę, sumažėjo gyvybingų vaisių ir taip pat sulėtėjo vaisių augimas. Duodant šias dozes, vaistinio preparato ekspozicija triušiams buvo panaši į ekspoziciją pacientams.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Žiurkių patelėms duodant preparato dozes, kurios joms nesukėlė toksinio poveikio, jų F1 kartos palikuonių išgyvenamumas ankstyvuoju laikotarpiu po atsivedimo sumažėjo. Tačiau fingolimodo davimas nekeitė F1 kartos palikuonių kūno svorio, vystimosi, elgesio ir vislumo.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Fingolimodo išsiskyrė į gyvūnų, kuriems vaistinio preparato buvo duodama žindymo metu, pieną, o vaistinio preparato koncentracija piene buvo 2-3 kartus didesnė nei patelių kraujo plazmoje nustatoma vaistinio preparato koncentracija. Fingolimodas ir jo metabolitai praeina pro vaikingų triušių patelių placentos barjerą.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i/>
          <w:noProof/>
          <w:szCs w:val="22"/>
          <w:lang w:val="lt-LT"/>
        </w:rPr>
      </w:pPr>
      <w:r w:rsidRPr="00B27759">
        <w:rPr>
          <w:i/>
          <w:noProof/>
          <w:szCs w:val="22"/>
          <w:lang w:val="lt-LT"/>
        </w:rPr>
        <w:t xml:space="preserve">Gyvūnų jauniklių tyrimai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noProof/>
          <w:szCs w:val="22"/>
          <w:lang w:val="lt-LT"/>
        </w:rPr>
      </w:pPr>
      <w:r w:rsidRPr="00B27759">
        <w:rPr>
          <w:noProof/>
          <w:szCs w:val="22"/>
          <w:lang w:val="lt-LT"/>
        </w:rPr>
        <w:t>Dviejų toksinio poveikio žiurkių jaunikliams tyrimų duomenys rodo nedidelį poveikį nervų</w:t>
      </w:r>
      <w:r w:rsidR="003B0E5C">
        <w:rPr>
          <w:noProof/>
          <w:szCs w:val="22"/>
          <w:lang w:val="lt-LT"/>
        </w:rPr>
        <w:t xml:space="preserve"> </w:t>
      </w:r>
      <w:r w:rsidRPr="00B27759">
        <w:rPr>
          <w:noProof/>
          <w:szCs w:val="22"/>
          <w:lang w:val="lt-LT"/>
        </w:rPr>
        <w:t xml:space="preserve">sistemos elgesio reakcijai, sulėtėjusiam lytiniam brendimui ir susilpnėjusiam imuniniam atsakui į kartotinę stimuliaciją moliuskų hemocianinu (angl. </w:t>
      </w:r>
      <w:r w:rsidRPr="00B27759">
        <w:rPr>
          <w:i/>
          <w:noProof/>
          <w:szCs w:val="22"/>
          <w:lang w:val="lt-LT"/>
        </w:rPr>
        <w:t>keyhole limpet haemocyanin</w:t>
      </w:r>
      <w:r w:rsidRPr="00B27759">
        <w:rPr>
          <w:noProof/>
          <w:szCs w:val="22"/>
          <w:lang w:val="lt-LT"/>
        </w:rPr>
        <w:t xml:space="preserve"> – KLH), tačiau šis poveikis nebuvo vertinamas kaip nepageidaujamas. Apskritai, su vaistinio preparato vartojimu susijęs fingolimodo poveikis gyvūnų jaunikliams buvo panašus į nustatytąjį suaugusioms žiurkėms, kai buvo duodamos panašios dozės, išskyrus poveikį kaulų mineralinio tankio pokyčiams ir nervų sistemos </w:t>
      </w:r>
      <w:r w:rsidRPr="00B27759">
        <w:rPr>
          <w:noProof/>
          <w:szCs w:val="22"/>
          <w:lang w:val="lt-LT"/>
        </w:rPr>
        <w:lastRenderedPageBreak/>
        <w:t xml:space="preserve">elgesio sutrikimams (stebėtas susilpnėjęs išgąsčio atsakas klausos dirgikliams), kurie pastebėti duodant 1,5 mg/kg ir didesnes dozes jaunikliams. Tačiau žiurkių jaunikliams nebuvo nustatyta lygiųjų raumenų hipertrofijos plaučiuose atvejų. </w:t>
      </w:r>
    </w:p>
    <w:p w:rsidR="001856F1" w:rsidRPr="00B27759" w:rsidRDefault="001856F1" w:rsidP="001856F1">
      <w:pPr>
        <w:tabs>
          <w:tab w:val="clear" w:pos="567"/>
        </w:tabs>
        <w:spacing w:line="240" w:lineRule="auto"/>
        <w:rPr>
          <w:noProof/>
          <w:szCs w:val="22"/>
          <w:lang w:val="lt-LT"/>
        </w:rPr>
      </w:pPr>
      <w:r w:rsidRPr="00B27759">
        <w:rPr>
          <w:noProof/>
          <w:szCs w:val="22"/>
          <w:lang w:val="lt-LT"/>
        </w:rPr>
        <w:t xml:space="preserve"> </w:t>
      </w:r>
    </w:p>
    <w:p w:rsidR="001856F1" w:rsidRPr="00B27759" w:rsidRDefault="001856F1" w:rsidP="001856F1">
      <w:pPr>
        <w:tabs>
          <w:tab w:val="clear" w:pos="567"/>
        </w:tabs>
        <w:spacing w:line="240" w:lineRule="auto"/>
        <w:rPr>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6.</w:t>
      </w:r>
      <w:r w:rsidRPr="00B27759">
        <w:rPr>
          <w:rFonts w:ascii="Times New Roman" w:hAnsi="Times New Roman"/>
          <w:sz w:val="22"/>
          <w:szCs w:val="22"/>
          <w:lang w:val="lt-LT"/>
        </w:rPr>
        <w:tab/>
        <w:t>FARMACINĖ INFORMACIJA</w:t>
      </w:r>
    </w:p>
    <w:p w:rsidR="001856F1" w:rsidRPr="00B27759" w:rsidRDefault="001856F1" w:rsidP="001856F1">
      <w:pPr>
        <w:tabs>
          <w:tab w:val="clear" w:pos="567"/>
        </w:tabs>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6.1</w:t>
      </w:r>
      <w:r w:rsidRPr="00B27759">
        <w:rPr>
          <w:rFonts w:ascii="Times New Roman" w:hAnsi="Times New Roman"/>
          <w:sz w:val="22"/>
          <w:szCs w:val="22"/>
          <w:lang w:val="lt-LT"/>
        </w:rPr>
        <w:tab/>
        <w:t>Pagalbinių medžiagų sąrašas</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szCs w:val="22"/>
          <w:u w:val="single"/>
          <w:lang w:val="lt-LT"/>
        </w:rPr>
      </w:pPr>
      <w:r w:rsidRPr="00B27759">
        <w:rPr>
          <w:szCs w:val="22"/>
          <w:u w:val="single"/>
          <w:lang w:val="lt-LT"/>
        </w:rPr>
        <w:t xml:space="preserve">Kapsulės turinys </w:t>
      </w:r>
    </w:p>
    <w:p w:rsidR="00975C64" w:rsidRPr="00B27759" w:rsidRDefault="00975C64" w:rsidP="001856F1">
      <w:pPr>
        <w:tabs>
          <w:tab w:val="clear" w:pos="567"/>
        </w:tabs>
        <w:spacing w:line="240" w:lineRule="auto"/>
        <w:rPr>
          <w:szCs w:val="22"/>
          <w:lang w:val="lt-LT"/>
        </w:rPr>
      </w:pPr>
      <w:r w:rsidRPr="00B27759">
        <w:rPr>
          <w:szCs w:val="22"/>
          <w:lang w:val="lt-LT"/>
        </w:rPr>
        <w:t xml:space="preserve">Pregelifikuotas </w:t>
      </w:r>
      <w:r w:rsidR="00597528">
        <w:rPr>
          <w:szCs w:val="22"/>
          <w:lang w:val="lt-LT"/>
        </w:rPr>
        <w:t xml:space="preserve">kukurūzų </w:t>
      </w:r>
      <w:r w:rsidRPr="00B27759">
        <w:rPr>
          <w:szCs w:val="22"/>
          <w:lang w:val="lt-LT"/>
        </w:rPr>
        <w:t xml:space="preserve">krakmolas </w:t>
      </w:r>
    </w:p>
    <w:p w:rsidR="00975C64" w:rsidRPr="00B27759" w:rsidRDefault="00975C64" w:rsidP="001856F1">
      <w:pPr>
        <w:tabs>
          <w:tab w:val="clear" w:pos="567"/>
        </w:tabs>
        <w:spacing w:line="240" w:lineRule="auto"/>
        <w:rPr>
          <w:szCs w:val="22"/>
          <w:lang w:val="lt-LT"/>
        </w:rPr>
      </w:pPr>
      <w:r w:rsidRPr="00B27759">
        <w:rPr>
          <w:szCs w:val="22"/>
          <w:lang w:val="lt-LT"/>
        </w:rPr>
        <w:t>Natrio laurilsulfatas</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szCs w:val="22"/>
          <w:u w:val="single"/>
          <w:lang w:val="lt-LT"/>
        </w:rPr>
      </w:pPr>
      <w:bookmarkStart w:id="1" w:name="_Hlk40864881"/>
      <w:r w:rsidRPr="00B27759">
        <w:rPr>
          <w:szCs w:val="22"/>
          <w:u w:val="single"/>
          <w:lang w:val="lt-LT"/>
        </w:rPr>
        <w:t xml:space="preserve">Kapsulės </w:t>
      </w:r>
      <w:r w:rsidR="00597528">
        <w:rPr>
          <w:szCs w:val="22"/>
          <w:u w:val="single"/>
          <w:lang w:val="lt-LT"/>
        </w:rPr>
        <w:t>apvalkalas</w:t>
      </w:r>
    </w:p>
    <w:p w:rsidR="003C3F1F" w:rsidRPr="00B27759" w:rsidRDefault="003C3F1F" w:rsidP="003C3F1F">
      <w:pPr>
        <w:tabs>
          <w:tab w:val="clear" w:pos="567"/>
        </w:tabs>
        <w:spacing w:line="240" w:lineRule="auto"/>
        <w:rPr>
          <w:szCs w:val="22"/>
          <w:lang w:val="lt-LT"/>
        </w:rPr>
      </w:pPr>
      <w:r w:rsidRPr="00B27759">
        <w:rPr>
          <w:szCs w:val="22"/>
          <w:lang w:val="lt-LT"/>
        </w:rPr>
        <w:t>Geltonasis geležies oksidas (E172)</w:t>
      </w:r>
    </w:p>
    <w:p w:rsidR="003C3F1F" w:rsidRPr="00B27759" w:rsidRDefault="003C3F1F" w:rsidP="003C3F1F">
      <w:pPr>
        <w:tabs>
          <w:tab w:val="clear" w:pos="567"/>
        </w:tabs>
        <w:spacing w:line="240" w:lineRule="auto"/>
        <w:rPr>
          <w:szCs w:val="22"/>
          <w:lang w:val="lt-LT"/>
        </w:rPr>
      </w:pPr>
      <w:r w:rsidRPr="00B27759">
        <w:rPr>
          <w:szCs w:val="22"/>
          <w:lang w:val="lt-LT"/>
        </w:rPr>
        <w:t xml:space="preserve">Titano dioksidas (E171) </w:t>
      </w:r>
    </w:p>
    <w:p w:rsidR="001856F1" w:rsidRPr="00B27759" w:rsidRDefault="001856F1" w:rsidP="001856F1">
      <w:pPr>
        <w:tabs>
          <w:tab w:val="clear" w:pos="567"/>
        </w:tabs>
        <w:spacing w:line="240" w:lineRule="auto"/>
        <w:rPr>
          <w:szCs w:val="22"/>
          <w:lang w:val="lt-LT"/>
        </w:rPr>
      </w:pPr>
      <w:r w:rsidRPr="00B27759">
        <w:rPr>
          <w:szCs w:val="22"/>
          <w:lang w:val="lt-LT"/>
        </w:rPr>
        <w:t xml:space="preserve">Želatina </w:t>
      </w:r>
    </w:p>
    <w:bookmarkEnd w:id="1"/>
    <w:p w:rsidR="001856F1" w:rsidRPr="00B27759" w:rsidRDefault="001856F1" w:rsidP="001856F1">
      <w:pPr>
        <w:tabs>
          <w:tab w:val="clear" w:pos="567"/>
        </w:tabs>
        <w:spacing w:line="240" w:lineRule="auto"/>
        <w:rPr>
          <w:szCs w:val="22"/>
          <w:u w:val="single"/>
          <w:lang w:val="lt-LT"/>
        </w:rPr>
      </w:pPr>
    </w:p>
    <w:p w:rsidR="003C3F1F" w:rsidRPr="00B27759" w:rsidRDefault="000449BD" w:rsidP="001856F1">
      <w:pPr>
        <w:tabs>
          <w:tab w:val="clear" w:pos="567"/>
        </w:tabs>
        <w:spacing w:line="240" w:lineRule="auto"/>
        <w:rPr>
          <w:szCs w:val="22"/>
          <w:u w:val="single"/>
          <w:lang w:val="lt-LT"/>
        </w:rPr>
      </w:pPr>
      <w:r>
        <w:rPr>
          <w:szCs w:val="22"/>
          <w:u w:val="single"/>
          <w:lang w:val="lt-LT"/>
        </w:rPr>
        <w:t>Užrašo r</w:t>
      </w:r>
      <w:r w:rsidR="003C3F1F" w:rsidRPr="00B27759">
        <w:rPr>
          <w:szCs w:val="22"/>
          <w:u w:val="single"/>
          <w:lang w:val="lt-LT"/>
        </w:rPr>
        <w:t>ašalas</w:t>
      </w:r>
    </w:p>
    <w:p w:rsidR="003C3F1F" w:rsidRPr="00B27759" w:rsidRDefault="003C3F1F" w:rsidP="001856F1">
      <w:pPr>
        <w:tabs>
          <w:tab w:val="clear" w:pos="567"/>
        </w:tabs>
        <w:spacing w:line="240" w:lineRule="auto"/>
        <w:rPr>
          <w:szCs w:val="22"/>
          <w:lang w:val="lt-LT"/>
        </w:rPr>
      </w:pPr>
      <w:r w:rsidRPr="00B27759">
        <w:rPr>
          <w:szCs w:val="22"/>
          <w:lang w:val="lt-LT"/>
        </w:rPr>
        <w:t>Šelakas</w:t>
      </w:r>
    </w:p>
    <w:p w:rsidR="00584235" w:rsidRPr="00B27759" w:rsidRDefault="00584235" w:rsidP="001856F1">
      <w:pPr>
        <w:tabs>
          <w:tab w:val="clear" w:pos="567"/>
        </w:tabs>
        <w:spacing w:line="240" w:lineRule="auto"/>
        <w:rPr>
          <w:szCs w:val="22"/>
          <w:lang w:val="lt-LT"/>
        </w:rPr>
      </w:pPr>
      <w:r w:rsidRPr="00B27759">
        <w:rPr>
          <w:szCs w:val="22"/>
          <w:lang w:val="lt-LT"/>
        </w:rPr>
        <w:t>Propilenglikolis</w:t>
      </w:r>
    </w:p>
    <w:p w:rsidR="00584235" w:rsidRPr="00B27759" w:rsidRDefault="00EE0BE1" w:rsidP="001856F1">
      <w:pPr>
        <w:tabs>
          <w:tab w:val="clear" w:pos="567"/>
        </w:tabs>
        <w:spacing w:line="240" w:lineRule="auto"/>
        <w:rPr>
          <w:szCs w:val="22"/>
          <w:lang w:val="lt-LT"/>
        </w:rPr>
      </w:pPr>
      <w:r>
        <w:rPr>
          <w:szCs w:val="22"/>
          <w:lang w:val="lt-LT"/>
        </w:rPr>
        <w:t>Stiprus a</w:t>
      </w:r>
      <w:r w:rsidR="00584235" w:rsidRPr="00B27759">
        <w:rPr>
          <w:szCs w:val="22"/>
          <w:lang w:val="lt-LT"/>
        </w:rPr>
        <w:t>moniako tirpalas</w:t>
      </w:r>
    </w:p>
    <w:p w:rsidR="001856F1" w:rsidRPr="00B27759" w:rsidRDefault="00584235" w:rsidP="001856F1">
      <w:pPr>
        <w:tabs>
          <w:tab w:val="clear" w:pos="567"/>
        </w:tabs>
        <w:spacing w:line="240" w:lineRule="auto"/>
        <w:rPr>
          <w:szCs w:val="22"/>
          <w:lang w:val="lt-LT"/>
        </w:rPr>
      </w:pPr>
      <w:r w:rsidRPr="00B27759">
        <w:rPr>
          <w:szCs w:val="22"/>
          <w:lang w:val="lt-LT"/>
        </w:rPr>
        <w:t xml:space="preserve">Juodasis </w:t>
      </w:r>
      <w:r w:rsidR="001856F1" w:rsidRPr="00B27759">
        <w:rPr>
          <w:szCs w:val="22"/>
          <w:lang w:val="lt-LT"/>
        </w:rPr>
        <w:t xml:space="preserve">geležies oksidas (E172) </w:t>
      </w:r>
    </w:p>
    <w:p w:rsidR="00584235" w:rsidRPr="00B27759" w:rsidRDefault="00584235" w:rsidP="001856F1">
      <w:pPr>
        <w:tabs>
          <w:tab w:val="clear" w:pos="567"/>
        </w:tabs>
        <w:spacing w:line="240" w:lineRule="auto"/>
        <w:rPr>
          <w:szCs w:val="22"/>
          <w:lang w:val="lt-LT"/>
        </w:rPr>
      </w:pPr>
      <w:r w:rsidRPr="00B27759">
        <w:rPr>
          <w:szCs w:val="22"/>
          <w:lang w:val="lt-LT"/>
        </w:rPr>
        <w:t>Kalio hidroksidas</w:t>
      </w:r>
    </w:p>
    <w:p w:rsidR="001856F1" w:rsidRPr="00B27759" w:rsidRDefault="001856F1" w:rsidP="001856F1">
      <w:pPr>
        <w:tabs>
          <w:tab w:val="clear" w:pos="567"/>
        </w:tabs>
        <w:spacing w:line="240" w:lineRule="auto"/>
        <w:rPr>
          <w:szCs w:val="22"/>
          <w:lang w:val="lt-LT"/>
        </w:rPr>
      </w:pPr>
      <w:r w:rsidRPr="00B27759">
        <w:rPr>
          <w:szCs w:val="22"/>
          <w:lang w:val="lt-LT"/>
        </w:rPr>
        <w:t xml:space="preserve"> </w:t>
      </w: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6.2</w:t>
      </w:r>
      <w:r w:rsidRPr="00B27759">
        <w:rPr>
          <w:rFonts w:ascii="Times New Roman" w:hAnsi="Times New Roman"/>
          <w:sz w:val="22"/>
          <w:szCs w:val="22"/>
          <w:lang w:val="lt-LT"/>
        </w:rPr>
        <w:tab/>
        <w:t>Nesuderinamumas</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szCs w:val="22"/>
          <w:lang w:val="lt-LT"/>
        </w:rPr>
      </w:pPr>
      <w:r w:rsidRPr="00B27759">
        <w:rPr>
          <w:noProof/>
          <w:szCs w:val="22"/>
          <w:lang w:val="lt-LT"/>
        </w:rPr>
        <w:t>Duomenys nebūtini.</w:t>
      </w:r>
    </w:p>
    <w:p w:rsidR="001856F1" w:rsidRPr="00B27759" w:rsidRDefault="001856F1" w:rsidP="001856F1">
      <w:pPr>
        <w:tabs>
          <w:tab w:val="clear" w:pos="567"/>
        </w:tabs>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6.3</w:t>
      </w:r>
      <w:r w:rsidRPr="00B27759">
        <w:rPr>
          <w:rFonts w:ascii="Times New Roman" w:hAnsi="Times New Roman"/>
          <w:sz w:val="22"/>
          <w:szCs w:val="22"/>
          <w:lang w:val="lt-LT"/>
        </w:rPr>
        <w:tab/>
        <w:t>Tinkamumo laikas</w:t>
      </w:r>
    </w:p>
    <w:p w:rsidR="001856F1" w:rsidRPr="00B27759" w:rsidRDefault="001856F1" w:rsidP="001856F1">
      <w:pPr>
        <w:tabs>
          <w:tab w:val="clear" w:pos="567"/>
        </w:tabs>
        <w:spacing w:line="240" w:lineRule="auto"/>
        <w:rPr>
          <w:szCs w:val="22"/>
          <w:lang w:val="lt-LT"/>
        </w:rPr>
      </w:pPr>
    </w:p>
    <w:p w:rsidR="001856F1" w:rsidRPr="00B27759" w:rsidRDefault="00584235" w:rsidP="001856F1">
      <w:pPr>
        <w:tabs>
          <w:tab w:val="clear" w:pos="567"/>
        </w:tabs>
        <w:spacing w:line="240" w:lineRule="auto"/>
        <w:rPr>
          <w:szCs w:val="22"/>
          <w:lang w:val="lt-LT"/>
        </w:rPr>
      </w:pPr>
      <w:r w:rsidRPr="00B27759">
        <w:rPr>
          <w:noProof/>
          <w:szCs w:val="22"/>
          <w:lang w:val="lt-LT"/>
        </w:rPr>
        <w:t>2</w:t>
      </w:r>
      <w:r w:rsidR="001856F1" w:rsidRPr="00B27759">
        <w:rPr>
          <w:noProof/>
          <w:szCs w:val="22"/>
          <w:lang w:val="lt-LT"/>
        </w:rPr>
        <w:t xml:space="preserve"> metai.</w:t>
      </w:r>
    </w:p>
    <w:p w:rsidR="001856F1" w:rsidRPr="00B27759" w:rsidRDefault="001856F1" w:rsidP="001856F1">
      <w:pPr>
        <w:tabs>
          <w:tab w:val="clear" w:pos="567"/>
        </w:tabs>
        <w:spacing w:line="240" w:lineRule="auto"/>
        <w:rPr>
          <w:szCs w:val="22"/>
          <w:lang w:val="lt-LT"/>
        </w:rPr>
      </w:pPr>
    </w:p>
    <w:p w:rsidR="001856F1" w:rsidRPr="00B27759" w:rsidRDefault="001856F1" w:rsidP="001856F1">
      <w:pPr>
        <w:pStyle w:val="Antrat4"/>
        <w:spacing w:line="240" w:lineRule="auto"/>
        <w:jc w:val="left"/>
        <w:rPr>
          <w:rFonts w:ascii="Times New Roman" w:hAnsi="Times New Roman"/>
          <w:sz w:val="22"/>
          <w:szCs w:val="22"/>
          <w:lang w:val="lt-LT"/>
        </w:rPr>
      </w:pPr>
      <w:r w:rsidRPr="00B27759">
        <w:rPr>
          <w:rFonts w:ascii="Times New Roman" w:hAnsi="Times New Roman"/>
          <w:sz w:val="22"/>
          <w:szCs w:val="22"/>
          <w:lang w:val="lt-LT"/>
        </w:rPr>
        <w:t>6.4</w:t>
      </w:r>
      <w:r w:rsidRPr="00B27759">
        <w:rPr>
          <w:rFonts w:ascii="Times New Roman" w:hAnsi="Times New Roman"/>
          <w:sz w:val="22"/>
          <w:szCs w:val="22"/>
          <w:lang w:val="lt-LT"/>
        </w:rPr>
        <w:tab/>
        <w:t>Specialios laikymo sąlygos</w:t>
      </w:r>
    </w:p>
    <w:p w:rsidR="001856F1" w:rsidRPr="00B27759" w:rsidRDefault="001856F1" w:rsidP="001856F1">
      <w:pPr>
        <w:tabs>
          <w:tab w:val="clear" w:pos="567"/>
        </w:tabs>
        <w:spacing w:line="240" w:lineRule="auto"/>
        <w:rPr>
          <w:szCs w:val="22"/>
          <w:lang w:val="lt-LT"/>
        </w:rPr>
      </w:pPr>
    </w:p>
    <w:p w:rsidR="00584235" w:rsidRPr="00B27759" w:rsidRDefault="00584235" w:rsidP="00584235">
      <w:pPr>
        <w:tabs>
          <w:tab w:val="clear" w:pos="567"/>
        </w:tabs>
        <w:spacing w:line="240" w:lineRule="auto"/>
        <w:rPr>
          <w:rFonts w:eastAsia="SimSun"/>
          <w:noProof/>
          <w:snapToGrid/>
          <w:szCs w:val="22"/>
          <w:lang w:val="lt-LT" w:eastAsia="x-none"/>
        </w:rPr>
      </w:pPr>
      <w:r w:rsidRPr="00B27759">
        <w:rPr>
          <w:rFonts w:eastAsia="SimSun"/>
          <w:noProof/>
          <w:snapToGrid/>
          <w:szCs w:val="22"/>
          <w:lang w:val="lt-LT" w:eastAsia="x-none"/>
        </w:rPr>
        <w:t>Šiam vaistiniam preparatui specialių laikymo sąlygų nereikia</w:t>
      </w:r>
    </w:p>
    <w:p w:rsidR="00584235" w:rsidRPr="00B27759" w:rsidRDefault="00584235" w:rsidP="00584235">
      <w:pPr>
        <w:tabs>
          <w:tab w:val="clear" w:pos="567"/>
        </w:tabs>
        <w:spacing w:line="240" w:lineRule="auto"/>
        <w:rPr>
          <w:rFonts w:eastAsia="SimSun"/>
          <w:noProof/>
          <w:snapToGrid/>
          <w:szCs w:val="22"/>
          <w:lang w:val="lt-LT" w:eastAsia="x-none"/>
        </w:rPr>
      </w:pPr>
    </w:p>
    <w:p w:rsidR="001856F1" w:rsidRPr="00B27759" w:rsidRDefault="001856F1" w:rsidP="001856F1">
      <w:pPr>
        <w:pStyle w:val="Antrat4"/>
        <w:spacing w:line="240" w:lineRule="auto"/>
        <w:jc w:val="left"/>
        <w:rPr>
          <w:rFonts w:ascii="Times New Roman" w:hAnsi="Times New Roman"/>
          <w:sz w:val="22"/>
          <w:szCs w:val="22"/>
          <w:lang w:val="lt-LT"/>
        </w:rPr>
      </w:pPr>
    </w:p>
    <w:p w:rsidR="001856F1" w:rsidRPr="00B27759" w:rsidRDefault="001856F1" w:rsidP="001856F1">
      <w:pPr>
        <w:pStyle w:val="Antrat4"/>
        <w:spacing w:line="240" w:lineRule="auto"/>
        <w:jc w:val="left"/>
        <w:rPr>
          <w:rFonts w:ascii="Times New Roman" w:hAnsi="Times New Roman"/>
          <w:bCs w:val="0"/>
          <w:noProof/>
          <w:sz w:val="22"/>
          <w:szCs w:val="22"/>
          <w:lang w:val="lt-LT"/>
        </w:rPr>
      </w:pPr>
      <w:r w:rsidRPr="00B27759">
        <w:rPr>
          <w:rFonts w:ascii="Times New Roman" w:hAnsi="Times New Roman"/>
          <w:sz w:val="22"/>
          <w:szCs w:val="22"/>
          <w:lang w:val="lt-LT"/>
        </w:rPr>
        <w:t>6.5</w:t>
      </w:r>
      <w:r w:rsidRPr="00B27759">
        <w:rPr>
          <w:rFonts w:ascii="Times New Roman" w:hAnsi="Times New Roman"/>
          <w:sz w:val="22"/>
          <w:szCs w:val="22"/>
          <w:lang w:val="lt-LT"/>
        </w:rPr>
        <w:tab/>
        <w:t>Talpyklės pobūdis ir jos turinys</w:t>
      </w:r>
      <w:r w:rsidRPr="00B27759">
        <w:rPr>
          <w:rFonts w:ascii="Times New Roman" w:hAnsi="Times New Roman"/>
          <w:bCs w:val="0"/>
          <w:noProof/>
          <w:sz w:val="22"/>
          <w:szCs w:val="22"/>
          <w:lang w:val="lt-LT"/>
        </w:rPr>
        <w:t xml:space="preserve"> </w:t>
      </w:r>
    </w:p>
    <w:p w:rsidR="001856F1" w:rsidRPr="00B27759" w:rsidRDefault="001856F1" w:rsidP="001856F1">
      <w:pPr>
        <w:rPr>
          <w:szCs w:val="22"/>
          <w:lang w:val="lt-LT" w:eastAsia="x-none"/>
        </w:rPr>
      </w:pPr>
    </w:p>
    <w:p w:rsidR="005F776C" w:rsidRDefault="005F776C" w:rsidP="001856F1">
      <w:pPr>
        <w:tabs>
          <w:tab w:val="clear" w:pos="567"/>
        </w:tabs>
        <w:spacing w:line="240" w:lineRule="auto"/>
        <w:rPr>
          <w:noProof/>
          <w:szCs w:val="22"/>
          <w:lang w:val="lt-LT"/>
        </w:rPr>
      </w:pPr>
      <w:r>
        <w:rPr>
          <w:noProof/>
          <w:szCs w:val="22"/>
          <w:lang w:val="lt-LT"/>
        </w:rPr>
        <w:t>O</w:t>
      </w:r>
      <w:r w:rsidR="001856F1" w:rsidRPr="00B27759">
        <w:rPr>
          <w:noProof/>
          <w:szCs w:val="22"/>
          <w:lang w:val="lt-LT"/>
        </w:rPr>
        <w:t>PA/Al/PVC</w:t>
      </w:r>
      <w:r w:rsidR="00584235" w:rsidRPr="00B27759">
        <w:rPr>
          <w:noProof/>
          <w:szCs w:val="22"/>
          <w:lang w:val="lt-LT"/>
        </w:rPr>
        <w:t>//</w:t>
      </w:r>
      <w:r w:rsidR="001856F1" w:rsidRPr="00B27759">
        <w:rPr>
          <w:noProof/>
          <w:szCs w:val="22"/>
          <w:lang w:val="lt-LT"/>
        </w:rPr>
        <w:t xml:space="preserve">Al </w:t>
      </w:r>
      <w:r>
        <w:rPr>
          <w:noProof/>
          <w:szCs w:val="22"/>
          <w:lang w:val="lt-LT"/>
        </w:rPr>
        <w:t xml:space="preserve">lizdinės plokštelės </w:t>
      </w:r>
      <w:r w:rsidR="00584235" w:rsidRPr="00B27759">
        <w:rPr>
          <w:noProof/>
          <w:szCs w:val="22"/>
          <w:lang w:val="lt-LT"/>
        </w:rPr>
        <w:t xml:space="preserve">ir </w:t>
      </w:r>
      <w:r>
        <w:rPr>
          <w:noProof/>
          <w:szCs w:val="22"/>
          <w:lang w:val="lt-LT"/>
        </w:rPr>
        <w:t>O</w:t>
      </w:r>
      <w:r w:rsidR="00584235" w:rsidRPr="00B27759">
        <w:rPr>
          <w:noProof/>
          <w:szCs w:val="22"/>
          <w:lang w:val="lt-LT"/>
        </w:rPr>
        <w:t>PA/Al/PVC//</w:t>
      </w:r>
      <w:r w:rsidR="00FA1F8D" w:rsidRPr="00B27759">
        <w:rPr>
          <w:noProof/>
          <w:szCs w:val="22"/>
          <w:lang w:val="lt-LT"/>
        </w:rPr>
        <w:t>popieriaus/PET/Al lizdinės plokštelė</w:t>
      </w:r>
      <w:r w:rsidR="00584235" w:rsidRPr="00B27759">
        <w:rPr>
          <w:noProof/>
          <w:szCs w:val="22"/>
          <w:lang w:val="lt-LT"/>
        </w:rPr>
        <w:t>s</w:t>
      </w:r>
      <w:r>
        <w:rPr>
          <w:noProof/>
          <w:szCs w:val="22"/>
          <w:lang w:val="lt-LT"/>
        </w:rPr>
        <w:t>.</w:t>
      </w:r>
    </w:p>
    <w:p w:rsidR="001856F1" w:rsidRPr="00684A34" w:rsidRDefault="005F776C" w:rsidP="001856F1">
      <w:pPr>
        <w:tabs>
          <w:tab w:val="clear" w:pos="567"/>
        </w:tabs>
        <w:spacing w:line="240" w:lineRule="auto"/>
        <w:rPr>
          <w:noProof/>
          <w:szCs w:val="22"/>
          <w:lang w:val="lt-LT"/>
        </w:rPr>
      </w:pPr>
      <w:r>
        <w:rPr>
          <w:noProof/>
          <w:szCs w:val="22"/>
          <w:lang w:val="lt-LT"/>
        </w:rPr>
        <w:t xml:space="preserve">Pakuočių dydžiai: </w:t>
      </w:r>
      <w:r w:rsidR="00584235" w:rsidRPr="00B27759">
        <w:rPr>
          <w:noProof/>
          <w:szCs w:val="22"/>
          <w:lang w:val="lt-LT"/>
        </w:rPr>
        <w:t xml:space="preserve">7, 10, 28, 30 ir 98 </w:t>
      </w:r>
      <w:r w:rsidR="001856F1" w:rsidRPr="00B27759">
        <w:rPr>
          <w:noProof/>
          <w:szCs w:val="22"/>
          <w:lang w:val="lt-LT"/>
        </w:rPr>
        <w:t>kiet</w:t>
      </w:r>
      <w:r w:rsidR="00584235" w:rsidRPr="00B27759">
        <w:rPr>
          <w:noProof/>
          <w:szCs w:val="22"/>
          <w:lang w:val="lt-LT"/>
        </w:rPr>
        <w:t xml:space="preserve">osios </w:t>
      </w:r>
      <w:r w:rsidR="001856F1" w:rsidRPr="00B27759">
        <w:rPr>
          <w:noProof/>
          <w:szCs w:val="22"/>
          <w:lang w:val="lt-LT"/>
        </w:rPr>
        <w:t>kapsul</w:t>
      </w:r>
      <w:r w:rsidR="00584235" w:rsidRPr="00B27759">
        <w:rPr>
          <w:noProof/>
          <w:szCs w:val="22"/>
          <w:lang w:val="lt-LT"/>
        </w:rPr>
        <w:t>ės</w:t>
      </w:r>
      <w:r w:rsidRPr="0062471E">
        <w:rPr>
          <w:noProof/>
          <w:color w:val="000000"/>
          <w:szCs w:val="22"/>
          <w:lang w:val="lt-LT"/>
        </w:rPr>
        <w:t xml:space="preserve"> lizdinėse plokštelėse, arba </w:t>
      </w:r>
      <w:r w:rsidR="001A573E" w:rsidRPr="00E32EE4">
        <w:rPr>
          <w:noProof/>
          <w:color w:val="000000"/>
          <w:szCs w:val="22"/>
          <w:lang w:val="lt-LT"/>
        </w:rPr>
        <w:t>7x1</w:t>
      </w:r>
      <w:r w:rsidR="001A573E" w:rsidRPr="00684A34">
        <w:rPr>
          <w:noProof/>
          <w:color w:val="000000"/>
          <w:szCs w:val="22"/>
          <w:lang w:val="lt-LT"/>
        </w:rPr>
        <w:t xml:space="preserve">, </w:t>
      </w:r>
      <w:r w:rsidRPr="00684A34">
        <w:rPr>
          <w:noProof/>
          <w:color w:val="000000"/>
          <w:szCs w:val="22"/>
          <w:lang w:val="lt-LT"/>
        </w:rPr>
        <w:t>10x1, 28x1, 30x1, 98x1 ir 100x1 kietųjų kapsulių perforuotose dalomosiose lizdinėse plokštelėse</w:t>
      </w:r>
      <w:r w:rsidR="001A573E" w:rsidRPr="00684A34">
        <w:rPr>
          <w:noProof/>
          <w:szCs w:val="22"/>
          <w:lang w:val="lt-LT"/>
        </w:rPr>
        <w:t>.</w:t>
      </w:r>
    </w:p>
    <w:p w:rsidR="001856F1" w:rsidRPr="00684A34" w:rsidRDefault="001856F1" w:rsidP="001856F1">
      <w:pPr>
        <w:tabs>
          <w:tab w:val="clear" w:pos="567"/>
        </w:tabs>
        <w:spacing w:line="240" w:lineRule="auto"/>
        <w:rPr>
          <w:noProof/>
          <w:szCs w:val="22"/>
          <w:lang w:val="lt-LT"/>
        </w:rPr>
      </w:pPr>
      <w:r w:rsidRPr="00684A34">
        <w:rPr>
          <w:noProof/>
          <w:szCs w:val="22"/>
          <w:lang w:val="lt-LT"/>
        </w:rPr>
        <w:t xml:space="preserve"> </w:t>
      </w:r>
    </w:p>
    <w:p w:rsidR="001856F1" w:rsidRPr="00684A34" w:rsidRDefault="001856F1" w:rsidP="001856F1">
      <w:pPr>
        <w:tabs>
          <w:tab w:val="clear" w:pos="567"/>
        </w:tabs>
        <w:spacing w:line="240" w:lineRule="auto"/>
        <w:rPr>
          <w:noProof/>
          <w:szCs w:val="22"/>
          <w:lang w:val="lt-LT"/>
        </w:rPr>
      </w:pPr>
    </w:p>
    <w:p w:rsidR="001856F1" w:rsidRPr="00684A34" w:rsidRDefault="001856F1" w:rsidP="001856F1">
      <w:pPr>
        <w:tabs>
          <w:tab w:val="clear" w:pos="567"/>
        </w:tabs>
        <w:spacing w:line="240" w:lineRule="auto"/>
        <w:rPr>
          <w:szCs w:val="22"/>
          <w:lang w:val="lt-LT"/>
        </w:rPr>
      </w:pPr>
      <w:r w:rsidRPr="00684A34">
        <w:rPr>
          <w:noProof/>
          <w:szCs w:val="22"/>
          <w:lang w:val="lt-LT"/>
        </w:rPr>
        <w:t>Gali būti tiekiamos ne visų dydžių pakuotės.</w:t>
      </w:r>
    </w:p>
    <w:p w:rsidR="001856F1" w:rsidRPr="00684A34" w:rsidRDefault="001856F1" w:rsidP="001856F1">
      <w:pPr>
        <w:tabs>
          <w:tab w:val="clear" w:pos="567"/>
        </w:tabs>
        <w:spacing w:line="240" w:lineRule="auto"/>
        <w:rPr>
          <w:szCs w:val="22"/>
          <w:lang w:val="lt-LT"/>
        </w:rPr>
      </w:pPr>
    </w:p>
    <w:p w:rsidR="001856F1" w:rsidRPr="00684A34" w:rsidRDefault="001856F1" w:rsidP="001856F1">
      <w:pPr>
        <w:pStyle w:val="Antrat4"/>
        <w:spacing w:line="240" w:lineRule="auto"/>
        <w:jc w:val="left"/>
        <w:rPr>
          <w:rFonts w:ascii="Times New Roman" w:hAnsi="Times New Roman"/>
          <w:sz w:val="22"/>
          <w:szCs w:val="22"/>
          <w:lang w:val="lt-LT"/>
        </w:rPr>
      </w:pPr>
      <w:bookmarkStart w:id="2" w:name="OLE_LINK1"/>
      <w:r w:rsidRPr="00684A34">
        <w:rPr>
          <w:rFonts w:ascii="Times New Roman" w:hAnsi="Times New Roman"/>
          <w:sz w:val="22"/>
          <w:szCs w:val="22"/>
          <w:lang w:val="lt-LT"/>
        </w:rPr>
        <w:t>6.6</w:t>
      </w:r>
      <w:r w:rsidRPr="00684A34">
        <w:rPr>
          <w:rFonts w:ascii="Times New Roman" w:hAnsi="Times New Roman"/>
          <w:sz w:val="22"/>
          <w:szCs w:val="22"/>
          <w:lang w:val="lt-LT"/>
        </w:rPr>
        <w:tab/>
        <w:t xml:space="preserve">Specialūs reikalavimai atliekoms tvarkyti </w:t>
      </w:r>
    </w:p>
    <w:bookmarkEnd w:id="2"/>
    <w:p w:rsidR="001856F1" w:rsidRPr="00684A34" w:rsidRDefault="001856F1" w:rsidP="001856F1">
      <w:pPr>
        <w:tabs>
          <w:tab w:val="clear" w:pos="567"/>
        </w:tabs>
        <w:spacing w:line="240" w:lineRule="auto"/>
        <w:rPr>
          <w:szCs w:val="22"/>
          <w:lang w:val="lt-LT"/>
        </w:rPr>
      </w:pPr>
    </w:p>
    <w:p w:rsidR="001856F1" w:rsidRPr="00684A34" w:rsidRDefault="001856F1" w:rsidP="001856F1">
      <w:pPr>
        <w:tabs>
          <w:tab w:val="clear" w:pos="567"/>
        </w:tabs>
        <w:spacing w:line="240" w:lineRule="auto"/>
        <w:rPr>
          <w:szCs w:val="22"/>
          <w:lang w:val="lt-LT"/>
        </w:rPr>
      </w:pPr>
      <w:r w:rsidRPr="00684A34">
        <w:rPr>
          <w:noProof/>
          <w:szCs w:val="22"/>
          <w:lang w:val="lt-LT"/>
        </w:rPr>
        <w:t>Nesuvartotą vaistinį preparatą ar atliekas reikia tvarkyti laikantis vietinių reikalavimų.</w:t>
      </w:r>
    </w:p>
    <w:p w:rsidR="001856F1" w:rsidRPr="00684A34" w:rsidRDefault="001856F1" w:rsidP="001856F1">
      <w:pPr>
        <w:tabs>
          <w:tab w:val="clear" w:pos="567"/>
        </w:tabs>
        <w:spacing w:line="240" w:lineRule="auto"/>
        <w:rPr>
          <w:szCs w:val="22"/>
          <w:lang w:val="lt-LT"/>
        </w:rPr>
      </w:pPr>
    </w:p>
    <w:p w:rsidR="001856F1" w:rsidRPr="00684A34" w:rsidRDefault="001856F1" w:rsidP="001856F1">
      <w:pPr>
        <w:tabs>
          <w:tab w:val="clear" w:pos="567"/>
        </w:tabs>
        <w:spacing w:line="240" w:lineRule="auto"/>
        <w:rPr>
          <w:szCs w:val="22"/>
          <w:lang w:val="lt-LT"/>
        </w:rPr>
      </w:pPr>
    </w:p>
    <w:p w:rsidR="001856F1" w:rsidRPr="00684A34" w:rsidRDefault="001856F1" w:rsidP="001856F1">
      <w:pPr>
        <w:pStyle w:val="Antrat3"/>
        <w:spacing w:before="0" w:after="0" w:line="240" w:lineRule="auto"/>
        <w:rPr>
          <w:rFonts w:ascii="Times New Roman" w:hAnsi="Times New Roman"/>
          <w:sz w:val="22"/>
          <w:szCs w:val="22"/>
          <w:lang w:val="lt-LT"/>
        </w:rPr>
      </w:pPr>
      <w:r w:rsidRPr="00684A34">
        <w:rPr>
          <w:rFonts w:ascii="Times New Roman" w:hAnsi="Times New Roman"/>
          <w:sz w:val="22"/>
          <w:szCs w:val="22"/>
          <w:lang w:val="lt-LT"/>
        </w:rPr>
        <w:t>7.</w:t>
      </w:r>
      <w:r w:rsidRPr="00684A34">
        <w:rPr>
          <w:rFonts w:ascii="Times New Roman" w:hAnsi="Times New Roman"/>
          <w:sz w:val="22"/>
          <w:szCs w:val="22"/>
          <w:lang w:val="lt-LT"/>
        </w:rPr>
        <w:tab/>
        <w:t>REGISTRUOTOJAS</w:t>
      </w:r>
    </w:p>
    <w:p w:rsidR="001856F1" w:rsidRPr="00684A34" w:rsidRDefault="001856F1" w:rsidP="001856F1">
      <w:pPr>
        <w:tabs>
          <w:tab w:val="clear" w:pos="567"/>
        </w:tabs>
        <w:spacing w:line="240" w:lineRule="auto"/>
        <w:rPr>
          <w:szCs w:val="22"/>
          <w:lang w:val="lt-LT"/>
        </w:rPr>
      </w:pPr>
    </w:p>
    <w:p w:rsidR="001856F1" w:rsidRPr="00684A34" w:rsidRDefault="001856F1" w:rsidP="001856F1">
      <w:pPr>
        <w:shd w:val="clear" w:color="auto" w:fill="FFFFFF"/>
        <w:tabs>
          <w:tab w:val="clear" w:pos="567"/>
        </w:tabs>
        <w:spacing w:line="240" w:lineRule="auto"/>
        <w:rPr>
          <w:snapToGrid/>
          <w:color w:val="222222"/>
          <w:szCs w:val="22"/>
          <w:lang w:val="lt-LT"/>
        </w:rPr>
      </w:pPr>
      <w:r w:rsidRPr="00684A34">
        <w:rPr>
          <w:snapToGrid/>
          <w:color w:val="222222"/>
          <w:szCs w:val="22"/>
          <w:lang w:val="lt-LT"/>
        </w:rPr>
        <w:t>Teva GmbH, </w:t>
      </w:r>
    </w:p>
    <w:p w:rsidR="001856F1" w:rsidRPr="00684A34" w:rsidRDefault="001856F1" w:rsidP="001856F1">
      <w:pPr>
        <w:shd w:val="clear" w:color="auto" w:fill="FFFFFF"/>
        <w:tabs>
          <w:tab w:val="clear" w:pos="567"/>
        </w:tabs>
        <w:spacing w:line="240" w:lineRule="auto"/>
        <w:rPr>
          <w:snapToGrid/>
          <w:color w:val="222222"/>
          <w:szCs w:val="22"/>
          <w:lang w:val="lt-LT"/>
        </w:rPr>
      </w:pPr>
      <w:r w:rsidRPr="00684A34">
        <w:rPr>
          <w:snapToGrid/>
          <w:color w:val="222222"/>
          <w:szCs w:val="22"/>
          <w:lang w:val="lt-LT"/>
        </w:rPr>
        <w:t xml:space="preserve">Graf-Arco-Str. 3, </w:t>
      </w:r>
    </w:p>
    <w:p w:rsidR="001856F1" w:rsidRPr="00684A34" w:rsidRDefault="001856F1" w:rsidP="001856F1">
      <w:pPr>
        <w:shd w:val="clear" w:color="auto" w:fill="FFFFFF"/>
        <w:tabs>
          <w:tab w:val="clear" w:pos="567"/>
        </w:tabs>
        <w:spacing w:line="240" w:lineRule="auto"/>
        <w:rPr>
          <w:snapToGrid/>
          <w:color w:val="222222"/>
          <w:szCs w:val="22"/>
          <w:lang w:val="lt-LT"/>
        </w:rPr>
      </w:pPr>
      <w:r w:rsidRPr="00684A34">
        <w:rPr>
          <w:snapToGrid/>
          <w:color w:val="222222"/>
          <w:szCs w:val="22"/>
          <w:lang w:val="lt-LT"/>
        </w:rPr>
        <w:t xml:space="preserve">89079 Ulm, </w:t>
      </w:r>
    </w:p>
    <w:p w:rsidR="001856F1" w:rsidRPr="00684A34" w:rsidRDefault="001856F1" w:rsidP="001856F1">
      <w:pPr>
        <w:shd w:val="clear" w:color="auto" w:fill="FFFFFF"/>
        <w:tabs>
          <w:tab w:val="clear" w:pos="567"/>
        </w:tabs>
        <w:spacing w:line="240" w:lineRule="auto"/>
        <w:rPr>
          <w:snapToGrid/>
          <w:color w:val="222222"/>
          <w:szCs w:val="22"/>
          <w:lang w:val="lt-LT"/>
        </w:rPr>
      </w:pPr>
      <w:r w:rsidRPr="00684A34">
        <w:rPr>
          <w:snapToGrid/>
          <w:color w:val="222222"/>
          <w:szCs w:val="22"/>
          <w:lang w:val="lt-LT"/>
        </w:rPr>
        <w:lastRenderedPageBreak/>
        <w:t>Vokietija</w:t>
      </w:r>
    </w:p>
    <w:p w:rsidR="001856F1" w:rsidRPr="00684A34" w:rsidRDefault="001856F1" w:rsidP="001856F1">
      <w:pPr>
        <w:widowControl w:val="0"/>
        <w:spacing w:line="240" w:lineRule="auto"/>
        <w:rPr>
          <w:szCs w:val="22"/>
          <w:lang w:val="lt-LT"/>
        </w:rPr>
      </w:pPr>
    </w:p>
    <w:p w:rsidR="001856F1" w:rsidRPr="00684A34" w:rsidRDefault="001856F1" w:rsidP="001856F1">
      <w:pPr>
        <w:widowControl w:val="0"/>
        <w:spacing w:line="240" w:lineRule="auto"/>
        <w:rPr>
          <w:szCs w:val="22"/>
          <w:lang w:val="lt-LT"/>
        </w:rPr>
      </w:pPr>
    </w:p>
    <w:p w:rsidR="001856F1" w:rsidRPr="00684A34" w:rsidRDefault="001856F1" w:rsidP="001856F1">
      <w:pPr>
        <w:pStyle w:val="Antrat3"/>
        <w:spacing w:before="0" w:after="0" w:line="240" w:lineRule="auto"/>
        <w:rPr>
          <w:rFonts w:ascii="Times New Roman" w:hAnsi="Times New Roman"/>
          <w:sz w:val="22"/>
          <w:szCs w:val="22"/>
          <w:lang w:val="lt-LT"/>
        </w:rPr>
      </w:pPr>
      <w:r w:rsidRPr="00684A34">
        <w:rPr>
          <w:rFonts w:ascii="Times New Roman" w:hAnsi="Times New Roman"/>
          <w:sz w:val="22"/>
          <w:szCs w:val="22"/>
          <w:lang w:val="lt-LT"/>
        </w:rPr>
        <w:t>8.</w:t>
      </w:r>
      <w:r w:rsidRPr="00684A34">
        <w:rPr>
          <w:rFonts w:ascii="Times New Roman" w:hAnsi="Times New Roman"/>
          <w:sz w:val="22"/>
          <w:szCs w:val="22"/>
          <w:lang w:val="lt-LT"/>
        </w:rPr>
        <w:tab/>
        <w:t xml:space="preserve">REGISTRACIJOS </w:t>
      </w:r>
      <w:r w:rsidRPr="00684A34">
        <w:rPr>
          <w:rFonts w:ascii="Times New Roman" w:hAnsi="Times New Roman"/>
          <w:noProof/>
          <w:sz w:val="22"/>
          <w:szCs w:val="22"/>
          <w:lang w:val="lt-LT"/>
        </w:rPr>
        <w:t>PAŽYMĖJIMO</w:t>
      </w:r>
      <w:r w:rsidRPr="00684A34">
        <w:rPr>
          <w:rFonts w:ascii="Times New Roman" w:hAnsi="Times New Roman"/>
          <w:sz w:val="22"/>
          <w:szCs w:val="22"/>
          <w:lang w:val="lt-LT"/>
        </w:rPr>
        <w:t xml:space="preserve"> NUMERIS (-IAI) </w:t>
      </w:r>
    </w:p>
    <w:p w:rsidR="001856F1" w:rsidRPr="00684A34" w:rsidRDefault="001856F1" w:rsidP="001856F1">
      <w:pPr>
        <w:tabs>
          <w:tab w:val="clear" w:pos="567"/>
        </w:tabs>
        <w:spacing w:line="240" w:lineRule="auto"/>
        <w:rPr>
          <w:szCs w:val="22"/>
          <w:lang w:val="lt-LT"/>
        </w:rPr>
      </w:pPr>
    </w:p>
    <w:tbl>
      <w:tblPr>
        <w:tblW w:w="0" w:type="auto"/>
        <w:tblLook w:val="04A0" w:firstRow="1" w:lastRow="0" w:firstColumn="1" w:lastColumn="0" w:noHBand="0" w:noVBand="1"/>
      </w:tblPr>
      <w:tblGrid>
        <w:gridCol w:w="4643"/>
        <w:gridCol w:w="4643"/>
      </w:tblGrid>
      <w:tr w:rsidR="009C1975" w:rsidRPr="0095046A" w:rsidTr="00340C22">
        <w:tc>
          <w:tcPr>
            <w:tcW w:w="4643" w:type="dxa"/>
            <w:shd w:val="clear" w:color="auto" w:fill="auto"/>
          </w:tcPr>
          <w:p w:rsidR="009C1975" w:rsidRPr="00684A34" w:rsidRDefault="009C1975" w:rsidP="009C1975">
            <w:pPr>
              <w:rPr>
                <w:bCs/>
                <w:szCs w:val="22"/>
                <w:u w:val="single"/>
                <w:lang w:val="lt-LT" w:eastAsia="x-none"/>
              </w:rPr>
            </w:pPr>
            <w:r w:rsidRPr="00684A34">
              <w:rPr>
                <w:bCs/>
                <w:szCs w:val="22"/>
                <w:u w:val="single"/>
                <w:lang w:val="lt-LT" w:eastAsia="x-none"/>
              </w:rPr>
              <w:t>lizdinė plokštelė</w:t>
            </w:r>
          </w:p>
          <w:p w:rsidR="009C1975" w:rsidRPr="00684A34" w:rsidRDefault="00D774E7" w:rsidP="009C1975">
            <w:pPr>
              <w:rPr>
                <w:bCs/>
                <w:szCs w:val="22"/>
                <w:lang w:val="lt-LT" w:eastAsia="x-none"/>
              </w:rPr>
            </w:pPr>
            <w:r w:rsidRPr="00684A34">
              <w:rPr>
                <w:bCs/>
                <w:szCs w:val="22"/>
                <w:lang w:val="lt-LT" w:eastAsia="x-none"/>
              </w:rPr>
              <w:t xml:space="preserve">LT/1/20/4638/001 – </w:t>
            </w:r>
            <w:r w:rsidR="009C1975" w:rsidRPr="00684A34">
              <w:rPr>
                <w:bCs/>
                <w:szCs w:val="22"/>
                <w:lang w:val="lt-LT" w:eastAsia="x-none"/>
              </w:rPr>
              <w:t>N7</w:t>
            </w:r>
          </w:p>
          <w:p w:rsidR="009C1975" w:rsidRPr="00684A34" w:rsidRDefault="009C1975" w:rsidP="009C1975">
            <w:pPr>
              <w:rPr>
                <w:bCs/>
                <w:szCs w:val="22"/>
                <w:lang w:val="lt-LT" w:eastAsia="x-none"/>
              </w:rPr>
            </w:pPr>
            <w:r w:rsidRPr="00684A34">
              <w:rPr>
                <w:bCs/>
                <w:szCs w:val="22"/>
                <w:lang w:val="lt-LT" w:eastAsia="x-none"/>
              </w:rPr>
              <w:t>LT/1/20/4638/002 – N10</w:t>
            </w:r>
          </w:p>
          <w:p w:rsidR="009C1975" w:rsidRPr="00684A34" w:rsidRDefault="009C1975" w:rsidP="009C1975">
            <w:pPr>
              <w:rPr>
                <w:bCs/>
                <w:szCs w:val="22"/>
                <w:lang w:val="lt-LT" w:eastAsia="x-none"/>
              </w:rPr>
            </w:pPr>
            <w:r w:rsidRPr="00684A34">
              <w:rPr>
                <w:bCs/>
                <w:szCs w:val="22"/>
                <w:lang w:val="lt-LT" w:eastAsia="x-none"/>
              </w:rPr>
              <w:t>LT/1/20/4638/003 – N28</w:t>
            </w:r>
          </w:p>
          <w:p w:rsidR="009C1975" w:rsidRPr="00684A34" w:rsidRDefault="009C1975" w:rsidP="009C1975">
            <w:pPr>
              <w:rPr>
                <w:bCs/>
                <w:szCs w:val="22"/>
                <w:lang w:val="lt-LT" w:eastAsia="x-none"/>
              </w:rPr>
            </w:pPr>
            <w:r w:rsidRPr="00684A34">
              <w:rPr>
                <w:bCs/>
                <w:szCs w:val="22"/>
                <w:lang w:val="lt-LT" w:eastAsia="x-none"/>
              </w:rPr>
              <w:t>LT/1/20/4638/004 – N30</w:t>
            </w:r>
          </w:p>
          <w:p w:rsidR="009C1975" w:rsidRPr="00684A34" w:rsidRDefault="009C1975" w:rsidP="00D774E7">
            <w:pPr>
              <w:rPr>
                <w:bCs/>
                <w:szCs w:val="22"/>
                <w:lang w:val="lt-LT" w:eastAsia="x-none"/>
              </w:rPr>
            </w:pPr>
            <w:r w:rsidRPr="00684A34">
              <w:rPr>
                <w:bCs/>
                <w:szCs w:val="22"/>
                <w:lang w:val="lt-LT" w:eastAsia="x-none"/>
              </w:rPr>
              <w:t>LT/1/20/4638/005 – N98</w:t>
            </w:r>
          </w:p>
        </w:tc>
        <w:tc>
          <w:tcPr>
            <w:tcW w:w="4643" w:type="dxa"/>
            <w:shd w:val="clear" w:color="auto" w:fill="auto"/>
          </w:tcPr>
          <w:p w:rsidR="009C1975" w:rsidRPr="00684A34" w:rsidRDefault="009C1975" w:rsidP="009C1975">
            <w:pPr>
              <w:rPr>
                <w:bCs/>
                <w:szCs w:val="22"/>
                <w:u w:val="single"/>
                <w:lang w:val="lt-LT" w:eastAsia="x-none"/>
              </w:rPr>
            </w:pPr>
            <w:r w:rsidRPr="00684A34">
              <w:rPr>
                <w:bCs/>
                <w:szCs w:val="22"/>
                <w:u w:val="single"/>
                <w:lang w:val="lt-LT" w:eastAsia="x-none"/>
              </w:rPr>
              <w:t>dalomoji lizdinė plokštelė</w:t>
            </w:r>
          </w:p>
          <w:p w:rsidR="007977B6" w:rsidRPr="00684A34" w:rsidRDefault="007977B6" w:rsidP="00D774E7">
            <w:pPr>
              <w:rPr>
                <w:bCs/>
                <w:szCs w:val="22"/>
                <w:lang w:val="lt-LT" w:eastAsia="x-none"/>
              </w:rPr>
            </w:pPr>
            <w:r w:rsidRPr="00684A34">
              <w:rPr>
                <w:bCs/>
                <w:szCs w:val="22"/>
                <w:lang w:val="lt-LT" w:eastAsia="x-none"/>
              </w:rPr>
              <w:t>LT/1/20/4638/0</w:t>
            </w:r>
            <w:r w:rsidR="00D31000" w:rsidRPr="00684A34">
              <w:rPr>
                <w:bCs/>
                <w:szCs w:val="22"/>
                <w:lang w:val="lt-LT" w:eastAsia="x-none"/>
              </w:rPr>
              <w:t>11</w:t>
            </w:r>
            <w:r w:rsidRPr="00E32EE4">
              <w:rPr>
                <w:bCs/>
                <w:szCs w:val="22"/>
                <w:lang w:val="lt-LT" w:eastAsia="x-none"/>
              </w:rPr>
              <w:t xml:space="preserve"> – N7×1</w:t>
            </w:r>
          </w:p>
          <w:p w:rsidR="00D774E7" w:rsidRPr="00684A34" w:rsidRDefault="00D774E7" w:rsidP="00D774E7">
            <w:pPr>
              <w:rPr>
                <w:bCs/>
                <w:szCs w:val="22"/>
                <w:lang w:val="lt-LT" w:eastAsia="x-none"/>
              </w:rPr>
            </w:pPr>
            <w:r w:rsidRPr="00684A34">
              <w:rPr>
                <w:bCs/>
                <w:szCs w:val="22"/>
                <w:lang w:val="lt-LT" w:eastAsia="x-none"/>
              </w:rPr>
              <w:t>LT/1/20/4638/006 – N10×1</w:t>
            </w:r>
          </w:p>
          <w:p w:rsidR="00D774E7" w:rsidRPr="00684A34" w:rsidRDefault="00D774E7" w:rsidP="00D774E7">
            <w:pPr>
              <w:rPr>
                <w:bCs/>
                <w:szCs w:val="22"/>
                <w:lang w:val="lt-LT" w:eastAsia="x-none"/>
              </w:rPr>
            </w:pPr>
            <w:r w:rsidRPr="00684A34">
              <w:rPr>
                <w:bCs/>
                <w:szCs w:val="22"/>
                <w:lang w:val="lt-LT" w:eastAsia="x-none"/>
              </w:rPr>
              <w:t>LT/1/20/4638/007 – N28×1</w:t>
            </w:r>
          </w:p>
          <w:p w:rsidR="00D774E7" w:rsidRPr="00684A34" w:rsidRDefault="00D774E7" w:rsidP="00D774E7">
            <w:pPr>
              <w:rPr>
                <w:bCs/>
                <w:szCs w:val="22"/>
                <w:lang w:val="lt-LT" w:eastAsia="x-none"/>
              </w:rPr>
            </w:pPr>
            <w:r w:rsidRPr="00684A34">
              <w:rPr>
                <w:bCs/>
                <w:szCs w:val="22"/>
                <w:lang w:val="lt-LT" w:eastAsia="x-none"/>
              </w:rPr>
              <w:t>LT/1/20/4638/008 – N30×1</w:t>
            </w:r>
          </w:p>
          <w:p w:rsidR="00D774E7" w:rsidRPr="00684A34" w:rsidRDefault="00D774E7" w:rsidP="00D774E7">
            <w:pPr>
              <w:rPr>
                <w:bCs/>
                <w:szCs w:val="22"/>
                <w:lang w:val="lt-LT" w:eastAsia="x-none"/>
              </w:rPr>
            </w:pPr>
            <w:r w:rsidRPr="00684A34">
              <w:rPr>
                <w:bCs/>
                <w:szCs w:val="22"/>
                <w:lang w:val="lt-LT" w:eastAsia="x-none"/>
              </w:rPr>
              <w:t>LT/1/20/4638/009 – N98×1</w:t>
            </w:r>
          </w:p>
          <w:p w:rsidR="009C1975" w:rsidRPr="0095046A" w:rsidRDefault="00D774E7" w:rsidP="00D774E7">
            <w:pPr>
              <w:rPr>
                <w:bCs/>
                <w:szCs w:val="22"/>
                <w:lang w:val="lt-LT" w:eastAsia="x-none"/>
              </w:rPr>
            </w:pPr>
            <w:r w:rsidRPr="00684A34">
              <w:rPr>
                <w:bCs/>
                <w:szCs w:val="22"/>
                <w:lang w:val="lt-LT" w:eastAsia="x-none"/>
              </w:rPr>
              <w:t>LT/1/20/4638/010 – N100×1</w:t>
            </w:r>
          </w:p>
        </w:tc>
      </w:tr>
    </w:tbl>
    <w:p w:rsidR="009C1975" w:rsidRDefault="009C1975" w:rsidP="009C1975">
      <w:pPr>
        <w:rPr>
          <w:bCs/>
          <w:szCs w:val="22"/>
          <w:lang w:val="lt-LT" w:eastAsia="x-none"/>
        </w:rPr>
      </w:pPr>
    </w:p>
    <w:p w:rsidR="00324984" w:rsidRPr="0062471E" w:rsidRDefault="00324984" w:rsidP="0062471E">
      <w:pPr>
        <w:rPr>
          <w:lang w:val="lt-LT" w:eastAsia="x-none"/>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9.</w:t>
      </w:r>
      <w:r w:rsidRPr="00B27759">
        <w:rPr>
          <w:rFonts w:ascii="Times New Roman" w:hAnsi="Times New Roman"/>
          <w:sz w:val="22"/>
          <w:szCs w:val="22"/>
          <w:lang w:val="lt-LT"/>
        </w:rPr>
        <w:tab/>
        <w:t>REGISTRAVIMO / PERREGISTRAVIMO DATA</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szCs w:val="22"/>
          <w:lang w:val="lt-LT"/>
        </w:rPr>
      </w:pPr>
      <w:r w:rsidRPr="00B27759">
        <w:rPr>
          <w:noProof/>
          <w:szCs w:val="22"/>
          <w:lang w:val="lt-LT"/>
        </w:rPr>
        <w:t>Registravimo data</w:t>
      </w:r>
      <w:r w:rsidR="00FA1F8D" w:rsidRPr="00B27759">
        <w:rPr>
          <w:noProof/>
          <w:szCs w:val="22"/>
          <w:lang w:val="lt-LT"/>
        </w:rPr>
        <w:t xml:space="preserve"> </w:t>
      </w:r>
      <w:r w:rsidR="00C54461">
        <w:rPr>
          <w:noProof/>
          <w:szCs w:val="22"/>
          <w:lang w:val="lt-LT"/>
        </w:rPr>
        <w:t>2020 m. lapkričio 25 d.</w:t>
      </w:r>
    </w:p>
    <w:p w:rsidR="001856F1" w:rsidRPr="00B27759" w:rsidRDefault="001856F1" w:rsidP="001856F1">
      <w:pPr>
        <w:tabs>
          <w:tab w:val="clear" w:pos="567"/>
        </w:tabs>
        <w:spacing w:line="240" w:lineRule="auto"/>
        <w:rPr>
          <w:szCs w:val="22"/>
          <w:lang w:val="lt-LT"/>
        </w:rPr>
      </w:pPr>
    </w:p>
    <w:p w:rsidR="001856F1" w:rsidRPr="00B27759" w:rsidRDefault="001856F1" w:rsidP="001856F1">
      <w:pPr>
        <w:tabs>
          <w:tab w:val="clear" w:pos="567"/>
        </w:tabs>
        <w:spacing w:line="240" w:lineRule="auto"/>
        <w:rPr>
          <w:szCs w:val="22"/>
          <w:lang w:val="lt-LT"/>
        </w:rPr>
      </w:pPr>
    </w:p>
    <w:p w:rsidR="001856F1" w:rsidRPr="00B27759" w:rsidRDefault="001856F1" w:rsidP="001856F1">
      <w:pPr>
        <w:pStyle w:val="Antrat3"/>
        <w:spacing w:before="0" w:after="0" w:line="240" w:lineRule="auto"/>
        <w:rPr>
          <w:rFonts w:ascii="Times New Roman" w:hAnsi="Times New Roman"/>
          <w:sz w:val="22"/>
          <w:szCs w:val="22"/>
          <w:lang w:val="lt-LT"/>
        </w:rPr>
      </w:pPr>
      <w:r w:rsidRPr="00B27759">
        <w:rPr>
          <w:rFonts w:ascii="Times New Roman" w:hAnsi="Times New Roman"/>
          <w:sz w:val="22"/>
          <w:szCs w:val="22"/>
          <w:lang w:val="lt-LT"/>
        </w:rPr>
        <w:t>10.</w:t>
      </w:r>
      <w:r w:rsidRPr="00B27759">
        <w:rPr>
          <w:rFonts w:ascii="Times New Roman" w:hAnsi="Times New Roman"/>
          <w:sz w:val="22"/>
          <w:szCs w:val="22"/>
          <w:lang w:val="lt-LT"/>
        </w:rPr>
        <w:tab/>
        <w:t>TEKSTO PERŽIŪROS DATA</w:t>
      </w:r>
    </w:p>
    <w:p w:rsidR="001856F1" w:rsidRPr="00B27759" w:rsidRDefault="001856F1" w:rsidP="001856F1">
      <w:pPr>
        <w:tabs>
          <w:tab w:val="clear" w:pos="567"/>
        </w:tabs>
        <w:spacing w:line="240" w:lineRule="auto"/>
        <w:rPr>
          <w:szCs w:val="22"/>
          <w:lang w:val="lt-LT"/>
        </w:rPr>
      </w:pPr>
    </w:p>
    <w:p w:rsidR="001856F1" w:rsidRDefault="009E29DA" w:rsidP="001856F1">
      <w:pPr>
        <w:tabs>
          <w:tab w:val="clear" w:pos="567"/>
        </w:tabs>
        <w:spacing w:line="240" w:lineRule="auto"/>
        <w:rPr>
          <w:szCs w:val="22"/>
          <w:lang w:val="lt-LT"/>
        </w:rPr>
      </w:pPr>
      <w:r>
        <w:rPr>
          <w:szCs w:val="22"/>
          <w:lang w:val="lt-LT"/>
        </w:rPr>
        <w:t xml:space="preserve">2024 </w:t>
      </w:r>
      <w:r w:rsidR="002F7292">
        <w:rPr>
          <w:szCs w:val="22"/>
          <w:lang w:val="lt-LT"/>
        </w:rPr>
        <w:t xml:space="preserve">m. </w:t>
      </w:r>
      <w:r>
        <w:rPr>
          <w:szCs w:val="22"/>
          <w:lang w:val="lt-LT"/>
        </w:rPr>
        <w:t>gegužės 1</w:t>
      </w:r>
      <w:r w:rsidR="004A690D">
        <w:rPr>
          <w:szCs w:val="22"/>
          <w:lang w:val="lt-LT"/>
        </w:rPr>
        <w:t>6</w:t>
      </w:r>
      <w:r>
        <w:rPr>
          <w:szCs w:val="22"/>
          <w:lang w:val="lt-LT"/>
        </w:rPr>
        <w:t xml:space="preserve"> </w:t>
      </w:r>
      <w:r w:rsidR="002F7292">
        <w:rPr>
          <w:szCs w:val="22"/>
          <w:lang w:val="lt-LT"/>
        </w:rPr>
        <w:t>d.</w:t>
      </w:r>
    </w:p>
    <w:p w:rsidR="009D0159" w:rsidRPr="00B27759" w:rsidRDefault="009D0159" w:rsidP="001856F1">
      <w:pPr>
        <w:tabs>
          <w:tab w:val="clear" w:pos="567"/>
        </w:tabs>
        <w:spacing w:line="240" w:lineRule="auto"/>
        <w:rPr>
          <w:szCs w:val="22"/>
          <w:lang w:val="lt-LT"/>
        </w:rPr>
      </w:pPr>
    </w:p>
    <w:p w:rsidR="001856F1" w:rsidRDefault="001856F1" w:rsidP="001856F1">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B2775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27759">
        <w:rPr>
          <w:rFonts w:ascii="Times New Roman" w:hAnsi="Times New Roman"/>
          <w:i/>
          <w:noProof/>
          <w:sz w:val="22"/>
          <w:szCs w:val="22"/>
          <w:lang w:val="lt-LT"/>
        </w:rPr>
        <w:t xml:space="preserve"> </w:t>
      </w:r>
      <w:hyperlink r:id="rId10" w:history="1">
        <w:r w:rsidRPr="00B27759">
          <w:rPr>
            <w:rStyle w:val="Hipersaitas"/>
            <w:rFonts w:ascii="Times New Roman" w:hAnsi="Times New Roman"/>
            <w:noProof/>
            <w:sz w:val="22"/>
            <w:szCs w:val="22"/>
            <w:lang w:val="lt-LT"/>
          </w:rPr>
          <w:t>http://www.</w:t>
        </w:r>
        <w:r w:rsidRPr="00B27759">
          <w:rPr>
            <w:rStyle w:val="Hipersaitas"/>
            <w:rFonts w:ascii="Times New Roman" w:hAnsi="Times New Roman"/>
            <w:sz w:val="22"/>
            <w:szCs w:val="22"/>
            <w:lang w:val="lt-LT"/>
          </w:rPr>
          <w:t>vvkt.lt</w:t>
        </w:r>
      </w:hyperlink>
    </w:p>
    <w:p w:rsidR="009D0159" w:rsidRDefault="009D0159" w:rsidP="001856F1">
      <w:pPr>
        <w:pStyle w:val="Paprastasistekstas"/>
        <w:tabs>
          <w:tab w:val="left" w:pos="5954"/>
          <w:tab w:val="left" w:pos="6237"/>
          <w:tab w:val="left" w:pos="6663"/>
          <w:tab w:val="left" w:pos="6946"/>
        </w:tabs>
        <w:rPr>
          <w:rStyle w:val="Hipersaitas"/>
          <w:rFonts w:ascii="Times New Roman" w:hAnsi="Times New Roman"/>
          <w:sz w:val="22"/>
          <w:szCs w:val="22"/>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3E050F" w:rsidP="008C0D40">
      <w:pPr>
        <w:spacing w:line="240" w:lineRule="auto"/>
        <w:rPr>
          <w:lang w:val="lt-LT"/>
        </w:rPr>
      </w:pPr>
      <w:r w:rsidRPr="0062471E">
        <w:rPr>
          <w:lang w:val="lt-LT"/>
        </w:rPr>
        <w:br w:type="page"/>
      </w: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rPr>
          <w:lang w:val="lt-LT"/>
        </w:rPr>
      </w:pPr>
    </w:p>
    <w:p w:rsidR="008C0D40" w:rsidRPr="0062471E" w:rsidRDefault="008C0D40" w:rsidP="008C0D40">
      <w:pPr>
        <w:spacing w:line="240" w:lineRule="auto"/>
        <w:jc w:val="center"/>
        <w:rPr>
          <w:b/>
          <w:lang w:val="lt-LT"/>
        </w:rPr>
      </w:pPr>
    </w:p>
    <w:p w:rsidR="008C0D40" w:rsidRPr="0062471E" w:rsidRDefault="008C0D40" w:rsidP="008C0D40">
      <w:pPr>
        <w:spacing w:line="240" w:lineRule="auto"/>
        <w:jc w:val="center"/>
        <w:rPr>
          <w:b/>
          <w:lang w:val="lt-LT"/>
        </w:rPr>
      </w:pPr>
    </w:p>
    <w:p w:rsidR="008C0D40" w:rsidRPr="0062471E" w:rsidRDefault="008C0D40" w:rsidP="008C0D40">
      <w:pPr>
        <w:spacing w:line="240" w:lineRule="auto"/>
        <w:jc w:val="center"/>
        <w:rPr>
          <w:b/>
          <w:lang w:val="lt-LT"/>
        </w:rPr>
      </w:pPr>
    </w:p>
    <w:p w:rsidR="008C0D40" w:rsidRPr="0062471E" w:rsidRDefault="008C0D40" w:rsidP="008C0D40">
      <w:pPr>
        <w:spacing w:line="240" w:lineRule="auto"/>
        <w:jc w:val="center"/>
        <w:rPr>
          <w:b/>
          <w:lang w:val="lt-LT"/>
        </w:rPr>
      </w:pPr>
    </w:p>
    <w:p w:rsidR="008C0D40" w:rsidRPr="0062471E" w:rsidRDefault="008C0D40" w:rsidP="008C0D40">
      <w:pPr>
        <w:spacing w:line="240" w:lineRule="auto"/>
        <w:jc w:val="center"/>
        <w:rPr>
          <w:b/>
          <w:lang w:val="lt-LT"/>
        </w:rPr>
      </w:pPr>
    </w:p>
    <w:p w:rsidR="008C0D40" w:rsidRPr="0062471E" w:rsidRDefault="008C0D40"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57595B" w:rsidRPr="002F5D9D" w:rsidRDefault="0057595B" w:rsidP="008C0D40">
      <w:pPr>
        <w:spacing w:line="240" w:lineRule="auto"/>
        <w:jc w:val="center"/>
        <w:rPr>
          <w:b/>
          <w:lang w:val="lt-LT"/>
        </w:rPr>
      </w:pPr>
    </w:p>
    <w:p w:rsidR="008C0D40" w:rsidRPr="002F5D9D" w:rsidRDefault="008C0D40" w:rsidP="008C0D40">
      <w:pPr>
        <w:spacing w:line="240" w:lineRule="auto"/>
        <w:jc w:val="center"/>
        <w:rPr>
          <w:b/>
          <w:lang w:val="pt-PT"/>
        </w:rPr>
      </w:pPr>
      <w:r w:rsidRPr="002F5D9D">
        <w:rPr>
          <w:b/>
          <w:lang w:val="pt-PT"/>
        </w:rPr>
        <w:t>II PRIEDAS</w:t>
      </w:r>
    </w:p>
    <w:p w:rsidR="008C0D40" w:rsidRPr="002F5D9D" w:rsidRDefault="008C0D40" w:rsidP="008C0D40">
      <w:pPr>
        <w:spacing w:line="240" w:lineRule="auto"/>
        <w:ind w:left="1701" w:right="1416" w:hanging="567"/>
        <w:rPr>
          <w:lang w:val="pt-PT"/>
        </w:rPr>
      </w:pPr>
    </w:p>
    <w:p w:rsidR="008C0D40" w:rsidRPr="002F5D9D" w:rsidRDefault="008C0D40" w:rsidP="008C0D40">
      <w:pPr>
        <w:spacing w:line="240" w:lineRule="auto"/>
        <w:jc w:val="center"/>
        <w:rPr>
          <w:i/>
          <w:lang w:val="pt-PT"/>
        </w:rPr>
      </w:pPr>
      <w:r w:rsidRPr="002F5D9D">
        <w:rPr>
          <w:b/>
          <w:lang w:val="pt-PT"/>
        </w:rPr>
        <w:t>REGISTRACIJOS SĄLYGOS</w:t>
      </w:r>
    </w:p>
    <w:p w:rsidR="008C0D40" w:rsidRPr="002F5D9D" w:rsidRDefault="008C0D40" w:rsidP="008C0D40">
      <w:pPr>
        <w:spacing w:line="240" w:lineRule="auto"/>
        <w:rPr>
          <w:lang w:val="pt-PT"/>
        </w:rPr>
      </w:pPr>
    </w:p>
    <w:p w:rsidR="008C0D40" w:rsidRPr="002F5D9D" w:rsidRDefault="008C0D40" w:rsidP="008C0D40">
      <w:pPr>
        <w:tabs>
          <w:tab w:val="left" w:pos="1701"/>
        </w:tabs>
        <w:spacing w:line="240" w:lineRule="auto"/>
        <w:ind w:left="1701" w:right="567" w:hanging="567"/>
        <w:rPr>
          <w:b/>
          <w:lang w:val="pt-PT"/>
        </w:rPr>
      </w:pPr>
      <w:r w:rsidRPr="002F5D9D">
        <w:rPr>
          <w:b/>
          <w:lang w:val="pt-PT"/>
        </w:rPr>
        <w:t>A.</w:t>
      </w:r>
      <w:r w:rsidRPr="002F5D9D">
        <w:rPr>
          <w:b/>
          <w:lang w:val="pt-PT"/>
        </w:rPr>
        <w:tab/>
        <w:t xml:space="preserve"> GAMINTOJAS (-AI), ATSAKINGAS (-I) UŽ SERIJŲ IŠLEIDIMĄ</w:t>
      </w:r>
    </w:p>
    <w:p w:rsidR="008C0D40" w:rsidRPr="002F5D9D" w:rsidRDefault="008C0D40" w:rsidP="008C0D40">
      <w:pPr>
        <w:tabs>
          <w:tab w:val="left" w:pos="1701"/>
        </w:tabs>
        <w:spacing w:line="240" w:lineRule="auto"/>
        <w:ind w:left="567" w:right="567" w:hanging="567"/>
        <w:rPr>
          <w:lang w:val="pt-PT"/>
        </w:rPr>
      </w:pPr>
    </w:p>
    <w:p w:rsidR="008C0D40" w:rsidRPr="002F5D9D" w:rsidRDefault="008C0D40" w:rsidP="008C0D40">
      <w:pPr>
        <w:tabs>
          <w:tab w:val="left" w:pos="1701"/>
        </w:tabs>
        <w:spacing w:line="240" w:lineRule="auto"/>
        <w:ind w:left="1701" w:right="567" w:hanging="567"/>
        <w:rPr>
          <w:b/>
          <w:lang w:val="pt-PT"/>
        </w:rPr>
      </w:pPr>
      <w:r w:rsidRPr="002F5D9D">
        <w:rPr>
          <w:b/>
          <w:lang w:val="pt-PT"/>
        </w:rPr>
        <w:t>B.</w:t>
      </w:r>
      <w:r w:rsidRPr="002F5D9D">
        <w:rPr>
          <w:b/>
          <w:lang w:val="pt-PT"/>
        </w:rPr>
        <w:tab/>
        <w:t>TIEKIMO IR VARTOJIMO SĄLYGOS AR APRIBOJIMAI</w:t>
      </w:r>
    </w:p>
    <w:p w:rsidR="003B0E5C" w:rsidRPr="002F5D9D" w:rsidRDefault="003B0E5C" w:rsidP="008C0D40">
      <w:pPr>
        <w:tabs>
          <w:tab w:val="left" w:pos="1701"/>
        </w:tabs>
        <w:spacing w:line="240" w:lineRule="auto"/>
        <w:ind w:left="1701" w:right="567" w:hanging="567"/>
        <w:rPr>
          <w:b/>
          <w:lang w:val="pt-PT"/>
        </w:rPr>
      </w:pPr>
    </w:p>
    <w:p w:rsidR="003B0E5C" w:rsidRPr="003B0E5C" w:rsidRDefault="003B0E5C" w:rsidP="003B0E5C">
      <w:pPr>
        <w:tabs>
          <w:tab w:val="left" w:pos="1701"/>
        </w:tabs>
        <w:spacing w:line="240" w:lineRule="auto"/>
        <w:ind w:left="1701" w:right="567" w:hanging="567"/>
        <w:rPr>
          <w:b/>
          <w:lang w:val="lt-LT"/>
        </w:rPr>
      </w:pPr>
      <w:r>
        <w:rPr>
          <w:b/>
          <w:lang w:val="lt-LT"/>
        </w:rPr>
        <w:t>C.</w:t>
      </w:r>
      <w:r>
        <w:rPr>
          <w:b/>
          <w:lang w:val="lt-LT"/>
        </w:rPr>
        <w:tab/>
      </w:r>
      <w:r w:rsidRPr="003B0E5C">
        <w:rPr>
          <w:b/>
          <w:lang w:val="lt-LT"/>
        </w:rPr>
        <w:t xml:space="preserve">KITOS SĄLYGOS IR REIKALAVIMAI REGISTRUOTOJUI </w:t>
      </w:r>
    </w:p>
    <w:p w:rsidR="003B0E5C" w:rsidRPr="003B0E5C" w:rsidRDefault="003B0E5C" w:rsidP="003B0E5C">
      <w:pPr>
        <w:tabs>
          <w:tab w:val="left" w:pos="1701"/>
        </w:tabs>
        <w:spacing w:line="240" w:lineRule="auto"/>
        <w:ind w:left="1701" w:right="567" w:hanging="567"/>
        <w:rPr>
          <w:b/>
          <w:lang w:val="lt-LT"/>
        </w:rPr>
      </w:pPr>
    </w:p>
    <w:p w:rsidR="003B0E5C" w:rsidRPr="003B0E5C" w:rsidRDefault="003B0E5C" w:rsidP="003B0E5C">
      <w:pPr>
        <w:tabs>
          <w:tab w:val="left" w:pos="1701"/>
        </w:tabs>
        <w:spacing w:line="240" w:lineRule="auto"/>
        <w:ind w:left="1701" w:right="567" w:hanging="567"/>
        <w:rPr>
          <w:b/>
          <w:lang w:val="lt-LT"/>
        </w:rPr>
      </w:pPr>
      <w:r w:rsidRPr="003B0E5C">
        <w:rPr>
          <w:b/>
          <w:lang w:val="lt-LT"/>
        </w:rPr>
        <w:t>D.</w:t>
      </w:r>
      <w:r w:rsidRPr="003B0E5C">
        <w:rPr>
          <w:b/>
          <w:lang w:val="lt-LT"/>
        </w:rPr>
        <w:tab/>
        <w:t xml:space="preserve"> SĄLYGOS AR APRIBOJIMAI SAUGIAM IR VEIKSMINGAM VAISTINIO PREPARATO VARTOJIMUI UŽTIKRINTI</w:t>
      </w:r>
    </w:p>
    <w:p w:rsidR="003B0E5C" w:rsidRPr="002F5D9D" w:rsidRDefault="003B0E5C" w:rsidP="008C0D40">
      <w:pPr>
        <w:tabs>
          <w:tab w:val="left" w:pos="1701"/>
        </w:tabs>
        <w:spacing w:line="240" w:lineRule="auto"/>
        <w:ind w:left="1701" w:right="567" w:hanging="567"/>
        <w:rPr>
          <w:b/>
          <w:lang w:val="pt-PT"/>
        </w:rPr>
      </w:pPr>
    </w:p>
    <w:p w:rsidR="008C0D40" w:rsidRPr="002F5D9D" w:rsidRDefault="008C0D40" w:rsidP="008C0D40">
      <w:pPr>
        <w:spacing w:line="240" w:lineRule="auto"/>
        <w:ind w:left="567" w:hanging="567"/>
        <w:rPr>
          <w:b/>
          <w:lang w:val="pt-PT"/>
        </w:rPr>
      </w:pPr>
      <w:r w:rsidRPr="002F5D9D">
        <w:rPr>
          <w:lang w:val="pt-PT"/>
        </w:rPr>
        <w:br w:type="page"/>
      </w:r>
      <w:r w:rsidRPr="002F5D9D">
        <w:rPr>
          <w:b/>
          <w:lang w:val="pt-PT"/>
        </w:rPr>
        <w:lastRenderedPageBreak/>
        <w:t>A.</w:t>
      </w:r>
      <w:r w:rsidRPr="002F5D9D">
        <w:rPr>
          <w:b/>
          <w:lang w:val="pt-PT"/>
        </w:rPr>
        <w:tab/>
        <w:t>GAMINTOJAS (-AI), ATSAKINGAS (-I) UŽ SERIJŲ IŠLEIDIMĄ</w:t>
      </w:r>
    </w:p>
    <w:p w:rsidR="008C0D40" w:rsidRPr="002F5D9D" w:rsidRDefault="008C0D40" w:rsidP="008C0D40">
      <w:pPr>
        <w:spacing w:line="240" w:lineRule="auto"/>
        <w:rPr>
          <w:lang w:val="pt-PT"/>
        </w:rPr>
      </w:pPr>
    </w:p>
    <w:p w:rsidR="008C0D40" w:rsidRPr="002F5D9D" w:rsidRDefault="008C0D40" w:rsidP="008C0D40">
      <w:pPr>
        <w:spacing w:line="240" w:lineRule="auto"/>
        <w:jc w:val="both"/>
        <w:rPr>
          <w:lang w:val="pt-PT"/>
        </w:rPr>
      </w:pPr>
      <w:r w:rsidRPr="002F5D9D">
        <w:rPr>
          <w:u w:val="single"/>
          <w:lang w:val="pt-PT"/>
        </w:rPr>
        <w:t>Gamintojo (-ų), atsakingo (-ų) už serijų išleidimą, pavadinimas (-ai) ir adresas (-ai)</w:t>
      </w:r>
    </w:p>
    <w:p w:rsidR="008C0D40" w:rsidRPr="002F5D9D" w:rsidRDefault="008C0D40" w:rsidP="008C0D40">
      <w:pPr>
        <w:spacing w:line="240" w:lineRule="auto"/>
        <w:rPr>
          <w:lang w:val="pt-PT"/>
        </w:rPr>
      </w:pPr>
    </w:p>
    <w:p w:rsidR="008C0D40" w:rsidRPr="008C0D40" w:rsidRDefault="008C0D40" w:rsidP="008C0D40">
      <w:pPr>
        <w:tabs>
          <w:tab w:val="clear" w:pos="567"/>
        </w:tabs>
        <w:autoSpaceDE w:val="0"/>
        <w:autoSpaceDN w:val="0"/>
        <w:adjustRightInd w:val="0"/>
        <w:spacing w:line="240" w:lineRule="auto"/>
        <w:rPr>
          <w:rFonts w:eastAsia="Calibri"/>
          <w:snapToGrid/>
          <w:color w:val="000000"/>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Balkanpharma-Dupnitsa AD</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3 Samokovsko Shosse Str.</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2600 Dupnitsa</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Bulgarija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arba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Teva Operations Poland Sp. z.o.o</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ul.  Mogilska 80 </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31-546 Kraków</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Lenkija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arba </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Teva</w:t>
      </w:r>
      <w:r w:rsidR="00B626DE">
        <w:rPr>
          <w:snapToGrid/>
          <w:color w:val="222222"/>
          <w:szCs w:val="22"/>
          <w:lang w:val="lt-LT"/>
        </w:rPr>
        <w:t xml:space="preserve"> Nederland </w:t>
      </w:r>
      <w:r w:rsidRPr="00C82784">
        <w:rPr>
          <w:snapToGrid/>
          <w:color w:val="222222"/>
          <w:szCs w:val="22"/>
          <w:lang w:val="lt-LT"/>
        </w:rPr>
        <w:t>BV</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Swensweg 5</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2031GA Haarlem</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Nyderlandai</w:t>
      </w:r>
    </w:p>
    <w:p w:rsidR="008C0D40" w:rsidRPr="00684A34" w:rsidRDefault="008C0D40" w:rsidP="008C0D40">
      <w:pPr>
        <w:shd w:val="clear" w:color="auto" w:fill="FFFFFF"/>
        <w:spacing w:line="240" w:lineRule="auto"/>
        <w:rPr>
          <w:lang w:val="lt-LT"/>
        </w:rPr>
      </w:pPr>
    </w:p>
    <w:p w:rsidR="00B626DE" w:rsidRPr="00684A34" w:rsidRDefault="00B626DE" w:rsidP="00B626DE">
      <w:pPr>
        <w:shd w:val="clear" w:color="auto" w:fill="FFFFFF"/>
        <w:spacing w:line="240" w:lineRule="auto"/>
        <w:rPr>
          <w:lang w:val="lt-LT"/>
        </w:rPr>
      </w:pPr>
      <w:r w:rsidRPr="00684A34">
        <w:rPr>
          <w:lang w:val="lt-LT"/>
        </w:rPr>
        <w:t>arba</w:t>
      </w:r>
    </w:p>
    <w:p w:rsidR="00B626DE" w:rsidRPr="00684A34" w:rsidRDefault="00B626DE" w:rsidP="00B626DE">
      <w:pPr>
        <w:shd w:val="clear" w:color="auto" w:fill="FFFFFF"/>
        <w:spacing w:line="240" w:lineRule="auto"/>
        <w:rPr>
          <w:lang w:val="lt-LT"/>
        </w:rPr>
      </w:pPr>
    </w:p>
    <w:p w:rsidR="00B626DE" w:rsidRPr="00684A34" w:rsidRDefault="00B626DE" w:rsidP="00B626DE">
      <w:pPr>
        <w:shd w:val="clear" w:color="auto" w:fill="FFFFFF"/>
        <w:spacing w:line="240" w:lineRule="auto"/>
        <w:rPr>
          <w:lang w:val="lt-LT"/>
        </w:rPr>
      </w:pPr>
      <w:r w:rsidRPr="00684A34">
        <w:rPr>
          <w:lang w:val="lt-LT"/>
        </w:rPr>
        <w:t>Merckle GmbH</w:t>
      </w:r>
    </w:p>
    <w:p w:rsidR="00B626DE" w:rsidRPr="00684A34" w:rsidRDefault="00B626DE" w:rsidP="00B626DE">
      <w:pPr>
        <w:shd w:val="clear" w:color="auto" w:fill="FFFFFF"/>
        <w:spacing w:line="240" w:lineRule="auto"/>
        <w:rPr>
          <w:lang w:val="lt-LT"/>
        </w:rPr>
      </w:pPr>
      <w:r w:rsidRPr="00684A34">
        <w:rPr>
          <w:lang w:val="lt-LT"/>
        </w:rPr>
        <w:t xml:space="preserve">Ludwig-Merckle-Strasse 3 </w:t>
      </w:r>
    </w:p>
    <w:p w:rsidR="00B626DE" w:rsidRPr="00684A34" w:rsidRDefault="00B626DE" w:rsidP="00B626DE">
      <w:pPr>
        <w:shd w:val="clear" w:color="auto" w:fill="FFFFFF"/>
        <w:spacing w:line="240" w:lineRule="auto"/>
        <w:rPr>
          <w:lang w:val="lt-LT"/>
        </w:rPr>
      </w:pPr>
      <w:r w:rsidRPr="00684A34">
        <w:rPr>
          <w:lang w:val="lt-LT"/>
        </w:rPr>
        <w:t>89143 Blaubeuren</w:t>
      </w:r>
    </w:p>
    <w:p w:rsidR="00B626DE" w:rsidRPr="00684A34" w:rsidRDefault="00B626DE" w:rsidP="00B626DE">
      <w:pPr>
        <w:shd w:val="clear" w:color="auto" w:fill="FFFFFF"/>
        <w:spacing w:line="240" w:lineRule="auto"/>
        <w:rPr>
          <w:lang w:val="lt-LT"/>
        </w:rPr>
      </w:pPr>
      <w:r w:rsidRPr="00684A34">
        <w:rPr>
          <w:lang w:val="lt-LT"/>
        </w:rPr>
        <w:t>Vokietija</w:t>
      </w:r>
    </w:p>
    <w:p w:rsidR="00B626DE" w:rsidRPr="00684A34" w:rsidRDefault="00B626DE" w:rsidP="00B626DE">
      <w:pPr>
        <w:shd w:val="clear" w:color="auto" w:fill="FFFFFF"/>
        <w:spacing w:line="240" w:lineRule="auto"/>
        <w:rPr>
          <w:lang w:val="lt-LT"/>
        </w:rPr>
      </w:pPr>
    </w:p>
    <w:p w:rsidR="008C0D40" w:rsidRPr="00684A34" w:rsidRDefault="008C0D40" w:rsidP="008C0D40">
      <w:pPr>
        <w:spacing w:line="240" w:lineRule="auto"/>
        <w:rPr>
          <w:lang w:val="lt-LT"/>
        </w:rPr>
      </w:pPr>
      <w:r w:rsidRPr="00684A34">
        <w:rPr>
          <w:lang w:val="lt-LT"/>
        </w:rPr>
        <w:t>Su pakuote pateikiamame lapelyje nurodomas gamintojo, atsakingo už konkrečios serijos išleidimą, pavadinimas ir adresas.</w:t>
      </w:r>
    </w:p>
    <w:p w:rsidR="008C0D40" w:rsidRPr="00684A34" w:rsidRDefault="008C0D40" w:rsidP="008C0D40">
      <w:pPr>
        <w:spacing w:line="240" w:lineRule="auto"/>
        <w:rPr>
          <w:lang w:val="lt-LT"/>
        </w:rPr>
      </w:pPr>
    </w:p>
    <w:p w:rsidR="008C0D40" w:rsidRPr="00684A34" w:rsidRDefault="008C0D40" w:rsidP="008C0D40">
      <w:pPr>
        <w:spacing w:line="240" w:lineRule="auto"/>
        <w:rPr>
          <w:lang w:val="lt-LT"/>
        </w:rPr>
      </w:pPr>
    </w:p>
    <w:p w:rsidR="008C0D40" w:rsidRPr="00684A34" w:rsidRDefault="008C0D40" w:rsidP="008C0D40">
      <w:pPr>
        <w:spacing w:line="240" w:lineRule="auto"/>
        <w:ind w:left="567" w:hanging="567"/>
        <w:rPr>
          <w:lang w:val="lt-LT"/>
        </w:rPr>
      </w:pPr>
      <w:r w:rsidRPr="00684A34">
        <w:rPr>
          <w:b/>
          <w:lang w:val="lt-LT"/>
        </w:rPr>
        <w:t>B.</w:t>
      </w:r>
      <w:r w:rsidRPr="00684A34">
        <w:rPr>
          <w:b/>
          <w:lang w:val="lt-LT"/>
        </w:rPr>
        <w:tab/>
        <w:t>TIEKIMO IR VARTOJIMO SĄLYGOS AR APRIBOJIMAI</w:t>
      </w:r>
    </w:p>
    <w:p w:rsidR="008C0D40" w:rsidRPr="00684A34" w:rsidRDefault="008C0D40" w:rsidP="008C0D40">
      <w:pPr>
        <w:spacing w:line="240" w:lineRule="auto"/>
        <w:rPr>
          <w:lang w:val="lt-LT"/>
        </w:rPr>
      </w:pPr>
    </w:p>
    <w:p w:rsidR="008C0D40" w:rsidRPr="002F5D9D" w:rsidRDefault="008C0D40" w:rsidP="008C0D40">
      <w:pPr>
        <w:spacing w:line="240" w:lineRule="auto"/>
        <w:rPr>
          <w:lang w:val="pt-PT"/>
        </w:rPr>
      </w:pPr>
      <w:r w:rsidRPr="002F5D9D">
        <w:rPr>
          <w:lang w:val="pt-PT"/>
        </w:rPr>
        <w:t>Receptinis vaistinis preparatas.</w:t>
      </w:r>
    </w:p>
    <w:p w:rsidR="00124B7D" w:rsidRPr="002F5D9D" w:rsidRDefault="00124B7D" w:rsidP="008C0D40">
      <w:pPr>
        <w:rPr>
          <w:lang w:val="pt-PT"/>
        </w:rPr>
      </w:pPr>
    </w:p>
    <w:p w:rsidR="00124B7D" w:rsidRPr="002F5D9D" w:rsidRDefault="00124B7D" w:rsidP="008C0D40">
      <w:pPr>
        <w:rPr>
          <w:lang w:val="pt-PT"/>
        </w:rPr>
      </w:pPr>
    </w:p>
    <w:p w:rsidR="00124B7D" w:rsidRPr="002F5D9D" w:rsidRDefault="00124B7D" w:rsidP="00124B7D">
      <w:pPr>
        <w:rPr>
          <w:b/>
          <w:lang w:val="pt-PT"/>
        </w:rPr>
      </w:pPr>
      <w:r w:rsidRPr="002F5D9D">
        <w:rPr>
          <w:b/>
          <w:lang w:val="pt-PT"/>
        </w:rPr>
        <w:t>C.</w:t>
      </w:r>
      <w:r w:rsidRPr="002F5D9D">
        <w:rPr>
          <w:b/>
          <w:lang w:val="pt-PT"/>
        </w:rPr>
        <w:tab/>
      </w:r>
      <w:r w:rsidRPr="002F5D9D">
        <w:rPr>
          <w:b/>
          <w:szCs w:val="24"/>
          <w:lang w:val="pt-PT"/>
        </w:rPr>
        <w:t>KITOS SĄLYGOS IR REIKALAVIMAI REGISTRUOTOJUI</w:t>
      </w:r>
    </w:p>
    <w:p w:rsidR="00124B7D" w:rsidRPr="002F5D9D" w:rsidRDefault="00124B7D" w:rsidP="00124B7D">
      <w:pPr>
        <w:ind w:right="-1"/>
        <w:rPr>
          <w:i/>
          <w:u w:val="single"/>
          <w:lang w:val="pt-PT"/>
        </w:rPr>
      </w:pPr>
    </w:p>
    <w:p w:rsidR="00124B7D" w:rsidRPr="002F5D9D" w:rsidRDefault="00124B7D" w:rsidP="00124B7D">
      <w:pPr>
        <w:numPr>
          <w:ilvl w:val="0"/>
          <w:numId w:val="37"/>
        </w:numPr>
        <w:autoSpaceDN w:val="0"/>
        <w:ind w:right="-1" w:hanging="720"/>
        <w:rPr>
          <w:b/>
          <w:szCs w:val="24"/>
          <w:lang w:val="pt-PT"/>
        </w:rPr>
      </w:pPr>
      <w:r w:rsidRPr="002F5D9D">
        <w:rPr>
          <w:b/>
          <w:lang w:val="pt-PT"/>
        </w:rPr>
        <w:t>Periodiškai atnaujinami saugumo protokolai (PASP)</w:t>
      </w:r>
    </w:p>
    <w:p w:rsidR="00124B7D" w:rsidRPr="002F5D9D" w:rsidRDefault="00124B7D" w:rsidP="00124B7D">
      <w:pPr>
        <w:tabs>
          <w:tab w:val="left" w:pos="0"/>
        </w:tabs>
        <w:ind w:right="567"/>
        <w:rPr>
          <w:szCs w:val="24"/>
          <w:lang w:val="pt-PT"/>
        </w:rPr>
      </w:pPr>
    </w:p>
    <w:p w:rsidR="00124B7D" w:rsidRPr="002F5D9D" w:rsidRDefault="00124B7D" w:rsidP="00124B7D">
      <w:pPr>
        <w:tabs>
          <w:tab w:val="left" w:pos="0"/>
        </w:tabs>
        <w:rPr>
          <w:i/>
          <w:szCs w:val="24"/>
          <w:lang w:val="pt-PT"/>
        </w:rPr>
      </w:pPr>
      <w:r w:rsidRPr="002F5D9D">
        <w:rPr>
          <w:noProof/>
          <w:szCs w:val="24"/>
          <w:lang w:val="pt-PT"/>
        </w:rPr>
        <w:t xml:space="preserve">Registruotojas šio vaistinio preparato periodiškai atnaujinamus saugumo protokolus teikia remdamasis Direktyvos 2001/83/EB 107c straipsnio 7 dalyje numatytame Sąjungos </w:t>
      </w:r>
      <w:r w:rsidRPr="002F5D9D">
        <w:rPr>
          <w:szCs w:val="24"/>
          <w:lang w:val="pt-PT"/>
        </w:rPr>
        <w:t xml:space="preserve">referencinių </w:t>
      </w:r>
      <w:r w:rsidRPr="002F5D9D">
        <w:rPr>
          <w:noProof/>
          <w:szCs w:val="24"/>
          <w:lang w:val="pt-PT"/>
        </w:rPr>
        <w:t>datų sąraše (</w:t>
      </w:r>
      <w:r w:rsidRPr="002F5D9D">
        <w:rPr>
          <w:i/>
          <w:noProof/>
          <w:szCs w:val="24"/>
          <w:lang w:val="pt-PT"/>
        </w:rPr>
        <w:t>EURD</w:t>
      </w:r>
      <w:r w:rsidRPr="002F5D9D">
        <w:rPr>
          <w:noProof/>
          <w:szCs w:val="24"/>
          <w:lang w:val="pt-PT"/>
        </w:rPr>
        <w:t xml:space="preserve"> sąraše), kuris skelbiamas Europos vaistų </w:t>
      </w:r>
      <w:r w:rsidRPr="002F5D9D">
        <w:rPr>
          <w:szCs w:val="24"/>
          <w:lang w:val="pt-PT"/>
        </w:rPr>
        <w:t>tinklalapyje</w:t>
      </w:r>
      <w:r w:rsidRPr="002F5D9D">
        <w:rPr>
          <w:noProof/>
          <w:szCs w:val="24"/>
          <w:lang w:val="pt-PT"/>
        </w:rPr>
        <w:t>, nustatytais reikalavimais.</w:t>
      </w:r>
    </w:p>
    <w:p w:rsidR="00124B7D" w:rsidRPr="002F5D9D" w:rsidRDefault="00124B7D" w:rsidP="00124B7D">
      <w:pPr>
        <w:tabs>
          <w:tab w:val="left" w:pos="0"/>
        </w:tabs>
        <w:ind w:right="567"/>
        <w:rPr>
          <w:i/>
          <w:szCs w:val="24"/>
          <w:lang w:val="pt-PT"/>
        </w:rPr>
      </w:pPr>
    </w:p>
    <w:p w:rsidR="00124B7D" w:rsidRPr="002F5D9D" w:rsidRDefault="00124B7D" w:rsidP="00124B7D">
      <w:pPr>
        <w:ind w:right="-1"/>
        <w:rPr>
          <w:i/>
          <w:noProof/>
          <w:szCs w:val="24"/>
          <w:u w:val="single"/>
          <w:lang w:val="pt-PT"/>
        </w:rPr>
      </w:pPr>
    </w:p>
    <w:p w:rsidR="00124B7D" w:rsidRPr="002F5D9D" w:rsidRDefault="00124B7D" w:rsidP="0062471E">
      <w:pPr>
        <w:spacing w:line="240" w:lineRule="auto"/>
        <w:ind w:left="567" w:hanging="567"/>
        <w:rPr>
          <w:b/>
          <w:szCs w:val="24"/>
          <w:lang w:val="pt-PT"/>
        </w:rPr>
      </w:pPr>
      <w:r w:rsidRPr="002F5D9D">
        <w:rPr>
          <w:b/>
          <w:noProof/>
          <w:szCs w:val="24"/>
          <w:lang w:val="pt-PT"/>
        </w:rPr>
        <w:t>D.</w:t>
      </w:r>
      <w:r w:rsidRPr="002F5D9D">
        <w:rPr>
          <w:b/>
          <w:szCs w:val="24"/>
          <w:lang w:val="pt-PT"/>
        </w:rPr>
        <w:tab/>
      </w:r>
      <w:r w:rsidRPr="002F5D9D">
        <w:rPr>
          <w:b/>
          <w:noProof/>
          <w:szCs w:val="24"/>
          <w:lang w:val="pt-PT"/>
        </w:rPr>
        <w:t>SĄLYGOS AR APRIBOJIMAI</w:t>
      </w:r>
      <w:r w:rsidR="00202C9E" w:rsidRPr="002F5D9D">
        <w:rPr>
          <w:b/>
          <w:noProof/>
          <w:szCs w:val="24"/>
          <w:lang w:val="pt-PT"/>
        </w:rPr>
        <w:t>, SKIRTI</w:t>
      </w:r>
      <w:r w:rsidRPr="002F5D9D">
        <w:rPr>
          <w:b/>
          <w:noProof/>
          <w:szCs w:val="24"/>
          <w:lang w:val="pt-PT"/>
        </w:rPr>
        <w:t xml:space="preserve"> SAUGIAM IR VEIKSMINGAM VAISTINIO PREPARATO VARTOJIMUI UŽTIKRINTI</w:t>
      </w:r>
    </w:p>
    <w:p w:rsidR="00124B7D" w:rsidRPr="002F5D9D" w:rsidRDefault="00124B7D" w:rsidP="0062471E">
      <w:pPr>
        <w:spacing w:line="240" w:lineRule="auto"/>
        <w:ind w:right="-1"/>
        <w:rPr>
          <w:i/>
          <w:noProof/>
          <w:szCs w:val="24"/>
          <w:u w:val="single"/>
          <w:lang w:val="pt-PT"/>
        </w:rPr>
      </w:pPr>
    </w:p>
    <w:p w:rsidR="00124B7D" w:rsidRDefault="00124B7D" w:rsidP="0062471E">
      <w:pPr>
        <w:numPr>
          <w:ilvl w:val="0"/>
          <w:numId w:val="37"/>
        </w:numPr>
        <w:autoSpaceDN w:val="0"/>
        <w:spacing w:line="240" w:lineRule="auto"/>
        <w:ind w:right="-1" w:hanging="720"/>
        <w:rPr>
          <w:b/>
          <w:szCs w:val="24"/>
        </w:rPr>
      </w:pPr>
      <w:r>
        <w:rPr>
          <w:b/>
        </w:rPr>
        <w:t>Rizikos valdymo planas (RVP)</w:t>
      </w:r>
    </w:p>
    <w:p w:rsidR="009238EE" w:rsidRPr="00B34FA1" w:rsidRDefault="009238EE" w:rsidP="0062471E">
      <w:pPr>
        <w:spacing w:line="240" w:lineRule="auto"/>
        <w:ind w:left="720" w:right="-1"/>
        <w:rPr>
          <w:b/>
          <w:szCs w:val="24"/>
        </w:rPr>
      </w:pPr>
    </w:p>
    <w:p w:rsidR="009238EE" w:rsidRPr="00B34FA1" w:rsidRDefault="009238EE" w:rsidP="0062471E">
      <w:pPr>
        <w:tabs>
          <w:tab w:val="left" w:pos="0"/>
        </w:tabs>
        <w:spacing w:line="240" w:lineRule="auto"/>
      </w:pPr>
      <w:r>
        <w:t>Registruotojas</w:t>
      </w:r>
      <w:r w:rsidRPr="00B34FA1">
        <w:t xml:space="preserve"> atlieka reikalaujamą farmakologinio budrumo veiklą ir veiksmus, kurie išsamiai aprašyti </w:t>
      </w:r>
      <w:r>
        <w:t>registracijos</w:t>
      </w:r>
      <w:r w:rsidRPr="00B34FA1">
        <w:t xml:space="preserve"> bylos 1.8.2 modulyje pateiktame RVP ir suderintose tolesnėse jo versijose.</w:t>
      </w:r>
    </w:p>
    <w:p w:rsidR="009238EE" w:rsidRPr="00B34FA1" w:rsidRDefault="009238EE" w:rsidP="0062471E">
      <w:pPr>
        <w:spacing w:line="240" w:lineRule="auto"/>
        <w:rPr>
          <w:color w:val="008000"/>
        </w:rPr>
      </w:pPr>
    </w:p>
    <w:p w:rsidR="009238EE" w:rsidRPr="002F5D9D" w:rsidRDefault="009238EE" w:rsidP="0062471E">
      <w:pPr>
        <w:spacing w:line="240" w:lineRule="auto"/>
        <w:ind w:right="-1"/>
        <w:rPr>
          <w:i/>
          <w:lang w:val="pt-PT"/>
        </w:rPr>
      </w:pPr>
      <w:r w:rsidRPr="002F5D9D">
        <w:rPr>
          <w:szCs w:val="24"/>
          <w:lang w:val="pt-PT"/>
        </w:rPr>
        <w:t>Atnaujintas rizikos valdymo planas turi būti pateiktas</w:t>
      </w:r>
      <w:r w:rsidRPr="002F5D9D">
        <w:rPr>
          <w:lang w:val="pt-PT"/>
        </w:rPr>
        <w:t>:</w:t>
      </w:r>
    </w:p>
    <w:p w:rsidR="009238EE" w:rsidRPr="002F5D9D" w:rsidRDefault="009238EE" w:rsidP="0062471E">
      <w:pPr>
        <w:numPr>
          <w:ilvl w:val="0"/>
          <w:numId w:val="38"/>
        </w:numPr>
        <w:spacing w:line="240" w:lineRule="auto"/>
        <w:ind w:right="-1"/>
        <w:rPr>
          <w:i/>
          <w:noProof/>
          <w:szCs w:val="24"/>
          <w:lang w:val="pt-PT"/>
        </w:rPr>
      </w:pPr>
      <w:r w:rsidRPr="002F5D9D">
        <w:rPr>
          <w:szCs w:val="24"/>
          <w:lang w:val="pt-PT"/>
        </w:rPr>
        <w:t>pareikalavus Valstybinei vaistų kontrolės tarnybai prie Lietuvos Respublikos sveikatos apsaugos ministerijos</w:t>
      </w:r>
      <w:r w:rsidRPr="002F5D9D">
        <w:rPr>
          <w:i/>
          <w:noProof/>
          <w:szCs w:val="24"/>
          <w:lang w:val="pt-PT"/>
        </w:rPr>
        <w:t>;</w:t>
      </w:r>
    </w:p>
    <w:p w:rsidR="009238EE" w:rsidRPr="002F5D9D" w:rsidRDefault="009238EE" w:rsidP="0062471E">
      <w:pPr>
        <w:numPr>
          <w:ilvl w:val="0"/>
          <w:numId w:val="38"/>
        </w:numPr>
        <w:tabs>
          <w:tab w:val="clear" w:pos="567"/>
          <w:tab w:val="clear" w:pos="720"/>
        </w:tabs>
        <w:spacing w:line="240" w:lineRule="auto"/>
        <w:ind w:left="567" w:right="-1" w:hanging="207"/>
        <w:rPr>
          <w:lang w:val="pt-PT"/>
        </w:rPr>
      </w:pPr>
      <w:r w:rsidRPr="002F5D9D">
        <w:rPr>
          <w:lang w:val="pt-PT"/>
        </w:rPr>
        <w:t>kai keičiama rizikos valdymo sistema, ypač gavus naujos informacijos, kuri gali lemti didelį naudos ir rizikos santykio pokytį arba pasiekus svarbų (farmakologinio budrumo ar rizikos mažinimo) etapą.</w:t>
      </w:r>
    </w:p>
    <w:p w:rsidR="009238EE" w:rsidRPr="002F5D9D" w:rsidRDefault="009238EE" w:rsidP="0062471E">
      <w:pPr>
        <w:spacing w:line="240" w:lineRule="auto"/>
        <w:ind w:right="-1"/>
        <w:rPr>
          <w:noProof/>
          <w:szCs w:val="24"/>
          <w:lang w:val="pt-PT"/>
        </w:rPr>
      </w:pPr>
    </w:p>
    <w:p w:rsidR="009238EE" w:rsidRPr="002F5D9D" w:rsidRDefault="009238EE" w:rsidP="0062471E">
      <w:pPr>
        <w:spacing w:line="240" w:lineRule="auto"/>
        <w:ind w:right="-1"/>
        <w:rPr>
          <w:lang w:val="pt-PT"/>
        </w:rPr>
      </w:pPr>
      <w:r w:rsidRPr="002F5D9D">
        <w:rPr>
          <w:szCs w:val="24"/>
          <w:lang w:val="pt-PT"/>
        </w:rPr>
        <w:t>Jei sutampa PASP ir atnaujinto RVP teikimo datos, jie gali būti pateikiami kartu.</w:t>
      </w:r>
    </w:p>
    <w:p w:rsidR="009238EE" w:rsidRPr="002F5D9D" w:rsidRDefault="009238EE" w:rsidP="0062471E">
      <w:pPr>
        <w:spacing w:line="240" w:lineRule="auto"/>
        <w:ind w:right="-1"/>
        <w:rPr>
          <w:lang w:val="pt-PT"/>
        </w:rPr>
      </w:pPr>
    </w:p>
    <w:p w:rsidR="009238EE" w:rsidRPr="002F5D9D" w:rsidRDefault="009238EE" w:rsidP="009238EE">
      <w:pPr>
        <w:pStyle w:val="Pagrindinistekstas"/>
        <w:kinsoku w:val="0"/>
        <w:overflowPunct w:val="0"/>
        <w:rPr>
          <w:b/>
          <w:color w:val="auto"/>
          <w:lang w:val="pt-PT"/>
        </w:rPr>
      </w:pPr>
      <w:r w:rsidRPr="002F5D9D">
        <w:rPr>
          <w:b/>
          <w:color w:val="auto"/>
          <w:lang w:val="pt-PT"/>
        </w:rPr>
        <w:t xml:space="preserve">Papildomos rizikos mažinimo priemonės </w:t>
      </w:r>
    </w:p>
    <w:p w:rsidR="009238EE" w:rsidRPr="0062647C" w:rsidRDefault="009238EE" w:rsidP="0062471E">
      <w:pPr>
        <w:spacing w:line="240" w:lineRule="auto"/>
        <w:rPr>
          <w:b/>
          <w:lang w:val="lt-LT"/>
        </w:rPr>
      </w:pPr>
    </w:p>
    <w:p w:rsidR="009238EE" w:rsidRPr="0062647C" w:rsidRDefault="009238EE" w:rsidP="0062471E">
      <w:pPr>
        <w:spacing w:line="240" w:lineRule="auto"/>
        <w:rPr>
          <w:lang w:val="lt-LT"/>
        </w:rPr>
      </w:pPr>
      <w:r w:rsidRPr="0062647C">
        <w:rPr>
          <w:b/>
          <w:lang w:val="lt-LT"/>
        </w:rPr>
        <w:t>P</w:t>
      </w:r>
      <w:r w:rsidRPr="0062647C">
        <w:rPr>
          <w:lang w:val="lt-LT"/>
        </w:rPr>
        <w:t xml:space="preserve">rieš tiekiant </w:t>
      </w:r>
      <w:r w:rsidR="008D6948" w:rsidRPr="0062647C">
        <w:rPr>
          <w:lang w:val="lt-LT"/>
        </w:rPr>
        <w:t>Fingolimod Teva</w:t>
      </w:r>
      <w:r w:rsidRPr="0062647C">
        <w:rPr>
          <w:lang w:val="lt-LT"/>
        </w:rPr>
        <w:t xml:space="preserve"> į rinką kiekvienoje šalyje narėje Registruotojas privalo suderinti su nacionaline kompetentinga institucija mokomosios programos turinį ir formatą, įskaitant komunikacijos priemones, platinimo būdus ir visus kitus programos aspektus.33 </w:t>
      </w:r>
    </w:p>
    <w:p w:rsidR="009238EE" w:rsidRPr="0062647C" w:rsidRDefault="009238EE" w:rsidP="0062471E">
      <w:pPr>
        <w:spacing w:line="240" w:lineRule="auto"/>
        <w:rPr>
          <w:lang w:val="lt-LT"/>
        </w:rPr>
      </w:pPr>
    </w:p>
    <w:p w:rsidR="009238EE" w:rsidRPr="0062647C" w:rsidRDefault="009238EE" w:rsidP="0062471E">
      <w:pPr>
        <w:spacing w:line="240" w:lineRule="auto"/>
        <w:rPr>
          <w:lang w:val="lt-LT"/>
        </w:rPr>
      </w:pPr>
      <w:r w:rsidRPr="0062647C">
        <w:rPr>
          <w:lang w:val="lt-LT"/>
        </w:rPr>
        <w:t xml:space="preserve">Registruotojas turi užtikrinti, kad kiekvienoje valstybėje narėje, į kurios rinką bus tiekiamas </w:t>
      </w:r>
      <w:r w:rsidR="008D6948" w:rsidRPr="0062647C">
        <w:rPr>
          <w:lang w:val="lt-LT"/>
        </w:rPr>
        <w:t>Fingolimod Teva</w:t>
      </w:r>
      <w:r w:rsidRPr="0062647C">
        <w:rPr>
          <w:lang w:val="lt-LT"/>
        </w:rPr>
        <w:t xml:space="preserve"> visi </w:t>
      </w:r>
      <w:r w:rsidR="008D6948" w:rsidRPr="0062647C">
        <w:rPr>
          <w:lang w:val="lt-LT"/>
        </w:rPr>
        <w:t>Fingolimod Teva</w:t>
      </w:r>
      <w:r w:rsidRPr="0062647C">
        <w:rPr>
          <w:lang w:val="lt-LT"/>
        </w:rPr>
        <w:t xml:space="preserve"> galintys išrašyti gydytojai bus aprūpinti atnaujinta Gydytojo informacine pakuote, kurią sudarys: </w:t>
      </w:r>
    </w:p>
    <w:p w:rsidR="009238EE" w:rsidRPr="0062647C" w:rsidRDefault="009238EE" w:rsidP="0062471E">
      <w:pPr>
        <w:pStyle w:val="Sraopastraipa"/>
        <w:spacing w:after="0" w:line="240" w:lineRule="auto"/>
        <w:ind w:left="502"/>
        <w:rPr>
          <w:rFonts w:ascii="Times New Roman" w:hAnsi="Times New Roman"/>
        </w:rPr>
      </w:pPr>
      <w:r w:rsidRPr="0062647C">
        <w:rPr>
          <w:rFonts w:ascii="Times New Roman" w:hAnsi="Times New Roman"/>
        </w:rPr>
        <w:t>1. Preparato charakteristikų santrauka (PCS);</w:t>
      </w:r>
    </w:p>
    <w:p w:rsidR="009238EE" w:rsidRPr="0062647C" w:rsidRDefault="009238EE" w:rsidP="0062471E">
      <w:pPr>
        <w:pStyle w:val="Sraopastraipa"/>
        <w:spacing w:after="0" w:line="240" w:lineRule="auto"/>
        <w:ind w:left="502"/>
        <w:rPr>
          <w:rFonts w:ascii="Times New Roman" w:hAnsi="Times New Roman"/>
        </w:rPr>
      </w:pPr>
      <w:r w:rsidRPr="0062647C">
        <w:rPr>
          <w:rFonts w:ascii="Times New Roman" w:hAnsi="Times New Roman"/>
        </w:rPr>
        <w:t xml:space="preserve">2. Gydytojo žymimas kontrolinis sąrašas suaugusiems pacientams ir vaikams, kurį reikėtų apsvarstyti prieš išrašant </w:t>
      </w:r>
      <w:r w:rsidR="008D6948" w:rsidRPr="0062647C">
        <w:rPr>
          <w:rFonts w:ascii="Times New Roman" w:hAnsi="Times New Roman"/>
        </w:rPr>
        <w:t>Fingolimod Teva</w:t>
      </w:r>
      <w:r w:rsidRPr="0062647C">
        <w:rPr>
          <w:rFonts w:ascii="Times New Roman" w:hAnsi="Times New Roman"/>
        </w:rPr>
        <w:t xml:space="preserve">, taip pat informacija apie Ekspozicijos nėštumo metu registrą; </w:t>
      </w:r>
    </w:p>
    <w:p w:rsidR="009238EE" w:rsidRPr="0062647C" w:rsidRDefault="009238EE" w:rsidP="0062471E">
      <w:pPr>
        <w:pStyle w:val="Sraopastraipa"/>
        <w:spacing w:after="0" w:line="240" w:lineRule="auto"/>
        <w:ind w:left="502"/>
        <w:rPr>
          <w:rFonts w:ascii="Times New Roman" w:hAnsi="Times New Roman"/>
        </w:rPr>
      </w:pPr>
      <w:r w:rsidRPr="0062647C">
        <w:rPr>
          <w:rFonts w:ascii="Times New Roman" w:hAnsi="Times New Roman"/>
        </w:rPr>
        <w:t xml:space="preserve">3. Vadovas pacientui, tėvams ar globėjams, kurį reikia pateikti visiems pacientams, jų tėvams (ar teisiškai įgaliotiems atstovams) bei globėjams; </w:t>
      </w:r>
    </w:p>
    <w:p w:rsidR="009238EE" w:rsidRPr="0062647C" w:rsidRDefault="009238EE" w:rsidP="0062471E">
      <w:pPr>
        <w:pStyle w:val="Sraopastraipa"/>
        <w:spacing w:after="0" w:line="240" w:lineRule="auto"/>
        <w:ind w:left="502"/>
        <w:rPr>
          <w:rFonts w:ascii="Times New Roman" w:hAnsi="Times New Roman"/>
        </w:rPr>
      </w:pPr>
      <w:r w:rsidRPr="0062647C">
        <w:rPr>
          <w:rFonts w:ascii="Times New Roman" w:hAnsi="Times New Roman"/>
        </w:rPr>
        <w:t xml:space="preserve">4. Nėštumui specifinė pacientės priminimo kortelė, kurią reikia pateikti visoms pacientėms ir prireikus jų tėvams (ar teisiškai įgaliotiems atstovams) bei globėjams. </w:t>
      </w:r>
    </w:p>
    <w:p w:rsidR="009238EE" w:rsidRPr="0062647C" w:rsidRDefault="009238EE" w:rsidP="0062471E">
      <w:pPr>
        <w:spacing w:line="240" w:lineRule="auto"/>
        <w:rPr>
          <w:lang w:val="lt-LT"/>
        </w:rPr>
      </w:pPr>
    </w:p>
    <w:p w:rsidR="009238EE" w:rsidRPr="0062647C" w:rsidRDefault="009238EE" w:rsidP="009238EE">
      <w:pPr>
        <w:pStyle w:val="Betarp"/>
        <w:rPr>
          <w:b/>
        </w:rPr>
      </w:pPr>
      <w:r w:rsidRPr="0062647C">
        <w:rPr>
          <w:b/>
        </w:rPr>
        <w:t>Gydytojo žymimas kontrolinis sąrašas</w:t>
      </w:r>
      <w:r w:rsidR="00202C9E" w:rsidRPr="0062647C">
        <w:rPr>
          <w:b/>
          <w:lang w:eastAsia="en-GB"/>
        </w:rPr>
        <w:t xml:space="preserve"> </w:t>
      </w:r>
      <w:r w:rsidR="00202C9E" w:rsidRPr="00684A34">
        <w:rPr>
          <w:b/>
        </w:rPr>
        <w:t>suaugusiems pacientams ir vaikams.</w:t>
      </w:r>
    </w:p>
    <w:p w:rsidR="009238EE" w:rsidRPr="0062647C" w:rsidRDefault="009238EE" w:rsidP="008D6948">
      <w:pPr>
        <w:pStyle w:val="Betarp"/>
        <w:rPr>
          <w:b/>
        </w:rPr>
      </w:pPr>
    </w:p>
    <w:p w:rsidR="009238EE" w:rsidRPr="0062647C" w:rsidRDefault="009238EE" w:rsidP="008D6948">
      <w:pPr>
        <w:pStyle w:val="Betarp"/>
      </w:pPr>
      <w:r w:rsidRPr="0062647C">
        <w:t xml:space="preserve">Gydytojo žymimame kontroliniame sąraše turi būti tokia toliau nurodyta svarbiausia informacija: </w:t>
      </w:r>
    </w:p>
    <w:p w:rsidR="009238EE" w:rsidRPr="0062647C" w:rsidRDefault="009238EE" w:rsidP="008D6948">
      <w:pPr>
        <w:pStyle w:val="Betarp"/>
        <w:numPr>
          <w:ilvl w:val="0"/>
          <w:numId w:val="39"/>
        </w:numPr>
      </w:pPr>
      <w:r w:rsidRPr="0062647C">
        <w:t xml:space="preserve">Paciento būklės stebėjimo nurodymai pradedant gydymą: </w:t>
      </w:r>
    </w:p>
    <w:p w:rsidR="009238EE" w:rsidRPr="0062647C" w:rsidRDefault="009238EE" w:rsidP="0090204C">
      <w:pPr>
        <w:pStyle w:val="Betarp"/>
        <w:ind w:left="142"/>
      </w:pPr>
    </w:p>
    <w:p w:rsidR="009238EE" w:rsidRPr="0062647C" w:rsidRDefault="009238EE" w:rsidP="0062471E">
      <w:pPr>
        <w:spacing w:line="240" w:lineRule="auto"/>
        <w:ind w:firstLine="142"/>
        <w:rPr>
          <w:lang w:val="lt-LT"/>
        </w:rPr>
      </w:pPr>
      <w:r w:rsidRPr="0062647C">
        <w:rPr>
          <w:lang w:val="lt-LT"/>
        </w:rPr>
        <w:t xml:space="preserve">Prieš skiriant pirmąją dozę </w:t>
      </w:r>
    </w:p>
    <w:p w:rsidR="009238EE" w:rsidRPr="0062471E" w:rsidRDefault="009238EE" w:rsidP="0062471E">
      <w:pPr>
        <w:spacing w:line="240" w:lineRule="auto"/>
        <w:ind w:firstLine="142"/>
        <w:rPr>
          <w:lang w:val="lt-LT"/>
        </w:rPr>
      </w:pPr>
      <w:r w:rsidRPr="000C594C">
        <w:rPr>
          <w:lang w:val="lt-LT"/>
        </w:rPr>
        <w:t>*</w:t>
      </w:r>
      <w:r w:rsidRPr="0062471E">
        <w:rPr>
          <w:lang w:val="lt-LT"/>
        </w:rPr>
        <w:t xml:space="preserve"> prieš pirmosios </w:t>
      </w:r>
      <w:r w:rsidR="008D6948">
        <w:rPr>
          <w:lang w:val="lt-LT"/>
        </w:rPr>
        <w:t>Fingolimod Teva</w:t>
      </w:r>
      <w:r w:rsidRPr="0062471E">
        <w:rPr>
          <w:lang w:val="lt-LT"/>
        </w:rPr>
        <w:t xml:space="preserve"> dozės skyrimą užregistruoti pradinę EKG; </w:t>
      </w:r>
    </w:p>
    <w:p w:rsidR="009238EE" w:rsidRPr="0062471E" w:rsidRDefault="009238EE" w:rsidP="0062471E">
      <w:pPr>
        <w:spacing w:line="240" w:lineRule="auto"/>
        <w:ind w:firstLine="142"/>
        <w:rPr>
          <w:lang w:val="lt-LT"/>
        </w:rPr>
      </w:pPr>
      <w:r w:rsidRPr="0062471E">
        <w:rPr>
          <w:lang w:val="lt-LT"/>
        </w:rPr>
        <w:t xml:space="preserve">* prieš pirmosios </w:t>
      </w:r>
      <w:r w:rsidR="008D6948">
        <w:rPr>
          <w:lang w:val="lt-LT"/>
        </w:rPr>
        <w:t>Fingolimod Teva</w:t>
      </w:r>
      <w:r w:rsidRPr="0062471E">
        <w:rPr>
          <w:lang w:val="lt-LT"/>
        </w:rPr>
        <w:t xml:space="preserve"> dozės skyrimą išmatuoti kraujospūdį; </w:t>
      </w:r>
    </w:p>
    <w:p w:rsidR="009238EE" w:rsidRPr="0062471E" w:rsidRDefault="009238EE" w:rsidP="0062471E">
      <w:pPr>
        <w:spacing w:line="240" w:lineRule="auto"/>
        <w:ind w:firstLine="142"/>
        <w:rPr>
          <w:lang w:val="lt-LT"/>
        </w:rPr>
      </w:pPr>
      <w:r w:rsidRPr="0062471E">
        <w:rPr>
          <w:lang w:val="lt-LT"/>
        </w:rPr>
        <w:t xml:space="preserve">* prieš pradedant gydyti (per pastaruosius 6 mėnesius) ištirti kepenų funkcijos rodiklius; </w:t>
      </w:r>
    </w:p>
    <w:p w:rsidR="009238EE" w:rsidRPr="0062471E" w:rsidRDefault="009238EE" w:rsidP="0062471E">
      <w:pPr>
        <w:spacing w:line="240" w:lineRule="auto"/>
        <w:ind w:firstLine="142"/>
        <w:rPr>
          <w:lang w:val="lt-LT"/>
        </w:rPr>
      </w:pPr>
      <w:r w:rsidRPr="0062471E">
        <w:rPr>
          <w:lang w:val="lt-LT"/>
        </w:rPr>
        <w:t xml:space="preserve">* prieš pradedant skirti gydymą </w:t>
      </w:r>
      <w:r w:rsidR="008D6948">
        <w:rPr>
          <w:lang w:val="lt-LT"/>
        </w:rPr>
        <w:t>Fingolimod Teva</w:t>
      </w:r>
      <w:r w:rsidRPr="0062471E">
        <w:rPr>
          <w:lang w:val="lt-LT"/>
        </w:rPr>
        <w:t xml:space="preserve"> pacientus, kurie serga cukriniu diabetu ar anksčiau sirgo uveitu, nusiųsti akių ištyrimui; </w:t>
      </w:r>
    </w:p>
    <w:p w:rsidR="009238EE" w:rsidRPr="00684A34" w:rsidRDefault="009238EE" w:rsidP="0062471E">
      <w:pPr>
        <w:spacing w:line="240" w:lineRule="auto"/>
        <w:ind w:firstLine="142"/>
        <w:rPr>
          <w:lang w:val="lt-LT"/>
        </w:rPr>
      </w:pPr>
      <w:r w:rsidRPr="00684A34">
        <w:rPr>
          <w:lang w:val="lt-LT"/>
        </w:rPr>
        <w:t xml:space="preserve">* prieš paskiriant gydymą privaloma įsitikinti, kad pacientei atlikto nėštumo testo rezultatas yra neigiamas. </w:t>
      </w:r>
    </w:p>
    <w:p w:rsidR="009238EE" w:rsidRPr="00684A34" w:rsidRDefault="009238EE" w:rsidP="0062471E">
      <w:pPr>
        <w:spacing w:line="240" w:lineRule="auto"/>
        <w:rPr>
          <w:lang w:val="lt-LT"/>
        </w:rPr>
      </w:pPr>
    </w:p>
    <w:p w:rsidR="009238EE" w:rsidRPr="00684A34" w:rsidRDefault="009238EE" w:rsidP="0062471E">
      <w:pPr>
        <w:spacing w:line="240" w:lineRule="auto"/>
        <w:ind w:firstLine="142"/>
        <w:rPr>
          <w:lang w:val="fr-FR"/>
        </w:rPr>
      </w:pPr>
      <w:r w:rsidRPr="00684A34">
        <w:rPr>
          <w:lang w:val="fr-FR"/>
        </w:rPr>
        <w:t xml:space="preserve">Iki 6 valandų po pirmosios dozės vartojimo </w:t>
      </w:r>
    </w:p>
    <w:p w:rsidR="009238EE" w:rsidRPr="00684A34" w:rsidRDefault="009238EE" w:rsidP="0062471E">
      <w:pPr>
        <w:spacing w:line="240" w:lineRule="auto"/>
        <w:ind w:firstLine="142"/>
        <w:rPr>
          <w:lang w:val="fr-FR"/>
        </w:rPr>
      </w:pPr>
      <w:r w:rsidRPr="00684A34">
        <w:rPr>
          <w:rFonts w:ascii="Courier New" w:hAnsi="Courier New"/>
          <w:lang w:val="fr-FR"/>
        </w:rPr>
        <w:t xml:space="preserve">* </w:t>
      </w:r>
      <w:r w:rsidRPr="00684A34">
        <w:rPr>
          <w:lang w:val="fr-FR"/>
        </w:rPr>
        <w:t xml:space="preserve">po pirmosios </w:t>
      </w:r>
      <w:r w:rsidR="008D6948" w:rsidRPr="00684A34">
        <w:rPr>
          <w:lang w:val="fr-FR"/>
        </w:rPr>
        <w:t>Fingolimod Teva</w:t>
      </w:r>
      <w:r w:rsidRPr="00684A34">
        <w:rPr>
          <w:lang w:val="fr-FR"/>
        </w:rPr>
        <w:t xml:space="preserve"> dozės vartojimo 6 valandas stebėti pacientų būklę dėl bradikardijos požymių ir simptomų pasireiškimo, širdies susitraukimų dažnį ir kraujospūdį matuoti kas valandą. Rekomenduojama registruoti nuolatinę (realaus laiko) EKG; </w:t>
      </w:r>
    </w:p>
    <w:p w:rsidR="009238EE" w:rsidRPr="00684A34" w:rsidRDefault="009238EE" w:rsidP="0062471E">
      <w:pPr>
        <w:spacing w:line="240" w:lineRule="auto"/>
        <w:ind w:firstLine="142"/>
        <w:rPr>
          <w:lang w:val="fr-FR"/>
        </w:rPr>
      </w:pPr>
      <w:r w:rsidRPr="00684A34">
        <w:rPr>
          <w:rFonts w:ascii="Courier New" w:hAnsi="Courier New"/>
          <w:lang w:val="fr-FR"/>
        </w:rPr>
        <w:t xml:space="preserve">* </w:t>
      </w:r>
      <w:r w:rsidRPr="00684A34">
        <w:rPr>
          <w:lang w:val="fr-FR"/>
        </w:rPr>
        <w:t xml:space="preserve">praėjus 6 valandų trukmės stebėjimo laikotarpiui užregistruoti EKG. </w:t>
      </w:r>
    </w:p>
    <w:p w:rsidR="009238EE" w:rsidRPr="00684A34" w:rsidRDefault="009238EE" w:rsidP="0062471E">
      <w:pPr>
        <w:spacing w:line="240" w:lineRule="auto"/>
        <w:rPr>
          <w:lang w:val="fr-FR"/>
        </w:rPr>
      </w:pPr>
    </w:p>
    <w:p w:rsidR="009238EE" w:rsidRPr="00684A34" w:rsidRDefault="009238EE" w:rsidP="0062471E">
      <w:pPr>
        <w:spacing w:line="240" w:lineRule="auto"/>
        <w:ind w:firstLine="142"/>
        <w:rPr>
          <w:lang w:val="fr-FR"/>
        </w:rPr>
      </w:pPr>
      <w:r w:rsidRPr="00684A34">
        <w:rPr>
          <w:i/>
          <w:lang w:val="fr-FR"/>
        </w:rPr>
        <w:t xml:space="preserve">Nuo 6 iki 8 valandų po pirmosios dozės vartojimo </w:t>
      </w:r>
    </w:p>
    <w:p w:rsidR="009238EE" w:rsidRPr="00684A34" w:rsidRDefault="009238EE" w:rsidP="0062471E">
      <w:pPr>
        <w:spacing w:line="240" w:lineRule="auto"/>
        <w:ind w:firstLine="142"/>
        <w:rPr>
          <w:lang w:val="fr-FR"/>
        </w:rPr>
      </w:pPr>
      <w:r w:rsidRPr="00684A34">
        <w:rPr>
          <w:rFonts w:ascii="Courier New" w:hAnsi="Courier New"/>
          <w:lang w:val="fr-FR"/>
        </w:rPr>
        <w:t xml:space="preserve">* </w:t>
      </w:r>
      <w:r w:rsidRPr="00684A34">
        <w:rPr>
          <w:lang w:val="fr-FR"/>
        </w:rPr>
        <w:t xml:space="preserve">jeigu praėjus 6 valandoms po pirmosios vaistinio preparato dozės vartojimo širdies susitraukimų dažnis yra mažiausias, jį reikia matuoti toliau dar bent 2 valandas, kol širdies susitraukimų dažnis pradeda didėti. </w:t>
      </w:r>
    </w:p>
    <w:p w:rsidR="009238EE" w:rsidRPr="00684A34" w:rsidRDefault="009238EE" w:rsidP="0062471E">
      <w:pPr>
        <w:spacing w:line="240" w:lineRule="auto"/>
        <w:rPr>
          <w:lang w:val="fr-FR"/>
        </w:rPr>
      </w:pPr>
    </w:p>
    <w:p w:rsidR="009238EE" w:rsidRPr="00684A34" w:rsidRDefault="009238EE" w:rsidP="009238EE">
      <w:pPr>
        <w:pStyle w:val="Default"/>
        <w:numPr>
          <w:ilvl w:val="0"/>
          <w:numId w:val="39"/>
        </w:numPr>
        <w:rPr>
          <w:sz w:val="22"/>
          <w:lang w:val="fr-FR"/>
        </w:rPr>
      </w:pPr>
      <w:r w:rsidRPr="00684A34">
        <w:rPr>
          <w:sz w:val="22"/>
          <w:lang w:val="fr-FR"/>
        </w:rPr>
        <w:t xml:space="preserve">Rekomendacijos vėl pradedant skirti gydymą </w:t>
      </w:r>
      <w:r w:rsidR="008D6948" w:rsidRPr="00684A34">
        <w:rPr>
          <w:lang w:val="fr-FR"/>
        </w:rPr>
        <w:t>Fingolimod Teva</w:t>
      </w:r>
      <w:r w:rsidRPr="00684A34">
        <w:rPr>
          <w:sz w:val="22"/>
          <w:lang w:val="fr-FR"/>
        </w:rPr>
        <w:t xml:space="preserve"> po to, kai gydymas buvo laikinai nutrauktas: </w:t>
      </w:r>
    </w:p>
    <w:p w:rsidR="009238EE" w:rsidRPr="00684A34" w:rsidRDefault="009238EE" w:rsidP="008D6948">
      <w:pPr>
        <w:pStyle w:val="Default"/>
        <w:rPr>
          <w:sz w:val="22"/>
          <w:lang w:val="fr-FR"/>
        </w:rPr>
      </w:pPr>
    </w:p>
    <w:p w:rsidR="009238EE" w:rsidRPr="00684A34" w:rsidRDefault="009238EE" w:rsidP="0062471E">
      <w:pPr>
        <w:spacing w:line="240" w:lineRule="auto"/>
        <w:rPr>
          <w:lang w:val="fr-FR"/>
        </w:rPr>
      </w:pPr>
      <w:r w:rsidRPr="00684A34">
        <w:rPr>
          <w:lang w:val="fr-FR"/>
        </w:rPr>
        <w:lastRenderedPageBreak/>
        <w:t xml:space="preserve">Vėl pradėjus vartoti vaistinio preparato rekomenduojamas toks pat paciento būklės stebėjimo pobūdis, kaip ir pradedant vartoti pirmąją dozę, tais atvejais, kai gydymas buvo nutrauktas: </w:t>
      </w:r>
    </w:p>
    <w:p w:rsidR="009238EE" w:rsidRPr="00684A34" w:rsidRDefault="009238EE" w:rsidP="0062471E">
      <w:pPr>
        <w:spacing w:line="240" w:lineRule="auto"/>
        <w:rPr>
          <w:lang w:val="fr-FR"/>
        </w:rPr>
      </w:pPr>
      <w:r w:rsidRPr="00684A34">
        <w:rPr>
          <w:rFonts w:ascii="Courier New" w:hAnsi="Courier New"/>
          <w:lang w:val="fr-FR"/>
        </w:rPr>
        <w:t xml:space="preserve">* </w:t>
      </w:r>
      <w:r w:rsidRPr="00684A34">
        <w:rPr>
          <w:lang w:val="fr-FR"/>
        </w:rPr>
        <w:t xml:space="preserve">vienai dienai ar ilgiau per pirmąsias 2 gydymo savaites; </w:t>
      </w:r>
    </w:p>
    <w:p w:rsidR="009238EE" w:rsidRPr="00684A34" w:rsidRDefault="009238EE" w:rsidP="0062471E">
      <w:pPr>
        <w:spacing w:line="240" w:lineRule="auto"/>
        <w:rPr>
          <w:lang w:val="fr-FR"/>
        </w:rPr>
      </w:pPr>
      <w:r w:rsidRPr="00684A34">
        <w:rPr>
          <w:rFonts w:ascii="Courier New" w:hAnsi="Courier New"/>
          <w:lang w:val="fr-FR"/>
        </w:rPr>
        <w:t xml:space="preserve">* </w:t>
      </w:r>
      <w:r w:rsidRPr="00684A34">
        <w:rPr>
          <w:lang w:val="fr-FR"/>
        </w:rPr>
        <w:t xml:space="preserve">ilgiau kaip 7 dienoms per 3-iąją ir 4-ąją gydymo savaites; </w:t>
      </w:r>
    </w:p>
    <w:p w:rsidR="009238EE" w:rsidRPr="00684A34" w:rsidRDefault="009238EE" w:rsidP="0062471E">
      <w:pPr>
        <w:spacing w:line="240" w:lineRule="auto"/>
        <w:rPr>
          <w:lang w:val="fr-FR"/>
        </w:rPr>
      </w:pPr>
      <w:r w:rsidRPr="00684A34">
        <w:rPr>
          <w:rFonts w:ascii="Courier New" w:hAnsi="Courier New"/>
          <w:lang w:val="fr-FR"/>
        </w:rPr>
        <w:t xml:space="preserve">* </w:t>
      </w:r>
      <w:r w:rsidRPr="00684A34">
        <w:rPr>
          <w:lang w:val="fr-FR"/>
        </w:rPr>
        <w:t xml:space="preserve">ilgiau kaip 2 savaitėms </w:t>
      </w:r>
      <w:r w:rsidR="00202C9E" w:rsidRPr="00684A34">
        <w:rPr>
          <w:lang w:val="fr-FR"/>
        </w:rPr>
        <w:t>ma</w:t>
      </w:r>
      <w:r w:rsidR="00202C9E" w:rsidRPr="0062647C">
        <w:rPr>
          <w:lang w:val="lt-LT"/>
        </w:rPr>
        <w:t xml:space="preserve">žiausiai </w:t>
      </w:r>
      <w:r w:rsidRPr="00684A34">
        <w:rPr>
          <w:lang w:val="fr-FR"/>
        </w:rPr>
        <w:t xml:space="preserve">po </w:t>
      </w:r>
      <w:r w:rsidR="00202C9E" w:rsidRPr="00684A34">
        <w:rPr>
          <w:lang w:val="fr-FR"/>
        </w:rPr>
        <w:t>vieno</w:t>
      </w:r>
      <w:r w:rsidRPr="00684A34">
        <w:rPr>
          <w:lang w:val="fr-FR"/>
        </w:rPr>
        <w:t xml:space="preserve"> gydymo mėnesio.</w:t>
      </w:r>
    </w:p>
    <w:p w:rsidR="009238EE" w:rsidRPr="0062647C" w:rsidRDefault="009238EE" w:rsidP="009238EE">
      <w:pPr>
        <w:pStyle w:val="Default"/>
        <w:rPr>
          <w:lang w:val="lt-LT"/>
        </w:rPr>
      </w:pPr>
    </w:p>
    <w:p w:rsidR="009238EE" w:rsidRPr="0062647C" w:rsidRDefault="009238EE" w:rsidP="008D6948">
      <w:pPr>
        <w:pStyle w:val="Default"/>
        <w:numPr>
          <w:ilvl w:val="0"/>
          <w:numId w:val="39"/>
        </w:numPr>
        <w:rPr>
          <w:sz w:val="22"/>
          <w:szCs w:val="22"/>
          <w:lang w:val="lt-LT"/>
        </w:rPr>
      </w:pPr>
      <w:r w:rsidRPr="0062647C">
        <w:rPr>
          <w:sz w:val="22"/>
          <w:szCs w:val="22"/>
          <w:lang w:val="lt-LT"/>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rsidR="009238EE" w:rsidRPr="0062647C" w:rsidRDefault="009238EE" w:rsidP="0062471E">
      <w:pPr>
        <w:pStyle w:val="Default"/>
        <w:ind w:firstLine="142"/>
        <w:rPr>
          <w:sz w:val="22"/>
          <w:szCs w:val="22"/>
          <w:lang w:val="lt-LT"/>
        </w:rPr>
      </w:pPr>
      <w:r w:rsidRPr="0062647C">
        <w:rPr>
          <w:rFonts w:ascii="Courier New" w:hAnsi="Courier New" w:cs="Courier New"/>
          <w:sz w:val="22"/>
          <w:szCs w:val="22"/>
          <w:lang w:val="lt-LT"/>
        </w:rPr>
        <w:t xml:space="preserve">* </w:t>
      </w:r>
      <w:r w:rsidRPr="0062647C">
        <w:rPr>
          <w:sz w:val="22"/>
          <w:szCs w:val="22"/>
          <w:lang w:val="lt-LT"/>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r w:rsidR="008D6948" w:rsidRPr="0062647C">
        <w:rPr>
          <w:lang w:val="lt-LT"/>
        </w:rPr>
        <w:t>Fingolimod Teva</w:t>
      </w:r>
      <w:r w:rsidRPr="0062647C">
        <w:rPr>
          <w:sz w:val="22"/>
          <w:szCs w:val="22"/>
          <w:lang w:val="lt-LT"/>
        </w:rPr>
        <w:t xml:space="preserve"> dozės vartojimo reikia kartoti visus veiksmus, kaip ir pradedant vartoti pirmąją dozę; </w:t>
      </w:r>
    </w:p>
    <w:p w:rsidR="009238EE" w:rsidRPr="0062647C" w:rsidRDefault="009238EE" w:rsidP="009238EE">
      <w:pPr>
        <w:pStyle w:val="Default"/>
        <w:ind w:firstLine="142"/>
        <w:rPr>
          <w:sz w:val="22"/>
          <w:szCs w:val="22"/>
          <w:lang w:val="lt-LT"/>
        </w:rPr>
      </w:pPr>
      <w:r w:rsidRPr="0062647C">
        <w:rPr>
          <w:rFonts w:ascii="Courier New" w:hAnsi="Courier New" w:cs="Courier New"/>
          <w:sz w:val="22"/>
          <w:szCs w:val="22"/>
          <w:lang w:val="lt-LT"/>
        </w:rPr>
        <w:t>*</w:t>
      </w:r>
      <w:r w:rsidRPr="0062647C">
        <w:rPr>
          <w:sz w:val="22"/>
          <w:szCs w:val="22"/>
          <w:lang w:val="lt-LT"/>
        </w:rPr>
        <w:t xml:space="preserve"> širdies susitraukimų dažnį matuoti toliau (mažiausiai per naktį) medicinos įstaigoje, kol simptomai išnyks, šiems pacientams: </w:t>
      </w:r>
    </w:p>
    <w:p w:rsidR="009238EE" w:rsidRPr="00684A34" w:rsidRDefault="009238EE" w:rsidP="008D6948">
      <w:pPr>
        <w:pStyle w:val="Default"/>
        <w:ind w:firstLine="567"/>
        <w:rPr>
          <w:sz w:val="22"/>
          <w:lang w:val="lt-LT"/>
        </w:rPr>
      </w:pPr>
      <w:r w:rsidRPr="00684A34">
        <w:rPr>
          <w:sz w:val="22"/>
          <w:lang w:val="lt-LT"/>
        </w:rPr>
        <w:t xml:space="preserve">* kuriems bet kuriuo metu pasireiškia trečiojo laipsnio AV blokada; </w:t>
      </w:r>
    </w:p>
    <w:p w:rsidR="009238EE" w:rsidRPr="00684A34" w:rsidRDefault="009238EE" w:rsidP="008D6948">
      <w:pPr>
        <w:pStyle w:val="Default"/>
        <w:ind w:firstLine="567"/>
        <w:rPr>
          <w:sz w:val="22"/>
          <w:lang w:val="lt-LT"/>
        </w:rPr>
      </w:pPr>
      <w:r w:rsidRPr="00684A34">
        <w:rPr>
          <w:sz w:val="22"/>
          <w:lang w:val="lt-LT"/>
        </w:rPr>
        <w:t xml:space="preserve">* kuriems 6 valandų trukmės stebėjimo laikotarpiu nustatoma: </w:t>
      </w:r>
    </w:p>
    <w:p w:rsidR="009238EE" w:rsidRPr="00684A34" w:rsidRDefault="009238EE" w:rsidP="0062471E">
      <w:pPr>
        <w:pStyle w:val="Default"/>
        <w:numPr>
          <w:ilvl w:val="0"/>
          <w:numId w:val="40"/>
        </w:numPr>
        <w:rPr>
          <w:sz w:val="22"/>
          <w:lang w:val="lt-LT"/>
        </w:rPr>
      </w:pPr>
      <w:r w:rsidRPr="00684A34">
        <w:rPr>
          <w:sz w:val="22"/>
          <w:lang w:val="lt-LT"/>
        </w:rPr>
        <w:t xml:space="preserve">širdies susitraukimų dažnis suaugusiesiems mažesnis kaip 45 kartai per minutę, 12 metų ir vyresniems vaikams yra mažesnis kaip 55 kartai per minutę, o 10-12 metų vaikams – mažesnis kaip 60 kartų per minutę, </w:t>
      </w:r>
    </w:p>
    <w:p w:rsidR="009238EE" w:rsidRPr="00684A34" w:rsidRDefault="009238EE" w:rsidP="0062471E">
      <w:pPr>
        <w:pStyle w:val="Default"/>
        <w:numPr>
          <w:ilvl w:val="0"/>
          <w:numId w:val="40"/>
        </w:numPr>
        <w:rPr>
          <w:sz w:val="22"/>
          <w:lang w:val="lt-LT"/>
        </w:rPr>
      </w:pPr>
      <w:r w:rsidRPr="00684A34">
        <w:rPr>
          <w:sz w:val="22"/>
          <w:lang w:val="lt-LT"/>
        </w:rPr>
        <w:t xml:space="preserve">naujai atsiradusi antrojo ar didesnio laipsnio AV blokada, </w:t>
      </w:r>
    </w:p>
    <w:p w:rsidR="009238EE" w:rsidRPr="0062647C" w:rsidRDefault="009238EE" w:rsidP="009238EE">
      <w:pPr>
        <w:pStyle w:val="Default"/>
        <w:numPr>
          <w:ilvl w:val="0"/>
          <w:numId w:val="40"/>
        </w:numPr>
        <w:rPr>
          <w:sz w:val="22"/>
          <w:szCs w:val="22"/>
        </w:rPr>
      </w:pPr>
      <w:r w:rsidRPr="0062647C">
        <w:rPr>
          <w:sz w:val="22"/>
          <w:szCs w:val="22"/>
        </w:rPr>
        <w:t xml:space="preserve">QTc intervalas </w:t>
      </w:r>
      <w:r w:rsidRPr="0062647C">
        <w:rPr>
          <w:sz w:val="22"/>
          <w:szCs w:val="22"/>
        </w:rPr>
        <w:t xml:space="preserve">500 ms. </w:t>
      </w:r>
    </w:p>
    <w:p w:rsidR="009238EE" w:rsidRPr="0062647C" w:rsidRDefault="009238EE" w:rsidP="008D6948">
      <w:pPr>
        <w:pStyle w:val="Default"/>
        <w:rPr>
          <w:sz w:val="22"/>
          <w:szCs w:val="22"/>
        </w:rPr>
      </w:pPr>
    </w:p>
    <w:p w:rsidR="009238EE" w:rsidRPr="002F5D9D" w:rsidRDefault="008D6948" w:rsidP="008D6948">
      <w:pPr>
        <w:pStyle w:val="Default"/>
        <w:numPr>
          <w:ilvl w:val="0"/>
          <w:numId w:val="39"/>
        </w:numPr>
        <w:rPr>
          <w:sz w:val="22"/>
          <w:szCs w:val="22"/>
          <w:lang w:val="pt-PT"/>
        </w:rPr>
      </w:pPr>
      <w:r w:rsidRPr="002F5D9D">
        <w:rPr>
          <w:sz w:val="22"/>
          <w:szCs w:val="22"/>
          <w:lang w:val="pt-PT"/>
        </w:rPr>
        <w:t>Fingolimod Teva</w:t>
      </w:r>
      <w:r w:rsidR="009238EE" w:rsidRPr="002F5D9D">
        <w:rPr>
          <w:sz w:val="22"/>
          <w:szCs w:val="22"/>
          <w:lang w:val="pt-PT"/>
        </w:rPr>
        <w:t xml:space="preserve"> draudžiama skirti pacientams, kai: </w:t>
      </w:r>
    </w:p>
    <w:p w:rsidR="009238EE" w:rsidRPr="002F5D9D" w:rsidRDefault="009238EE" w:rsidP="0062471E">
      <w:pPr>
        <w:pStyle w:val="Default"/>
        <w:ind w:firstLine="142"/>
        <w:rPr>
          <w:sz w:val="22"/>
          <w:szCs w:val="22"/>
          <w:lang w:val="pt-PT"/>
        </w:rPr>
      </w:pPr>
      <w:r w:rsidRPr="002F5D9D">
        <w:rPr>
          <w:sz w:val="22"/>
          <w:szCs w:val="22"/>
          <w:lang w:val="pt-PT"/>
        </w:rPr>
        <w:t xml:space="preserve">* nustatytas imunodeficito sindromas; </w:t>
      </w:r>
    </w:p>
    <w:p w:rsidR="009238EE" w:rsidRPr="002F5D9D" w:rsidRDefault="009238EE" w:rsidP="0062471E">
      <w:pPr>
        <w:pStyle w:val="Default"/>
        <w:ind w:firstLine="142"/>
        <w:rPr>
          <w:sz w:val="22"/>
          <w:szCs w:val="22"/>
          <w:lang w:val="pt-PT"/>
        </w:rPr>
      </w:pPr>
      <w:r w:rsidRPr="002F5D9D">
        <w:rPr>
          <w:sz w:val="22"/>
          <w:szCs w:val="22"/>
          <w:lang w:val="pt-PT"/>
        </w:rPr>
        <w:t xml:space="preserve">* 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rsidR="009238EE" w:rsidRPr="002F5D9D" w:rsidRDefault="009238EE" w:rsidP="0062471E">
      <w:pPr>
        <w:pStyle w:val="Default"/>
        <w:ind w:firstLine="142"/>
        <w:rPr>
          <w:sz w:val="22"/>
          <w:szCs w:val="22"/>
          <w:lang w:val="pt-PT"/>
        </w:rPr>
      </w:pPr>
      <w:r w:rsidRPr="002F5D9D">
        <w:rPr>
          <w:sz w:val="22"/>
          <w:szCs w:val="22"/>
          <w:lang w:val="pt-PT"/>
        </w:rPr>
        <w:t xml:space="preserve">* yra ūminė aktyvi infekcija, aktyvi lėtinė infekcija (hepatitas, tuberkuliozė); </w:t>
      </w:r>
    </w:p>
    <w:p w:rsidR="009238EE" w:rsidRPr="002F5D9D" w:rsidRDefault="009238EE" w:rsidP="0062471E">
      <w:pPr>
        <w:pStyle w:val="Default"/>
        <w:ind w:firstLine="142"/>
        <w:rPr>
          <w:sz w:val="22"/>
          <w:szCs w:val="22"/>
          <w:lang w:val="pt-PT"/>
        </w:rPr>
      </w:pPr>
      <w:r w:rsidRPr="002F5D9D">
        <w:rPr>
          <w:sz w:val="22"/>
          <w:szCs w:val="22"/>
          <w:lang w:val="pt-PT"/>
        </w:rPr>
        <w:t>* nustatyta</w:t>
      </w:r>
      <w:r w:rsidR="00202C9E" w:rsidRPr="002F5D9D">
        <w:rPr>
          <w:sz w:val="22"/>
          <w:szCs w:val="22"/>
          <w:lang w:val="pt-PT"/>
        </w:rPr>
        <w:t>s</w:t>
      </w:r>
      <w:r w:rsidRPr="002F5D9D">
        <w:rPr>
          <w:sz w:val="22"/>
          <w:szCs w:val="22"/>
          <w:lang w:val="pt-PT"/>
        </w:rPr>
        <w:t xml:space="preserve"> aktyv</w:t>
      </w:r>
      <w:r w:rsidR="00202C9E" w:rsidRPr="002F5D9D">
        <w:rPr>
          <w:sz w:val="22"/>
          <w:szCs w:val="22"/>
          <w:lang w:val="pt-PT"/>
        </w:rPr>
        <w:t>us</w:t>
      </w:r>
      <w:r w:rsidRPr="002F5D9D">
        <w:rPr>
          <w:sz w:val="22"/>
          <w:szCs w:val="22"/>
          <w:lang w:val="pt-PT"/>
        </w:rPr>
        <w:t xml:space="preserve"> vėž</w:t>
      </w:r>
      <w:r w:rsidR="00202C9E" w:rsidRPr="002F5D9D">
        <w:rPr>
          <w:sz w:val="22"/>
          <w:szCs w:val="22"/>
          <w:lang w:val="pt-PT"/>
        </w:rPr>
        <w:t>ys</w:t>
      </w:r>
      <w:r w:rsidRPr="002F5D9D">
        <w:rPr>
          <w:sz w:val="22"/>
          <w:szCs w:val="22"/>
          <w:lang w:val="pt-PT"/>
        </w:rPr>
        <w:t xml:space="preserve">; </w:t>
      </w:r>
    </w:p>
    <w:p w:rsidR="009238EE" w:rsidRPr="002F5D9D" w:rsidRDefault="009238EE" w:rsidP="0062471E">
      <w:pPr>
        <w:pStyle w:val="Default"/>
        <w:ind w:firstLine="142"/>
        <w:rPr>
          <w:sz w:val="22"/>
          <w:szCs w:val="22"/>
          <w:lang w:val="pt-PT"/>
        </w:rPr>
      </w:pPr>
      <w:r w:rsidRPr="002F5D9D">
        <w:rPr>
          <w:sz w:val="22"/>
          <w:szCs w:val="22"/>
          <w:lang w:val="pt-PT"/>
        </w:rPr>
        <w:t xml:space="preserve">* yra sunkus kepenų </w:t>
      </w:r>
      <w:r w:rsidR="00202C9E" w:rsidRPr="002F5D9D">
        <w:rPr>
          <w:sz w:val="22"/>
          <w:szCs w:val="22"/>
          <w:lang w:val="pt-PT"/>
        </w:rPr>
        <w:t>funkcijos</w:t>
      </w:r>
      <w:r w:rsidRPr="002F5D9D">
        <w:rPr>
          <w:sz w:val="22"/>
          <w:szCs w:val="22"/>
          <w:lang w:val="pt-PT"/>
        </w:rPr>
        <w:t xml:space="preserve"> sutrikimas (</w:t>
      </w:r>
      <w:r w:rsidR="00202C9E" w:rsidRPr="002F5D9D">
        <w:rPr>
          <w:sz w:val="22"/>
          <w:szCs w:val="22"/>
          <w:lang w:val="pt-PT"/>
        </w:rPr>
        <w:t xml:space="preserve">C klasės pagal </w:t>
      </w:r>
      <w:r w:rsidRPr="002F5D9D">
        <w:rPr>
          <w:sz w:val="22"/>
          <w:szCs w:val="22"/>
          <w:lang w:val="pt-PT"/>
        </w:rPr>
        <w:t xml:space="preserve">Child-Pug); </w:t>
      </w:r>
    </w:p>
    <w:p w:rsidR="009238EE" w:rsidRPr="002F5D9D" w:rsidRDefault="009238EE" w:rsidP="0062471E">
      <w:pPr>
        <w:spacing w:line="240" w:lineRule="auto"/>
        <w:ind w:firstLine="142"/>
        <w:rPr>
          <w:lang w:val="pt-PT"/>
        </w:rPr>
      </w:pPr>
      <w:r w:rsidRPr="002F5D9D">
        <w:rPr>
          <w:lang w:val="pt-PT"/>
        </w:rPr>
        <w:t xml:space="preserve">* per pastaruosius 6 mėnesius nustatytas miokardo infarktas (MI), nestabili krūtinės angina, insultas/praeinantis smegenų išemijos priepuolis (PSIP), dekompensuotas širdies nepakankamumas (reikalaujantis stacionaraus gydymo) arba Niujorko širdies asociacijos (NYHA) funkcinio pajėgumo III/IV funkcinės klasės širdies nepakankamumas; </w:t>
      </w:r>
    </w:p>
    <w:p w:rsidR="009238EE" w:rsidRPr="002F5D9D" w:rsidRDefault="009238EE" w:rsidP="0062471E">
      <w:pPr>
        <w:pStyle w:val="Default"/>
        <w:ind w:firstLine="142"/>
        <w:rPr>
          <w:sz w:val="22"/>
          <w:szCs w:val="22"/>
          <w:lang w:val="pt-PT"/>
        </w:rPr>
      </w:pPr>
      <w:r w:rsidRPr="002F5D9D">
        <w:rPr>
          <w:sz w:val="22"/>
          <w:szCs w:val="22"/>
          <w:lang w:val="pt-PT"/>
        </w:rPr>
        <w:t xml:space="preserve">* yra sunki širdies aritmija, kai reikalingas antiaritminis gydymas Ia klasės ar III klasės antiaritminiais vaistiniais preparatais; </w:t>
      </w:r>
    </w:p>
    <w:p w:rsidR="009238EE" w:rsidRPr="002F5D9D" w:rsidRDefault="009238EE" w:rsidP="0062471E">
      <w:pPr>
        <w:pStyle w:val="Default"/>
        <w:ind w:firstLine="142"/>
        <w:rPr>
          <w:sz w:val="22"/>
          <w:szCs w:val="22"/>
          <w:lang w:val="pt-PT"/>
        </w:rPr>
      </w:pPr>
      <w:r w:rsidRPr="002F5D9D">
        <w:rPr>
          <w:sz w:val="22"/>
          <w:szCs w:val="22"/>
          <w:lang w:val="pt-PT"/>
        </w:rPr>
        <w:t xml:space="preserve">* yra antrojo laipsnio Mobitz II tipo atrioventrikulinė (AV) blokada ar trečiojo laipsnio AV blokada, arba sinusinio mazgo silpnumo sindromas, jei jie nenaudoja širdies stimuliatoriaus; </w:t>
      </w:r>
    </w:p>
    <w:p w:rsidR="009238EE" w:rsidRPr="002F5D9D" w:rsidRDefault="009238EE" w:rsidP="0062471E">
      <w:pPr>
        <w:pStyle w:val="Default"/>
        <w:ind w:firstLine="142"/>
        <w:rPr>
          <w:sz w:val="22"/>
          <w:szCs w:val="22"/>
          <w:lang w:val="pt-PT"/>
        </w:rPr>
      </w:pPr>
      <w:r w:rsidRPr="002F5D9D">
        <w:rPr>
          <w:sz w:val="22"/>
          <w:szCs w:val="22"/>
          <w:lang w:val="pt-PT"/>
        </w:rPr>
        <w:t xml:space="preserve">* pradinis QTc intervalas yra ≥500 ms; </w:t>
      </w:r>
    </w:p>
    <w:p w:rsidR="009238EE" w:rsidRPr="002F5D9D" w:rsidRDefault="009238EE" w:rsidP="0062471E">
      <w:pPr>
        <w:pStyle w:val="Default"/>
        <w:ind w:firstLine="142"/>
        <w:rPr>
          <w:sz w:val="22"/>
          <w:szCs w:val="22"/>
          <w:lang w:val="pt-PT"/>
        </w:rPr>
      </w:pPr>
      <w:r w:rsidRPr="002F5D9D">
        <w:rPr>
          <w:sz w:val="22"/>
          <w:szCs w:val="22"/>
          <w:lang w:val="pt-PT"/>
        </w:rPr>
        <w:t>* nėštumo metu ir vaisingo</w:t>
      </w:r>
      <w:r w:rsidR="00202C9E" w:rsidRPr="002F5D9D">
        <w:rPr>
          <w:sz w:val="22"/>
          <w:szCs w:val="22"/>
          <w:lang w:val="pt-PT"/>
        </w:rPr>
        <w:t>ms</w:t>
      </w:r>
      <w:r w:rsidRPr="002F5D9D">
        <w:rPr>
          <w:sz w:val="22"/>
          <w:szCs w:val="22"/>
          <w:lang w:val="pt-PT"/>
        </w:rPr>
        <w:t xml:space="preserve"> moterims, nenaudojančioms veiksmingos kontracepcijos; </w:t>
      </w:r>
    </w:p>
    <w:p w:rsidR="009238EE" w:rsidRPr="002F5D9D" w:rsidRDefault="009238EE" w:rsidP="009238EE">
      <w:pPr>
        <w:pStyle w:val="Default"/>
        <w:ind w:firstLine="142"/>
        <w:rPr>
          <w:sz w:val="22"/>
          <w:szCs w:val="22"/>
          <w:lang w:val="pt-PT"/>
        </w:rPr>
      </w:pPr>
      <w:r w:rsidRPr="002F5D9D">
        <w:rPr>
          <w:sz w:val="22"/>
          <w:szCs w:val="22"/>
          <w:lang w:val="pt-PT"/>
        </w:rPr>
        <w:t xml:space="preserve">* yra padidėjęs jautrumas veikliajai arba bet kuriai pagalbinei medžiagai. </w:t>
      </w:r>
    </w:p>
    <w:p w:rsidR="009238EE" w:rsidRPr="002F5D9D" w:rsidRDefault="009238EE" w:rsidP="008D6948">
      <w:pPr>
        <w:pStyle w:val="Default"/>
        <w:rPr>
          <w:rFonts w:ascii="Courier New" w:hAnsi="Courier New" w:cs="Courier New"/>
          <w:sz w:val="22"/>
          <w:szCs w:val="22"/>
          <w:lang w:val="pt-PT"/>
        </w:rPr>
      </w:pPr>
    </w:p>
    <w:p w:rsidR="009238EE" w:rsidRPr="002F5D9D" w:rsidRDefault="008D6948" w:rsidP="008D6948">
      <w:pPr>
        <w:pStyle w:val="Default"/>
        <w:numPr>
          <w:ilvl w:val="0"/>
          <w:numId w:val="39"/>
        </w:numPr>
        <w:rPr>
          <w:sz w:val="22"/>
          <w:szCs w:val="22"/>
          <w:lang w:val="pt-PT"/>
        </w:rPr>
      </w:pPr>
      <w:r w:rsidRPr="002F5D9D">
        <w:rPr>
          <w:sz w:val="22"/>
          <w:szCs w:val="22"/>
          <w:lang w:val="pt-PT"/>
        </w:rPr>
        <w:t>Fingolimod Teva</w:t>
      </w:r>
      <w:r w:rsidR="009238EE" w:rsidRPr="002F5D9D">
        <w:rPr>
          <w:sz w:val="22"/>
          <w:szCs w:val="22"/>
          <w:lang w:val="pt-PT"/>
        </w:rPr>
        <w:t xml:space="preserve"> nerekomenduojama skirti pacientams, kuriems: </w:t>
      </w:r>
    </w:p>
    <w:p w:rsidR="009238EE" w:rsidRPr="002F5D9D" w:rsidRDefault="009238EE" w:rsidP="0062471E">
      <w:pPr>
        <w:pStyle w:val="Default"/>
        <w:ind w:firstLine="142"/>
        <w:rPr>
          <w:sz w:val="22"/>
          <w:szCs w:val="22"/>
          <w:lang w:val="pt-PT"/>
        </w:rPr>
      </w:pPr>
      <w:r w:rsidRPr="002F5D9D">
        <w:rPr>
          <w:sz w:val="22"/>
          <w:szCs w:val="22"/>
          <w:lang w:val="pt-PT"/>
        </w:rPr>
        <w:t xml:space="preserve">* yra sinoatrialinio laidumo blokada; </w:t>
      </w:r>
    </w:p>
    <w:p w:rsidR="009238EE" w:rsidRPr="002F5D9D" w:rsidRDefault="009238EE" w:rsidP="0062471E">
      <w:pPr>
        <w:pStyle w:val="Default"/>
        <w:ind w:firstLine="142"/>
        <w:rPr>
          <w:sz w:val="22"/>
          <w:szCs w:val="22"/>
          <w:lang w:val="pt-PT"/>
        </w:rPr>
      </w:pPr>
      <w:r w:rsidRPr="002F5D9D">
        <w:rPr>
          <w:sz w:val="22"/>
          <w:szCs w:val="22"/>
          <w:lang w:val="pt-PT"/>
        </w:rPr>
        <w:t xml:space="preserve">* pailgėjęs QTc intervalas &gt;470 ms (suaugusioms moterims), &gt;460 ms (mergaitėms ir paauglėms) arba  &gt;450 ms (suaugusiems vyrams, berniukams ir paaugliams); </w:t>
      </w:r>
    </w:p>
    <w:p w:rsidR="009238EE" w:rsidRPr="002F5D9D" w:rsidRDefault="009238EE" w:rsidP="0062471E">
      <w:pPr>
        <w:pStyle w:val="Default"/>
        <w:ind w:firstLine="142"/>
        <w:rPr>
          <w:sz w:val="22"/>
          <w:szCs w:val="22"/>
          <w:lang w:val="pt-PT"/>
        </w:rPr>
      </w:pPr>
      <w:r w:rsidRPr="002F5D9D">
        <w:rPr>
          <w:sz w:val="22"/>
          <w:szCs w:val="22"/>
          <w:lang w:val="pt-PT"/>
        </w:rPr>
        <w:t xml:space="preserve">* anksčiau buvo sustojusi širdis; </w:t>
      </w:r>
    </w:p>
    <w:p w:rsidR="009238EE" w:rsidRPr="002F5D9D" w:rsidRDefault="009238EE" w:rsidP="0062471E">
      <w:pPr>
        <w:pStyle w:val="Default"/>
        <w:ind w:firstLine="142"/>
        <w:rPr>
          <w:sz w:val="22"/>
          <w:szCs w:val="22"/>
          <w:lang w:val="pt-PT"/>
        </w:rPr>
      </w:pPr>
      <w:r w:rsidRPr="002F5D9D">
        <w:rPr>
          <w:sz w:val="22"/>
          <w:szCs w:val="22"/>
          <w:lang w:val="pt-PT"/>
        </w:rPr>
        <w:t xml:space="preserve">* yra sunki miego apnėja; </w:t>
      </w:r>
    </w:p>
    <w:p w:rsidR="009238EE" w:rsidRPr="002F5D9D" w:rsidRDefault="009238EE" w:rsidP="0062471E">
      <w:pPr>
        <w:pStyle w:val="Default"/>
        <w:ind w:firstLine="142"/>
        <w:rPr>
          <w:sz w:val="22"/>
          <w:szCs w:val="22"/>
          <w:lang w:val="pt-PT"/>
        </w:rPr>
      </w:pPr>
      <w:r w:rsidRPr="002F5D9D">
        <w:rPr>
          <w:sz w:val="22"/>
          <w:szCs w:val="22"/>
          <w:lang w:val="pt-PT"/>
        </w:rPr>
        <w:t xml:space="preserve">* anksčiau buvo simptomus sukėlusi bradikardija; </w:t>
      </w:r>
    </w:p>
    <w:p w:rsidR="009238EE" w:rsidRPr="002F5D9D" w:rsidRDefault="009238EE" w:rsidP="0062471E">
      <w:pPr>
        <w:pStyle w:val="Default"/>
        <w:ind w:firstLine="142"/>
        <w:rPr>
          <w:sz w:val="22"/>
          <w:szCs w:val="22"/>
          <w:lang w:val="pt-PT"/>
        </w:rPr>
      </w:pPr>
      <w:r w:rsidRPr="002F5D9D">
        <w:rPr>
          <w:sz w:val="22"/>
          <w:szCs w:val="22"/>
          <w:lang w:val="pt-PT"/>
        </w:rPr>
        <w:t xml:space="preserve">* anksčiau buvo pasikartojančios sinkopės; </w:t>
      </w:r>
    </w:p>
    <w:p w:rsidR="009238EE" w:rsidRPr="002F5D9D" w:rsidRDefault="009238EE" w:rsidP="009238EE">
      <w:pPr>
        <w:pStyle w:val="Default"/>
        <w:ind w:firstLine="142"/>
        <w:rPr>
          <w:sz w:val="22"/>
          <w:szCs w:val="22"/>
          <w:lang w:val="pt-PT"/>
        </w:rPr>
      </w:pPr>
      <w:r w:rsidRPr="002F5D9D">
        <w:rPr>
          <w:sz w:val="22"/>
          <w:szCs w:val="22"/>
          <w:lang w:val="pt-PT"/>
        </w:rPr>
        <w:t xml:space="preserve">* yra nekontroliuojama hipertenzija. </w:t>
      </w:r>
    </w:p>
    <w:p w:rsidR="009238EE" w:rsidRPr="002F5D9D" w:rsidRDefault="009238EE" w:rsidP="0062471E">
      <w:pPr>
        <w:spacing w:line="240" w:lineRule="auto"/>
        <w:rPr>
          <w:lang w:val="pt-PT"/>
        </w:rPr>
      </w:pPr>
    </w:p>
    <w:p w:rsidR="009238EE" w:rsidRPr="0062647C" w:rsidRDefault="009238EE" w:rsidP="009238EE">
      <w:pPr>
        <w:pStyle w:val="Default"/>
        <w:rPr>
          <w:sz w:val="22"/>
          <w:szCs w:val="22"/>
          <w:lang w:val="lt-LT"/>
        </w:rPr>
      </w:pPr>
      <w:r w:rsidRPr="0062647C">
        <w:rPr>
          <w:sz w:val="22"/>
          <w:szCs w:val="22"/>
          <w:lang w:val="lt-LT"/>
        </w:rPr>
        <w:lastRenderedPageBreak/>
        <w:t xml:space="preserve">Jeigu svarstoma skirti gydymą </w:t>
      </w:r>
      <w:r w:rsidR="008D6948" w:rsidRPr="0062647C">
        <w:rPr>
          <w:sz w:val="22"/>
          <w:szCs w:val="22"/>
          <w:lang w:val="lt-LT"/>
        </w:rPr>
        <w:t>Fingolimod Teva</w:t>
      </w:r>
      <w:r w:rsidRPr="0062647C">
        <w:rPr>
          <w:sz w:val="22"/>
          <w:szCs w:val="22"/>
          <w:lang w:val="lt-LT"/>
        </w:rPr>
        <w:t xml:space="preserve"> šiems pacientams, laukiama nauda turi viršyti galimą riziką, reikia pasikonsultuoti su kardiologu dėl tinkamų būklės stebėjimo priemonių, taip pat pacientų būklę rekomenduojama stebėti mažiausiai per naktį.</w:t>
      </w:r>
    </w:p>
    <w:p w:rsidR="009238EE" w:rsidRPr="0062647C" w:rsidRDefault="008D6948" w:rsidP="008D6948">
      <w:pPr>
        <w:pStyle w:val="Sraopastraipa"/>
        <w:widowControl w:val="0"/>
        <w:numPr>
          <w:ilvl w:val="0"/>
          <w:numId w:val="39"/>
        </w:numPr>
        <w:autoSpaceDE w:val="0"/>
        <w:autoSpaceDN w:val="0"/>
        <w:adjustRightInd w:val="0"/>
        <w:spacing w:after="0" w:line="240" w:lineRule="auto"/>
        <w:contextualSpacing w:val="0"/>
        <w:rPr>
          <w:rFonts w:ascii="Times New Roman" w:hAnsi="Times New Roman"/>
        </w:rPr>
      </w:pPr>
      <w:r w:rsidRPr="0062647C">
        <w:rPr>
          <w:rFonts w:ascii="Times New Roman" w:hAnsi="Times New Roman"/>
        </w:rPr>
        <w:t>Fingolimod Teva</w:t>
      </w:r>
      <w:r w:rsidR="009238EE" w:rsidRPr="0062647C">
        <w:rPr>
          <w:rFonts w:ascii="Times New Roman" w:hAnsi="Times New Roman"/>
        </w:rPr>
        <w:t xml:space="preserve"> nerekomenduojama skirti pacientams, kurie kartu vartoja širdies susitraukimų dažnį mažinančių vaistinių preparatų. Jeigu svarstoma skirti gydymą </w:t>
      </w:r>
      <w:r w:rsidRPr="0062647C">
        <w:rPr>
          <w:rFonts w:ascii="Times New Roman" w:hAnsi="Times New Roman"/>
        </w:rPr>
        <w:t>Fingolimod Teva</w:t>
      </w:r>
      <w:r w:rsidR="009238EE" w:rsidRPr="0062647C">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naktį. </w:t>
      </w:r>
    </w:p>
    <w:p w:rsidR="009238EE" w:rsidRPr="0062647C" w:rsidRDefault="009238EE" w:rsidP="008D6948">
      <w:pPr>
        <w:pStyle w:val="Default"/>
        <w:rPr>
          <w:sz w:val="22"/>
          <w:szCs w:val="22"/>
          <w:lang w:val="lt-LT"/>
        </w:rPr>
      </w:pPr>
    </w:p>
    <w:p w:rsidR="009238EE" w:rsidRPr="0062647C" w:rsidRDefault="008D6948" w:rsidP="008D6948">
      <w:pPr>
        <w:pStyle w:val="Default"/>
        <w:numPr>
          <w:ilvl w:val="0"/>
          <w:numId w:val="39"/>
        </w:numPr>
        <w:rPr>
          <w:sz w:val="22"/>
          <w:szCs w:val="22"/>
        </w:rPr>
      </w:pPr>
      <w:r w:rsidRPr="00684A34">
        <w:rPr>
          <w:sz w:val="22"/>
          <w:lang w:val="lt-LT"/>
        </w:rPr>
        <w:t>Fingolimod Teva</w:t>
      </w:r>
      <w:r w:rsidR="009238EE" w:rsidRPr="00684A34">
        <w:rPr>
          <w:sz w:val="22"/>
          <w:lang w:val="lt-LT"/>
        </w:rPr>
        <w:t xml:space="preserve"> mažina limfocitų skaičių periferiniame kraujyje. Limfocitų skaičių periferiniame kraujyje reikia nustatyti visiems pacientams prieš pradedant skirti vaistinio preparato (per paskutiniuosius 6 mėnesius arba nutraukus ankstesnį gydymą) ir vėliau stebėti gydymo </w:t>
      </w:r>
      <w:r w:rsidRPr="00684A34">
        <w:rPr>
          <w:sz w:val="22"/>
          <w:lang w:val="lt-LT"/>
        </w:rPr>
        <w:t>Fingolimod Teva</w:t>
      </w:r>
      <w:r w:rsidR="009238EE" w:rsidRPr="00684A34">
        <w:rPr>
          <w:sz w:val="22"/>
          <w:lang w:val="lt-LT"/>
        </w:rPr>
        <w:t xml:space="preserve"> metu. Jeigu pakartotinai tiriant nustatoma, kad limfocitų skaičius yra &lt;0,2 x 109/l, gydymą reikia laikinai nutraukti. Atnaujinant gydymą </w:t>
      </w:r>
      <w:r w:rsidRPr="00684A34">
        <w:rPr>
          <w:sz w:val="22"/>
          <w:lang w:val="lt-LT"/>
        </w:rPr>
        <w:t>Fingolimod Teva</w:t>
      </w:r>
      <w:r w:rsidR="009238EE" w:rsidRPr="00684A34">
        <w:rPr>
          <w:sz w:val="22"/>
          <w:lang w:val="lt-LT"/>
        </w:rPr>
        <w:t xml:space="preserve"> reikia skirti patvirtintas dozes po 0,5 mg kartą per parą (arba po 0,25 mg kartą per parą 10 metų ir vyresniems vaikams, kurių kūno svoris yra </w:t>
      </w:r>
      <w:r w:rsidR="009238EE" w:rsidRPr="00684A34">
        <w:rPr>
          <w:rFonts w:hint="eastAsia"/>
          <w:sz w:val="22"/>
          <w:lang w:val="lt-LT"/>
        </w:rPr>
        <w:t>≤</w:t>
      </w:r>
      <w:r w:rsidR="009238EE" w:rsidRPr="00684A34">
        <w:rPr>
          <w:sz w:val="22"/>
          <w:lang w:val="lt-LT"/>
        </w:rPr>
        <w:t xml:space="preserve"> 40 kg). </w:t>
      </w:r>
      <w:r w:rsidR="009238EE" w:rsidRPr="0062647C">
        <w:rPr>
          <w:sz w:val="22"/>
          <w:szCs w:val="22"/>
        </w:rPr>
        <w:t xml:space="preserve">Kitos dozavimo schemos nėra registruotos. </w:t>
      </w:r>
    </w:p>
    <w:p w:rsidR="009238EE" w:rsidRPr="0062647C" w:rsidRDefault="009238EE" w:rsidP="008D6948">
      <w:pPr>
        <w:pStyle w:val="Default"/>
        <w:rPr>
          <w:sz w:val="22"/>
          <w:szCs w:val="22"/>
        </w:rPr>
      </w:pPr>
    </w:p>
    <w:p w:rsidR="009238EE" w:rsidRPr="0062647C" w:rsidRDefault="008D6948" w:rsidP="008D6948">
      <w:pPr>
        <w:pStyle w:val="Default"/>
        <w:numPr>
          <w:ilvl w:val="0"/>
          <w:numId w:val="39"/>
        </w:numPr>
        <w:rPr>
          <w:sz w:val="22"/>
          <w:szCs w:val="22"/>
        </w:rPr>
      </w:pPr>
      <w:r w:rsidRPr="0062647C">
        <w:rPr>
          <w:sz w:val="22"/>
          <w:szCs w:val="22"/>
        </w:rPr>
        <w:t>Fingolimod Teva</w:t>
      </w:r>
      <w:r w:rsidR="009238EE" w:rsidRPr="0062647C">
        <w:rPr>
          <w:sz w:val="22"/>
          <w:szCs w:val="22"/>
        </w:rPr>
        <w:t xml:space="preserve"> sukelia imunosupresinį poveikį, dėl kurio atsiranda infekcijos pavojus pacientams, įskaitant oportunistines infekcijas, kurios gali būti mirtinos, ir padidina limfomų (įskaitant </w:t>
      </w:r>
      <w:r w:rsidR="009238EE" w:rsidRPr="0062647C">
        <w:rPr>
          <w:i/>
          <w:iCs/>
          <w:sz w:val="22"/>
          <w:szCs w:val="22"/>
        </w:rPr>
        <w:t>mycosis fungoides</w:t>
      </w:r>
      <w:r w:rsidR="009238EE" w:rsidRPr="0062647C">
        <w:rPr>
          <w:sz w:val="22"/>
          <w:szCs w:val="22"/>
        </w:rPr>
        <w:t xml:space="preserve">) bei kitų piktybinių navikų, ypač odos, išsivystymo riziką. Pacientų priežiūra turi apimti ištyrimą tiek dėl piktybinių odos navikų, tiek ir dėl </w:t>
      </w:r>
      <w:r w:rsidR="009238EE" w:rsidRPr="0062647C">
        <w:rPr>
          <w:i/>
          <w:iCs/>
          <w:sz w:val="22"/>
          <w:szCs w:val="22"/>
        </w:rPr>
        <w:t>mycosis fungoides</w:t>
      </w:r>
      <w:r w:rsidR="009238EE" w:rsidRPr="0062647C">
        <w:rPr>
          <w:sz w:val="22"/>
          <w:szCs w:val="22"/>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rsidR="009238EE" w:rsidRPr="0062647C" w:rsidRDefault="009238EE" w:rsidP="0090204C">
      <w:pPr>
        <w:pStyle w:val="Default"/>
        <w:ind w:firstLine="502"/>
        <w:rPr>
          <w:sz w:val="22"/>
          <w:szCs w:val="22"/>
        </w:rPr>
      </w:pPr>
      <w:r w:rsidRPr="0062647C">
        <w:rPr>
          <w:sz w:val="22"/>
          <w:szCs w:val="22"/>
        </w:rPr>
        <w:t xml:space="preserve">* Pacientams, kuriems pasireiškia ūminė aktyvi infekcija, reikia atidėti vaistinio preparato vartojimo pradžią iki infekcijos simptomų išnykimo. Reikia apsvarstyti laikino gydymo nutraukimo galimybę, pasireiškus sunkiai infekcijai. Kartu vartoti priešvėžinių, imuninę sistemą moduliuojančių ar ją slopinančių vaistinių preparatų negalima dėl adityvaus poveikio imuninei sistemai rizikos. Dėl tos pačios priežasties sprendimas paskirti ilgalaikį gydymą </w:t>
      </w:r>
      <w:r w:rsidR="000A0F70" w:rsidRPr="0062647C">
        <w:rPr>
          <w:sz w:val="22"/>
          <w:szCs w:val="22"/>
          <w:lang w:val="lt-LT"/>
        </w:rPr>
        <w:t xml:space="preserve">derinant su </w:t>
      </w:r>
      <w:r w:rsidRPr="0062647C">
        <w:rPr>
          <w:sz w:val="22"/>
          <w:szCs w:val="22"/>
        </w:rPr>
        <w:t xml:space="preserve">kortikosteroidais turi būti priimtas tik atidžiai apsvarsčius. </w:t>
      </w:r>
    </w:p>
    <w:p w:rsidR="009238EE" w:rsidRPr="002F5D9D" w:rsidRDefault="009238EE" w:rsidP="0090204C">
      <w:pPr>
        <w:pStyle w:val="Default"/>
        <w:ind w:firstLine="502"/>
        <w:rPr>
          <w:sz w:val="22"/>
          <w:szCs w:val="22"/>
          <w:lang w:val="pt-PT"/>
        </w:rPr>
      </w:pPr>
      <w:r w:rsidRPr="0062647C">
        <w:rPr>
          <w:sz w:val="22"/>
          <w:szCs w:val="22"/>
        </w:rPr>
        <w:t>* Rekomenduojama stebėti odos pakitimus dėl galimo pamatinių</w:t>
      </w:r>
      <w:r w:rsidR="000A0F70" w:rsidRPr="0062647C">
        <w:rPr>
          <w:sz w:val="22"/>
          <w:szCs w:val="22"/>
        </w:rPr>
        <w:t xml:space="preserve"> (bazalinių)</w:t>
      </w:r>
      <w:r w:rsidRPr="0062647C">
        <w:rPr>
          <w:sz w:val="22"/>
          <w:szCs w:val="22"/>
        </w:rPr>
        <w:t xml:space="preserve"> ląstelių karcinomos ir kitų odos navikų, įskaitant piktybinę melanomą, plokščiųjų ląstelių karcinomą, Kapoši sarkomą ir Merkel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w:t>
      </w:r>
      <w:r w:rsidRPr="002F5D9D">
        <w:rPr>
          <w:sz w:val="22"/>
          <w:szCs w:val="22"/>
          <w:lang w:val="pt-PT"/>
        </w:rPr>
        <w:t xml:space="preserve">Šiems pacientams kartu negalima skirti fototerapijos su UV-B spinduliais arba PUVA fotochemoterapijos. </w:t>
      </w:r>
    </w:p>
    <w:p w:rsidR="009238EE" w:rsidRPr="002F5D9D" w:rsidRDefault="009238EE" w:rsidP="00202C9E">
      <w:pPr>
        <w:pStyle w:val="Default"/>
        <w:ind w:left="502"/>
        <w:rPr>
          <w:sz w:val="22"/>
          <w:szCs w:val="22"/>
          <w:lang w:val="pt-PT"/>
        </w:rPr>
      </w:pPr>
    </w:p>
    <w:p w:rsidR="00373A97" w:rsidRPr="002F5D9D" w:rsidRDefault="009238EE" w:rsidP="000A0F70">
      <w:pPr>
        <w:pStyle w:val="Default"/>
        <w:numPr>
          <w:ilvl w:val="0"/>
          <w:numId w:val="39"/>
        </w:numPr>
        <w:rPr>
          <w:sz w:val="22"/>
          <w:szCs w:val="22"/>
          <w:lang w:val="pt-PT"/>
        </w:rPr>
      </w:pPr>
      <w:r w:rsidRPr="002F5D9D">
        <w:rPr>
          <w:sz w:val="22"/>
          <w:szCs w:val="22"/>
          <w:lang w:val="pt-PT"/>
        </w:rPr>
        <w:t>Pacientams reikia nurodyti nedelsiant pranešti vaistinio prepa</w:t>
      </w:r>
      <w:r w:rsidR="00373A97" w:rsidRPr="002F5D9D">
        <w:rPr>
          <w:sz w:val="22"/>
          <w:szCs w:val="22"/>
          <w:lang w:val="pt-PT"/>
        </w:rPr>
        <w:t xml:space="preserve">rato išrašiusiam gydytojui apie </w:t>
      </w:r>
    </w:p>
    <w:p w:rsidR="009238EE" w:rsidRPr="002F5D9D" w:rsidRDefault="009238EE" w:rsidP="0062471E">
      <w:pPr>
        <w:pStyle w:val="Default"/>
        <w:rPr>
          <w:sz w:val="22"/>
          <w:szCs w:val="22"/>
          <w:lang w:val="pt-PT"/>
        </w:rPr>
      </w:pPr>
      <w:r w:rsidRPr="002F5D9D">
        <w:rPr>
          <w:sz w:val="22"/>
          <w:szCs w:val="22"/>
          <w:lang w:val="pt-PT"/>
        </w:rPr>
        <w:t xml:space="preserve">pasireiškusius infekcijų požymius ar simptomus </w:t>
      </w:r>
      <w:r w:rsidR="008D6948" w:rsidRPr="002F5D9D">
        <w:rPr>
          <w:sz w:val="22"/>
          <w:szCs w:val="22"/>
          <w:lang w:val="pt-PT"/>
        </w:rPr>
        <w:t>Fingolimod Teva</w:t>
      </w:r>
      <w:r w:rsidRPr="002F5D9D">
        <w:rPr>
          <w:sz w:val="22"/>
          <w:szCs w:val="22"/>
          <w:lang w:val="pt-PT"/>
        </w:rPr>
        <w:t xml:space="preserve"> vartojimo metu ir dar iki dviejų mėnesių nuo gydymo pabaigos. </w:t>
      </w:r>
    </w:p>
    <w:p w:rsidR="009238EE" w:rsidRPr="002F5D9D" w:rsidRDefault="009238EE" w:rsidP="00373A97">
      <w:pPr>
        <w:pStyle w:val="Default"/>
        <w:ind w:firstLine="502"/>
        <w:rPr>
          <w:sz w:val="22"/>
          <w:szCs w:val="22"/>
          <w:lang w:val="pt-PT"/>
        </w:rPr>
      </w:pPr>
      <w:r w:rsidRPr="002F5D9D">
        <w:rPr>
          <w:sz w:val="22"/>
          <w:szCs w:val="22"/>
          <w:lang w:val="pt-PT"/>
        </w:rPr>
        <w:t xml:space="preserve">* Pacientams, kurių ligos simptomai ir požymiai atitinka kriptokokų sukelto meningito, turėtų būti atliktas greitas diagnostinis įvertinimas; jeigu nustatoma ši liga, reikia paskirti tinkamą gydymą. </w:t>
      </w:r>
    </w:p>
    <w:p w:rsidR="009238EE" w:rsidRPr="002F5D9D" w:rsidRDefault="009238EE" w:rsidP="0090204C">
      <w:pPr>
        <w:pStyle w:val="Default"/>
        <w:rPr>
          <w:sz w:val="22"/>
          <w:szCs w:val="22"/>
          <w:lang w:val="pt-PT"/>
        </w:rPr>
      </w:pPr>
      <w:r w:rsidRPr="002F5D9D">
        <w:rPr>
          <w:sz w:val="22"/>
          <w:szCs w:val="22"/>
          <w:lang w:val="pt-PT"/>
        </w:rPr>
        <w:t xml:space="preserve">Gauta pranešimų apie kriptokokų sukelto meningito atvejus, kartais mirtinus, pasireiškusius praėjus maždaug 2-3 metams nuo gydymo pradžios, nors tikslus priežastinis ryšys su gydymo trukme nežinomas. </w:t>
      </w:r>
    </w:p>
    <w:p w:rsidR="009238EE" w:rsidRPr="002F5D9D" w:rsidRDefault="009238EE" w:rsidP="0090204C">
      <w:pPr>
        <w:pStyle w:val="Default"/>
        <w:ind w:firstLine="567"/>
        <w:rPr>
          <w:sz w:val="22"/>
          <w:szCs w:val="22"/>
          <w:lang w:val="pt-PT"/>
        </w:rPr>
      </w:pPr>
      <w:r w:rsidRPr="002F5D9D">
        <w:rPr>
          <w:sz w:val="22"/>
          <w:szCs w:val="22"/>
          <w:lang w:val="pt-PT"/>
        </w:rPr>
        <w:t xml:space="preserve">* Gydytojai turi būti budrūs dėl klinikinių </w:t>
      </w:r>
      <w:r w:rsidR="000A0F70" w:rsidRPr="0062647C">
        <w:rPr>
          <w:sz w:val="22"/>
          <w:szCs w:val="22"/>
          <w:lang w:val="lt-LT"/>
        </w:rPr>
        <w:t xml:space="preserve">progresuojančios daugiažidinės leukoencefalopatijos </w:t>
      </w:r>
      <w:r w:rsidRPr="002F5D9D">
        <w:rPr>
          <w:sz w:val="22"/>
          <w:szCs w:val="22"/>
          <w:lang w:val="pt-PT"/>
        </w:rPr>
        <w:t>PDL simptomų pasireiškimo ar</w:t>
      </w:r>
      <w:r w:rsidR="000A0F70" w:rsidRPr="0062647C">
        <w:rPr>
          <w:rFonts w:eastAsia="Times New Roman"/>
          <w:color w:val="auto"/>
          <w:lang w:val="lt-LT" w:eastAsia="en-GB"/>
        </w:rPr>
        <w:t xml:space="preserve"> </w:t>
      </w:r>
      <w:r w:rsidR="000A0F70" w:rsidRPr="0062647C">
        <w:rPr>
          <w:sz w:val="22"/>
          <w:szCs w:val="22"/>
          <w:lang w:val="lt-LT"/>
        </w:rPr>
        <w:t>magnetinio rezonanso tyrimo</w:t>
      </w:r>
      <w:r w:rsidRPr="002F5D9D">
        <w:rPr>
          <w:sz w:val="22"/>
          <w:szCs w:val="22"/>
          <w:lang w:val="pt-PT"/>
        </w:rPr>
        <w:t xml:space="preserve"> </w:t>
      </w:r>
      <w:r w:rsidR="000A0F70" w:rsidRPr="002F5D9D">
        <w:rPr>
          <w:sz w:val="22"/>
          <w:szCs w:val="22"/>
          <w:lang w:val="pt-PT"/>
        </w:rPr>
        <w:t>(</w:t>
      </w:r>
      <w:r w:rsidRPr="002F5D9D">
        <w:rPr>
          <w:sz w:val="22"/>
          <w:szCs w:val="22"/>
          <w:lang w:val="pt-PT"/>
        </w:rPr>
        <w:t>MRT</w:t>
      </w:r>
      <w:r w:rsidR="000A0F70" w:rsidRPr="002F5D9D">
        <w:rPr>
          <w:sz w:val="22"/>
          <w:szCs w:val="22"/>
          <w:lang w:val="pt-PT"/>
        </w:rPr>
        <w:t>)</w:t>
      </w:r>
      <w:r w:rsidRPr="002F5D9D">
        <w:rPr>
          <w:sz w:val="22"/>
          <w:szCs w:val="22"/>
          <w:lang w:val="pt-PT"/>
        </w:rPr>
        <w:t xml:space="preserve"> būdingų pokyčių. Jeigu įtariamas PDL pasireiškimas, gydymą </w:t>
      </w:r>
      <w:r w:rsidR="008D6948" w:rsidRPr="002F5D9D">
        <w:rPr>
          <w:sz w:val="22"/>
          <w:szCs w:val="22"/>
          <w:lang w:val="pt-PT"/>
        </w:rPr>
        <w:t>Fingolimod Teva</w:t>
      </w:r>
      <w:r w:rsidRPr="002F5D9D">
        <w:rPr>
          <w:sz w:val="22"/>
          <w:szCs w:val="22"/>
          <w:lang w:val="pt-PT"/>
        </w:rPr>
        <w:t xml:space="preserve"> reikia nutraukti, kol nebus atmesta PDL galimybė. </w:t>
      </w:r>
    </w:p>
    <w:p w:rsidR="009238EE" w:rsidRPr="002F5D9D" w:rsidRDefault="009238EE" w:rsidP="00202C9E">
      <w:pPr>
        <w:pStyle w:val="Default"/>
        <w:rPr>
          <w:sz w:val="22"/>
          <w:szCs w:val="22"/>
          <w:lang w:val="pt-PT"/>
        </w:rPr>
      </w:pPr>
      <w:r w:rsidRPr="002F5D9D">
        <w:rPr>
          <w:sz w:val="22"/>
          <w:szCs w:val="22"/>
          <w:lang w:val="pt-PT"/>
        </w:rPr>
        <w:t>PDL atvejų pasireiškė praėjus maždaug 2-3 metams nuo monoterapijos pradžios, nors tiksli gydymo trukmės įtaka nežinoma.</w:t>
      </w:r>
    </w:p>
    <w:p w:rsidR="009238EE" w:rsidRPr="002F5D9D" w:rsidRDefault="009238EE" w:rsidP="0062471E">
      <w:pPr>
        <w:spacing w:line="240" w:lineRule="auto"/>
        <w:ind w:firstLine="567"/>
        <w:rPr>
          <w:color w:val="000000"/>
          <w:szCs w:val="22"/>
          <w:lang w:val="pt-PT"/>
        </w:rPr>
      </w:pPr>
      <w:r w:rsidRPr="002F5D9D">
        <w:rPr>
          <w:color w:val="000000"/>
          <w:szCs w:val="22"/>
          <w:lang w:val="pt-PT"/>
        </w:rPr>
        <w:t xml:space="preserve">* Specifinės skiepijimo rekomendacijos pacientams, kuriems pradedamas skirti gydymas </w:t>
      </w:r>
      <w:r w:rsidR="008D6948" w:rsidRPr="002F5D9D">
        <w:rPr>
          <w:szCs w:val="22"/>
          <w:lang w:val="pt-PT"/>
        </w:rPr>
        <w:t>Fingolimod Teva</w:t>
      </w:r>
      <w:r w:rsidRPr="002F5D9D">
        <w:rPr>
          <w:color w:val="000000"/>
          <w:szCs w:val="22"/>
          <w:lang w:val="pt-PT"/>
        </w:rPr>
        <w:t xml:space="preserve"> Pacientams, kuriems sveikatos priežiūros specialistai nėra patvirtinę persirgtų vėjaraupių arba kuriems nėra dokumentuotas visas vakcinacijos nuo vėjaraupių kursas, reikia ištirti </w:t>
      </w:r>
      <w:r w:rsidRPr="002F5D9D">
        <w:rPr>
          <w:color w:val="000000"/>
          <w:szCs w:val="22"/>
          <w:lang w:val="pt-PT"/>
        </w:rPr>
        <w:lastRenderedPageBreak/>
        <w:t xml:space="preserve">antikūnus prieš </w:t>
      </w:r>
      <w:r w:rsidRPr="002F5D9D">
        <w:rPr>
          <w:i/>
          <w:iCs/>
          <w:color w:val="000000"/>
          <w:szCs w:val="22"/>
          <w:lang w:val="pt-PT"/>
        </w:rPr>
        <w:t xml:space="preserve">varicella zoster </w:t>
      </w:r>
      <w:r w:rsidRPr="002F5D9D">
        <w:rPr>
          <w:color w:val="000000"/>
          <w:szCs w:val="22"/>
          <w:lang w:val="pt-PT"/>
        </w:rPr>
        <w:t xml:space="preserve">virusą (VZV). Pacientus, kuriems šių antikūnų nenustatoma, prieš paskiriant gydymą rekomenduojama paskiepyti visu vakcinos nuo vėjaraupių kursu, o </w:t>
      </w:r>
      <w:r w:rsidR="008D6948" w:rsidRPr="002F5D9D">
        <w:rPr>
          <w:szCs w:val="22"/>
          <w:lang w:val="pt-PT"/>
        </w:rPr>
        <w:t>Fingolimod Teva</w:t>
      </w:r>
      <w:r w:rsidRPr="002F5D9D">
        <w:rPr>
          <w:color w:val="000000"/>
          <w:szCs w:val="22"/>
          <w:lang w:val="pt-PT"/>
        </w:rPr>
        <w:t xml:space="preserve"> vartojimo pradžią reikia atidėti 1 mėnesiui, kad pasireikštų visas vakcinacijos poveikis. </w:t>
      </w:r>
    </w:p>
    <w:p w:rsidR="009238EE" w:rsidRPr="002F5D9D" w:rsidRDefault="009238EE" w:rsidP="0062471E">
      <w:pPr>
        <w:spacing w:line="240" w:lineRule="auto"/>
        <w:ind w:firstLine="567"/>
        <w:rPr>
          <w:szCs w:val="22"/>
          <w:lang w:val="pt-PT"/>
        </w:rPr>
      </w:pPr>
      <w:r w:rsidRPr="002F5D9D">
        <w:rPr>
          <w:color w:val="000000"/>
          <w:szCs w:val="22"/>
          <w:lang w:val="pt-PT"/>
        </w:rPr>
        <w:t xml:space="preserve">* Po vaistinio preparato </w:t>
      </w:r>
      <w:r w:rsidR="000A0F70" w:rsidRPr="002F5D9D">
        <w:rPr>
          <w:color w:val="000000"/>
          <w:szCs w:val="22"/>
          <w:lang w:val="pt-PT"/>
        </w:rPr>
        <w:t>pateikimo į rinką</w:t>
      </w:r>
      <w:r w:rsidRPr="002F5D9D">
        <w:rPr>
          <w:color w:val="000000"/>
          <w:szCs w:val="22"/>
          <w:lang w:val="pt-PT"/>
        </w:rPr>
        <w:t xml:space="preserve"> buvo gauta pranešimų apie žmogaus papilomos viruso (ŽPV) sukeltos infekcijos, įskaitant papilomos, displazijų, karpų ir su ŽPV susijusio vėžio, atvejus. Laikantis įprastos klinikinės praktikos, pacientams rekomenduojama patikra nuo vėžio, įskaitant </w:t>
      </w:r>
      <w:r w:rsidRPr="002F5D9D">
        <w:rPr>
          <w:i/>
          <w:iCs/>
          <w:color w:val="000000"/>
          <w:szCs w:val="22"/>
          <w:lang w:val="pt-PT"/>
        </w:rPr>
        <w:t xml:space="preserve">Pap </w:t>
      </w:r>
      <w:r w:rsidRPr="002F5D9D">
        <w:rPr>
          <w:color w:val="000000"/>
          <w:szCs w:val="22"/>
          <w:lang w:val="pt-PT"/>
        </w:rPr>
        <w:t xml:space="preserve">testo atlikimą, bei skiepijimas nuo su ŽPV susijusių vėžinių ligų. </w:t>
      </w:r>
    </w:p>
    <w:p w:rsidR="009238EE" w:rsidRPr="002F5D9D" w:rsidRDefault="009238EE" w:rsidP="009238EE">
      <w:pPr>
        <w:pStyle w:val="Default"/>
        <w:rPr>
          <w:sz w:val="22"/>
          <w:szCs w:val="22"/>
          <w:lang w:val="pt-PT"/>
        </w:rPr>
      </w:pPr>
    </w:p>
    <w:p w:rsidR="009238EE" w:rsidRPr="002F5D9D" w:rsidRDefault="009238EE" w:rsidP="008D6948">
      <w:pPr>
        <w:pStyle w:val="Default"/>
        <w:numPr>
          <w:ilvl w:val="0"/>
          <w:numId w:val="39"/>
        </w:numPr>
        <w:rPr>
          <w:sz w:val="22"/>
          <w:szCs w:val="22"/>
          <w:lang w:val="pt-PT"/>
        </w:rPr>
      </w:pPr>
      <w:r w:rsidRPr="002F5D9D">
        <w:rPr>
          <w:sz w:val="22"/>
          <w:szCs w:val="22"/>
          <w:lang w:val="pt-PT"/>
        </w:rPr>
        <w:t xml:space="preserve">Reikia apsvarstyti išsamaus akių tyrimo poreikį: </w:t>
      </w:r>
    </w:p>
    <w:p w:rsidR="009238EE" w:rsidRPr="002F5D9D" w:rsidRDefault="009238EE" w:rsidP="0062471E">
      <w:pPr>
        <w:pStyle w:val="Default"/>
        <w:ind w:firstLine="502"/>
        <w:rPr>
          <w:sz w:val="22"/>
          <w:szCs w:val="22"/>
          <w:lang w:val="pt-PT"/>
        </w:rPr>
      </w:pPr>
      <w:r w:rsidRPr="002F5D9D">
        <w:rPr>
          <w:sz w:val="22"/>
          <w:szCs w:val="22"/>
          <w:lang w:val="pt-PT"/>
        </w:rPr>
        <w:t xml:space="preserve">* praėjus 3-4 mėnesiams nuo </w:t>
      </w:r>
      <w:r w:rsidR="008D6948" w:rsidRPr="002F5D9D">
        <w:rPr>
          <w:sz w:val="22"/>
          <w:szCs w:val="22"/>
          <w:lang w:val="pt-PT"/>
        </w:rPr>
        <w:t>Fingolimod Teva</w:t>
      </w:r>
      <w:r w:rsidRPr="002F5D9D">
        <w:rPr>
          <w:sz w:val="22"/>
          <w:szCs w:val="22"/>
          <w:lang w:val="pt-PT"/>
        </w:rPr>
        <w:t xml:space="preserve"> vartojimo pradžios, kad būtų galima anksti nustatyti regėjimo sutrikimus, pasireiškiančius dėl vaistinio preparato sukeliamos tinklainės geltonosios dėmės edemos; </w:t>
      </w:r>
    </w:p>
    <w:p w:rsidR="009238EE" w:rsidRPr="002F5D9D" w:rsidRDefault="009238EE" w:rsidP="009238EE">
      <w:pPr>
        <w:pStyle w:val="Default"/>
        <w:ind w:firstLine="502"/>
        <w:rPr>
          <w:sz w:val="22"/>
          <w:szCs w:val="22"/>
          <w:lang w:val="pt-PT"/>
        </w:rPr>
      </w:pPr>
      <w:r w:rsidRPr="002F5D9D">
        <w:rPr>
          <w:sz w:val="22"/>
          <w:szCs w:val="22"/>
          <w:lang w:val="pt-PT"/>
        </w:rPr>
        <w:t xml:space="preserve">* cukriniu diabetu sergantiems arba anksčiau uveitu sirgusiems pacientams </w:t>
      </w:r>
      <w:r w:rsidR="008D6948" w:rsidRPr="002F5D9D">
        <w:rPr>
          <w:sz w:val="22"/>
          <w:szCs w:val="22"/>
          <w:lang w:val="pt-PT"/>
        </w:rPr>
        <w:t>Fingolimod Teva</w:t>
      </w:r>
      <w:r w:rsidRPr="002F5D9D">
        <w:rPr>
          <w:sz w:val="22"/>
          <w:szCs w:val="22"/>
          <w:lang w:val="pt-PT"/>
        </w:rPr>
        <w:t xml:space="preserve"> vartojimo metu. </w:t>
      </w:r>
    </w:p>
    <w:p w:rsidR="009238EE" w:rsidRPr="002F5D9D" w:rsidRDefault="009238EE" w:rsidP="008D6948">
      <w:pPr>
        <w:pStyle w:val="Default"/>
        <w:rPr>
          <w:sz w:val="22"/>
          <w:szCs w:val="22"/>
          <w:lang w:val="pt-PT"/>
        </w:rPr>
      </w:pPr>
    </w:p>
    <w:p w:rsidR="009238EE" w:rsidRPr="002F5D9D" w:rsidRDefault="008D6948" w:rsidP="008D6948">
      <w:pPr>
        <w:pStyle w:val="Default"/>
        <w:numPr>
          <w:ilvl w:val="0"/>
          <w:numId w:val="39"/>
        </w:numPr>
        <w:rPr>
          <w:sz w:val="22"/>
          <w:szCs w:val="22"/>
          <w:lang w:val="pt-PT"/>
        </w:rPr>
      </w:pPr>
      <w:r w:rsidRPr="002F5D9D">
        <w:rPr>
          <w:sz w:val="22"/>
          <w:szCs w:val="22"/>
          <w:lang w:val="pt-PT"/>
        </w:rPr>
        <w:t>Fingolimod Teva</w:t>
      </w:r>
      <w:r w:rsidR="009238EE" w:rsidRPr="002F5D9D">
        <w:rPr>
          <w:sz w:val="22"/>
          <w:szCs w:val="22"/>
          <w:lang w:val="pt-PT"/>
        </w:rPr>
        <w:t xml:space="preserve"> sukelia teratogeninį poveikį. Jo draudžiama vartoti vaisingo</w:t>
      </w:r>
      <w:r w:rsidR="000A0F70" w:rsidRPr="002F5D9D">
        <w:rPr>
          <w:sz w:val="22"/>
          <w:szCs w:val="22"/>
          <w:lang w:val="pt-PT"/>
        </w:rPr>
        <w:t>ms</w:t>
      </w:r>
      <w:r w:rsidR="009238EE" w:rsidRPr="002F5D9D">
        <w:rPr>
          <w:sz w:val="22"/>
          <w:szCs w:val="22"/>
          <w:lang w:val="pt-PT"/>
        </w:rPr>
        <w:t xml:space="preserve"> moterims (įskaitant paaugles), kurios nenaudoja veiksmingos kontracepcijos, o taip pat nėščioms moterims. </w:t>
      </w:r>
    </w:p>
    <w:p w:rsidR="009238EE" w:rsidRPr="002F5D9D" w:rsidRDefault="009238EE" w:rsidP="008D6948">
      <w:pPr>
        <w:pStyle w:val="Default"/>
        <w:ind w:firstLine="502"/>
        <w:rPr>
          <w:sz w:val="22"/>
          <w:szCs w:val="22"/>
          <w:lang w:val="pt-PT"/>
        </w:rPr>
      </w:pPr>
      <w:r w:rsidRPr="002F5D9D">
        <w:rPr>
          <w:sz w:val="22"/>
          <w:szCs w:val="22"/>
          <w:lang w:val="pt-PT"/>
        </w:rPr>
        <w:t xml:space="preserve">* Prieš paskiriant gydymą privaloma įsitikinti, kad pacientei atlikto nėštumo testo rezultatas yra neigiamas, o nėštumo testą privaloma kartoti tinkamais intervalais. </w:t>
      </w:r>
    </w:p>
    <w:p w:rsidR="009238EE" w:rsidRPr="002F5D9D" w:rsidRDefault="009238EE" w:rsidP="008D6948">
      <w:pPr>
        <w:pStyle w:val="Default"/>
        <w:ind w:firstLine="502"/>
        <w:rPr>
          <w:sz w:val="22"/>
          <w:szCs w:val="22"/>
          <w:lang w:val="pt-PT"/>
        </w:rPr>
      </w:pPr>
      <w:r w:rsidRPr="002F5D9D">
        <w:rPr>
          <w:sz w:val="22"/>
          <w:szCs w:val="22"/>
          <w:lang w:val="pt-PT"/>
        </w:rPr>
        <w:t>* Vaisingo</w:t>
      </w:r>
      <w:r w:rsidR="000A0F70" w:rsidRPr="002F5D9D">
        <w:rPr>
          <w:sz w:val="22"/>
          <w:szCs w:val="22"/>
          <w:lang w:val="pt-PT"/>
        </w:rPr>
        <w:t>ms</w:t>
      </w:r>
      <w:r w:rsidRPr="002F5D9D">
        <w:rPr>
          <w:sz w:val="22"/>
          <w:szCs w:val="22"/>
          <w:lang w:val="pt-PT"/>
        </w:rPr>
        <w:t xml:space="preserve"> moteris, įskaitant paaugles, jų tėvus (ar teisiškai įgaliotus atstovus) bei globėjus prieš paskiriant gydymą ir vėliau reguliariai gydymo metu reikia informuoti apie didelę </w:t>
      </w:r>
      <w:r w:rsidR="008D6948" w:rsidRPr="002F5D9D">
        <w:rPr>
          <w:sz w:val="22"/>
          <w:szCs w:val="22"/>
          <w:lang w:val="pt-PT"/>
        </w:rPr>
        <w:t>Fingolimod Teva</w:t>
      </w:r>
      <w:r w:rsidRPr="002F5D9D">
        <w:rPr>
          <w:sz w:val="22"/>
          <w:szCs w:val="22"/>
          <w:lang w:val="pt-PT"/>
        </w:rPr>
        <w:t xml:space="preserve"> keliamą riziką vaisiui, o taip pat joms (jiems) reikia duoti nėštumui specifinę pacientės priminimo kortelę. </w:t>
      </w:r>
    </w:p>
    <w:p w:rsidR="009238EE" w:rsidRPr="002F5D9D" w:rsidRDefault="009238EE" w:rsidP="008D6948">
      <w:pPr>
        <w:pStyle w:val="Default"/>
        <w:ind w:firstLine="502"/>
        <w:rPr>
          <w:sz w:val="22"/>
          <w:szCs w:val="22"/>
          <w:lang w:val="pt-PT"/>
        </w:rPr>
      </w:pPr>
      <w:r w:rsidRPr="002F5D9D">
        <w:rPr>
          <w:sz w:val="22"/>
          <w:szCs w:val="22"/>
          <w:lang w:val="pt-PT"/>
        </w:rPr>
        <w:t>* Vaisingo</w:t>
      </w:r>
      <w:r w:rsidR="000A0F70" w:rsidRPr="002F5D9D">
        <w:rPr>
          <w:sz w:val="22"/>
          <w:szCs w:val="22"/>
          <w:lang w:val="pt-PT"/>
        </w:rPr>
        <w:t>ms</w:t>
      </w:r>
      <w:r w:rsidRPr="002F5D9D">
        <w:rPr>
          <w:sz w:val="22"/>
          <w:szCs w:val="22"/>
          <w:lang w:val="pt-PT"/>
        </w:rPr>
        <w:t xml:space="preserve"> moterims būtina naudoti veiksmingas kontracepcijos priemones </w:t>
      </w:r>
      <w:r w:rsidR="008D6948" w:rsidRPr="002F5D9D">
        <w:rPr>
          <w:sz w:val="22"/>
          <w:szCs w:val="22"/>
          <w:lang w:val="pt-PT"/>
        </w:rPr>
        <w:t>Fingolimod Teva</w:t>
      </w:r>
      <w:r w:rsidRPr="002F5D9D">
        <w:rPr>
          <w:sz w:val="22"/>
          <w:szCs w:val="22"/>
          <w:lang w:val="pt-PT"/>
        </w:rPr>
        <w:t xml:space="preserve"> vartojimo metu ir dar du mėnesius po gydymo nutraukimo. </w:t>
      </w:r>
    </w:p>
    <w:p w:rsidR="009238EE" w:rsidRPr="002F5D9D" w:rsidRDefault="009238EE" w:rsidP="0090204C">
      <w:pPr>
        <w:pStyle w:val="Default"/>
        <w:ind w:firstLine="502"/>
        <w:rPr>
          <w:sz w:val="22"/>
          <w:szCs w:val="22"/>
          <w:lang w:val="pt-PT"/>
        </w:rPr>
      </w:pPr>
      <w:r w:rsidRPr="002F5D9D">
        <w:rPr>
          <w:sz w:val="22"/>
          <w:szCs w:val="22"/>
          <w:lang w:val="pt-PT"/>
        </w:rPr>
        <w:t xml:space="preserve">* Gydymo metu moterys privalo nepastoti. Jeigu moteris pastoja gydymosi metu, </w:t>
      </w:r>
      <w:r w:rsidR="008D6948" w:rsidRPr="002F5D9D">
        <w:rPr>
          <w:sz w:val="22"/>
          <w:szCs w:val="22"/>
          <w:lang w:val="pt-PT"/>
        </w:rPr>
        <w:t>Fingolimod Teva</w:t>
      </w:r>
      <w:r w:rsidRPr="002F5D9D">
        <w:rPr>
          <w:sz w:val="22"/>
          <w:szCs w:val="22"/>
          <w:lang w:val="pt-PT"/>
        </w:rPr>
        <w:t xml:space="preserve"> vartojimą būtina nutraukti. Nutraukus gydymą </w:t>
      </w:r>
      <w:r w:rsidR="008D6948" w:rsidRPr="002F5D9D">
        <w:rPr>
          <w:sz w:val="22"/>
          <w:szCs w:val="22"/>
          <w:lang w:val="pt-PT"/>
        </w:rPr>
        <w:t>Fingolimod Teva</w:t>
      </w:r>
      <w:r w:rsidRPr="002F5D9D">
        <w:rPr>
          <w:sz w:val="22"/>
          <w:szCs w:val="22"/>
          <w:lang w:val="pt-PT"/>
        </w:rPr>
        <w:t xml:space="preserve"> moteriai pastojus arba dėl nėštumo planavimo, reikia įvertinti ligos aktyvumo atsinaujinimo galimybę. Moterį reikia informuoti apie gydymo </w:t>
      </w:r>
      <w:r w:rsidR="008D6948" w:rsidRPr="002F5D9D">
        <w:rPr>
          <w:sz w:val="22"/>
          <w:szCs w:val="22"/>
          <w:lang w:val="pt-PT"/>
        </w:rPr>
        <w:t>Fingolimod Teva</w:t>
      </w:r>
      <w:r w:rsidRPr="002F5D9D">
        <w:rPr>
          <w:sz w:val="22"/>
          <w:szCs w:val="22"/>
          <w:lang w:val="pt-PT"/>
        </w:rPr>
        <w:t xml:space="preserve"> keliamo žalingo poveikio vaisiui riziką, taip pat reikia atlikti tyrimus ultragarsu. </w:t>
      </w:r>
    </w:p>
    <w:p w:rsidR="009238EE" w:rsidRPr="002F5D9D" w:rsidRDefault="009238EE" w:rsidP="0090204C">
      <w:pPr>
        <w:pStyle w:val="Default"/>
        <w:ind w:firstLine="502"/>
        <w:rPr>
          <w:sz w:val="22"/>
          <w:szCs w:val="22"/>
          <w:lang w:val="pt-PT"/>
        </w:rPr>
      </w:pPr>
      <w:r w:rsidRPr="002F5D9D">
        <w:rPr>
          <w:sz w:val="22"/>
          <w:szCs w:val="22"/>
          <w:lang w:val="pt-PT"/>
        </w:rPr>
        <w:t xml:space="preserve">* Gydymą </w:t>
      </w:r>
      <w:r w:rsidR="008D6948" w:rsidRPr="002F5D9D">
        <w:rPr>
          <w:sz w:val="22"/>
          <w:szCs w:val="22"/>
          <w:lang w:val="pt-PT"/>
        </w:rPr>
        <w:t>Fingolimod Teva</w:t>
      </w:r>
      <w:r w:rsidRPr="002F5D9D">
        <w:rPr>
          <w:sz w:val="22"/>
          <w:szCs w:val="22"/>
          <w:lang w:val="pt-PT"/>
        </w:rPr>
        <w:t xml:space="preserve"> būtina nutraukti likus 2 mėnesiams iki nėštumo planavimo. </w:t>
      </w:r>
    </w:p>
    <w:p w:rsidR="009238EE" w:rsidRPr="002F5D9D" w:rsidRDefault="009238EE" w:rsidP="00202C9E">
      <w:pPr>
        <w:pStyle w:val="Default"/>
        <w:ind w:firstLine="502"/>
        <w:rPr>
          <w:sz w:val="22"/>
          <w:szCs w:val="22"/>
          <w:lang w:val="pt-PT"/>
        </w:rPr>
      </w:pPr>
      <w:r w:rsidRPr="002F5D9D">
        <w:rPr>
          <w:sz w:val="22"/>
          <w:szCs w:val="22"/>
          <w:lang w:val="pt-PT"/>
        </w:rPr>
        <w:t xml:space="preserve">* Gydytojai skatinami pastojusias pacientes įtraukti </w:t>
      </w:r>
      <w:r w:rsidR="008D6948" w:rsidRPr="002F5D9D">
        <w:rPr>
          <w:sz w:val="22"/>
          <w:szCs w:val="22"/>
          <w:lang w:val="pt-PT"/>
        </w:rPr>
        <w:t>Fingolimod Teva</w:t>
      </w:r>
      <w:r w:rsidRPr="002F5D9D">
        <w:rPr>
          <w:sz w:val="22"/>
          <w:szCs w:val="22"/>
          <w:lang w:val="pt-PT"/>
        </w:rPr>
        <w:t xml:space="preserve"> vartojusiųjų nėštumų registrą arba nėščios moterys į šį registrą gali registruotis pačios. </w:t>
      </w:r>
    </w:p>
    <w:p w:rsidR="009238EE" w:rsidRPr="002F5D9D" w:rsidRDefault="009238EE" w:rsidP="000A0F70">
      <w:pPr>
        <w:pStyle w:val="Default"/>
        <w:rPr>
          <w:sz w:val="22"/>
          <w:szCs w:val="22"/>
          <w:lang w:val="pt-PT"/>
        </w:rPr>
      </w:pPr>
    </w:p>
    <w:p w:rsidR="009238EE" w:rsidRPr="0062647C" w:rsidRDefault="009238EE" w:rsidP="00D03163">
      <w:pPr>
        <w:pStyle w:val="Default"/>
        <w:numPr>
          <w:ilvl w:val="0"/>
          <w:numId w:val="39"/>
        </w:numPr>
        <w:rPr>
          <w:sz w:val="22"/>
          <w:szCs w:val="22"/>
        </w:rPr>
      </w:pPr>
      <w:r w:rsidRPr="002F5D9D">
        <w:rPr>
          <w:sz w:val="22"/>
          <w:szCs w:val="22"/>
          <w:lang w:val="pt-PT"/>
        </w:rPr>
        <w:t xml:space="preserve">Reikia stebėti kepenų funkcijos tyrimų rodiklius praėjus 1, 3, 6, 9 ir 12 mėnesių nuo </w:t>
      </w:r>
      <w:r w:rsidR="008D6948" w:rsidRPr="002F5D9D">
        <w:rPr>
          <w:sz w:val="22"/>
          <w:szCs w:val="22"/>
          <w:lang w:val="pt-PT"/>
        </w:rPr>
        <w:t>Fingolimod Teva</w:t>
      </w:r>
      <w:r w:rsidRPr="002F5D9D">
        <w:rPr>
          <w:sz w:val="22"/>
          <w:szCs w:val="22"/>
          <w:lang w:val="pt-PT"/>
        </w:rPr>
        <w:t xml:space="preserve"> vartojimo pradžios bei reguliariai vėliau; reikia skirti patvirtintas dozes po 0,5 mg kartą per parą (arba po 0,25 mg kartą per parą 10 metų ir vyresniems vaikams, kurių kūno svoris yra ≤ 40 kg). </w:t>
      </w:r>
      <w:r w:rsidRPr="0062647C">
        <w:rPr>
          <w:sz w:val="22"/>
          <w:szCs w:val="22"/>
        </w:rPr>
        <w:t xml:space="preserve">Kitos dozavimo schemos nėra registruotos. </w:t>
      </w:r>
    </w:p>
    <w:p w:rsidR="009238EE" w:rsidRPr="0062647C" w:rsidRDefault="009238EE" w:rsidP="000C71A7">
      <w:pPr>
        <w:pStyle w:val="Default"/>
        <w:ind w:left="142"/>
        <w:rPr>
          <w:sz w:val="22"/>
          <w:szCs w:val="22"/>
        </w:rPr>
      </w:pPr>
    </w:p>
    <w:p w:rsidR="009238EE" w:rsidRPr="0062647C" w:rsidRDefault="009238EE" w:rsidP="000C71A7">
      <w:pPr>
        <w:pStyle w:val="Default"/>
        <w:numPr>
          <w:ilvl w:val="0"/>
          <w:numId w:val="39"/>
        </w:numPr>
        <w:rPr>
          <w:sz w:val="22"/>
          <w:szCs w:val="22"/>
        </w:rPr>
      </w:pPr>
      <w:r w:rsidRPr="0062647C">
        <w:rPr>
          <w:sz w:val="22"/>
          <w:szCs w:val="22"/>
        </w:rPr>
        <w:t xml:space="preserve">Po vaistinio preparato </w:t>
      </w:r>
      <w:r w:rsidR="000A0F70" w:rsidRPr="0062647C">
        <w:rPr>
          <w:sz w:val="22"/>
          <w:szCs w:val="22"/>
        </w:rPr>
        <w:t>pateikimo į rinką</w:t>
      </w:r>
      <w:r w:rsidRPr="0062647C">
        <w:rPr>
          <w:sz w:val="22"/>
          <w:szCs w:val="22"/>
        </w:rPr>
        <w:t xml:space="preserve"> kai kuriems pacientams, nutraukusiems </w:t>
      </w:r>
      <w:r w:rsidR="008D6948" w:rsidRPr="0062647C">
        <w:rPr>
          <w:sz w:val="22"/>
          <w:szCs w:val="22"/>
        </w:rPr>
        <w:t>Fingolimod Teva</w:t>
      </w:r>
      <w:r w:rsidRPr="0062647C">
        <w:rPr>
          <w:sz w:val="22"/>
          <w:szCs w:val="22"/>
        </w:rPr>
        <w:t xml:space="preserve"> vartojimą, retai buvo pastebėta sunkių ligos paūmėjimo atvejų. Reikia pasvarstyti ypatingai aktyvios ligos paūmėjimo galimybę.</w:t>
      </w:r>
    </w:p>
    <w:p w:rsidR="009238EE" w:rsidRPr="0062647C" w:rsidRDefault="009238EE" w:rsidP="00541F40">
      <w:pPr>
        <w:pStyle w:val="Default"/>
        <w:ind w:left="502"/>
        <w:rPr>
          <w:sz w:val="22"/>
          <w:szCs w:val="22"/>
        </w:rPr>
      </w:pPr>
    </w:p>
    <w:p w:rsidR="009238EE" w:rsidRPr="0062647C" w:rsidRDefault="009238EE" w:rsidP="0062471E">
      <w:pPr>
        <w:pStyle w:val="Default"/>
        <w:numPr>
          <w:ilvl w:val="0"/>
          <w:numId w:val="39"/>
        </w:numPr>
        <w:rPr>
          <w:sz w:val="22"/>
          <w:szCs w:val="22"/>
        </w:rPr>
      </w:pPr>
      <w:r w:rsidRPr="0062647C">
        <w:rPr>
          <w:color w:val="auto"/>
          <w:sz w:val="22"/>
          <w:szCs w:val="22"/>
        </w:rPr>
        <w:t>Gauta pranešimų apie traukulių atvejus, įskaitant, epilepsinę būklę. Gydytojai turi būti budrūs dėl galimo traukulių pasireiškimo ir ypatingai tiems pacientams, kuriems jų buvo pasireiškę anksčiau arba kuriems anksčiau buvo nustatyta epilepsijos diagnozė ar yra šeiminė epilepsijos anamnezė.</w:t>
      </w:r>
    </w:p>
    <w:p w:rsidR="009238EE" w:rsidRPr="0062647C" w:rsidRDefault="009238EE" w:rsidP="0062471E">
      <w:pPr>
        <w:spacing w:line="240" w:lineRule="auto"/>
        <w:ind w:left="502"/>
        <w:rPr>
          <w:szCs w:val="22"/>
        </w:rPr>
      </w:pPr>
    </w:p>
    <w:p w:rsidR="009238EE" w:rsidRPr="0062647C" w:rsidRDefault="009238EE" w:rsidP="0062471E">
      <w:pPr>
        <w:spacing w:line="240" w:lineRule="auto"/>
        <w:rPr>
          <w:szCs w:val="22"/>
        </w:rPr>
      </w:pPr>
    </w:p>
    <w:p w:rsidR="009238EE" w:rsidRPr="0062647C" w:rsidRDefault="009238EE" w:rsidP="009238EE">
      <w:pPr>
        <w:pStyle w:val="Default"/>
        <w:numPr>
          <w:ilvl w:val="0"/>
          <w:numId w:val="39"/>
        </w:numPr>
        <w:rPr>
          <w:color w:val="auto"/>
          <w:sz w:val="22"/>
          <w:szCs w:val="22"/>
          <w:lang w:val="lt-LT"/>
        </w:rPr>
      </w:pPr>
      <w:r w:rsidRPr="0062647C">
        <w:rPr>
          <w:color w:val="auto"/>
          <w:sz w:val="22"/>
          <w:szCs w:val="22"/>
          <w:lang w:val="lt-LT"/>
        </w:rPr>
        <w:t xml:space="preserve">Gydytojai kiekvienam pacientui kasmet turi iš naujo įvertinti gydymo </w:t>
      </w:r>
      <w:r w:rsidR="008D6948" w:rsidRPr="0062647C">
        <w:rPr>
          <w:sz w:val="22"/>
          <w:szCs w:val="22"/>
          <w:lang w:val="lt-LT"/>
        </w:rPr>
        <w:t>Fingolimod Teva</w:t>
      </w:r>
      <w:r w:rsidRPr="0062647C">
        <w:rPr>
          <w:color w:val="auto"/>
          <w:sz w:val="22"/>
          <w:szCs w:val="22"/>
          <w:lang w:val="lt-LT"/>
        </w:rPr>
        <w:t xml:space="preserve"> naudą ir galimą riziką, ypatingai vaikams. </w:t>
      </w:r>
    </w:p>
    <w:p w:rsidR="009238EE" w:rsidRPr="0062647C" w:rsidRDefault="009238EE" w:rsidP="008D6948">
      <w:pPr>
        <w:pStyle w:val="Default"/>
        <w:rPr>
          <w:color w:val="auto"/>
          <w:sz w:val="22"/>
          <w:szCs w:val="22"/>
          <w:lang w:val="lt-LT"/>
        </w:rPr>
      </w:pPr>
    </w:p>
    <w:p w:rsidR="009238EE" w:rsidRPr="0062647C" w:rsidRDefault="009238EE" w:rsidP="008D6948">
      <w:pPr>
        <w:pStyle w:val="Default"/>
        <w:numPr>
          <w:ilvl w:val="0"/>
          <w:numId w:val="39"/>
        </w:numPr>
        <w:rPr>
          <w:color w:val="auto"/>
          <w:sz w:val="22"/>
          <w:szCs w:val="22"/>
          <w:lang w:val="lt-LT"/>
        </w:rPr>
      </w:pPr>
      <w:r w:rsidRPr="0062647C">
        <w:rPr>
          <w:color w:val="auto"/>
          <w:sz w:val="22"/>
          <w:szCs w:val="22"/>
          <w:lang w:val="lt-LT"/>
        </w:rPr>
        <w:t xml:space="preserve">Gydytojai pacientams, jų tėvams ar globėjams turi duoti Vadovą pacientui, tėvams ar globėjams bei nėštumui specifinę pacientės priminimo kortelę. </w:t>
      </w:r>
    </w:p>
    <w:p w:rsidR="009238EE" w:rsidRPr="0062647C" w:rsidRDefault="009238EE" w:rsidP="008D6948">
      <w:pPr>
        <w:pStyle w:val="Default"/>
        <w:ind w:left="142"/>
        <w:rPr>
          <w:color w:val="auto"/>
          <w:sz w:val="22"/>
          <w:szCs w:val="22"/>
          <w:lang w:val="lt-LT"/>
        </w:rPr>
      </w:pPr>
    </w:p>
    <w:p w:rsidR="009238EE" w:rsidRPr="0062647C" w:rsidRDefault="009238EE" w:rsidP="008D6948">
      <w:pPr>
        <w:pStyle w:val="Default"/>
        <w:rPr>
          <w:color w:val="auto"/>
          <w:sz w:val="22"/>
          <w:szCs w:val="22"/>
          <w:lang w:val="lt-LT"/>
        </w:rPr>
      </w:pPr>
      <w:r w:rsidRPr="0062647C">
        <w:rPr>
          <w:color w:val="auto"/>
          <w:sz w:val="22"/>
          <w:szCs w:val="22"/>
          <w:lang w:val="lt-LT"/>
        </w:rPr>
        <w:lastRenderedPageBreak/>
        <w:t xml:space="preserve">Saugumo savybių pobūdis vaikams yra panašus į nustatytąjį suaugusiesiems, todėl suaugusiesiems nurodyti įspėjimai ir atsargumo priemonės taip pat taikomi vaikams. </w:t>
      </w:r>
    </w:p>
    <w:p w:rsidR="009238EE" w:rsidRPr="0062647C" w:rsidRDefault="009238EE" w:rsidP="008D6948">
      <w:pPr>
        <w:pStyle w:val="Default"/>
        <w:rPr>
          <w:color w:val="auto"/>
          <w:sz w:val="22"/>
          <w:szCs w:val="22"/>
          <w:lang w:val="lt-LT"/>
        </w:rPr>
      </w:pPr>
    </w:p>
    <w:p w:rsidR="009238EE" w:rsidRPr="0062647C" w:rsidRDefault="009238EE" w:rsidP="0090204C">
      <w:pPr>
        <w:pStyle w:val="Default"/>
        <w:rPr>
          <w:color w:val="auto"/>
          <w:sz w:val="22"/>
          <w:szCs w:val="22"/>
          <w:lang w:val="lt-LT"/>
        </w:rPr>
      </w:pPr>
      <w:r w:rsidRPr="0062647C">
        <w:rPr>
          <w:color w:val="auto"/>
          <w:sz w:val="22"/>
          <w:szCs w:val="22"/>
          <w:lang w:val="lt-LT"/>
        </w:rPr>
        <w:t xml:space="preserve">Specifiškai vaikams gydytojai turėtų: </w:t>
      </w:r>
    </w:p>
    <w:p w:rsidR="009238EE" w:rsidRPr="0062647C" w:rsidRDefault="009238EE" w:rsidP="0062471E">
      <w:pPr>
        <w:pStyle w:val="Default"/>
        <w:ind w:firstLine="567"/>
        <w:rPr>
          <w:color w:val="auto"/>
          <w:sz w:val="22"/>
          <w:szCs w:val="22"/>
          <w:lang w:val="lt-LT"/>
        </w:rPr>
      </w:pPr>
      <w:r w:rsidRPr="0062647C">
        <w:rPr>
          <w:color w:val="auto"/>
          <w:sz w:val="22"/>
          <w:szCs w:val="22"/>
          <w:lang w:val="lt-LT"/>
        </w:rPr>
        <w:t xml:space="preserve">* įvertinti brendimo stadiją pagal Tanner, išmatuoti ūgį ir kūno svorį pagal įprastinę klinikinę praktiką; </w:t>
      </w:r>
    </w:p>
    <w:p w:rsidR="009238EE" w:rsidRPr="0062647C" w:rsidRDefault="009238EE" w:rsidP="0062471E">
      <w:pPr>
        <w:pStyle w:val="Default"/>
        <w:ind w:firstLine="567"/>
        <w:rPr>
          <w:color w:val="auto"/>
          <w:sz w:val="22"/>
          <w:szCs w:val="22"/>
          <w:lang w:val="lt-LT"/>
        </w:rPr>
      </w:pPr>
      <w:r w:rsidRPr="0062647C">
        <w:rPr>
          <w:color w:val="auto"/>
          <w:sz w:val="22"/>
          <w:szCs w:val="22"/>
          <w:lang w:val="lt-LT"/>
        </w:rPr>
        <w:t xml:space="preserve">* stebėti širdies ir kraujagyslių būklę; </w:t>
      </w:r>
    </w:p>
    <w:p w:rsidR="009238EE" w:rsidRPr="0062647C" w:rsidRDefault="009238EE" w:rsidP="0062471E">
      <w:pPr>
        <w:pStyle w:val="Default"/>
        <w:ind w:firstLine="567"/>
        <w:rPr>
          <w:color w:val="auto"/>
          <w:sz w:val="22"/>
          <w:szCs w:val="22"/>
          <w:lang w:val="lt-LT"/>
        </w:rPr>
      </w:pPr>
      <w:r w:rsidRPr="0062647C">
        <w:rPr>
          <w:color w:val="auto"/>
          <w:sz w:val="22"/>
          <w:szCs w:val="22"/>
          <w:lang w:val="lt-LT"/>
        </w:rPr>
        <w:t xml:space="preserve">* imtis atsargumo priemonių, kai skiriama pirmoji dozė arba pacientams keičiamas gydymas iš 0,25 mg dozės į 0,5 mg paros dozę, kadangi gali pasireikšti bradiaritmijos; </w:t>
      </w:r>
    </w:p>
    <w:p w:rsidR="009238EE" w:rsidRPr="0062647C" w:rsidRDefault="009238EE" w:rsidP="0062471E">
      <w:pPr>
        <w:pStyle w:val="Default"/>
        <w:ind w:firstLine="567"/>
        <w:rPr>
          <w:color w:val="auto"/>
          <w:sz w:val="22"/>
          <w:szCs w:val="22"/>
          <w:lang w:val="lt-LT"/>
        </w:rPr>
      </w:pPr>
      <w:r w:rsidRPr="0062647C">
        <w:rPr>
          <w:color w:val="auto"/>
          <w:sz w:val="22"/>
          <w:szCs w:val="22"/>
          <w:lang w:val="lt-LT"/>
        </w:rPr>
        <w:t xml:space="preserve">* stebėti pacientų būklę dėl depresijos ir nerimo požymių bei simptomų pasireiškimo; </w:t>
      </w:r>
    </w:p>
    <w:p w:rsidR="009238EE" w:rsidRPr="0062647C" w:rsidRDefault="009238EE" w:rsidP="0062471E">
      <w:pPr>
        <w:pStyle w:val="Default"/>
        <w:ind w:firstLine="567"/>
        <w:rPr>
          <w:color w:val="auto"/>
          <w:sz w:val="22"/>
          <w:szCs w:val="22"/>
          <w:lang w:val="lt-LT"/>
        </w:rPr>
      </w:pPr>
      <w:r w:rsidRPr="0062647C">
        <w:rPr>
          <w:color w:val="auto"/>
          <w:sz w:val="22"/>
          <w:szCs w:val="22"/>
          <w:lang w:val="lt-LT"/>
        </w:rPr>
        <w:t xml:space="preserve">* pacientams pabrėžti būtinybę nuolat ir tinkamai vartoti vaistinio preparato, ypatingai nurodant informaciją apie gydymo nutraukimo riziką bei kartotinio širdies ir kraujagyslių būklės stebėjimo svarbą; </w:t>
      </w:r>
    </w:p>
    <w:p w:rsidR="009238EE" w:rsidRPr="00684A34" w:rsidRDefault="009238EE" w:rsidP="0062471E">
      <w:pPr>
        <w:pStyle w:val="Default"/>
        <w:ind w:firstLine="567"/>
        <w:rPr>
          <w:color w:val="auto"/>
          <w:sz w:val="22"/>
          <w:lang w:val="lt-LT"/>
        </w:rPr>
      </w:pPr>
      <w:r w:rsidRPr="00684A34">
        <w:rPr>
          <w:color w:val="auto"/>
          <w:sz w:val="22"/>
          <w:lang w:val="lt-LT"/>
        </w:rPr>
        <w:t xml:space="preserve">* pabrėžti imunosupresinį </w:t>
      </w:r>
      <w:r w:rsidR="008D6948" w:rsidRPr="00684A34">
        <w:rPr>
          <w:sz w:val="22"/>
          <w:lang w:val="lt-LT"/>
        </w:rPr>
        <w:t>Fingolimod Teva</w:t>
      </w:r>
      <w:r w:rsidRPr="00684A34">
        <w:rPr>
          <w:color w:val="auto"/>
          <w:sz w:val="22"/>
          <w:lang w:val="lt-LT"/>
        </w:rPr>
        <w:t xml:space="preserve"> poveikį; </w:t>
      </w:r>
    </w:p>
    <w:p w:rsidR="009238EE" w:rsidRPr="00684A34" w:rsidRDefault="009238EE" w:rsidP="0062471E">
      <w:pPr>
        <w:pStyle w:val="Default"/>
        <w:ind w:firstLine="567"/>
        <w:rPr>
          <w:color w:val="auto"/>
          <w:sz w:val="22"/>
          <w:lang w:val="lt-LT"/>
        </w:rPr>
      </w:pPr>
      <w:r w:rsidRPr="00684A34">
        <w:rPr>
          <w:color w:val="auto"/>
          <w:sz w:val="22"/>
          <w:lang w:val="lt-LT"/>
        </w:rPr>
        <w:t xml:space="preserve">* apsvarstyti viso skiepijimo plano užbaigimą prieš pradedant skirti </w:t>
      </w:r>
      <w:r w:rsidR="008D6948" w:rsidRPr="00684A34">
        <w:rPr>
          <w:sz w:val="22"/>
          <w:lang w:val="lt-LT"/>
        </w:rPr>
        <w:t>Fingolimod Teva</w:t>
      </w:r>
      <w:r w:rsidRPr="00684A34">
        <w:rPr>
          <w:color w:val="auto"/>
          <w:sz w:val="22"/>
          <w:lang w:val="lt-LT"/>
        </w:rPr>
        <w:t xml:space="preserve">; </w:t>
      </w:r>
      <w:bookmarkStart w:id="3" w:name="_Hlk42000195"/>
    </w:p>
    <w:p w:rsidR="009238EE" w:rsidRPr="00684A34" w:rsidRDefault="009238EE" w:rsidP="009238EE">
      <w:pPr>
        <w:pStyle w:val="Default"/>
        <w:ind w:firstLine="567"/>
        <w:rPr>
          <w:color w:val="auto"/>
          <w:sz w:val="22"/>
          <w:lang w:val="lt-LT"/>
        </w:rPr>
      </w:pPr>
      <w:r w:rsidRPr="00684A34">
        <w:rPr>
          <w:color w:val="auto"/>
          <w:sz w:val="22"/>
          <w:lang w:val="lt-LT"/>
        </w:rPr>
        <w:t xml:space="preserve">* pateikti rekomendacijas dėl traukulių stebėjimo. </w:t>
      </w:r>
    </w:p>
    <w:p w:rsidR="009238EE" w:rsidRPr="00684A34" w:rsidRDefault="009238EE" w:rsidP="008D6948">
      <w:pPr>
        <w:pStyle w:val="Default"/>
        <w:rPr>
          <w:color w:val="auto"/>
          <w:sz w:val="22"/>
          <w:lang w:val="lt-LT"/>
        </w:rPr>
      </w:pPr>
    </w:p>
    <w:bookmarkEnd w:id="3"/>
    <w:p w:rsidR="009238EE" w:rsidRPr="00684A34" w:rsidRDefault="009238EE" w:rsidP="008D6948">
      <w:pPr>
        <w:pStyle w:val="Default"/>
        <w:rPr>
          <w:color w:val="auto"/>
          <w:sz w:val="22"/>
          <w:lang w:val="lt-LT"/>
        </w:rPr>
      </w:pPr>
      <w:r w:rsidRPr="00684A34">
        <w:rPr>
          <w:b/>
          <w:color w:val="auto"/>
          <w:sz w:val="22"/>
          <w:lang w:val="lt-LT"/>
        </w:rPr>
        <w:t xml:space="preserve">Vadovas pacientui, tėvams ar globėjams </w:t>
      </w:r>
    </w:p>
    <w:p w:rsidR="009238EE" w:rsidRPr="00684A34" w:rsidRDefault="009238EE" w:rsidP="008D6948">
      <w:pPr>
        <w:pStyle w:val="Default"/>
        <w:rPr>
          <w:color w:val="auto"/>
          <w:sz w:val="22"/>
          <w:lang w:val="lt-LT"/>
        </w:rPr>
      </w:pPr>
      <w:r w:rsidRPr="00684A34">
        <w:rPr>
          <w:color w:val="auto"/>
          <w:sz w:val="22"/>
          <w:lang w:val="lt-LT"/>
        </w:rPr>
        <w:t xml:space="preserve">Vadove pacientui, tėvams ar globėjams turi būti tokia toliau nurodyta svarbiausia informacija: </w:t>
      </w:r>
    </w:p>
    <w:p w:rsidR="009238EE" w:rsidRPr="002F5D9D" w:rsidRDefault="009238EE" w:rsidP="0062471E">
      <w:pPr>
        <w:pStyle w:val="Default"/>
        <w:numPr>
          <w:ilvl w:val="0"/>
          <w:numId w:val="39"/>
        </w:numPr>
        <w:rPr>
          <w:color w:val="auto"/>
          <w:sz w:val="22"/>
          <w:szCs w:val="22"/>
          <w:lang w:val="pt-PT"/>
        </w:rPr>
      </w:pPr>
      <w:r w:rsidRPr="002F5D9D">
        <w:rPr>
          <w:color w:val="auto"/>
          <w:sz w:val="22"/>
          <w:szCs w:val="22"/>
          <w:lang w:val="pt-PT"/>
        </w:rPr>
        <w:t xml:space="preserve">apie tai, kas yra </w:t>
      </w:r>
      <w:r w:rsidR="008D6948" w:rsidRPr="002F5D9D">
        <w:rPr>
          <w:sz w:val="22"/>
          <w:szCs w:val="22"/>
          <w:lang w:val="pt-PT"/>
        </w:rPr>
        <w:t>Fingolimod Teva</w:t>
      </w:r>
      <w:r w:rsidRPr="002F5D9D">
        <w:rPr>
          <w:color w:val="auto"/>
          <w:sz w:val="22"/>
          <w:szCs w:val="22"/>
          <w:lang w:val="pt-PT"/>
        </w:rPr>
        <w:t xml:space="preserve"> ir kaip jis veikia;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kas yra išsėtinė sklerozė;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pacientai turi perskaityti visą pakuotės lapelį prieš pradėdami vartoti vaisto, taip pat pacientai turi pasilikti pakuotės lapelį tiems atvejams, jeigu prireiktų pasitikslinti informaciją gydymo metu;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nepageidaujamų reakcijų pranešimo svarba;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pacientams reikia užregistruoti pradinę EKG ir išmatuoti kraujospūdį prieš pirmosios </w:t>
      </w:r>
      <w:r w:rsidR="008D6948" w:rsidRPr="0062647C">
        <w:rPr>
          <w:sz w:val="22"/>
          <w:szCs w:val="22"/>
        </w:rPr>
        <w:t>Fingolimod Teva</w:t>
      </w:r>
      <w:r w:rsidRPr="0062647C">
        <w:rPr>
          <w:color w:val="auto"/>
          <w:sz w:val="22"/>
          <w:szCs w:val="22"/>
        </w:rPr>
        <w:t xml:space="preserve"> dozės vartojimą;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pacientams reikia išmatuoti širdies susitraukimų dažnį 6 ar daugiau valandų po pirmosios </w:t>
      </w:r>
      <w:r w:rsidR="008D6948" w:rsidRPr="0062647C">
        <w:rPr>
          <w:sz w:val="22"/>
          <w:szCs w:val="22"/>
        </w:rPr>
        <w:t>Fingolimod Teva</w:t>
      </w:r>
      <w:r w:rsidRPr="0062647C">
        <w:rPr>
          <w:color w:val="auto"/>
          <w:sz w:val="22"/>
          <w:szCs w:val="22"/>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r w:rsidR="008D6948" w:rsidRPr="0062647C">
        <w:rPr>
          <w:sz w:val="22"/>
          <w:szCs w:val="22"/>
        </w:rPr>
        <w:t>Fingolimod Teva</w:t>
      </w:r>
      <w:r w:rsidRPr="0062647C">
        <w:rPr>
          <w:color w:val="auto"/>
          <w:sz w:val="22"/>
          <w:szCs w:val="22"/>
        </w:rPr>
        <w:t xml:space="preserve"> pradžios; </w:t>
      </w:r>
    </w:p>
    <w:p w:rsidR="009238EE" w:rsidRPr="0062647C" w:rsidRDefault="009238EE" w:rsidP="0062471E">
      <w:pPr>
        <w:pStyle w:val="Default"/>
        <w:numPr>
          <w:ilvl w:val="0"/>
          <w:numId w:val="39"/>
        </w:numPr>
        <w:rPr>
          <w:color w:val="auto"/>
          <w:sz w:val="22"/>
          <w:szCs w:val="22"/>
        </w:rPr>
      </w:pPr>
      <w:r w:rsidRPr="0062647C">
        <w:rPr>
          <w:color w:val="auto"/>
          <w:sz w:val="22"/>
          <w:szCs w:val="22"/>
        </w:rPr>
        <w:t xml:space="preserve">pacientai turi nedelsiant pranešti apie pasireiškusius simptomus, kurie rodo sumažėjusį širdies susitraukimų dažnį (pavyzdžiui, apie galvos svaigimą, svaigulį, pykinimą ar širdies plakimo pojūtį) po pirmosios </w:t>
      </w:r>
      <w:r w:rsidR="008D6948" w:rsidRPr="0062647C">
        <w:rPr>
          <w:sz w:val="22"/>
          <w:szCs w:val="22"/>
        </w:rPr>
        <w:t>Fingolimod Teva</w:t>
      </w:r>
      <w:r w:rsidRPr="0062647C">
        <w:rPr>
          <w:color w:val="auto"/>
          <w:sz w:val="22"/>
          <w:szCs w:val="22"/>
        </w:rPr>
        <w:t xml:space="preserve"> dozės vartojimo; </w:t>
      </w:r>
    </w:p>
    <w:p w:rsidR="009238EE" w:rsidRPr="0062647C" w:rsidRDefault="008D6948" w:rsidP="009238EE">
      <w:pPr>
        <w:pStyle w:val="Default"/>
        <w:numPr>
          <w:ilvl w:val="0"/>
          <w:numId w:val="39"/>
        </w:numPr>
        <w:rPr>
          <w:color w:val="auto"/>
          <w:sz w:val="22"/>
          <w:szCs w:val="22"/>
        </w:rPr>
      </w:pPr>
      <w:r w:rsidRPr="0062647C">
        <w:rPr>
          <w:sz w:val="22"/>
          <w:szCs w:val="22"/>
        </w:rPr>
        <w:t>Fingolimod Teva</w:t>
      </w:r>
      <w:r w:rsidR="009238EE" w:rsidRPr="0062647C">
        <w:rPr>
          <w:color w:val="auto"/>
          <w:sz w:val="22"/>
          <w:szCs w:val="22"/>
        </w:rPr>
        <w:t xml:space="preserve"> nerekomenduojama vartoti pacientams, kuriems nustatyta širdies liga arba kurie kartu vartoja širdies susitraukimų dažnį mažinančių vaistinių preparatų; pacientai turi pasakyti bet kuriam gydytojui, pas kurį lankosi, kad vartoja </w:t>
      </w:r>
      <w:r w:rsidRPr="0062647C">
        <w:rPr>
          <w:sz w:val="22"/>
          <w:szCs w:val="22"/>
        </w:rPr>
        <w:t>Fingolimod Teva</w:t>
      </w:r>
      <w:r w:rsidR="009238EE" w:rsidRPr="0062647C">
        <w:rPr>
          <w:color w:val="auto"/>
          <w:sz w:val="22"/>
          <w:szCs w:val="22"/>
        </w:rPr>
        <w:t>;</w:t>
      </w:r>
    </w:p>
    <w:p w:rsidR="009238EE" w:rsidRPr="0062647C" w:rsidRDefault="000A0F70" w:rsidP="008D6948">
      <w:pPr>
        <w:pStyle w:val="Default"/>
        <w:numPr>
          <w:ilvl w:val="0"/>
          <w:numId w:val="39"/>
        </w:numPr>
        <w:rPr>
          <w:color w:val="auto"/>
          <w:sz w:val="22"/>
          <w:szCs w:val="22"/>
        </w:rPr>
      </w:pPr>
      <w:r w:rsidRPr="0062647C">
        <w:rPr>
          <w:sz w:val="22"/>
          <w:szCs w:val="22"/>
        </w:rPr>
        <w:t>i</w:t>
      </w:r>
      <w:r w:rsidR="009238EE" w:rsidRPr="0062647C">
        <w:rPr>
          <w:sz w:val="22"/>
          <w:szCs w:val="22"/>
        </w:rPr>
        <w:t xml:space="preserve">nformacija apie infekcijos požymius ir simptomus, apie kuriuos reikia nedelsiant pranešti vaistinio preparato išrašiusiam gydytojui </w:t>
      </w:r>
      <w:r w:rsidR="008D6948" w:rsidRPr="0062647C">
        <w:rPr>
          <w:sz w:val="22"/>
          <w:szCs w:val="22"/>
        </w:rPr>
        <w:t>Fingolimod Teva</w:t>
      </w:r>
      <w:r w:rsidR="009238EE" w:rsidRPr="0062647C">
        <w:rPr>
          <w:sz w:val="22"/>
          <w:szCs w:val="22"/>
        </w:rPr>
        <w:t xml:space="preserve"> vartojimo metu ir dar iki dviejų mėnesių nuo gydymo pabaigos;</w:t>
      </w:r>
    </w:p>
    <w:p w:rsidR="009238EE" w:rsidRPr="0062647C" w:rsidRDefault="009238EE" w:rsidP="008D6948">
      <w:pPr>
        <w:pStyle w:val="Default"/>
        <w:numPr>
          <w:ilvl w:val="0"/>
          <w:numId w:val="39"/>
        </w:numPr>
        <w:rPr>
          <w:color w:val="auto"/>
          <w:sz w:val="22"/>
          <w:szCs w:val="22"/>
        </w:rPr>
      </w:pPr>
      <w:r w:rsidRPr="0062647C">
        <w:rPr>
          <w:sz w:val="22"/>
          <w:szCs w:val="22"/>
        </w:rPr>
        <w:t xml:space="preserve">vaistinio preparato paskyręs gydytojas įvertins poreikį pacientui dalyvauti patikroje nuo vėžio, įskaitant </w:t>
      </w:r>
      <w:r w:rsidRPr="0062647C">
        <w:rPr>
          <w:i/>
          <w:iCs/>
          <w:sz w:val="22"/>
          <w:szCs w:val="22"/>
        </w:rPr>
        <w:t xml:space="preserve">Pap </w:t>
      </w:r>
      <w:r w:rsidRPr="0062647C">
        <w:rPr>
          <w:sz w:val="22"/>
          <w:szCs w:val="22"/>
        </w:rPr>
        <w:t>testo atlikimą, bei pasiskiepyti nuo su ŽRV infekcija susijusi</w:t>
      </w:r>
      <w:r w:rsidR="00D03163" w:rsidRPr="0062647C">
        <w:rPr>
          <w:sz w:val="22"/>
          <w:szCs w:val="22"/>
        </w:rPr>
        <w:t>o</w:t>
      </w:r>
      <w:r w:rsidRPr="0062647C">
        <w:rPr>
          <w:sz w:val="22"/>
          <w:szCs w:val="22"/>
        </w:rPr>
        <w:t xml:space="preserve"> vėži</w:t>
      </w:r>
      <w:r w:rsidR="00D03163" w:rsidRPr="0062647C">
        <w:rPr>
          <w:sz w:val="22"/>
          <w:szCs w:val="22"/>
        </w:rPr>
        <w:t>o</w:t>
      </w:r>
      <w:r w:rsidRPr="0062647C">
        <w:rPr>
          <w:sz w:val="22"/>
          <w:szCs w:val="22"/>
        </w:rPr>
        <w:t>, laikantis įprastinės praktikos;</w:t>
      </w:r>
    </w:p>
    <w:p w:rsidR="009238EE" w:rsidRPr="0062647C" w:rsidRDefault="009238EE" w:rsidP="008D6948">
      <w:pPr>
        <w:pStyle w:val="Default"/>
        <w:numPr>
          <w:ilvl w:val="0"/>
          <w:numId w:val="39"/>
        </w:numPr>
        <w:rPr>
          <w:color w:val="auto"/>
          <w:sz w:val="22"/>
          <w:szCs w:val="22"/>
        </w:rPr>
      </w:pPr>
      <w:r w:rsidRPr="0062647C">
        <w:rPr>
          <w:sz w:val="22"/>
          <w:szCs w:val="22"/>
        </w:rPr>
        <w:t xml:space="preserve">informacija apie tai, kad reikia nedelsiant pranešti vaistinio preparato išrašiusiam gydytojui apie pasireiškusius regėjimo sutrikimo požymius </w:t>
      </w:r>
      <w:r w:rsidR="008D6948" w:rsidRPr="0062647C">
        <w:rPr>
          <w:sz w:val="22"/>
          <w:szCs w:val="22"/>
        </w:rPr>
        <w:t>Fingolimod Teva</w:t>
      </w:r>
      <w:r w:rsidRPr="0062647C">
        <w:rPr>
          <w:sz w:val="22"/>
          <w:szCs w:val="22"/>
        </w:rPr>
        <w:t xml:space="preserve"> vartojimo metu ir dar iki dviejų mėnesių nuo gydymo pabaigos;</w:t>
      </w:r>
    </w:p>
    <w:p w:rsidR="009238EE" w:rsidRPr="0062647C" w:rsidRDefault="009238EE" w:rsidP="008D6948">
      <w:pPr>
        <w:pStyle w:val="Default"/>
        <w:numPr>
          <w:ilvl w:val="0"/>
          <w:numId w:val="39"/>
        </w:numPr>
        <w:rPr>
          <w:color w:val="auto"/>
          <w:sz w:val="22"/>
          <w:szCs w:val="22"/>
        </w:rPr>
      </w:pPr>
      <w:r w:rsidRPr="002F5D9D">
        <w:rPr>
          <w:sz w:val="22"/>
          <w:szCs w:val="22"/>
          <w:lang w:val="pt-PT"/>
        </w:rPr>
        <w:t xml:space="preserve">informacija apie tai, kad </w:t>
      </w:r>
      <w:r w:rsidR="008D6948" w:rsidRPr="002F5D9D">
        <w:rPr>
          <w:sz w:val="22"/>
          <w:szCs w:val="22"/>
          <w:lang w:val="pt-PT"/>
        </w:rPr>
        <w:t>Fingolimod Teva</w:t>
      </w:r>
      <w:r w:rsidRPr="002F5D9D">
        <w:rPr>
          <w:sz w:val="22"/>
          <w:szCs w:val="22"/>
          <w:lang w:val="pt-PT"/>
        </w:rPr>
        <w:t xml:space="preserve"> veikia teratogeniškai. </w:t>
      </w:r>
      <w:r w:rsidRPr="0062647C">
        <w:rPr>
          <w:sz w:val="22"/>
          <w:szCs w:val="22"/>
        </w:rPr>
        <w:t>Vaisingo</w:t>
      </w:r>
      <w:r w:rsidR="00D03163" w:rsidRPr="0062647C">
        <w:rPr>
          <w:sz w:val="22"/>
          <w:szCs w:val="22"/>
        </w:rPr>
        <w:t>ms</w:t>
      </w:r>
      <w:r w:rsidRPr="0062647C">
        <w:rPr>
          <w:sz w:val="22"/>
          <w:szCs w:val="22"/>
        </w:rPr>
        <w:t xml:space="preserve"> moterims, įskaitant paaugles:</w:t>
      </w:r>
    </w:p>
    <w:p w:rsidR="009238EE" w:rsidRPr="0062647C" w:rsidRDefault="009238EE" w:rsidP="008D6948">
      <w:pPr>
        <w:pStyle w:val="Default"/>
        <w:ind w:left="502"/>
        <w:rPr>
          <w:sz w:val="22"/>
          <w:szCs w:val="22"/>
        </w:rPr>
      </w:pPr>
      <w:r w:rsidRPr="0062647C">
        <w:rPr>
          <w:color w:val="auto"/>
          <w:sz w:val="22"/>
          <w:szCs w:val="22"/>
        </w:rPr>
        <w:t>*</w:t>
      </w:r>
      <w:r w:rsidRPr="0062647C">
        <w:rPr>
          <w:sz w:val="22"/>
          <w:szCs w:val="22"/>
        </w:rPr>
        <w:t xml:space="preserve"> gydytojai turi pateikti informaciją prieš pradedant gydymą ir reguliariai gydymo metu apie </w:t>
      </w:r>
      <w:r w:rsidR="008D6948" w:rsidRPr="0062647C">
        <w:rPr>
          <w:sz w:val="22"/>
          <w:szCs w:val="22"/>
        </w:rPr>
        <w:t>Fingolimod Teva</w:t>
      </w:r>
      <w:r w:rsidRPr="0062647C">
        <w:rPr>
          <w:sz w:val="22"/>
          <w:szCs w:val="22"/>
        </w:rPr>
        <w:t xml:space="preserve"> keliamą didelę riziką vaisiui bei apie tai, kad vaisto draudžiama vartoti </w:t>
      </w:r>
      <w:r w:rsidRPr="0062647C">
        <w:rPr>
          <w:sz w:val="22"/>
          <w:szCs w:val="22"/>
        </w:rPr>
        <w:lastRenderedPageBreak/>
        <w:t>nėštumo metu ir vaisingo amžiaus moterims, nenaudojančioms veiksmingų kontracepcijos priemonių, o taip pat joms reikia duoti nėštumui specifinę pacientės priminimo kortelę;</w:t>
      </w:r>
    </w:p>
    <w:p w:rsidR="009238EE" w:rsidRPr="002F5D9D" w:rsidRDefault="009238EE" w:rsidP="0090204C">
      <w:pPr>
        <w:pStyle w:val="Default"/>
        <w:ind w:left="502"/>
        <w:rPr>
          <w:sz w:val="22"/>
          <w:szCs w:val="22"/>
          <w:lang w:val="pt-PT"/>
        </w:rPr>
      </w:pPr>
      <w:r w:rsidRPr="002F5D9D">
        <w:rPr>
          <w:sz w:val="22"/>
          <w:szCs w:val="22"/>
          <w:lang w:val="pt-PT"/>
        </w:rPr>
        <w:t xml:space="preserve">* Turi būti neigiamas nėštumo testo rezultatas prieš pradedant gydymą </w:t>
      </w:r>
      <w:r w:rsidR="008D6948" w:rsidRPr="002F5D9D">
        <w:rPr>
          <w:sz w:val="22"/>
          <w:szCs w:val="22"/>
          <w:lang w:val="pt-PT"/>
        </w:rPr>
        <w:t>Fingolimod Teva</w:t>
      </w:r>
      <w:r w:rsidRPr="002F5D9D">
        <w:rPr>
          <w:sz w:val="22"/>
          <w:szCs w:val="22"/>
          <w:lang w:val="pt-PT"/>
        </w:rPr>
        <w:t>;</w:t>
      </w:r>
    </w:p>
    <w:p w:rsidR="009238EE" w:rsidRPr="002F5D9D" w:rsidRDefault="009238EE" w:rsidP="00202C9E">
      <w:pPr>
        <w:pStyle w:val="Default"/>
        <w:ind w:left="502"/>
        <w:rPr>
          <w:sz w:val="22"/>
          <w:szCs w:val="22"/>
          <w:lang w:val="pt-PT"/>
        </w:rPr>
      </w:pPr>
      <w:r w:rsidRPr="002F5D9D">
        <w:rPr>
          <w:sz w:val="22"/>
          <w:szCs w:val="22"/>
          <w:lang w:val="pt-PT"/>
        </w:rPr>
        <w:t xml:space="preserve">* reikia naudoti veiksmingas kontracepcijos priemones </w:t>
      </w:r>
      <w:r w:rsidR="008D6948" w:rsidRPr="002F5D9D">
        <w:rPr>
          <w:sz w:val="22"/>
          <w:szCs w:val="22"/>
          <w:lang w:val="pt-PT"/>
        </w:rPr>
        <w:t>Fingolimod Teva</w:t>
      </w:r>
      <w:r w:rsidRPr="002F5D9D">
        <w:rPr>
          <w:sz w:val="22"/>
          <w:szCs w:val="22"/>
          <w:lang w:val="pt-PT"/>
        </w:rPr>
        <w:t xml:space="preserve"> vartojimo metu ir dar mažiausiai du mėnesius po vaistinio preparato vartojimo nutraukimo</w:t>
      </w:r>
    </w:p>
    <w:p w:rsidR="009238EE" w:rsidRPr="002F5D9D" w:rsidRDefault="009238EE" w:rsidP="000A0F70">
      <w:pPr>
        <w:pStyle w:val="Default"/>
        <w:ind w:left="502"/>
        <w:rPr>
          <w:sz w:val="22"/>
          <w:szCs w:val="22"/>
          <w:lang w:val="pt-PT"/>
        </w:rPr>
      </w:pPr>
      <w:r w:rsidRPr="002F5D9D">
        <w:rPr>
          <w:sz w:val="22"/>
          <w:szCs w:val="22"/>
          <w:lang w:val="pt-PT"/>
        </w:rPr>
        <w:t xml:space="preserve">* reikia nedelsiant pranešti vaistinio preparato išrašiusiam gydytojui apie </w:t>
      </w:r>
      <w:r w:rsidR="008D6948" w:rsidRPr="002F5D9D">
        <w:rPr>
          <w:sz w:val="22"/>
          <w:szCs w:val="22"/>
          <w:lang w:val="pt-PT"/>
        </w:rPr>
        <w:t>Fingolimod Teva</w:t>
      </w:r>
      <w:r w:rsidRPr="002F5D9D">
        <w:rPr>
          <w:sz w:val="22"/>
          <w:szCs w:val="22"/>
          <w:lang w:val="pt-PT"/>
        </w:rPr>
        <w:t xml:space="preserve"> vartojimo metu ir dar mažiausiai du mėnesius po vaistinio preparato vartojimo nutraukimo pasireiškusius visus nėštumo atvejus (planuotus ar neplanuotus);</w:t>
      </w:r>
    </w:p>
    <w:p w:rsidR="009238EE" w:rsidRPr="002F5D9D" w:rsidRDefault="009238EE" w:rsidP="000A0F70">
      <w:pPr>
        <w:pStyle w:val="Default"/>
        <w:ind w:left="502"/>
        <w:rPr>
          <w:sz w:val="22"/>
          <w:szCs w:val="22"/>
          <w:lang w:val="pt-PT"/>
        </w:rPr>
      </w:pPr>
      <w:r w:rsidRPr="002F5D9D">
        <w:rPr>
          <w:sz w:val="22"/>
          <w:szCs w:val="22"/>
          <w:lang w:val="pt-PT"/>
        </w:rPr>
        <w:t xml:space="preserve">* pacientams reikia atlikti kepenų funkcijos tyrimus prieš pradedant skirti gydymą </w:t>
      </w:r>
      <w:r w:rsidR="008D6948" w:rsidRPr="002F5D9D">
        <w:rPr>
          <w:sz w:val="22"/>
          <w:szCs w:val="22"/>
          <w:lang w:val="pt-PT"/>
        </w:rPr>
        <w:t>Fingolimod Teva</w:t>
      </w:r>
      <w:r w:rsidRPr="002F5D9D">
        <w:rPr>
          <w:sz w:val="22"/>
          <w:szCs w:val="22"/>
          <w:lang w:val="pt-PT"/>
        </w:rPr>
        <w:t xml:space="preserve"> ir stebėti kepenų </w:t>
      </w:r>
      <w:r w:rsidR="00D03163" w:rsidRPr="002F5D9D">
        <w:rPr>
          <w:sz w:val="22"/>
          <w:szCs w:val="22"/>
          <w:lang w:val="pt-PT"/>
        </w:rPr>
        <w:t>funkcijos</w:t>
      </w:r>
      <w:r w:rsidRPr="002F5D9D">
        <w:rPr>
          <w:sz w:val="22"/>
          <w:szCs w:val="22"/>
          <w:lang w:val="pt-PT"/>
        </w:rPr>
        <w:t xml:space="preserve"> rodiklius praėjus 1, 3, 6, 9 ir 12 mėnesių nuo </w:t>
      </w:r>
      <w:r w:rsidR="008D6948" w:rsidRPr="002F5D9D">
        <w:rPr>
          <w:sz w:val="22"/>
          <w:szCs w:val="22"/>
          <w:lang w:val="pt-PT"/>
        </w:rPr>
        <w:t>Fingolimod Teva</w:t>
      </w:r>
      <w:r w:rsidRPr="002F5D9D">
        <w:rPr>
          <w:sz w:val="22"/>
          <w:szCs w:val="22"/>
          <w:lang w:val="pt-PT"/>
        </w:rPr>
        <w:t xml:space="preserve"> vartojimo pradžios bei reguliariai vėliau;</w:t>
      </w:r>
    </w:p>
    <w:p w:rsidR="009238EE" w:rsidRPr="002F5D9D" w:rsidRDefault="009238EE" w:rsidP="00D03163">
      <w:pPr>
        <w:pStyle w:val="Default"/>
        <w:ind w:left="502"/>
        <w:rPr>
          <w:sz w:val="22"/>
          <w:szCs w:val="22"/>
          <w:lang w:val="pt-PT"/>
        </w:rPr>
      </w:pPr>
      <w:r w:rsidRPr="002F5D9D">
        <w:rPr>
          <w:sz w:val="22"/>
          <w:szCs w:val="22"/>
          <w:lang w:val="pt-PT"/>
        </w:rPr>
        <w:t xml:space="preserve">* išsėtine skleroze sergantiems ir </w:t>
      </w:r>
      <w:r w:rsidR="008D6948" w:rsidRPr="002F5D9D">
        <w:rPr>
          <w:sz w:val="22"/>
          <w:szCs w:val="22"/>
          <w:lang w:val="pt-PT"/>
        </w:rPr>
        <w:t>Fingolimod Teva</w:t>
      </w:r>
      <w:r w:rsidRPr="002F5D9D">
        <w:rPr>
          <w:sz w:val="22"/>
          <w:szCs w:val="22"/>
          <w:lang w:val="pt-PT"/>
        </w:rPr>
        <w:t xml:space="preserve"> vartojusiems pacientams nustatyta odos vėžio atvejų. Pacientai turi nedelsdami pranešti gydytojui, jeigu pastebėtų kokių nors odos gumbelių (pvz., šviesių perlo spalvos gumbelių), dėmių ar atvirų per kelias savaites negyjančių žaizdų. Odos vėžio simptomai gali būti tokie: nenormalios odos audinio išaugos ar odos pokyčiai (pvz., pakitęs apgamas), kai laikui bėgant kinta jų spalva, forma ar dydis;</w:t>
      </w:r>
    </w:p>
    <w:p w:rsidR="009238EE" w:rsidRPr="002F5D9D" w:rsidRDefault="009238EE" w:rsidP="00D03163">
      <w:pPr>
        <w:pStyle w:val="Default"/>
        <w:ind w:left="502"/>
        <w:rPr>
          <w:sz w:val="22"/>
          <w:szCs w:val="22"/>
          <w:lang w:val="pt-PT"/>
        </w:rPr>
      </w:pPr>
      <w:r w:rsidRPr="002F5D9D">
        <w:rPr>
          <w:sz w:val="22"/>
          <w:szCs w:val="22"/>
          <w:lang w:val="pt-PT"/>
        </w:rPr>
        <w:t>* gali pasireikšti traukulių. Gydytojui reikia pasakyti apie anksčiau nustatytą epilepsijos diagnozę arba apie tai, kad šeimos nariai sirgo epilepsija;</w:t>
      </w:r>
    </w:p>
    <w:p w:rsidR="009238EE" w:rsidRPr="002F5D9D" w:rsidRDefault="009238EE" w:rsidP="000C71A7">
      <w:pPr>
        <w:pStyle w:val="Default"/>
        <w:ind w:left="502"/>
        <w:rPr>
          <w:sz w:val="22"/>
          <w:szCs w:val="22"/>
          <w:lang w:val="pt-PT"/>
        </w:rPr>
      </w:pPr>
      <w:r w:rsidRPr="002F5D9D">
        <w:rPr>
          <w:sz w:val="22"/>
          <w:szCs w:val="22"/>
          <w:lang w:val="pt-PT"/>
        </w:rPr>
        <w:t xml:space="preserve">* nutraukus gydymą </w:t>
      </w:r>
      <w:r w:rsidR="008D6948" w:rsidRPr="002F5D9D">
        <w:rPr>
          <w:sz w:val="22"/>
          <w:szCs w:val="22"/>
          <w:lang w:val="pt-PT"/>
        </w:rPr>
        <w:t>Fingolimod Teva</w:t>
      </w:r>
      <w:r w:rsidRPr="002F5D9D">
        <w:rPr>
          <w:sz w:val="22"/>
          <w:szCs w:val="22"/>
          <w:lang w:val="pt-PT"/>
        </w:rPr>
        <w:t xml:space="preserve"> gali vėl suaktyvėti liga. Vaistinio preparato paskyręs gydytojas turi nuspręsti, ar reikia stebėti paciento būklę po gydymo </w:t>
      </w:r>
      <w:r w:rsidR="008D6948" w:rsidRPr="002F5D9D">
        <w:rPr>
          <w:sz w:val="22"/>
          <w:szCs w:val="22"/>
          <w:lang w:val="pt-PT"/>
        </w:rPr>
        <w:t>Fingolimod Teva</w:t>
      </w:r>
      <w:r w:rsidRPr="002F5D9D">
        <w:rPr>
          <w:sz w:val="22"/>
          <w:szCs w:val="22"/>
          <w:lang w:val="pt-PT"/>
        </w:rPr>
        <w:t xml:space="preserve"> nutraukimo bei kaip tai daryti.</w:t>
      </w:r>
    </w:p>
    <w:p w:rsidR="009238EE" w:rsidRPr="002F5D9D" w:rsidRDefault="009238EE" w:rsidP="0062471E">
      <w:pPr>
        <w:spacing w:line="240" w:lineRule="auto"/>
        <w:rPr>
          <w:b/>
          <w:bCs/>
          <w:color w:val="000000"/>
          <w:szCs w:val="22"/>
          <w:lang w:val="pt-PT"/>
        </w:rPr>
      </w:pPr>
    </w:p>
    <w:p w:rsidR="009238EE" w:rsidRPr="002F5D9D" w:rsidRDefault="009238EE" w:rsidP="0062471E">
      <w:pPr>
        <w:spacing w:line="240" w:lineRule="auto"/>
        <w:rPr>
          <w:b/>
          <w:bCs/>
          <w:color w:val="000000"/>
          <w:szCs w:val="22"/>
          <w:lang w:val="pt-PT"/>
        </w:rPr>
      </w:pPr>
      <w:r w:rsidRPr="002F5D9D">
        <w:rPr>
          <w:b/>
          <w:bCs/>
          <w:color w:val="000000"/>
          <w:szCs w:val="22"/>
          <w:lang w:val="pt-PT"/>
        </w:rPr>
        <w:t xml:space="preserve">Specifiškai vaikams: </w:t>
      </w:r>
    </w:p>
    <w:p w:rsidR="009238EE" w:rsidRPr="002F5D9D" w:rsidRDefault="009238EE" w:rsidP="0062471E">
      <w:pPr>
        <w:spacing w:line="240" w:lineRule="auto"/>
        <w:rPr>
          <w:color w:val="000000"/>
          <w:szCs w:val="22"/>
          <w:lang w:val="pt-PT"/>
        </w:rPr>
      </w:pPr>
    </w:p>
    <w:p w:rsidR="009238EE" w:rsidRPr="002F5D9D" w:rsidRDefault="009238EE" w:rsidP="0062471E">
      <w:pPr>
        <w:spacing w:line="240" w:lineRule="auto"/>
        <w:rPr>
          <w:color w:val="000000"/>
          <w:szCs w:val="22"/>
          <w:lang w:val="pt-PT"/>
        </w:rPr>
      </w:pPr>
      <w:r w:rsidRPr="002F5D9D">
        <w:rPr>
          <w:color w:val="000000"/>
          <w:szCs w:val="22"/>
          <w:lang w:val="pt-PT"/>
        </w:rPr>
        <w:t xml:space="preserve">Reikia apsvarstyti toliau nurodytą informaciją: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pt-PT"/>
        </w:rPr>
      </w:pPr>
      <w:r w:rsidRPr="002F5D9D">
        <w:rPr>
          <w:rFonts w:ascii="Times New Roman" w:hAnsi="Times New Roman"/>
          <w:color w:val="000000"/>
          <w:lang w:val="pt-PT"/>
        </w:rPr>
        <w:t xml:space="preserve">gydytojai turi įvertinti brendimo stadiją pagal Tanner, išmatuoti ūgį ir kūno svorį pagal įprastinę klinikinę praktiką;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pt-PT"/>
        </w:rPr>
      </w:pPr>
      <w:r w:rsidRPr="002F5D9D">
        <w:rPr>
          <w:rFonts w:ascii="Times New Roman" w:hAnsi="Times New Roman"/>
          <w:color w:val="000000"/>
          <w:lang w:val="pt-PT"/>
        </w:rPr>
        <w:t xml:space="preserve">reikia imtis atsargumo priemonių, kai skiriama pirmoji </w:t>
      </w:r>
      <w:r w:rsidR="008D6948" w:rsidRPr="0062647C">
        <w:rPr>
          <w:rFonts w:ascii="Times New Roman" w:hAnsi="Times New Roman"/>
        </w:rPr>
        <w:t>Fingolimod Teva</w:t>
      </w:r>
      <w:r w:rsidRPr="002F5D9D">
        <w:rPr>
          <w:rFonts w:ascii="Times New Roman" w:hAnsi="Times New Roman"/>
          <w:color w:val="000000"/>
          <w:lang w:val="pt-PT"/>
        </w:rPr>
        <w:t xml:space="preserve"> dozė arba kai pacientams keičiamas gydymas iš 0,25 mg dozės į 0,5 mg paros dozę;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pt-PT"/>
        </w:rPr>
      </w:pPr>
      <w:r w:rsidRPr="002F5D9D">
        <w:rPr>
          <w:rFonts w:ascii="Times New Roman" w:hAnsi="Times New Roman"/>
          <w:color w:val="000000"/>
          <w:lang w:val="pt-PT"/>
        </w:rPr>
        <w:t xml:space="preserve">žinoma, kad išsėtine skleroze sergantiems pacientams gali dažniau pasireikšti depresija ir nerimas, o šių sutrikimų taip pat nustatyta </w:t>
      </w:r>
      <w:r w:rsidR="008D6948" w:rsidRPr="0062647C">
        <w:rPr>
          <w:rFonts w:ascii="Times New Roman" w:hAnsi="Times New Roman"/>
        </w:rPr>
        <w:t>Fingolimod Teva</w:t>
      </w:r>
      <w:r w:rsidRPr="002F5D9D">
        <w:rPr>
          <w:rFonts w:ascii="Times New Roman" w:hAnsi="Times New Roman"/>
          <w:color w:val="000000"/>
          <w:lang w:val="pt-PT"/>
        </w:rPr>
        <w:t xml:space="preserve"> vartojusiems vaikams; </w:t>
      </w:r>
    </w:p>
    <w:p w:rsidR="009238EE" w:rsidRPr="0062647C"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en-US"/>
        </w:rPr>
      </w:pPr>
      <w:r w:rsidRPr="0062647C">
        <w:rPr>
          <w:rFonts w:ascii="Times New Roman" w:hAnsi="Times New Roman"/>
          <w:color w:val="000000"/>
          <w:lang w:val="en-US"/>
        </w:rPr>
        <w:t xml:space="preserve">širdies būklės stebėjimo rekomendacijos; </w:t>
      </w:r>
    </w:p>
    <w:p w:rsidR="009238EE" w:rsidRPr="0062647C"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en-US"/>
        </w:rPr>
      </w:pPr>
      <w:r w:rsidRPr="0062647C">
        <w:rPr>
          <w:rFonts w:ascii="Times New Roman" w:hAnsi="Times New Roman"/>
          <w:color w:val="000000"/>
          <w:lang w:val="en-US"/>
        </w:rPr>
        <w:t xml:space="preserve">pacientams reikia pabrėžti būtinybę nuolat ir tinkamai vartoti vaistinio preparato, ypatingai nurodant informaciją apie gydymo nutraukimo riziką bei kartotinio širdies ir kraujagyslių būklės stebėjimo svarbą; </w:t>
      </w:r>
    </w:p>
    <w:p w:rsidR="009238EE" w:rsidRPr="0062647C"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color w:val="000000"/>
          <w:lang w:val="en-US"/>
        </w:rPr>
      </w:pPr>
      <w:r w:rsidRPr="0062647C">
        <w:rPr>
          <w:rFonts w:ascii="Times New Roman" w:hAnsi="Times New Roman"/>
          <w:color w:val="000000"/>
          <w:lang w:val="en-US"/>
        </w:rPr>
        <w:t xml:space="preserve">infekcijos požymiai ir simptomai; </w:t>
      </w:r>
    </w:p>
    <w:p w:rsidR="009238EE" w:rsidRPr="0062647C" w:rsidRDefault="009238EE" w:rsidP="009238EE">
      <w:pPr>
        <w:pStyle w:val="Sraopastraipa"/>
        <w:numPr>
          <w:ilvl w:val="0"/>
          <w:numId w:val="39"/>
        </w:numPr>
        <w:autoSpaceDE w:val="0"/>
        <w:autoSpaceDN w:val="0"/>
        <w:adjustRightInd w:val="0"/>
        <w:spacing w:after="0" w:line="240" w:lineRule="auto"/>
        <w:contextualSpacing w:val="0"/>
        <w:rPr>
          <w:rFonts w:ascii="Times New Roman" w:hAnsi="Times New Roman"/>
          <w:lang w:val="en-US"/>
        </w:rPr>
      </w:pPr>
      <w:r w:rsidRPr="0062647C">
        <w:rPr>
          <w:rFonts w:ascii="Times New Roman" w:hAnsi="Times New Roman"/>
          <w:color w:val="000000"/>
          <w:lang w:val="en-US"/>
        </w:rPr>
        <w:t>traukulių stebėjimo rekomendacijos.</w:t>
      </w:r>
    </w:p>
    <w:p w:rsidR="009238EE" w:rsidRPr="0062647C" w:rsidRDefault="009238EE" w:rsidP="0062471E">
      <w:pPr>
        <w:spacing w:line="240" w:lineRule="auto"/>
        <w:rPr>
          <w:b/>
          <w:bCs/>
          <w:szCs w:val="22"/>
          <w:lang w:val="en-US"/>
        </w:rPr>
      </w:pPr>
    </w:p>
    <w:p w:rsidR="009238EE" w:rsidRPr="0062647C" w:rsidRDefault="009238EE" w:rsidP="0062471E">
      <w:pPr>
        <w:spacing w:line="240" w:lineRule="auto"/>
        <w:rPr>
          <w:b/>
          <w:bCs/>
          <w:szCs w:val="22"/>
          <w:lang w:val="en-US"/>
        </w:rPr>
      </w:pPr>
      <w:r w:rsidRPr="0062647C">
        <w:rPr>
          <w:b/>
          <w:bCs/>
          <w:szCs w:val="22"/>
          <w:lang w:val="en-US"/>
        </w:rPr>
        <w:t xml:space="preserve">Nėštumui specifinė pacientės priminimo kortelė </w:t>
      </w:r>
    </w:p>
    <w:p w:rsidR="009238EE" w:rsidRPr="0062647C" w:rsidRDefault="009238EE" w:rsidP="0062471E">
      <w:pPr>
        <w:spacing w:line="240" w:lineRule="auto"/>
        <w:rPr>
          <w:szCs w:val="22"/>
          <w:lang w:val="en-US"/>
        </w:rPr>
      </w:pPr>
    </w:p>
    <w:p w:rsidR="009238EE" w:rsidRPr="002F5D9D" w:rsidRDefault="009238EE" w:rsidP="0062471E">
      <w:pPr>
        <w:spacing w:line="240" w:lineRule="auto"/>
        <w:rPr>
          <w:szCs w:val="22"/>
          <w:lang w:val="pt-PT"/>
        </w:rPr>
      </w:pPr>
      <w:r w:rsidRPr="002F5D9D">
        <w:rPr>
          <w:szCs w:val="22"/>
          <w:lang w:val="pt-PT"/>
        </w:rPr>
        <w:t xml:space="preserve">Nėštumui specifinėje pacientės priminimo kortelėje turi būti pateikta toliau nurodyta svarbiausia informacija: </w:t>
      </w:r>
    </w:p>
    <w:p w:rsidR="009238EE" w:rsidRPr="002F5D9D" w:rsidRDefault="008D6948"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62647C">
        <w:rPr>
          <w:rFonts w:ascii="Times New Roman" w:hAnsi="Times New Roman"/>
        </w:rPr>
        <w:t>Fingolimod Teva</w:t>
      </w:r>
      <w:r w:rsidR="009238EE" w:rsidRPr="002F5D9D">
        <w:rPr>
          <w:rFonts w:ascii="Times New Roman" w:hAnsi="Times New Roman"/>
          <w:lang w:val="pt-PT"/>
        </w:rPr>
        <w:t xml:space="preserve"> draudžiama vartoti nėštumo metu ir vaisingo</w:t>
      </w:r>
      <w:r w:rsidR="00D03163" w:rsidRPr="002F5D9D">
        <w:rPr>
          <w:rFonts w:ascii="Times New Roman" w:hAnsi="Times New Roman"/>
          <w:lang w:val="pt-PT"/>
        </w:rPr>
        <w:t>ms</w:t>
      </w:r>
      <w:r w:rsidR="009238EE" w:rsidRPr="002F5D9D">
        <w:rPr>
          <w:rFonts w:ascii="Times New Roman" w:hAnsi="Times New Roman"/>
          <w:lang w:val="pt-PT"/>
        </w:rPr>
        <w:t xml:space="preserve"> moterims, nenaudojančioms veiksmingų kontracepcijos priemonių;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2F5D9D">
        <w:rPr>
          <w:rFonts w:ascii="Times New Roman" w:hAnsi="Times New Roman"/>
          <w:lang w:val="pt-PT"/>
        </w:rPr>
        <w:t xml:space="preserve">prieš paskirdamas gydymą ir reguliariai gydymo metu pacientes gydytojas informuos apie </w:t>
      </w:r>
      <w:r w:rsidR="008D6948" w:rsidRPr="0062647C">
        <w:rPr>
          <w:rFonts w:ascii="Times New Roman" w:hAnsi="Times New Roman"/>
        </w:rPr>
        <w:t>Fingolimod Teva</w:t>
      </w:r>
      <w:r w:rsidRPr="002F5D9D">
        <w:rPr>
          <w:rFonts w:ascii="Times New Roman" w:hAnsi="Times New Roman"/>
          <w:lang w:val="pt-PT"/>
        </w:rPr>
        <w:t xml:space="preserve"> keliamo teratogeninio poveikio riziką bei reikiamus veiksmus, skirtus šiai rizikai išvengti; </w:t>
      </w:r>
    </w:p>
    <w:p w:rsidR="009238EE" w:rsidRPr="002F5D9D" w:rsidRDefault="008D6948"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62647C">
        <w:rPr>
          <w:rFonts w:ascii="Times New Roman" w:hAnsi="Times New Roman"/>
        </w:rPr>
        <w:t>Fingolimod Teva</w:t>
      </w:r>
      <w:r w:rsidR="009238EE" w:rsidRPr="002F5D9D">
        <w:rPr>
          <w:rFonts w:ascii="Times New Roman" w:hAnsi="Times New Roman"/>
          <w:lang w:val="pt-PT"/>
        </w:rPr>
        <w:t xml:space="preserve"> vartojimo metu pacientės privalo naudoti veiksmingą kontracepciją; </w:t>
      </w:r>
    </w:p>
    <w:p w:rsidR="009238EE" w:rsidRPr="0062471E"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en-US"/>
        </w:rPr>
      </w:pPr>
      <w:r w:rsidRPr="002F5D9D">
        <w:rPr>
          <w:rFonts w:ascii="Times New Roman" w:hAnsi="Times New Roman"/>
          <w:lang w:val="pt-PT"/>
        </w:rPr>
        <w:t xml:space="preserve">prieš pradedant gydymą būtina atlikti nėštumo testą ir gydytojo privalo būti patvirtintas neigiamas testo rezultatas. </w:t>
      </w:r>
      <w:r w:rsidRPr="0062471E">
        <w:rPr>
          <w:rFonts w:ascii="Times New Roman" w:hAnsi="Times New Roman"/>
          <w:lang w:val="en-US"/>
        </w:rPr>
        <w:t xml:space="preserve">Šį testą privaloma kartoti tinkamais intervalais;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2F5D9D">
        <w:rPr>
          <w:rFonts w:ascii="Times New Roman" w:hAnsi="Times New Roman"/>
          <w:lang w:val="pt-PT"/>
        </w:rPr>
        <w:t xml:space="preserve">pacientes gydytojas informuos apie būtinybę gydymosi metu ir dar 2 mėnesius po gydymo nutraukimo naudoti veiksmingas kontracepcijos priemones;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2F5D9D">
        <w:rPr>
          <w:rFonts w:ascii="Times New Roman" w:hAnsi="Times New Roman"/>
          <w:lang w:val="pt-PT"/>
        </w:rPr>
        <w:t xml:space="preserve">gydytojai konsultuos pacientes joms pastojus bei patars dėl visų nėštumų išeičių įvertinimo; </w:t>
      </w:r>
    </w:p>
    <w:p w:rsidR="009238EE"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2F5D9D">
        <w:rPr>
          <w:rFonts w:ascii="Times New Roman" w:hAnsi="Times New Roman"/>
          <w:lang w:val="pt-PT"/>
        </w:rPr>
        <w:t xml:space="preserve">gydymosi metu moteris privalo nepastoti. Jeigu moteris pastoja arba ketina pastoti, </w:t>
      </w:r>
      <w:r w:rsidR="008D6948" w:rsidRPr="0062471E">
        <w:rPr>
          <w:rFonts w:ascii="Times New Roman" w:hAnsi="Times New Roman"/>
        </w:rPr>
        <w:t>Fingolimod Teva</w:t>
      </w:r>
      <w:r w:rsidRPr="002F5D9D">
        <w:rPr>
          <w:rFonts w:ascii="Times New Roman" w:hAnsi="Times New Roman"/>
          <w:lang w:val="pt-PT"/>
        </w:rPr>
        <w:t xml:space="preserve"> vartojimą privaloma nutraukti; </w:t>
      </w:r>
    </w:p>
    <w:p w:rsidR="008C0D40" w:rsidRPr="002F5D9D" w:rsidRDefault="009238EE" w:rsidP="0062471E">
      <w:pPr>
        <w:pStyle w:val="Sraopastraipa"/>
        <w:numPr>
          <w:ilvl w:val="0"/>
          <w:numId w:val="39"/>
        </w:numPr>
        <w:autoSpaceDE w:val="0"/>
        <w:autoSpaceDN w:val="0"/>
        <w:adjustRightInd w:val="0"/>
        <w:spacing w:after="0" w:line="240" w:lineRule="auto"/>
        <w:contextualSpacing w:val="0"/>
        <w:rPr>
          <w:rFonts w:ascii="Times New Roman" w:hAnsi="Times New Roman"/>
          <w:lang w:val="pt-PT"/>
        </w:rPr>
      </w:pPr>
      <w:r w:rsidRPr="002F5D9D">
        <w:rPr>
          <w:rFonts w:ascii="Times New Roman" w:hAnsi="Times New Roman"/>
          <w:lang w:val="pt-PT"/>
        </w:rPr>
        <w:lastRenderedPageBreak/>
        <w:t xml:space="preserve">pacientės turi nedelsdamos pranešti gydytojui, jeigu nutraukus gydymą </w:t>
      </w:r>
      <w:r w:rsidR="008D6948" w:rsidRPr="0062471E">
        <w:rPr>
          <w:rFonts w:ascii="Times New Roman" w:hAnsi="Times New Roman"/>
        </w:rPr>
        <w:t>Fingolimod Teva</w:t>
      </w:r>
      <w:r w:rsidRPr="002F5D9D">
        <w:rPr>
          <w:rFonts w:ascii="Times New Roman" w:hAnsi="Times New Roman"/>
          <w:lang w:val="pt-PT"/>
        </w:rPr>
        <w:t xml:space="preserve"> išsėtinės sklerozės simptomai pablogėja</w:t>
      </w:r>
      <w:r w:rsidR="00373A97" w:rsidRPr="002F5D9D">
        <w:rPr>
          <w:rFonts w:ascii="Times New Roman" w:hAnsi="Times New Roman"/>
          <w:lang w:val="pt-PT"/>
        </w:rPr>
        <w:t>.</w:t>
      </w:r>
      <w:r w:rsidR="008C0D40" w:rsidRPr="00473F76">
        <w:br w:type="page"/>
      </w:r>
    </w:p>
    <w:p w:rsidR="008C0D40" w:rsidRPr="002F5D9D" w:rsidRDefault="008C0D40" w:rsidP="008C0D40">
      <w:pPr>
        <w:spacing w:line="240" w:lineRule="auto"/>
        <w:rPr>
          <w:lang w:val="pt-PT"/>
        </w:rPr>
      </w:pPr>
    </w:p>
    <w:p w:rsidR="008C0D40" w:rsidRPr="002F5D9D" w:rsidRDefault="008C0D40" w:rsidP="008C0D40">
      <w:pPr>
        <w:numPr>
          <w:ilvl w:val="12"/>
          <w:numId w:val="0"/>
        </w:numPr>
        <w:spacing w:line="240" w:lineRule="auto"/>
        <w:rPr>
          <w:lang w:val="pt-PT"/>
        </w:rPr>
      </w:pPr>
    </w:p>
    <w:p w:rsidR="008C0D40" w:rsidRPr="002F5D9D" w:rsidRDefault="008C0D40" w:rsidP="008C0D40">
      <w:pPr>
        <w:tabs>
          <w:tab w:val="left" w:pos="0"/>
        </w:tabs>
        <w:spacing w:line="240" w:lineRule="auto"/>
        <w:rPr>
          <w:b/>
          <w:lang w:val="pt-PT"/>
        </w:rPr>
      </w:pPr>
    </w:p>
    <w:p w:rsidR="008C0D40" w:rsidRPr="002F5D9D" w:rsidRDefault="008C0D40" w:rsidP="008C0D40">
      <w:pPr>
        <w:tabs>
          <w:tab w:val="left" w:pos="4962"/>
        </w:tabs>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spacing w:line="240" w:lineRule="auto"/>
        <w:outlineLvl w:val="0"/>
        <w:rPr>
          <w:b/>
          <w:lang w:val="pt-PT"/>
        </w:rPr>
      </w:pPr>
    </w:p>
    <w:p w:rsidR="008C0D40" w:rsidRPr="002F5D9D" w:rsidRDefault="008C0D40" w:rsidP="008C0D40">
      <w:pPr>
        <w:spacing w:line="240" w:lineRule="auto"/>
        <w:outlineLvl w:val="0"/>
        <w:rPr>
          <w:b/>
          <w:lang w:val="pt-PT"/>
        </w:rPr>
      </w:pPr>
    </w:p>
    <w:p w:rsidR="008C0D40" w:rsidRPr="002F5D9D" w:rsidRDefault="008C0D40" w:rsidP="008C0D40">
      <w:pPr>
        <w:spacing w:line="240" w:lineRule="auto"/>
        <w:outlineLvl w:val="0"/>
        <w:rPr>
          <w:b/>
          <w:lang w:val="pt-PT"/>
        </w:rPr>
      </w:pPr>
    </w:p>
    <w:p w:rsidR="008C0D40" w:rsidRPr="00684A34" w:rsidRDefault="008C0D40" w:rsidP="008C0D40">
      <w:pPr>
        <w:keepNext/>
        <w:spacing w:line="240" w:lineRule="auto"/>
        <w:jc w:val="center"/>
        <w:outlineLvl w:val="1"/>
        <w:rPr>
          <w:b/>
          <w:lang w:val="fr-FR"/>
        </w:rPr>
      </w:pPr>
      <w:r w:rsidRPr="00684A34">
        <w:rPr>
          <w:b/>
          <w:lang w:val="fr-FR"/>
        </w:rPr>
        <w:t>III PRIEDAS</w:t>
      </w:r>
    </w:p>
    <w:p w:rsidR="008C0D40" w:rsidRPr="00684A34" w:rsidRDefault="008C0D40" w:rsidP="008C0D40">
      <w:pPr>
        <w:spacing w:line="240" w:lineRule="auto"/>
        <w:rPr>
          <w:lang w:val="fr-FR"/>
        </w:rPr>
      </w:pPr>
    </w:p>
    <w:p w:rsidR="008C0D40" w:rsidRPr="00684A34" w:rsidRDefault="008C0D40" w:rsidP="008C0D40">
      <w:pPr>
        <w:keepNext/>
        <w:spacing w:line="240" w:lineRule="auto"/>
        <w:jc w:val="center"/>
        <w:outlineLvl w:val="1"/>
        <w:rPr>
          <w:b/>
          <w:lang w:val="fr-FR"/>
        </w:rPr>
      </w:pPr>
      <w:r w:rsidRPr="00684A34">
        <w:rPr>
          <w:b/>
          <w:lang w:val="fr-FR"/>
        </w:rPr>
        <w:t>ŽENKLINIMAS IR PAKUOTĖS LAPELIS</w:t>
      </w:r>
    </w:p>
    <w:p w:rsidR="008C0D40" w:rsidRPr="00684A34" w:rsidRDefault="008C0D40" w:rsidP="008C0D40">
      <w:pPr>
        <w:spacing w:line="240" w:lineRule="auto"/>
        <w:rPr>
          <w:lang w:val="fr-FR"/>
        </w:rPr>
      </w:pPr>
      <w:r w:rsidRPr="00684A34">
        <w:rPr>
          <w:lang w:val="fr-FR"/>
        </w:rPr>
        <w:br w:type="page"/>
      </w: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keepNext/>
        <w:spacing w:line="240" w:lineRule="auto"/>
        <w:jc w:val="center"/>
        <w:outlineLvl w:val="1"/>
        <w:rPr>
          <w:b/>
          <w:lang w:val="fr-FR"/>
        </w:rPr>
      </w:pPr>
      <w:r w:rsidRPr="00684A34">
        <w:rPr>
          <w:b/>
          <w:lang w:val="fr-FR"/>
        </w:rPr>
        <w:t>A. ŽENKLINIMAS</w:t>
      </w:r>
    </w:p>
    <w:p w:rsidR="008C0D40" w:rsidRPr="00684A34" w:rsidRDefault="008C0D40" w:rsidP="008C0D40">
      <w:pPr>
        <w:spacing w:line="240" w:lineRule="auto"/>
        <w:rPr>
          <w:lang w:val="fr-FR"/>
        </w:rPr>
      </w:pPr>
      <w:r w:rsidRPr="00684A34">
        <w:rPr>
          <w:lang w:val="fr-FR"/>
        </w:rPr>
        <w:br w:type="page"/>
      </w:r>
    </w:p>
    <w:p w:rsidR="008C0D40" w:rsidRPr="00684A34" w:rsidRDefault="008C0D40" w:rsidP="008C0D40">
      <w:pPr>
        <w:pBdr>
          <w:top w:val="single" w:sz="4" w:space="1" w:color="auto"/>
          <w:left w:val="single" w:sz="4" w:space="4" w:color="auto"/>
          <w:bottom w:val="single" w:sz="4" w:space="1" w:color="auto"/>
          <w:right w:val="single" w:sz="4" w:space="4" w:color="auto"/>
        </w:pBdr>
        <w:spacing w:line="240" w:lineRule="auto"/>
        <w:rPr>
          <w:b/>
          <w:lang w:val="fr-FR"/>
        </w:rPr>
      </w:pPr>
      <w:r w:rsidRPr="00684A34">
        <w:rPr>
          <w:b/>
          <w:lang w:val="fr-FR"/>
        </w:rPr>
        <w:t>INFORMACIJA ANT IŠORINĖS PAKUOTĖS</w:t>
      </w:r>
    </w:p>
    <w:p w:rsidR="008C0D40" w:rsidRPr="00684A34"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lang w:val="fr-FR"/>
        </w:rPr>
      </w:pPr>
    </w:p>
    <w:p w:rsidR="008C0D40" w:rsidRPr="00684A34" w:rsidRDefault="008C0D40" w:rsidP="008C0D40">
      <w:pPr>
        <w:pBdr>
          <w:top w:val="single" w:sz="4" w:space="1" w:color="auto"/>
          <w:left w:val="single" w:sz="4" w:space="4" w:color="auto"/>
          <w:bottom w:val="single" w:sz="4" w:space="1" w:color="auto"/>
          <w:right w:val="single" w:sz="4" w:space="4" w:color="auto"/>
        </w:pBdr>
        <w:spacing w:line="240" w:lineRule="auto"/>
        <w:rPr>
          <w:b/>
          <w:lang w:val="fr-FR"/>
        </w:rPr>
      </w:pPr>
      <w:r w:rsidRPr="00684A34">
        <w:rPr>
          <w:b/>
          <w:lang w:val="fr-FR"/>
        </w:rPr>
        <w:t xml:space="preserve">KARTONO DĖŽUTĖ </w:t>
      </w: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1.</w:t>
      </w:r>
      <w:r w:rsidRPr="002F5D9D">
        <w:rPr>
          <w:b/>
          <w:lang w:val="pt-PT"/>
        </w:rPr>
        <w:tab/>
      </w:r>
      <w:r w:rsidRPr="002F5D9D">
        <w:rPr>
          <w:b/>
          <w:caps/>
          <w:lang w:val="pt-PT"/>
        </w:rPr>
        <w:t>VAISTINIO</w:t>
      </w:r>
      <w:r w:rsidRPr="002F5D9D">
        <w:rPr>
          <w:b/>
          <w:lang w:val="pt-PT"/>
        </w:rPr>
        <w:t xml:space="preserve"> PREPARATO PAVADINIMAS</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9F1865">
        <w:rPr>
          <w:bCs/>
          <w:noProof/>
          <w:szCs w:val="22"/>
          <w:lang w:val="lt-LT"/>
        </w:rPr>
        <w:t>Fingolimod Teva 0,5 mg kietosios kapsulės</w:t>
      </w:r>
      <w:r w:rsidRPr="002F5D9D">
        <w:rPr>
          <w:lang w:val="pt-PT"/>
        </w:rPr>
        <w:t xml:space="preserve"> </w:t>
      </w:r>
    </w:p>
    <w:p w:rsidR="008C0D40" w:rsidRPr="002F5D9D" w:rsidRDefault="008C0D40" w:rsidP="008C0D40">
      <w:pPr>
        <w:spacing w:line="240" w:lineRule="auto"/>
        <w:rPr>
          <w:lang w:val="pt-PT"/>
        </w:rPr>
      </w:pPr>
      <w:r w:rsidRPr="002F5D9D">
        <w:rPr>
          <w:lang w:val="pt-PT"/>
        </w:rPr>
        <w:t>fingolimodum</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0" w:color="auto"/>
          <w:left w:val="single" w:sz="4" w:space="4" w:color="auto"/>
          <w:bottom w:val="single" w:sz="4" w:space="1" w:color="auto"/>
          <w:right w:val="single" w:sz="4" w:space="4" w:color="auto"/>
        </w:pBdr>
        <w:spacing w:line="240" w:lineRule="auto"/>
        <w:ind w:left="567" w:hanging="567"/>
        <w:outlineLvl w:val="0"/>
        <w:rPr>
          <w:b/>
          <w:lang w:val="pt-PT"/>
        </w:rPr>
      </w:pPr>
      <w:r w:rsidRPr="002F5D9D">
        <w:rPr>
          <w:b/>
          <w:lang w:val="pt-PT"/>
        </w:rPr>
        <w:t>2.</w:t>
      </w:r>
      <w:r w:rsidRPr="002F5D9D">
        <w:rPr>
          <w:b/>
          <w:lang w:val="pt-PT"/>
        </w:rPr>
        <w:tab/>
        <w:t>VEIKLIOJI (-IOS) MEDŽIAGA (-OS) IR JOS (-Ų) KIEKIS (-IAI)</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t>Kiekvienoje kapsul</w:t>
      </w:r>
      <w:r>
        <w:rPr>
          <w:lang w:val="lt-LT"/>
        </w:rPr>
        <w:t>ėje</w:t>
      </w:r>
      <w:r w:rsidRPr="002F5D9D">
        <w:rPr>
          <w:lang w:val="pt-PT"/>
        </w:rPr>
        <w:t xml:space="preserve"> yra 0,5 mg fingolimodo (hidrochlorido pavidalu).</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3.</w:t>
      </w:r>
      <w:r w:rsidRPr="002F5D9D">
        <w:rPr>
          <w:b/>
          <w:lang w:val="pt-PT"/>
        </w:rPr>
        <w:tab/>
        <w:t>PAGALBINIŲ MEDŽIAGŲ SĄRAŠAS</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4.</w:t>
      </w:r>
      <w:r w:rsidRPr="002F5D9D">
        <w:rPr>
          <w:b/>
          <w:lang w:val="pt-PT"/>
        </w:rPr>
        <w:tab/>
        <w:t>FARMACINĖ FORMA IR KIEKIS PAKUOTĖJE</w:t>
      </w:r>
    </w:p>
    <w:p w:rsidR="008C0D40" w:rsidRPr="002F5D9D" w:rsidRDefault="008C0D40" w:rsidP="008C0D40">
      <w:pPr>
        <w:spacing w:line="240" w:lineRule="auto"/>
        <w:rPr>
          <w:lang w:val="pt-PT"/>
        </w:rPr>
      </w:pPr>
    </w:p>
    <w:p w:rsidR="007E2FC1" w:rsidRPr="002F5D9D" w:rsidRDefault="007E2FC1" w:rsidP="008C0D40">
      <w:pPr>
        <w:spacing w:line="240" w:lineRule="auto"/>
        <w:rPr>
          <w:lang w:val="pt-PT"/>
        </w:rPr>
      </w:pPr>
      <w:r w:rsidRPr="002F5D9D">
        <w:rPr>
          <w:highlight w:val="lightGray"/>
          <w:lang w:val="pt-PT"/>
        </w:rPr>
        <w:t>Kietoji kapsulė</w:t>
      </w:r>
    </w:p>
    <w:p w:rsidR="007E2FC1" w:rsidRPr="002F5D9D" w:rsidRDefault="007E2FC1" w:rsidP="008C0D40">
      <w:pPr>
        <w:spacing w:line="240" w:lineRule="auto"/>
        <w:rPr>
          <w:lang w:val="pt-PT"/>
        </w:rPr>
      </w:pPr>
    </w:p>
    <w:p w:rsidR="008C0D40" w:rsidRPr="002F5D9D" w:rsidRDefault="008C0D40" w:rsidP="008C0D40">
      <w:pPr>
        <w:spacing w:line="240" w:lineRule="auto"/>
        <w:rPr>
          <w:lang w:val="pt-PT"/>
        </w:rPr>
      </w:pPr>
      <w:r w:rsidRPr="002F5D9D">
        <w:rPr>
          <w:lang w:val="pt-PT"/>
        </w:rPr>
        <w:t>7 kapsulės</w:t>
      </w:r>
    </w:p>
    <w:p w:rsidR="001A573E" w:rsidRPr="002F5D9D" w:rsidRDefault="001A573E" w:rsidP="008C0D40">
      <w:pPr>
        <w:spacing w:line="240" w:lineRule="auto"/>
        <w:rPr>
          <w:lang w:val="pt-PT"/>
        </w:rPr>
      </w:pPr>
      <w:r w:rsidRPr="002F5D9D">
        <w:rPr>
          <w:highlight w:val="lightGray"/>
          <w:lang w:val="pt-PT"/>
        </w:rPr>
        <w:t xml:space="preserve">7x1 </w:t>
      </w:r>
      <w:r w:rsidRPr="002F5D9D">
        <w:rPr>
          <w:noProof/>
          <w:highlight w:val="lightGray"/>
          <w:lang w:val="pt-PT"/>
        </w:rPr>
        <w:t>kapsulės</w:t>
      </w:r>
    </w:p>
    <w:p w:rsidR="008C0D40" w:rsidRPr="002F5D9D" w:rsidRDefault="008C0D40" w:rsidP="008C0D40">
      <w:pPr>
        <w:spacing w:line="240" w:lineRule="auto"/>
        <w:rPr>
          <w:highlight w:val="lightGray"/>
          <w:lang w:val="pt-PT"/>
        </w:rPr>
      </w:pPr>
      <w:r w:rsidRPr="002F5D9D">
        <w:rPr>
          <w:highlight w:val="lightGray"/>
          <w:lang w:val="pt-PT"/>
        </w:rPr>
        <w:t>10 kapsulių</w:t>
      </w:r>
    </w:p>
    <w:p w:rsidR="008C0D40" w:rsidRPr="002F5D9D" w:rsidRDefault="008C0D40" w:rsidP="008C0D40">
      <w:pPr>
        <w:spacing w:line="240" w:lineRule="auto"/>
        <w:rPr>
          <w:highlight w:val="lightGray"/>
          <w:lang w:val="pt-PT"/>
        </w:rPr>
      </w:pPr>
      <w:r w:rsidRPr="002F5D9D">
        <w:rPr>
          <w:highlight w:val="lightGray"/>
          <w:lang w:val="pt-PT"/>
        </w:rPr>
        <w:t>10 x 1 kapsul</w:t>
      </w:r>
      <w:r w:rsidR="00E4702A" w:rsidRPr="002F5D9D">
        <w:rPr>
          <w:highlight w:val="lightGray"/>
          <w:lang w:val="pt-PT"/>
        </w:rPr>
        <w:t>ių</w:t>
      </w:r>
    </w:p>
    <w:p w:rsidR="008C0D40" w:rsidRPr="002F5D9D" w:rsidRDefault="008C0D40" w:rsidP="00690BD9">
      <w:pPr>
        <w:tabs>
          <w:tab w:val="clear" w:pos="567"/>
        </w:tabs>
        <w:spacing w:line="240" w:lineRule="auto"/>
        <w:rPr>
          <w:highlight w:val="lightGray"/>
          <w:lang w:val="pt-PT"/>
        </w:rPr>
      </w:pPr>
      <w:r w:rsidRPr="002F5D9D">
        <w:rPr>
          <w:highlight w:val="lightGray"/>
          <w:lang w:val="pt-PT"/>
        </w:rPr>
        <w:t xml:space="preserve">28 </w:t>
      </w:r>
      <w:r w:rsidR="00690BD9" w:rsidRPr="002F5D9D">
        <w:rPr>
          <w:highlight w:val="lightGray"/>
          <w:lang w:val="pt-PT"/>
        </w:rPr>
        <w:t>kapsulės</w:t>
      </w:r>
      <w:r w:rsidRPr="002F5D9D">
        <w:rPr>
          <w:highlight w:val="lightGray"/>
          <w:lang w:val="pt-PT"/>
        </w:rPr>
        <w:t xml:space="preserve"> </w:t>
      </w:r>
    </w:p>
    <w:p w:rsidR="008C0D40" w:rsidRPr="002F5D9D" w:rsidRDefault="008C0D40" w:rsidP="00690BD9">
      <w:pPr>
        <w:tabs>
          <w:tab w:val="clear" w:pos="567"/>
        </w:tabs>
        <w:spacing w:line="240" w:lineRule="auto"/>
        <w:rPr>
          <w:highlight w:val="lightGray"/>
          <w:lang w:val="pt-PT"/>
        </w:rPr>
      </w:pPr>
      <w:r w:rsidRPr="002F5D9D">
        <w:rPr>
          <w:highlight w:val="lightGray"/>
          <w:lang w:val="pt-PT"/>
        </w:rPr>
        <w:t xml:space="preserve">28 x 1 </w:t>
      </w:r>
      <w:r w:rsidR="00690BD9" w:rsidRPr="002F5D9D">
        <w:rPr>
          <w:highlight w:val="lightGray"/>
          <w:lang w:val="pt-PT"/>
        </w:rPr>
        <w:t>kapsulė</w:t>
      </w:r>
      <w:r w:rsidR="00E4702A" w:rsidRPr="002F5D9D">
        <w:rPr>
          <w:highlight w:val="lightGray"/>
          <w:lang w:val="pt-PT"/>
        </w:rPr>
        <w:t>s</w:t>
      </w:r>
    </w:p>
    <w:p w:rsidR="008C0D40" w:rsidRPr="002F5D9D" w:rsidRDefault="008C0D40" w:rsidP="00690BD9">
      <w:pPr>
        <w:tabs>
          <w:tab w:val="clear" w:pos="567"/>
        </w:tabs>
        <w:spacing w:line="240" w:lineRule="auto"/>
        <w:rPr>
          <w:highlight w:val="lightGray"/>
          <w:lang w:val="pt-PT"/>
        </w:rPr>
      </w:pPr>
      <w:r w:rsidRPr="002F5D9D">
        <w:rPr>
          <w:highlight w:val="lightGray"/>
          <w:lang w:val="pt-PT"/>
        </w:rPr>
        <w:t xml:space="preserve">30 </w:t>
      </w:r>
      <w:r w:rsidR="00690BD9" w:rsidRPr="002F5D9D">
        <w:rPr>
          <w:highlight w:val="lightGray"/>
          <w:lang w:val="pt-PT"/>
        </w:rPr>
        <w:t>kapsulių</w:t>
      </w:r>
    </w:p>
    <w:p w:rsidR="008C0D40" w:rsidRPr="002F5D9D" w:rsidRDefault="008C0D40" w:rsidP="00690BD9">
      <w:pPr>
        <w:tabs>
          <w:tab w:val="clear" w:pos="567"/>
        </w:tabs>
        <w:spacing w:line="240" w:lineRule="auto"/>
        <w:rPr>
          <w:highlight w:val="lightGray"/>
          <w:lang w:val="pt-PT"/>
        </w:rPr>
      </w:pPr>
      <w:r w:rsidRPr="002F5D9D">
        <w:rPr>
          <w:highlight w:val="lightGray"/>
          <w:lang w:val="pt-PT"/>
        </w:rPr>
        <w:t xml:space="preserve">30 x 1 </w:t>
      </w:r>
      <w:r w:rsidR="00690BD9" w:rsidRPr="002F5D9D">
        <w:rPr>
          <w:highlight w:val="lightGray"/>
          <w:lang w:val="pt-PT"/>
        </w:rPr>
        <w:t>kapsul</w:t>
      </w:r>
      <w:r w:rsidR="00E4702A" w:rsidRPr="002F5D9D">
        <w:rPr>
          <w:highlight w:val="lightGray"/>
          <w:lang w:val="pt-PT"/>
        </w:rPr>
        <w:t>ių</w:t>
      </w:r>
    </w:p>
    <w:p w:rsidR="008C0D40" w:rsidRPr="002F5D9D" w:rsidRDefault="008C0D40" w:rsidP="00690BD9">
      <w:pPr>
        <w:tabs>
          <w:tab w:val="clear" w:pos="567"/>
        </w:tabs>
        <w:spacing w:line="240" w:lineRule="auto"/>
        <w:rPr>
          <w:highlight w:val="lightGray"/>
          <w:lang w:val="pt-PT"/>
        </w:rPr>
      </w:pPr>
      <w:r w:rsidRPr="002F5D9D">
        <w:rPr>
          <w:highlight w:val="lightGray"/>
          <w:lang w:val="pt-PT"/>
        </w:rPr>
        <w:t xml:space="preserve">98 </w:t>
      </w:r>
      <w:r w:rsidR="00690BD9" w:rsidRPr="002F5D9D">
        <w:rPr>
          <w:highlight w:val="lightGray"/>
          <w:lang w:val="pt-PT"/>
        </w:rPr>
        <w:t>kapsulės</w:t>
      </w:r>
    </w:p>
    <w:p w:rsidR="008C0D40" w:rsidRPr="002F5D9D" w:rsidRDefault="008C0D40" w:rsidP="00690BD9">
      <w:pPr>
        <w:tabs>
          <w:tab w:val="clear" w:pos="567"/>
        </w:tabs>
        <w:spacing w:line="240" w:lineRule="auto"/>
        <w:rPr>
          <w:noProof/>
          <w:lang w:val="pt-PT"/>
        </w:rPr>
      </w:pPr>
      <w:r w:rsidRPr="002F5D9D">
        <w:rPr>
          <w:highlight w:val="lightGray"/>
          <w:lang w:val="pt-PT"/>
        </w:rPr>
        <w:t xml:space="preserve">98 x 1 </w:t>
      </w:r>
      <w:r w:rsidR="00690BD9" w:rsidRPr="002F5D9D">
        <w:rPr>
          <w:highlight w:val="lightGray"/>
          <w:lang w:val="pt-PT"/>
        </w:rPr>
        <w:t>kapsulė</w:t>
      </w:r>
      <w:r w:rsidR="00E4702A" w:rsidRPr="002F5D9D">
        <w:rPr>
          <w:noProof/>
          <w:lang w:val="pt-PT"/>
        </w:rPr>
        <w:t>s</w:t>
      </w:r>
    </w:p>
    <w:p w:rsidR="008C0D40" w:rsidRPr="002F5D9D" w:rsidRDefault="008C0D40" w:rsidP="00690BD9">
      <w:pPr>
        <w:spacing w:line="240" w:lineRule="auto"/>
        <w:rPr>
          <w:lang w:val="pt-PT"/>
        </w:rPr>
      </w:pPr>
      <w:r w:rsidRPr="002F5D9D">
        <w:rPr>
          <w:highlight w:val="lightGray"/>
          <w:lang w:val="pt-PT"/>
        </w:rPr>
        <w:t xml:space="preserve">100 x 1 </w:t>
      </w:r>
      <w:r w:rsidR="00690BD9" w:rsidRPr="002F5D9D">
        <w:rPr>
          <w:highlight w:val="lightGray"/>
          <w:lang w:val="pt-PT"/>
        </w:rPr>
        <w:t>kapsul</w:t>
      </w:r>
      <w:r w:rsidR="00E4702A" w:rsidRPr="002F5D9D">
        <w:rPr>
          <w:highlight w:val="lightGray"/>
          <w:lang w:val="pt-PT"/>
        </w:rPr>
        <w:t>ių</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5.</w:t>
      </w:r>
      <w:r w:rsidRPr="002F5D9D">
        <w:rPr>
          <w:b/>
          <w:lang w:val="pt-PT"/>
        </w:rPr>
        <w:tab/>
        <w:t>VARTOJIMO METODAS IR BŪDAS (-AI)</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t>Vartoti per burną.</w:t>
      </w:r>
    </w:p>
    <w:p w:rsidR="008C0D40" w:rsidRPr="002F5D9D" w:rsidRDefault="008C0D40" w:rsidP="008C0D40">
      <w:pPr>
        <w:spacing w:line="240" w:lineRule="auto"/>
        <w:rPr>
          <w:lang w:val="pt-PT"/>
        </w:rPr>
      </w:pPr>
      <w:r w:rsidRPr="002F5D9D">
        <w:rPr>
          <w:lang w:val="pt-PT"/>
        </w:rPr>
        <w:t>Prieš vartojimą perskaitykite pakuotės lapelį.</w:t>
      </w:r>
    </w:p>
    <w:p w:rsidR="00690BD9" w:rsidRPr="002F5D9D" w:rsidRDefault="00690BD9" w:rsidP="00690BD9">
      <w:pPr>
        <w:spacing w:line="240" w:lineRule="auto"/>
        <w:rPr>
          <w:lang w:val="pt-PT"/>
        </w:rPr>
      </w:pPr>
      <w:r w:rsidRPr="002F5D9D">
        <w:rPr>
          <w:lang w:val="pt-PT"/>
        </w:rPr>
        <w:t>Kapsulę nurykite visą.</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6.</w:t>
      </w:r>
      <w:r w:rsidRPr="002F5D9D">
        <w:rPr>
          <w:b/>
          <w:lang w:val="pt-PT"/>
        </w:rPr>
        <w:tab/>
        <w:t>SPECIALUS ĮSPĖJIMAS, KAD VAISTINĮ PREPARATĄ BŪTINA LAIKYTI VAIKAMS NEPASTEBIMOJE IR NEPASIEKIAMOJE VIETOJE</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t>Laikyti vaikams nepastebimoje ir nepasiekiamoje vietoje.</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7.</w:t>
      </w:r>
      <w:r w:rsidRPr="002F5D9D">
        <w:rPr>
          <w:b/>
          <w:lang w:val="pt-PT"/>
        </w:rPr>
        <w:tab/>
        <w:t>KITAS (-I) SPECIALUS (-ŪS) ĮSPĖJIMAS (-AI) (JEI REIKIA)</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8.</w:t>
      </w:r>
      <w:r w:rsidRPr="002F5D9D">
        <w:rPr>
          <w:b/>
          <w:lang w:val="pt-PT"/>
        </w:rPr>
        <w:tab/>
        <w:t>TINKAMUMO LAIKAS</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lastRenderedPageBreak/>
        <w:t>EXP {mm/MMMM}</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2F5D9D">
        <w:rPr>
          <w:b/>
          <w:lang w:val="pt-PT"/>
        </w:rPr>
        <w:t>9.</w:t>
      </w:r>
      <w:r w:rsidRPr="002F5D9D">
        <w:rPr>
          <w:b/>
          <w:lang w:val="pt-PT"/>
        </w:rPr>
        <w:tab/>
        <w:t>SPECIALIOS LAIKYMO SĄLYGOS</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lang w:val="pt-PT"/>
        </w:rPr>
      </w:pPr>
      <w:r w:rsidRPr="002F5D9D">
        <w:rPr>
          <w:b/>
          <w:lang w:val="pt-PT"/>
        </w:rPr>
        <w:t>10.</w:t>
      </w:r>
      <w:r w:rsidRPr="002F5D9D">
        <w:rPr>
          <w:b/>
          <w:lang w:val="pt-PT"/>
        </w:rPr>
        <w:tab/>
        <w:t>SPECIALIOS ATSARGUMO PRIEMONĖS DĖL NESUVARTOTO VAISTINIO PREPARATO AR JO ATLIEKŲ TVARKYMO (JEI REIKIA)</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473F76"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473F76">
        <w:rPr>
          <w:b/>
        </w:rPr>
        <w:t>11.</w:t>
      </w:r>
      <w:r w:rsidRPr="00473F76">
        <w:rPr>
          <w:b/>
        </w:rPr>
        <w:tab/>
      </w:r>
      <w:r w:rsidRPr="00473F76">
        <w:rPr>
          <w:b/>
          <w:caps/>
        </w:rPr>
        <w:t xml:space="preserve"> REGISTRUOTOJO PAVADINIMAS IR ADRESAS</w:t>
      </w:r>
    </w:p>
    <w:p w:rsidR="008C0D40" w:rsidRPr="00473F76" w:rsidRDefault="008C0D40" w:rsidP="008C0D40">
      <w:pPr>
        <w:spacing w:line="240" w:lineRule="auto"/>
      </w:pPr>
    </w:p>
    <w:p w:rsidR="00690BD9" w:rsidRPr="00B27759" w:rsidRDefault="00690BD9" w:rsidP="00690BD9">
      <w:pPr>
        <w:shd w:val="clear" w:color="auto" w:fill="FFFFFF"/>
        <w:tabs>
          <w:tab w:val="clear" w:pos="567"/>
        </w:tabs>
        <w:spacing w:line="240" w:lineRule="auto"/>
        <w:rPr>
          <w:snapToGrid/>
          <w:color w:val="222222"/>
          <w:szCs w:val="22"/>
          <w:lang w:val="lt-LT"/>
        </w:rPr>
      </w:pPr>
      <w:r w:rsidRPr="00B27759">
        <w:rPr>
          <w:snapToGrid/>
          <w:color w:val="222222"/>
          <w:szCs w:val="22"/>
          <w:lang w:val="lt-LT"/>
        </w:rPr>
        <w:t>Teva GmbH, </w:t>
      </w:r>
    </w:p>
    <w:p w:rsidR="00690BD9" w:rsidRPr="00B27759" w:rsidRDefault="00690BD9" w:rsidP="00690BD9">
      <w:pPr>
        <w:shd w:val="clear" w:color="auto" w:fill="FFFFFF"/>
        <w:tabs>
          <w:tab w:val="clear" w:pos="567"/>
        </w:tabs>
        <w:spacing w:line="240" w:lineRule="auto"/>
        <w:rPr>
          <w:snapToGrid/>
          <w:color w:val="222222"/>
          <w:szCs w:val="22"/>
          <w:lang w:val="lt-LT"/>
        </w:rPr>
      </w:pPr>
      <w:r w:rsidRPr="00B27759">
        <w:rPr>
          <w:snapToGrid/>
          <w:color w:val="222222"/>
          <w:szCs w:val="22"/>
          <w:lang w:val="lt-LT"/>
        </w:rPr>
        <w:t xml:space="preserve">Graf-Arco-Str. 3, </w:t>
      </w:r>
    </w:p>
    <w:p w:rsidR="00690BD9" w:rsidRPr="00B27759" w:rsidRDefault="00690BD9" w:rsidP="00690BD9">
      <w:pPr>
        <w:shd w:val="clear" w:color="auto" w:fill="FFFFFF"/>
        <w:tabs>
          <w:tab w:val="clear" w:pos="567"/>
        </w:tabs>
        <w:spacing w:line="240" w:lineRule="auto"/>
        <w:rPr>
          <w:snapToGrid/>
          <w:color w:val="222222"/>
          <w:szCs w:val="22"/>
          <w:lang w:val="lt-LT"/>
        </w:rPr>
      </w:pPr>
      <w:r w:rsidRPr="00B27759">
        <w:rPr>
          <w:snapToGrid/>
          <w:color w:val="222222"/>
          <w:szCs w:val="22"/>
          <w:lang w:val="lt-LT"/>
        </w:rPr>
        <w:t xml:space="preserve">89079 Ulm, </w:t>
      </w:r>
    </w:p>
    <w:p w:rsidR="008C0D40" w:rsidRPr="002F5D9D" w:rsidRDefault="00690BD9" w:rsidP="00690BD9">
      <w:pPr>
        <w:spacing w:line="240" w:lineRule="auto"/>
        <w:rPr>
          <w:lang w:val="pt-PT"/>
        </w:rPr>
      </w:pPr>
      <w:r w:rsidRPr="00B27759">
        <w:rPr>
          <w:snapToGrid/>
          <w:color w:val="222222"/>
          <w:szCs w:val="22"/>
          <w:lang w:val="lt-LT"/>
        </w:rPr>
        <w:t>Vokietija</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lang w:val="pt-PT"/>
        </w:rPr>
      </w:pPr>
      <w:r w:rsidRPr="002F5D9D">
        <w:rPr>
          <w:b/>
          <w:lang w:val="pt-PT"/>
        </w:rPr>
        <w:t>12.</w:t>
      </w:r>
      <w:r w:rsidRPr="002F5D9D">
        <w:rPr>
          <w:b/>
          <w:lang w:val="pt-PT"/>
        </w:rPr>
        <w:tab/>
        <w:t xml:space="preserve">REGISTRACIJOS PAŽYMĖJIMO NUMERIS (-IAI) </w:t>
      </w:r>
    </w:p>
    <w:p w:rsidR="008C0D40" w:rsidRPr="002F5D9D" w:rsidRDefault="008C0D40" w:rsidP="008C0D40">
      <w:pPr>
        <w:spacing w:line="240" w:lineRule="auto"/>
        <w:rPr>
          <w:lang w:val="pt-PT"/>
        </w:rPr>
      </w:pPr>
    </w:p>
    <w:p w:rsidR="00C54461" w:rsidRPr="002F5D9D" w:rsidRDefault="00C54461" w:rsidP="00C54461">
      <w:pPr>
        <w:spacing w:line="240" w:lineRule="auto"/>
        <w:rPr>
          <w:shd w:val="clear" w:color="auto" w:fill="D9D9D9"/>
          <w:lang w:val="pt-PT"/>
        </w:rPr>
      </w:pPr>
      <w:r w:rsidRPr="002F5D9D">
        <w:rPr>
          <w:lang w:val="pt-PT"/>
        </w:rPr>
        <w:t xml:space="preserve">LT/1/20/4638/001 </w:t>
      </w:r>
      <w:r w:rsidRPr="002F5D9D">
        <w:rPr>
          <w:shd w:val="clear" w:color="auto" w:fill="D9D9D9"/>
          <w:lang w:val="pt-PT"/>
        </w:rPr>
        <w:t>– N7</w:t>
      </w:r>
    </w:p>
    <w:p w:rsidR="007977B6" w:rsidRPr="002F5D9D" w:rsidRDefault="007977B6" w:rsidP="00C54461">
      <w:pPr>
        <w:spacing w:line="240" w:lineRule="auto"/>
        <w:rPr>
          <w:shd w:val="clear" w:color="auto" w:fill="D9D9D9"/>
          <w:lang w:val="pt-PT"/>
        </w:rPr>
      </w:pPr>
      <w:r w:rsidRPr="002F5D9D">
        <w:rPr>
          <w:highlight w:val="lightGray"/>
          <w:shd w:val="clear" w:color="auto" w:fill="D9D9D9"/>
          <w:lang w:val="pt-PT"/>
        </w:rPr>
        <w:t>LT/1/20/4638/0</w:t>
      </w:r>
      <w:r w:rsidR="00D31000" w:rsidRPr="002F5D9D">
        <w:rPr>
          <w:highlight w:val="lightGray"/>
          <w:shd w:val="clear" w:color="auto" w:fill="D9D9D9"/>
          <w:lang w:val="pt-PT"/>
        </w:rPr>
        <w:t>11</w:t>
      </w:r>
      <w:r w:rsidRPr="002F5D9D">
        <w:rPr>
          <w:highlight w:val="lightGray"/>
          <w:shd w:val="clear" w:color="auto" w:fill="D9D9D9"/>
          <w:lang w:val="pt-PT"/>
        </w:rPr>
        <w:t xml:space="preserve"> – N7×1</w:t>
      </w:r>
    </w:p>
    <w:p w:rsidR="00C54461" w:rsidRPr="002F5D9D" w:rsidRDefault="00C54461" w:rsidP="00C54461">
      <w:pPr>
        <w:spacing w:line="240" w:lineRule="auto"/>
        <w:rPr>
          <w:shd w:val="clear" w:color="auto" w:fill="D9D9D9"/>
          <w:lang w:val="pt-PT"/>
        </w:rPr>
      </w:pPr>
      <w:r w:rsidRPr="002F5D9D">
        <w:rPr>
          <w:shd w:val="clear" w:color="auto" w:fill="D9D9D9"/>
          <w:lang w:val="pt-PT"/>
        </w:rPr>
        <w:t>LT/1/20/4638/002 – N10</w:t>
      </w:r>
    </w:p>
    <w:p w:rsidR="00311C40" w:rsidRPr="002F5D9D" w:rsidRDefault="00311C40" w:rsidP="00311C40">
      <w:pPr>
        <w:spacing w:line="240" w:lineRule="auto"/>
        <w:rPr>
          <w:shd w:val="clear" w:color="auto" w:fill="D9D9D9"/>
          <w:lang w:val="pt-PT"/>
        </w:rPr>
      </w:pPr>
      <w:r w:rsidRPr="002F5D9D">
        <w:rPr>
          <w:shd w:val="clear" w:color="auto" w:fill="D9D9D9"/>
          <w:lang w:val="pt-PT"/>
        </w:rPr>
        <w:t>LT/1/20/4638/006 – N10×1</w:t>
      </w:r>
    </w:p>
    <w:p w:rsidR="00C54461" w:rsidRPr="002F5D9D" w:rsidRDefault="00C54461" w:rsidP="00C54461">
      <w:pPr>
        <w:spacing w:line="240" w:lineRule="auto"/>
        <w:rPr>
          <w:shd w:val="clear" w:color="auto" w:fill="D9D9D9"/>
          <w:lang w:val="pt-PT"/>
        </w:rPr>
      </w:pPr>
      <w:r w:rsidRPr="002F5D9D">
        <w:rPr>
          <w:shd w:val="clear" w:color="auto" w:fill="D9D9D9"/>
          <w:lang w:val="pt-PT"/>
        </w:rPr>
        <w:t>LT/1/20/4638/003 – N28</w:t>
      </w:r>
    </w:p>
    <w:p w:rsidR="00311C40" w:rsidRPr="002F5D9D" w:rsidRDefault="00311C40" w:rsidP="00311C40">
      <w:pPr>
        <w:spacing w:line="240" w:lineRule="auto"/>
        <w:rPr>
          <w:shd w:val="clear" w:color="auto" w:fill="D9D9D9"/>
          <w:lang w:val="pt-PT"/>
        </w:rPr>
      </w:pPr>
      <w:r w:rsidRPr="002F5D9D">
        <w:rPr>
          <w:shd w:val="clear" w:color="auto" w:fill="D9D9D9"/>
          <w:lang w:val="pt-PT"/>
        </w:rPr>
        <w:t>LT/1/20/4638/007 – N28×1</w:t>
      </w:r>
    </w:p>
    <w:p w:rsidR="00C54461" w:rsidRPr="002F5D9D" w:rsidRDefault="00C54461" w:rsidP="00C54461">
      <w:pPr>
        <w:spacing w:line="240" w:lineRule="auto"/>
        <w:rPr>
          <w:shd w:val="clear" w:color="auto" w:fill="D9D9D9"/>
          <w:lang w:val="pt-PT"/>
        </w:rPr>
      </w:pPr>
      <w:r w:rsidRPr="002F5D9D">
        <w:rPr>
          <w:shd w:val="clear" w:color="auto" w:fill="D9D9D9"/>
          <w:lang w:val="pt-PT"/>
        </w:rPr>
        <w:t>LT/1/20/4638/004 – N30</w:t>
      </w:r>
    </w:p>
    <w:p w:rsidR="00311C40" w:rsidRPr="002F5D9D" w:rsidRDefault="00311C40" w:rsidP="00C54461">
      <w:pPr>
        <w:spacing w:line="240" w:lineRule="auto"/>
        <w:rPr>
          <w:shd w:val="clear" w:color="auto" w:fill="D9D9D9"/>
          <w:lang w:val="pt-PT"/>
        </w:rPr>
      </w:pPr>
      <w:r w:rsidRPr="002F5D9D">
        <w:rPr>
          <w:shd w:val="clear" w:color="auto" w:fill="D9D9D9"/>
          <w:lang w:val="pt-PT"/>
        </w:rPr>
        <w:t>LT/1/20/4638/008 – N30×1</w:t>
      </w:r>
    </w:p>
    <w:p w:rsidR="00C54461" w:rsidRPr="002F5D9D" w:rsidRDefault="00C54461" w:rsidP="00C54461">
      <w:pPr>
        <w:spacing w:line="240" w:lineRule="auto"/>
        <w:rPr>
          <w:shd w:val="clear" w:color="auto" w:fill="D9D9D9"/>
          <w:lang w:val="pt-PT"/>
        </w:rPr>
      </w:pPr>
      <w:r w:rsidRPr="002F5D9D">
        <w:rPr>
          <w:shd w:val="clear" w:color="auto" w:fill="D9D9D9"/>
          <w:lang w:val="pt-PT"/>
        </w:rPr>
        <w:t>LT/1/20/4638/005 – N98</w:t>
      </w:r>
    </w:p>
    <w:p w:rsidR="00C54461" w:rsidRPr="002F5D9D" w:rsidRDefault="00C54461" w:rsidP="00C54461">
      <w:pPr>
        <w:spacing w:line="240" w:lineRule="auto"/>
        <w:rPr>
          <w:shd w:val="clear" w:color="auto" w:fill="D9D9D9"/>
          <w:lang w:val="pt-PT"/>
        </w:rPr>
      </w:pPr>
      <w:r w:rsidRPr="002F5D9D">
        <w:rPr>
          <w:shd w:val="clear" w:color="auto" w:fill="D9D9D9"/>
          <w:lang w:val="pt-PT"/>
        </w:rPr>
        <w:t>LT/1/20/4638/009 – N98×1</w:t>
      </w:r>
    </w:p>
    <w:p w:rsidR="008C0D40" w:rsidRPr="002F5D9D" w:rsidRDefault="00C54461" w:rsidP="00C54461">
      <w:pPr>
        <w:spacing w:line="240" w:lineRule="auto"/>
        <w:rPr>
          <w:lang w:val="pt-PT"/>
        </w:rPr>
      </w:pPr>
      <w:r w:rsidRPr="002F5D9D">
        <w:rPr>
          <w:shd w:val="clear" w:color="auto" w:fill="D9D9D9"/>
          <w:lang w:val="pt-PT"/>
        </w:rPr>
        <w:t>LT/1/20/4638/010 – N100×1</w:t>
      </w:r>
    </w:p>
    <w:p w:rsidR="00C54461" w:rsidRPr="002F5D9D" w:rsidRDefault="00C54461" w:rsidP="00C54461">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lang w:val="pt-PT"/>
        </w:rPr>
      </w:pPr>
      <w:r w:rsidRPr="002F5D9D">
        <w:rPr>
          <w:b/>
          <w:lang w:val="pt-PT"/>
        </w:rPr>
        <w:t>13.</w:t>
      </w:r>
      <w:r w:rsidRPr="002F5D9D">
        <w:rPr>
          <w:b/>
          <w:lang w:val="pt-PT"/>
        </w:rPr>
        <w:tab/>
        <w:t xml:space="preserve">SERIJOS NUMERIS </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t>Lot</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lang w:val="pt-PT"/>
        </w:rPr>
      </w:pPr>
      <w:r w:rsidRPr="002F5D9D">
        <w:rPr>
          <w:b/>
          <w:lang w:val="pt-PT"/>
        </w:rPr>
        <w:t>14.</w:t>
      </w:r>
      <w:r w:rsidRPr="002F5D9D">
        <w:rPr>
          <w:b/>
          <w:lang w:val="pt-PT"/>
        </w:rPr>
        <w:tab/>
        <w:t>PARDAVIMO (IŠDAVIMO) TVARKA</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r w:rsidRPr="002F5D9D">
        <w:rPr>
          <w:lang w:val="pt-PT"/>
        </w:rPr>
        <w:t>Receptinis vaistas</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2" w:color="auto"/>
          <w:left w:val="single" w:sz="4" w:space="4" w:color="auto"/>
          <w:bottom w:val="single" w:sz="4" w:space="1" w:color="auto"/>
          <w:right w:val="single" w:sz="4" w:space="4" w:color="auto"/>
        </w:pBdr>
        <w:spacing w:line="240" w:lineRule="auto"/>
        <w:outlineLvl w:val="0"/>
        <w:rPr>
          <w:lang w:val="pt-PT"/>
        </w:rPr>
      </w:pPr>
      <w:r w:rsidRPr="002F5D9D">
        <w:rPr>
          <w:b/>
          <w:lang w:val="pt-PT"/>
        </w:rPr>
        <w:t>15.</w:t>
      </w:r>
      <w:r w:rsidRPr="002F5D9D">
        <w:rPr>
          <w:b/>
          <w:lang w:val="pt-PT"/>
        </w:rPr>
        <w:tab/>
        <w:t>VARTOJIMO INSTRUKCIJA</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0" w:color="auto"/>
          <w:right w:val="single" w:sz="4" w:space="4" w:color="auto"/>
        </w:pBdr>
        <w:spacing w:line="240" w:lineRule="auto"/>
        <w:rPr>
          <w:color w:val="008000"/>
          <w:lang w:val="pt-PT"/>
        </w:rPr>
      </w:pPr>
      <w:r w:rsidRPr="002F5D9D">
        <w:rPr>
          <w:b/>
          <w:lang w:val="pt-PT"/>
        </w:rPr>
        <w:t>16.</w:t>
      </w:r>
      <w:r w:rsidRPr="002F5D9D">
        <w:rPr>
          <w:b/>
          <w:lang w:val="pt-PT"/>
        </w:rPr>
        <w:tab/>
        <w:t>INFORMACIJA BRAILIO RAŠTU</w:t>
      </w:r>
    </w:p>
    <w:p w:rsidR="008C0D40" w:rsidRPr="002F5D9D" w:rsidRDefault="008C0D40" w:rsidP="008C0D40">
      <w:pPr>
        <w:spacing w:line="240" w:lineRule="auto"/>
        <w:rPr>
          <w:lang w:val="pt-PT"/>
        </w:rPr>
      </w:pPr>
    </w:p>
    <w:p w:rsidR="008C0D40" w:rsidRPr="002F5D9D" w:rsidRDefault="00690BD9" w:rsidP="008C0D40">
      <w:pPr>
        <w:shd w:val="clear" w:color="auto" w:fill="FFFFFF"/>
        <w:spacing w:line="240" w:lineRule="auto"/>
        <w:rPr>
          <w:lang w:val="pt-PT"/>
        </w:rPr>
      </w:pPr>
      <w:r w:rsidRPr="009F1865">
        <w:rPr>
          <w:bCs/>
          <w:noProof/>
          <w:szCs w:val="22"/>
          <w:lang w:val="lt-LT"/>
        </w:rPr>
        <w:t xml:space="preserve">Fingolimod Teva 0,5 mg </w:t>
      </w:r>
    </w:p>
    <w:p w:rsidR="008C0D40" w:rsidRPr="002F5D9D" w:rsidRDefault="008C0D40" w:rsidP="008C0D40">
      <w:pPr>
        <w:shd w:val="clear" w:color="auto" w:fill="FFFFFF"/>
        <w:spacing w:line="240" w:lineRule="auto"/>
        <w:rPr>
          <w:lang w:val="pt-PT"/>
        </w:rPr>
      </w:pPr>
    </w:p>
    <w:p w:rsidR="008C0D40" w:rsidRPr="002F5D9D" w:rsidRDefault="008C0D40" w:rsidP="008C0D40">
      <w:pPr>
        <w:spacing w:line="240" w:lineRule="auto"/>
        <w:rPr>
          <w:shd w:val="clear" w:color="auto" w:fill="CCCCCC"/>
          <w:lang w:val="pt-PT"/>
        </w:rPr>
      </w:pPr>
    </w:p>
    <w:p w:rsidR="008C0D40" w:rsidRPr="002F5D9D"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pt-PT"/>
        </w:rPr>
      </w:pPr>
      <w:r w:rsidRPr="002F5D9D">
        <w:rPr>
          <w:b/>
          <w:lang w:val="pt-PT"/>
        </w:rPr>
        <w:t>17.</w:t>
      </w:r>
      <w:r w:rsidRPr="002F5D9D">
        <w:rPr>
          <w:b/>
          <w:lang w:val="pt-PT"/>
        </w:rPr>
        <w:tab/>
        <w:t>UNIKALUS IDENTIFIKATORIUS – 2D BRŪKŠNINIS KODAS</w:t>
      </w:r>
    </w:p>
    <w:p w:rsidR="008C0D40" w:rsidRPr="002F5D9D" w:rsidRDefault="008C0D40" w:rsidP="008C0D40">
      <w:pPr>
        <w:spacing w:line="240" w:lineRule="auto"/>
        <w:rPr>
          <w:lang w:val="pt-PT"/>
        </w:rPr>
      </w:pPr>
    </w:p>
    <w:p w:rsidR="008C0D40" w:rsidRPr="002F5D9D" w:rsidRDefault="008C0D40" w:rsidP="008C0D40">
      <w:pPr>
        <w:spacing w:line="240" w:lineRule="auto"/>
        <w:rPr>
          <w:shd w:val="clear" w:color="auto" w:fill="CCCCCC"/>
          <w:lang w:val="pt-PT"/>
        </w:rPr>
      </w:pPr>
      <w:r w:rsidRPr="002F5D9D">
        <w:rPr>
          <w:highlight w:val="lightGray"/>
          <w:lang w:val="pt-PT"/>
        </w:rPr>
        <w:t>2D brūkšninis kodas su nurodytu unikaliu identifikatoriumi.</w:t>
      </w:r>
    </w:p>
    <w:p w:rsidR="008C0D40" w:rsidRPr="002F5D9D" w:rsidRDefault="008C0D40" w:rsidP="008C0D40">
      <w:pPr>
        <w:spacing w:line="240" w:lineRule="auto"/>
        <w:rPr>
          <w:shd w:val="clear" w:color="auto" w:fill="CCCCCC"/>
          <w:lang w:val="pt-PT"/>
        </w:rPr>
      </w:pPr>
    </w:p>
    <w:p w:rsidR="008C0D40" w:rsidRPr="002F5D9D" w:rsidRDefault="008C0D40" w:rsidP="008C0D40">
      <w:pPr>
        <w:spacing w:line="240" w:lineRule="auto"/>
        <w:rPr>
          <w:lang w:val="pt-PT"/>
        </w:rPr>
      </w:pPr>
    </w:p>
    <w:p w:rsidR="008C0D40" w:rsidRPr="00473F76"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473F76">
        <w:rPr>
          <w:b/>
        </w:rPr>
        <w:t>18.</w:t>
      </w:r>
      <w:r w:rsidRPr="00473F76">
        <w:rPr>
          <w:b/>
        </w:rPr>
        <w:tab/>
        <w:t>UNIKALUS IDENTIFIKATORIUS – ŽMONĖMS SUPRANTAMI DUOMENYS</w:t>
      </w:r>
    </w:p>
    <w:p w:rsidR="008C0D40" w:rsidRPr="00473F76" w:rsidRDefault="008C0D40" w:rsidP="008C0D40">
      <w:pPr>
        <w:spacing w:line="240" w:lineRule="auto"/>
      </w:pPr>
    </w:p>
    <w:p w:rsidR="008C0D40" w:rsidRPr="00473F76" w:rsidRDefault="008C0D40" w:rsidP="008C0D40">
      <w:pPr>
        <w:spacing w:line="240" w:lineRule="auto"/>
      </w:pPr>
      <w:r w:rsidRPr="00473F76">
        <w:t xml:space="preserve">PC: </w:t>
      </w:r>
    </w:p>
    <w:p w:rsidR="008C0D40" w:rsidRPr="00473F76" w:rsidRDefault="008C0D40" w:rsidP="008C0D40">
      <w:pPr>
        <w:spacing w:line="240" w:lineRule="auto"/>
      </w:pPr>
      <w:r w:rsidRPr="00473F76">
        <w:t xml:space="preserve">SN: </w:t>
      </w:r>
    </w:p>
    <w:p w:rsidR="008C0D40" w:rsidRPr="00473F76" w:rsidRDefault="008C0D40" w:rsidP="008C0D40">
      <w:pPr>
        <w:spacing w:line="240" w:lineRule="auto"/>
        <w:rPr>
          <w:vanish/>
        </w:rPr>
      </w:pPr>
      <w:r w:rsidRPr="00690BD9">
        <w:t>NN:</w:t>
      </w:r>
      <w:r w:rsidRPr="00473F76">
        <w:t xml:space="preserve"> </w:t>
      </w:r>
    </w:p>
    <w:p w:rsidR="008C0D40" w:rsidRPr="00473F76" w:rsidRDefault="008C0D40" w:rsidP="008C0D40">
      <w:pPr>
        <w:spacing w:line="240" w:lineRule="auto"/>
      </w:pPr>
      <w:r w:rsidRPr="00473F76">
        <w:br w:type="page"/>
      </w:r>
    </w:p>
    <w:p w:rsidR="008C0D40" w:rsidRPr="00473F76" w:rsidRDefault="008C0D40" w:rsidP="008C0D40">
      <w:pPr>
        <w:pBdr>
          <w:top w:val="single" w:sz="4" w:space="1" w:color="auto"/>
          <w:left w:val="single" w:sz="4" w:space="4" w:color="auto"/>
          <w:bottom w:val="single" w:sz="4" w:space="1" w:color="auto"/>
          <w:right w:val="single" w:sz="4" w:space="4" w:color="auto"/>
        </w:pBdr>
        <w:tabs>
          <w:tab w:val="left" w:pos="0"/>
        </w:tabs>
        <w:spacing w:line="240" w:lineRule="auto"/>
        <w:rPr>
          <w:b/>
        </w:rPr>
      </w:pPr>
      <w:r w:rsidRPr="00473F76">
        <w:rPr>
          <w:b/>
        </w:rPr>
        <w:t xml:space="preserve">MINIMALI INFORMACIJA ANT LIZDINIŲ PLOKŠTELIŲ </w:t>
      </w:r>
      <w:r w:rsidRPr="00473F76">
        <w:rPr>
          <w:b/>
          <w:noProof/>
          <w:szCs w:val="24"/>
        </w:rPr>
        <w:t>ARBA DVISLUOKSNIŲ JUOSTELIŲ</w:t>
      </w:r>
    </w:p>
    <w:p w:rsidR="008C0D40" w:rsidRPr="00473F76"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2F5D9D">
        <w:rPr>
          <w:b/>
          <w:lang w:val="pt-PT"/>
        </w:rPr>
        <w:t>LIZDINĖ PLOKŠTELĖ</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lang w:val="pt-PT"/>
        </w:rPr>
      </w:pPr>
      <w:r w:rsidRPr="002F5D9D">
        <w:rPr>
          <w:b/>
          <w:lang w:val="pt-PT"/>
        </w:rPr>
        <w:t>1.</w:t>
      </w:r>
      <w:r w:rsidRPr="002F5D9D">
        <w:rPr>
          <w:b/>
          <w:lang w:val="pt-PT"/>
        </w:rPr>
        <w:tab/>
      </w:r>
      <w:r w:rsidRPr="002F5D9D">
        <w:rPr>
          <w:b/>
          <w:caps/>
          <w:lang w:val="pt-PT"/>
        </w:rPr>
        <w:t>VAISTINIO</w:t>
      </w:r>
      <w:r w:rsidRPr="002F5D9D">
        <w:rPr>
          <w:b/>
          <w:lang w:val="pt-PT"/>
        </w:rPr>
        <w:t xml:space="preserve"> PREPARATO PAVADINIMAS</w:t>
      </w:r>
    </w:p>
    <w:p w:rsidR="008C0D40" w:rsidRPr="002F5D9D" w:rsidRDefault="008C0D40" w:rsidP="008C0D40">
      <w:pPr>
        <w:spacing w:line="240" w:lineRule="auto"/>
        <w:rPr>
          <w:lang w:val="pt-PT"/>
        </w:rPr>
      </w:pPr>
    </w:p>
    <w:p w:rsidR="00690BD9" w:rsidRPr="002F5D9D" w:rsidRDefault="00690BD9" w:rsidP="00690BD9">
      <w:pPr>
        <w:shd w:val="clear" w:color="auto" w:fill="FFFFFF"/>
        <w:spacing w:line="240" w:lineRule="auto"/>
        <w:rPr>
          <w:lang w:val="pt-PT"/>
        </w:rPr>
      </w:pPr>
      <w:r w:rsidRPr="009F1865">
        <w:rPr>
          <w:bCs/>
          <w:noProof/>
          <w:szCs w:val="22"/>
          <w:lang w:val="lt-LT"/>
        </w:rPr>
        <w:t>Fingolimod Teva 0,5 mg kietosios kapsulės</w:t>
      </w:r>
    </w:p>
    <w:p w:rsidR="008C0D40" w:rsidRPr="002F5D9D" w:rsidRDefault="00690BD9" w:rsidP="008C0D40">
      <w:pPr>
        <w:spacing w:line="240" w:lineRule="auto"/>
        <w:rPr>
          <w:lang w:val="pt-PT"/>
        </w:rPr>
      </w:pPr>
      <w:r w:rsidRPr="002F5D9D">
        <w:rPr>
          <w:lang w:val="pt-PT"/>
        </w:rPr>
        <w:t>fingolimodum</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lang w:val="pt-PT"/>
        </w:rPr>
      </w:pPr>
      <w:r w:rsidRPr="002F5D9D">
        <w:rPr>
          <w:b/>
          <w:lang w:val="pt-PT"/>
        </w:rPr>
        <w:t>2.</w:t>
      </w:r>
      <w:r w:rsidRPr="002F5D9D">
        <w:rPr>
          <w:b/>
          <w:lang w:val="pt-PT"/>
        </w:rPr>
        <w:tab/>
      </w:r>
      <w:r w:rsidRPr="002F5D9D">
        <w:rPr>
          <w:b/>
          <w:caps/>
          <w:lang w:val="pt-PT"/>
        </w:rPr>
        <w:t>REGISTRUOTOJO pavadinimas</w:t>
      </w:r>
    </w:p>
    <w:p w:rsidR="008C0D40" w:rsidRPr="002F5D9D" w:rsidRDefault="008C0D40" w:rsidP="008C0D40">
      <w:pPr>
        <w:spacing w:line="240" w:lineRule="auto"/>
        <w:rPr>
          <w:lang w:val="pt-PT"/>
        </w:rPr>
      </w:pPr>
    </w:p>
    <w:p w:rsidR="008C0D40" w:rsidRPr="002F5D9D" w:rsidRDefault="008C0D40" w:rsidP="00690BD9">
      <w:pPr>
        <w:spacing w:line="240" w:lineRule="auto"/>
        <w:rPr>
          <w:lang w:val="pt-PT"/>
        </w:rPr>
      </w:pPr>
      <w:r w:rsidRPr="002F5D9D">
        <w:rPr>
          <w:lang w:val="pt-PT"/>
        </w:rPr>
        <w:t xml:space="preserve">Teva </w:t>
      </w:r>
      <w:r w:rsidR="003E050F" w:rsidRPr="002F5D9D">
        <w:rPr>
          <w:lang w:val="pt-PT"/>
        </w:rPr>
        <w:t>GmbH</w:t>
      </w:r>
    </w:p>
    <w:p w:rsidR="008C0D40" w:rsidRPr="002F5D9D" w:rsidRDefault="008C0D40" w:rsidP="008C0D40">
      <w:pPr>
        <w:spacing w:line="240" w:lineRule="auto"/>
        <w:rPr>
          <w:lang w:val="pt-PT"/>
        </w:rPr>
      </w:pPr>
    </w:p>
    <w:p w:rsidR="008C0D40" w:rsidRPr="002F5D9D" w:rsidRDefault="008C0D40" w:rsidP="008C0D40">
      <w:pPr>
        <w:spacing w:line="240" w:lineRule="auto"/>
        <w:rPr>
          <w:lang w:val="pt-PT"/>
        </w:rPr>
      </w:pPr>
    </w:p>
    <w:p w:rsidR="008C0D40" w:rsidRPr="002F5D9D" w:rsidRDefault="008C0D40" w:rsidP="008C0D40">
      <w:pPr>
        <w:pBdr>
          <w:top w:val="single" w:sz="4" w:space="1" w:color="auto"/>
          <w:left w:val="single" w:sz="4" w:space="4" w:color="auto"/>
          <w:bottom w:val="single" w:sz="4" w:space="2" w:color="auto"/>
          <w:right w:val="single" w:sz="4" w:space="4" w:color="auto"/>
        </w:pBdr>
        <w:spacing w:line="240" w:lineRule="auto"/>
        <w:outlineLvl w:val="0"/>
        <w:rPr>
          <w:b/>
          <w:lang w:val="pt-PT"/>
        </w:rPr>
      </w:pPr>
      <w:r w:rsidRPr="002F5D9D">
        <w:rPr>
          <w:b/>
          <w:lang w:val="pt-PT"/>
        </w:rPr>
        <w:t>3.</w:t>
      </w:r>
      <w:r w:rsidRPr="002F5D9D">
        <w:rPr>
          <w:b/>
          <w:lang w:val="pt-PT"/>
        </w:rPr>
        <w:tab/>
        <w:t>TINKAMUMO LAIKAS</w:t>
      </w:r>
    </w:p>
    <w:p w:rsidR="008C0D40" w:rsidRPr="002F5D9D" w:rsidRDefault="008C0D40" w:rsidP="008C0D40">
      <w:pPr>
        <w:spacing w:line="240" w:lineRule="auto"/>
        <w:rPr>
          <w:lang w:val="pt-PT"/>
        </w:rPr>
      </w:pPr>
    </w:p>
    <w:p w:rsidR="008C0D40" w:rsidRPr="00473F76" w:rsidRDefault="008C0D40" w:rsidP="008C0D40">
      <w:pPr>
        <w:spacing w:line="240" w:lineRule="auto"/>
      </w:pPr>
      <w:r w:rsidRPr="00473F76">
        <w:t>EXP {mm/MMMM}</w:t>
      </w:r>
    </w:p>
    <w:p w:rsidR="008C0D40" w:rsidRPr="00473F76" w:rsidRDefault="008C0D40" w:rsidP="008C0D40">
      <w:pPr>
        <w:spacing w:line="240" w:lineRule="auto"/>
      </w:pPr>
    </w:p>
    <w:p w:rsidR="008C0D40" w:rsidRPr="00473F76" w:rsidRDefault="008C0D40" w:rsidP="008C0D40">
      <w:pPr>
        <w:spacing w:line="240" w:lineRule="auto"/>
      </w:pPr>
    </w:p>
    <w:p w:rsidR="008C0D40" w:rsidRPr="00473F76" w:rsidRDefault="008C0D40" w:rsidP="008C0D40">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473F76">
        <w:rPr>
          <w:b/>
        </w:rPr>
        <w:t>4.</w:t>
      </w:r>
      <w:r w:rsidRPr="00473F76">
        <w:rPr>
          <w:b/>
        </w:rPr>
        <w:tab/>
        <w:t>SERIJOS NUMERIS</w:t>
      </w:r>
    </w:p>
    <w:p w:rsidR="008C0D40" w:rsidRPr="00473F76" w:rsidRDefault="008C0D40" w:rsidP="008C0D40">
      <w:pPr>
        <w:spacing w:line="240" w:lineRule="auto"/>
      </w:pPr>
    </w:p>
    <w:p w:rsidR="008C0D40" w:rsidRPr="00473F76" w:rsidRDefault="008C0D40" w:rsidP="008C0D40">
      <w:pPr>
        <w:spacing w:line="240" w:lineRule="auto"/>
        <w:outlineLvl w:val="0"/>
        <w:rPr>
          <w:b/>
        </w:rPr>
      </w:pPr>
      <w:r w:rsidRPr="00473F76">
        <w:t>Lot</w:t>
      </w:r>
    </w:p>
    <w:p w:rsidR="008C0D40" w:rsidRPr="00473F76" w:rsidRDefault="008C0D40" w:rsidP="008C0D40">
      <w:pPr>
        <w:spacing w:line="240" w:lineRule="auto"/>
      </w:pPr>
    </w:p>
    <w:p w:rsidR="008C0D40" w:rsidRPr="00473F76" w:rsidRDefault="008C0D40" w:rsidP="008C0D40">
      <w:pPr>
        <w:spacing w:line="240" w:lineRule="auto"/>
      </w:pPr>
    </w:p>
    <w:p w:rsidR="008C0D40" w:rsidRPr="00684A34"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684A34">
        <w:rPr>
          <w:b/>
          <w:lang w:val="fr-FR"/>
        </w:rPr>
        <w:t>5.</w:t>
      </w:r>
      <w:r w:rsidRPr="00684A34">
        <w:rPr>
          <w:b/>
          <w:lang w:val="fr-FR"/>
        </w:rPr>
        <w:tab/>
        <w:t>KITA</w:t>
      </w: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690BD9" w:rsidRPr="00684A34" w:rsidRDefault="008C0D40" w:rsidP="00690BD9">
      <w:pPr>
        <w:rPr>
          <w:lang w:val="fr-FR"/>
        </w:rPr>
      </w:pPr>
      <w:r w:rsidRPr="00684A34">
        <w:rPr>
          <w:b/>
          <w:lang w:val="fr-FR"/>
        </w:rPr>
        <w:br w:type="page"/>
      </w: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outlineLvl w:val="0"/>
        <w:rPr>
          <w:lang w:val="fr-FR"/>
        </w:rPr>
      </w:pPr>
    </w:p>
    <w:p w:rsidR="008C0D40" w:rsidRPr="00684A34" w:rsidRDefault="008C0D40" w:rsidP="008C0D40">
      <w:pPr>
        <w:spacing w:line="240" w:lineRule="auto"/>
        <w:jc w:val="center"/>
        <w:outlineLvl w:val="0"/>
        <w:rPr>
          <w:b/>
          <w:lang w:val="fr-FR"/>
        </w:rPr>
      </w:pPr>
      <w:r w:rsidRPr="00684A34">
        <w:rPr>
          <w:b/>
          <w:lang w:val="fr-FR"/>
        </w:rPr>
        <w:t>B. PAKUOTĖS LAPELIS</w:t>
      </w:r>
    </w:p>
    <w:p w:rsidR="008C0D40" w:rsidRPr="00C82784" w:rsidRDefault="008C0D40" w:rsidP="007E1ACF">
      <w:pPr>
        <w:pStyle w:val="Antrat2"/>
        <w:spacing w:before="0" w:after="0" w:line="240" w:lineRule="auto"/>
        <w:jc w:val="center"/>
        <w:rPr>
          <w:rFonts w:ascii="Times New Roman" w:hAnsi="Times New Roman"/>
          <w:i w:val="0"/>
          <w:sz w:val="22"/>
          <w:szCs w:val="22"/>
          <w:lang w:val="lt-LT"/>
        </w:rPr>
      </w:pPr>
      <w:r w:rsidRPr="00684A34">
        <w:rPr>
          <w:rFonts w:ascii="Times New Roman" w:hAnsi="Times New Roman"/>
          <w:b w:val="0"/>
          <w:lang w:val="fr-FR"/>
        </w:rPr>
        <w:br w:type="page"/>
      </w:r>
      <w:r w:rsidRPr="00331ABF">
        <w:rPr>
          <w:rFonts w:ascii="Times New Roman" w:hAnsi="Times New Roman"/>
          <w:i w:val="0"/>
          <w:sz w:val="22"/>
          <w:szCs w:val="22"/>
          <w:lang w:val="lt-LT"/>
        </w:rPr>
        <w:lastRenderedPageBreak/>
        <w:t>Pakuotės</w:t>
      </w:r>
      <w:r w:rsidRPr="00C82784">
        <w:rPr>
          <w:rFonts w:ascii="Times New Roman" w:hAnsi="Times New Roman"/>
          <w:i w:val="0"/>
          <w:sz w:val="22"/>
          <w:szCs w:val="22"/>
          <w:lang w:val="lt-LT"/>
        </w:rPr>
        <w:t xml:space="preserve"> lapelis:</w:t>
      </w:r>
      <w:r w:rsidRPr="00C82784">
        <w:rPr>
          <w:rFonts w:ascii="Times New Roman" w:hAnsi="Times New Roman"/>
          <w:bCs w:val="0"/>
          <w:i w:val="0"/>
          <w:iCs w:val="0"/>
          <w:sz w:val="22"/>
          <w:szCs w:val="22"/>
          <w:lang w:val="lt-LT"/>
        </w:rPr>
        <w:t xml:space="preserve"> </w:t>
      </w:r>
      <w:r w:rsidRPr="00C82784">
        <w:rPr>
          <w:rFonts w:ascii="Times New Roman" w:hAnsi="Times New Roman"/>
          <w:i w:val="0"/>
          <w:sz w:val="22"/>
          <w:szCs w:val="22"/>
          <w:lang w:val="lt-LT"/>
        </w:rPr>
        <w:t>informacija vartotojui</w:t>
      </w:r>
    </w:p>
    <w:p w:rsidR="008C0D40" w:rsidRPr="00C82784" w:rsidRDefault="008C0D40" w:rsidP="008C0D40">
      <w:pPr>
        <w:rPr>
          <w:bCs/>
          <w:i/>
          <w:iCs/>
          <w:szCs w:val="22"/>
          <w:lang w:val="lt-LT"/>
        </w:rPr>
      </w:pPr>
    </w:p>
    <w:p w:rsidR="008C0D40" w:rsidRPr="00C82784" w:rsidRDefault="008C0D40" w:rsidP="008C0D40">
      <w:pPr>
        <w:spacing w:line="240" w:lineRule="auto"/>
        <w:jc w:val="center"/>
        <w:rPr>
          <w:b/>
          <w:noProof/>
          <w:szCs w:val="22"/>
          <w:lang w:val="lt-LT"/>
        </w:rPr>
      </w:pPr>
      <w:r w:rsidRPr="00C82784">
        <w:rPr>
          <w:b/>
          <w:noProof/>
          <w:szCs w:val="22"/>
          <w:lang w:val="lt-LT"/>
        </w:rPr>
        <w:t>Fingolimod Teva 0,5 mg kietosios kapsulės</w:t>
      </w:r>
    </w:p>
    <w:p w:rsidR="008C0D40" w:rsidRPr="00C82784" w:rsidRDefault="008C0D40" w:rsidP="008C0D40">
      <w:pPr>
        <w:numPr>
          <w:ilvl w:val="12"/>
          <w:numId w:val="0"/>
        </w:numPr>
        <w:tabs>
          <w:tab w:val="clear" w:pos="567"/>
        </w:tabs>
        <w:spacing w:line="240" w:lineRule="auto"/>
        <w:jc w:val="center"/>
        <w:rPr>
          <w:noProof/>
          <w:szCs w:val="22"/>
          <w:lang w:val="lt-LT"/>
        </w:rPr>
      </w:pPr>
      <w:r w:rsidRPr="00C82784">
        <w:rPr>
          <w:noProof/>
          <w:szCs w:val="22"/>
          <w:lang w:val="lt-LT"/>
        </w:rPr>
        <w:t>fingolimodas</w:t>
      </w:r>
    </w:p>
    <w:p w:rsidR="008C0D40" w:rsidRPr="00C82784" w:rsidRDefault="008C0D40" w:rsidP="008C0D40">
      <w:pPr>
        <w:numPr>
          <w:ilvl w:val="12"/>
          <w:numId w:val="0"/>
        </w:numPr>
        <w:tabs>
          <w:tab w:val="clear" w:pos="567"/>
        </w:tabs>
        <w:spacing w:line="240" w:lineRule="auto"/>
        <w:rPr>
          <w:noProof/>
          <w:szCs w:val="22"/>
          <w:lang w:val="lt-LT"/>
        </w:rPr>
      </w:pPr>
    </w:p>
    <w:p w:rsidR="008C0D40" w:rsidRPr="00C82784" w:rsidRDefault="008C0D40" w:rsidP="008C0D40">
      <w:pPr>
        <w:numPr>
          <w:ilvl w:val="12"/>
          <w:numId w:val="0"/>
        </w:numPr>
        <w:tabs>
          <w:tab w:val="clear" w:pos="567"/>
        </w:tabs>
        <w:spacing w:line="240" w:lineRule="auto"/>
        <w:rPr>
          <w:b/>
          <w:noProof/>
          <w:szCs w:val="22"/>
          <w:lang w:val="lt-LT"/>
        </w:rPr>
      </w:pPr>
      <w:r w:rsidRPr="00C82784">
        <w:rPr>
          <w:b/>
          <w:noProof/>
          <w:szCs w:val="22"/>
          <w:lang w:val="lt-LT"/>
        </w:rPr>
        <w:t xml:space="preserve">Atidžiai perskaitykite visą šį lapelį, prieš pradėdami vartoti vaistą, nes jame pateikiama Jums svarbi </w:t>
      </w:r>
    </w:p>
    <w:p w:rsidR="008C0D40" w:rsidRPr="00C82784" w:rsidRDefault="008C0D40" w:rsidP="008C0D40">
      <w:pPr>
        <w:numPr>
          <w:ilvl w:val="12"/>
          <w:numId w:val="0"/>
        </w:numPr>
        <w:tabs>
          <w:tab w:val="clear" w:pos="567"/>
        </w:tabs>
        <w:spacing w:line="240" w:lineRule="auto"/>
        <w:rPr>
          <w:b/>
          <w:szCs w:val="22"/>
          <w:lang w:val="lt-LT"/>
        </w:rPr>
      </w:pPr>
      <w:r w:rsidRPr="00C82784">
        <w:rPr>
          <w:b/>
          <w:noProof/>
          <w:szCs w:val="22"/>
          <w:lang w:val="lt-LT"/>
        </w:rPr>
        <w:t>informacija.</w:t>
      </w:r>
    </w:p>
    <w:p w:rsidR="008C0D40" w:rsidRPr="00C82784" w:rsidRDefault="008C0D40" w:rsidP="008C0D40">
      <w:pPr>
        <w:numPr>
          <w:ilvl w:val="1"/>
          <w:numId w:val="9"/>
        </w:numPr>
        <w:tabs>
          <w:tab w:val="clear" w:pos="567"/>
        </w:tabs>
        <w:spacing w:line="240" w:lineRule="auto"/>
        <w:ind w:left="567" w:right="-2" w:hanging="567"/>
        <w:rPr>
          <w:noProof/>
          <w:szCs w:val="22"/>
          <w:lang w:val="lt-LT"/>
        </w:rPr>
      </w:pPr>
      <w:r w:rsidRPr="00C82784">
        <w:rPr>
          <w:noProof/>
          <w:szCs w:val="22"/>
          <w:lang w:val="lt-LT"/>
        </w:rPr>
        <w:t xml:space="preserve">Neišmeskite šio lapelio, nes vėl gali prireikti jį perskaityti. </w:t>
      </w:r>
    </w:p>
    <w:p w:rsidR="008C0D40" w:rsidRPr="00C82784" w:rsidRDefault="008C0D40" w:rsidP="008C0D40">
      <w:pPr>
        <w:numPr>
          <w:ilvl w:val="1"/>
          <w:numId w:val="9"/>
        </w:numPr>
        <w:tabs>
          <w:tab w:val="clear" w:pos="567"/>
        </w:tabs>
        <w:spacing w:line="240" w:lineRule="auto"/>
        <w:ind w:left="567" w:right="-2" w:hanging="567"/>
        <w:rPr>
          <w:noProof/>
          <w:szCs w:val="22"/>
          <w:lang w:val="lt-LT"/>
        </w:rPr>
      </w:pPr>
      <w:r w:rsidRPr="00C82784">
        <w:rPr>
          <w:noProof/>
          <w:szCs w:val="22"/>
          <w:lang w:val="lt-LT"/>
        </w:rPr>
        <w:t xml:space="preserve">Jeigu kiltų daugiau klausimų, kreipkitės į gydytoją arba vaistininką. </w:t>
      </w:r>
    </w:p>
    <w:p w:rsidR="008C0D40" w:rsidRPr="00C82784" w:rsidRDefault="008C0D40" w:rsidP="008C0D40">
      <w:pPr>
        <w:numPr>
          <w:ilvl w:val="1"/>
          <w:numId w:val="9"/>
        </w:numPr>
        <w:tabs>
          <w:tab w:val="clear" w:pos="567"/>
        </w:tabs>
        <w:spacing w:line="240" w:lineRule="auto"/>
        <w:ind w:left="567" w:right="-2" w:hanging="567"/>
        <w:rPr>
          <w:noProof/>
          <w:szCs w:val="22"/>
          <w:lang w:val="lt-LT"/>
        </w:rPr>
      </w:pPr>
      <w:r w:rsidRPr="00C82784">
        <w:rPr>
          <w:noProof/>
          <w:szCs w:val="22"/>
          <w:lang w:val="lt-LT"/>
        </w:rPr>
        <w:t xml:space="preserve">Šis vaistas skirtas tik Jums, todėl kitiems žmonėms jo duoti negalima. Vaistas gali jiems pakenkti (net tiems, kurių ligos požymiai yra tokie patys kaip Jūsų). </w:t>
      </w:r>
    </w:p>
    <w:p w:rsidR="008C0D40" w:rsidRPr="00C82784" w:rsidRDefault="008C0D40" w:rsidP="008C0D40">
      <w:pPr>
        <w:numPr>
          <w:ilvl w:val="1"/>
          <w:numId w:val="9"/>
        </w:numPr>
        <w:tabs>
          <w:tab w:val="clear" w:pos="567"/>
        </w:tabs>
        <w:spacing w:line="240" w:lineRule="auto"/>
        <w:ind w:left="567" w:right="-2" w:hanging="567"/>
        <w:rPr>
          <w:noProof/>
          <w:szCs w:val="22"/>
          <w:lang w:val="lt-LT"/>
        </w:rPr>
      </w:pPr>
      <w:r w:rsidRPr="00C82784">
        <w:rPr>
          <w:noProof/>
          <w:szCs w:val="22"/>
          <w:lang w:val="lt-LT"/>
        </w:rPr>
        <w:t xml:space="preserve">Jeigu pasireiškė šalutinis poveikis (net jeigu jis šiame lapelyje nenurodytas), kreipkitės į gydytoją arba vaistininką. Žr. 4 skyrių.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Apie ką rašoma šiame lapelyje?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 xml:space="preserve">Kas yra Fingolimod Teva ir kam jis vartojamas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 xml:space="preserve">Kas žinotina prieš vartojant Fingolimod Teva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 xml:space="preserve"> Kaip vartoti Fingolimod Teva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 xml:space="preserve">Galimas šalutinis poveikis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 xml:space="preserve">Kaip laikyti Fingolimod Teva </w:t>
      </w:r>
    </w:p>
    <w:p w:rsidR="008C0D40" w:rsidRPr="00C82784" w:rsidRDefault="008C0D40" w:rsidP="008C0D40">
      <w:pPr>
        <w:numPr>
          <w:ilvl w:val="0"/>
          <w:numId w:val="8"/>
        </w:numPr>
        <w:tabs>
          <w:tab w:val="clear" w:pos="567"/>
        </w:tabs>
        <w:spacing w:line="240" w:lineRule="auto"/>
        <w:ind w:left="567" w:right="-2" w:hanging="567"/>
        <w:rPr>
          <w:noProof/>
          <w:szCs w:val="22"/>
          <w:lang w:val="lt-LT"/>
        </w:rPr>
      </w:pPr>
      <w:r w:rsidRPr="00C82784">
        <w:rPr>
          <w:noProof/>
          <w:szCs w:val="22"/>
          <w:lang w:val="lt-LT"/>
        </w:rPr>
        <w:t>Pakuotės turinys ir kita informacija</w:t>
      </w:r>
    </w:p>
    <w:p w:rsidR="008C0D40" w:rsidRPr="00C82784" w:rsidRDefault="008C0D40" w:rsidP="008C0D40">
      <w:pPr>
        <w:numPr>
          <w:ilvl w:val="12"/>
          <w:numId w:val="0"/>
        </w:numPr>
        <w:tabs>
          <w:tab w:val="clear" w:pos="567"/>
        </w:tabs>
        <w:spacing w:line="240" w:lineRule="auto"/>
        <w:ind w:left="567" w:right="-2" w:hanging="567"/>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1.</w:t>
      </w:r>
      <w:r w:rsidRPr="00C82784">
        <w:rPr>
          <w:rFonts w:ascii="Times New Roman" w:hAnsi="Times New Roman"/>
          <w:sz w:val="22"/>
          <w:szCs w:val="22"/>
          <w:lang w:val="lt-LT"/>
        </w:rPr>
        <w:tab/>
        <w:t xml:space="preserve">Kas yra </w:t>
      </w:r>
      <w:r w:rsidRPr="00C82784">
        <w:rPr>
          <w:rFonts w:ascii="Times New Roman" w:hAnsi="Times New Roman"/>
          <w:color w:val="222222"/>
          <w:sz w:val="22"/>
          <w:szCs w:val="22"/>
          <w:shd w:val="clear" w:color="auto" w:fill="FFFFFF"/>
          <w:lang w:val="lt-LT"/>
        </w:rPr>
        <w:t xml:space="preserve">Fingolimod Teva </w:t>
      </w:r>
      <w:r w:rsidRPr="00C82784">
        <w:rPr>
          <w:rFonts w:ascii="Times New Roman" w:hAnsi="Times New Roman"/>
          <w:sz w:val="22"/>
          <w:szCs w:val="22"/>
          <w:lang w:val="lt-LT"/>
        </w:rPr>
        <w:t>ir kam jis vartojamas</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Kas yra Fingolimod Teva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Veiklioji Fingolimod Teva medžiaga yra fingolimodas. </w:t>
      </w:r>
    </w:p>
    <w:p w:rsidR="008C0D40" w:rsidRPr="00C82784" w:rsidRDefault="008C0D40" w:rsidP="008C0D40">
      <w:pPr>
        <w:numPr>
          <w:ilvl w:val="12"/>
          <w:numId w:val="0"/>
        </w:numPr>
        <w:tabs>
          <w:tab w:val="clear" w:pos="567"/>
        </w:tabs>
        <w:spacing w:line="240" w:lineRule="auto"/>
        <w:ind w:right="-2"/>
        <w:rPr>
          <w:noProof/>
          <w:szCs w:val="22"/>
          <w:lang w:val="lt-LT"/>
        </w:rPr>
      </w:pP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Kam Fingolimod Teva vartojamas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vartojamas suaugusiesiems ir vaikams bei paaugliams (10 metų ir vyresniems) recidyvuojančios-remituojančios išsėtinės sklerozės (IS) gydymui, o tiksliau: </w:t>
      </w:r>
    </w:p>
    <w:p w:rsidR="008C0D40" w:rsidRPr="00C82784" w:rsidRDefault="008C0D40" w:rsidP="008C0D40">
      <w:pPr>
        <w:numPr>
          <w:ilvl w:val="1"/>
          <w:numId w:val="10"/>
        </w:numPr>
        <w:tabs>
          <w:tab w:val="clear" w:pos="567"/>
        </w:tabs>
        <w:spacing w:line="240" w:lineRule="auto"/>
        <w:ind w:left="567" w:right="-2" w:hanging="567"/>
        <w:rPr>
          <w:noProof/>
          <w:szCs w:val="22"/>
          <w:lang w:val="lt-LT"/>
        </w:rPr>
      </w:pPr>
      <w:r w:rsidRPr="00C82784">
        <w:rPr>
          <w:noProof/>
          <w:szCs w:val="22"/>
          <w:lang w:val="lt-LT"/>
        </w:rPr>
        <w:t xml:space="preserve">pacientams, kuriems nepadeda gydymas nuo IS;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arba </w:t>
      </w:r>
    </w:p>
    <w:p w:rsidR="008C0D40" w:rsidRPr="00C82784" w:rsidRDefault="008C0D40" w:rsidP="008C0D40">
      <w:pPr>
        <w:numPr>
          <w:ilvl w:val="1"/>
          <w:numId w:val="11"/>
        </w:numPr>
        <w:tabs>
          <w:tab w:val="clear" w:pos="567"/>
        </w:tabs>
        <w:spacing w:line="240" w:lineRule="auto"/>
        <w:ind w:left="567" w:right="-2" w:hanging="567"/>
        <w:rPr>
          <w:noProof/>
          <w:szCs w:val="22"/>
          <w:lang w:val="lt-LT"/>
        </w:rPr>
      </w:pPr>
      <w:r w:rsidRPr="00C82784">
        <w:rPr>
          <w:noProof/>
          <w:szCs w:val="22"/>
          <w:lang w:val="lt-LT"/>
        </w:rPr>
        <w:t xml:space="preserve">pacientams, kurie serga sparčiai besivystančia sunkia IS.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neišgydo IS, tačiau padeda sumažinti ligos recidyvų skaičių ir sulėtinti IS sukeliamos fizinės negalios progresavimą.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Kas yra išsėtinė sklerozė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sutrikusi pusiausvyra. Ligos atkritimo simptomai gali visiškai praeiti jam pasibaigus, tačiau kai kurių sutrikimų gali išlikti. </w:t>
      </w:r>
    </w:p>
    <w:p w:rsidR="008C0D40" w:rsidRPr="00C82784" w:rsidRDefault="008C0D40" w:rsidP="008C0D40">
      <w:pPr>
        <w:numPr>
          <w:ilvl w:val="12"/>
          <w:numId w:val="0"/>
        </w:numPr>
        <w:tabs>
          <w:tab w:val="clear" w:pos="567"/>
        </w:tabs>
        <w:spacing w:line="240" w:lineRule="auto"/>
        <w:ind w:right="-2"/>
        <w:rPr>
          <w:b/>
          <w:szCs w:val="22"/>
          <w:lang w:val="lt-LT"/>
        </w:rPr>
      </w:pPr>
    </w:p>
    <w:p w:rsidR="008C0D40" w:rsidRPr="00C82784" w:rsidRDefault="008C0D40" w:rsidP="008C0D40">
      <w:pPr>
        <w:numPr>
          <w:ilvl w:val="12"/>
          <w:numId w:val="0"/>
        </w:numPr>
        <w:tabs>
          <w:tab w:val="clear" w:pos="567"/>
        </w:tabs>
        <w:spacing w:line="240" w:lineRule="auto"/>
        <w:ind w:right="-2"/>
        <w:rPr>
          <w:szCs w:val="22"/>
          <w:lang w:val="lt-LT"/>
        </w:rPr>
      </w:pPr>
      <w:r w:rsidRPr="00C82784">
        <w:rPr>
          <w:b/>
          <w:szCs w:val="22"/>
          <w:lang w:val="lt-LT"/>
        </w:rPr>
        <w:t>Kaip Fingolimod Teva veikia</w:t>
      </w:r>
      <w:r w:rsidRPr="00C82784">
        <w:rPr>
          <w:szCs w:val="22"/>
          <w:lang w:val="lt-LT"/>
        </w:rPr>
        <w:t xml:space="preserve"> </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 xml:space="preserve">Fingolimod Teva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Fingolimod Teva taip pat susilpnina kai kurias Jūsų organizmo imunines reakcijas. </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lastRenderedPageBreak/>
        <w:t>2.</w:t>
      </w:r>
      <w:r w:rsidRPr="00C82784">
        <w:rPr>
          <w:rFonts w:ascii="Times New Roman" w:hAnsi="Times New Roman"/>
          <w:sz w:val="22"/>
          <w:szCs w:val="22"/>
          <w:lang w:val="lt-LT"/>
        </w:rPr>
        <w:tab/>
        <w:t xml:space="preserve">Kas žinotina prieš vartojant </w:t>
      </w: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w:t>
      </w:r>
      <w:r w:rsidRPr="00C82784">
        <w:rPr>
          <w:rFonts w:ascii="Times New Roman" w:hAnsi="Times New Roman"/>
          <w:bCs w:val="0"/>
          <w:sz w:val="22"/>
          <w:szCs w:val="22"/>
          <w:lang w:val="lt-LT"/>
        </w:rPr>
        <w:t xml:space="preserve">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vartoti negalima:</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susilpnėjęs Jūsų </w:t>
      </w:r>
      <w:r w:rsidRPr="00C82784">
        <w:rPr>
          <w:b/>
          <w:szCs w:val="22"/>
          <w:lang w:val="lt-LT"/>
        </w:rPr>
        <w:t>imuninės sistemos atsakas</w:t>
      </w:r>
      <w:r w:rsidRPr="00C82784">
        <w:rPr>
          <w:szCs w:val="22"/>
          <w:lang w:val="lt-LT"/>
        </w:rPr>
        <w:t xml:space="preserve"> (dėl imunodeficito sindromo, ligos ar imuninę sistemą slopinančių vaistų vartojimo);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Jums yra ūminė </w:t>
      </w:r>
      <w:r w:rsidRPr="00C82784">
        <w:rPr>
          <w:b/>
          <w:szCs w:val="22"/>
          <w:lang w:val="lt-LT"/>
        </w:rPr>
        <w:t>aktyvi infekcija arba lėtinė aktyvi infekcija</w:t>
      </w:r>
      <w:r w:rsidRPr="00C82784">
        <w:rPr>
          <w:szCs w:val="22"/>
          <w:lang w:val="lt-LT"/>
        </w:rPr>
        <w:t xml:space="preserve">, pavyzdžiui, hepatitas ar tuberkuliozė;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w:t>
      </w:r>
      <w:r w:rsidRPr="00C82784">
        <w:rPr>
          <w:b/>
          <w:szCs w:val="22"/>
          <w:lang w:val="lt-LT"/>
        </w:rPr>
        <w:t>sergate aktyviu vėžiu</w:t>
      </w:r>
      <w:r w:rsidRPr="00C82784">
        <w:rPr>
          <w:szCs w:val="22"/>
          <w:lang w:val="lt-LT"/>
        </w:rPr>
        <w:t xml:space="preserve">;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yra </w:t>
      </w:r>
      <w:r w:rsidRPr="00C82784">
        <w:rPr>
          <w:b/>
          <w:szCs w:val="22"/>
          <w:lang w:val="lt-LT"/>
        </w:rPr>
        <w:t>sunkių kepenų funkcijos sutrikimų</w:t>
      </w:r>
      <w:r w:rsidRPr="00C82784">
        <w:rPr>
          <w:szCs w:val="22"/>
          <w:lang w:val="lt-LT"/>
        </w:rPr>
        <w:t xml:space="preserve">;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b/>
          <w:szCs w:val="22"/>
          <w:lang w:val="lt-LT"/>
        </w:rPr>
        <w:t>jei per pastaruosius 6 mėnesius Jūs patyrėte širdies smūgį (širdies priepuolį), krūtinės anginą, insultą arba buvo insulto požymių ar tam tikro tipo širdies nepakankamumo atvejų</w:t>
      </w:r>
      <w:r w:rsidRPr="00C82784">
        <w:rPr>
          <w:szCs w:val="22"/>
          <w:lang w:val="lt-LT"/>
        </w:rPr>
        <w:t xml:space="preserve">;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yra tam tikro tipo </w:t>
      </w:r>
      <w:r w:rsidRPr="00C82784">
        <w:rPr>
          <w:b/>
          <w:szCs w:val="22"/>
          <w:lang w:val="lt-LT"/>
        </w:rPr>
        <w:t>nereguliarus ar sutrikęs širdies ritmas</w:t>
      </w:r>
      <w:r w:rsidRPr="00C82784">
        <w:rPr>
          <w:szCs w:val="22"/>
          <w:lang w:val="lt-LT"/>
        </w:rPr>
        <w:t xml:space="preserve"> (aritmija), įskaitant pacientus, kuriems, prieš pradedant vartoti Fingolimod Teva, elektrokardiograma (EKG) rodo pailgėjusį QT intervalą;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b/>
          <w:szCs w:val="22"/>
          <w:lang w:val="lt-LT"/>
        </w:rPr>
        <w:t>jeigu vartojate arba neseniai vartojote vaistų nuo neritmiško širdies plakimo</w:t>
      </w:r>
      <w:r w:rsidRPr="00C82784">
        <w:rPr>
          <w:szCs w:val="22"/>
          <w:lang w:val="lt-LT"/>
        </w:rPr>
        <w:t xml:space="preserve">, pavyzdžiui, chinidino, dizopiramido, amjodarono ar sotalolio;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esate </w:t>
      </w:r>
      <w:r w:rsidRPr="00C82784">
        <w:rPr>
          <w:b/>
          <w:szCs w:val="22"/>
          <w:lang w:val="lt-LT"/>
        </w:rPr>
        <w:t>nėščia arba esate vaising</w:t>
      </w:r>
      <w:r w:rsidR="0058143E">
        <w:rPr>
          <w:b/>
          <w:szCs w:val="22"/>
          <w:lang w:val="lt-LT"/>
        </w:rPr>
        <w:t>a</w:t>
      </w:r>
      <w:r w:rsidRPr="00C82784">
        <w:rPr>
          <w:b/>
          <w:szCs w:val="22"/>
          <w:lang w:val="lt-LT"/>
        </w:rPr>
        <w:t xml:space="preserve"> moteris ir nenaudojate veiksmingų kontracepcijos priemonių</w:t>
      </w:r>
      <w:r w:rsidRPr="00C82784">
        <w:rPr>
          <w:szCs w:val="22"/>
          <w:lang w:val="lt-LT"/>
        </w:rPr>
        <w:t xml:space="preserve">; </w:t>
      </w:r>
    </w:p>
    <w:p w:rsidR="008C0D40" w:rsidRPr="00C82784" w:rsidRDefault="008C0D40" w:rsidP="008C0D40">
      <w:pPr>
        <w:numPr>
          <w:ilvl w:val="1"/>
          <w:numId w:val="12"/>
        </w:numPr>
        <w:tabs>
          <w:tab w:val="clear" w:pos="567"/>
        </w:tabs>
        <w:spacing w:line="240" w:lineRule="auto"/>
        <w:ind w:left="567" w:right="-2" w:hanging="567"/>
        <w:rPr>
          <w:szCs w:val="22"/>
          <w:lang w:val="lt-LT"/>
        </w:rPr>
      </w:pPr>
      <w:r w:rsidRPr="00C82784">
        <w:rPr>
          <w:szCs w:val="22"/>
          <w:lang w:val="lt-LT"/>
        </w:rPr>
        <w:t xml:space="preserve">jeigu </w:t>
      </w:r>
      <w:r w:rsidRPr="00C82784">
        <w:rPr>
          <w:b/>
          <w:szCs w:val="22"/>
          <w:lang w:val="lt-LT"/>
        </w:rPr>
        <w:t>yra alergija</w:t>
      </w:r>
      <w:r w:rsidRPr="00C82784">
        <w:rPr>
          <w:szCs w:val="22"/>
          <w:lang w:val="lt-LT"/>
        </w:rPr>
        <w:t xml:space="preserve"> fingolimodui arba bet kuriai pagalbinei šio vaisto medžiagai (jos išvardytos 6 skyriuje). </w:t>
      </w:r>
    </w:p>
    <w:p w:rsidR="008C0D40" w:rsidRPr="00C82784" w:rsidRDefault="008C0D40" w:rsidP="008C0D40">
      <w:pPr>
        <w:tabs>
          <w:tab w:val="clear" w:pos="567"/>
        </w:tabs>
        <w:spacing w:line="240" w:lineRule="auto"/>
        <w:ind w:right="-2"/>
        <w:rPr>
          <w:szCs w:val="22"/>
          <w:lang w:val="lt-LT"/>
        </w:rPr>
      </w:pPr>
      <w:r w:rsidRPr="00C82784">
        <w:rPr>
          <w:szCs w:val="22"/>
          <w:lang w:val="lt-LT"/>
        </w:rPr>
        <w:t>Jei bet kuri paminėta būklė Jums tinka</w:t>
      </w:r>
      <w:r w:rsidR="009D708D" w:rsidRPr="009D708D">
        <w:rPr>
          <w:szCs w:val="22"/>
          <w:lang w:val="lt-LT"/>
        </w:rPr>
        <w:t xml:space="preserve"> </w:t>
      </w:r>
      <w:r w:rsidR="009D708D">
        <w:rPr>
          <w:szCs w:val="22"/>
          <w:lang w:val="lt-LT"/>
        </w:rPr>
        <w:t>ar dėlto nesate tikri</w:t>
      </w:r>
      <w:r w:rsidRPr="00C82784">
        <w:rPr>
          <w:szCs w:val="22"/>
          <w:lang w:val="lt-LT"/>
        </w:rPr>
        <w:t xml:space="preserve">, </w:t>
      </w:r>
      <w:r w:rsidR="009D708D">
        <w:rPr>
          <w:b/>
          <w:szCs w:val="22"/>
          <w:lang w:val="lt-LT"/>
        </w:rPr>
        <w:t>prieš vartodami</w:t>
      </w:r>
      <w:r w:rsidR="009D708D" w:rsidRPr="00C82784">
        <w:rPr>
          <w:b/>
          <w:szCs w:val="22"/>
          <w:lang w:val="lt-LT"/>
        </w:rPr>
        <w:t xml:space="preserve"> </w:t>
      </w:r>
      <w:r w:rsidRPr="00C82784">
        <w:rPr>
          <w:b/>
          <w:szCs w:val="22"/>
          <w:lang w:val="lt-LT"/>
        </w:rPr>
        <w:t>Fingolimod Teva pasitar</w:t>
      </w:r>
      <w:r w:rsidR="009D708D">
        <w:rPr>
          <w:b/>
          <w:szCs w:val="22"/>
          <w:lang w:val="lt-LT"/>
        </w:rPr>
        <w:t>k</w:t>
      </w:r>
      <w:r w:rsidRPr="00C82784">
        <w:rPr>
          <w:b/>
          <w:szCs w:val="22"/>
          <w:lang w:val="lt-LT"/>
        </w:rPr>
        <w:t>ite su gydytoju</w:t>
      </w:r>
      <w:r w:rsidRPr="00C82784">
        <w:rPr>
          <w:szCs w:val="22"/>
          <w:lang w:val="lt-LT"/>
        </w:rPr>
        <w:t xml:space="preserve">.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Įspėjimai ir atsargumo priemonės </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 xml:space="preserve">Pasitarkite su gydytoju, prieš pradėdami vartoti Fingolimod Teva: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 xml:space="preserve">jeigu Jums yra sunkių kvėpavimo sutrikimų miego metu (sunki miego apnėja);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 xml:space="preserve">jeigu Jums kas nors yra sakęs, kad yra Jūsų elektrokardiogramos pokyčių;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jeigu Jums yra sumažėjusio širdies susitraukimų dažnio simptomų (pvz., svaigulys, pykinimas ar dažno širdies plakimo pojūtis);</w:t>
      </w:r>
    </w:p>
    <w:p w:rsidR="008C0D40" w:rsidRPr="00C82784" w:rsidRDefault="008C0D40" w:rsidP="008C0D40">
      <w:pPr>
        <w:numPr>
          <w:ilvl w:val="1"/>
          <w:numId w:val="13"/>
        </w:numPr>
        <w:tabs>
          <w:tab w:val="clear" w:pos="567"/>
        </w:tabs>
        <w:spacing w:line="240" w:lineRule="auto"/>
        <w:ind w:left="567" w:right="-2" w:hanging="567"/>
        <w:rPr>
          <w:szCs w:val="22"/>
          <w:lang w:val="lt-LT"/>
        </w:rPr>
      </w:pPr>
      <w:r w:rsidRPr="00C82784">
        <w:rPr>
          <w:b/>
          <w:szCs w:val="22"/>
          <w:lang w:val="lt-LT"/>
        </w:rPr>
        <w:t>jeigu vartojate arba neseniai vartojote širdies susitraukimų dažnį mažinančių vaistų</w:t>
      </w:r>
      <w:r w:rsidRPr="00C82784">
        <w:rPr>
          <w:szCs w:val="22"/>
          <w:lang w:val="lt-LT"/>
        </w:rPr>
        <w:t xml:space="preserve"> (pavyzdžiui, beta adrenoblokatorių, verapamilio, diltiazemo ar ivabradino, digoksino, cholinesterazę slopinančių vaistų ar pilokarpino);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 xml:space="preserve">jeigu Jums anksčiau buvo staigių sąmonės netekimo epizodų ar alpimų (sinkopių);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 xml:space="preserve">jeigu Jūs planuojate skiepytis; </w:t>
      </w:r>
    </w:p>
    <w:p w:rsidR="008C0D40" w:rsidRPr="00C82784" w:rsidRDefault="008C0D40" w:rsidP="008C0D40">
      <w:pPr>
        <w:numPr>
          <w:ilvl w:val="1"/>
          <w:numId w:val="13"/>
        </w:numPr>
        <w:tabs>
          <w:tab w:val="clear" w:pos="567"/>
        </w:tabs>
        <w:spacing w:line="240" w:lineRule="auto"/>
        <w:ind w:left="567" w:right="-2" w:hanging="567"/>
        <w:rPr>
          <w:b/>
          <w:szCs w:val="22"/>
          <w:lang w:val="lt-LT"/>
        </w:rPr>
      </w:pPr>
      <w:r w:rsidRPr="00C82784">
        <w:rPr>
          <w:b/>
          <w:szCs w:val="22"/>
          <w:lang w:val="lt-LT"/>
        </w:rPr>
        <w:t xml:space="preserve">jeigu anksčiau nesirgote vėjaraupiais; </w:t>
      </w:r>
    </w:p>
    <w:p w:rsidR="008C0D40" w:rsidRPr="00C82784" w:rsidRDefault="008C0D40" w:rsidP="008C0D40">
      <w:pPr>
        <w:numPr>
          <w:ilvl w:val="1"/>
          <w:numId w:val="13"/>
        </w:numPr>
        <w:tabs>
          <w:tab w:val="clear" w:pos="567"/>
        </w:tabs>
        <w:spacing w:line="240" w:lineRule="auto"/>
        <w:ind w:left="567" w:right="-2" w:hanging="567"/>
        <w:rPr>
          <w:szCs w:val="22"/>
          <w:lang w:val="lt-LT"/>
        </w:rPr>
      </w:pPr>
      <w:r w:rsidRPr="00C82784">
        <w:rPr>
          <w:b/>
          <w:szCs w:val="22"/>
          <w:lang w:val="lt-LT"/>
        </w:rPr>
        <w:t>jeigu Jums yra arba anksčiau buvo regos sutrikimų</w:t>
      </w:r>
      <w:r w:rsidRPr="00C82784">
        <w:rPr>
          <w:szCs w:val="22"/>
          <w:lang w:val="lt-LT"/>
        </w:rPr>
        <w:t xml:space="preserve"> arba kitokių užpakalinėje akies dalyje esančios centrinės regos srities (tinklainės geltonosios dėmės) patinimo požymių (geltonosios dėmės edema vadinama būklė, žr. toliau), akies uždegimas ar infekcija (uveitas), arba jeigu </w:t>
      </w:r>
      <w:r w:rsidRPr="00C82784">
        <w:rPr>
          <w:b/>
          <w:szCs w:val="22"/>
          <w:lang w:val="lt-LT"/>
        </w:rPr>
        <w:t>sergate cukriniu diabetu</w:t>
      </w:r>
      <w:r w:rsidRPr="00C82784">
        <w:rPr>
          <w:szCs w:val="22"/>
          <w:lang w:val="lt-LT"/>
        </w:rPr>
        <w:t xml:space="preserve"> (kuris gali sukelti akių sutrikimų); </w:t>
      </w:r>
    </w:p>
    <w:p w:rsidR="008C0D40" w:rsidRPr="00C82784" w:rsidRDefault="008C0D40" w:rsidP="008C0D40">
      <w:pPr>
        <w:numPr>
          <w:ilvl w:val="1"/>
          <w:numId w:val="13"/>
        </w:numPr>
        <w:tabs>
          <w:tab w:val="clear" w:pos="567"/>
        </w:tabs>
        <w:spacing w:line="240" w:lineRule="auto"/>
        <w:ind w:left="567" w:right="-2" w:hanging="567"/>
        <w:rPr>
          <w:szCs w:val="22"/>
          <w:lang w:val="lt-LT"/>
        </w:rPr>
      </w:pPr>
      <w:r w:rsidRPr="00C82784">
        <w:rPr>
          <w:b/>
          <w:szCs w:val="22"/>
          <w:lang w:val="lt-LT"/>
        </w:rPr>
        <w:t>jeigu Jums yra kepenų funkcijos sutrikimas</w:t>
      </w:r>
      <w:r w:rsidRPr="00C82784">
        <w:rPr>
          <w:szCs w:val="22"/>
          <w:lang w:val="lt-LT"/>
        </w:rPr>
        <w:t>;</w:t>
      </w:r>
    </w:p>
    <w:p w:rsidR="008C0D40" w:rsidRPr="00C82784" w:rsidRDefault="008C0D40" w:rsidP="008C0D40">
      <w:pPr>
        <w:numPr>
          <w:ilvl w:val="1"/>
          <w:numId w:val="13"/>
        </w:numPr>
        <w:tabs>
          <w:tab w:val="clear" w:pos="567"/>
        </w:tabs>
        <w:spacing w:line="240" w:lineRule="auto"/>
        <w:ind w:left="567" w:right="-2" w:hanging="567"/>
        <w:rPr>
          <w:szCs w:val="22"/>
          <w:lang w:val="lt-LT"/>
        </w:rPr>
      </w:pPr>
      <w:r w:rsidRPr="00C82784">
        <w:rPr>
          <w:szCs w:val="22"/>
          <w:lang w:val="lt-LT"/>
        </w:rPr>
        <w:t xml:space="preserve">jeigu Jums yra </w:t>
      </w:r>
      <w:r w:rsidRPr="00C82784">
        <w:rPr>
          <w:b/>
          <w:szCs w:val="22"/>
          <w:lang w:val="lt-LT"/>
        </w:rPr>
        <w:t>padidėjęs kraujospūdis, kuris sunkiai kontroliuojamas vartojant vaistų</w:t>
      </w:r>
      <w:r w:rsidRPr="00C82784">
        <w:rPr>
          <w:szCs w:val="22"/>
          <w:lang w:val="lt-LT"/>
        </w:rPr>
        <w:t xml:space="preserve">; </w:t>
      </w:r>
    </w:p>
    <w:p w:rsidR="008C0D40" w:rsidRPr="00C82784" w:rsidRDefault="008C0D40" w:rsidP="008C0D40">
      <w:pPr>
        <w:numPr>
          <w:ilvl w:val="1"/>
          <w:numId w:val="13"/>
        </w:numPr>
        <w:tabs>
          <w:tab w:val="clear" w:pos="567"/>
        </w:tabs>
        <w:spacing w:line="240" w:lineRule="auto"/>
        <w:ind w:left="567" w:right="-2" w:hanging="567"/>
        <w:rPr>
          <w:szCs w:val="22"/>
          <w:lang w:val="lt-LT"/>
        </w:rPr>
      </w:pPr>
      <w:r w:rsidRPr="00C82784">
        <w:rPr>
          <w:szCs w:val="22"/>
          <w:lang w:val="lt-LT"/>
        </w:rPr>
        <w:t xml:space="preserve">jeigu Jums yra </w:t>
      </w:r>
      <w:r w:rsidRPr="00C82784">
        <w:rPr>
          <w:b/>
          <w:szCs w:val="22"/>
          <w:lang w:val="lt-LT"/>
        </w:rPr>
        <w:t>sunkių plaučių sutrikimų</w:t>
      </w:r>
      <w:r w:rsidRPr="00C82784">
        <w:rPr>
          <w:szCs w:val="22"/>
          <w:lang w:val="lt-LT"/>
        </w:rPr>
        <w:t xml:space="preserve"> arba rūkančiojo kosulys.</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Jeigu bet kuri iš šių būklių Jums tinka</w:t>
      </w:r>
      <w:r w:rsidR="009D708D" w:rsidRPr="009D708D">
        <w:rPr>
          <w:szCs w:val="22"/>
          <w:lang w:val="lt-LT"/>
        </w:rPr>
        <w:t xml:space="preserve"> </w:t>
      </w:r>
      <w:r w:rsidR="009D708D">
        <w:rPr>
          <w:szCs w:val="22"/>
          <w:lang w:val="lt-LT"/>
        </w:rPr>
        <w:t>ar dėlto nesate tikri</w:t>
      </w:r>
      <w:r w:rsidR="009D708D" w:rsidRPr="00C82784">
        <w:rPr>
          <w:szCs w:val="22"/>
          <w:lang w:val="lt-LT"/>
        </w:rPr>
        <w:t xml:space="preserve">, </w:t>
      </w:r>
      <w:r w:rsidR="009D708D" w:rsidRPr="00C82784">
        <w:rPr>
          <w:b/>
          <w:szCs w:val="22"/>
          <w:lang w:val="lt-LT"/>
        </w:rPr>
        <w:t>prieš varto</w:t>
      </w:r>
      <w:r w:rsidR="009D708D">
        <w:rPr>
          <w:b/>
          <w:szCs w:val="22"/>
          <w:lang w:val="lt-LT"/>
        </w:rPr>
        <w:t>dami</w:t>
      </w:r>
      <w:r w:rsidR="009D708D" w:rsidRPr="00C82784">
        <w:rPr>
          <w:b/>
          <w:szCs w:val="22"/>
          <w:lang w:val="lt-LT"/>
        </w:rPr>
        <w:t xml:space="preserve"> Fingolimod Teva </w:t>
      </w:r>
      <w:r w:rsidR="009D708D">
        <w:rPr>
          <w:b/>
          <w:szCs w:val="22"/>
          <w:lang w:val="lt-LT"/>
        </w:rPr>
        <w:t>pasitarkite</w:t>
      </w:r>
      <w:r w:rsidR="009D708D" w:rsidRPr="00C82784">
        <w:rPr>
          <w:b/>
          <w:szCs w:val="22"/>
          <w:lang w:val="lt-LT"/>
        </w:rPr>
        <w:t xml:space="preserve"> </w:t>
      </w:r>
      <w:r w:rsidR="009D708D">
        <w:rPr>
          <w:b/>
          <w:szCs w:val="22"/>
          <w:lang w:val="lt-LT"/>
        </w:rPr>
        <w:t xml:space="preserve">su </w:t>
      </w:r>
      <w:r w:rsidR="00881DB7">
        <w:rPr>
          <w:b/>
          <w:szCs w:val="22"/>
          <w:lang w:val="lt-LT"/>
        </w:rPr>
        <w:t>gydytoju.</w:t>
      </w:r>
    </w:p>
    <w:p w:rsidR="008C0D40" w:rsidRPr="00C82784" w:rsidRDefault="008C0D40" w:rsidP="008C0D40">
      <w:pPr>
        <w:pStyle w:val="Antrat4"/>
        <w:spacing w:line="240" w:lineRule="auto"/>
        <w:jc w:val="left"/>
        <w:rPr>
          <w:rFonts w:ascii="Times New Roman" w:hAnsi="Times New Roman"/>
          <w:b w:val="0"/>
          <w:bCs w:val="0"/>
          <w:sz w:val="22"/>
          <w:szCs w:val="22"/>
          <w:lang w:val="lt-LT" w:eastAsia="en-US"/>
        </w:rPr>
      </w:pP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Sumažėjęs širdies susitraukimų dažnis (bradikardija) ir nereguliarus širdies plakimas </w:t>
      </w:r>
    </w:p>
    <w:p w:rsidR="008C0D40" w:rsidRPr="002F7292"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Gydymo pradžioje arba pradedant vartoti pirmąją 0,5 mg dozę po to, kai gydymas Jums buvo pakeistas iš 0,25 mg paros dozės, Fingolimod Teva sumažina širdies susitraukimų dažnį. Dėl to Jūs galite jausti svaigulį ar nuovargį, galite jausti širdies plakimą arba gali sumažėti Jūsų kraujospūdis. </w:t>
      </w:r>
      <w:r w:rsidRPr="00C82784">
        <w:rPr>
          <w:rFonts w:ascii="Times New Roman" w:hAnsi="Times New Roman"/>
          <w:sz w:val="22"/>
          <w:szCs w:val="22"/>
          <w:lang w:val="lt-LT"/>
        </w:rPr>
        <w:t xml:space="preserve">Jeigu toks poveikis yra </w:t>
      </w:r>
      <w:r w:rsidR="00881DB7">
        <w:rPr>
          <w:rFonts w:ascii="Times New Roman" w:hAnsi="Times New Roman"/>
          <w:sz w:val="22"/>
          <w:szCs w:val="22"/>
          <w:lang w:val="lt-LT"/>
        </w:rPr>
        <w:t>sunkus</w:t>
      </w:r>
      <w:r w:rsidRPr="00C82784">
        <w:rPr>
          <w:rFonts w:ascii="Times New Roman" w:hAnsi="Times New Roman"/>
          <w:sz w:val="22"/>
          <w:szCs w:val="22"/>
          <w:lang w:val="lt-LT"/>
        </w:rPr>
        <w:t>, pasakykite gydytojui, kadangi Jums nedelsiant gali reikėti skirti tinkamą gydymą.</w:t>
      </w:r>
      <w:r w:rsidRPr="00C82784">
        <w:rPr>
          <w:rFonts w:ascii="Times New Roman" w:hAnsi="Times New Roman"/>
          <w:b w:val="0"/>
          <w:sz w:val="22"/>
          <w:szCs w:val="22"/>
          <w:lang w:val="lt-LT"/>
        </w:rPr>
        <w:t xml:space="preserve"> Fingolimod Teva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w:t>
      </w:r>
      <w:r w:rsidR="000C49D6" w:rsidRPr="002F7292">
        <w:rPr>
          <w:rFonts w:ascii="Times New Roman" w:hAnsi="Times New Roman"/>
          <w:sz w:val="22"/>
          <w:szCs w:val="22"/>
          <w:lang w:val="lt-LT"/>
        </w:rPr>
        <w:t>Šiuo laikotarpiu paprastai nesitikima kliniškai reikšmingų širdies susitraukimų dažnio pokyčių.</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Gydytojas paprašys Jūsų likti mažiausiai 6 valandoms chirurginiame kabinete ar gydymo įstaigoje po pirmosios Fingolimod Teva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Fingolimod Teva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Fingolimod Teva po pertraukos, priklausomai nuo to, kokios trukmės buvo gydymo pertrauka ir kaip ilgai vartojote Fingolimod Teva iki šios pertraukos.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Fingolimod Teva gali būti Jums netinkamas.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anksčiau buvo staigių sąmonės netekimo epizodų ar sumažėjusio širdies susitraukimų dažnio atvejų, gydymas Fingolimod Teva gali būti Jums netinkamas. Jus ištirs kardiologas (širdies ligų specialistas), kuris patars, kaip reikia pradėti vartoti Fingolimod Teva, taip pat patars dėl stebėjimo per naktį.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vartojate vaistų, kurie gali mažinti Jūsų širdies susitraukimų dažnį, Fingolimod Teva vartojimas gali būti Jums netinkamas. Jums reikės pasikonsultuoti su kardiologu, kuris pasakys, ar galima vartoti kitų širdies susitraukimų dažnio nemažinančių vaistų, kad būtų galima skirti gydymą Fingolimod Teva. Jeigu kitų kartu vartojamų vaistų pakeisti negalima, kardiologas patars, kaip reikia pradėti vartoti Fingolimod Teva, taip pat patars dėl Jūsų būklės stebėjimo per naktį.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Jeigu anksčiau nesirgote vėjaraupiais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Jeigu niekada nesirgote vėjaraupiais, gydytojas patikrins Jūsų atsparumą šią ligą sukeliančiam virusui (</w:t>
      </w:r>
      <w:r w:rsidRPr="00C82784">
        <w:rPr>
          <w:rFonts w:ascii="Times New Roman" w:hAnsi="Times New Roman"/>
          <w:b w:val="0"/>
          <w:i/>
          <w:sz w:val="22"/>
          <w:szCs w:val="22"/>
          <w:lang w:val="lt-LT"/>
        </w:rPr>
        <w:t>varicella zoster</w:t>
      </w:r>
      <w:r w:rsidRPr="00C82784">
        <w:rPr>
          <w:rFonts w:ascii="Times New Roman" w:hAnsi="Times New Roman"/>
          <w:b w:val="0"/>
          <w:sz w:val="22"/>
          <w:szCs w:val="22"/>
          <w:lang w:val="lt-LT"/>
        </w:rPr>
        <w:t xml:space="preserve"> virusui). Jeigu nesate apsaugotas nuo šio viruso sukeliamos infekcijos, prieš pradedant vartoti Fingolimod Teva Jums gali reikėti skiepytis. Jei taip ir bus, gydytojas atidės Fingolimod Teva vartojimo pradžią, kol praeis vienas mėnuo nuo viso skiepijimo kurso pabaigos.</w:t>
      </w:r>
    </w:p>
    <w:p w:rsidR="008C0D40" w:rsidRPr="00C82784" w:rsidRDefault="008C0D40" w:rsidP="008C0D40">
      <w:pPr>
        <w:pStyle w:val="Antrat4"/>
        <w:spacing w:line="240" w:lineRule="auto"/>
        <w:jc w:val="left"/>
        <w:rPr>
          <w:rFonts w:ascii="Times New Roman" w:hAnsi="Times New Roman"/>
          <w:b w:val="0"/>
          <w:sz w:val="22"/>
          <w:szCs w:val="22"/>
          <w:lang w:val="lt-LT"/>
        </w:rPr>
      </w:pP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Infekcijos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Fingolimod Teva mažina baltųjų kraujo ląstelių skaičių (ypatingai limfocitų skaičių). Baltosios kraujo ląstelės kovoja su infekcija. Fingolimod Teva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976BB">
        <w:rPr>
          <w:rFonts w:ascii="Times New Roman" w:hAnsi="Times New Roman"/>
          <w:b w:val="0"/>
          <w:sz w:val="22"/>
          <w:szCs w:val="22"/>
          <w:lang w:val="lt-LT"/>
        </w:rPr>
        <w:t xml:space="preserve">Jums yra juostinė pūslelinė </w:t>
      </w:r>
      <w:r w:rsidRPr="00C82784">
        <w:rPr>
          <w:rFonts w:ascii="Times New Roman" w:hAnsi="Times New Roman"/>
          <w:b w:val="0"/>
          <w:sz w:val="22"/>
          <w:szCs w:val="22"/>
          <w:lang w:val="lt-LT"/>
        </w:rPr>
        <w:t>ar skauda galvą su lydinčiu sprando sąstingiu, atsirado jautrumas šviesai, pykinimas</w:t>
      </w:r>
      <w:r w:rsidR="001976BB">
        <w:rPr>
          <w:rFonts w:ascii="Times New Roman" w:hAnsi="Times New Roman"/>
          <w:b w:val="0"/>
          <w:sz w:val="22"/>
          <w:szCs w:val="22"/>
          <w:lang w:val="lt-LT"/>
        </w:rPr>
        <w:t>, išbėrimas</w:t>
      </w:r>
      <w:r w:rsidRPr="00C82784">
        <w:rPr>
          <w:rFonts w:ascii="Times New Roman" w:hAnsi="Times New Roman"/>
          <w:b w:val="0"/>
          <w:sz w:val="22"/>
          <w:szCs w:val="22"/>
          <w:lang w:val="lt-LT"/>
        </w:rPr>
        <w:t xml:space="preserve"> ir (ar) sumišimas </w:t>
      </w:r>
      <w:r w:rsidR="001976BB" w:rsidRPr="002F7292">
        <w:rPr>
          <w:rFonts w:ascii="Times New Roman" w:hAnsi="Times New Roman"/>
          <w:b w:val="0"/>
          <w:sz w:val="22"/>
          <w:szCs w:val="22"/>
          <w:lang w:val="lt-LT"/>
        </w:rPr>
        <w:t xml:space="preserve">arba traukuliai (priepuoliai) </w:t>
      </w:r>
      <w:r w:rsidRPr="00C82784">
        <w:rPr>
          <w:rFonts w:ascii="Times New Roman" w:hAnsi="Times New Roman"/>
          <w:b w:val="0"/>
          <w:sz w:val="22"/>
          <w:szCs w:val="22"/>
          <w:lang w:val="lt-LT"/>
        </w:rPr>
        <w:t xml:space="preserve">(tai gali </w:t>
      </w:r>
      <w:r w:rsidR="001976BB" w:rsidRPr="00BC046F">
        <w:rPr>
          <w:rFonts w:ascii="Times New Roman" w:hAnsi="Times New Roman"/>
          <w:b w:val="0"/>
          <w:sz w:val="22"/>
          <w:szCs w:val="22"/>
          <w:lang w:val="lt-LT"/>
        </w:rPr>
        <w:t xml:space="preserve">būti </w:t>
      </w:r>
      <w:r w:rsidR="001976BB" w:rsidRPr="002F7292">
        <w:rPr>
          <w:rFonts w:ascii="Times New Roman" w:hAnsi="Times New Roman"/>
          <w:b w:val="0"/>
          <w:sz w:val="22"/>
          <w:szCs w:val="22"/>
          <w:lang w:val="lt-LT"/>
        </w:rPr>
        <w:t xml:space="preserve">meningito ir (ar) encefalito simptomai, </w:t>
      </w:r>
      <w:r w:rsidRPr="00C82784">
        <w:rPr>
          <w:rFonts w:ascii="Times New Roman" w:hAnsi="Times New Roman"/>
          <w:b w:val="0"/>
          <w:sz w:val="22"/>
          <w:szCs w:val="22"/>
          <w:lang w:val="lt-LT"/>
        </w:rPr>
        <w:t>sukelti grybelinė</w:t>
      </w:r>
      <w:r w:rsidR="001976BB">
        <w:rPr>
          <w:rFonts w:ascii="Times New Roman" w:hAnsi="Times New Roman"/>
          <w:b w:val="0"/>
          <w:sz w:val="22"/>
          <w:szCs w:val="22"/>
          <w:lang w:val="lt-LT"/>
        </w:rPr>
        <w:t xml:space="preserve">s ar </w:t>
      </w:r>
      <w:r w:rsidR="001976BB" w:rsidRPr="004D3DD7">
        <w:rPr>
          <w:rFonts w:ascii="Times New Roman" w:hAnsi="Times New Roman"/>
          <w:b w:val="0"/>
          <w:i/>
          <w:sz w:val="22"/>
          <w:szCs w:val="22"/>
          <w:lang w:val="lt-LT"/>
        </w:rPr>
        <w:t>Herpes</w:t>
      </w:r>
      <w:r w:rsidR="001976BB">
        <w:rPr>
          <w:rFonts w:ascii="Times New Roman" w:hAnsi="Times New Roman"/>
          <w:b w:val="0"/>
          <w:sz w:val="22"/>
          <w:szCs w:val="22"/>
          <w:lang w:val="lt-LT"/>
        </w:rPr>
        <w:t xml:space="preserve"> viruso</w:t>
      </w:r>
      <w:r w:rsidR="001976BB" w:rsidRPr="00C82784">
        <w:rPr>
          <w:rFonts w:ascii="Times New Roman" w:hAnsi="Times New Roman"/>
          <w:b w:val="0"/>
          <w:sz w:val="22"/>
          <w:szCs w:val="22"/>
          <w:lang w:val="lt-LT"/>
        </w:rPr>
        <w:t xml:space="preserve"> infekcij</w:t>
      </w:r>
      <w:r w:rsidR="001976BB">
        <w:rPr>
          <w:rFonts w:ascii="Times New Roman" w:hAnsi="Times New Roman"/>
          <w:b w:val="0"/>
          <w:sz w:val="22"/>
          <w:szCs w:val="22"/>
          <w:lang w:val="lt-LT"/>
        </w:rPr>
        <w:t>os</w:t>
      </w:r>
      <w:r w:rsidRPr="00C82784">
        <w:rPr>
          <w:rFonts w:ascii="Times New Roman" w:hAnsi="Times New Roman"/>
          <w:b w:val="0"/>
          <w:sz w:val="22"/>
          <w:szCs w:val="22"/>
          <w:lang w:val="lt-LT"/>
        </w:rPr>
        <w:t xml:space="preserve">), iš karto kreipkitės į savo gydytoją, nes tai gali būti rimta ir pavojinga gyvybei. Jei manote, kad Jūsų IS eiga pasunkėjo (pvz., atsirado silpnumas ar regėjimo pokyčiai) arba jei atsirado naujų simptomų, iš karto praneškite apie tai gydytojui, nes tai gali būti retos </w:t>
      </w:r>
      <w:r w:rsidRPr="00C82784">
        <w:rPr>
          <w:rFonts w:ascii="Times New Roman" w:hAnsi="Times New Roman"/>
          <w:b w:val="0"/>
          <w:sz w:val="22"/>
          <w:szCs w:val="22"/>
          <w:lang w:val="lt-LT"/>
        </w:rPr>
        <w:lastRenderedPageBreak/>
        <w:t xml:space="preserve">smegenų ligos, vadinamos progresuojančia daugiažidine leukoencefalopatija (PDL) simptomai, kurią sukelia infekcija. PDL yra rimta būklė, galinti sukelti sunkią negalią arba mirtį. Gydytojas apsvarstys magnetinio rezonanso tyrimo (MRT) atlikimo poreikį, kad galėtų ištirti šią būklę, bei nuspręs, ar Jums reikia nutraukti Fingolimod Teva vartojimą.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Fingolimod Teva vartojusiems pacientams nustatyta žmogaus papilomos viruso (ŽPV) sukeltos infekcijos, įskaitant papilomos, displazijų, karpų ir su ŽPV susijusio vėžio, atvejų. Gydytojas apsvarstys, ar Jus reikia paskiepyti nuo ŽPV prieš pradedant gydymą Fingolimod Teva. Jeigu esate moteris, gydytojas taip pat rekomenduos pasitikrinti dėl ŽPV sukeliamų ligų.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Tinklainės geltonosios dėmės edema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Fingolimod Teva Jūsų gydytojas gali paskirti Jums atlikti akių tyrimą.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Jūsų gydytojas gali paskirti Jums atlikti akių tyrimą praėjus 3-4 mėnesiams nuo Fingolimod Teva vartojimo pradžios.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Fingolimod Teva vartojimas gali sukelti geltonosios dėmės patinimą, t. y., geltonosios dėmės edema vadinamą būklę. Šis patinimas paprastai pasireiškia per pirmuosius 4 Fingolimod Teva vartojimo mėnesius.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Tikimybė išsivystyti geltonosios dėmės edemai didesnė, jeigu sergate </w:t>
      </w:r>
      <w:r w:rsidRPr="00C82784">
        <w:rPr>
          <w:rFonts w:ascii="Times New Roman" w:hAnsi="Times New Roman"/>
          <w:sz w:val="22"/>
          <w:szCs w:val="22"/>
          <w:lang w:val="lt-LT"/>
        </w:rPr>
        <w:t>cukriniu diabetu</w:t>
      </w:r>
      <w:r w:rsidRPr="00C82784">
        <w:rPr>
          <w:rFonts w:ascii="Times New Roman" w:hAnsi="Times New Roman"/>
          <w:b w:val="0"/>
          <w:sz w:val="22"/>
          <w:szCs w:val="22"/>
          <w:lang w:val="lt-LT"/>
        </w:rPr>
        <w:t xml:space="preserve"> arba anksčiau sirgote akies uždegimu, vadinamu uveitu. Šiais atvejais gydytojas gali paskirti Jums reguliariai atlikti akių tyrimą, kad būtų nustatyta geltonosios dėmės edema.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anksčiau Jums yra buvusi geltonosios dėmės edema, pasakykite apie tai gydytojui prieš vėl pradėdami vartoti Fingolimod Teva.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rsidR="008C0D40" w:rsidRPr="00C82784" w:rsidRDefault="008C0D40" w:rsidP="008C0D40">
      <w:pPr>
        <w:pStyle w:val="Antrat4"/>
        <w:numPr>
          <w:ilvl w:val="1"/>
          <w:numId w:val="14"/>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regėjimo lauko centre yra neryškus matymas arba matote šešėlius; </w:t>
      </w:r>
    </w:p>
    <w:p w:rsidR="008C0D40" w:rsidRPr="00C82784" w:rsidRDefault="008C0D40" w:rsidP="008C0D40">
      <w:pPr>
        <w:pStyle w:val="Antrat4"/>
        <w:numPr>
          <w:ilvl w:val="1"/>
          <w:numId w:val="14"/>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regėjimo lauko centre atsiranda juoda dėmė; </w:t>
      </w:r>
    </w:p>
    <w:p w:rsidR="008C0D40" w:rsidRPr="00C82784" w:rsidRDefault="008C0D40" w:rsidP="008C0D40">
      <w:pPr>
        <w:pStyle w:val="Antrat4"/>
        <w:numPr>
          <w:ilvl w:val="1"/>
          <w:numId w:val="14"/>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sutrinka gebėjimas matyti spalvas ar smulkias detales.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Kepenų funkcijos tyrimai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Jums negalima vartoti Fingolimod Teva, jeigu yra sunkus kepenų </w:t>
      </w:r>
      <w:r w:rsidR="0058143E">
        <w:rPr>
          <w:rFonts w:ascii="Times New Roman" w:hAnsi="Times New Roman"/>
          <w:b w:val="0"/>
          <w:sz w:val="22"/>
          <w:szCs w:val="22"/>
          <w:lang w:val="lt-LT"/>
        </w:rPr>
        <w:t xml:space="preserve">funkcijos </w:t>
      </w:r>
      <w:r w:rsidRPr="00C82784">
        <w:rPr>
          <w:rFonts w:ascii="Times New Roman" w:hAnsi="Times New Roman"/>
          <w:b w:val="0"/>
          <w:sz w:val="22"/>
          <w:szCs w:val="22"/>
          <w:lang w:val="lt-LT"/>
        </w:rPr>
        <w:t xml:space="preserve">sutrikimas. Fingolimod Teva vartojimas gali pažeisti Jūsų kepenų funkciją. Tikriausiai Jūs nepajusite jokių požymių, tačiau </w:t>
      </w:r>
      <w:r w:rsidRPr="00C82784">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jeigu pastebėsite odos ar akių baltymų pageltimą, nenormaliai tamsų šlapimą </w:t>
      </w:r>
      <w:r w:rsidR="001976BB" w:rsidRPr="002F7292">
        <w:rPr>
          <w:rFonts w:ascii="Times New Roman" w:hAnsi="Times New Roman"/>
          <w:b w:val="0"/>
          <w:sz w:val="22"/>
          <w:szCs w:val="22"/>
          <w:lang w:val="lt-LT"/>
        </w:rPr>
        <w:t xml:space="preserve">(rudos spalvos), skausmą dešinėje skrandžio srityje (pilvo srityje), nuovargį, sumažėjusį, nei įprastai alkio jausmą </w:t>
      </w:r>
      <w:r w:rsidRPr="00C82784">
        <w:rPr>
          <w:rFonts w:ascii="Times New Roman" w:hAnsi="Times New Roman"/>
          <w:b w:val="0"/>
          <w:sz w:val="22"/>
          <w:szCs w:val="22"/>
          <w:lang w:val="lt-LT"/>
        </w:rPr>
        <w:t xml:space="preserve">arba pasireikš nepaaiškinamas pykinimas ir vėmimas. </w:t>
      </w: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bet kurių iš išvardytų simptomų pasireikštų pradėjus vartoti Fingolimod Teva, </w:t>
      </w:r>
      <w:r w:rsidRPr="002F7292">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1976BB" w:rsidP="008C0D40">
      <w:pPr>
        <w:pStyle w:val="Antrat4"/>
        <w:spacing w:line="240" w:lineRule="auto"/>
        <w:jc w:val="left"/>
        <w:rPr>
          <w:rFonts w:ascii="Times New Roman" w:hAnsi="Times New Roman"/>
          <w:b w:val="0"/>
          <w:sz w:val="22"/>
          <w:szCs w:val="22"/>
          <w:lang w:val="lt-LT"/>
        </w:rPr>
      </w:pPr>
      <w:r w:rsidRPr="002F7292">
        <w:rPr>
          <w:rFonts w:ascii="Times New Roman" w:hAnsi="Times New Roman"/>
          <w:b w:val="0"/>
          <w:sz w:val="22"/>
          <w:szCs w:val="22"/>
          <w:lang w:val="lt-LT"/>
        </w:rPr>
        <w:t>Prieš gydymą, gydymo metu ir po jo, Jūsų</w:t>
      </w:r>
      <w:r w:rsidR="008C0D40" w:rsidRPr="00C82784">
        <w:rPr>
          <w:rFonts w:ascii="Times New Roman" w:hAnsi="Times New Roman"/>
          <w:b w:val="0"/>
          <w:sz w:val="22"/>
          <w:szCs w:val="22"/>
          <w:lang w:val="lt-LT"/>
        </w:rPr>
        <w:t xml:space="preserve"> gydytojas skirs atlikti kraujo tyrimus, kad nustatytų Jūsų kepenų funkciją. Jeigu tyrimo rezultatai parodys, kad kepenų funkcija sutrikusi, Jums gali reikėti nutraukti Fingolimod Teva vartojimą.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Padidėjęs kraujospūdis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Kadangi Fingolimod Teva nedaug didina kraujospūdį, gydytojas gali reguliariai tikrinti Jūsų kraujospūdį.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lastRenderedPageBreak/>
        <w:t xml:space="preserve">Plaučių sutrikimai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Fingolimod Teva nežymiai įtakoja plaučių funkciją. Sunkiomis plaučių ligomis sergantiems pacientams ar tiems, kuriems yra rūkančiojo kosulys, gali būti didesnė tikimybė pasireikšti šalutiniam poveikiui.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Kraujo ląstelių skaičius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Palankus gydymosi Fingolimod Teva poveikis yra sumažėjęs baltųjų kraujo ląstelių skaičius Jūsų kraujyje. Šis skaičius paprastai vėl tampa normaliu per 2 mėnesius nuo vaisto vartojimo pabaigos. Jeigu Jums reikia atlikti kokius nors kraujo tyrimus, pasakykite gydytojui, kad vartojate Fingolimod Teva. Priešingu atveju gydytojui gali būti neįmanoma suprasti tyrimo rezultatų, o tam tikriems kraujo tyrimams atlikti gydytojui gali reikėti paimti daugiau kraujo nei įprastai.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Prieš Jums pradedant vartoti Fingolimod Teva, gydytojas patikrins, ar Jūsų kraujyje yra pakankamas baltųjų kraujo ląstelių skaičius, taip pat gali reguliariai skirti atlikti šiuos tyrimus. Jeigu Jūsų kraujyje nėra pakankamai baltųjų kraujo ląstelių, Jums gali reikėti nutraukti Fingolimod Teva vartojimą.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Užpakalinės grįžtamosios encefalopatijos sindromas (UGES)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Išsėtine skleroze sergantiems ir Fingolimod Teva vartojusiems pacientams pastebėta retų užpakalinės grįžtamosios encefalopatijos sindromu (UGES) vadinamos būklės pasireiškimo atvejų. Simptomai gali būti tokie: staiga prasidėjęs stiprus galvos skausmas, sumišimas, traukuliai ir pakitusi rega. Jeigu Fingolimod Teva vartojimo metu Jums pasireikštų bet kurių iš šių simptomų, iš karto apie tai pasakykite gydytojui, nes tai gali būti rimta problema.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Vėžys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Gauta pranešimų apie odos vėžio atvejus pacientams, sergantiems IS ir gydytiems Fingolimod Teva.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Fingolimod Teva, būtina atlikti odos tyrimą, siekiant nustatyti, ar neturite kokių nors odos mazgelių. Fingolimod Teva vartojimo metu gydytojas taip pat atliks reguliarius odos patikrinimus. Jei atsirado odos pakitimų, gydytojas gali Jus nusiųsti dermatologo konsultacijai, kuris nuspręs ar Jums būtina tikrintis reguliariai.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Pranešama, kad IS sergantiems ir fingolimodo vartojusiems pacientams buvo nustatyta tam tikro limfinės sistemos vėžio (limfomos) atvejų.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Saulės poveikis ir apsauga nuo saulės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Fingolimodas silpnina Jūsų imuninę sistemą. Tai didina riziką susirgti vėžiu, ypač odos vėžiu. Turite vengti saulės ir UV spindulių: </w:t>
      </w:r>
    </w:p>
    <w:p w:rsidR="008C0D40" w:rsidRPr="00C82784" w:rsidRDefault="008C0D40" w:rsidP="008C0D40">
      <w:pPr>
        <w:pStyle w:val="Antrat4"/>
        <w:numPr>
          <w:ilvl w:val="0"/>
          <w:numId w:val="15"/>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dėvėti tinkamus apsauginius drabužius; </w:t>
      </w:r>
    </w:p>
    <w:p w:rsidR="008C0D40" w:rsidRPr="00C82784" w:rsidRDefault="008C0D40" w:rsidP="008C0D40">
      <w:pPr>
        <w:pStyle w:val="Antrat4"/>
        <w:numPr>
          <w:ilvl w:val="0"/>
          <w:numId w:val="15"/>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reguliariai naudoti priemones nuo saulės</w:t>
      </w:r>
      <w:r w:rsidR="0058143E">
        <w:rPr>
          <w:rFonts w:ascii="Times New Roman" w:hAnsi="Times New Roman"/>
          <w:b w:val="0"/>
          <w:sz w:val="22"/>
          <w:szCs w:val="22"/>
          <w:lang w:val="lt-LT"/>
        </w:rPr>
        <w:t xml:space="preserve"> </w:t>
      </w:r>
      <w:r w:rsidRPr="00C82784">
        <w:rPr>
          <w:rFonts w:ascii="Times New Roman" w:hAnsi="Times New Roman"/>
          <w:b w:val="0"/>
          <w:sz w:val="22"/>
          <w:szCs w:val="22"/>
          <w:lang w:val="lt-LT"/>
        </w:rPr>
        <w:t xml:space="preserve">su didele apsauga nuo UV spindulių.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Neįprasti galvos smegenų pakitimai, susiję su IS atkryčiu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Fingolimodo vartojantiems pacientams retai pasireiškė didelių galvos smegenų pažaidų, susijusių su IS recidyvu. Pasireiškus sunkiems ligos paūmėjimo atvejams, gydytojas apsvarstys būtinybę paskirti MRT tyrimą ir įvertinęs būklę nuspręs, ar reikia nutraukti Fingolimod Teva vartojimą. </w:t>
      </w:r>
    </w:p>
    <w:p w:rsidR="008C0D40" w:rsidRPr="00C82784" w:rsidRDefault="008C0D40" w:rsidP="008C0D40">
      <w:pPr>
        <w:pStyle w:val="Antrat4"/>
        <w:spacing w:line="240" w:lineRule="auto"/>
        <w:jc w:val="left"/>
        <w:rPr>
          <w:rFonts w:ascii="Times New Roman" w:hAnsi="Times New Roman"/>
          <w:b w:val="0"/>
          <w:sz w:val="22"/>
          <w:szCs w:val="22"/>
          <w:lang w:val="lt-LT"/>
        </w:rPr>
      </w:pPr>
    </w:p>
    <w:p w:rsidR="008C0D40" w:rsidRPr="00C82784" w:rsidRDefault="008C0D40" w:rsidP="008C0D40">
      <w:pPr>
        <w:rPr>
          <w:szCs w:val="22"/>
          <w:u w:val="single"/>
          <w:lang w:val="lt-LT" w:eastAsia="x-none"/>
        </w:rPr>
      </w:pPr>
      <w:r w:rsidRPr="00C82784">
        <w:rPr>
          <w:szCs w:val="22"/>
          <w:u w:val="single"/>
          <w:lang w:val="lt-LT" w:eastAsia="x-none"/>
        </w:rPr>
        <w:t xml:space="preserve">Kito gydymo pakeitimas į gydymą Fingolimod Teva </w:t>
      </w:r>
    </w:p>
    <w:p w:rsidR="008C0D40" w:rsidRPr="00C82784" w:rsidRDefault="008C0D40" w:rsidP="008C0D40">
      <w:pPr>
        <w:rPr>
          <w:szCs w:val="22"/>
          <w:lang w:val="lt-LT" w:eastAsia="x-none"/>
        </w:rPr>
      </w:pPr>
      <w:r w:rsidRPr="00C82784">
        <w:rPr>
          <w:szCs w:val="22"/>
          <w:lang w:val="lt-LT" w:eastAsia="x-none"/>
        </w:rPr>
        <w:t xml:space="preserve">Gydytojas gali pakeisti Jūsų gydymą beta-interferonu, glatiramero acetatu ar dimetilfumaratu į gydymą Fingolimod Teva iškart, jeigu nėra jokių anksčiau vartoto vaisto sukeltų sutrikimų požymių. Norėdamas atmesti šių sutrikimų galimybę, gydytojas gali paskirti atlikti kraujo tyrimą. Nutraukus natalizumabo vartojimą, Jums gali tekti palaukti 2-3 mėnesius iki Fingolimod Teva vartojimo pradžios. Norėdamas pakeisti gydymą teriflunomidu į gydymą Fingolimod Teva, gydytojas gali Jums patarti palaukti tam tikrą laikotarpį arba paskirti pagreitinto vaisto išskyrimo (eliminacijos) procedūrą. Jeigu Jūs anksčiau gydėtės alemtuzumabu, būtina išsamiai ištirti Jūsų būklę ir pasitarti su gydytoju prieš nusprendžiant, ar gydymas Fingolimod Teva Jums tinka. </w:t>
      </w:r>
    </w:p>
    <w:p w:rsidR="008C0D40" w:rsidRPr="00C82784" w:rsidRDefault="008C0D40" w:rsidP="008C0D40">
      <w:pPr>
        <w:rPr>
          <w:szCs w:val="22"/>
          <w:lang w:val="lt-LT" w:eastAsia="x-none"/>
        </w:rPr>
      </w:pPr>
      <w:r w:rsidRPr="00C82784">
        <w:rPr>
          <w:szCs w:val="22"/>
          <w:lang w:val="lt-LT" w:eastAsia="x-none"/>
        </w:rPr>
        <w:lastRenderedPageBreak/>
        <w:t xml:space="preserve"> </w:t>
      </w:r>
    </w:p>
    <w:p w:rsidR="008C0D40" w:rsidRPr="00C82784" w:rsidRDefault="008C0D40" w:rsidP="008C0D40">
      <w:pPr>
        <w:rPr>
          <w:szCs w:val="22"/>
          <w:u w:val="single"/>
          <w:lang w:val="lt-LT" w:eastAsia="x-none"/>
        </w:rPr>
      </w:pPr>
      <w:r w:rsidRPr="00C82784">
        <w:rPr>
          <w:szCs w:val="22"/>
          <w:u w:val="single"/>
          <w:lang w:val="lt-LT" w:eastAsia="x-none"/>
        </w:rPr>
        <w:t xml:space="preserve">Vaisingoms moterims </w:t>
      </w:r>
    </w:p>
    <w:p w:rsidR="008C0D40" w:rsidRPr="00C82784" w:rsidRDefault="008C0D40" w:rsidP="008C0D40">
      <w:pPr>
        <w:rPr>
          <w:szCs w:val="22"/>
          <w:lang w:val="lt-LT" w:eastAsia="x-none"/>
        </w:rPr>
      </w:pPr>
      <w:r w:rsidRPr="00C82784">
        <w:rPr>
          <w:szCs w:val="22"/>
          <w:lang w:val="lt-LT" w:eastAsia="x-none"/>
        </w:rPr>
        <w:t xml:space="preserve">Nėštumo metu vartojamas Fingolimod Teva gali pakenkti negimusiam kūdikiui. Prieš paskirdamas gydymą Fingolimod Teva gydytojas paaiškins apie Jums kylančia riziką bei paprašys atlikti nėštumo testą, kad galėtų įsitikinti, jog nesate nėščia. Gydytojas Jums duos kortelę, kurioje bus pateikiami paaiškinimai, kodėl gydymosi Fingolimod Teva metu neturėtumėte pastoti. Kortelėje taip pat bus pateikiama informacija apie tai, ką turėtumėte daryti, kad Fingolimod Teva vartojimo metu apsisaugotumėte nuo pastojimo. Gydymosi metu ir dar 2 mėnesius po gydymo pabaigos privalote naudoti veiksmingas kontracepcijos priemones (žr. skyrelį „Nėštumas ir žindymo laikotarpis“). </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u w:val="single"/>
          <w:lang w:val="lt-LT" w:eastAsia="x-none"/>
        </w:rPr>
      </w:pPr>
      <w:r w:rsidRPr="00C82784">
        <w:rPr>
          <w:szCs w:val="22"/>
          <w:u w:val="single"/>
          <w:lang w:val="lt-LT" w:eastAsia="x-none"/>
        </w:rPr>
        <w:t xml:space="preserve">IS paūmėjimas nutraukus gydymą Fingolimod Teva </w:t>
      </w:r>
    </w:p>
    <w:p w:rsidR="008C0D40" w:rsidRPr="00C82784" w:rsidRDefault="008C0D40" w:rsidP="008C0D40">
      <w:pPr>
        <w:rPr>
          <w:szCs w:val="22"/>
          <w:lang w:val="lt-LT" w:eastAsia="x-none"/>
        </w:rPr>
      </w:pPr>
      <w:r w:rsidRPr="00C82784">
        <w:rPr>
          <w:szCs w:val="22"/>
          <w:lang w:val="lt-LT" w:eastAsia="x-none"/>
        </w:rPr>
        <w:t xml:space="preserve">Nenutraukite Fingolimod Teva vartojimo ir nekeiskite Jums paskirtos dozės, prieš tai nepasitarę su gydytoju. </w:t>
      </w:r>
    </w:p>
    <w:p w:rsidR="008C0D40" w:rsidRPr="00C82784" w:rsidRDefault="008C0D40" w:rsidP="008C0D40">
      <w:pPr>
        <w:rPr>
          <w:szCs w:val="22"/>
          <w:lang w:val="lt-LT" w:eastAsia="x-none"/>
        </w:rPr>
      </w:pPr>
    </w:p>
    <w:p w:rsidR="008C0D40" w:rsidRPr="00C82784" w:rsidRDefault="008C0D40" w:rsidP="008C0D40">
      <w:pPr>
        <w:rPr>
          <w:szCs w:val="22"/>
          <w:lang w:val="lt-LT" w:eastAsia="x-none"/>
        </w:rPr>
      </w:pPr>
      <w:r w:rsidRPr="00C82784">
        <w:rPr>
          <w:szCs w:val="22"/>
          <w:lang w:val="lt-LT" w:eastAsia="x-none"/>
        </w:rPr>
        <w:t xml:space="preserve">Nedelsdami pasakykite gydytojui, jeigu manote, kad nutraukus Fingolimod Teva vartojimą Jūsų patiriami IS simptomai pablogėjo. Tai gali lemti sunkius padarinius (žr. skyrelį „Nustojus vartoti Fingolimod Teva“ 3 skyriuje, o taip pat 4 skyrių „Galimas šalutinis poveikis“). </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b/>
          <w:szCs w:val="22"/>
          <w:lang w:val="lt-LT" w:eastAsia="x-none"/>
        </w:rPr>
      </w:pPr>
      <w:r w:rsidRPr="00C82784">
        <w:rPr>
          <w:b/>
          <w:szCs w:val="22"/>
          <w:lang w:val="lt-LT" w:eastAsia="x-none"/>
        </w:rPr>
        <w:t xml:space="preserve">Senyviems pacientams </w:t>
      </w:r>
    </w:p>
    <w:p w:rsidR="008C0D40" w:rsidRPr="00C82784" w:rsidRDefault="008C0D40" w:rsidP="008C0D40">
      <w:pPr>
        <w:rPr>
          <w:szCs w:val="22"/>
          <w:lang w:val="lt-LT" w:eastAsia="x-none"/>
        </w:rPr>
      </w:pPr>
      <w:r w:rsidRPr="00C82784">
        <w:rPr>
          <w:szCs w:val="22"/>
          <w:lang w:val="lt-LT" w:eastAsia="x-none"/>
        </w:rPr>
        <w:t xml:space="preserve">Fingolimod Teva vartojimo patirties senyviems pacientams (vyresniems kaip 65 metų) yra nedaug. Jeigu kyla kokių nors abejonių, pasitarkite su gydytoju. </w:t>
      </w:r>
    </w:p>
    <w:p w:rsidR="008C0D40" w:rsidRPr="00C82784" w:rsidRDefault="008C0D40" w:rsidP="008C0D40">
      <w:pPr>
        <w:rPr>
          <w:szCs w:val="22"/>
          <w:lang w:val="lt-LT" w:eastAsia="x-none"/>
        </w:rPr>
      </w:pPr>
    </w:p>
    <w:p w:rsidR="008C0D40" w:rsidRPr="00C82784" w:rsidRDefault="008C0D40" w:rsidP="008C0D40">
      <w:pPr>
        <w:pStyle w:val="Antrat4"/>
        <w:tabs>
          <w:tab w:val="left" w:pos="6663"/>
        </w:tabs>
        <w:spacing w:line="240" w:lineRule="auto"/>
        <w:jc w:val="left"/>
        <w:rPr>
          <w:rFonts w:ascii="Times New Roman" w:hAnsi="Times New Roman"/>
          <w:sz w:val="22"/>
          <w:szCs w:val="22"/>
          <w:lang w:val="lt-LT"/>
        </w:rPr>
      </w:pPr>
      <w:r w:rsidRPr="00C82784">
        <w:rPr>
          <w:rFonts w:ascii="Times New Roman" w:hAnsi="Times New Roman"/>
          <w:sz w:val="22"/>
          <w:szCs w:val="22"/>
          <w:lang w:val="lt-LT"/>
        </w:rPr>
        <w:t>Vaikams ir paaugliams</w:t>
      </w:r>
    </w:p>
    <w:p w:rsidR="008C0D40" w:rsidRPr="00C82784" w:rsidRDefault="008C0D40" w:rsidP="008C0D40">
      <w:pPr>
        <w:numPr>
          <w:ilvl w:val="12"/>
          <w:numId w:val="0"/>
        </w:numPr>
        <w:tabs>
          <w:tab w:val="clear" w:pos="567"/>
          <w:tab w:val="left" w:pos="6663"/>
        </w:tabs>
        <w:spacing w:line="240" w:lineRule="auto"/>
        <w:rPr>
          <w:szCs w:val="22"/>
          <w:lang w:val="lt-LT"/>
        </w:rPr>
      </w:pPr>
      <w:r w:rsidRPr="00C82784">
        <w:rPr>
          <w:szCs w:val="22"/>
          <w:lang w:val="lt-LT"/>
        </w:rPr>
        <w:t xml:space="preserve">Fingolimod Teva neskirtas vartoti jaunesniems kaip 10 metų vaikams, kadangi vaisto poveikis nebuvo tirtas šios amžiaus grupės IS sergantiems pacientams. </w:t>
      </w:r>
    </w:p>
    <w:p w:rsidR="008C0D40" w:rsidRPr="00C82784" w:rsidRDefault="008C0D40" w:rsidP="008C0D40">
      <w:pPr>
        <w:numPr>
          <w:ilvl w:val="12"/>
          <w:numId w:val="0"/>
        </w:numPr>
        <w:tabs>
          <w:tab w:val="clear" w:pos="567"/>
          <w:tab w:val="left" w:pos="6663"/>
        </w:tabs>
        <w:spacing w:line="240" w:lineRule="auto"/>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 w:val="left" w:pos="6663"/>
        </w:tabs>
        <w:spacing w:line="240" w:lineRule="auto"/>
        <w:rPr>
          <w:szCs w:val="22"/>
          <w:lang w:val="lt-LT"/>
        </w:rPr>
      </w:pPr>
      <w:r w:rsidRPr="00C82784">
        <w:rPr>
          <w:szCs w:val="22"/>
          <w:lang w:val="lt-LT"/>
        </w:rPr>
        <w:t>Anksčiau nurodyti įspėjimai ir atsargumo priemonės taip pat taikomi vaikams ir paaugliams. Toliau nurodyta informacija ypatingai svarbi vaikams ir paaugliams bei jų globėjams:</w:t>
      </w:r>
    </w:p>
    <w:p w:rsidR="008C0D40" w:rsidRPr="00C82784" w:rsidRDefault="008C0D40" w:rsidP="008C0D40">
      <w:pPr>
        <w:numPr>
          <w:ilvl w:val="0"/>
          <w:numId w:val="18"/>
        </w:numPr>
        <w:tabs>
          <w:tab w:val="clear" w:pos="567"/>
        </w:tabs>
        <w:spacing w:line="240" w:lineRule="auto"/>
        <w:ind w:left="567" w:hanging="567"/>
        <w:rPr>
          <w:szCs w:val="22"/>
          <w:lang w:val="lt-LT"/>
        </w:rPr>
      </w:pPr>
      <w:r w:rsidRPr="00C82784">
        <w:rPr>
          <w:szCs w:val="22"/>
          <w:lang w:val="lt-LT"/>
        </w:rPr>
        <w:t xml:space="preserve">prieš paskirdamas vartoti Fingolimod Teva, gydytojas įvertins informaciją apie Jūsų skiepus. Jeigu nebuvote paskiepyti tam tikromis vakcinomis, gali reikėti jomis pasiskiepyti prieš pradedant gydymą Fingolimod Teva; </w:t>
      </w:r>
    </w:p>
    <w:p w:rsidR="008C0D40" w:rsidRPr="00C82784" w:rsidRDefault="008C0D40" w:rsidP="008C0D40">
      <w:pPr>
        <w:numPr>
          <w:ilvl w:val="0"/>
          <w:numId w:val="17"/>
        </w:numPr>
        <w:tabs>
          <w:tab w:val="clear" w:pos="567"/>
        </w:tabs>
        <w:spacing w:line="240" w:lineRule="auto"/>
        <w:ind w:left="567" w:hanging="567"/>
        <w:rPr>
          <w:szCs w:val="22"/>
          <w:lang w:val="lt-LT"/>
        </w:rPr>
      </w:pPr>
      <w:r w:rsidRPr="00C82784">
        <w:rPr>
          <w:szCs w:val="22"/>
          <w:lang w:val="lt-LT"/>
        </w:rPr>
        <w:t xml:space="preserve">po pirmosios Fingolimod Teva dozės vartojimo arba po to, kai gydymas Jums bus pakeistas iš 0,25 mg dozės į 0,5 mg paros dozę, gydytojas stebės Jūsų širdies susitraukimų dažnį bei ritmą (žr. anksčiau poskyrį „Sumažėjęs širdies susitraukimų dažnis (bradikardija) ir nereguliarus širdies plakimas“); </w:t>
      </w:r>
    </w:p>
    <w:p w:rsidR="008C0D40" w:rsidRPr="00C82784" w:rsidRDefault="008C0D40" w:rsidP="008C0D40">
      <w:pPr>
        <w:numPr>
          <w:ilvl w:val="1"/>
          <w:numId w:val="16"/>
        </w:numPr>
        <w:spacing w:line="240" w:lineRule="auto"/>
        <w:ind w:left="567" w:hanging="567"/>
        <w:rPr>
          <w:szCs w:val="22"/>
          <w:lang w:val="lt-LT"/>
        </w:rPr>
      </w:pPr>
      <w:r w:rsidRPr="00C82784">
        <w:rPr>
          <w:szCs w:val="22"/>
          <w:lang w:val="lt-LT"/>
        </w:rPr>
        <w:t xml:space="preserve">pasakykite gydytojui, jeigu prieš pradedant vartoti Fingolimod Teva arba gydymo metu Jums pasireiškia traukulių ar priepuolių; </w:t>
      </w:r>
    </w:p>
    <w:p w:rsidR="008C0D40" w:rsidRPr="00C82784" w:rsidRDefault="008C0D40" w:rsidP="008C0D40">
      <w:pPr>
        <w:numPr>
          <w:ilvl w:val="1"/>
          <w:numId w:val="16"/>
        </w:numPr>
        <w:spacing w:line="240" w:lineRule="auto"/>
        <w:ind w:left="567" w:hanging="567"/>
        <w:rPr>
          <w:szCs w:val="22"/>
          <w:lang w:val="lt-LT"/>
        </w:rPr>
      </w:pPr>
      <w:r w:rsidRPr="00C82784">
        <w:rPr>
          <w:szCs w:val="22"/>
          <w:lang w:val="lt-LT"/>
        </w:rPr>
        <w:t>pasakykite gydytojui, jeigu kenčiate nuo depresijos ar nerimo arba jeigu vartojant Fingolimod Teva Jums pasireikštų prislėgta nuotaika ar nerimas. Tokiu atveju gali reikėti atidžiaus stebėti jūsų būklę.</w:t>
      </w:r>
    </w:p>
    <w:p w:rsidR="008C0D40" w:rsidRPr="00C82784" w:rsidRDefault="008C0D40" w:rsidP="008C0D40">
      <w:pPr>
        <w:pStyle w:val="Antrat4"/>
        <w:spacing w:line="240" w:lineRule="auto"/>
        <w:jc w:val="left"/>
        <w:rPr>
          <w:rFonts w:ascii="Times New Roman" w:hAnsi="Times New Roman"/>
          <w:sz w:val="22"/>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Kiti vaistai ir </w:t>
      </w: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w:t>
      </w:r>
      <w:r w:rsidRPr="00C82784">
        <w:rPr>
          <w:rFonts w:ascii="Times New Roman" w:hAnsi="Times New Roman"/>
          <w:bCs w:val="0"/>
          <w:sz w:val="22"/>
          <w:szCs w:val="22"/>
          <w:lang w:val="lt-LT"/>
        </w:rPr>
        <w:t xml:space="preserve"> </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 xml:space="preserve">Jeigu vartojate ar neseniai vartojote kitų vaistų arba dėl to nesate tikri, apie tai pasakykite gydytojui arba vaistininkui. Pasakykite gydytojui, jeigu vartojate bet kurių toliau išvardytų vaistų: </w:t>
      </w:r>
    </w:p>
    <w:p w:rsidR="008C0D40" w:rsidRPr="00C82784" w:rsidRDefault="008C0D40" w:rsidP="008C0D40">
      <w:pPr>
        <w:numPr>
          <w:ilvl w:val="0"/>
          <w:numId w:val="19"/>
        </w:numPr>
        <w:tabs>
          <w:tab w:val="clear" w:pos="567"/>
        </w:tabs>
        <w:spacing w:line="240" w:lineRule="auto"/>
        <w:ind w:left="567" w:right="-2" w:hanging="567"/>
        <w:rPr>
          <w:szCs w:val="22"/>
          <w:lang w:val="lt-LT"/>
        </w:rPr>
      </w:pPr>
      <w:r w:rsidRPr="00C82784">
        <w:rPr>
          <w:b/>
          <w:szCs w:val="22"/>
          <w:lang w:val="lt-LT"/>
        </w:rPr>
        <w:t>imuninę sistemą slopinančių ar moduliuojančių vaistų</w:t>
      </w:r>
      <w:r w:rsidRPr="00C82784">
        <w:rPr>
          <w:szCs w:val="22"/>
          <w:lang w:val="lt-LT"/>
        </w:rPr>
        <w:t xml:space="preserve">, įskaitant </w:t>
      </w:r>
      <w:r w:rsidRPr="00C82784">
        <w:rPr>
          <w:b/>
          <w:szCs w:val="22"/>
          <w:lang w:val="lt-LT"/>
        </w:rPr>
        <w:t xml:space="preserve">kitų IS gydyti skiriamų vaistų, </w:t>
      </w:r>
      <w:r w:rsidRPr="00C82784">
        <w:rPr>
          <w:szCs w:val="22"/>
          <w:lang w:val="lt-LT"/>
        </w:rPr>
        <w:t xml:space="preserve">pavyzdžiui, beta interferono, glatiramero acetato, natalizumabo, mitoksantrono, teriflunomido, dimetilfumarato ar alemtuzumabo. Jums negalima vartoti Fingolimod Teva kartu su šiais vaistais, kadangi tai gali sustiprinti poveikį imuninei sistemai (taip pat žr. skyrelį „Fingolimod Teva vartoti negalima“); </w:t>
      </w:r>
    </w:p>
    <w:p w:rsidR="008C0D40" w:rsidRPr="00C82784" w:rsidRDefault="008C0D40" w:rsidP="008C0D40">
      <w:pPr>
        <w:numPr>
          <w:ilvl w:val="0"/>
          <w:numId w:val="19"/>
        </w:numPr>
        <w:tabs>
          <w:tab w:val="clear" w:pos="567"/>
        </w:tabs>
        <w:spacing w:line="240" w:lineRule="auto"/>
        <w:ind w:left="567" w:right="-2" w:hanging="567"/>
        <w:rPr>
          <w:szCs w:val="22"/>
          <w:lang w:val="lt-LT"/>
        </w:rPr>
      </w:pPr>
      <w:r w:rsidRPr="00C82784">
        <w:rPr>
          <w:b/>
          <w:szCs w:val="22"/>
          <w:lang w:val="lt-LT"/>
        </w:rPr>
        <w:t xml:space="preserve">kortikosteroidų, </w:t>
      </w:r>
      <w:r w:rsidRPr="00C82784">
        <w:rPr>
          <w:szCs w:val="22"/>
          <w:lang w:val="lt-LT"/>
        </w:rPr>
        <w:t xml:space="preserve">kadangi gali pasireikšti papildomas poveikis imuninei sistemai; </w:t>
      </w:r>
    </w:p>
    <w:p w:rsidR="008C0D40" w:rsidRPr="00C82784" w:rsidRDefault="008C0D40" w:rsidP="008C0D40">
      <w:pPr>
        <w:numPr>
          <w:ilvl w:val="0"/>
          <w:numId w:val="19"/>
        </w:numPr>
        <w:tabs>
          <w:tab w:val="clear" w:pos="567"/>
        </w:tabs>
        <w:spacing w:line="240" w:lineRule="auto"/>
        <w:ind w:left="567" w:right="-2" w:hanging="567"/>
        <w:rPr>
          <w:szCs w:val="22"/>
          <w:lang w:val="lt-LT"/>
        </w:rPr>
      </w:pPr>
      <w:r w:rsidRPr="00C82784">
        <w:rPr>
          <w:b/>
          <w:szCs w:val="22"/>
          <w:lang w:val="lt-LT"/>
        </w:rPr>
        <w:t>vakcinų</w:t>
      </w:r>
      <w:r w:rsidRPr="00C82784">
        <w:rPr>
          <w:szCs w:val="22"/>
          <w:lang w:val="lt-LT"/>
        </w:rPr>
        <w:t xml:space="preserve">. Jeigu Jums reikia skiepytis, pirmiausia pasitarkite su gydytoju. Fingolimod Teva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rsidR="008C0D40" w:rsidRPr="00C82784" w:rsidRDefault="008C0D40" w:rsidP="008C0D40">
      <w:pPr>
        <w:numPr>
          <w:ilvl w:val="0"/>
          <w:numId w:val="19"/>
        </w:numPr>
        <w:tabs>
          <w:tab w:val="clear" w:pos="567"/>
        </w:tabs>
        <w:spacing w:line="240" w:lineRule="auto"/>
        <w:ind w:left="567" w:right="-2" w:hanging="567"/>
        <w:rPr>
          <w:szCs w:val="22"/>
          <w:lang w:val="lt-LT"/>
        </w:rPr>
      </w:pPr>
      <w:r w:rsidRPr="00C82784">
        <w:rPr>
          <w:b/>
          <w:szCs w:val="22"/>
          <w:lang w:val="lt-LT"/>
        </w:rPr>
        <w:lastRenderedPageBreak/>
        <w:t>širdies susitraukimų dažnį mažinančių vaistų</w:t>
      </w:r>
      <w:r w:rsidRPr="00C82784">
        <w:rPr>
          <w:szCs w:val="22"/>
          <w:lang w:val="lt-LT"/>
        </w:rPr>
        <w:t xml:space="preserve"> (pavyzdžiui, beta adrenoblokatorių, tokių kaip atenololis). Fingolimod Teva vartojimas kartu su šiais vaistais gali sustiprinti poveikį širdies susitraukimų dažniui pirmomis Fingolimod Teva vartojimo dienomis; </w:t>
      </w:r>
    </w:p>
    <w:p w:rsidR="008C0D40" w:rsidRPr="00C82784" w:rsidRDefault="008C0D40" w:rsidP="008C0D40">
      <w:pPr>
        <w:numPr>
          <w:ilvl w:val="0"/>
          <w:numId w:val="19"/>
        </w:numPr>
        <w:tabs>
          <w:tab w:val="clear" w:pos="567"/>
        </w:tabs>
        <w:spacing w:line="240" w:lineRule="auto"/>
        <w:ind w:left="567" w:right="-2" w:hanging="567"/>
        <w:rPr>
          <w:szCs w:val="22"/>
          <w:lang w:val="lt-LT"/>
        </w:rPr>
      </w:pPr>
      <w:r w:rsidRPr="00C82784">
        <w:rPr>
          <w:b/>
          <w:szCs w:val="22"/>
          <w:lang w:val="lt-LT"/>
        </w:rPr>
        <w:t>neritmiškam širdies plakimui gydyti skirtų vaistų</w:t>
      </w:r>
      <w:r w:rsidRPr="00C82784">
        <w:rPr>
          <w:szCs w:val="22"/>
          <w:lang w:val="lt-LT"/>
        </w:rPr>
        <w:t>, pavyzdžiui, chinidino, dizopiramido, amjodarono ar sotalolio. Jeigu Jūs vartojate šių vaistų, Jums negalima vartoti Fingolimod Teva, kadangi tai gali sustiprinti poveikį nereguliariam širdies plakimas (taip pat žr. poskyrį „Fingolimod Teva vartoti negalima“);</w:t>
      </w:r>
    </w:p>
    <w:p w:rsidR="008C0D40" w:rsidRPr="00A64927" w:rsidRDefault="008C0D40" w:rsidP="008C0D40">
      <w:pPr>
        <w:pStyle w:val="Sraopastraipa"/>
        <w:numPr>
          <w:ilvl w:val="0"/>
          <w:numId w:val="19"/>
        </w:numPr>
        <w:spacing w:after="0" w:line="240" w:lineRule="auto"/>
        <w:ind w:left="567" w:right="-2" w:hanging="720"/>
        <w:rPr>
          <w:rFonts w:ascii="Times New Roman" w:hAnsi="Times New Roman"/>
        </w:rPr>
      </w:pPr>
      <w:r w:rsidRPr="00A64927">
        <w:rPr>
          <w:rFonts w:ascii="Times New Roman" w:hAnsi="Times New Roman"/>
          <w:b/>
        </w:rPr>
        <w:t>kitų vaistų</w:t>
      </w:r>
      <w:r w:rsidRPr="00A64927">
        <w:rPr>
          <w:rFonts w:ascii="Times New Roman" w:hAnsi="Times New Roman"/>
        </w:rPr>
        <w:t xml:space="preserve">: </w:t>
      </w:r>
    </w:p>
    <w:p w:rsidR="008C0D40" w:rsidRPr="00C82784" w:rsidRDefault="008C0D40" w:rsidP="00C612DE">
      <w:pPr>
        <w:numPr>
          <w:ilvl w:val="0"/>
          <w:numId w:val="20"/>
        </w:numPr>
        <w:tabs>
          <w:tab w:val="clear" w:pos="567"/>
        </w:tabs>
        <w:spacing w:line="240" w:lineRule="auto"/>
        <w:ind w:left="1134" w:right="-2" w:hanging="567"/>
        <w:rPr>
          <w:szCs w:val="22"/>
          <w:lang w:val="lt-LT"/>
        </w:rPr>
      </w:pPr>
      <w:r w:rsidRPr="00C82784">
        <w:rPr>
          <w:szCs w:val="22"/>
          <w:lang w:val="lt-LT"/>
        </w:rPr>
        <w:t>proteaz</w:t>
      </w:r>
      <w:r w:rsidR="00C612DE">
        <w:rPr>
          <w:szCs w:val="22"/>
          <w:lang w:val="lt-LT"/>
        </w:rPr>
        <w:t>ės</w:t>
      </w:r>
      <w:r w:rsidRPr="00C82784">
        <w:rPr>
          <w:szCs w:val="22"/>
          <w:lang w:val="lt-LT"/>
        </w:rPr>
        <w:t xml:space="preserve"> inhibitorių, vaistų nuo infekcijų, tokių kaip ketokonazolo, azolo grupės priešgrybelinių vaistų, klaritromicino ar telitromicino; </w:t>
      </w:r>
    </w:p>
    <w:p w:rsidR="008C0D40" w:rsidRPr="00C82784" w:rsidRDefault="008C0D40" w:rsidP="008C0D40">
      <w:pPr>
        <w:numPr>
          <w:ilvl w:val="0"/>
          <w:numId w:val="20"/>
        </w:numPr>
        <w:tabs>
          <w:tab w:val="clear" w:pos="567"/>
        </w:tabs>
        <w:spacing w:line="240" w:lineRule="auto"/>
        <w:ind w:left="1134" w:right="-2" w:hanging="567"/>
        <w:rPr>
          <w:szCs w:val="22"/>
          <w:lang w:val="lt-LT"/>
        </w:rPr>
      </w:pPr>
      <w:r w:rsidRPr="00C82784">
        <w:rPr>
          <w:szCs w:val="22"/>
          <w:lang w:val="lt-LT"/>
        </w:rPr>
        <w:t>karbamazepino, rifampicino, fenobarbitalio, fenitoino, efavirenzo ar jonažolės preparatų (galima sumažėjusio Fingolimod Teva veiksmingumo rizika).</w:t>
      </w:r>
    </w:p>
    <w:p w:rsidR="008C0D40" w:rsidRPr="00C82784" w:rsidRDefault="008C0D40" w:rsidP="008C0D40">
      <w:pPr>
        <w:pStyle w:val="Antrat4"/>
        <w:spacing w:line="240" w:lineRule="auto"/>
        <w:jc w:val="left"/>
        <w:rPr>
          <w:rFonts w:ascii="Times New Roman" w:hAnsi="Times New Roman"/>
          <w:sz w:val="22"/>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Nėštumas ir žindymo laikotarpis</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Jeigu esate nėščia, žindote kūdikį, manote, kad galbūt esate nėščia arba planuojate pastoti, tai prieš vartodama šį vaistą pasitarkite su gydytoju.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s>
        <w:spacing w:line="240" w:lineRule="auto"/>
        <w:rPr>
          <w:szCs w:val="22"/>
          <w:u w:val="single"/>
          <w:lang w:val="lt-LT"/>
        </w:rPr>
      </w:pPr>
      <w:r w:rsidRPr="00C82784">
        <w:rPr>
          <w:szCs w:val="22"/>
          <w:u w:val="single"/>
          <w:lang w:val="lt-LT"/>
        </w:rPr>
        <w:t xml:space="preserve">Nėštumas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Draudžiama vartoti Fingolimod Teva nėštumo metu, jeigu ketinate pastoti arba jeigu esate vaisinga moteris ir nenaudojate veiksmingos kontracepcijos. Fingolimod Teva vartojimas nėštumo metu kelia žalingo poveikio riziką negimusiam kūdikiui. Kūdikiams, kurių motinos nėštumo metu vartojo Fingolimod Teva, nustatytas apsigimimų dažnis yra maždaug 2 kartus didesnis nei bendrojoje populiacijoje (bendrojoje populiacijoje šis dažnis yra apie 2-3 %). Dažniausiai nustatyti apsigimimai yra širdies, inkstų bei raumenų ir skeleto apsigimimai.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Todėl jeigu esate vaisinga moteris: </w:t>
      </w:r>
    </w:p>
    <w:p w:rsidR="008C0D40" w:rsidRPr="00C82784" w:rsidRDefault="008C0D40" w:rsidP="008C0D40">
      <w:pPr>
        <w:numPr>
          <w:ilvl w:val="1"/>
          <w:numId w:val="21"/>
        </w:numPr>
        <w:tabs>
          <w:tab w:val="clear" w:pos="567"/>
        </w:tabs>
        <w:spacing w:line="240" w:lineRule="auto"/>
        <w:ind w:left="567" w:hanging="567"/>
        <w:rPr>
          <w:szCs w:val="22"/>
          <w:lang w:val="lt-LT"/>
        </w:rPr>
      </w:pPr>
      <w:r w:rsidRPr="00C82784">
        <w:rPr>
          <w:szCs w:val="22"/>
          <w:lang w:val="lt-LT"/>
        </w:rPr>
        <w:t xml:space="preserve">prieš pradedant vartoti Fingolimod Teva, gydytojas Jus informuos apie gydymo keliamą riziką negimusiam kūdikiui ir paprašys atlikti nėštumo testą, kad įsitikintų, jog nesate nėščia;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ir </w:t>
      </w:r>
    </w:p>
    <w:p w:rsidR="008C0D40" w:rsidRPr="00C82784" w:rsidRDefault="008C0D40" w:rsidP="008C0D40">
      <w:pPr>
        <w:numPr>
          <w:ilvl w:val="1"/>
          <w:numId w:val="21"/>
        </w:numPr>
        <w:tabs>
          <w:tab w:val="clear" w:pos="567"/>
        </w:tabs>
        <w:spacing w:line="240" w:lineRule="auto"/>
        <w:ind w:left="567" w:hanging="567"/>
        <w:rPr>
          <w:szCs w:val="22"/>
          <w:lang w:val="lt-LT"/>
        </w:rPr>
      </w:pPr>
      <w:r w:rsidRPr="00C82784">
        <w:rPr>
          <w:szCs w:val="22"/>
          <w:lang w:val="lt-LT"/>
        </w:rPr>
        <w:t xml:space="preserve">Fingolimod Teva vartojimo metu ir dar du mėnesius po vaisto vartojimo pabaigos privalote naudoti veiksmingas kontracepcijos priemones, kad apsisaugotumėte nuo pastojimo. Pasitarkite su gydytoju dėl patikimos kontracepcijos metodų.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Gydytojas Jums duos kortelę, kurioje bus pateikiami paaiškinimai, kodėl Fingolimod Teva vartojimo metu neturėtumėte pastoti. </w:t>
      </w:r>
    </w:p>
    <w:p w:rsidR="008C0D40" w:rsidRPr="00C82784" w:rsidRDefault="008C0D40" w:rsidP="008C0D40">
      <w:pPr>
        <w:numPr>
          <w:ilvl w:val="12"/>
          <w:numId w:val="0"/>
        </w:numPr>
        <w:tabs>
          <w:tab w:val="clear" w:pos="567"/>
        </w:tabs>
        <w:spacing w:line="240" w:lineRule="auto"/>
        <w:rPr>
          <w:szCs w:val="22"/>
          <w:lang w:val="lt-LT"/>
        </w:rPr>
      </w:pPr>
      <w:r w:rsidRPr="00C82784">
        <w:rPr>
          <w:szCs w:val="22"/>
          <w:lang w:val="lt-LT"/>
        </w:rPr>
        <w:t xml:space="preserve"> </w:t>
      </w:r>
    </w:p>
    <w:p w:rsidR="008C0D40" w:rsidRPr="00C82784" w:rsidRDefault="008C0D40" w:rsidP="008C0D40">
      <w:pPr>
        <w:numPr>
          <w:ilvl w:val="12"/>
          <w:numId w:val="0"/>
        </w:numPr>
        <w:tabs>
          <w:tab w:val="clear" w:pos="567"/>
        </w:tabs>
        <w:spacing w:line="240" w:lineRule="auto"/>
        <w:rPr>
          <w:szCs w:val="22"/>
          <w:lang w:val="lt-LT"/>
        </w:rPr>
      </w:pPr>
      <w:r w:rsidRPr="00C82784">
        <w:rPr>
          <w:b/>
          <w:szCs w:val="22"/>
          <w:lang w:val="lt-LT"/>
        </w:rPr>
        <w:t>Nedelsdama pasakykite gydytojui, jeigu pastotumėte Fingolimod Teva vartojimo metu.</w:t>
      </w:r>
      <w:r w:rsidRPr="00C82784">
        <w:rPr>
          <w:szCs w:val="22"/>
          <w:lang w:val="lt-LT"/>
        </w:rPr>
        <w:t xml:space="preserve"> Gydytojas nuspręs Jums nutraukti gydymą (žr. skyrelį „Nustojus vartoti Fingolimod Teva“ 3 skyriuje, taip pat 4 skyrių „Galimas šalutinis poveikis“). Jums bus atlikti specialūs iki kūdikio gimimo stebėjimo tyrimai.</w:t>
      </w:r>
    </w:p>
    <w:p w:rsidR="008C0D40" w:rsidRPr="00C82784" w:rsidRDefault="008C0D40" w:rsidP="008C0D40">
      <w:pPr>
        <w:pStyle w:val="Antrat4"/>
        <w:spacing w:line="240" w:lineRule="auto"/>
        <w:jc w:val="left"/>
        <w:rPr>
          <w:rFonts w:ascii="Times New Roman" w:hAnsi="Times New Roman"/>
          <w:sz w:val="22"/>
          <w:szCs w:val="22"/>
          <w:lang w:val="lt-LT"/>
        </w:rPr>
      </w:pPr>
    </w:p>
    <w:p w:rsidR="008C0D40" w:rsidRPr="00C82784" w:rsidRDefault="008C0D40" w:rsidP="008C0D40">
      <w:pPr>
        <w:rPr>
          <w:szCs w:val="22"/>
          <w:u w:val="single"/>
          <w:lang w:val="lt-LT" w:eastAsia="x-none"/>
        </w:rPr>
      </w:pPr>
      <w:r w:rsidRPr="00C82784">
        <w:rPr>
          <w:szCs w:val="22"/>
          <w:u w:val="single"/>
          <w:lang w:val="lt-LT" w:eastAsia="x-none"/>
        </w:rPr>
        <w:t xml:space="preserve">Žindymo laikotarpis </w:t>
      </w:r>
    </w:p>
    <w:p w:rsidR="008C0D40" w:rsidRPr="00C82784" w:rsidRDefault="008C0D40" w:rsidP="008C0D40">
      <w:pPr>
        <w:rPr>
          <w:szCs w:val="22"/>
          <w:lang w:val="lt-LT" w:eastAsia="x-none"/>
        </w:rPr>
      </w:pPr>
      <w:r w:rsidRPr="00C82784">
        <w:rPr>
          <w:b/>
          <w:szCs w:val="22"/>
          <w:lang w:val="lt-LT" w:eastAsia="x-none"/>
        </w:rPr>
        <w:t>Fingolimod Teva vartojimo metu žindyti negalima.</w:t>
      </w:r>
      <w:r w:rsidRPr="00C82784">
        <w:rPr>
          <w:szCs w:val="22"/>
          <w:lang w:val="lt-LT" w:eastAsia="x-none"/>
        </w:rPr>
        <w:t xml:space="preserve"> Fingolimod Teva gali patekti į žindyvės pieną, tokiu atveju yra sunkių šalutinių reiškinių kūdikiui pasireiškimo pavojus. </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b/>
          <w:szCs w:val="22"/>
          <w:lang w:val="lt-LT" w:eastAsia="x-none"/>
        </w:rPr>
      </w:pPr>
      <w:r w:rsidRPr="00C82784">
        <w:rPr>
          <w:b/>
          <w:szCs w:val="22"/>
          <w:lang w:val="lt-LT" w:eastAsia="x-none"/>
        </w:rPr>
        <w:t xml:space="preserve">Vairavimas ir mechanizmų valdymas </w:t>
      </w:r>
    </w:p>
    <w:p w:rsidR="008C0D40" w:rsidRPr="00C82784" w:rsidRDefault="008C0D40" w:rsidP="008C0D40">
      <w:pPr>
        <w:rPr>
          <w:szCs w:val="22"/>
          <w:lang w:val="lt-LT" w:eastAsia="x-none"/>
        </w:rPr>
      </w:pPr>
      <w:r w:rsidRPr="00C82784">
        <w:rPr>
          <w:szCs w:val="22"/>
          <w:lang w:val="lt-LT" w:eastAsia="x-none"/>
        </w:rPr>
        <w:t xml:space="preserve">Jūsų gydytojas pasakys, ar dėl Jūsų ligos galite saugiai vairuoti, važiuoti dviračiu ir valdyti mechanizmus. Nesitikima, kad Fingolimod Teva vartojimas įtakotų Jūsų gebėjimą vairuoti ir valdyti mechanizmus. </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lang w:val="lt-LT" w:eastAsia="x-none"/>
        </w:rPr>
      </w:pPr>
      <w:r w:rsidRPr="00C82784">
        <w:rPr>
          <w:szCs w:val="22"/>
          <w:lang w:val="lt-LT" w:eastAsia="x-none"/>
        </w:rPr>
        <w:t>Tačiau gydymo pradžioje Jums reikės likti gydytojo kabinete ar gydymo įstaigoje 6 valandoms po pirmosios Fingolimod Teva dozės vartojimo. Šiuo laikotarpiu ir galimai vėliau Jūsų gebėjimas vairuoti ir valdyti mechanizmus gali būti sutrikęs.</w:t>
      </w:r>
    </w:p>
    <w:p w:rsidR="008C0D40" w:rsidRPr="00C82784" w:rsidRDefault="008C0D40" w:rsidP="008C0D40">
      <w:pPr>
        <w:pStyle w:val="Antrat4"/>
        <w:spacing w:line="240" w:lineRule="auto"/>
        <w:jc w:val="left"/>
        <w:rPr>
          <w:rFonts w:ascii="Times New Roman" w:hAnsi="Times New Roman"/>
          <w:sz w:val="22"/>
          <w:szCs w:val="22"/>
          <w:lang w:val="lt-LT"/>
        </w:rPr>
      </w:pPr>
    </w:p>
    <w:p w:rsidR="008C0D40" w:rsidRPr="00C82784" w:rsidRDefault="008C0D40" w:rsidP="008C0D40">
      <w:pPr>
        <w:numPr>
          <w:ilvl w:val="12"/>
          <w:numId w:val="0"/>
        </w:numPr>
        <w:tabs>
          <w:tab w:val="clear" w:pos="567"/>
        </w:tabs>
        <w:spacing w:line="240" w:lineRule="auto"/>
        <w:ind w:right="-2"/>
        <w:rPr>
          <w:b/>
          <w:szCs w:val="22"/>
          <w:lang w:val="lt-LT"/>
        </w:rPr>
      </w:pPr>
      <w:r w:rsidRPr="00C82784">
        <w:rPr>
          <w:b/>
          <w:szCs w:val="22"/>
          <w:lang w:val="lt-LT"/>
        </w:rPr>
        <w:t>Fingolimod Teva sudėtyje yra natrio</w:t>
      </w:r>
    </w:p>
    <w:p w:rsidR="008C0D40" w:rsidRPr="00C82784" w:rsidRDefault="008C0D40" w:rsidP="00C612DE">
      <w:pPr>
        <w:rPr>
          <w:snapToGrid/>
          <w:szCs w:val="22"/>
          <w:lang w:val="lt-LT"/>
        </w:rPr>
      </w:pPr>
      <w:r w:rsidRPr="00C82784">
        <w:rPr>
          <w:szCs w:val="22"/>
          <w:lang w:val="lt-LT"/>
        </w:rPr>
        <w:t xml:space="preserve">Šio vaisto vienoje </w:t>
      </w:r>
      <w:r w:rsidR="00C612DE">
        <w:rPr>
          <w:szCs w:val="22"/>
          <w:lang w:val="lt-LT"/>
        </w:rPr>
        <w:t>kapsulėje</w:t>
      </w:r>
      <w:r w:rsidRPr="00C82784">
        <w:rPr>
          <w:szCs w:val="22"/>
          <w:lang w:val="lt-LT"/>
        </w:rPr>
        <w:t xml:space="preserve"> yra mažiau kaip 1 mmol (23 mg) natrio, t.y. jis beveik neturi reikšmės.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3.</w:t>
      </w:r>
      <w:r w:rsidRPr="00C82784">
        <w:rPr>
          <w:rFonts w:ascii="Times New Roman" w:hAnsi="Times New Roman"/>
          <w:sz w:val="22"/>
          <w:szCs w:val="22"/>
          <w:lang w:val="lt-LT"/>
        </w:rPr>
        <w:tab/>
        <w:t xml:space="preserve">Kaip vartoti </w:t>
      </w:r>
      <w:r w:rsidRPr="00C82784">
        <w:rPr>
          <w:rFonts w:ascii="Times New Roman" w:hAnsi="Times New Roman"/>
          <w:color w:val="222222"/>
          <w:sz w:val="22"/>
          <w:szCs w:val="22"/>
          <w:shd w:val="clear" w:color="auto" w:fill="FFFFFF"/>
          <w:lang w:val="lt-LT"/>
        </w:rPr>
        <w:t>Fingolimod Teva</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Gydymą Fingolimod Teva paskirs ir prižiūrės išsėtinės sklerozės gydymo srityje patirties turintis gydytojas.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Visada vartokite šį vaistą tiksliai kaip nurodė gydytojas. Jeigu abejojate, kreipkitės į gydytoją.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Rekomenduojama dozė yra: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Suaugusiesiems: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b/>
          <w:noProof/>
          <w:szCs w:val="22"/>
          <w:lang w:val="lt-LT"/>
        </w:rPr>
        <w:t>Vaisto dozė yra po vieną 0,5 mg kapsulę per parą.</w:t>
      </w: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Vaikams ir paaugliams (10 metų ir vyresniems) </w:t>
      </w:r>
    </w:p>
    <w:p w:rsidR="008C0D40" w:rsidRPr="00C82784" w:rsidRDefault="008C0D40" w:rsidP="008C0D40">
      <w:pPr>
        <w:numPr>
          <w:ilvl w:val="12"/>
          <w:numId w:val="0"/>
        </w:numPr>
        <w:tabs>
          <w:tab w:val="clear" w:pos="567"/>
        </w:tabs>
        <w:spacing w:line="240" w:lineRule="auto"/>
        <w:ind w:right="-2"/>
        <w:rPr>
          <w:b/>
          <w:noProof/>
          <w:szCs w:val="22"/>
          <w:lang w:val="lt-LT"/>
        </w:rPr>
      </w:pPr>
      <w:r w:rsidRPr="00C82784">
        <w:rPr>
          <w:b/>
          <w:noProof/>
          <w:szCs w:val="22"/>
          <w:lang w:val="lt-LT"/>
        </w:rPr>
        <w:t xml:space="preserve">Vaisto dozė priklauso nuo kūno svorio: </w:t>
      </w:r>
    </w:p>
    <w:p w:rsidR="008C0D40" w:rsidRPr="00C82784" w:rsidRDefault="008C0D40" w:rsidP="008C0D40">
      <w:pPr>
        <w:numPr>
          <w:ilvl w:val="0"/>
          <w:numId w:val="22"/>
        </w:numPr>
        <w:tabs>
          <w:tab w:val="clear" w:pos="567"/>
        </w:tabs>
        <w:spacing w:line="240" w:lineRule="auto"/>
        <w:ind w:left="567" w:right="-2" w:hanging="567"/>
        <w:rPr>
          <w:i/>
          <w:noProof/>
          <w:szCs w:val="22"/>
          <w:lang w:val="lt-LT"/>
        </w:rPr>
      </w:pPr>
      <w:r w:rsidRPr="00C82784">
        <w:rPr>
          <w:i/>
          <w:noProof/>
          <w:szCs w:val="22"/>
          <w:lang w:val="lt-LT"/>
        </w:rPr>
        <w:t>vaikams ir paaugliams, kurių kūno svoris yra 40 kg ar mažesnis: po vieną 0,25 mg kapsulę per parą;</w:t>
      </w:r>
    </w:p>
    <w:p w:rsidR="008C0D40" w:rsidRPr="00C82784" w:rsidRDefault="008C0D40" w:rsidP="008C0D40">
      <w:pPr>
        <w:numPr>
          <w:ilvl w:val="0"/>
          <w:numId w:val="22"/>
        </w:numPr>
        <w:tabs>
          <w:tab w:val="clear" w:pos="567"/>
        </w:tabs>
        <w:spacing w:line="240" w:lineRule="auto"/>
        <w:ind w:left="567" w:right="-2" w:hanging="567"/>
        <w:rPr>
          <w:i/>
          <w:noProof/>
          <w:szCs w:val="22"/>
          <w:lang w:val="lt-LT"/>
        </w:rPr>
      </w:pPr>
      <w:r w:rsidRPr="00C82784">
        <w:rPr>
          <w:i/>
          <w:noProof/>
          <w:szCs w:val="22"/>
          <w:lang w:val="lt-LT"/>
        </w:rPr>
        <w:t xml:space="preserve">vaikams ir paaugliams, kurių kūno svoris yra didesnis nei 40 kg: po vieną 0,5 mg kapsulę per parą. </w:t>
      </w:r>
    </w:p>
    <w:p w:rsidR="008C0D40" w:rsidRPr="00C82784" w:rsidRDefault="008C0D40" w:rsidP="008C0D40">
      <w:pPr>
        <w:numPr>
          <w:ilvl w:val="12"/>
          <w:numId w:val="0"/>
        </w:numPr>
        <w:tabs>
          <w:tab w:val="clear" w:pos="567"/>
        </w:tabs>
        <w:spacing w:line="240" w:lineRule="auto"/>
        <w:ind w:right="-2"/>
        <w:rPr>
          <w:noProof/>
          <w:szCs w:val="22"/>
          <w:lang w:val="lt-LT"/>
        </w:rPr>
      </w:pP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Neviršykite rekomenduojamos vaisto dozės.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reikia vartoti per burną.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vartokite kartą per parą užgerdami stikline vandens. Fingolimod Teva kapsules visada nurykite nepažeistas, jų negalima atidaryti. Fingolimod Teva galima vartoti valgio metu ar nevalgius.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vartojimas kasdien tuo pačiu metu padės Jums prisiminti, kada reikia vaistą vartoti.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
        <w:rPr>
          <w:noProof/>
          <w:szCs w:val="22"/>
          <w:lang w:val="lt-LT"/>
        </w:rPr>
      </w:pPr>
      <w:r w:rsidRPr="00C82784">
        <w:rPr>
          <w:noProof/>
          <w:szCs w:val="22"/>
          <w:lang w:val="lt-LT"/>
        </w:rPr>
        <w:t xml:space="preserve">Jeigu turite klausimų apie tai, kiek laiko reikia vartoti Fingolimod Teva, pasitarkite su gydytoju arba vaistininku.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Ką daryti pavartojus per didelę </w:t>
      </w: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dozę?</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Jeigu pavartojote per didelę Fingolimod Teva dozę, nedelsdami kreipkitės į gydytoją.</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Pamiršus pavartoti </w:t>
      </w:r>
      <w:r w:rsidRPr="00C82784">
        <w:rPr>
          <w:rFonts w:ascii="Times New Roman" w:hAnsi="Times New Roman"/>
          <w:color w:val="222222"/>
          <w:sz w:val="22"/>
          <w:szCs w:val="22"/>
          <w:shd w:val="clear" w:color="auto" w:fill="FFFFFF"/>
          <w:lang w:val="lt-LT"/>
        </w:rPr>
        <w:t>Fingolimod Teva</w:t>
      </w: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Jeigu vartojote Fingolimod Teva trumpiau kaip 1 mėnesį ir pamiršote pavartoti 1 dozę visą dieną, prieš vartodami kitą dozę paskambinkite gydytojui. Gydytojas gali nuspręsti stebėti Jūsų būklę, kai vartosite kitą vaisto dozę.</w:t>
      </w:r>
    </w:p>
    <w:p w:rsidR="008C0D40" w:rsidRPr="00C82784" w:rsidRDefault="008C0D40" w:rsidP="008C0D40">
      <w:pPr>
        <w:pStyle w:val="Antrat4"/>
        <w:spacing w:line="240" w:lineRule="auto"/>
        <w:jc w:val="left"/>
        <w:rPr>
          <w:rFonts w:ascii="Times New Roman" w:hAnsi="Times New Roman"/>
          <w:b w:val="0"/>
          <w:sz w:val="22"/>
          <w:szCs w:val="22"/>
          <w:lang w:val="lt-LT"/>
        </w:rPr>
      </w:pP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vartojote Fingolimod Teva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Niekada nevartokite dvigubos dozės norėdami kompensuoti praleistą dozę. </w:t>
      </w:r>
    </w:p>
    <w:p w:rsidR="008C0D40" w:rsidRPr="00C82784" w:rsidRDefault="008C0D40" w:rsidP="008C0D40">
      <w:pPr>
        <w:pStyle w:val="Antrat4"/>
        <w:spacing w:line="240" w:lineRule="auto"/>
        <w:jc w:val="left"/>
        <w:rPr>
          <w:rFonts w:ascii="Times New Roman" w:hAnsi="Times New Roman"/>
          <w:sz w:val="22"/>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Nustojus vartoti </w:t>
      </w:r>
      <w:r w:rsidRPr="00C82784">
        <w:rPr>
          <w:rFonts w:ascii="Times New Roman" w:hAnsi="Times New Roman"/>
          <w:color w:val="222222"/>
          <w:sz w:val="22"/>
          <w:szCs w:val="22"/>
          <w:shd w:val="clear" w:color="auto" w:fill="FFFFFF"/>
          <w:lang w:val="lt-LT"/>
        </w:rPr>
        <w:t>Fingolimod Teva</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Nenutraukite Fingolimod Teva vartojimo ir nekeiskite vaisto dozės, prieš tai nepasitarę su savo gydytoju.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lastRenderedPageBreak/>
        <w:t xml:space="preserve">Nutraukus vaisto vartojimą, Fingolimod Teva išliks Jūsų organizme dar iki 2 mėnesių. Jūsų baltųjų kraujo ląstelių skaičius (limfocitų skaičius) šiuo laikotarpiu taip pat gali išlikti sumažėjęs ir vis dar gali pasireikšti šiame lapelyje aprašytas šalutinis poveikis. Nutraukus Fingolimod Teva vartojimą, Jums gali tekti palaukti 6-8 savaites iki naujų vaistų IS gydyti vartojimo pradžios. </w:t>
      </w:r>
    </w:p>
    <w:p w:rsidR="008C0D40" w:rsidRPr="00C82784" w:rsidRDefault="008C0D40" w:rsidP="008C0D40">
      <w:pPr>
        <w:numPr>
          <w:ilvl w:val="12"/>
          <w:numId w:val="0"/>
        </w:numPr>
        <w:tabs>
          <w:tab w:val="clear" w:pos="567"/>
        </w:tabs>
        <w:spacing w:line="240" w:lineRule="auto"/>
        <w:ind w:right="-29"/>
        <w:rPr>
          <w:noProof/>
          <w:szCs w:val="22"/>
          <w:lang w:val="lt-LT"/>
        </w:rPr>
      </w:pP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Jeigu Jums reikia vėl pradėti vartoti Fingolimod Teva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Fingolimod Teva prieš tai nepasitarę su gydytoju po to, kai nevartojote vaisto ilgiau kaip dvi savaites.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Nustojus vartoti Fingolimod Teva, gydytojas nuspręs, ar reikia ir kaip reikia Jus stebėti. Nedelsdami pasakykite gydytojui, jeigu manote, kad nutraukus Fingolimod Teva vartojimą Jūsų patiriami IS simptomai pablogėjo. Tai gali lemti sunkius padarinius.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8C0D40" w:rsidRPr="00C82784" w:rsidRDefault="008C0D40" w:rsidP="008C0D40">
      <w:pPr>
        <w:numPr>
          <w:ilvl w:val="12"/>
          <w:numId w:val="0"/>
        </w:numPr>
        <w:tabs>
          <w:tab w:val="clear" w:pos="567"/>
        </w:tabs>
        <w:spacing w:line="240" w:lineRule="auto"/>
        <w:ind w:right="-29"/>
        <w:rPr>
          <w:noProof/>
          <w:szCs w:val="22"/>
          <w:lang w:val="lt-LT"/>
        </w:rPr>
      </w:pPr>
      <w:r w:rsidRPr="00C82784">
        <w:rPr>
          <w:noProof/>
          <w:szCs w:val="22"/>
          <w:lang w:val="lt-LT"/>
        </w:rPr>
        <w:t>Jeigu kiltų daugiau klausimų dėl šio vaisto vartojimo, kreipkitės į gydytoją arba vaistininką.</w:t>
      </w:r>
    </w:p>
    <w:p w:rsidR="008C0D40" w:rsidRPr="00C82784" w:rsidRDefault="008C0D40" w:rsidP="008C0D40">
      <w:pPr>
        <w:numPr>
          <w:ilvl w:val="12"/>
          <w:numId w:val="0"/>
        </w:numPr>
        <w:tabs>
          <w:tab w:val="clear" w:pos="567"/>
        </w:tabs>
        <w:spacing w:line="240" w:lineRule="auto"/>
        <w:rPr>
          <w:szCs w:val="22"/>
          <w:lang w:val="lt-LT"/>
        </w:rPr>
      </w:pPr>
    </w:p>
    <w:p w:rsidR="008C0D40" w:rsidRPr="00C82784" w:rsidRDefault="008C0D40" w:rsidP="008C0D40">
      <w:pPr>
        <w:numPr>
          <w:ilvl w:val="12"/>
          <w:numId w:val="0"/>
        </w:numPr>
        <w:tabs>
          <w:tab w:val="clear" w:pos="567"/>
        </w:tabs>
        <w:spacing w:line="240" w:lineRule="auto"/>
        <w:rPr>
          <w:szCs w:val="22"/>
          <w:lang w:val="lt-LT"/>
        </w:rPr>
      </w:pPr>
    </w:p>
    <w:p w:rsidR="008C0D40" w:rsidRPr="00C82784" w:rsidRDefault="008C0D40" w:rsidP="008C0D40">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4.</w:t>
      </w:r>
      <w:r w:rsidRPr="00C82784">
        <w:rPr>
          <w:rFonts w:ascii="Times New Roman" w:hAnsi="Times New Roman"/>
          <w:sz w:val="22"/>
          <w:szCs w:val="22"/>
          <w:lang w:val="lt-LT"/>
        </w:rPr>
        <w:tab/>
        <w:t>Galimas šalutinis poveikis</w:t>
      </w:r>
    </w:p>
    <w:p w:rsidR="008C0D40" w:rsidRPr="00C82784" w:rsidRDefault="008C0D40" w:rsidP="008C0D40">
      <w:pPr>
        <w:numPr>
          <w:ilvl w:val="12"/>
          <w:numId w:val="0"/>
        </w:numPr>
        <w:tabs>
          <w:tab w:val="clear" w:pos="567"/>
        </w:tabs>
        <w:spacing w:line="240" w:lineRule="auto"/>
        <w:rPr>
          <w:szCs w:val="22"/>
          <w:lang w:val="lt-LT"/>
        </w:rPr>
      </w:pPr>
    </w:p>
    <w:p w:rsidR="008C0D40" w:rsidRPr="00C82784" w:rsidRDefault="008C0D40" w:rsidP="008C0D40">
      <w:pPr>
        <w:numPr>
          <w:ilvl w:val="12"/>
          <w:numId w:val="0"/>
        </w:numPr>
        <w:tabs>
          <w:tab w:val="clear" w:pos="567"/>
        </w:tabs>
        <w:spacing w:line="240" w:lineRule="auto"/>
        <w:ind w:right="-29"/>
        <w:rPr>
          <w:szCs w:val="22"/>
          <w:lang w:val="lt-LT"/>
        </w:rPr>
      </w:pPr>
      <w:r w:rsidRPr="00C82784">
        <w:rPr>
          <w:noProof/>
          <w:szCs w:val="22"/>
          <w:lang w:val="lt-LT"/>
        </w:rPr>
        <w:t>Šis vaistas, kaip ir visi kiti, gali sukelti šalutinį poveikį, nors jis pasireiškia ne visiems žmonėms.</w:t>
      </w:r>
    </w:p>
    <w:p w:rsidR="008C0D40" w:rsidRPr="00C82784" w:rsidRDefault="008C0D40" w:rsidP="008C0D40">
      <w:pPr>
        <w:numPr>
          <w:ilvl w:val="12"/>
          <w:numId w:val="0"/>
        </w:numPr>
        <w:tabs>
          <w:tab w:val="clear" w:pos="567"/>
        </w:tabs>
        <w:spacing w:line="240" w:lineRule="auto"/>
        <w:ind w:right="-29"/>
        <w:rPr>
          <w:szCs w:val="22"/>
          <w:lang w:val="lt-LT"/>
        </w:rPr>
      </w:pPr>
    </w:p>
    <w:p w:rsidR="008C0D40" w:rsidRPr="00C82784" w:rsidRDefault="008C0D40" w:rsidP="008C0D40">
      <w:pPr>
        <w:numPr>
          <w:ilvl w:val="12"/>
          <w:numId w:val="0"/>
        </w:numPr>
        <w:tabs>
          <w:tab w:val="clear" w:pos="567"/>
        </w:tabs>
        <w:spacing w:line="240" w:lineRule="auto"/>
        <w:ind w:right="-29"/>
        <w:rPr>
          <w:szCs w:val="22"/>
          <w:u w:val="single"/>
          <w:lang w:val="lt-LT"/>
        </w:rPr>
      </w:pPr>
      <w:r w:rsidRPr="00C82784">
        <w:rPr>
          <w:szCs w:val="22"/>
          <w:u w:val="single"/>
          <w:lang w:val="lt-LT"/>
        </w:rPr>
        <w:t xml:space="preserve">Kai kurie šalutiniai reiškiniai gali būti sunkūs arba gali tapti sunkiais </w:t>
      </w:r>
    </w:p>
    <w:p w:rsidR="008C0D40" w:rsidRPr="00C82784" w:rsidRDefault="008C0D40" w:rsidP="008C0D40">
      <w:pPr>
        <w:numPr>
          <w:ilvl w:val="12"/>
          <w:numId w:val="0"/>
        </w:numPr>
        <w:tabs>
          <w:tab w:val="clear" w:pos="567"/>
        </w:tabs>
        <w:spacing w:line="240" w:lineRule="auto"/>
        <w:ind w:right="-29"/>
        <w:rPr>
          <w:b/>
          <w:szCs w:val="22"/>
          <w:lang w:val="lt-LT"/>
        </w:rPr>
      </w:pPr>
    </w:p>
    <w:p w:rsidR="008C0D40" w:rsidRPr="00C82784" w:rsidRDefault="008C0D40" w:rsidP="008C0D40">
      <w:pPr>
        <w:numPr>
          <w:ilvl w:val="12"/>
          <w:numId w:val="0"/>
        </w:numPr>
        <w:tabs>
          <w:tab w:val="clear" w:pos="567"/>
        </w:tabs>
        <w:spacing w:line="240" w:lineRule="auto"/>
        <w:ind w:left="567" w:right="-29" w:hanging="567"/>
        <w:rPr>
          <w:szCs w:val="22"/>
          <w:lang w:val="lt-LT"/>
        </w:rPr>
      </w:pPr>
      <w:r w:rsidRPr="00C82784">
        <w:rPr>
          <w:b/>
          <w:szCs w:val="22"/>
          <w:lang w:val="lt-LT"/>
        </w:rPr>
        <w:t xml:space="preserve">Dažnas </w:t>
      </w:r>
      <w:r w:rsidRPr="00C82784">
        <w:rPr>
          <w:szCs w:val="22"/>
          <w:lang w:val="lt-LT"/>
        </w:rPr>
        <w:t xml:space="preserve">(gali pasireikšti rečiau kaip 1 asmeniui iš 10):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szCs w:val="22"/>
          <w:lang w:val="lt-LT"/>
        </w:rPr>
        <w:t xml:space="preserve">kosėjimas su skrepliais, diskomforto pojūtis krūtinės ląstoje, karščiavimas (plaučių ligų požymiai);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i/>
          <w:szCs w:val="22"/>
          <w:lang w:val="lt-LT"/>
        </w:rPr>
        <w:t>Herpes</w:t>
      </w:r>
      <w:r w:rsidRPr="00C82784">
        <w:rPr>
          <w:szCs w:val="22"/>
          <w:lang w:val="lt-LT"/>
        </w:rPr>
        <w:t xml:space="preserve"> viruso sukelta infekcija (juosiančioji pūslelinė arba </w:t>
      </w:r>
      <w:r w:rsidRPr="00C82784">
        <w:rPr>
          <w:i/>
          <w:szCs w:val="22"/>
          <w:lang w:val="lt-LT"/>
        </w:rPr>
        <w:t>herpes zoster</w:t>
      </w:r>
      <w:r w:rsidRPr="00C82784">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szCs w:val="22"/>
          <w:lang w:val="lt-LT"/>
        </w:rPr>
        <w:t xml:space="preserve">sumažėjęs širdies susitraukimų dažnis (bradikardija), neritmiškas širdies plakimas;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szCs w:val="22"/>
          <w:lang w:val="lt-LT"/>
        </w:rPr>
        <w:t xml:space="preserve">odos vėžio tipas, vadinamas bazalinių ląstelių karcinoma (BLK), kuris dažnai atrodo kaip perlinis mazgelis, nors jis gali būti ir kitokių formų;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szCs w:val="22"/>
          <w:lang w:val="lt-LT"/>
        </w:rPr>
        <w:t xml:space="preserve">žinoma, kad IS sergantiems pacientams gali dažniau pasireikšti depresija ir nerimas, šių sutrikimų taip pat buvo nustatyta Fingolimod Teva vartojusiems vaikams; </w:t>
      </w:r>
    </w:p>
    <w:p w:rsidR="008C0D40" w:rsidRPr="00C82784" w:rsidRDefault="008C0D40" w:rsidP="008C0D40">
      <w:pPr>
        <w:numPr>
          <w:ilvl w:val="1"/>
          <w:numId w:val="23"/>
        </w:numPr>
        <w:tabs>
          <w:tab w:val="clear" w:pos="567"/>
        </w:tabs>
        <w:spacing w:line="240" w:lineRule="auto"/>
        <w:ind w:left="567" w:right="-29" w:hanging="567"/>
        <w:rPr>
          <w:szCs w:val="22"/>
          <w:lang w:val="lt-LT"/>
        </w:rPr>
      </w:pPr>
      <w:r w:rsidRPr="00C82784">
        <w:rPr>
          <w:szCs w:val="22"/>
          <w:lang w:val="lt-LT"/>
        </w:rPr>
        <w:t>sumažėjęs kūno svoris.</w:t>
      </w:r>
    </w:p>
    <w:p w:rsidR="008C0D40" w:rsidRPr="00C82784" w:rsidRDefault="008C0D40" w:rsidP="008C0D40">
      <w:pPr>
        <w:pStyle w:val="Antrat4"/>
        <w:spacing w:line="240" w:lineRule="auto"/>
        <w:jc w:val="left"/>
        <w:rPr>
          <w:rFonts w:ascii="Times New Roman" w:hAnsi="Times New Roman"/>
          <w:b w:val="0"/>
          <w:bCs w:val="0"/>
          <w:sz w:val="22"/>
          <w:szCs w:val="22"/>
          <w:lang w:val="lt-LT" w:eastAsia="en-US"/>
        </w:rPr>
      </w:pPr>
    </w:p>
    <w:p w:rsidR="008C0D40" w:rsidRPr="00C82784" w:rsidRDefault="008C0D40" w:rsidP="008C0D40">
      <w:pPr>
        <w:pStyle w:val="Antrat4"/>
        <w:spacing w:line="240" w:lineRule="auto"/>
        <w:ind w:left="567" w:hanging="567"/>
        <w:jc w:val="left"/>
        <w:rPr>
          <w:rFonts w:ascii="Times New Roman" w:hAnsi="Times New Roman"/>
          <w:b w:val="0"/>
          <w:sz w:val="22"/>
          <w:szCs w:val="22"/>
          <w:lang w:val="lt-LT"/>
        </w:rPr>
      </w:pPr>
      <w:r w:rsidRPr="00C82784">
        <w:rPr>
          <w:rFonts w:ascii="Times New Roman" w:hAnsi="Times New Roman"/>
          <w:sz w:val="22"/>
          <w:szCs w:val="22"/>
          <w:lang w:val="lt-LT"/>
        </w:rPr>
        <w:t xml:space="preserve">Nedažnas </w:t>
      </w:r>
      <w:r w:rsidRPr="00C82784">
        <w:rPr>
          <w:rFonts w:ascii="Times New Roman" w:hAnsi="Times New Roman"/>
          <w:b w:val="0"/>
          <w:sz w:val="22"/>
          <w:szCs w:val="22"/>
          <w:lang w:val="lt-LT"/>
        </w:rPr>
        <w:t xml:space="preserve">(gali pasireikšti rečiau kaip 1 asmeniui iš 100): </w:t>
      </w:r>
    </w:p>
    <w:p w:rsidR="008C0D40" w:rsidRPr="00C82784" w:rsidRDefault="008C0D40" w:rsidP="008C0D40">
      <w:pPr>
        <w:numPr>
          <w:ilvl w:val="0"/>
          <w:numId w:val="32"/>
        </w:numPr>
        <w:ind w:left="567" w:hanging="567"/>
        <w:rPr>
          <w:szCs w:val="22"/>
          <w:lang w:val="lt-LT" w:eastAsia="x-none"/>
        </w:rPr>
      </w:pPr>
      <w:r w:rsidRPr="00C82784">
        <w:rPr>
          <w:szCs w:val="22"/>
          <w:lang w:val="lt-LT" w:eastAsia="x-none"/>
        </w:rPr>
        <w:t xml:space="preserve">plaučių uždegimas su tokiais simptomais kaip karščiavimas, kosulys, apsunkintas kvėpavimas; </w:t>
      </w:r>
    </w:p>
    <w:p w:rsidR="008C0D40" w:rsidRPr="00C82784" w:rsidRDefault="008C0D40" w:rsidP="008C0D40">
      <w:pPr>
        <w:numPr>
          <w:ilvl w:val="1"/>
          <w:numId w:val="33"/>
        </w:numPr>
        <w:ind w:left="567" w:hanging="567"/>
        <w:rPr>
          <w:szCs w:val="22"/>
          <w:lang w:val="lt-LT" w:eastAsia="x-none"/>
        </w:rPr>
      </w:pPr>
      <w:r w:rsidRPr="00C82784">
        <w:rPr>
          <w:szCs w:val="22"/>
          <w:lang w:val="lt-LT"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rsidR="008C0D40" w:rsidRPr="00C82784" w:rsidRDefault="008C0D40" w:rsidP="008C0D40">
      <w:pPr>
        <w:numPr>
          <w:ilvl w:val="1"/>
          <w:numId w:val="33"/>
        </w:numPr>
        <w:ind w:left="567" w:hanging="567"/>
        <w:rPr>
          <w:szCs w:val="22"/>
          <w:lang w:val="lt-LT" w:eastAsia="x-none"/>
        </w:rPr>
      </w:pPr>
      <w:r w:rsidRPr="00C82784">
        <w:rPr>
          <w:szCs w:val="22"/>
          <w:lang w:val="lt-LT" w:eastAsia="x-none"/>
        </w:rPr>
        <w:t>sumažėjęs trombocitų skaičius, kuris padidina riziką atsirasti kraujavimui ar mėlynėms;</w:t>
      </w:r>
    </w:p>
    <w:p w:rsidR="008C0D40" w:rsidRPr="00C82784" w:rsidRDefault="008C0D40" w:rsidP="006709AE">
      <w:pPr>
        <w:numPr>
          <w:ilvl w:val="0"/>
          <w:numId w:val="34"/>
        </w:numPr>
        <w:ind w:left="567" w:hanging="567"/>
        <w:rPr>
          <w:szCs w:val="22"/>
          <w:lang w:val="lt-LT" w:eastAsia="x-none"/>
        </w:rPr>
      </w:pPr>
      <w:r w:rsidRPr="00C82784">
        <w:rPr>
          <w:szCs w:val="22"/>
          <w:lang w:val="lt-LT" w:eastAsia="x-none"/>
        </w:rPr>
        <w:t>piktybinė melanoma (odos vėžio tipas, kuris paprastai išsivysto iš pakitusio apgamo). Galimi</w:t>
      </w:r>
    </w:p>
    <w:p w:rsidR="008C0D40" w:rsidRPr="00C82784" w:rsidRDefault="008C0D40" w:rsidP="006709AE">
      <w:pPr>
        <w:spacing w:line="240" w:lineRule="auto"/>
        <w:ind w:left="567"/>
        <w:outlineLvl w:val="3"/>
        <w:rPr>
          <w:bCs/>
          <w:szCs w:val="22"/>
          <w:lang w:val="lt-LT" w:eastAsia="x-none"/>
        </w:rPr>
      </w:pPr>
      <w:r w:rsidRPr="00C82784">
        <w:rPr>
          <w:szCs w:val="22"/>
          <w:lang w:val="lt-LT" w:eastAsia="x-none"/>
        </w:rPr>
        <w:t xml:space="preserve">melanomos požymiai yra apgamai, kurie laikui bėgant gali keisti dydį, formą, iškilumą ar spalvą, arba naujų apgamų atsiradimas. Apgamai gali niežėti, kraujuoti ar opėti; </w:t>
      </w:r>
    </w:p>
    <w:p w:rsidR="008C0D40" w:rsidRPr="00C82784" w:rsidRDefault="008C0D40" w:rsidP="006709AE">
      <w:pPr>
        <w:numPr>
          <w:ilvl w:val="1"/>
          <w:numId w:val="33"/>
        </w:numPr>
        <w:spacing w:line="240" w:lineRule="auto"/>
        <w:ind w:left="567" w:hanging="567"/>
        <w:outlineLvl w:val="3"/>
        <w:rPr>
          <w:bCs/>
          <w:szCs w:val="22"/>
          <w:lang w:val="lt-LT" w:eastAsia="x-none"/>
        </w:rPr>
      </w:pPr>
      <w:r w:rsidRPr="00C82784">
        <w:rPr>
          <w:szCs w:val="22"/>
          <w:lang w:val="lt-LT" w:eastAsia="x-none"/>
        </w:rPr>
        <w:t>traukuliai ar priepuoliai (jų dažniau pasireiškia vaikams ir paaugliams nei suaugusiesiems).</w:t>
      </w:r>
    </w:p>
    <w:p w:rsidR="008C0D40" w:rsidRPr="00C82784" w:rsidRDefault="008C0D40" w:rsidP="006709AE">
      <w:pPr>
        <w:tabs>
          <w:tab w:val="clear" w:pos="567"/>
          <w:tab w:val="left" w:pos="0"/>
        </w:tabs>
        <w:spacing w:line="240" w:lineRule="auto"/>
        <w:outlineLvl w:val="3"/>
        <w:rPr>
          <w:szCs w:val="22"/>
          <w:lang w:val="lt-LT" w:eastAsia="x-none"/>
        </w:rPr>
      </w:pPr>
    </w:p>
    <w:p w:rsidR="008C0D40" w:rsidRPr="00C82784" w:rsidRDefault="008C0D40" w:rsidP="006709AE">
      <w:pPr>
        <w:spacing w:line="240" w:lineRule="auto"/>
        <w:ind w:left="567" w:hanging="567"/>
        <w:outlineLvl w:val="3"/>
        <w:rPr>
          <w:bCs/>
          <w:szCs w:val="22"/>
          <w:lang w:val="lt-LT" w:eastAsia="x-none"/>
        </w:rPr>
      </w:pPr>
      <w:r w:rsidRPr="00C82784">
        <w:rPr>
          <w:b/>
          <w:bCs/>
          <w:szCs w:val="22"/>
          <w:lang w:val="lt-LT" w:eastAsia="x-none"/>
        </w:rPr>
        <w:t xml:space="preserve"> Retas</w:t>
      </w:r>
      <w:r w:rsidRPr="00C82784">
        <w:rPr>
          <w:bCs/>
          <w:szCs w:val="22"/>
          <w:lang w:val="lt-LT" w:eastAsia="x-none"/>
        </w:rPr>
        <w:t xml:space="preserve"> (gali pasireikšti rečiau kaip 1 asmeniui iš 1 000): </w:t>
      </w:r>
    </w:p>
    <w:p w:rsidR="008C0D40" w:rsidRPr="00C82784" w:rsidRDefault="008C0D40" w:rsidP="006709AE">
      <w:pPr>
        <w:numPr>
          <w:ilvl w:val="0"/>
          <w:numId w:val="24"/>
        </w:numPr>
        <w:spacing w:line="240" w:lineRule="auto"/>
        <w:ind w:left="567" w:hanging="567"/>
        <w:outlineLvl w:val="3"/>
        <w:rPr>
          <w:bCs/>
          <w:szCs w:val="22"/>
          <w:lang w:val="lt-LT" w:eastAsia="x-none"/>
        </w:rPr>
      </w:pPr>
      <w:r w:rsidRPr="00C82784">
        <w:rPr>
          <w:bCs/>
          <w:szCs w:val="22"/>
          <w:lang w:val="lt-LT" w:eastAsia="x-none"/>
        </w:rPr>
        <w:t xml:space="preserve">grįžtamosios užpakalinės encefalopatijos sindromu (GUES) vadinama būklė; jos požymiais gali būti staiga prasidėjęs stiprus galvos skausmas, sumišimas, traukuliai ir (arba) sutrikęs regėjimas; </w:t>
      </w:r>
    </w:p>
    <w:p w:rsidR="008C0D40" w:rsidRPr="00C82784" w:rsidRDefault="008C0D40" w:rsidP="006709AE">
      <w:pPr>
        <w:numPr>
          <w:ilvl w:val="0"/>
          <w:numId w:val="24"/>
        </w:numPr>
        <w:spacing w:line="240" w:lineRule="auto"/>
        <w:ind w:left="567" w:hanging="567"/>
        <w:outlineLvl w:val="3"/>
        <w:rPr>
          <w:bCs/>
          <w:szCs w:val="22"/>
          <w:lang w:val="lt-LT" w:eastAsia="x-none"/>
        </w:rPr>
      </w:pPr>
      <w:r w:rsidRPr="00C82784">
        <w:rPr>
          <w:bCs/>
          <w:szCs w:val="22"/>
          <w:lang w:val="lt-LT" w:eastAsia="x-none"/>
        </w:rPr>
        <w:t xml:space="preserve">limfoma (vėžio rūšis, kuri veikia limfinę sistemą); </w:t>
      </w:r>
    </w:p>
    <w:p w:rsidR="008C0D40" w:rsidRPr="00C82784" w:rsidRDefault="008C0D40" w:rsidP="006709AE">
      <w:pPr>
        <w:numPr>
          <w:ilvl w:val="0"/>
          <w:numId w:val="35"/>
        </w:numPr>
        <w:spacing w:line="240" w:lineRule="auto"/>
        <w:ind w:left="567" w:hanging="567"/>
        <w:outlineLvl w:val="3"/>
        <w:rPr>
          <w:b/>
          <w:bCs/>
          <w:szCs w:val="22"/>
          <w:lang w:val="lt-LT" w:eastAsia="x-none"/>
        </w:rPr>
      </w:pPr>
      <w:r w:rsidRPr="00C82784">
        <w:rPr>
          <w:bCs/>
          <w:szCs w:val="22"/>
          <w:lang w:val="lt-LT" w:eastAsia="x-none"/>
        </w:rPr>
        <w:t>plokščiųjų ląstelių karcinoma: odos vėžio tipas, kuris gali būti kaip kietas raudonas mazgelis, žaizda su šašu, ar nauja žaizda ant esamo rando.</w:t>
      </w:r>
      <w:r w:rsidRPr="00C82784">
        <w:rPr>
          <w:b/>
          <w:bCs/>
          <w:szCs w:val="22"/>
          <w:lang w:val="lt-LT" w:eastAsia="x-none"/>
        </w:rPr>
        <w:t xml:space="preserve"> </w:t>
      </w:r>
    </w:p>
    <w:p w:rsidR="008C0D40" w:rsidRPr="00C82784" w:rsidRDefault="008C0D40" w:rsidP="006709AE">
      <w:pPr>
        <w:spacing w:line="240" w:lineRule="auto"/>
        <w:outlineLvl w:val="3"/>
        <w:rPr>
          <w:b/>
          <w:bCs/>
          <w:szCs w:val="22"/>
          <w:lang w:val="lt-LT" w:eastAsia="x-none"/>
        </w:rPr>
      </w:pPr>
    </w:p>
    <w:p w:rsidR="008C0D40" w:rsidRPr="00C82784" w:rsidRDefault="008C0D40" w:rsidP="006709AE">
      <w:pPr>
        <w:spacing w:line="240" w:lineRule="auto"/>
        <w:ind w:left="567" w:hanging="567"/>
        <w:outlineLvl w:val="3"/>
        <w:rPr>
          <w:bCs/>
          <w:szCs w:val="22"/>
          <w:lang w:val="lt-LT" w:eastAsia="x-none"/>
        </w:rPr>
      </w:pPr>
      <w:r w:rsidRPr="00C82784">
        <w:rPr>
          <w:b/>
          <w:bCs/>
          <w:szCs w:val="22"/>
          <w:lang w:val="lt-LT" w:eastAsia="x-none"/>
        </w:rPr>
        <w:t>Labai retas</w:t>
      </w:r>
      <w:r w:rsidRPr="00C82784">
        <w:rPr>
          <w:bCs/>
          <w:szCs w:val="22"/>
          <w:lang w:val="lt-LT" w:eastAsia="x-none"/>
        </w:rPr>
        <w:t xml:space="preserve"> (gali pasireikšti rečiau kaip 1 asmeniui iš 10 000): </w:t>
      </w:r>
    </w:p>
    <w:p w:rsidR="008C0D40" w:rsidRPr="00C82784" w:rsidRDefault="008C0D40" w:rsidP="006709AE">
      <w:pPr>
        <w:numPr>
          <w:ilvl w:val="0"/>
          <w:numId w:val="25"/>
        </w:numPr>
        <w:spacing w:line="240" w:lineRule="auto"/>
        <w:ind w:left="567" w:hanging="567"/>
        <w:outlineLvl w:val="3"/>
        <w:rPr>
          <w:bCs/>
          <w:szCs w:val="22"/>
          <w:lang w:val="lt-LT" w:eastAsia="x-none"/>
        </w:rPr>
      </w:pPr>
      <w:r w:rsidRPr="00C82784">
        <w:rPr>
          <w:bCs/>
          <w:szCs w:val="22"/>
          <w:lang w:val="lt-LT" w:eastAsia="x-none"/>
        </w:rPr>
        <w:t xml:space="preserve">elektrokardiogramos pokyčiai (T bangos inversija); </w:t>
      </w:r>
    </w:p>
    <w:p w:rsidR="008C0D40" w:rsidRPr="00C82784" w:rsidRDefault="008C0D40" w:rsidP="006709AE">
      <w:pPr>
        <w:numPr>
          <w:ilvl w:val="0"/>
          <w:numId w:val="25"/>
        </w:numPr>
        <w:spacing w:line="240" w:lineRule="auto"/>
        <w:ind w:left="567" w:hanging="567"/>
        <w:outlineLvl w:val="3"/>
        <w:rPr>
          <w:bCs/>
          <w:szCs w:val="22"/>
          <w:lang w:val="lt-LT" w:eastAsia="x-none"/>
        </w:rPr>
      </w:pPr>
      <w:r w:rsidRPr="00C82784">
        <w:rPr>
          <w:bCs/>
          <w:szCs w:val="22"/>
          <w:lang w:val="lt-LT" w:eastAsia="x-none"/>
        </w:rPr>
        <w:t xml:space="preserve">navikas, kurį sąlygoja 8 tipo žmogaus </w:t>
      </w:r>
      <w:r w:rsidRPr="00C82784">
        <w:rPr>
          <w:bCs/>
          <w:i/>
          <w:szCs w:val="22"/>
          <w:lang w:val="lt-LT" w:eastAsia="x-none"/>
        </w:rPr>
        <w:t>herpes</w:t>
      </w:r>
      <w:r w:rsidRPr="00C82784">
        <w:rPr>
          <w:bCs/>
          <w:szCs w:val="22"/>
          <w:lang w:val="lt-LT" w:eastAsia="x-none"/>
        </w:rPr>
        <w:t xml:space="preserve"> (pūslelinės) virusas (Kapoši sarkoma).</w:t>
      </w:r>
    </w:p>
    <w:p w:rsidR="008C0D40" w:rsidRPr="00C82784" w:rsidRDefault="008C0D40" w:rsidP="006709AE">
      <w:pPr>
        <w:spacing w:line="240" w:lineRule="auto"/>
        <w:ind w:left="567"/>
        <w:outlineLvl w:val="3"/>
        <w:rPr>
          <w:bCs/>
          <w:szCs w:val="22"/>
          <w:lang w:val="lt-LT" w:eastAsia="x-none"/>
        </w:rPr>
      </w:pPr>
    </w:p>
    <w:p w:rsidR="008C0D40" w:rsidRPr="00C82784" w:rsidRDefault="008C0D40" w:rsidP="006709AE">
      <w:pPr>
        <w:spacing w:line="240" w:lineRule="auto"/>
        <w:ind w:left="567" w:hanging="567"/>
        <w:outlineLvl w:val="3"/>
        <w:rPr>
          <w:b/>
          <w:bCs/>
          <w:szCs w:val="22"/>
          <w:lang w:val="lt-LT" w:eastAsia="x-none"/>
        </w:rPr>
      </w:pPr>
      <w:r w:rsidRPr="00C82784">
        <w:rPr>
          <w:b/>
          <w:bCs/>
          <w:szCs w:val="22"/>
          <w:lang w:val="lt-LT" w:eastAsia="x-none"/>
        </w:rPr>
        <w:t xml:space="preserve">Dažnis nežinomas </w:t>
      </w:r>
      <w:r w:rsidRPr="00C82784">
        <w:rPr>
          <w:bCs/>
          <w:szCs w:val="22"/>
          <w:lang w:val="lt-LT" w:eastAsia="x-none"/>
        </w:rPr>
        <w:t>(negali būti apskaičiuotas pagal turimus duomenis):</w:t>
      </w:r>
    </w:p>
    <w:p w:rsidR="00036074" w:rsidRDefault="008C0D40" w:rsidP="006709AE">
      <w:pPr>
        <w:numPr>
          <w:ilvl w:val="1"/>
          <w:numId w:val="26"/>
        </w:numPr>
        <w:spacing w:line="240" w:lineRule="auto"/>
        <w:ind w:left="567" w:hanging="567"/>
        <w:outlineLvl w:val="3"/>
        <w:rPr>
          <w:bCs/>
          <w:szCs w:val="22"/>
          <w:lang w:val="lt-LT" w:eastAsia="x-none"/>
        </w:rPr>
      </w:pPr>
      <w:r w:rsidRPr="00C82784">
        <w:rPr>
          <w:bCs/>
          <w:szCs w:val="22"/>
          <w:lang w:val="lt-LT" w:eastAsia="x-none"/>
        </w:rPr>
        <w:t>alerginės reakcijos, įskaitant išbėrimo ar niežulio simptomus, lūpų, liežuvio ar veido dilgėlinę, kurios dažniausiai tikėtinos pirmą Fingolimod Teva vartojimo dieną;</w:t>
      </w:r>
    </w:p>
    <w:p w:rsidR="008C0D40" w:rsidRPr="00C82784" w:rsidRDefault="00036074" w:rsidP="006709AE">
      <w:pPr>
        <w:numPr>
          <w:ilvl w:val="1"/>
          <w:numId w:val="26"/>
        </w:numPr>
        <w:spacing w:line="240" w:lineRule="auto"/>
        <w:ind w:left="567" w:hanging="567"/>
        <w:outlineLvl w:val="3"/>
        <w:rPr>
          <w:bCs/>
          <w:szCs w:val="22"/>
          <w:lang w:val="lt-LT" w:eastAsia="x-none"/>
        </w:rPr>
      </w:pPr>
      <w:r w:rsidRPr="000A79FD">
        <w:rPr>
          <w:rFonts w:eastAsia="Calibri"/>
          <w:snapToGrid/>
          <w:color w:val="000000"/>
          <w:szCs w:val="22"/>
          <w:lang w:val="lt-LT" w:eastAsia="lt-LT"/>
        </w:rPr>
        <w:t xml:space="preserve">kepenų ligos požymiai (įskaitant kepenų nepakankamumą), tokie, kaip </w:t>
      </w:r>
      <w:r w:rsidR="00D855A2">
        <w:rPr>
          <w:rFonts w:eastAsia="Calibri"/>
          <w:snapToGrid/>
          <w:color w:val="000000"/>
          <w:szCs w:val="22"/>
          <w:lang w:val="lt-LT" w:eastAsia="lt-LT"/>
        </w:rPr>
        <w:t>o</w:t>
      </w:r>
      <w:r w:rsidRPr="000A79FD">
        <w:rPr>
          <w:rFonts w:eastAsia="Calibri"/>
          <w:snapToGrid/>
          <w:color w:val="000000"/>
          <w:szCs w:val="22"/>
          <w:lang w:val="lt-LT" w:eastAsia="lt-LT"/>
        </w:rPr>
        <w:t>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rFonts w:eastAsia="Calibri"/>
          <w:snapToGrid/>
          <w:color w:val="000000"/>
          <w:szCs w:val="22"/>
          <w:lang w:val="lt-LT" w:eastAsia="lt-LT"/>
        </w:rPr>
        <w:t>.</w:t>
      </w:r>
      <w:r w:rsidR="008C0D40" w:rsidRPr="00C82784">
        <w:rPr>
          <w:bCs/>
          <w:szCs w:val="22"/>
          <w:lang w:val="lt-LT" w:eastAsia="x-none"/>
        </w:rPr>
        <w:t xml:space="preserve"> </w:t>
      </w:r>
    </w:p>
    <w:p w:rsidR="008C0D40" w:rsidRPr="00C82784" w:rsidRDefault="008C0D40" w:rsidP="006709AE">
      <w:pPr>
        <w:numPr>
          <w:ilvl w:val="1"/>
          <w:numId w:val="26"/>
        </w:numPr>
        <w:spacing w:line="240" w:lineRule="auto"/>
        <w:ind w:left="567" w:hanging="567"/>
        <w:outlineLvl w:val="3"/>
        <w:rPr>
          <w:bCs/>
          <w:szCs w:val="22"/>
          <w:lang w:val="lt-LT" w:eastAsia="x-none"/>
        </w:rPr>
      </w:pPr>
      <w:r w:rsidRPr="00C82784">
        <w:rPr>
          <w:bCs/>
          <w:szCs w:val="22"/>
          <w:lang w:val="lt-LT" w:eastAsia="x-none"/>
        </w:rPr>
        <w:t xml:space="preserve">retos smegenų infekcijos, vadinamos daugiažidine leukoencefalopatija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rsidR="008C0D40" w:rsidRPr="00C82784" w:rsidRDefault="008C0D40" w:rsidP="008C0D40">
      <w:pPr>
        <w:keepNext/>
        <w:numPr>
          <w:ilvl w:val="1"/>
          <w:numId w:val="26"/>
        </w:numPr>
        <w:spacing w:line="240" w:lineRule="auto"/>
        <w:ind w:left="567" w:hanging="567"/>
        <w:outlineLvl w:val="3"/>
        <w:rPr>
          <w:bCs/>
          <w:szCs w:val="22"/>
          <w:lang w:val="lt-LT" w:eastAsia="x-none"/>
        </w:rPr>
      </w:pPr>
      <w:r w:rsidRPr="00C82784">
        <w:rPr>
          <w:bCs/>
          <w:szCs w:val="22"/>
          <w:lang w:val="lt-LT" w:eastAsia="x-none"/>
        </w:rPr>
        <w:t xml:space="preserve">kriptokokų sukeltos infekcijos (grybelinės infekcijos rūšis), įskaitant kriptokokų sukelto meningito simptomus, tokius kaip galvos skausmas su lydinčiu sprando sąstingiu, jautrumas šviesai, pykinimas ir (ar) sumišimas; </w:t>
      </w:r>
    </w:p>
    <w:p w:rsidR="008C0D40" w:rsidRPr="00C82784" w:rsidRDefault="008C0D40" w:rsidP="008C0D40">
      <w:pPr>
        <w:keepNext/>
        <w:numPr>
          <w:ilvl w:val="1"/>
          <w:numId w:val="26"/>
        </w:numPr>
        <w:spacing w:line="240" w:lineRule="auto"/>
        <w:ind w:left="567" w:hanging="567"/>
        <w:outlineLvl w:val="3"/>
        <w:rPr>
          <w:bCs/>
          <w:szCs w:val="22"/>
          <w:lang w:val="lt-LT" w:eastAsia="x-none"/>
        </w:rPr>
      </w:pPr>
      <w:r w:rsidRPr="00C82784">
        <w:rPr>
          <w:bCs/>
          <w:szCs w:val="22"/>
          <w:lang w:val="lt-LT" w:eastAsia="x-none"/>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masė. Ilgalaikis saulės poveikis ir nusilpusi imuninė sistema gali turėti įtakos Merkel ląstelių karcinomos atsiradimo rizikai; </w:t>
      </w:r>
    </w:p>
    <w:p w:rsidR="008C0D40" w:rsidRPr="00C82784" w:rsidRDefault="008C0D40" w:rsidP="008C0D40">
      <w:pPr>
        <w:keepNext/>
        <w:numPr>
          <w:ilvl w:val="1"/>
          <w:numId w:val="26"/>
        </w:numPr>
        <w:spacing w:line="240" w:lineRule="auto"/>
        <w:ind w:left="567" w:hanging="567"/>
        <w:outlineLvl w:val="3"/>
        <w:rPr>
          <w:bCs/>
          <w:szCs w:val="22"/>
          <w:lang w:val="lt-LT" w:eastAsia="x-none"/>
        </w:rPr>
      </w:pPr>
      <w:r w:rsidRPr="00C82784">
        <w:rPr>
          <w:bCs/>
          <w:szCs w:val="22"/>
          <w:lang w:val="lt-LT" w:eastAsia="x-none"/>
        </w:rPr>
        <w:t xml:space="preserve">nutraukus Fingolimod Teva vartojimą, IS simptomai gali atsinaujinti arba gali tapti sunkesniais nei buvo iki pradedant gydymą ar gydymo metu; </w:t>
      </w:r>
    </w:p>
    <w:p w:rsidR="008C0D40" w:rsidRPr="00C82784" w:rsidRDefault="008C0D40" w:rsidP="008C0D40">
      <w:pPr>
        <w:keepNext/>
        <w:numPr>
          <w:ilvl w:val="1"/>
          <w:numId w:val="26"/>
        </w:numPr>
        <w:spacing w:line="240" w:lineRule="auto"/>
        <w:ind w:left="567" w:hanging="567"/>
        <w:outlineLvl w:val="3"/>
        <w:rPr>
          <w:bCs/>
          <w:szCs w:val="22"/>
          <w:lang w:val="lt-LT" w:eastAsia="x-none"/>
        </w:rPr>
      </w:pPr>
      <w:r w:rsidRPr="00C82784">
        <w:rPr>
          <w:bCs/>
          <w:szCs w:val="22"/>
          <w:lang w:val="lt-LT" w:eastAsia="x-none"/>
        </w:rPr>
        <w:t xml:space="preserve">autoimuninė mažakraujystės (anemijos) (sumažėjusio raudonųjų kraujo ląstelių kiekio) forma, kai suardomos raudonosios kraujo ląstelės (autoimuninė hemolizinė anemija). </w:t>
      </w:r>
    </w:p>
    <w:p w:rsidR="008C0D40" w:rsidRPr="00C82784" w:rsidRDefault="008C0D40" w:rsidP="008C0D40">
      <w:pPr>
        <w:ind w:left="720"/>
        <w:rPr>
          <w:szCs w:val="22"/>
          <w:lang w:val="lt-LT" w:eastAsia="x-none"/>
        </w:rPr>
      </w:pP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pasireikštų bet kuris iš nurodytų reiškinių, </w:t>
      </w:r>
      <w:r w:rsidRPr="00C82784">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u w:val="single"/>
          <w:lang w:val="lt-LT"/>
        </w:rPr>
        <w:t>Kiti šalutiniai reiškiniai</w:t>
      </w:r>
      <w:r w:rsidRPr="00C82784">
        <w:rPr>
          <w:rFonts w:ascii="Times New Roman" w:hAnsi="Times New Roman"/>
          <w:b w:val="0"/>
          <w:sz w:val="22"/>
          <w:szCs w:val="22"/>
          <w:lang w:val="lt-LT"/>
        </w:rPr>
        <w:t xml:space="preserve"> </w:t>
      </w:r>
    </w:p>
    <w:p w:rsidR="008C0D40" w:rsidRPr="00C82784" w:rsidRDefault="008C0D40" w:rsidP="008C0D40">
      <w:pPr>
        <w:rPr>
          <w:szCs w:val="22"/>
          <w:lang w:val="lt-LT" w:eastAsia="x-none"/>
        </w:rPr>
      </w:pPr>
    </w:p>
    <w:p w:rsidR="008C0D40" w:rsidRPr="00C82784" w:rsidRDefault="008C0D40" w:rsidP="008C0D40">
      <w:pPr>
        <w:pStyle w:val="Antrat4"/>
        <w:spacing w:line="240" w:lineRule="auto"/>
        <w:jc w:val="left"/>
        <w:rPr>
          <w:rFonts w:ascii="Times New Roman" w:hAnsi="Times New Roman"/>
          <w:b w:val="0"/>
          <w:sz w:val="22"/>
          <w:szCs w:val="22"/>
          <w:lang w:val="lt-LT"/>
        </w:rPr>
      </w:pPr>
      <w:r w:rsidRPr="00C82784">
        <w:rPr>
          <w:rFonts w:ascii="Times New Roman" w:hAnsi="Times New Roman"/>
          <w:sz w:val="22"/>
          <w:szCs w:val="22"/>
          <w:lang w:val="lt-LT"/>
        </w:rPr>
        <w:t>Labai dažnas</w:t>
      </w:r>
      <w:r w:rsidRPr="00C82784">
        <w:rPr>
          <w:rFonts w:ascii="Times New Roman" w:hAnsi="Times New Roman"/>
          <w:b w:val="0"/>
          <w:sz w:val="22"/>
          <w:szCs w:val="22"/>
          <w:lang w:val="lt-LT"/>
        </w:rPr>
        <w:t xml:space="preserve"> (gali pasireikšti rečiau kaip 1 asmeniui iš 10): </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gripo viruso sukelta infekcija su tokiais simptomais kaip nuovargis, šaltkrėtis, gerklės skausmas, sąnarių ir raumenų skausmas, karščiavimas; </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spaudimo ar skausmo pojūtis skruostuose ir kaktoje (sinusitas); </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galvos skausmas;</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viduriavimas;</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nugaros skausmas;</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padidėjusį kepenų fermentų aktyvumą kraujyje rodantys tyrimų rezultatai;</w:t>
      </w:r>
    </w:p>
    <w:p w:rsidR="008C0D40" w:rsidRPr="00C82784" w:rsidRDefault="008C0D40" w:rsidP="008C0D40">
      <w:pPr>
        <w:pStyle w:val="Antrat4"/>
        <w:numPr>
          <w:ilvl w:val="1"/>
          <w:numId w:val="27"/>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kosulys.</w:t>
      </w:r>
    </w:p>
    <w:p w:rsidR="008C0D40" w:rsidRPr="00C82784" w:rsidRDefault="008C0D40" w:rsidP="008C0D40">
      <w:pPr>
        <w:pStyle w:val="Antrat4"/>
        <w:spacing w:line="240" w:lineRule="auto"/>
        <w:jc w:val="left"/>
        <w:rPr>
          <w:rFonts w:ascii="Times New Roman" w:hAnsi="Times New Roman"/>
          <w:b w:val="0"/>
          <w:sz w:val="22"/>
          <w:szCs w:val="22"/>
          <w:lang w:val="lt-LT"/>
        </w:rPr>
      </w:pPr>
    </w:p>
    <w:p w:rsidR="008C0D40" w:rsidRPr="00C82784" w:rsidRDefault="008C0D40" w:rsidP="008C0D40">
      <w:pPr>
        <w:rPr>
          <w:szCs w:val="22"/>
          <w:lang w:val="lt-LT" w:eastAsia="x-none"/>
        </w:rPr>
      </w:pPr>
      <w:r w:rsidRPr="00C82784">
        <w:rPr>
          <w:b/>
          <w:szCs w:val="22"/>
          <w:lang w:val="lt-LT" w:eastAsia="x-none"/>
        </w:rPr>
        <w:t>Dažnas</w:t>
      </w:r>
      <w:r w:rsidRPr="00C82784">
        <w:rPr>
          <w:szCs w:val="22"/>
          <w:lang w:val="lt-LT" w:eastAsia="x-none"/>
        </w:rPr>
        <w:t xml:space="preserve"> (gali pasireikšti rečiau kaip 1 asmeniui iš 10): </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odos grybelinė infekcija (įvairiaspalvė dedervinė);</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svaigulys;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stiprus galvos skausmas, dažnai kartu su pykinimu, vėmimu ir padidėjusiu jautrumu šviesai (migrena);</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sumažėjęs baltųjų kraujo ląstelių (limfocitų, leukocitų) skaičius;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silpnumas;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niežtintis, raudonos spalvos, deginančio pojūčio išbėrimas (egzema);</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niežėjimas;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padidėjęs riebalų (trigliceridų) kiekis kraujyje;</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lastRenderedPageBreak/>
        <w:t>plaukų slinkimas;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dusulys;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depresija;</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neryškus matymas (taip pat žr. informaciją apie tinklainės geltonosios dėmės edemą skyrelyje „Kai kurie šalutiniai reiškiniai gali būti sunkūs arba gali tapti sunkiais“);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hipertenzija (Fingolimod Teva vartojimas gali nedaug didinti kraujospūdį);</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raumenų skausmas;</w:t>
      </w:r>
    </w:p>
    <w:p w:rsidR="008C0D40" w:rsidRPr="00C82784" w:rsidRDefault="008C0D40" w:rsidP="008C0D40">
      <w:pPr>
        <w:numPr>
          <w:ilvl w:val="1"/>
          <w:numId w:val="28"/>
        </w:numPr>
        <w:ind w:left="567" w:hanging="567"/>
        <w:rPr>
          <w:szCs w:val="22"/>
          <w:lang w:val="lt-LT" w:eastAsia="x-none"/>
        </w:rPr>
      </w:pPr>
      <w:r w:rsidRPr="00C82784">
        <w:rPr>
          <w:szCs w:val="22"/>
          <w:lang w:val="lt-LT" w:eastAsia="x-none"/>
        </w:rPr>
        <w:t>sąnarių skausmas.</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lang w:val="lt-LT" w:eastAsia="x-none"/>
        </w:rPr>
      </w:pPr>
      <w:r w:rsidRPr="00C82784">
        <w:rPr>
          <w:b/>
          <w:szCs w:val="22"/>
          <w:lang w:val="lt-LT" w:eastAsia="x-none"/>
        </w:rPr>
        <w:t>Nedažnas</w:t>
      </w:r>
      <w:r w:rsidRPr="00C82784">
        <w:rPr>
          <w:szCs w:val="22"/>
          <w:lang w:val="lt-LT" w:eastAsia="x-none"/>
        </w:rPr>
        <w:t xml:space="preserve"> (gali pasireikšti rečiau kaip 1 asmeniui iš 100):</w:t>
      </w:r>
    </w:p>
    <w:p w:rsidR="008C0D40" w:rsidRPr="00C82784" w:rsidRDefault="008C0D40" w:rsidP="008C0D40">
      <w:pPr>
        <w:numPr>
          <w:ilvl w:val="1"/>
          <w:numId w:val="29"/>
        </w:numPr>
        <w:ind w:left="567" w:hanging="567"/>
        <w:rPr>
          <w:szCs w:val="22"/>
          <w:lang w:val="lt-LT" w:eastAsia="x-none"/>
        </w:rPr>
      </w:pPr>
      <w:r w:rsidRPr="00C82784">
        <w:rPr>
          <w:szCs w:val="22"/>
          <w:lang w:val="lt-LT" w:eastAsia="x-none"/>
        </w:rPr>
        <w:t>sumažėjęs tam tikrų baltųjų kraujo ląstelių (neutrofilų) skaičius;</w:t>
      </w:r>
    </w:p>
    <w:p w:rsidR="008C0D40" w:rsidRPr="00C82784" w:rsidRDefault="008C0D40" w:rsidP="008C0D40">
      <w:pPr>
        <w:numPr>
          <w:ilvl w:val="1"/>
          <w:numId w:val="29"/>
        </w:numPr>
        <w:ind w:left="567" w:hanging="567"/>
        <w:rPr>
          <w:szCs w:val="22"/>
          <w:lang w:val="lt-LT" w:eastAsia="x-none"/>
        </w:rPr>
      </w:pPr>
      <w:r w:rsidRPr="00C82784">
        <w:rPr>
          <w:szCs w:val="22"/>
          <w:lang w:val="lt-LT" w:eastAsia="x-none"/>
        </w:rPr>
        <w:t>prislėgta nuotaika;</w:t>
      </w:r>
    </w:p>
    <w:p w:rsidR="008C0D40" w:rsidRPr="00C82784" w:rsidRDefault="008C0D40" w:rsidP="008C0D40">
      <w:pPr>
        <w:numPr>
          <w:ilvl w:val="1"/>
          <w:numId w:val="29"/>
        </w:numPr>
        <w:ind w:left="567" w:hanging="567"/>
        <w:rPr>
          <w:szCs w:val="22"/>
          <w:lang w:val="lt-LT" w:eastAsia="x-none"/>
        </w:rPr>
      </w:pPr>
      <w:r w:rsidRPr="00C82784">
        <w:rPr>
          <w:szCs w:val="22"/>
          <w:lang w:val="lt-LT" w:eastAsia="x-none"/>
        </w:rPr>
        <w:t>pykinimas.</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lang w:val="lt-LT" w:eastAsia="x-none"/>
        </w:rPr>
      </w:pPr>
      <w:r w:rsidRPr="00C82784">
        <w:rPr>
          <w:b/>
          <w:szCs w:val="22"/>
          <w:lang w:val="lt-LT" w:eastAsia="x-none"/>
        </w:rPr>
        <w:t>Retas</w:t>
      </w:r>
      <w:r w:rsidRPr="00C82784">
        <w:rPr>
          <w:szCs w:val="22"/>
          <w:lang w:val="lt-LT" w:eastAsia="x-none"/>
        </w:rPr>
        <w:t xml:space="preserve"> (gali pasireikšti rečiau kaip 1 asmeniui iš 1 000): </w:t>
      </w:r>
    </w:p>
    <w:p w:rsidR="008C0D40" w:rsidRPr="00C82784" w:rsidRDefault="008C0D40" w:rsidP="008C0D40">
      <w:pPr>
        <w:numPr>
          <w:ilvl w:val="0"/>
          <w:numId w:val="30"/>
        </w:numPr>
        <w:ind w:left="567" w:hanging="567"/>
        <w:rPr>
          <w:szCs w:val="22"/>
          <w:lang w:val="lt-LT" w:eastAsia="x-none"/>
        </w:rPr>
      </w:pPr>
      <w:r w:rsidRPr="00C82784">
        <w:rPr>
          <w:szCs w:val="22"/>
          <w:lang w:val="lt-LT" w:eastAsia="x-none"/>
        </w:rPr>
        <w:t>limfinės sistemos vėžys (limfoma).</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lang w:val="lt-LT" w:eastAsia="x-none"/>
        </w:rPr>
      </w:pPr>
      <w:r w:rsidRPr="00C82784">
        <w:rPr>
          <w:b/>
          <w:szCs w:val="22"/>
          <w:lang w:val="lt-LT" w:eastAsia="x-none"/>
        </w:rPr>
        <w:t>Dažnis nežinomas</w:t>
      </w:r>
      <w:r w:rsidRPr="00C82784">
        <w:rPr>
          <w:szCs w:val="22"/>
          <w:lang w:val="lt-LT" w:eastAsia="x-none"/>
        </w:rPr>
        <w:t xml:space="preserve"> (negali būti apskaičiuotas pagal turimus duomenis): </w:t>
      </w:r>
    </w:p>
    <w:p w:rsidR="008C0D40" w:rsidRPr="00C82784" w:rsidRDefault="008C0D40" w:rsidP="008C0D40">
      <w:pPr>
        <w:numPr>
          <w:ilvl w:val="1"/>
          <w:numId w:val="31"/>
        </w:numPr>
        <w:ind w:left="567" w:hanging="567"/>
        <w:rPr>
          <w:szCs w:val="22"/>
          <w:lang w:val="lt-LT" w:eastAsia="x-none"/>
        </w:rPr>
      </w:pPr>
      <w:r w:rsidRPr="00C82784">
        <w:rPr>
          <w:szCs w:val="22"/>
          <w:lang w:val="lt-LT" w:eastAsia="x-none"/>
        </w:rPr>
        <w:t>periferinis patinimas.</w:t>
      </w:r>
    </w:p>
    <w:p w:rsidR="008C0D40" w:rsidRPr="00C82784" w:rsidRDefault="008C0D40" w:rsidP="008C0D40">
      <w:pPr>
        <w:rPr>
          <w:szCs w:val="22"/>
          <w:lang w:val="lt-LT" w:eastAsia="x-none"/>
        </w:rPr>
      </w:pPr>
      <w:r w:rsidRPr="00C82784">
        <w:rPr>
          <w:szCs w:val="22"/>
          <w:lang w:val="lt-LT" w:eastAsia="x-none"/>
        </w:rPr>
        <w:t xml:space="preserve"> </w:t>
      </w:r>
    </w:p>
    <w:p w:rsidR="008C0D40" w:rsidRPr="00C82784" w:rsidRDefault="008C0D40" w:rsidP="008C0D40">
      <w:pPr>
        <w:rPr>
          <w:szCs w:val="22"/>
          <w:lang w:val="lt-LT" w:eastAsia="x-none"/>
        </w:rPr>
      </w:pPr>
      <w:r w:rsidRPr="00C82784">
        <w:rPr>
          <w:szCs w:val="22"/>
          <w:lang w:val="lt-LT" w:eastAsia="x-none"/>
        </w:rPr>
        <w:t xml:space="preserve">Jeigu bet kuris iš šių reiškinių taptų sunkiu, </w:t>
      </w:r>
      <w:r w:rsidRPr="00C82784">
        <w:rPr>
          <w:b/>
          <w:szCs w:val="22"/>
          <w:lang w:val="lt-LT" w:eastAsia="x-none"/>
        </w:rPr>
        <w:t>pasakykite gydytojui</w:t>
      </w:r>
      <w:r w:rsidRPr="00C82784">
        <w:rPr>
          <w:szCs w:val="22"/>
          <w:lang w:val="lt-LT" w:eastAsia="x-none"/>
        </w:rPr>
        <w:t>.</w:t>
      </w:r>
    </w:p>
    <w:p w:rsidR="008C0D40" w:rsidRPr="00C82784" w:rsidRDefault="008C0D40" w:rsidP="008C0D40">
      <w:pPr>
        <w:spacing w:line="240" w:lineRule="auto"/>
        <w:rPr>
          <w:b/>
          <w:szCs w:val="22"/>
          <w:lang w:val="lt-LT"/>
        </w:rPr>
      </w:pPr>
    </w:p>
    <w:p w:rsidR="008C0D40" w:rsidRPr="00C82784" w:rsidRDefault="008C0D40" w:rsidP="008C0D40">
      <w:pPr>
        <w:spacing w:line="240" w:lineRule="auto"/>
        <w:rPr>
          <w:b/>
          <w:szCs w:val="22"/>
          <w:lang w:val="lt-LT"/>
        </w:rPr>
      </w:pPr>
      <w:r w:rsidRPr="00C82784">
        <w:rPr>
          <w:b/>
          <w:noProof/>
          <w:szCs w:val="22"/>
          <w:lang w:val="lt-LT"/>
        </w:rPr>
        <w:t>Pranešimas apie šalutinį poveikį</w:t>
      </w:r>
    </w:p>
    <w:p w:rsidR="008C0D40" w:rsidRPr="00C82784" w:rsidRDefault="008C0D40" w:rsidP="008C0D40">
      <w:pPr>
        <w:spacing w:line="240" w:lineRule="auto"/>
        <w:ind w:right="-449"/>
        <w:rPr>
          <w:noProof/>
          <w:szCs w:val="22"/>
          <w:lang w:val="lt-LT"/>
        </w:rPr>
      </w:pPr>
      <w:r w:rsidRPr="00C82784">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82784">
        <w:rPr>
          <w:szCs w:val="22"/>
          <w:lang w:val="lt-LT" w:eastAsia="zh-CN"/>
        </w:rPr>
        <w:t>elefonu 8 800 73568</w:t>
      </w:r>
      <w:r w:rsidRPr="00C82784">
        <w:rPr>
          <w:szCs w:val="22"/>
          <w:lang w:val="lt-LT"/>
        </w:rPr>
        <w:t xml:space="preserve"> arba užpildyti interneto svetainėje </w:t>
      </w:r>
      <w:hyperlink r:id="rId11" w:history="1">
        <w:r w:rsidRPr="00C82784">
          <w:rPr>
            <w:rStyle w:val="Hipersaitas"/>
            <w:rFonts w:eastAsia="SimSun"/>
            <w:szCs w:val="22"/>
            <w:lang w:val="lt-LT"/>
          </w:rPr>
          <w:t>www.vvkt.lt</w:t>
        </w:r>
      </w:hyperlink>
      <w:r w:rsidRPr="00C82784">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C82784">
        <w:rPr>
          <w:szCs w:val="22"/>
          <w:lang w:val="lt-LT" w:eastAsia="zh-CN"/>
        </w:rPr>
        <w:t xml:space="preserve">nemokamu </w:t>
      </w:r>
      <w:r w:rsidRPr="00C82784">
        <w:rPr>
          <w:szCs w:val="22"/>
          <w:lang w:val="lt-LT"/>
        </w:rPr>
        <w:t>fakso numeriu 8 800 20131</w:t>
      </w:r>
      <w:r w:rsidRPr="00C82784">
        <w:rPr>
          <w:szCs w:val="22"/>
          <w:lang w:val="lt-LT" w:eastAsia="zh-CN"/>
        </w:rPr>
        <w:t xml:space="preserve">, </w:t>
      </w:r>
      <w:r w:rsidRPr="00C82784">
        <w:rPr>
          <w:szCs w:val="22"/>
          <w:lang w:val="lt-LT"/>
        </w:rPr>
        <w:t xml:space="preserve">el. paštu </w:t>
      </w:r>
      <w:hyperlink r:id="rId12" w:history="1">
        <w:r w:rsidRPr="00C82784">
          <w:rPr>
            <w:rStyle w:val="Hipersaitas"/>
            <w:rFonts w:eastAsia="SimSun"/>
            <w:szCs w:val="22"/>
            <w:lang w:val="lt-LT"/>
          </w:rPr>
          <w:t>NepageidaujamaR@vvkt.lt</w:t>
        </w:r>
      </w:hyperlink>
      <w:r w:rsidRPr="00C82784">
        <w:rPr>
          <w:szCs w:val="22"/>
          <w:lang w:val="lt-LT"/>
        </w:rPr>
        <w:t xml:space="preserve">, taip pat per Valstybinės vaistų kontrolės tarnybos prie Lietuvos Respublikos sveikatos apsaugos ministerijos interneto svetainę (adresu </w:t>
      </w:r>
      <w:hyperlink r:id="rId13" w:history="1">
        <w:r w:rsidRPr="00C82784">
          <w:rPr>
            <w:rStyle w:val="Hipersaitas"/>
            <w:rFonts w:eastAsia="SimSun"/>
            <w:szCs w:val="22"/>
            <w:lang w:val="lt-LT"/>
          </w:rPr>
          <w:t>http://www.vvkt.lt</w:t>
        </w:r>
      </w:hyperlink>
      <w:r w:rsidRPr="00C82784">
        <w:rPr>
          <w:szCs w:val="22"/>
          <w:lang w:val="lt-LT"/>
        </w:rPr>
        <w:t>). Pranešdami apie šalutinį poveikį galite mums padėti gauti daugiau informacijos apie šio vaisto saugumą.</w:t>
      </w:r>
    </w:p>
    <w:p w:rsidR="008C0D40" w:rsidRPr="00C82784" w:rsidRDefault="008C0D40" w:rsidP="008C0D40">
      <w:pPr>
        <w:spacing w:line="240" w:lineRule="auto"/>
        <w:ind w:right="-449"/>
        <w:rPr>
          <w:noProof/>
          <w:szCs w:val="22"/>
          <w:lang w:val="lt-LT"/>
        </w:rPr>
      </w:pPr>
    </w:p>
    <w:p w:rsidR="008C0D40" w:rsidRPr="00C82784" w:rsidRDefault="008C0D40" w:rsidP="008C0D40">
      <w:pPr>
        <w:spacing w:line="240" w:lineRule="auto"/>
        <w:ind w:right="-449"/>
        <w:rPr>
          <w:noProof/>
          <w:szCs w:val="22"/>
          <w:lang w:val="lt-LT"/>
        </w:rPr>
      </w:pPr>
    </w:p>
    <w:p w:rsidR="008C0D40" w:rsidRPr="00C82784" w:rsidRDefault="008C0D40" w:rsidP="008C0D40">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5.</w:t>
      </w:r>
      <w:r w:rsidRPr="00C82784">
        <w:rPr>
          <w:rFonts w:ascii="Times New Roman" w:hAnsi="Times New Roman"/>
          <w:sz w:val="22"/>
          <w:szCs w:val="22"/>
          <w:lang w:val="lt-LT"/>
        </w:rPr>
        <w:tab/>
        <w:t xml:space="preserve">Kaip laikyti </w:t>
      </w:r>
      <w:r w:rsidRPr="00C82784">
        <w:rPr>
          <w:rFonts w:ascii="Times New Roman" w:hAnsi="Times New Roman"/>
          <w:color w:val="222222"/>
          <w:sz w:val="22"/>
          <w:szCs w:val="22"/>
          <w:shd w:val="clear" w:color="auto" w:fill="FFFFFF"/>
          <w:lang w:val="lt-LT"/>
        </w:rPr>
        <w:t>Fingolimod Teva</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szCs w:val="22"/>
          <w:lang w:val="lt-LT"/>
        </w:rPr>
      </w:pPr>
      <w:r w:rsidRPr="00C82784">
        <w:rPr>
          <w:noProof/>
          <w:szCs w:val="22"/>
          <w:lang w:val="lt-LT"/>
        </w:rPr>
        <w:t>Šį vaistą laikykite vaikams nepastebimoje ir nepasiekiamoje vietoje.</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 xml:space="preserve">Ant dėžutės ir lizdinės plokštelės  po „EXP“ nurodytam tinkamumo laikui pasibaigus, šio vaisto vartoti negalima. Vaistas tinkamas vartoti iki paskutinės nurodyto mėnesio dienos. </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tabs>
          <w:tab w:val="clear" w:pos="567"/>
        </w:tabs>
        <w:spacing w:line="240" w:lineRule="auto"/>
        <w:rPr>
          <w:rFonts w:eastAsia="SimSun"/>
          <w:noProof/>
          <w:snapToGrid/>
          <w:szCs w:val="22"/>
          <w:lang w:val="lt-LT" w:eastAsia="x-none"/>
        </w:rPr>
      </w:pPr>
      <w:r w:rsidRPr="00C82784">
        <w:rPr>
          <w:rFonts w:eastAsia="SimSun"/>
          <w:noProof/>
          <w:snapToGrid/>
          <w:szCs w:val="22"/>
          <w:lang w:val="lt-LT" w:eastAsia="x-none"/>
        </w:rPr>
        <w:t>Šiam vaistui specialių laikymo sąlygų nereikia</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tabs>
          <w:tab w:val="clear" w:pos="567"/>
        </w:tabs>
        <w:spacing w:line="240" w:lineRule="auto"/>
        <w:ind w:right="-2"/>
        <w:rPr>
          <w:szCs w:val="22"/>
          <w:lang w:val="lt-LT"/>
        </w:rPr>
      </w:pPr>
      <w:r w:rsidRPr="00C82784">
        <w:rPr>
          <w:szCs w:val="22"/>
          <w:lang w:val="lt-LT"/>
        </w:rPr>
        <w:t>Vaistų negalima išmesti į kanalizaciją arba su buitinėmis atliekomis. Kaip išmesti nereikalingus vaistus, klauskite vaistininko. Šios priemonės padės apsaugoti aplinką.</w:t>
      </w:r>
    </w:p>
    <w:p w:rsidR="008C0D40" w:rsidRPr="00C82784" w:rsidRDefault="008C0D40" w:rsidP="008C0D40">
      <w:pPr>
        <w:numPr>
          <w:ilvl w:val="12"/>
          <w:numId w:val="0"/>
        </w:numPr>
        <w:tabs>
          <w:tab w:val="clear" w:pos="567"/>
        </w:tabs>
        <w:spacing w:line="240" w:lineRule="auto"/>
        <w:ind w:right="-2"/>
        <w:rPr>
          <w:noProof/>
          <w:szCs w:val="22"/>
          <w:lang w:val="lt-LT"/>
        </w:rPr>
      </w:pPr>
    </w:p>
    <w:p w:rsidR="008C0D40" w:rsidRPr="00C82784" w:rsidRDefault="008C0D40" w:rsidP="008C0D40">
      <w:pPr>
        <w:numPr>
          <w:ilvl w:val="12"/>
          <w:numId w:val="0"/>
        </w:numPr>
        <w:tabs>
          <w:tab w:val="clear" w:pos="567"/>
        </w:tabs>
        <w:spacing w:line="240" w:lineRule="auto"/>
        <w:ind w:right="-2"/>
        <w:rPr>
          <w:noProof/>
          <w:szCs w:val="22"/>
          <w:lang w:val="lt-LT"/>
        </w:rPr>
      </w:pPr>
    </w:p>
    <w:p w:rsidR="008C0D40" w:rsidRPr="00C82784" w:rsidRDefault="008C0D40" w:rsidP="008C0D40">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6.</w:t>
      </w:r>
      <w:r w:rsidRPr="00C82784">
        <w:rPr>
          <w:rFonts w:ascii="Times New Roman" w:hAnsi="Times New Roman"/>
          <w:b w:val="0"/>
          <w:sz w:val="22"/>
          <w:szCs w:val="22"/>
          <w:lang w:val="lt-LT"/>
        </w:rPr>
        <w:tab/>
      </w:r>
      <w:r w:rsidRPr="00C82784">
        <w:rPr>
          <w:rFonts w:ascii="Times New Roman" w:hAnsi="Times New Roman"/>
          <w:sz w:val="22"/>
          <w:szCs w:val="22"/>
          <w:lang w:val="lt-LT"/>
        </w:rPr>
        <w:t>Pakuotės turinys ir kita informacija</w:t>
      </w:r>
    </w:p>
    <w:p w:rsidR="008C0D40" w:rsidRPr="00C82784" w:rsidRDefault="008C0D40" w:rsidP="008C0D40">
      <w:pPr>
        <w:rPr>
          <w:szCs w:val="22"/>
          <w:lang w:val="lt-LT" w:eastAsia="x-none"/>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sudėtis </w:t>
      </w:r>
    </w:p>
    <w:p w:rsidR="008C0D40" w:rsidRPr="00C82784" w:rsidRDefault="008C0D40" w:rsidP="008C0D40">
      <w:pPr>
        <w:numPr>
          <w:ilvl w:val="0"/>
          <w:numId w:val="1"/>
        </w:numPr>
        <w:tabs>
          <w:tab w:val="clear" w:pos="567"/>
        </w:tabs>
        <w:spacing w:line="240" w:lineRule="auto"/>
        <w:ind w:left="567" w:right="-2" w:hanging="567"/>
        <w:rPr>
          <w:szCs w:val="22"/>
          <w:lang w:val="lt-LT"/>
        </w:rPr>
      </w:pPr>
      <w:r w:rsidRPr="00C82784">
        <w:rPr>
          <w:noProof/>
          <w:szCs w:val="22"/>
          <w:lang w:val="lt-LT"/>
        </w:rPr>
        <w:t>Veiklioji medžiaga yra fingolimodas.</w:t>
      </w:r>
    </w:p>
    <w:p w:rsidR="008C0D40" w:rsidRPr="00C82784" w:rsidRDefault="008C0D40" w:rsidP="008C0D40">
      <w:pPr>
        <w:tabs>
          <w:tab w:val="clear" w:pos="567"/>
        </w:tabs>
        <w:spacing w:line="240" w:lineRule="auto"/>
        <w:ind w:left="567" w:right="-2"/>
        <w:rPr>
          <w:szCs w:val="22"/>
          <w:lang w:val="lt-LT"/>
        </w:rPr>
      </w:pPr>
      <w:r w:rsidRPr="00C82784">
        <w:rPr>
          <w:noProof/>
          <w:szCs w:val="22"/>
          <w:lang w:val="lt-LT"/>
        </w:rPr>
        <w:t>Kiekvienoje kapsulėje yra 0,5 mg fingolimodo (hidrochlorido pavidalu).</w:t>
      </w:r>
    </w:p>
    <w:p w:rsidR="008C0D40" w:rsidRPr="00C82784" w:rsidRDefault="008C0D40" w:rsidP="008C0D40">
      <w:pPr>
        <w:numPr>
          <w:ilvl w:val="0"/>
          <w:numId w:val="1"/>
        </w:numPr>
        <w:tabs>
          <w:tab w:val="clear" w:pos="567"/>
        </w:tabs>
        <w:spacing w:line="240" w:lineRule="auto"/>
        <w:ind w:left="567" w:right="-2" w:hanging="567"/>
        <w:rPr>
          <w:szCs w:val="22"/>
          <w:lang w:val="lt-LT"/>
        </w:rPr>
      </w:pPr>
      <w:r w:rsidRPr="00C82784">
        <w:rPr>
          <w:noProof/>
          <w:szCs w:val="22"/>
          <w:lang w:val="lt-LT"/>
        </w:rPr>
        <w:t>Pagalbinės medžiagos</w:t>
      </w:r>
      <w:r w:rsidRPr="00C82784">
        <w:rPr>
          <w:szCs w:val="22"/>
          <w:lang w:val="lt-LT"/>
        </w:rPr>
        <w:t xml:space="preserve"> yra: </w:t>
      </w:r>
    </w:p>
    <w:p w:rsidR="008C0D40" w:rsidRPr="00C82784" w:rsidRDefault="008C0D40" w:rsidP="008C0D40">
      <w:pPr>
        <w:tabs>
          <w:tab w:val="clear" w:pos="567"/>
        </w:tabs>
        <w:spacing w:line="240" w:lineRule="auto"/>
        <w:ind w:left="567"/>
        <w:rPr>
          <w:szCs w:val="22"/>
          <w:lang w:val="lt-LT"/>
        </w:rPr>
      </w:pPr>
      <w:r w:rsidRPr="00C82784">
        <w:rPr>
          <w:i/>
          <w:szCs w:val="22"/>
          <w:lang w:val="lt-LT"/>
        </w:rPr>
        <w:t>kapsulės turinys</w:t>
      </w:r>
      <w:r w:rsidRPr="00C82784">
        <w:rPr>
          <w:szCs w:val="22"/>
          <w:lang w:val="lt-LT"/>
        </w:rPr>
        <w:t xml:space="preserve">: pregelifikuotas </w:t>
      </w:r>
      <w:r w:rsidR="00922470">
        <w:rPr>
          <w:szCs w:val="22"/>
          <w:lang w:val="lt-LT"/>
        </w:rPr>
        <w:t xml:space="preserve">kukurūzų </w:t>
      </w:r>
      <w:r w:rsidRPr="00C82784">
        <w:rPr>
          <w:szCs w:val="22"/>
          <w:lang w:val="lt-LT"/>
        </w:rPr>
        <w:t xml:space="preserve">krakmolas, natrio laurilsulfatas; </w:t>
      </w:r>
    </w:p>
    <w:p w:rsidR="008C0D40" w:rsidRPr="00C82784" w:rsidRDefault="008C0D40" w:rsidP="008C0D40">
      <w:pPr>
        <w:tabs>
          <w:tab w:val="clear" w:pos="567"/>
        </w:tabs>
        <w:spacing w:line="240" w:lineRule="auto"/>
        <w:ind w:left="567"/>
        <w:rPr>
          <w:szCs w:val="22"/>
          <w:lang w:val="lt-LT"/>
        </w:rPr>
      </w:pPr>
      <w:r w:rsidRPr="00C82784">
        <w:rPr>
          <w:i/>
          <w:szCs w:val="22"/>
          <w:lang w:val="lt-LT"/>
        </w:rPr>
        <w:t xml:space="preserve">kapsulės </w:t>
      </w:r>
      <w:r w:rsidR="00922470">
        <w:rPr>
          <w:i/>
          <w:szCs w:val="22"/>
          <w:lang w:val="lt-LT"/>
        </w:rPr>
        <w:t>apvalkalas</w:t>
      </w:r>
      <w:r w:rsidRPr="00C82784">
        <w:rPr>
          <w:szCs w:val="22"/>
          <w:lang w:val="lt-LT"/>
        </w:rPr>
        <w:t>: geltonasis geležies oksidas (E17</w:t>
      </w:r>
      <w:r w:rsidR="00922470" w:rsidRPr="00684A34">
        <w:rPr>
          <w:lang w:val="lt-LT"/>
        </w:rPr>
        <w:t>2</w:t>
      </w:r>
      <w:r w:rsidRPr="00C82784">
        <w:rPr>
          <w:szCs w:val="22"/>
          <w:lang w:val="lt-LT"/>
        </w:rPr>
        <w:t>), titano dioksidas (E171), želatina;</w:t>
      </w:r>
    </w:p>
    <w:p w:rsidR="008C0D40" w:rsidRPr="00C82784" w:rsidRDefault="008C0D40" w:rsidP="008C0D40">
      <w:pPr>
        <w:tabs>
          <w:tab w:val="clear" w:pos="567"/>
        </w:tabs>
        <w:spacing w:line="240" w:lineRule="auto"/>
        <w:ind w:left="567"/>
        <w:rPr>
          <w:szCs w:val="22"/>
          <w:lang w:val="lt-LT"/>
        </w:rPr>
      </w:pPr>
      <w:r w:rsidRPr="00C82784">
        <w:rPr>
          <w:i/>
          <w:szCs w:val="22"/>
          <w:lang w:val="lt-LT"/>
        </w:rPr>
        <w:lastRenderedPageBreak/>
        <w:t xml:space="preserve">užrašo rašalas: </w:t>
      </w:r>
      <w:r w:rsidRPr="0062471E">
        <w:rPr>
          <w:szCs w:val="22"/>
          <w:lang w:val="lt-LT"/>
        </w:rPr>
        <w:t>šelakas, propilenglikolis</w:t>
      </w:r>
      <w:r w:rsidR="00922470">
        <w:rPr>
          <w:szCs w:val="22"/>
          <w:lang w:val="lt-LT"/>
        </w:rPr>
        <w:t>, stiprus</w:t>
      </w:r>
      <w:r w:rsidRPr="0062471E">
        <w:rPr>
          <w:szCs w:val="22"/>
          <w:lang w:val="lt-LT"/>
        </w:rPr>
        <w:t xml:space="preserve"> </w:t>
      </w:r>
      <w:r w:rsidR="00922470">
        <w:rPr>
          <w:szCs w:val="22"/>
          <w:lang w:val="lt-LT"/>
        </w:rPr>
        <w:t>a</w:t>
      </w:r>
      <w:r w:rsidRPr="0062471E">
        <w:rPr>
          <w:szCs w:val="22"/>
          <w:lang w:val="lt-LT"/>
        </w:rPr>
        <w:t>moniako tirpalas , juodasis geležies oksidas (E172), kalio hidroksidas.</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color w:val="222222"/>
          <w:sz w:val="22"/>
          <w:szCs w:val="22"/>
          <w:shd w:val="clear" w:color="auto" w:fill="FFFFFF"/>
          <w:lang w:val="lt-LT"/>
        </w:rPr>
        <w:t>Fingolimod Teva</w:t>
      </w:r>
      <w:r w:rsidRPr="00C82784">
        <w:rPr>
          <w:rFonts w:ascii="Times New Roman" w:hAnsi="Times New Roman"/>
          <w:sz w:val="22"/>
          <w:szCs w:val="22"/>
          <w:lang w:val="lt-LT"/>
        </w:rPr>
        <w:t xml:space="preserve"> išvaizda ir kiekis pakuotėje</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684A34" w:rsidRDefault="009E73C8" w:rsidP="008C0D40">
      <w:pPr>
        <w:spacing w:line="240" w:lineRule="auto"/>
        <w:rPr>
          <w:noProof/>
          <w:snapToGrid/>
          <w:szCs w:val="22"/>
          <w:lang w:val="lt-LT"/>
        </w:rPr>
      </w:pPr>
      <w:r>
        <w:rPr>
          <w:noProof/>
          <w:szCs w:val="22"/>
          <w:lang w:val="lt-LT"/>
        </w:rPr>
        <w:t>Ž</w:t>
      </w:r>
      <w:r w:rsidR="008C0D40" w:rsidRPr="00C82784">
        <w:rPr>
          <w:noProof/>
          <w:szCs w:val="22"/>
          <w:lang w:val="lt-LT"/>
        </w:rPr>
        <w:t>elatininė apie 14 mm dydžio kapsulė su juodu užrašu „</w:t>
      </w:r>
      <w:r w:rsidR="008C0D40" w:rsidRPr="00E32EE4">
        <w:rPr>
          <w:noProof/>
          <w:szCs w:val="22"/>
          <w:lang w:val="lt-LT"/>
        </w:rPr>
        <w:t>TV 7820</w:t>
      </w:r>
      <w:r w:rsidR="008C0D40" w:rsidRPr="00684A34">
        <w:rPr>
          <w:noProof/>
          <w:szCs w:val="22"/>
          <w:lang w:val="lt-LT"/>
        </w:rPr>
        <w:t xml:space="preserve">“ ant geltonos spalvos </w:t>
      </w:r>
      <w:r w:rsidRPr="00684A34">
        <w:rPr>
          <w:noProof/>
          <w:szCs w:val="22"/>
          <w:lang w:val="lt-LT"/>
        </w:rPr>
        <w:t xml:space="preserve">kapsulės </w:t>
      </w:r>
      <w:r w:rsidR="008C0D40" w:rsidRPr="00684A34">
        <w:rPr>
          <w:noProof/>
          <w:szCs w:val="22"/>
          <w:lang w:val="lt-LT"/>
        </w:rPr>
        <w:t xml:space="preserve">dangtelio ir užrašu „TV 7820“ant nepermatomo baltos spalvos </w:t>
      </w:r>
      <w:r w:rsidRPr="00684A34">
        <w:rPr>
          <w:noProof/>
          <w:szCs w:val="22"/>
          <w:lang w:val="lt-LT"/>
        </w:rPr>
        <w:t xml:space="preserve">kapsulės </w:t>
      </w:r>
      <w:r w:rsidR="008C0D40" w:rsidRPr="00684A34">
        <w:rPr>
          <w:noProof/>
          <w:szCs w:val="22"/>
          <w:lang w:val="lt-LT"/>
        </w:rPr>
        <w:t>korpuso.</w:t>
      </w:r>
    </w:p>
    <w:p w:rsidR="008C0D40" w:rsidRPr="00684A34" w:rsidRDefault="008C0D40" w:rsidP="008C0D40">
      <w:pPr>
        <w:numPr>
          <w:ilvl w:val="12"/>
          <w:numId w:val="0"/>
        </w:numPr>
        <w:tabs>
          <w:tab w:val="clear" w:pos="567"/>
        </w:tabs>
        <w:spacing w:line="240" w:lineRule="auto"/>
        <w:ind w:right="-2"/>
        <w:rPr>
          <w:szCs w:val="22"/>
          <w:lang w:val="lt-LT"/>
        </w:rPr>
      </w:pPr>
    </w:p>
    <w:p w:rsidR="00413759" w:rsidRPr="00684A34" w:rsidRDefault="008C0D40" w:rsidP="008C0D40">
      <w:pPr>
        <w:tabs>
          <w:tab w:val="clear" w:pos="567"/>
          <w:tab w:val="left" w:pos="720"/>
        </w:tabs>
        <w:spacing w:line="240" w:lineRule="auto"/>
        <w:rPr>
          <w:noProof/>
          <w:szCs w:val="22"/>
          <w:lang w:val="lt-LT"/>
        </w:rPr>
      </w:pPr>
      <w:r w:rsidRPr="00684A34">
        <w:rPr>
          <w:noProof/>
          <w:szCs w:val="22"/>
          <w:lang w:val="lt-LT"/>
        </w:rPr>
        <w:t>.</w:t>
      </w:r>
    </w:p>
    <w:p w:rsidR="008C0D40" w:rsidRPr="00C82784" w:rsidRDefault="00413759" w:rsidP="008C0D40">
      <w:pPr>
        <w:tabs>
          <w:tab w:val="clear" w:pos="567"/>
          <w:tab w:val="left" w:pos="720"/>
        </w:tabs>
        <w:spacing w:line="240" w:lineRule="auto"/>
        <w:rPr>
          <w:noProof/>
          <w:szCs w:val="22"/>
          <w:lang w:val="lt-LT"/>
        </w:rPr>
      </w:pPr>
      <w:r w:rsidRPr="00684A34">
        <w:rPr>
          <w:noProof/>
          <w:szCs w:val="22"/>
          <w:lang w:val="lt-LT"/>
        </w:rPr>
        <w:t>Fingolimod Teva</w:t>
      </w:r>
      <w:r w:rsidRPr="00684A34">
        <w:rPr>
          <w:color w:val="000000"/>
          <w:szCs w:val="22"/>
          <w:lang w:val="lt-LT"/>
        </w:rPr>
        <w:t xml:space="preserve"> yra tiekiamas kartono dėžutėse, kuriose yra 7, 10, 28, 30 ir 98 kietosios kapsulės lizdinėse plokštelėse arba kartono dėžutėse, kuriose yra </w:t>
      </w:r>
      <w:r w:rsidR="001A573E" w:rsidRPr="002F7292">
        <w:rPr>
          <w:color w:val="000000"/>
          <w:szCs w:val="22"/>
          <w:lang w:val="lt-LT"/>
        </w:rPr>
        <w:t xml:space="preserve">7x1, </w:t>
      </w:r>
      <w:r w:rsidRPr="00684A34">
        <w:rPr>
          <w:color w:val="000000"/>
          <w:szCs w:val="22"/>
          <w:lang w:val="lt-LT"/>
        </w:rPr>
        <w:t>10x1</w:t>
      </w:r>
      <w:r w:rsidRPr="0062471E">
        <w:rPr>
          <w:color w:val="000000"/>
          <w:szCs w:val="22"/>
          <w:lang w:val="lt-LT"/>
        </w:rPr>
        <w:t>, 28x1, 30x1, 98x1 ir 100x1 kietosios kapsulės perforuotose</w:t>
      </w:r>
      <w:r w:rsidRPr="0062471E">
        <w:rPr>
          <w:noProof/>
          <w:color w:val="000000"/>
          <w:szCs w:val="22"/>
          <w:lang w:val="lt-LT"/>
        </w:rPr>
        <w:t xml:space="preserve"> dalomosiose lizdinėse plokštelėse</w:t>
      </w:r>
    </w:p>
    <w:p w:rsidR="008C0D40" w:rsidRPr="00C82784" w:rsidRDefault="008C0D40" w:rsidP="008C0D40">
      <w:pPr>
        <w:tabs>
          <w:tab w:val="clear" w:pos="567"/>
          <w:tab w:val="left" w:pos="720"/>
        </w:tabs>
        <w:spacing w:line="240" w:lineRule="auto"/>
        <w:rPr>
          <w:noProof/>
          <w:szCs w:val="22"/>
          <w:lang w:val="lt-LT"/>
        </w:rPr>
      </w:pPr>
    </w:p>
    <w:p w:rsidR="008C0D40" w:rsidRPr="00C82784" w:rsidRDefault="008C0D40" w:rsidP="008C0D40">
      <w:pPr>
        <w:tabs>
          <w:tab w:val="clear" w:pos="567"/>
          <w:tab w:val="left" w:pos="720"/>
        </w:tabs>
        <w:spacing w:line="240" w:lineRule="auto"/>
        <w:rPr>
          <w:szCs w:val="22"/>
          <w:lang w:val="lt-LT"/>
        </w:rPr>
      </w:pPr>
      <w:r w:rsidRPr="00C82784">
        <w:rPr>
          <w:noProof/>
          <w:szCs w:val="22"/>
          <w:lang w:val="lt-LT"/>
        </w:rPr>
        <w:t>Gali būti tiekiamos ne visų dydžių pakuotės.</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Registruotojas ir gamintojas</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spacing w:line="240" w:lineRule="auto"/>
        <w:contextualSpacing/>
        <w:outlineLvl w:val="0"/>
        <w:rPr>
          <w:i/>
          <w:szCs w:val="22"/>
          <w:lang w:val="lt-LT"/>
        </w:rPr>
      </w:pPr>
      <w:r w:rsidRPr="00C82784">
        <w:rPr>
          <w:i/>
          <w:szCs w:val="22"/>
          <w:lang w:val="lt-LT"/>
        </w:rPr>
        <w:t>Registruotojas</w:t>
      </w:r>
    </w:p>
    <w:p w:rsidR="008C0D40" w:rsidRPr="00C82784" w:rsidRDefault="008C0D40" w:rsidP="008C0D40">
      <w:pPr>
        <w:shd w:val="clear" w:color="auto" w:fill="FFFFFF"/>
        <w:tabs>
          <w:tab w:val="clear" w:pos="567"/>
          <w:tab w:val="left" w:pos="720"/>
        </w:tabs>
        <w:spacing w:line="240" w:lineRule="auto"/>
        <w:rPr>
          <w:color w:val="222222"/>
          <w:szCs w:val="22"/>
          <w:lang w:val="lt-LT"/>
        </w:rPr>
      </w:pPr>
    </w:p>
    <w:p w:rsidR="008C0D40" w:rsidRPr="00C82784" w:rsidRDefault="008C0D40" w:rsidP="008C0D40">
      <w:pPr>
        <w:shd w:val="clear" w:color="auto" w:fill="FFFFFF"/>
        <w:tabs>
          <w:tab w:val="clear" w:pos="567"/>
          <w:tab w:val="left" w:pos="720"/>
        </w:tabs>
        <w:spacing w:line="240" w:lineRule="auto"/>
        <w:rPr>
          <w:snapToGrid/>
          <w:color w:val="222222"/>
          <w:szCs w:val="22"/>
          <w:lang w:val="lt-LT"/>
        </w:rPr>
      </w:pPr>
      <w:r w:rsidRPr="00C82784">
        <w:rPr>
          <w:color w:val="222222"/>
          <w:szCs w:val="22"/>
          <w:lang w:val="lt-LT"/>
        </w:rPr>
        <w:t>Teva GmbH, </w:t>
      </w:r>
    </w:p>
    <w:p w:rsidR="008C0D40" w:rsidRPr="00C82784" w:rsidRDefault="00C612DE" w:rsidP="008C0D40">
      <w:pPr>
        <w:shd w:val="clear" w:color="auto" w:fill="FFFFFF"/>
        <w:tabs>
          <w:tab w:val="clear" w:pos="567"/>
          <w:tab w:val="left" w:pos="720"/>
        </w:tabs>
        <w:spacing w:line="240" w:lineRule="auto"/>
        <w:rPr>
          <w:color w:val="222222"/>
          <w:szCs w:val="22"/>
          <w:lang w:val="lt-LT"/>
        </w:rPr>
      </w:pPr>
      <w:r>
        <w:rPr>
          <w:color w:val="222222"/>
          <w:szCs w:val="22"/>
          <w:lang w:val="lt-LT"/>
        </w:rPr>
        <w:t>Graf-Arco-Str. 3</w:t>
      </w:r>
      <w:r w:rsidR="008C0D40" w:rsidRPr="00C82784">
        <w:rPr>
          <w:color w:val="222222"/>
          <w:szCs w:val="22"/>
          <w:lang w:val="lt-LT"/>
        </w:rPr>
        <w:t xml:space="preserve"> </w:t>
      </w:r>
    </w:p>
    <w:p w:rsidR="008C0D40" w:rsidRPr="00C82784" w:rsidRDefault="00C612DE" w:rsidP="008C0D40">
      <w:pPr>
        <w:shd w:val="clear" w:color="auto" w:fill="FFFFFF"/>
        <w:tabs>
          <w:tab w:val="clear" w:pos="567"/>
          <w:tab w:val="left" w:pos="720"/>
        </w:tabs>
        <w:spacing w:line="240" w:lineRule="auto"/>
        <w:rPr>
          <w:color w:val="222222"/>
          <w:szCs w:val="22"/>
          <w:lang w:val="lt-LT"/>
        </w:rPr>
      </w:pPr>
      <w:r>
        <w:rPr>
          <w:color w:val="222222"/>
          <w:szCs w:val="22"/>
          <w:lang w:val="lt-LT"/>
        </w:rPr>
        <w:t>89079 Ulm</w:t>
      </w:r>
      <w:r w:rsidR="008C0D40" w:rsidRPr="00C82784">
        <w:rPr>
          <w:color w:val="222222"/>
          <w:szCs w:val="22"/>
          <w:lang w:val="lt-LT"/>
        </w:rPr>
        <w:t xml:space="preserve"> </w:t>
      </w:r>
    </w:p>
    <w:p w:rsidR="008C0D40" w:rsidRPr="00C82784" w:rsidRDefault="008C0D40" w:rsidP="008C0D40">
      <w:pPr>
        <w:shd w:val="clear" w:color="auto" w:fill="FFFFFF"/>
        <w:tabs>
          <w:tab w:val="clear" w:pos="567"/>
          <w:tab w:val="left" w:pos="720"/>
        </w:tabs>
        <w:spacing w:line="240" w:lineRule="auto"/>
        <w:rPr>
          <w:color w:val="222222"/>
          <w:szCs w:val="22"/>
          <w:lang w:val="lt-LT"/>
        </w:rPr>
      </w:pPr>
      <w:r w:rsidRPr="00C82784">
        <w:rPr>
          <w:color w:val="222222"/>
          <w:szCs w:val="22"/>
          <w:lang w:val="lt-LT"/>
        </w:rPr>
        <w:t>Vokietija</w:t>
      </w:r>
    </w:p>
    <w:p w:rsidR="008C0D40" w:rsidRPr="00C82784" w:rsidRDefault="008C0D40" w:rsidP="008C0D40">
      <w:pPr>
        <w:spacing w:line="240" w:lineRule="auto"/>
        <w:contextualSpacing/>
        <w:outlineLvl w:val="0"/>
        <w:rPr>
          <w:i/>
          <w:szCs w:val="22"/>
          <w:lang w:val="lt-LT"/>
        </w:rPr>
      </w:pPr>
    </w:p>
    <w:p w:rsidR="008C0D40" w:rsidRPr="00C82784" w:rsidRDefault="008C0D40" w:rsidP="008C0D40">
      <w:pPr>
        <w:spacing w:line="240" w:lineRule="auto"/>
        <w:contextualSpacing/>
        <w:outlineLvl w:val="0"/>
        <w:rPr>
          <w:i/>
          <w:szCs w:val="22"/>
          <w:lang w:val="lt-LT"/>
        </w:rPr>
      </w:pPr>
      <w:r w:rsidRPr="00C82784">
        <w:rPr>
          <w:i/>
          <w:szCs w:val="22"/>
          <w:lang w:val="lt-LT"/>
        </w:rPr>
        <w:t>Gamintojas</w:t>
      </w:r>
    </w:p>
    <w:p w:rsidR="008C0D40" w:rsidRPr="008C0D40" w:rsidRDefault="008C0D40" w:rsidP="008C0D40">
      <w:pPr>
        <w:tabs>
          <w:tab w:val="clear" w:pos="567"/>
        </w:tabs>
        <w:autoSpaceDE w:val="0"/>
        <w:autoSpaceDN w:val="0"/>
        <w:adjustRightInd w:val="0"/>
        <w:spacing w:line="240" w:lineRule="auto"/>
        <w:rPr>
          <w:rFonts w:eastAsia="Calibri"/>
          <w:snapToGrid/>
          <w:color w:val="000000"/>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Balkanpharma-Dupnitsa AD</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3 Samokovsko Shosse Str.</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2600 Dupnitsa</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Bulgarija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arba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Teva Operations Poland Sp. z.o.o</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ul.  Mogilska 80 </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31-546 Kraków</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Lenkija</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arba </w:t>
      </w:r>
    </w:p>
    <w:p w:rsidR="008C0D40" w:rsidRDefault="008C0D40" w:rsidP="008C0D40">
      <w:pPr>
        <w:shd w:val="clear" w:color="auto" w:fill="FFFFFF"/>
        <w:tabs>
          <w:tab w:val="clear" w:pos="567"/>
        </w:tabs>
        <w:spacing w:line="240" w:lineRule="auto"/>
        <w:rPr>
          <w:snapToGrid/>
          <w:color w:val="222222"/>
          <w:szCs w:val="22"/>
          <w:lang w:val="lt-LT"/>
        </w:rPr>
      </w:pP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 xml:space="preserve">Teva </w:t>
      </w:r>
      <w:r w:rsidR="00870787">
        <w:rPr>
          <w:snapToGrid/>
          <w:color w:val="222222"/>
          <w:szCs w:val="22"/>
          <w:lang w:val="lt-LT"/>
        </w:rPr>
        <w:t xml:space="preserve">Nederland </w:t>
      </w:r>
      <w:r w:rsidRPr="00C82784">
        <w:rPr>
          <w:snapToGrid/>
          <w:color w:val="222222"/>
          <w:szCs w:val="22"/>
          <w:lang w:val="lt-LT"/>
        </w:rPr>
        <w:t>B.V.</w:t>
      </w:r>
    </w:p>
    <w:p w:rsidR="008C0D40" w:rsidRPr="00C82784"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Swensweg 5</w:t>
      </w:r>
    </w:p>
    <w:p w:rsidR="008C0D40" w:rsidRDefault="008C0D40" w:rsidP="008C0D40">
      <w:pPr>
        <w:shd w:val="clear" w:color="auto" w:fill="FFFFFF"/>
        <w:tabs>
          <w:tab w:val="clear" w:pos="567"/>
        </w:tabs>
        <w:spacing w:line="240" w:lineRule="auto"/>
        <w:rPr>
          <w:snapToGrid/>
          <w:color w:val="222222"/>
          <w:szCs w:val="22"/>
          <w:lang w:val="lt-LT"/>
        </w:rPr>
      </w:pPr>
      <w:r>
        <w:rPr>
          <w:snapToGrid/>
          <w:color w:val="222222"/>
          <w:szCs w:val="22"/>
          <w:lang w:val="lt-LT"/>
        </w:rPr>
        <w:t>2031GA Haarlem</w:t>
      </w:r>
    </w:p>
    <w:p w:rsidR="008C0D40" w:rsidRDefault="008C0D40" w:rsidP="008C0D40">
      <w:pPr>
        <w:shd w:val="clear" w:color="auto" w:fill="FFFFFF"/>
        <w:tabs>
          <w:tab w:val="clear" w:pos="567"/>
        </w:tabs>
        <w:spacing w:line="240" w:lineRule="auto"/>
        <w:rPr>
          <w:snapToGrid/>
          <w:color w:val="222222"/>
          <w:szCs w:val="22"/>
          <w:lang w:val="lt-LT"/>
        </w:rPr>
      </w:pPr>
      <w:r w:rsidRPr="00C82784">
        <w:rPr>
          <w:snapToGrid/>
          <w:color w:val="222222"/>
          <w:szCs w:val="22"/>
          <w:lang w:val="lt-LT"/>
        </w:rPr>
        <w:t>Nyderlandai</w:t>
      </w:r>
    </w:p>
    <w:p w:rsidR="002A071A" w:rsidRDefault="002A071A" w:rsidP="008C0D40">
      <w:pPr>
        <w:shd w:val="clear" w:color="auto" w:fill="FFFFFF"/>
        <w:tabs>
          <w:tab w:val="clear" w:pos="567"/>
        </w:tabs>
        <w:spacing w:line="240" w:lineRule="auto"/>
        <w:rPr>
          <w:snapToGrid/>
          <w:color w:val="222222"/>
          <w:szCs w:val="22"/>
          <w:lang w:val="lt-LT"/>
        </w:rPr>
      </w:pPr>
    </w:p>
    <w:p w:rsidR="002A071A" w:rsidRDefault="00F84F5A" w:rsidP="008C0D40">
      <w:pPr>
        <w:shd w:val="clear" w:color="auto" w:fill="FFFFFF"/>
        <w:tabs>
          <w:tab w:val="clear" w:pos="567"/>
        </w:tabs>
        <w:spacing w:line="240" w:lineRule="auto"/>
        <w:rPr>
          <w:snapToGrid/>
          <w:color w:val="222222"/>
          <w:szCs w:val="22"/>
          <w:lang w:val="lt-LT"/>
        </w:rPr>
      </w:pPr>
      <w:r>
        <w:rPr>
          <w:snapToGrid/>
          <w:color w:val="222222"/>
          <w:szCs w:val="22"/>
          <w:lang w:val="lt-LT"/>
        </w:rPr>
        <w:t>a</w:t>
      </w:r>
      <w:r w:rsidR="002A071A">
        <w:rPr>
          <w:snapToGrid/>
          <w:color w:val="222222"/>
          <w:szCs w:val="22"/>
          <w:lang w:val="lt-LT"/>
        </w:rPr>
        <w:t>rba</w:t>
      </w:r>
    </w:p>
    <w:p w:rsidR="002A071A" w:rsidRDefault="002A071A" w:rsidP="008C0D40">
      <w:pPr>
        <w:shd w:val="clear" w:color="auto" w:fill="FFFFFF"/>
        <w:tabs>
          <w:tab w:val="clear" w:pos="567"/>
        </w:tabs>
        <w:spacing w:line="240" w:lineRule="auto"/>
        <w:rPr>
          <w:snapToGrid/>
          <w:color w:val="222222"/>
          <w:szCs w:val="22"/>
          <w:lang w:val="lt-LT"/>
        </w:rPr>
      </w:pPr>
    </w:p>
    <w:p w:rsidR="002A071A" w:rsidRDefault="002A071A" w:rsidP="008C0D40">
      <w:pPr>
        <w:shd w:val="clear" w:color="auto" w:fill="FFFFFF"/>
        <w:tabs>
          <w:tab w:val="clear" w:pos="567"/>
        </w:tabs>
        <w:spacing w:line="240" w:lineRule="auto"/>
        <w:rPr>
          <w:snapToGrid/>
          <w:color w:val="222222"/>
          <w:szCs w:val="22"/>
          <w:lang w:val="lt-LT"/>
        </w:rPr>
      </w:pPr>
      <w:r>
        <w:rPr>
          <w:snapToGrid/>
          <w:color w:val="222222"/>
          <w:szCs w:val="22"/>
          <w:lang w:val="lt-LT"/>
        </w:rPr>
        <w:t>Merckle GmbH</w:t>
      </w:r>
    </w:p>
    <w:p w:rsidR="002A071A" w:rsidRDefault="002A071A" w:rsidP="008C0D40">
      <w:pPr>
        <w:shd w:val="clear" w:color="auto" w:fill="FFFFFF"/>
        <w:tabs>
          <w:tab w:val="clear" w:pos="567"/>
        </w:tabs>
        <w:spacing w:line="240" w:lineRule="auto"/>
        <w:rPr>
          <w:snapToGrid/>
          <w:color w:val="222222"/>
          <w:szCs w:val="22"/>
          <w:lang w:val="lt-LT"/>
        </w:rPr>
      </w:pPr>
      <w:r>
        <w:rPr>
          <w:snapToGrid/>
          <w:color w:val="222222"/>
          <w:szCs w:val="22"/>
          <w:lang w:val="lt-LT"/>
        </w:rPr>
        <w:t xml:space="preserve">Ludwig-Merckle-Strasse 3 </w:t>
      </w:r>
    </w:p>
    <w:p w:rsidR="002A071A" w:rsidRDefault="002A071A" w:rsidP="008C0D40">
      <w:pPr>
        <w:shd w:val="clear" w:color="auto" w:fill="FFFFFF"/>
        <w:tabs>
          <w:tab w:val="clear" w:pos="567"/>
        </w:tabs>
        <w:spacing w:line="240" w:lineRule="auto"/>
        <w:rPr>
          <w:snapToGrid/>
          <w:color w:val="222222"/>
          <w:szCs w:val="22"/>
          <w:lang w:val="lt-LT"/>
        </w:rPr>
      </w:pPr>
      <w:r>
        <w:rPr>
          <w:snapToGrid/>
          <w:color w:val="222222"/>
          <w:szCs w:val="22"/>
          <w:lang w:val="lt-LT"/>
        </w:rPr>
        <w:t>89143 Blaubeuren</w:t>
      </w:r>
    </w:p>
    <w:p w:rsidR="002A071A" w:rsidRDefault="002A071A" w:rsidP="008C0D40">
      <w:pPr>
        <w:shd w:val="clear" w:color="auto" w:fill="FFFFFF"/>
        <w:tabs>
          <w:tab w:val="clear" w:pos="567"/>
        </w:tabs>
        <w:spacing w:line="240" w:lineRule="auto"/>
        <w:rPr>
          <w:snapToGrid/>
          <w:color w:val="222222"/>
          <w:szCs w:val="22"/>
          <w:lang w:val="lt-LT"/>
        </w:rPr>
      </w:pPr>
      <w:r>
        <w:rPr>
          <w:snapToGrid/>
          <w:color w:val="222222"/>
          <w:szCs w:val="22"/>
          <w:lang w:val="lt-LT"/>
        </w:rPr>
        <w:t>Vokietija</w:t>
      </w:r>
    </w:p>
    <w:p w:rsidR="008C0D40" w:rsidRPr="00C82784" w:rsidRDefault="008C0D40" w:rsidP="008C0D40">
      <w:pPr>
        <w:numPr>
          <w:ilvl w:val="12"/>
          <w:numId w:val="0"/>
        </w:numPr>
        <w:tabs>
          <w:tab w:val="clear" w:pos="567"/>
        </w:tabs>
        <w:spacing w:line="240" w:lineRule="auto"/>
        <w:ind w:right="-2"/>
        <w:rPr>
          <w:szCs w:val="22"/>
          <w:lang w:val="lt-LT"/>
        </w:rPr>
      </w:pPr>
    </w:p>
    <w:p w:rsidR="008C0D40" w:rsidRPr="00C82784" w:rsidRDefault="008C0D40" w:rsidP="008C0D40">
      <w:pPr>
        <w:numPr>
          <w:ilvl w:val="12"/>
          <w:numId w:val="0"/>
        </w:numPr>
        <w:spacing w:line="240" w:lineRule="auto"/>
        <w:ind w:right="-2"/>
        <w:rPr>
          <w:noProof/>
          <w:szCs w:val="22"/>
          <w:lang w:val="lt-LT"/>
        </w:rPr>
      </w:pPr>
      <w:r w:rsidRPr="00C82784">
        <w:rPr>
          <w:noProof/>
          <w:szCs w:val="22"/>
          <w:lang w:val="lt-LT"/>
        </w:rPr>
        <w:t>Jeigu apie šį vaistą norite sužinoti daugiau, kreipkitės į vietinį registruotojo atstovą.</w:t>
      </w:r>
    </w:p>
    <w:p w:rsidR="007460FB" w:rsidRPr="00D70287" w:rsidRDefault="007460FB" w:rsidP="007460FB">
      <w:pPr>
        <w:autoSpaceDE w:val="0"/>
        <w:autoSpaceDN w:val="0"/>
        <w:adjustRightInd w:val="0"/>
        <w:rPr>
          <w:color w:val="000000"/>
          <w:szCs w:val="22"/>
        </w:rPr>
      </w:pPr>
      <w:r w:rsidRPr="00D70287">
        <w:rPr>
          <w:color w:val="000000"/>
          <w:szCs w:val="22"/>
        </w:rPr>
        <w:t xml:space="preserve">UAB </w:t>
      </w:r>
      <w:r>
        <w:rPr>
          <w:color w:val="000000"/>
          <w:szCs w:val="22"/>
        </w:rPr>
        <w:t>Teva Baltics</w:t>
      </w:r>
    </w:p>
    <w:p w:rsidR="007460FB" w:rsidRPr="00D70287" w:rsidRDefault="007460FB" w:rsidP="007460FB">
      <w:pPr>
        <w:autoSpaceDE w:val="0"/>
        <w:autoSpaceDN w:val="0"/>
        <w:adjustRightInd w:val="0"/>
        <w:rPr>
          <w:color w:val="000000"/>
          <w:szCs w:val="22"/>
        </w:rPr>
      </w:pPr>
      <w:r w:rsidRPr="00D70287">
        <w:rPr>
          <w:color w:val="000000"/>
          <w:szCs w:val="22"/>
        </w:rPr>
        <w:t>Molėtų pl. 5</w:t>
      </w:r>
    </w:p>
    <w:p w:rsidR="007460FB" w:rsidRPr="00D70287" w:rsidRDefault="007460FB" w:rsidP="007460FB">
      <w:pPr>
        <w:autoSpaceDE w:val="0"/>
        <w:autoSpaceDN w:val="0"/>
        <w:adjustRightInd w:val="0"/>
        <w:rPr>
          <w:color w:val="000000"/>
          <w:szCs w:val="22"/>
        </w:rPr>
      </w:pPr>
      <w:r w:rsidRPr="00D70287">
        <w:rPr>
          <w:color w:val="000000"/>
          <w:szCs w:val="22"/>
        </w:rPr>
        <w:t>LT-08409 Vilnius</w:t>
      </w:r>
    </w:p>
    <w:p w:rsidR="008C0D40" w:rsidRPr="00C82784" w:rsidRDefault="007460FB" w:rsidP="007460FB">
      <w:pPr>
        <w:spacing w:line="240" w:lineRule="auto"/>
        <w:rPr>
          <w:noProof/>
          <w:szCs w:val="22"/>
          <w:lang w:val="lt-LT"/>
        </w:rPr>
      </w:pPr>
      <w:r w:rsidRPr="00D70287">
        <w:rPr>
          <w:color w:val="000000"/>
          <w:szCs w:val="22"/>
        </w:rPr>
        <w:t>Tel.+370 5 266 02 03</w:t>
      </w:r>
    </w:p>
    <w:tbl>
      <w:tblPr>
        <w:tblW w:w="4678" w:type="dxa"/>
        <w:tblInd w:w="-34" w:type="dxa"/>
        <w:tblLayout w:type="fixed"/>
        <w:tblLook w:val="0000" w:firstRow="0" w:lastRow="0" w:firstColumn="0" w:lastColumn="0" w:noHBand="0" w:noVBand="0"/>
      </w:tblPr>
      <w:tblGrid>
        <w:gridCol w:w="4678"/>
      </w:tblGrid>
      <w:tr w:rsidR="008C0D40" w:rsidRPr="008C0D40" w:rsidTr="00684A34">
        <w:tc>
          <w:tcPr>
            <w:tcW w:w="4678" w:type="dxa"/>
          </w:tcPr>
          <w:p w:rsidR="008C0D40" w:rsidRPr="00C82784" w:rsidRDefault="008C0D40" w:rsidP="00C612DE">
            <w:pPr>
              <w:tabs>
                <w:tab w:val="left" w:pos="-720"/>
              </w:tabs>
              <w:suppressAutoHyphens/>
              <w:spacing w:line="240" w:lineRule="auto"/>
              <w:rPr>
                <w:szCs w:val="22"/>
                <w:lang w:val="lt-LT"/>
              </w:rPr>
            </w:pPr>
          </w:p>
        </w:tc>
      </w:tr>
    </w:tbl>
    <w:p w:rsidR="008C0D40" w:rsidRPr="00C82784" w:rsidRDefault="008C0D40" w:rsidP="008C0D40">
      <w:pPr>
        <w:numPr>
          <w:ilvl w:val="12"/>
          <w:numId w:val="0"/>
        </w:numPr>
        <w:spacing w:line="240" w:lineRule="auto"/>
        <w:ind w:right="-2"/>
        <w:rPr>
          <w:szCs w:val="22"/>
          <w:lang w:val="lt-LT"/>
        </w:rPr>
      </w:pPr>
      <w:r w:rsidRPr="00C82784">
        <w:rPr>
          <w:b/>
          <w:szCs w:val="22"/>
          <w:lang w:val="lt-LT"/>
        </w:rPr>
        <w:t>Šis vaistas EEE valstybėse narėse registruotas tokiais pavadinimais</w:t>
      </w:r>
      <w:r w:rsidRPr="00C82784">
        <w:rPr>
          <w:szCs w:val="22"/>
          <w:lang w:val="lt-LT"/>
        </w:rPr>
        <w:t>:</w:t>
      </w:r>
    </w:p>
    <w:p w:rsidR="008C0D40" w:rsidRPr="00C82784" w:rsidRDefault="008C0D40" w:rsidP="008C0D40">
      <w:pPr>
        <w:numPr>
          <w:ilvl w:val="12"/>
          <w:numId w:val="0"/>
        </w:numPr>
        <w:spacing w:line="240" w:lineRule="auto"/>
        <w:ind w:right="-2"/>
        <w:rPr>
          <w:szCs w:val="22"/>
          <w:lang w:val="lt-LT"/>
        </w:rPr>
      </w:pPr>
    </w:p>
    <w:p w:rsidR="008C0D40" w:rsidRPr="00C82784"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Vokietija:</w:t>
      </w:r>
      <w:r w:rsidRPr="00C82784">
        <w:rPr>
          <w:bCs/>
          <w:snapToGrid/>
          <w:color w:val="000000"/>
          <w:szCs w:val="22"/>
          <w:lang w:val="lt-LT"/>
        </w:rPr>
        <w:t xml:space="preserve"> Fingolimod-ratiopharm </w:t>
      </w:r>
      <w:r w:rsidR="009D2F24">
        <w:rPr>
          <w:bCs/>
          <w:snapToGrid/>
          <w:color w:val="000000"/>
          <w:szCs w:val="22"/>
          <w:lang w:val="lt-LT"/>
        </w:rPr>
        <w:t>(</w:t>
      </w:r>
      <w:r w:rsidRPr="00C82784">
        <w:rPr>
          <w:bCs/>
          <w:snapToGrid/>
          <w:color w:val="000000"/>
          <w:szCs w:val="22"/>
          <w:lang w:val="lt-LT"/>
        </w:rPr>
        <w:t>0,25 mg; 0,5 mg</w:t>
      </w:r>
      <w:r w:rsidR="009D2F24">
        <w:rPr>
          <w:bCs/>
          <w:snapToGrid/>
          <w:color w:val="000000"/>
          <w:szCs w:val="22"/>
          <w:lang w:val="lt-LT"/>
        </w:rPr>
        <w:t>)</w:t>
      </w:r>
      <w:r w:rsidRPr="00C82784">
        <w:rPr>
          <w:bCs/>
          <w:snapToGrid/>
          <w:color w:val="000000"/>
          <w:szCs w:val="22"/>
          <w:lang w:val="lt-LT"/>
        </w:rPr>
        <w:t xml:space="preserve"> Hartkapseln</w:t>
      </w:r>
    </w:p>
    <w:p w:rsidR="008C0D40" w:rsidRPr="00C82784"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B</w:t>
      </w:r>
      <w:r w:rsidR="009D2F24" w:rsidRPr="0062471E">
        <w:rPr>
          <w:snapToGrid/>
          <w:color w:val="000000"/>
          <w:szCs w:val="22"/>
          <w:lang w:val="lt-LT"/>
        </w:rPr>
        <w:t>elgija</w:t>
      </w:r>
      <w:r w:rsidR="009D2F24" w:rsidRPr="009D2F24">
        <w:rPr>
          <w:b/>
          <w:snapToGrid/>
          <w:color w:val="000000"/>
          <w:szCs w:val="22"/>
          <w:lang w:val="lt-LT"/>
        </w:rPr>
        <w:t>:</w:t>
      </w:r>
      <w:r w:rsidR="009D2F24">
        <w:rPr>
          <w:bCs/>
          <w:snapToGrid/>
          <w:color w:val="000000"/>
          <w:szCs w:val="22"/>
          <w:lang w:val="lt-LT"/>
        </w:rPr>
        <w:t xml:space="preserve"> Fingolimod Teva 0,25 mg; </w:t>
      </w:r>
      <w:r w:rsidRPr="00C82784">
        <w:rPr>
          <w:bCs/>
          <w:snapToGrid/>
          <w:color w:val="000000"/>
          <w:szCs w:val="22"/>
          <w:lang w:val="lt-LT"/>
        </w:rPr>
        <w:t>0,5 mg</w:t>
      </w:r>
      <w:r w:rsidR="009D2F24">
        <w:rPr>
          <w:bCs/>
          <w:snapToGrid/>
          <w:color w:val="000000"/>
          <w:szCs w:val="22"/>
          <w:lang w:val="lt-LT"/>
        </w:rPr>
        <w:t>)</w:t>
      </w:r>
      <w:r w:rsidRPr="00C82784">
        <w:rPr>
          <w:bCs/>
          <w:snapToGrid/>
          <w:color w:val="000000"/>
          <w:szCs w:val="22"/>
          <w:lang w:val="lt-LT"/>
        </w:rPr>
        <w:t xml:space="preserve"> harde capsules, gélules, Hartkapseln</w:t>
      </w:r>
    </w:p>
    <w:p w:rsidR="008C0D40" w:rsidRPr="00C82784" w:rsidRDefault="008C0D40" w:rsidP="008C0D40">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Danija, Estija, Islandija, Norvegija, Lenkija, Portugalija, Švedija:</w:t>
      </w:r>
      <w:r w:rsidRPr="00C82784">
        <w:rPr>
          <w:bCs/>
          <w:snapToGrid/>
          <w:color w:val="000000"/>
          <w:szCs w:val="22"/>
          <w:lang w:val="lt-LT"/>
        </w:rPr>
        <w:t xml:space="preserve"> Fingolimod Teva</w:t>
      </w:r>
    </w:p>
    <w:p w:rsidR="008C0D40" w:rsidRPr="00C82784"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Suomija:</w:t>
      </w:r>
      <w:r w:rsidRPr="00C82784">
        <w:rPr>
          <w:bCs/>
          <w:snapToGrid/>
          <w:color w:val="000000"/>
          <w:szCs w:val="22"/>
          <w:lang w:val="lt-LT"/>
        </w:rPr>
        <w:t xml:space="preserve"> Fingolimod rati</w:t>
      </w:r>
      <w:r w:rsidR="009D2F24">
        <w:rPr>
          <w:bCs/>
          <w:snapToGrid/>
          <w:color w:val="000000"/>
          <w:szCs w:val="22"/>
          <w:lang w:val="lt-LT"/>
        </w:rPr>
        <w:t xml:space="preserve">opharm (0,25 mg; </w:t>
      </w:r>
      <w:r w:rsidRPr="00C82784">
        <w:rPr>
          <w:bCs/>
          <w:snapToGrid/>
          <w:color w:val="000000"/>
          <w:szCs w:val="22"/>
          <w:lang w:val="lt-LT"/>
        </w:rPr>
        <w:t>0,5 mg</w:t>
      </w:r>
      <w:r w:rsidR="009D2F24">
        <w:rPr>
          <w:bCs/>
          <w:snapToGrid/>
          <w:color w:val="000000"/>
          <w:szCs w:val="22"/>
          <w:lang w:val="lt-LT"/>
        </w:rPr>
        <w:t>)</w:t>
      </w:r>
      <w:r w:rsidRPr="00C82784">
        <w:rPr>
          <w:bCs/>
          <w:snapToGrid/>
          <w:color w:val="000000"/>
          <w:szCs w:val="22"/>
          <w:lang w:val="lt-LT"/>
        </w:rPr>
        <w:t xml:space="preserve"> kapseli, kova</w:t>
      </w:r>
    </w:p>
    <w:p w:rsidR="008C0D40" w:rsidRPr="002A071A"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Prancūzija:</w:t>
      </w:r>
      <w:r w:rsidRPr="00413759">
        <w:rPr>
          <w:bCs/>
          <w:snapToGrid/>
          <w:color w:val="000000"/>
          <w:szCs w:val="22"/>
          <w:lang w:val="lt-LT"/>
        </w:rPr>
        <w:t xml:space="preserve"> FINGOLIMOD TEVA </w:t>
      </w:r>
      <w:r w:rsidR="009D2F24" w:rsidRPr="00634100">
        <w:rPr>
          <w:bCs/>
          <w:snapToGrid/>
          <w:color w:val="000000"/>
          <w:szCs w:val="22"/>
          <w:lang w:val="lt-LT"/>
        </w:rPr>
        <w:t>(</w:t>
      </w:r>
      <w:r w:rsidRPr="00BF1827">
        <w:rPr>
          <w:bCs/>
          <w:snapToGrid/>
          <w:color w:val="000000"/>
          <w:szCs w:val="22"/>
          <w:lang w:val="lt-LT"/>
        </w:rPr>
        <w:t xml:space="preserve">0,25 mg, gélule; </w:t>
      </w:r>
      <w:r w:rsidR="009D2F24" w:rsidRPr="00F01869">
        <w:rPr>
          <w:bCs/>
          <w:snapToGrid/>
          <w:color w:val="000000"/>
          <w:szCs w:val="22"/>
          <w:lang w:val="lt-LT"/>
        </w:rPr>
        <w:t>0,5 mg)</w:t>
      </w:r>
      <w:r w:rsidRPr="002A071A">
        <w:rPr>
          <w:bCs/>
          <w:snapToGrid/>
          <w:color w:val="000000"/>
          <w:szCs w:val="22"/>
          <w:lang w:val="lt-LT"/>
        </w:rPr>
        <w:t xml:space="preserve"> gélule</w:t>
      </w:r>
    </w:p>
    <w:p w:rsidR="008C0D40" w:rsidRPr="00F01869"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Kr</w:t>
      </w:r>
      <w:r w:rsidR="009D2F24" w:rsidRPr="0062471E">
        <w:rPr>
          <w:snapToGrid/>
          <w:color w:val="000000"/>
          <w:szCs w:val="22"/>
          <w:lang w:val="lt-LT"/>
        </w:rPr>
        <w:t>oatija:</w:t>
      </w:r>
      <w:r w:rsidR="009D2F24" w:rsidRPr="00413759">
        <w:rPr>
          <w:bCs/>
          <w:snapToGrid/>
          <w:color w:val="000000"/>
          <w:szCs w:val="22"/>
          <w:lang w:val="lt-LT"/>
        </w:rPr>
        <w:t xml:space="preserve"> Fingolimod Teva (0,25 mg; </w:t>
      </w:r>
      <w:r w:rsidRPr="00634100">
        <w:rPr>
          <w:bCs/>
          <w:snapToGrid/>
          <w:color w:val="000000"/>
          <w:szCs w:val="22"/>
          <w:lang w:val="lt-LT"/>
        </w:rPr>
        <w:t>0,5 mg</w:t>
      </w:r>
      <w:r w:rsidR="009D2F24" w:rsidRPr="00BF1827">
        <w:rPr>
          <w:bCs/>
          <w:snapToGrid/>
          <w:color w:val="000000"/>
          <w:szCs w:val="22"/>
          <w:lang w:val="lt-LT"/>
        </w:rPr>
        <w:t>)</w:t>
      </w:r>
      <w:r w:rsidRPr="00F01869">
        <w:rPr>
          <w:bCs/>
          <w:snapToGrid/>
          <w:color w:val="000000"/>
          <w:szCs w:val="22"/>
          <w:lang w:val="lt-LT"/>
        </w:rPr>
        <w:t xml:space="preserve"> tvrde kapsule</w:t>
      </w:r>
    </w:p>
    <w:p w:rsidR="008C0D40" w:rsidRPr="00413759" w:rsidRDefault="008C0D40" w:rsidP="008C0D40">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Airija:</w:t>
      </w:r>
      <w:r w:rsidRPr="00413759">
        <w:rPr>
          <w:bCs/>
          <w:snapToGrid/>
          <w:color w:val="000000"/>
          <w:szCs w:val="22"/>
          <w:lang w:val="lt-LT"/>
        </w:rPr>
        <w:t xml:space="preserve"> Fingolimod Teva 0.5 mg Hard Capsules</w:t>
      </w:r>
    </w:p>
    <w:p w:rsidR="008C0D40" w:rsidRPr="00F01869" w:rsidRDefault="008C0D40" w:rsidP="009D2F24">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Liuksem</w:t>
      </w:r>
      <w:r w:rsidR="009D2F24" w:rsidRPr="0062471E">
        <w:rPr>
          <w:snapToGrid/>
          <w:color w:val="000000"/>
          <w:szCs w:val="22"/>
          <w:lang w:val="lt-LT"/>
        </w:rPr>
        <w:t>burgas:</w:t>
      </w:r>
      <w:r w:rsidR="009D2F24" w:rsidRPr="00413759">
        <w:rPr>
          <w:bCs/>
          <w:snapToGrid/>
          <w:color w:val="000000"/>
          <w:szCs w:val="22"/>
          <w:lang w:val="lt-LT"/>
        </w:rPr>
        <w:t xml:space="preserve"> Fingolimod Teva (0,25 mg; </w:t>
      </w:r>
      <w:r w:rsidRPr="00634100">
        <w:rPr>
          <w:bCs/>
          <w:snapToGrid/>
          <w:color w:val="000000"/>
          <w:szCs w:val="22"/>
          <w:lang w:val="lt-LT"/>
        </w:rPr>
        <w:t>0,5 mg</w:t>
      </w:r>
      <w:r w:rsidR="009D2F24" w:rsidRPr="00BF1827">
        <w:rPr>
          <w:bCs/>
          <w:snapToGrid/>
          <w:color w:val="000000"/>
          <w:szCs w:val="22"/>
          <w:lang w:val="lt-LT"/>
        </w:rPr>
        <w:t>)</w:t>
      </w:r>
      <w:r w:rsidRPr="00F01869">
        <w:rPr>
          <w:bCs/>
          <w:snapToGrid/>
          <w:color w:val="000000"/>
          <w:szCs w:val="22"/>
          <w:lang w:val="lt-LT"/>
        </w:rPr>
        <w:t xml:space="preserve"> gélules</w:t>
      </w:r>
    </w:p>
    <w:p w:rsidR="008C0D40" w:rsidRPr="00634100" w:rsidRDefault="008C0D40" w:rsidP="008C0D40">
      <w:pPr>
        <w:widowControl w:val="0"/>
        <w:autoSpaceDE w:val="0"/>
        <w:autoSpaceDN w:val="0"/>
        <w:adjustRightInd w:val="0"/>
        <w:spacing w:line="240" w:lineRule="auto"/>
        <w:ind w:right="-14"/>
        <w:rPr>
          <w:bCs/>
          <w:snapToGrid/>
          <w:color w:val="000000"/>
          <w:szCs w:val="22"/>
          <w:lang w:val="lt-LT"/>
        </w:rPr>
      </w:pPr>
      <w:r w:rsidRPr="0062471E">
        <w:rPr>
          <w:color w:val="000000"/>
          <w:szCs w:val="22"/>
          <w:lang w:val="lt-LT"/>
        </w:rPr>
        <w:t>Latvija:</w:t>
      </w:r>
      <w:r w:rsidRPr="00413759">
        <w:rPr>
          <w:bCs/>
          <w:color w:val="000000"/>
          <w:szCs w:val="22"/>
          <w:lang w:val="lt-LT"/>
        </w:rPr>
        <w:t xml:space="preserve"> Fingolimod Teva 0,5 mg cietās kapsulas</w:t>
      </w:r>
    </w:p>
    <w:p w:rsidR="008C0D40" w:rsidRPr="002A071A" w:rsidRDefault="008C0D40" w:rsidP="009D2F24">
      <w:pPr>
        <w:widowControl w:val="0"/>
        <w:autoSpaceDE w:val="0"/>
        <w:autoSpaceDN w:val="0"/>
        <w:adjustRightInd w:val="0"/>
        <w:spacing w:line="240" w:lineRule="auto"/>
        <w:ind w:right="-14"/>
        <w:rPr>
          <w:bCs/>
          <w:color w:val="000000"/>
          <w:szCs w:val="22"/>
          <w:lang w:val="lt-LT"/>
        </w:rPr>
      </w:pPr>
      <w:r w:rsidRPr="0062471E">
        <w:rPr>
          <w:color w:val="000000"/>
          <w:szCs w:val="22"/>
          <w:lang w:val="lt-LT"/>
        </w:rPr>
        <w:t>Nyderlandai:</w:t>
      </w:r>
      <w:r w:rsidRPr="00413759">
        <w:rPr>
          <w:bCs/>
          <w:color w:val="000000"/>
          <w:szCs w:val="22"/>
          <w:lang w:val="lt-LT"/>
        </w:rPr>
        <w:t xml:space="preserve"> Fingolimod Teva </w:t>
      </w:r>
      <w:r w:rsidR="009D2F24" w:rsidRPr="00634100">
        <w:rPr>
          <w:bCs/>
          <w:color w:val="000000"/>
          <w:szCs w:val="22"/>
          <w:lang w:val="lt-LT"/>
        </w:rPr>
        <w:t>(</w:t>
      </w:r>
      <w:r w:rsidRPr="00BF1827">
        <w:rPr>
          <w:bCs/>
          <w:color w:val="000000"/>
          <w:szCs w:val="22"/>
          <w:lang w:val="lt-LT"/>
        </w:rPr>
        <w:t>0,25 mg, 0,5 m</w:t>
      </w:r>
      <w:r w:rsidRPr="00F01869">
        <w:rPr>
          <w:bCs/>
          <w:color w:val="000000"/>
          <w:szCs w:val="22"/>
          <w:lang w:val="lt-LT"/>
        </w:rPr>
        <w:t>g</w:t>
      </w:r>
      <w:r w:rsidR="009D2F24" w:rsidRPr="002A071A">
        <w:rPr>
          <w:bCs/>
          <w:color w:val="000000"/>
          <w:szCs w:val="22"/>
          <w:lang w:val="lt-LT"/>
        </w:rPr>
        <w:t>)</w:t>
      </w:r>
      <w:r w:rsidRPr="002A071A">
        <w:rPr>
          <w:bCs/>
          <w:color w:val="000000"/>
          <w:szCs w:val="22"/>
          <w:lang w:val="lt-LT"/>
        </w:rPr>
        <w:t xml:space="preserve"> harde capsules</w:t>
      </w:r>
    </w:p>
    <w:p w:rsidR="008C0D40" w:rsidRPr="002A071A" w:rsidRDefault="008C0D40" w:rsidP="009D2F24">
      <w:pPr>
        <w:widowControl w:val="0"/>
        <w:autoSpaceDE w:val="0"/>
        <w:autoSpaceDN w:val="0"/>
        <w:adjustRightInd w:val="0"/>
        <w:spacing w:line="240" w:lineRule="auto"/>
        <w:ind w:right="-14"/>
        <w:rPr>
          <w:bCs/>
          <w:color w:val="000000"/>
          <w:szCs w:val="22"/>
          <w:lang w:val="lt-LT"/>
        </w:rPr>
      </w:pPr>
      <w:r w:rsidRPr="0062471E">
        <w:rPr>
          <w:color w:val="000000"/>
          <w:szCs w:val="22"/>
          <w:lang w:val="lt-LT"/>
        </w:rPr>
        <w:t>Slovenija:</w:t>
      </w:r>
      <w:r w:rsidRPr="00413759">
        <w:rPr>
          <w:bCs/>
          <w:color w:val="000000"/>
          <w:szCs w:val="22"/>
          <w:lang w:val="lt-LT"/>
        </w:rPr>
        <w:t xml:space="preserve"> Fingolimod Teva </w:t>
      </w:r>
      <w:r w:rsidR="009D2F24" w:rsidRPr="00634100">
        <w:rPr>
          <w:bCs/>
          <w:color w:val="000000"/>
          <w:szCs w:val="22"/>
          <w:lang w:val="lt-LT"/>
        </w:rPr>
        <w:t>(0,25 mg; 0,50</w:t>
      </w:r>
      <w:r w:rsidRPr="00BF1827">
        <w:rPr>
          <w:bCs/>
          <w:color w:val="000000"/>
          <w:szCs w:val="22"/>
          <w:lang w:val="lt-LT"/>
        </w:rPr>
        <w:t> mg</w:t>
      </w:r>
      <w:r w:rsidR="009D2F24" w:rsidRPr="00F01869">
        <w:rPr>
          <w:bCs/>
          <w:color w:val="000000"/>
          <w:szCs w:val="22"/>
          <w:lang w:val="lt-LT"/>
        </w:rPr>
        <w:t>)</w:t>
      </w:r>
      <w:r w:rsidRPr="002A071A">
        <w:rPr>
          <w:bCs/>
          <w:color w:val="000000"/>
          <w:szCs w:val="22"/>
          <w:lang w:val="lt-LT"/>
        </w:rPr>
        <w:t xml:space="preserve"> trde </w:t>
      </w:r>
      <w:r w:rsidR="001A573E">
        <w:rPr>
          <w:bCs/>
          <w:color w:val="000000"/>
          <w:szCs w:val="22"/>
          <w:lang w:val="lt-LT"/>
        </w:rPr>
        <w:t>k</w:t>
      </w:r>
      <w:r w:rsidR="001A573E" w:rsidRPr="002A071A">
        <w:rPr>
          <w:bCs/>
          <w:color w:val="000000"/>
          <w:szCs w:val="22"/>
          <w:lang w:val="lt-LT"/>
        </w:rPr>
        <w:t>apsule</w:t>
      </w:r>
    </w:p>
    <w:p w:rsidR="008C0D40" w:rsidRPr="00C82784" w:rsidRDefault="008C0D40" w:rsidP="008C0D40">
      <w:pPr>
        <w:widowControl w:val="0"/>
        <w:autoSpaceDE w:val="0"/>
        <w:autoSpaceDN w:val="0"/>
        <w:adjustRightInd w:val="0"/>
        <w:spacing w:line="240" w:lineRule="auto"/>
        <w:ind w:right="-14"/>
        <w:rPr>
          <w:bCs/>
          <w:color w:val="000000"/>
          <w:szCs w:val="22"/>
          <w:lang w:val="lt-LT"/>
        </w:rPr>
      </w:pPr>
      <w:r w:rsidRPr="0062471E">
        <w:rPr>
          <w:color w:val="000000"/>
          <w:szCs w:val="22"/>
          <w:lang w:val="lt-LT"/>
        </w:rPr>
        <w:t>Jungtinė Karalystė</w:t>
      </w:r>
      <w:r w:rsidR="001A573E">
        <w:rPr>
          <w:color w:val="000000"/>
          <w:szCs w:val="22"/>
          <w:lang w:val="lt-LT"/>
        </w:rPr>
        <w:t xml:space="preserve"> (Šiaurės Airija)</w:t>
      </w:r>
      <w:r w:rsidRPr="0062471E">
        <w:rPr>
          <w:color w:val="000000"/>
          <w:szCs w:val="22"/>
          <w:lang w:val="lt-LT"/>
        </w:rPr>
        <w:t>:</w:t>
      </w:r>
      <w:r w:rsidRPr="00C82784">
        <w:rPr>
          <w:bCs/>
          <w:color w:val="000000"/>
          <w:szCs w:val="22"/>
          <w:lang w:val="lt-LT"/>
        </w:rPr>
        <w:t xml:space="preserve"> Fingolimod Teva 0,25 mg &amp; 0,5 mg Capsule, Hard</w:t>
      </w:r>
    </w:p>
    <w:p w:rsidR="008C0D40" w:rsidRPr="00C82784" w:rsidRDefault="008C0D40" w:rsidP="008C0D40">
      <w:pPr>
        <w:spacing w:line="240" w:lineRule="auto"/>
        <w:ind w:left="567" w:hanging="567"/>
        <w:rPr>
          <w:szCs w:val="22"/>
          <w:lang w:val="lt-LT"/>
        </w:rPr>
      </w:pPr>
    </w:p>
    <w:p w:rsidR="008C0D40" w:rsidRPr="00C82784" w:rsidRDefault="008C0D40" w:rsidP="008C0D40">
      <w:pPr>
        <w:spacing w:line="240" w:lineRule="auto"/>
        <w:ind w:left="567" w:hanging="567"/>
        <w:rPr>
          <w:szCs w:val="22"/>
          <w:lang w:val="lt-LT"/>
        </w:rPr>
      </w:pPr>
    </w:p>
    <w:p w:rsidR="008C0D40" w:rsidRPr="00C82784" w:rsidRDefault="008C0D40" w:rsidP="008C0D40">
      <w:pPr>
        <w:numPr>
          <w:ilvl w:val="12"/>
          <w:numId w:val="0"/>
        </w:numPr>
        <w:tabs>
          <w:tab w:val="clear" w:pos="567"/>
        </w:tabs>
        <w:spacing w:line="240" w:lineRule="auto"/>
        <w:ind w:right="-2"/>
        <w:rPr>
          <w:b/>
          <w:szCs w:val="22"/>
          <w:lang w:val="lt-LT"/>
        </w:rPr>
      </w:pPr>
      <w:r w:rsidRPr="00C82784">
        <w:rPr>
          <w:b/>
          <w:szCs w:val="22"/>
          <w:lang w:val="lt-LT"/>
        </w:rPr>
        <w:t xml:space="preserve">Šis pakuotės lapelis paskutinį kartą </w:t>
      </w:r>
      <w:r w:rsidRPr="00684A34">
        <w:rPr>
          <w:b/>
          <w:szCs w:val="22"/>
          <w:lang w:val="lt-LT"/>
        </w:rPr>
        <w:t>peržiūrėtas</w:t>
      </w:r>
      <w:r w:rsidR="002F7292">
        <w:rPr>
          <w:b/>
          <w:szCs w:val="22"/>
          <w:lang w:val="lt-LT"/>
        </w:rPr>
        <w:t xml:space="preserve"> 2021-08-18</w:t>
      </w:r>
      <w:r w:rsidR="00365B87" w:rsidRPr="00684A34">
        <w:rPr>
          <w:b/>
          <w:szCs w:val="22"/>
          <w:lang w:val="lt-LT"/>
        </w:rPr>
        <w:t>.</w:t>
      </w:r>
    </w:p>
    <w:p w:rsidR="008C0D40" w:rsidRDefault="008C0D40" w:rsidP="008C0D40">
      <w:pPr>
        <w:numPr>
          <w:ilvl w:val="12"/>
          <w:numId w:val="0"/>
        </w:numPr>
        <w:spacing w:line="240" w:lineRule="auto"/>
        <w:ind w:right="-2"/>
        <w:rPr>
          <w:i/>
          <w:szCs w:val="22"/>
          <w:lang w:val="lt-LT"/>
        </w:rPr>
      </w:pPr>
    </w:p>
    <w:p w:rsidR="0046502A" w:rsidRPr="00C82784" w:rsidRDefault="0046502A" w:rsidP="008C0D40">
      <w:pPr>
        <w:numPr>
          <w:ilvl w:val="12"/>
          <w:numId w:val="0"/>
        </w:numPr>
        <w:spacing w:line="240" w:lineRule="auto"/>
        <w:ind w:right="-2"/>
        <w:rPr>
          <w:i/>
          <w:szCs w:val="22"/>
          <w:lang w:val="lt-LT"/>
        </w:rPr>
      </w:pPr>
    </w:p>
    <w:p w:rsidR="008C0D40" w:rsidRPr="00E35946" w:rsidRDefault="008C0D40" w:rsidP="008C0D40">
      <w:pPr>
        <w:numPr>
          <w:ilvl w:val="12"/>
          <w:numId w:val="0"/>
        </w:numPr>
        <w:spacing w:line="240" w:lineRule="auto"/>
        <w:ind w:right="-2"/>
        <w:rPr>
          <w:highlight w:val="lightGray"/>
          <w:lang w:val="lt-LT"/>
        </w:rPr>
      </w:pPr>
      <w:r w:rsidRPr="00E35946">
        <w:rPr>
          <w:highlight w:val="lightGray"/>
          <w:lang w:val="lt-LT"/>
        </w:rPr>
        <w:t xml:space="preserve">Išsami </w:t>
      </w:r>
      <w:r w:rsidR="0046502A" w:rsidRPr="00E35946">
        <w:rPr>
          <w:szCs w:val="22"/>
          <w:highlight w:val="lightGray"/>
          <w:lang w:val="lt-LT"/>
        </w:rPr>
        <w:t xml:space="preserve">ir naujausia </w:t>
      </w:r>
      <w:r w:rsidRPr="00E35946">
        <w:rPr>
          <w:highlight w:val="lightGray"/>
          <w:lang w:val="lt-LT"/>
        </w:rPr>
        <w:t>informacija apie šį vaistą pateikiama</w:t>
      </w:r>
      <w:r w:rsidR="002B5486" w:rsidRPr="00E35946">
        <w:rPr>
          <w:szCs w:val="22"/>
          <w:highlight w:val="lightGray"/>
          <w:lang w:val="lt-LT"/>
        </w:rPr>
        <w:t xml:space="preserve">, </w:t>
      </w:r>
      <w:r w:rsidR="0046502A" w:rsidRPr="00E35946">
        <w:rPr>
          <w:szCs w:val="22"/>
          <w:highlight w:val="lightGray"/>
          <w:lang w:val="lt-LT"/>
        </w:rPr>
        <w:t>išmaniuoju telefonu arba prietaisu</w:t>
      </w:r>
      <w:r w:rsidRPr="00E35946">
        <w:rPr>
          <w:szCs w:val="22"/>
          <w:highlight w:val="lightGray"/>
          <w:lang w:val="lt-LT"/>
        </w:rPr>
        <w:t xml:space="preserve"> </w:t>
      </w:r>
      <w:r w:rsidR="0046502A" w:rsidRPr="00E35946">
        <w:rPr>
          <w:szCs w:val="22"/>
          <w:highlight w:val="lightGray"/>
          <w:lang w:val="lt-LT"/>
        </w:rPr>
        <w:t xml:space="preserve">nuskanavus QR kodą, kuris nurodytas pakuotės lapelyje. Ta pati informacija taip pat yra pateikiama </w:t>
      </w:r>
      <w:r w:rsidR="00C16543" w:rsidRPr="00E35946">
        <w:rPr>
          <w:szCs w:val="22"/>
          <w:highlight w:val="lightGray"/>
          <w:lang w:val="lt-LT"/>
        </w:rPr>
        <w:t>universaliu informacijos šaltinio adresu: http://vvkt.lt bei</w:t>
      </w:r>
      <w:r w:rsidR="00C16543" w:rsidRPr="00E35946">
        <w:rPr>
          <w:highlight w:val="lightGray"/>
          <w:lang w:val="lt-LT"/>
        </w:rPr>
        <w:t xml:space="preserve"> </w:t>
      </w:r>
      <w:r w:rsidRPr="00E35946">
        <w:rPr>
          <w:highlight w:val="lightGray"/>
          <w:lang w:val="lt-LT"/>
        </w:rPr>
        <w:t>Valstybinės vaistų kontrolės tarnybos prie Lietuvos Respublikos sveikatos apsaugos ministerijos tinklalapyje</w:t>
      </w:r>
      <w:r w:rsidRPr="00E35946">
        <w:rPr>
          <w:i/>
          <w:highlight w:val="lightGray"/>
          <w:lang w:val="lt-LT"/>
        </w:rPr>
        <w:t xml:space="preserve"> </w:t>
      </w:r>
      <w:hyperlink r:id="rId14" w:history="1">
        <w:r w:rsidRPr="00E35946">
          <w:rPr>
            <w:rStyle w:val="Hipersaitas"/>
            <w:rFonts w:eastAsia="SimSun"/>
            <w:highlight w:val="lightGray"/>
            <w:lang w:val="lt-LT"/>
          </w:rPr>
          <w:t>http://www.vvkt.lt/</w:t>
        </w:r>
      </w:hyperlink>
      <w:r w:rsidRPr="00E35946">
        <w:rPr>
          <w:highlight w:val="lightGray"/>
          <w:lang w:val="lt-LT"/>
        </w:rPr>
        <w:t>.</w:t>
      </w:r>
    </w:p>
    <w:p w:rsidR="009D0159" w:rsidRPr="00E35946" w:rsidRDefault="009D0159" w:rsidP="008C0D40">
      <w:pPr>
        <w:pStyle w:val="Paprastasistekstas"/>
        <w:tabs>
          <w:tab w:val="left" w:pos="5954"/>
          <w:tab w:val="left" w:pos="6237"/>
          <w:tab w:val="left" w:pos="6663"/>
          <w:tab w:val="left" w:pos="6946"/>
        </w:tabs>
        <w:rPr>
          <w:rFonts w:ascii="Times New Roman" w:hAnsi="Times New Roman"/>
          <w:sz w:val="22"/>
          <w:szCs w:val="22"/>
          <w:highlight w:val="lightGray"/>
          <w:lang w:val="lt-LT"/>
        </w:rPr>
      </w:pPr>
    </w:p>
    <w:p w:rsidR="00C16543" w:rsidRDefault="00C16543" w:rsidP="008C0D40">
      <w:pPr>
        <w:pStyle w:val="Paprastasistekstas"/>
        <w:tabs>
          <w:tab w:val="left" w:pos="5954"/>
          <w:tab w:val="left" w:pos="6237"/>
          <w:tab w:val="left" w:pos="6663"/>
          <w:tab w:val="left" w:pos="6946"/>
        </w:tabs>
        <w:rPr>
          <w:rFonts w:ascii="Times New Roman" w:hAnsi="Times New Roman"/>
          <w:sz w:val="22"/>
          <w:szCs w:val="22"/>
          <w:lang w:val="lt-LT"/>
        </w:rPr>
      </w:pPr>
      <w:r w:rsidRPr="00E35946">
        <w:rPr>
          <w:rFonts w:ascii="Times New Roman" w:hAnsi="Times New Roman"/>
          <w:sz w:val="22"/>
          <w:szCs w:val="22"/>
          <w:highlight w:val="lightGray"/>
          <w:lang w:val="lt-LT"/>
        </w:rPr>
        <w:t xml:space="preserve">QR kodas </w:t>
      </w:r>
      <w:r w:rsidRPr="00E35946">
        <w:rPr>
          <w:rFonts w:ascii="Times New Roman" w:hAnsi="Times New Roman"/>
          <w:sz w:val="22"/>
          <w:szCs w:val="22"/>
          <w:highlight w:val="lightGray"/>
        </w:rPr>
        <w:t xml:space="preserve">+ </w:t>
      </w:r>
      <w:hyperlink r:id="rId15" w:history="1">
        <w:r w:rsidR="00844322" w:rsidRPr="00E35946">
          <w:rPr>
            <w:rStyle w:val="Hipersaitas"/>
            <w:rFonts w:ascii="Times New Roman" w:hAnsi="Times New Roman"/>
            <w:sz w:val="22"/>
            <w:szCs w:val="22"/>
            <w:highlight w:val="lightGray"/>
            <w:lang w:val="lt-LT"/>
          </w:rPr>
          <w:t>http://vvkt.lt</w:t>
        </w:r>
      </w:hyperlink>
    </w:p>
    <w:p w:rsidR="00844322" w:rsidRPr="00684A34" w:rsidRDefault="00844322" w:rsidP="008C0D40">
      <w:pPr>
        <w:pStyle w:val="Paprastasistekstas"/>
        <w:tabs>
          <w:tab w:val="left" w:pos="5954"/>
          <w:tab w:val="left" w:pos="6237"/>
          <w:tab w:val="left" w:pos="6663"/>
          <w:tab w:val="left" w:pos="6946"/>
        </w:tabs>
        <w:rPr>
          <w:rFonts w:ascii="Times New Roman" w:hAnsi="Times New Roman"/>
          <w:sz w:val="22"/>
        </w:rPr>
      </w:pPr>
    </w:p>
    <w:sectPr w:rsidR="00844322" w:rsidRPr="00684A34" w:rsidSect="00FC3AF6">
      <w:headerReference w:type="default" r:id="rId16"/>
      <w:footerReference w:type="default" r:id="rId17"/>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613" w:rsidRDefault="00AA3613">
      <w:pPr>
        <w:spacing w:line="240" w:lineRule="auto"/>
      </w:pPr>
      <w:r>
        <w:separator/>
      </w:r>
    </w:p>
  </w:endnote>
  <w:endnote w:type="continuationSeparator" w:id="0">
    <w:p w:rsidR="00AA3613" w:rsidRDefault="00AA3613">
      <w:pPr>
        <w:spacing w:line="240" w:lineRule="auto"/>
      </w:pPr>
      <w:r>
        <w:continuationSeparator/>
      </w:r>
    </w:p>
  </w:endnote>
  <w:endnote w:type="continuationNotice" w:id="1">
    <w:p w:rsidR="00AA3613" w:rsidRDefault="00AA3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E" w:rsidRDefault="00C612DE">
    <w:pPr>
      <w:pStyle w:val="Porat"/>
      <w:jc w:val="right"/>
    </w:pPr>
    <w:r>
      <w:fldChar w:fldCharType="begin"/>
    </w:r>
    <w:r>
      <w:instrText xml:space="preserve"> PAGE   \* MERGEFORMAT </w:instrText>
    </w:r>
    <w:r>
      <w:fldChar w:fldCharType="separate"/>
    </w:r>
    <w:r w:rsidR="00617B37">
      <w:rPr>
        <w:noProof/>
      </w:rPr>
      <w:t>2</w:t>
    </w:r>
    <w:r>
      <w:rPr>
        <w:noProof/>
      </w:rPr>
      <w:fldChar w:fldCharType="end"/>
    </w:r>
  </w:p>
  <w:p w:rsidR="00C612DE" w:rsidRDefault="00C612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613" w:rsidRDefault="00AA3613">
      <w:pPr>
        <w:spacing w:line="240" w:lineRule="auto"/>
      </w:pPr>
      <w:r>
        <w:separator/>
      </w:r>
    </w:p>
  </w:footnote>
  <w:footnote w:type="continuationSeparator" w:id="0">
    <w:p w:rsidR="00AA3613" w:rsidRDefault="00AA3613">
      <w:pPr>
        <w:spacing w:line="240" w:lineRule="auto"/>
      </w:pPr>
      <w:r>
        <w:continuationSeparator/>
      </w:r>
    </w:p>
  </w:footnote>
  <w:footnote w:type="continuationNotice" w:id="1">
    <w:p w:rsidR="00AA3613" w:rsidRDefault="00AA36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EF" w:rsidRPr="00E35946" w:rsidRDefault="00ED09EF" w:rsidP="00ED09EF">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3"/>
  </w:num>
  <w:num w:numId="4">
    <w:abstractNumId w:val="26"/>
  </w:num>
  <w:num w:numId="5">
    <w:abstractNumId w:val="1"/>
  </w:num>
  <w:num w:numId="6">
    <w:abstractNumId w:val="18"/>
  </w:num>
  <w:num w:numId="7">
    <w:abstractNumId w:val="15"/>
  </w:num>
  <w:num w:numId="8">
    <w:abstractNumId w:val="12"/>
  </w:num>
  <w:num w:numId="9">
    <w:abstractNumId w:val="21"/>
  </w:num>
  <w:num w:numId="10">
    <w:abstractNumId w:val="38"/>
  </w:num>
  <w:num w:numId="11">
    <w:abstractNumId w:val="28"/>
  </w:num>
  <w:num w:numId="12">
    <w:abstractNumId w:val="5"/>
  </w:num>
  <w:num w:numId="13">
    <w:abstractNumId w:val="37"/>
  </w:num>
  <w:num w:numId="14">
    <w:abstractNumId w:val="17"/>
  </w:num>
  <w:num w:numId="15">
    <w:abstractNumId w:val="33"/>
  </w:num>
  <w:num w:numId="16">
    <w:abstractNumId w:val="6"/>
  </w:num>
  <w:num w:numId="17">
    <w:abstractNumId w:val="10"/>
  </w:num>
  <w:num w:numId="18">
    <w:abstractNumId w:val="31"/>
  </w:num>
  <w:num w:numId="19">
    <w:abstractNumId w:val="23"/>
  </w:num>
  <w:num w:numId="20">
    <w:abstractNumId w:val="11"/>
  </w:num>
  <w:num w:numId="21">
    <w:abstractNumId w:val="20"/>
  </w:num>
  <w:num w:numId="22">
    <w:abstractNumId w:val="27"/>
  </w:num>
  <w:num w:numId="23">
    <w:abstractNumId w:val="8"/>
  </w:num>
  <w:num w:numId="24">
    <w:abstractNumId w:val="32"/>
  </w:num>
  <w:num w:numId="25">
    <w:abstractNumId w:val="16"/>
  </w:num>
  <w:num w:numId="26">
    <w:abstractNumId w:val="9"/>
  </w:num>
  <w:num w:numId="27">
    <w:abstractNumId w:val="19"/>
  </w:num>
  <w:num w:numId="28">
    <w:abstractNumId w:val="36"/>
  </w:num>
  <w:num w:numId="29">
    <w:abstractNumId w:val="14"/>
  </w:num>
  <w:num w:numId="30">
    <w:abstractNumId w:val="2"/>
  </w:num>
  <w:num w:numId="31">
    <w:abstractNumId w:val="24"/>
  </w:num>
  <w:num w:numId="32">
    <w:abstractNumId w:val="30"/>
  </w:num>
  <w:num w:numId="33">
    <w:abstractNumId w:val="7"/>
  </w:num>
  <w:num w:numId="34">
    <w:abstractNumId w:val="22"/>
  </w:num>
  <w:num w:numId="35">
    <w:abstractNumId w:val="35"/>
  </w:num>
  <w:num w:numId="36">
    <w:abstractNumId w:val="25"/>
  </w:num>
  <w:num w:numId="37">
    <w:abstractNumId w:val="34"/>
  </w:num>
  <w:num w:numId="38">
    <w:abstractNumId w:val="4"/>
  </w:num>
  <w:num w:numId="39">
    <w:abstractNumId w:val="34"/>
  </w:num>
  <w:num w:numId="4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F1"/>
    <w:rsid w:val="0001078B"/>
    <w:rsid w:val="00015CD7"/>
    <w:rsid w:val="00016043"/>
    <w:rsid w:val="00036074"/>
    <w:rsid w:val="00037962"/>
    <w:rsid w:val="000449BD"/>
    <w:rsid w:val="00052342"/>
    <w:rsid w:val="000811B9"/>
    <w:rsid w:val="000837CB"/>
    <w:rsid w:val="00095B52"/>
    <w:rsid w:val="000A0F70"/>
    <w:rsid w:val="000B0C20"/>
    <w:rsid w:val="000B6FFD"/>
    <w:rsid w:val="000C49D6"/>
    <w:rsid w:val="000C628E"/>
    <w:rsid w:val="000C71A7"/>
    <w:rsid w:val="000D7125"/>
    <w:rsid w:val="000E0714"/>
    <w:rsid w:val="00116183"/>
    <w:rsid w:val="001205E5"/>
    <w:rsid w:val="00124B7D"/>
    <w:rsid w:val="00141548"/>
    <w:rsid w:val="0014196D"/>
    <w:rsid w:val="00170162"/>
    <w:rsid w:val="00176EDA"/>
    <w:rsid w:val="001856F1"/>
    <w:rsid w:val="00195A15"/>
    <w:rsid w:val="001976BB"/>
    <w:rsid w:val="001A4F82"/>
    <w:rsid w:val="001A573E"/>
    <w:rsid w:val="00202C9E"/>
    <w:rsid w:val="00210E5B"/>
    <w:rsid w:val="002236CC"/>
    <w:rsid w:val="00252224"/>
    <w:rsid w:val="002A071A"/>
    <w:rsid w:val="002B2C5B"/>
    <w:rsid w:val="002B34FA"/>
    <w:rsid w:val="002B5486"/>
    <w:rsid w:val="002F5D9D"/>
    <w:rsid w:val="002F707B"/>
    <w:rsid w:val="002F7292"/>
    <w:rsid w:val="00311C40"/>
    <w:rsid w:val="00324984"/>
    <w:rsid w:val="00331ABF"/>
    <w:rsid w:val="00340C22"/>
    <w:rsid w:val="0034559E"/>
    <w:rsid w:val="00365B87"/>
    <w:rsid w:val="00373A97"/>
    <w:rsid w:val="003B0E5C"/>
    <w:rsid w:val="003C3F1F"/>
    <w:rsid w:val="003E050F"/>
    <w:rsid w:val="003E21CB"/>
    <w:rsid w:val="003F53DC"/>
    <w:rsid w:val="004110E0"/>
    <w:rsid w:val="00413759"/>
    <w:rsid w:val="00413BDF"/>
    <w:rsid w:val="00447A78"/>
    <w:rsid w:val="0046502A"/>
    <w:rsid w:val="00474530"/>
    <w:rsid w:val="004A57E7"/>
    <w:rsid w:val="004A690D"/>
    <w:rsid w:val="004B1A95"/>
    <w:rsid w:val="004B603B"/>
    <w:rsid w:val="00500BB8"/>
    <w:rsid w:val="00522510"/>
    <w:rsid w:val="00541F40"/>
    <w:rsid w:val="00570E0F"/>
    <w:rsid w:val="005751FA"/>
    <w:rsid w:val="0057595B"/>
    <w:rsid w:val="0058143E"/>
    <w:rsid w:val="00584235"/>
    <w:rsid w:val="005919A7"/>
    <w:rsid w:val="00597528"/>
    <w:rsid w:val="005C402D"/>
    <w:rsid w:val="005F776C"/>
    <w:rsid w:val="00607B3E"/>
    <w:rsid w:val="00607D36"/>
    <w:rsid w:val="006147D2"/>
    <w:rsid w:val="00617B37"/>
    <w:rsid w:val="00620DA1"/>
    <w:rsid w:val="00623E4B"/>
    <w:rsid w:val="0062471E"/>
    <w:rsid w:val="00625626"/>
    <w:rsid w:val="0062647C"/>
    <w:rsid w:val="00630ACA"/>
    <w:rsid w:val="00634100"/>
    <w:rsid w:val="00651DF0"/>
    <w:rsid w:val="00655233"/>
    <w:rsid w:val="006709AE"/>
    <w:rsid w:val="00684A34"/>
    <w:rsid w:val="00687291"/>
    <w:rsid w:val="00690BD9"/>
    <w:rsid w:val="006A5202"/>
    <w:rsid w:val="006C1835"/>
    <w:rsid w:val="006C7BC8"/>
    <w:rsid w:val="006F5008"/>
    <w:rsid w:val="006F7FD3"/>
    <w:rsid w:val="00731EC3"/>
    <w:rsid w:val="007460FB"/>
    <w:rsid w:val="00755746"/>
    <w:rsid w:val="00761C64"/>
    <w:rsid w:val="00796A80"/>
    <w:rsid w:val="007977B6"/>
    <w:rsid w:val="007A6E86"/>
    <w:rsid w:val="007C0175"/>
    <w:rsid w:val="007C414B"/>
    <w:rsid w:val="007D2ADE"/>
    <w:rsid w:val="007D357B"/>
    <w:rsid w:val="007E1ACF"/>
    <w:rsid w:val="007E2FC1"/>
    <w:rsid w:val="007E7AFF"/>
    <w:rsid w:val="0080677A"/>
    <w:rsid w:val="0081081F"/>
    <w:rsid w:val="008143A5"/>
    <w:rsid w:val="00817777"/>
    <w:rsid w:val="00826EE8"/>
    <w:rsid w:val="008374CB"/>
    <w:rsid w:val="00844322"/>
    <w:rsid w:val="008566FC"/>
    <w:rsid w:val="00870787"/>
    <w:rsid w:val="00881DB7"/>
    <w:rsid w:val="0089028B"/>
    <w:rsid w:val="008C0D40"/>
    <w:rsid w:val="008D6948"/>
    <w:rsid w:val="0090204C"/>
    <w:rsid w:val="0091446B"/>
    <w:rsid w:val="0091457B"/>
    <w:rsid w:val="00922470"/>
    <w:rsid w:val="009238EE"/>
    <w:rsid w:val="0095046A"/>
    <w:rsid w:val="009606ED"/>
    <w:rsid w:val="00962773"/>
    <w:rsid w:val="00975C64"/>
    <w:rsid w:val="009A78B2"/>
    <w:rsid w:val="009C1975"/>
    <w:rsid w:val="009D0159"/>
    <w:rsid w:val="009D21E1"/>
    <w:rsid w:val="009D2F24"/>
    <w:rsid w:val="009D708D"/>
    <w:rsid w:val="009E29DA"/>
    <w:rsid w:val="009E73C8"/>
    <w:rsid w:val="009F089C"/>
    <w:rsid w:val="00A26680"/>
    <w:rsid w:val="00A31BD7"/>
    <w:rsid w:val="00A32EE0"/>
    <w:rsid w:val="00A64927"/>
    <w:rsid w:val="00A74B14"/>
    <w:rsid w:val="00A856E4"/>
    <w:rsid w:val="00A85980"/>
    <w:rsid w:val="00A86B65"/>
    <w:rsid w:val="00AA264A"/>
    <w:rsid w:val="00AA3613"/>
    <w:rsid w:val="00AA4997"/>
    <w:rsid w:val="00AB6284"/>
    <w:rsid w:val="00AC6D9D"/>
    <w:rsid w:val="00AE7FF6"/>
    <w:rsid w:val="00B27759"/>
    <w:rsid w:val="00B356D0"/>
    <w:rsid w:val="00B41F9E"/>
    <w:rsid w:val="00B626DE"/>
    <w:rsid w:val="00B74B8C"/>
    <w:rsid w:val="00B773F8"/>
    <w:rsid w:val="00B96258"/>
    <w:rsid w:val="00BA389D"/>
    <w:rsid w:val="00BC0B35"/>
    <w:rsid w:val="00BF1827"/>
    <w:rsid w:val="00BF73C5"/>
    <w:rsid w:val="00C106C3"/>
    <w:rsid w:val="00C11852"/>
    <w:rsid w:val="00C16543"/>
    <w:rsid w:val="00C412C5"/>
    <w:rsid w:val="00C43A47"/>
    <w:rsid w:val="00C54461"/>
    <w:rsid w:val="00C612DE"/>
    <w:rsid w:val="00C74F5C"/>
    <w:rsid w:val="00C8707E"/>
    <w:rsid w:val="00CE2794"/>
    <w:rsid w:val="00D01F31"/>
    <w:rsid w:val="00D03163"/>
    <w:rsid w:val="00D07139"/>
    <w:rsid w:val="00D31000"/>
    <w:rsid w:val="00D56D6D"/>
    <w:rsid w:val="00D63616"/>
    <w:rsid w:val="00D66EFC"/>
    <w:rsid w:val="00D774E7"/>
    <w:rsid w:val="00D77E85"/>
    <w:rsid w:val="00D855A2"/>
    <w:rsid w:val="00D85737"/>
    <w:rsid w:val="00D900C9"/>
    <w:rsid w:val="00D92593"/>
    <w:rsid w:val="00DF2371"/>
    <w:rsid w:val="00E32EE4"/>
    <w:rsid w:val="00E35946"/>
    <w:rsid w:val="00E43FBE"/>
    <w:rsid w:val="00E4702A"/>
    <w:rsid w:val="00E612FA"/>
    <w:rsid w:val="00E723C8"/>
    <w:rsid w:val="00E87B6E"/>
    <w:rsid w:val="00ED09EF"/>
    <w:rsid w:val="00ED0E3E"/>
    <w:rsid w:val="00ED71B3"/>
    <w:rsid w:val="00EE0BE1"/>
    <w:rsid w:val="00EF4EC9"/>
    <w:rsid w:val="00F01869"/>
    <w:rsid w:val="00F32599"/>
    <w:rsid w:val="00F40E5D"/>
    <w:rsid w:val="00F44F12"/>
    <w:rsid w:val="00F84DE6"/>
    <w:rsid w:val="00F84F5A"/>
    <w:rsid w:val="00F85641"/>
    <w:rsid w:val="00F94BF9"/>
    <w:rsid w:val="00F95733"/>
    <w:rsid w:val="00FA1F8D"/>
    <w:rsid w:val="00FA3070"/>
    <w:rsid w:val="00FB4A4D"/>
    <w:rsid w:val="00FC3AF6"/>
    <w:rsid w:val="00FD1988"/>
    <w:rsid w:val="00FF3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64B1B8-62C3-49EB-9C28-A844B727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6F1"/>
    <w:pPr>
      <w:tabs>
        <w:tab w:val="left" w:pos="567"/>
      </w:tabs>
      <w:spacing w:line="260" w:lineRule="exact"/>
    </w:pPr>
    <w:rPr>
      <w:rFonts w:ascii="Times New Roman" w:eastAsia="Times New Roman" w:hAnsi="Times New Roman" w:cs="Times New Roman"/>
      <w:snapToGrid w:val="0"/>
      <w:sz w:val="22"/>
      <w:lang w:val="en-GB" w:eastAsia="en-US"/>
    </w:rPr>
  </w:style>
  <w:style w:type="paragraph" w:styleId="Antrat1">
    <w:name w:val="heading 1"/>
    <w:basedOn w:val="prastasis"/>
    <w:next w:val="prastasis"/>
    <w:link w:val="Antrat1Diagrama"/>
    <w:uiPriority w:val="99"/>
    <w:qFormat/>
    <w:rsid w:val="001856F1"/>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856F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856F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856F1"/>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1856F1"/>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856F1"/>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856F1"/>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856F1"/>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856F1"/>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856F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1856F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1856F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1856F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1856F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856F1"/>
    <w:rPr>
      <w:rFonts w:ascii="Times New Roman" w:eastAsia="SimSun" w:hAnsi="Times New Roman" w:cs="Times New Roman"/>
      <w:i/>
      <w:szCs w:val="20"/>
      <w:lang w:val="en-GB"/>
    </w:rPr>
  </w:style>
  <w:style w:type="character" w:customStyle="1" w:styleId="Antrat7Diagrama">
    <w:name w:val="Antraštė 7 Diagrama"/>
    <w:link w:val="Antrat7"/>
    <w:uiPriority w:val="99"/>
    <w:rsid w:val="001856F1"/>
    <w:rPr>
      <w:rFonts w:ascii="Times New Roman" w:eastAsia="SimSun" w:hAnsi="Times New Roman" w:cs="Times New Roman"/>
      <w:i/>
      <w:szCs w:val="20"/>
      <w:lang w:val="en-GB"/>
    </w:rPr>
  </w:style>
  <w:style w:type="character" w:customStyle="1" w:styleId="Antrat8Diagrama">
    <w:name w:val="Antraštė 8 Diagrama"/>
    <w:link w:val="Antrat8"/>
    <w:uiPriority w:val="99"/>
    <w:rsid w:val="001856F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856F1"/>
    <w:rPr>
      <w:rFonts w:ascii="Times New Roman" w:eastAsia="SimSun" w:hAnsi="Times New Roman" w:cs="Times New Roman"/>
      <w:b/>
      <w:i/>
      <w:szCs w:val="20"/>
      <w:lang w:val="en-GB"/>
    </w:rPr>
  </w:style>
  <w:style w:type="paragraph" w:styleId="Porat">
    <w:name w:val="footer"/>
    <w:basedOn w:val="prastasis"/>
    <w:link w:val="PoratDiagrama"/>
    <w:uiPriority w:val="99"/>
    <w:rsid w:val="001856F1"/>
    <w:pPr>
      <w:tabs>
        <w:tab w:val="center" w:pos="4536"/>
        <w:tab w:val="right" w:pos="8306"/>
      </w:tabs>
    </w:pPr>
    <w:rPr>
      <w:lang w:eastAsia="x-none"/>
    </w:rPr>
  </w:style>
  <w:style w:type="character" w:customStyle="1" w:styleId="PoratDiagrama">
    <w:name w:val="Poraštė Diagrama"/>
    <w:link w:val="Porat"/>
    <w:uiPriority w:val="99"/>
    <w:rsid w:val="001856F1"/>
    <w:rPr>
      <w:rFonts w:ascii="Times New Roman" w:eastAsia="Times New Roman" w:hAnsi="Times New Roman" w:cs="Times New Roman"/>
      <w:snapToGrid w:val="0"/>
      <w:szCs w:val="20"/>
      <w:lang w:val="en-GB" w:eastAsia="x-none"/>
    </w:rPr>
  </w:style>
  <w:style w:type="character" w:customStyle="1" w:styleId="HeaderChar">
    <w:name w:val="Header Char"/>
    <w:rsid w:val="001856F1"/>
    <w:rPr>
      <w:snapToGrid w:val="0"/>
      <w:sz w:val="22"/>
      <w:lang w:val="en-GB" w:eastAsia="en-US"/>
    </w:rPr>
  </w:style>
  <w:style w:type="character" w:styleId="Puslapionumeris">
    <w:name w:val="page number"/>
    <w:uiPriority w:val="99"/>
    <w:rsid w:val="001856F1"/>
    <w:rPr>
      <w:rFonts w:cs="Times New Roman"/>
    </w:rPr>
  </w:style>
  <w:style w:type="character" w:styleId="Hipersaitas">
    <w:name w:val="Hyperlink"/>
    <w:uiPriority w:val="99"/>
    <w:rsid w:val="001856F1"/>
    <w:rPr>
      <w:color w:val="0000FF"/>
      <w:u w:val="single"/>
    </w:rPr>
  </w:style>
  <w:style w:type="paragraph" w:customStyle="1" w:styleId="BodytextAgency">
    <w:name w:val="Body text (Agency)"/>
    <w:basedOn w:val="prastasis"/>
    <w:link w:val="BodytextAgencyChar"/>
    <w:qFormat/>
    <w:rsid w:val="001856F1"/>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Debesliotekstas">
    <w:name w:val="Balloon Text"/>
    <w:basedOn w:val="prastasis"/>
    <w:link w:val="DebesliotekstasDiagrama"/>
    <w:uiPriority w:val="99"/>
    <w:rsid w:val="001856F1"/>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1856F1"/>
    <w:rPr>
      <w:rFonts w:ascii="Tahoma" w:eastAsia="Times New Roman" w:hAnsi="Tahoma" w:cs="Times New Roman"/>
      <w:snapToGrid w:val="0"/>
      <w:sz w:val="16"/>
      <w:szCs w:val="16"/>
      <w:lang w:val="en-GB" w:eastAsia="x-none"/>
    </w:rPr>
  </w:style>
  <w:style w:type="character" w:styleId="Komentaronuoroda">
    <w:name w:val="annotation reference"/>
    <w:uiPriority w:val="99"/>
    <w:rsid w:val="001856F1"/>
    <w:rPr>
      <w:sz w:val="16"/>
      <w:szCs w:val="16"/>
    </w:rPr>
  </w:style>
  <w:style w:type="paragraph" w:styleId="Komentarotekstas">
    <w:name w:val="annotation text"/>
    <w:basedOn w:val="prastasis"/>
    <w:link w:val="KomentarotekstasDiagrama"/>
    <w:uiPriority w:val="99"/>
    <w:rsid w:val="001856F1"/>
    <w:rPr>
      <w:sz w:val="20"/>
    </w:rPr>
  </w:style>
  <w:style w:type="character" w:customStyle="1" w:styleId="KomentarotekstasDiagrama">
    <w:name w:val="Komentaro tekstas Diagrama"/>
    <w:link w:val="Komentarotekstas"/>
    <w:uiPriority w:val="99"/>
    <w:rsid w:val="001856F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856F1"/>
    <w:rPr>
      <w:b/>
      <w:bCs/>
    </w:rPr>
  </w:style>
  <w:style w:type="character" w:customStyle="1" w:styleId="KomentarotemaDiagrama">
    <w:name w:val="Komentaro tema Diagrama"/>
    <w:link w:val="Komentarotema"/>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Antrats">
    <w:name w:val="header"/>
    <w:basedOn w:val="prastasis"/>
    <w:link w:val="AntratsDiagrama"/>
    <w:uiPriority w:val="99"/>
    <w:rsid w:val="001856F1"/>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856F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6F1"/>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856F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856F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856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856F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856F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856F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Pagrindiniotekstotrauka3">
    <w:name w:val="Body Text Indent 3"/>
    <w:basedOn w:val="prastasis"/>
    <w:link w:val="Pagrindiniotekstotrauka3Diagrama"/>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856F1"/>
    <w:rPr>
      <w:rFonts w:ascii="Times New Roman" w:eastAsia="SimSun" w:hAnsi="Times New Roman" w:cs="Times New Roman"/>
      <w:szCs w:val="21"/>
      <w:lang w:val="en-GB"/>
    </w:rPr>
  </w:style>
  <w:style w:type="character" w:styleId="Perirtashipersaitas">
    <w:name w:val="FollowedHyperlink"/>
    <w:uiPriority w:val="99"/>
    <w:rsid w:val="001856F1"/>
    <w:rPr>
      <w:rFonts w:cs="Times New Roman"/>
      <w:color w:val="800080"/>
      <w:u w:val="single"/>
    </w:rPr>
  </w:style>
  <w:style w:type="character" w:styleId="Grietas">
    <w:name w:val="Strong"/>
    <w:uiPriority w:val="99"/>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856F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6F1"/>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1856F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856F1"/>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856F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856F1"/>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lang w:val="x-none" w:eastAsia="x-none"/>
    </w:rPr>
  </w:style>
  <w:style w:type="character" w:customStyle="1" w:styleId="CharChar12">
    <w:name w:val="Char Char12"/>
    <w:locked/>
    <w:rsid w:val="001856F1"/>
    <w:rPr>
      <w:snapToGrid w:val="0"/>
      <w:lang w:val="en-GB" w:eastAsia="en-US" w:bidi="ar-SA"/>
    </w:rPr>
  </w:style>
  <w:style w:type="table" w:styleId="Lentelstinklelis">
    <w:name w:val="Table Grid"/>
    <w:basedOn w:val="prastojilente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1856F1"/>
    <w:rPr>
      <w:shd w:val="clear" w:color="auto" w:fill="FFFFFF"/>
    </w:rPr>
  </w:style>
  <w:style w:type="paragraph" w:customStyle="1" w:styleId="Bodytext20">
    <w:name w:val="Body text (2)"/>
    <w:basedOn w:val="prastasis"/>
    <w:link w:val="Bodytext2"/>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1856F1"/>
    <w:pPr>
      <w:tabs>
        <w:tab w:val="clear" w:pos="567"/>
      </w:tabs>
      <w:spacing w:after="200" w:line="276" w:lineRule="auto"/>
      <w:ind w:left="720"/>
      <w:contextualSpacing/>
    </w:pPr>
    <w:rPr>
      <w:rFonts w:ascii="Calibri" w:eastAsia="Calibri" w:hAnsi="Calibri"/>
      <w:snapToGrid/>
      <w:szCs w:val="22"/>
      <w:lang w:val="lt-LT"/>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Pataisymai">
    <w:name w:val="Revision"/>
    <w:hidden/>
    <w:uiPriority w:val="99"/>
    <w:semiHidden/>
    <w:rsid w:val="000D7125"/>
    <w:rPr>
      <w:rFonts w:ascii="Times New Roman" w:eastAsia="Times New Roman" w:hAnsi="Times New Roman" w:cs="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vvkt.lt"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0A1E-DFEF-4547-AF2F-B434A3C4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98804</Words>
  <Characters>56319</Characters>
  <Application>Microsoft Office Word</Application>
  <DocSecurity>4</DocSecurity>
  <Lines>469</Lines>
  <Paragraphs>309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26</vt:i4>
      </vt:variant>
    </vt:vector>
  </HeadingPairs>
  <TitlesOfParts>
    <vt:vector size="28" baseType="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vt:lpstr>
      <vt:lpstr>        5.	FARMAKOLOGINĖS SAVYBĖS</vt:lpstr>
      <vt:lpstr>Ypatingos populiacijos </vt:lpstr>
      <vt:lpstr>        6.	FARMACINĖ INFORMACIJA</vt:lpstr>
      <vt:lpstr>        7.	REGISTRUOTOJAS</vt:lpstr>
      <vt:lpstr>        8.	REGISTRACIJOS PAŽYMĖJIMO NUMERIS (-IAI) </vt:lpstr>
      <vt:lpstr>        9.	REGISTRAVIMO / PERREGISTRAVIMO DATA</vt:lpstr>
      <vt:lpstr>        10.	TEKSTO PERŽIŪROS DATA</vt:lpstr>
    </vt:vector>
  </TitlesOfParts>
  <Company>Teva</Company>
  <LinksUpToDate>false</LinksUpToDate>
  <CharactersWithSpaces>154814</CharactersWithSpaces>
  <SharedDoc>false</SharedDoc>
  <HLinks>
    <vt:vector size="48" baseType="variant">
      <vt:variant>
        <vt:i4>7077991</vt:i4>
      </vt:variant>
      <vt:variant>
        <vt:i4>21</vt:i4>
      </vt:variant>
      <vt:variant>
        <vt:i4>0</vt:i4>
      </vt:variant>
      <vt:variant>
        <vt:i4>5</vt:i4>
      </vt:variant>
      <vt:variant>
        <vt:lpwstr>http://vvkt.lt/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2024-07-31T07:57:00Z</dcterms:created>
  <dcterms:modified xsi:type="dcterms:W3CDTF">2024-07-31T07:57:00Z</dcterms:modified>
</cp:coreProperties>
</file>