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CC2E4" w14:textId="3E93585C" w:rsidR="00F24039" w:rsidRPr="00736D2F" w:rsidRDefault="00F24039" w:rsidP="00F24039">
      <w:pPr>
        <w:pStyle w:val="Paprastasistekstas"/>
        <w:tabs>
          <w:tab w:val="left" w:pos="4962"/>
        </w:tabs>
        <w:rPr>
          <w:rFonts w:ascii="Times New Roman" w:hAnsi="Times New Roman"/>
          <w:snapToGrid w:val="0"/>
          <w:color w:val="000000"/>
          <w:sz w:val="22"/>
          <w:szCs w:val="22"/>
          <w:lang w:val="lt-LT"/>
        </w:rPr>
      </w:pPr>
      <w:bookmarkStart w:id="0" w:name="_GoBack"/>
      <w:bookmarkEnd w:id="0"/>
      <w:r w:rsidRPr="00736D2F">
        <w:rPr>
          <w:rFonts w:ascii="Times New Roman" w:hAnsi="Times New Roman"/>
          <w:color w:val="000000"/>
          <w:sz w:val="22"/>
          <w:szCs w:val="22"/>
          <w:lang w:val="lt-LT"/>
        </w:rPr>
        <w:tab/>
      </w:r>
    </w:p>
    <w:p w14:paraId="723D65A3" w14:textId="77777777" w:rsidR="00F24039" w:rsidRPr="00736D2F" w:rsidRDefault="00F24039" w:rsidP="00F24039">
      <w:pPr>
        <w:pStyle w:val="Paprastasistekstas"/>
        <w:tabs>
          <w:tab w:val="left" w:pos="4962"/>
        </w:tabs>
        <w:rPr>
          <w:rFonts w:ascii="Times New Roman" w:hAnsi="Times New Roman"/>
          <w:color w:val="000000"/>
          <w:sz w:val="22"/>
          <w:szCs w:val="22"/>
          <w:lang w:val="lt-LT"/>
        </w:rPr>
      </w:pPr>
    </w:p>
    <w:p w14:paraId="387122FD" w14:textId="77777777" w:rsidR="00F24039" w:rsidRPr="00736D2F" w:rsidRDefault="00F24039" w:rsidP="00F24039">
      <w:pPr>
        <w:pStyle w:val="Paprastasistekstas"/>
        <w:ind w:left="5245"/>
        <w:rPr>
          <w:rFonts w:ascii="Times New Roman" w:hAnsi="Times New Roman"/>
          <w:color w:val="000000"/>
          <w:sz w:val="22"/>
          <w:szCs w:val="22"/>
          <w:lang w:val="lt-LT"/>
        </w:rPr>
      </w:pPr>
    </w:p>
    <w:p w14:paraId="675818A7" w14:textId="77777777" w:rsidR="00F24039" w:rsidRPr="00736D2F" w:rsidRDefault="00F24039" w:rsidP="00F24039">
      <w:pPr>
        <w:widowControl w:val="0"/>
        <w:tabs>
          <w:tab w:val="clear" w:pos="567"/>
        </w:tabs>
        <w:spacing w:line="240" w:lineRule="auto"/>
        <w:rPr>
          <w:color w:val="008000"/>
          <w:szCs w:val="22"/>
          <w:lang w:val="lt-LT"/>
        </w:rPr>
      </w:pPr>
    </w:p>
    <w:p w14:paraId="39B6A937" w14:textId="77777777" w:rsidR="00F24039" w:rsidRPr="00736D2F" w:rsidRDefault="00F24039" w:rsidP="00F24039">
      <w:pPr>
        <w:outlineLvl w:val="0"/>
        <w:rPr>
          <w:b/>
          <w:szCs w:val="22"/>
          <w:lang w:val="lt-LT"/>
        </w:rPr>
      </w:pPr>
    </w:p>
    <w:p w14:paraId="2F86880F" w14:textId="77777777" w:rsidR="00F24039" w:rsidRPr="00736D2F" w:rsidRDefault="00F24039" w:rsidP="00F24039">
      <w:pPr>
        <w:outlineLvl w:val="0"/>
        <w:rPr>
          <w:b/>
          <w:szCs w:val="22"/>
          <w:lang w:val="lt-LT"/>
        </w:rPr>
      </w:pPr>
    </w:p>
    <w:p w14:paraId="571E8290" w14:textId="77777777" w:rsidR="00F24039" w:rsidRPr="00736D2F" w:rsidRDefault="00F24039" w:rsidP="00F24039">
      <w:pPr>
        <w:outlineLvl w:val="0"/>
        <w:rPr>
          <w:b/>
          <w:szCs w:val="22"/>
          <w:lang w:val="lt-LT"/>
        </w:rPr>
      </w:pPr>
    </w:p>
    <w:p w14:paraId="4883A35B" w14:textId="77777777" w:rsidR="00F24039" w:rsidRPr="00736D2F" w:rsidRDefault="00F24039" w:rsidP="00F24039">
      <w:pPr>
        <w:outlineLvl w:val="0"/>
        <w:rPr>
          <w:b/>
          <w:szCs w:val="22"/>
          <w:lang w:val="lt-LT"/>
        </w:rPr>
      </w:pPr>
    </w:p>
    <w:p w14:paraId="7D1EBA1D" w14:textId="77777777" w:rsidR="00F24039" w:rsidRPr="00736D2F" w:rsidRDefault="00F24039" w:rsidP="00F24039">
      <w:pPr>
        <w:tabs>
          <w:tab w:val="left" w:pos="-1440"/>
          <w:tab w:val="left" w:pos="-720"/>
        </w:tabs>
        <w:rPr>
          <w:b/>
          <w:szCs w:val="22"/>
          <w:lang w:val="lt-LT"/>
        </w:rPr>
      </w:pPr>
    </w:p>
    <w:p w14:paraId="1ED6E57F" w14:textId="77777777" w:rsidR="00F24039" w:rsidRPr="00736D2F" w:rsidRDefault="00F24039" w:rsidP="00F24039">
      <w:pPr>
        <w:tabs>
          <w:tab w:val="left" w:pos="-1440"/>
          <w:tab w:val="left" w:pos="-720"/>
        </w:tabs>
        <w:rPr>
          <w:b/>
          <w:szCs w:val="22"/>
          <w:lang w:val="lt-LT"/>
        </w:rPr>
      </w:pPr>
    </w:p>
    <w:p w14:paraId="352EEF76" w14:textId="77777777" w:rsidR="00F24039" w:rsidRPr="00736D2F" w:rsidRDefault="00F24039" w:rsidP="00F24039">
      <w:pPr>
        <w:tabs>
          <w:tab w:val="left" w:pos="-1440"/>
          <w:tab w:val="left" w:pos="-720"/>
        </w:tabs>
        <w:rPr>
          <w:b/>
          <w:szCs w:val="22"/>
          <w:lang w:val="lt-LT"/>
        </w:rPr>
      </w:pPr>
    </w:p>
    <w:p w14:paraId="64A54FCA" w14:textId="77777777" w:rsidR="00F24039" w:rsidRPr="00736D2F" w:rsidRDefault="00F24039" w:rsidP="00F24039">
      <w:pPr>
        <w:tabs>
          <w:tab w:val="left" w:pos="-1440"/>
          <w:tab w:val="left" w:pos="-720"/>
        </w:tabs>
        <w:rPr>
          <w:b/>
          <w:szCs w:val="22"/>
          <w:lang w:val="lt-LT"/>
        </w:rPr>
      </w:pPr>
    </w:p>
    <w:p w14:paraId="34F2F4FD" w14:textId="77777777" w:rsidR="00F24039" w:rsidRPr="00736D2F" w:rsidRDefault="00F24039" w:rsidP="00F24039">
      <w:pPr>
        <w:tabs>
          <w:tab w:val="left" w:pos="-1440"/>
          <w:tab w:val="left" w:pos="-720"/>
        </w:tabs>
        <w:rPr>
          <w:b/>
          <w:szCs w:val="22"/>
          <w:lang w:val="lt-LT"/>
        </w:rPr>
      </w:pPr>
    </w:p>
    <w:p w14:paraId="67AD6A5F" w14:textId="77777777" w:rsidR="00F24039" w:rsidRPr="00736D2F" w:rsidRDefault="00F24039" w:rsidP="00F24039">
      <w:pPr>
        <w:tabs>
          <w:tab w:val="left" w:pos="-1440"/>
          <w:tab w:val="left" w:pos="-720"/>
        </w:tabs>
        <w:rPr>
          <w:b/>
          <w:szCs w:val="22"/>
          <w:lang w:val="lt-LT"/>
        </w:rPr>
      </w:pPr>
    </w:p>
    <w:p w14:paraId="02D69DE6" w14:textId="77777777" w:rsidR="00F24039" w:rsidRPr="00736D2F" w:rsidRDefault="00F24039" w:rsidP="00F24039">
      <w:pPr>
        <w:tabs>
          <w:tab w:val="left" w:pos="-1440"/>
          <w:tab w:val="left" w:pos="-720"/>
        </w:tabs>
        <w:rPr>
          <w:b/>
          <w:szCs w:val="22"/>
          <w:lang w:val="lt-LT"/>
        </w:rPr>
      </w:pPr>
    </w:p>
    <w:p w14:paraId="7E743CCB" w14:textId="77777777" w:rsidR="00F24039" w:rsidRPr="00736D2F" w:rsidRDefault="00F24039" w:rsidP="00F24039">
      <w:pPr>
        <w:tabs>
          <w:tab w:val="left" w:pos="-1440"/>
          <w:tab w:val="left" w:pos="-720"/>
        </w:tabs>
        <w:rPr>
          <w:b/>
          <w:szCs w:val="22"/>
          <w:lang w:val="lt-LT"/>
        </w:rPr>
      </w:pPr>
    </w:p>
    <w:p w14:paraId="4C4D3973" w14:textId="77777777" w:rsidR="00F24039" w:rsidRPr="00736D2F" w:rsidRDefault="00F24039" w:rsidP="00F24039">
      <w:pPr>
        <w:tabs>
          <w:tab w:val="left" w:pos="-1440"/>
          <w:tab w:val="left" w:pos="-720"/>
        </w:tabs>
        <w:rPr>
          <w:b/>
          <w:szCs w:val="22"/>
          <w:lang w:val="lt-LT"/>
        </w:rPr>
      </w:pPr>
    </w:p>
    <w:p w14:paraId="49A1CB5E" w14:textId="77777777" w:rsidR="00F24039" w:rsidRPr="00736D2F" w:rsidRDefault="00F24039" w:rsidP="00F24039">
      <w:pPr>
        <w:tabs>
          <w:tab w:val="left" w:pos="-1440"/>
          <w:tab w:val="left" w:pos="-720"/>
        </w:tabs>
        <w:rPr>
          <w:b/>
          <w:szCs w:val="22"/>
          <w:lang w:val="lt-LT"/>
        </w:rPr>
      </w:pPr>
    </w:p>
    <w:p w14:paraId="5F039FC7" w14:textId="77777777" w:rsidR="00F24039" w:rsidRPr="00736D2F" w:rsidRDefault="00F24039" w:rsidP="00F24039">
      <w:pPr>
        <w:tabs>
          <w:tab w:val="left" w:pos="-1440"/>
          <w:tab w:val="left" w:pos="-720"/>
        </w:tabs>
        <w:rPr>
          <w:b/>
          <w:szCs w:val="22"/>
          <w:lang w:val="lt-LT"/>
        </w:rPr>
      </w:pPr>
    </w:p>
    <w:p w14:paraId="29156BD6" w14:textId="77777777" w:rsidR="00F24039" w:rsidRPr="00736D2F" w:rsidRDefault="00F24039" w:rsidP="00F24039">
      <w:pPr>
        <w:tabs>
          <w:tab w:val="left" w:pos="-1440"/>
          <w:tab w:val="left" w:pos="-720"/>
        </w:tabs>
        <w:rPr>
          <w:b/>
          <w:szCs w:val="22"/>
          <w:lang w:val="lt-LT"/>
        </w:rPr>
      </w:pPr>
    </w:p>
    <w:p w14:paraId="35D6C2B7" w14:textId="77777777" w:rsidR="00F24039" w:rsidRPr="00736D2F" w:rsidRDefault="00F24039" w:rsidP="00F24039">
      <w:pPr>
        <w:tabs>
          <w:tab w:val="left" w:pos="-1440"/>
          <w:tab w:val="left" w:pos="-720"/>
        </w:tabs>
        <w:rPr>
          <w:b/>
          <w:szCs w:val="22"/>
          <w:lang w:val="lt-LT"/>
        </w:rPr>
      </w:pPr>
    </w:p>
    <w:p w14:paraId="0AF8B562" w14:textId="77777777" w:rsidR="00F24039" w:rsidRPr="00736D2F" w:rsidRDefault="00F24039" w:rsidP="00F24039">
      <w:pPr>
        <w:tabs>
          <w:tab w:val="left" w:pos="-1440"/>
          <w:tab w:val="left" w:pos="-720"/>
        </w:tabs>
        <w:rPr>
          <w:b/>
          <w:szCs w:val="22"/>
          <w:lang w:val="lt-LT"/>
        </w:rPr>
      </w:pPr>
    </w:p>
    <w:p w14:paraId="02532E59" w14:textId="77777777" w:rsidR="00F24039" w:rsidRPr="00736D2F" w:rsidRDefault="00F24039" w:rsidP="00F24039">
      <w:pPr>
        <w:tabs>
          <w:tab w:val="left" w:pos="-1440"/>
          <w:tab w:val="left" w:pos="-720"/>
        </w:tabs>
        <w:rPr>
          <w:b/>
          <w:szCs w:val="22"/>
          <w:lang w:val="lt-LT"/>
        </w:rPr>
      </w:pPr>
    </w:p>
    <w:p w14:paraId="75BE88DF" w14:textId="77777777" w:rsidR="00F24039" w:rsidRPr="00736D2F" w:rsidRDefault="00F24039" w:rsidP="00F24039">
      <w:pPr>
        <w:pStyle w:val="Antrat2"/>
        <w:spacing w:before="0" w:after="0" w:line="240" w:lineRule="auto"/>
        <w:jc w:val="center"/>
        <w:rPr>
          <w:rFonts w:ascii="Times New Roman" w:hAnsi="Times New Roman"/>
          <w:bCs w:val="0"/>
          <w:i w:val="0"/>
          <w:iCs w:val="0"/>
          <w:sz w:val="22"/>
          <w:szCs w:val="22"/>
          <w:lang w:val="lt-LT"/>
        </w:rPr>
      </w:pPr>
      <w:r w:rsidRPr="00736D2F">
        <w:rPr>
          <w:rFonts w:ascii="Times New Roman" w:hAnsi="Times New Roman"/>
          <w:i w:val="0"/>
          <w:sz w:val="22"/>
          <w:szCs w:val="22"/>
          <w:lang w:val="lt-LT"/>
        </w:rPr>
        <w:t>I PRIEDAS</w:t>
      </w:r>
    </w:p>
    <w:p w14:paraId="2995D623" w14:textId="77777777" w:rsidR="00F24039" w:rsidRPr="00736D2F" w:rsidRDefault="00F24039" w:rsidP="00F24039">
      <w:pPr>
        <w:spacing w:line="240" w:lineRule="auto"/>
        <w:rPr>
          <w:szCs w:val="22"/>
          <w:lang w:val="lt-LT"/>
        </w:rPr>
      </w:pPr>
    </w:p>
    <w:p w14:paraId="7444D1C1" w14:textId="77777777" w:rsidR="00F24039" w:rsidRPr="00736D2F" w:rsidRDefault="00F24039" w:rsidP="00F24039">
      <w:pPr>
        <w:tabs>
          <w:tab w:val="left" w:pos="-1440"/>
          <w:tab w:val="left" w:pos="-720"/>
        </w:tabs>
        <w:jc w:val="center"/>
        <w:rPr>
          <w:b/>
          <w:szCs w:val="22"/>
          <w:lang w:val="lt-LT"/>
        </w:rPr>
      </w:pPr>
      <w:r w:rsidRPr="00736D2F">
        <w:rPr>
          <w:b/>
          <w:szCs w:val="22"/>
          <w:lang w:val="lt-LT"/>
        </w:rPr>
        <w:t>PREPARATO CHARAKTERISTIKŲ SANTRAUKA</w:t>
      </w:r>
    </w:p>
    <w:p w14:paraId="0F2FDF8A" w14:textId="77777777" w:rsidR="00F24039" w:rsidRPr="00736D2F" w:rsidRDefault="00F24039" w:rsidP="00F24039">
      <w:pPr>
        <w:tabs>
          <w:tab w:val="left" w:pos="-1440"/>
          <w:tab w:val="left" w:pos="-720"/>
        </w:tabs>
        <w:jc w:val="center"/>
        <w:rPr>
          <w:szCs w:val="22"/>
          <w:lang w:val="lt-LT"/>
        </w:rPr>
      </w:pPr>
      <w:r w:rsidRPr="00736D2F">
        <w:rPr>
          <w:szCs w:val="22"/>
          <w:lang w:val="lt-LT" w:eastAsia="zh-CN"/>
        </w:rPr>
        <w:br w:type="page"/>
      </w:r>
    </w:p>
    <w:p w14:paraId="3A9F5F84" w14:textId="77777777" w:rsidR="00F24039" w:rsidRPr="00736D2F" w:rsidRDefault="00F24039" w:rsidP="00F24039">
      <w:pPr>
        <w:pStyle w:val="Antrat3"/>
        <w:spacing w:before="0" w:after="0" w:line="240" w:lineRule="auto"/>
        <w:rPr>
          <w:rFonts w:ascii="Times New Roman" w:hAnsi="Times New Roman"/>
          <w:sz w:val="22"/>
          <w:szCs w:val="22"/>
          <w:lang w:val="lt-LT"/>
        </w:rPr>
      </w:pPr>
      <w:r w:rsidRPr="00736D2F">
        <w:rPr>
          <w:rFonts w:ascii="Times New Roman" w:hAnsi="Times New Roman"/>
          <w:sz w:val="22"/>
          <w:szCs w:val="22"/>
          <w:lang w:val="lt-LT"/>
        </w:rPr>
        <w:lastRenderedPageBreak/>
        <w:t>1.</w:t>
      </w:r>
      <w:r w:rsidRPr="00736D2F">
        <w:rPr>
          <w:rFonts w:ascii="Times New Roman" w:hAnsi="Times New Roman"/>
          <w:sz w:val="22"/>
          <w:szCs w:val="22"/>
          <w:lang w:val="lt-LT"/>
        </w:rPr>
        <w:tab/>
        <w:t>VAISTINIO PREPARATO PAVADINIMAS</w:t>
      </w:r>
    </w:p>
    <w:p w14:paraId="0F200F24" w14:textId="77777777" w:rsidR="00F24039" w:rsidRPr="00736D2F" w:rsidRDefault="00F24039" w:rsidP="00F24039">
      <w:pPr>
        <w:rPr>
          <w:szCs w:val="22"/>
          <w:lang w:val="lt-LT"/>
        </w:rPr>
      </w:pPr>
    </w:p>
    <w:p w14:paraId="5BF196CB" w14:textId="77777777" w:rsidR="00F24039" w:rsidRPr="00736D2F" w:rsidRDefault="00F24039" w:rsidP="00F24039">
      <w:pPr>
        <w:shd w:val="clear" w:color="auto" w:fill="FFFFFF"/>
        <w:tabs>
          <w:tab w:val="clear" w:pos="567"/>
        </w:tabs>
        <w:spacing w:line="240" w:lineRule="auto"/>
        <w:rPr>
          <w:color w:val="222222"/>
          <w:szCs w:val="22"/>
          <w:lang w:val="lt-LT"/>
        </w:rPr>
      </w:pPr>
      <w:r w:rsidRPr="00736D2F">
        <w:rPr>
          <w:szCs w:val="22"/>
          <w:lang w:val="lt-LT"/>
        </w:rPr>
        <w:t xml:space="preserve">Cabazitaxel Teva </w:t>
      </w:r>
      <w:r w:rsidRPr="00736D2F">
        <w:rPr>
          <w:color w:val="222222"/>
          <w:szCs w:val="22"/>
          <w:lang w:val="lt-LT"/>
        </w:rPr>
        <w:t>10 mg/ml koncentratas infuziniam tirpalui</w:t>
      </w:r>
    </w:p>
    <w:p w14:paraId="5E32C4DB" w14:textId="77777777" w:rsidR="00F24039" w:rsidRPr="00736D2F" w:rsidRDefault="00F24039" w:rsidP="00F24039">
      <w:pPr>
        <w:rPr>
          <w:szCs w:val="22"/>
          <w:lang w:val="lt-LT"/>
        </w:rPr>
      </w:pPr>
    </w:p>
    <w:p w14:paraId="5CB700F7" w14:textId="77777777" w:rsidR="00F24039" w:rsidRPr="00736D2F" w:rsidRDefault="00F24039" w:rsidP="00F24039">
      <w:pPr>
        <w:rPr>
          <w:szCs w:val="22"/>
          <w:lang w:val="lt-LT"/>
        </w:rPr>
      </w:pPr>
    </w:p>
    <w:p w14:paraId="73ACE3C9" w14:textId="77777777" w:rsidR="00F24039" w:rsidRPr="00736D2F" w:rsidRDefault="00F24039" w:rsidP="00F24039">
      <w:pPr>
        <w:pStyle w:val="Antrat3"/>
        <w:spacing w:before="0" w:after="0" w:line="240" w:lineRule="auto"/>
        <w:rPr>
          <w:rFonts w:ascii="Times New Roman" w:hAnsi="Times New Roman"/>
          <w:sz w:val="22"/>
          <w:szCs w:val="22"/>
          <w:lang w:val="lt-LT"/>
        </w:rPr>
      </w:pPr>
      <w:r w:rsidRPr="00736D2F">
        <w:rPr>
          <w:rFonts w:ascii="Times New Roman" w:hAnsi="Times New Roman"/>
          <w:sz w:val="22"/>
          <w:szCs w:val="22"/>
          <w:lang w:val="lt-LT"/>
        </w:rPr>
        <w:t>2.</w:t>
      </w:r>
      <w:r w:rsidRPr="00736D2F">
        <w:rPr>
          <w:rFonts w:ascii="Times New Roman" w:hAnsi="Times New Roman"/>
          <w:sz w:val="22"/>
          <w:szCs w:val="22"/>
          <w:lang w:val="lt-LT"/>
        </w:rPr>
        <w:tab/>
        <w:t>KOKYBINĖ IR KIEKYBINĖ SUDĖTIS</w:t>
      </w:r>
    </w:p>
    <w:p w14:paraId="4AAB90FA" w14:textId="77777777" w:rsidR="00F24039" w:rsidRPr="00736D2F" w:rsidRDefault="00F24039" w:rsidP="00F24039">
      <w:pPr>
        <w:rPr>
          <w:szCs w:val="22"/>
          <w:lang w:val="lt-LT"/>
        </w:rPr>
      </w:pPr>
    </w:p>
    <w:p w14:paraId="32E5A382" w14:textId="5044EB01" w:rsidR="00F24039" w:rsidRPr="00736D2F" w:rsidRDefault="00F869FA" w:rsidP="00F24039">
      <w:pPr>
        <w:rPr>
          <w:szCs w:val="22"/>
          <w:lang w:val="lt-LT"/>
        </w:rPr>
      </w:pPr>
      <w:r>
        <w:rPr>
          <w:szCs w:val="22"/>
          <w:lang w:val="lt-LT"/>
        </w:rPr>
        <w:t>Kiekv</w:t>
      </w:r>
      <w:r w:rsidR="00F24039" w:rsidRPr="00736D2F">
        <w:rPr>
          <w:szCs w:val="22"/>
          <w:lang w:val="lt-LT"/>
        </w:rPr>
        <w:t>iename koncentrato infuziniam tirpalui mililitre yra kabazitakselio etilacetato</w:t>
      </w:r>
      <w:r w:rsidR="00381201">
        <w:rPr>
          <w:szCs w:val="22"/>
          <w:lang w:val="lt-LT"/>
        </w:rPr>
        <w:t>,</w:t>
      </w:r>
      <w:r w:rsidR="00F24039" w:rsidRPr="00736D2F">
        <w:rPr>
          <w:szCs w:val="22"/>
          <w:lang w:val="lt-LT"/>
        </w:rPr>
        <w:t xml:space="preserve"> atitinkančio 10 mg kabazitakselio. </w:t>
      </w:r>
    </w:p>
    <w:p w14:paraId="2EBE8027" w14:textId="7525CF94" w:rsidR="00F24039" w:rsidRPr="00736D2F" w:rsidRDefault="00F24039" w:rsidP="00F24039">
      <w:pPr>
        <w:rPr>
          <w:szCs w:val="22"/>
          <w:lang w:val="lt-LT"/>
        </w:rPr>
      </w:pPr>
      <w:r w:rsidRPr="00736D2F">
        <w:rPr>
          <w:szCs w:val="22"/>
          <w:lang w:val="lt-LT"/>
        </w:rPr>
        <w:t xml:space="preserve">Kiekviename 6 ml koncentrato infuziniam tirpalui </w:t>
      </w:r>
      <w:r w:rsidR="006360C0">
        <w:rPr>
          <w:szCs w:val="22"/>
          <w:lang w:val="lt-LT"/>
        </w:rPr>
        <w:t>flakone</w:t>
      </w:r>
      <w:r w:rsidRPr="00736D2F">
        <w:rPr>
          <w:szCs w:val="22"/>
          <w:lang w:val="lt-LT"/>
        </w:rPr>
        <w:t xml:space="preserve"> yra kabazitakselio etilacetato</w:t>
      </w:r>
      <w:r w:rsidR="00381201">
        <w:rPr>
          <w:szCs w:val="22"/>
          <w:lang w:val="lt-LT"/>
        </w:rPr>
        <w:t>,</w:t>
      </w:r>
      <w:r w:rsidRPr="00736D2F">
        <w:rPr>
          <w:szCs w:val="22"/>
          <w:lang w:val="lt-LT"/>
        </w:rPr>
        <w:t xml:space="preserve"> atitinkančio 60 mg kabazitakselio. </w:t>
      </w:r>
    </w:p>
    <w:p w14:paraId="5D472E69" w14:textId="77777777" w:rsidR="00161D54" w:rsidRPr="00736D2F" w:rsidRDefault="00161D54" w:rsidP="00F24039">
      <w:pPr>
        <w:rPr>
          <w:szCs w:val="22"/>
          <w:u w:val="single"/>
          <w:lang w:val="lt-LT"/>
        </w:rPr>
      </w:pPr>
    </w:p>
    <w:p w14:paraId="0ECC4E9C" w14:textId="22D517C1" w:rsidR="00F24039" w:rsidRPr="00736D2F" w:rsidRDefault="00F24039" w:rsidP="00F24039">
      <w:pPr>
        <w:rPr>
          <w:szCs w:val="22"/>
          <w:lang w:val="lt-LT"/>
        </w:rPr>
      </w:pPr>
      <w:r w:rsidRPr="00736D2F">
        <w:rPr>
          <w:szCs w:val="22"/>
          <w:u w:val="single"/>
          <w:lang w:val="lt-LT"/>
        </w:rPr>
        <w:t xml:space="preserve">Pagalbinė medžiaga, </w:t>
      </w:r>
      <w:r w:rsidRPr="00736D2F">
        <w:rPr>
          <w:noProof/>
          <w:szCs w:val="22"/>
          <w:u w:val="single"/>
          <w:lang w:val="lt-LT"/>
        </w:rPr>
        <w:t>kurios</w:t>
      </w:r>
      <w:r w:rsidRPr="00736D2F">
        <w:rPr>
          <w:szCs w:val="22"/>
          <w:u w:val="single"/>
          <w:lang w:val="lt-LT"/>
        </w:rPr>
        <w:t xml:space="preserve"> poveikis žinomas: </w:t>
      </w:r>
      <w:r w:rsidRPr="00736D2F">
        <w:rPr>
          <w:szCs w:val="22"/>
          <w:lang w:val="lt-LT"/>
        </w:rPr>
        <w:t xml:space="preserve">kiekviename koncentrato infuziniam tirpalui mililitre yra 182 mg etanolio. Kiekviename 6 ml koncentrato infuziniam tirpalui </w:t>
      </w:r>
      <w:r w:rsidR="006360C0">
        <w:rPr>
          <w:szCs w:val="22"/>
          <w:lang w:val="lt-LT"/>
        </w:rPr>
        <w:t>flakone</w:t>
      </w:r>
      <w:r w:rsidRPr="00736D2F">
        <w:rPr>
          <w:szCs w:val="22"/>
          <w:lang w:val="lt-LT"/>
        </w:rPr>
        <w:t xml:space="preserve"> yra 1092 mg etanolio (23 %).</w:t>
      </w:r>
    </w:p>
    <w:p w14:paraId="4EF06FB1" w14:textId="77777777" w:rsidR="00F24039" w:rsidRPr="00736D2F" w:rsidRDefault="00F24039" w:rsidP="00F24039">
      <w:pPr>
        <w:rPr>
          <w:noProof/>
          <w:szCs w:val="22"/>
          <w:lang w:val="lt-LT"/>
        </w:rPr>
      </w:pPr>
    </w:p>
    <w:p w14:paraId="78F9BBE7" w14:textId="77777777" w:rsidR="00F24039" w:rsidRPr="00736D2F" w:rsidRDefault="00F24039" w:rsidP="00F24039">
      <w:pPr>
        <w:rPr>
          <w:szCs w:val="22"/>
          <w:lang w:val="lt-LT"/>
        </w:rPr>
      </w:pPr>
      <w:r w:rsidRPr="00736D2F">
        <w:rPr>
          <w:noProof/>
          <w:szCs w:val="22"/>
          <w:lang w:val="lt-LT"/>
        </w:rPr>
        <w:t>Visos pagalbinės medžiagos išvardytos 6.1 skyriuje.</w:t>
      </w:r>
    </w:p>
    <w:p w14:paraId="1FAA8E9F" w14:textId="77777777" w:rsidR="00F24039" w:rsidRPr="00736D2F" w:rsidRDefault="00F24039" w:rsidP="00F24039">
      <w:pPr>
        <w:rPr>
          <w:szCs w:val="22"/>
          <w:lang w:val="lt-LT"/>
        </w:rPr>
      </w:pPr>
    </w:p>
    <w:p w14:paraId="6D2E2D6B" w14:textId="77777777" w:rsidR="00F24039" w:rsidRPr="00736D2F" w:rsidRDefault="00F24039" w:rsidP="00F24039">
      <w:pPr>
        <w:rPr>
          <w:szCs w:val="22"/>
          <w:lang w:val="lt-LT"/>
        </w:rPr>
      </w:pPr>
    </w:p>
    <w:p w14:paraId="1F9162E6" w14:textId="77777777" w:rsidR="00F24039" w:rsidRPr="00736D2F" w:rsidRDefault="00F24039" w:rsidP="00F24039">
      <w:pPr>
        <w:pStyle w:val="Antrat3"/>
        <w:spacing w:before="0" w:after="0" w:line="240" w:lineRule="auto"/>
        <w:rPr>
          <w:rFonts w:ascii="Times New Roman" w:hAnsi="Times New Roman"/>
          <w:sz w:val="22"/>
          <w:szCs w:val="22"/>
          <w:lang w:val="lt-LT"/>
        </w:rPr>
      </w:pPr>
      <w:r w:rsidRPr="00736D2F">
        <w:rPr>
          <w:rFonts w:ascii="Times New Roman" w:hAnsi="Times New Roman"/>
          <w:sz w:val="22"/>
          <w:szCs w:val="22"/>
          <w:lang w:val="lt-LT"/>
        </w:rPr>
        <w:t>3.</w:t>
      </w:r>
      <w:r w:rsidRPr="00736D2F">
        <w:rPr>
          <w:rFonts w:ascii="Times New Roman" w:hAnsi="Times New Roman"/>
          <w:sz w:val="22"/>
          <w:szCs w:val="22"/>
          <w:lang w:val="lt-LT"/>
        </w:rPr>
        <w:tab/>
        <w:t>FARMACINĖ FORMA</w:t>
      </w:r>
    </w:p>
    <w:p w14:paraId="278BE34E" w14:textId="77777777" w:rsidR="00F24039" w:rsidRPr="00736D2F" w:rsidRDefault="00F24039" w:rsidP="00F24039">
      <w:pPr>
        <w:rPr>
          <w:szCs w:val="22"/>
          <w:lang w:val="lt-LT"/>
        </w:rPr>
      </w:pPr>
    </w:p>
    <w:p w14:paraId="3C9BE155" w14:textId="77777777" w:rsidR="00F24039" w:rsidRPr="00736D2F" w:rsidRDefault="00F24039" w:rsidP="00F24039">
      <w:pPr>
        <w:tabs>
          <w:tab w:val="center" w:pos="567"/>
        </w:tabs>
        <w:spacing w:line="240" w:lineRule="auto"/>
        <w:contextualSpacing/>
        <w:rPr>
          <w:szCs w:val="22"/>
          <w:lang w:val="lt-LT"/>
        </w:rPr>
      </w:pPr>
      <w:r w:rsidRPr="00736D2F">
        <w:rPr>
          <w:szCs w:val="22"/>
          <w:lang w:val="lt-LT"/>
        </w:rPr>
        <w:t xml:space="preserve">Koncentratas infuziniam tirpalui (sterilus koncentratas). </w:t>
      </w:r>
    </w:p>
    <w:p w14:paraId="432043FC" w14:textId="77777777" w:rsidR="00F24039" w:rsidRPr="00736D2F" w:rsidRDefault="00F24039" w:rsidP="00F24039">
      <w:pPr>
        <w:tabs>
          <w:tab w:val="center" w:pos="567"/>
        </w:tabs>
        <w:spacing w:line="240" w:lineRule="auto"/>
        <w:contextualSpacing/>
        <w:rPr>
          <w:szCs w:val="22"/>
          <w:lang w:val="lt-LT"/>
        </w:rPr>
      </w:pPr>
      <w:r w:rsidRPr="00736D2F">
        <w:rPr>
          <w:szCs w:val="22"/>
          <w:lang w:val="lt-LT"/>
        </w:rPr>
        <w:t>Koncentratas yra skaidrus</w:t>
      </w:r>
      <w:r w:rsidR="00F869FA">
        <w:rPr>
          <w:szCs w:val="22"/>
          <w:lang w:val="lt-LT"/>
        </w:rPr>
        <w:t>,</w:t>
      </w:r>
      <w:r w:rsidRPr="00736D2F">
        <w:rPr>
          <w:szCs w:val="22"/>
          <w:lang w:val="lt-LT"/>
        </w:rPr>
        <w:t xml:space="preserve"> šviesiai geltonas aliejinis tirpalas. </w:t>
      </w:r>
    </w:p>
    <w:p w14:paraId="47DCE6AD" w14:textId="77777777" w:rsidR="00F24039" w:rsidRPr="00736D2F" w:rsidRDefault="00F24039" w:rsidP="00F24039">
      <w:pPr>
        <w:tabs>
          <w:tab w:val="center" w:pos="567"/>
        </w:tabs>
        <w:spacing w:line="240" w:lineRule="auto"/>
        <w:contextualSpacing/>
        <w:rPr>
          <w:szCs w:val="22"/>
          <w:lang w:val="lt-LT"/>
        </w:rPr>
      </w:pPr>
    </w:p>
    <w:p w14:paraId="008A434F" w14:textId="77777777" w:rsidR="00F24039" w:rsidRPr="00736D2F" w:rsidRDefault="00F24039" w:rsidP="00F24039">
      <w:pPr>
        <w:rPr>
          <w:szCs w:val="22"/>
          <w:lang w:val="lt-LT"/>
        </w:rPr>
      </w:pPr>
    </w:p>
    <w:p w14:paraId="5344D39D" w14:textId="77777777" w:rsidR="00F24039" w:rsidRPr="00736D2F" w:rsidRDefault="00F24039" w:rsidP="00F24039">
      <w:pPr>
        <w:pStyle w:val="Antrat3"/>
        <w:spacing w:before="0" w:after="0" w:line="240" w:lineRule="auto"/>
        <w:rPr>
          <w:rFonts w:ascii="Times New Roman" w:hAnsi="Times New Roman"/>
          <w:sz w:val="22"/>
          <w:szCs w:val="22"/>
          <w:lang w:val="lt-LT"/>
        </w:rPr>
      </w:pPr>
      <w:r w:rsidRPr="00736D2F">
        <w:rPr>
          <w:rFonts w:ascii="Times New Roman" w:hAnsi="Times New Roman"/>
          <w:sz w:val="22"/>
          <w:szCs w:val="22"/>
          <w:lang w:val="lt-LT"/>
        </w:rPr>
        <w:t>4.</w:t>
      </w:r>
      <w:r w:rsidRPr="00736D2F">
        <w:rPr>
          <w:rFonts w:ascii="Times New Roman" w:hAnsi="Times New Roman"/>
          <w:sz w:val="22"/>
          <w:szCs w:val="22"/>
          <w:lang w:val="lt-LT"/>
        </w:rPr>
        <w:tab/>
        <w:t>KLINIKINĖ INFORMACIJA</w:t>
      </w:r>
    </w:p>
    <w:p w14:paraId="1277046F" w14:textId="77777777" w:rsidR="00F24039" w:rsidRPr="00736D2F" w:rsidRDefault="00F24039" w:rsidP="00F24039">
      <w:pPr>
        <w:rPr>
          <w:szCs w:val="22"/>
          <w:lang w:val="lt-LT"/>
        </w:rPr>
      </w:pPr>
    </w:p>
    <w:p w14:paraId="7AF1BF75"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4.1</w:t>
      </w:r>
      <w:r w:rsidRPr="00736D2F">
        <w:rPr>
          <w:rFonts w:ascii="Times New Roman" w:hAnsi="Times New Roman"/>
          <w:sz w:val="22"/>
          <w:szCs w:val="22"/>
          <w:lang w:val="lt-LT"/>
        </w:rPr>
        <w:tab/>
        <w:t>Terapinės indikacijos</w:t>
      </w:r>
    </w:p>
    <w:p w14:paraId="274AE0FE" w14:textId="77777777" w:rsidR="00F24039" w:rsidRPr="00736D2F" w:rsidRDefault="00F24039" w:rsidP="00F24039">
      <w:pPr>
        <w:rPr>
          <w:szCs w:val="22"/>
          <w:lang w:val="lt-LT"/>
        </w:rPr>
      </w:pPr>
    </w:p>
    <w:p w14:paraId="7EA642EA" w14:textId="152FB6B3" w:rsidR="00F24039" w:rsidRPr="00736D2F" w:rsidRDefault="00F24039" w:rsidP="00F24039">
      <w:pPr>
        <w:rPr>
          <w:szCs w:val="22"/>
          <w:lang w:val="lt-LT"/>
        </w:rPr>
      </w:pPr>
      <w:r w:rsidRPr="00736D2F">
        <w:rPr>
          <w:szCs w:val="22"/>
          <w:lang w:val="lt-LT"/>
        </w:rPr>
        <w:t xml:space="preserve">Cabazitaxel Teva </w:t>
      </w:r>
      <w:r w:rsidR="008D3DCC">
        <w:rPr>
          <w:szCs w:val="22"/>
          <w:lang w:val="lt-LT"/>
        </w:rPr>
        <w:t>derinyje</w:t>
      </w:r>
      <w:r w:rsidR="008D3DCC" w:rsidRPr="00736D2F">
        <w:rPr>
          <w:szCs w:val="22"/>
          <w:lang w:val="lt-LT"/>
        </w:rPr>
        <w:t xml:space="preserve"> </w:t>
      </w:r>
      <w:r w:rsidRPr="00736D2F">
        <w:rPr>
          <w:szCs w:val="22"/>
          <w:lang w:val="lt-LT"/>
        </w:rPr>
        <w:t xml:space="preserve">su prednizonu ar prednizolonu </w:t>
      </w:r>
      <w:r w:rsidR="00E277AD">
        <w:rPr>
          <w:szCs w:val="22"/>
          <w:lang w:val="lt-LT"/>
        </w:rPr>
        <w:t>skirtas suaugusių pacientų</w:t>
      </w:r>
      <w:r w:rsidR="007A5D47">
        <w:rPr>
          <w:szCs w:val="22"/>
          <w:lang w:val="lt-LT"/>
        </w:rPr>
        <w:t xml:space="preserve"> kastracijai atsparaus</w:t>
      </w:r>
      <w:r w:rsidR="00E277AD" w:rsidRPr="00736D2F">
        <w:rPr>
          <w:szCs w:val="22"/>
          <w:lang w:val="lt-LT"/>
        </w:rPr>
        <w:t xml:space="preserve"> </w:t>
      </w:r>
      <w:r w:rsidR="00786E8D">
        <w:rPr>
          <w:szCs w:val="22"/>
          <w:lang w:val="lt-LT"/>
        </w:rPr>
        <w:t>metastazavusio</w:t>
      </w:r>
      <w:r w:rsidR="00786E8D" w:rsidRPr="00736D2F" w:rsidDel="00E277AD">
        <w:rPr>
          <w:szCs w:val="22"/>
          <w:lang w:val="lt-LT"/>
        </w:rPr>
        <w:t xml:space="preserve"> </w:t>
      </w:r>
      <w:r w:rsidRPr="00736D2F">
        <w:rPr>
          <w:szCs w:val="22"/>
          <w:lang w:val="lt-LT"/>
        </w:rPr>
        <w:t>prostatos vėži</w:t>
      </w:r>
      <w:r w:rsidR="00E277AD">
        <w:rPr>
          <w:szCs w:val="22"/>
          <w:lang w:val="lt-LT"/>
        </w:rPr>
        <w:t>o</w:t>
      </w:r>
      <w:r w:rsidR="002C3D96">
        <w:rPr>
          <w:szCs w:val="22"/>
          <w:lang w:val="lt-LT"/>
        </w:rPr>
        <w:t xml:space="preserve"> </w:t>
      </w:r>
      <w:r w:rsidR="008D3DCC" w:rsidRPr="00736D2F">
        <w:rPr>
          <w:szCs w:val="22"/>
          <w:lang w:val="lt-LT"/>
        </w:rPr>
        <w:t>gydy</w:t>
      </w:r>
      <w:r w:rsidR="008D3DCC">
        <w:rPr>
          <w:szCs w:val="22"/>
          <w:lang w:val="lt-LT"/>
        </w:rPr>
        <w:t>mui</w:t>
      </w:r>
      <w:r w:rsidRPr="00736D2F">
        <w:rPr>
          <w:szCs w:val="22"/>
          <w:lang w:val="lt-LT"/>
        </w:rPr>
        <w:t xml:space="preserve">, </w:t>
      </w:r>
      <w:r w:rsidR="008D3DCC">
        <w:rPr>
          <w:szCs w:val="22"/>
          <w:lang w:val="lt-LT"/>
        </w:rPr>
        <w:t>kai</w:t>
      </w:r>
      <w:r w:rsidR="007A5D47">
        <w:rPr>
          <w:szCs w:val="22"/>
          <w:lang w:val="lt-LT"/>
        </w:rPr>
        <w:t xml:space="preserve"> </w:t>
      </w:r>
      <w:r w:rsidRPr="00736D2F">
        <w:rPr>
          <w:szCs w:val="22"/>
          <w:lang w:val="lt-LT"/>
        </w:rPr>
        <w:t xml:space="preserve">anksčiau </w:t>
      </w:r>
      <w:r w:rsidR="007A5D47">
        <w:rPr>
          <w:szCs w:val="22"/>
          <w:lang w:val="lt-LT"/>
        </w:rPr>
        <w:t xml:space="preserve">taikytas </w:t>
      </w:r>
      <w:r w:rsidRPr="00736D2F">
        <w:rPr>
          <w:szCs w:val="22"/>
          <w:lang w:val="lt-LT"/>
        </w:rPr>
        <w:t>gydy</w:t>
      </w:r>
      <w:r w:rsidR="007A5D47">
        <w:rPr>
          <w:szCs w:val="22"/>
          <w:lang w:val="lt-LT"/>
        </w:rPr>
        <w:t>mas</w:t>
      </w:r>
      <w:r w:rsidRPr="00736D2F">
        <w:rPr>
          <w:szCs w:val="22"/>
          <w:lang w:val="lt-LT"/>
        </w:rPr>
        <w:t xml:space="preserve"> pagal schemą, į kurią buvo įtrauktas docetakselis  (žr. 5.1 skyrių).</w:t>
      </w:r>
    </w:p>
    <w:p w14:paraId="4B62189F" w14:textId="77777777" w:rsidR="00F24039" w:rsidRPr="00736D2F" w:rsidRDefault="00F24039" w:rsidP="00F24039">
      <w:pPr>
        <w:rPr>
          <w:szCs w:val="22"/>
          <w:lang w:val="lt-LT"/>
        </w:rPr>
      </w:pPr>
    </w:p>
    <w:p w14:paraId="0D57714B" w14:textId="77777777" w:rsidR="00F24039" w:rsidRPr="00736D2F" w:rsidRDefault="00F24039" w:rsidP="00F24039">
      <w:pPr>
        <w:pStyle w:val="Antrat4"/>
        <w:jc w:val="left"/>
        <w:rPr>
          <w:rFonts w:ascii="Times New Roman" w:hAnsi="Times New Roman"/>
          <w:sz w:val="22"/>
          <w:szCs w:val="22"/>
          <w:lang w:val="lt-LT"/>
        </w:rPr>
      </w:pPr>
      <w:r w:rsidRPr="00736D2F">
        <w:rPr>
          <w:rFonts w:ascii="Times New Roman" w:hAnsi="Times New Roman"/>
          <w:sz w:val="22"/>
          <w:szCs w:val="22"/>
          <w:lang w:val="lt-LT"/>
        </w:rPr>
        <w:t>4.2</w:t>
      </w:r>
      <w:r w:rsidRPr="00736D2F">
        <w:rPr>
          <w:rFonts w:ascii="Times New Roman" w:hAnsi="Times New Roman"/>
          <w:sz w:val="22"/>
          <w:szCs w:val="22"/>
          <w:lang w:val="lt-LT"/>
        </w:rPr>
        <w:tab/>
        <w:t>Dozavimas ir vartojimo metodas</w:t>
      </w:r>
    </w:p>
    <w:p w14:paraId="6EA20271" w14:textId="77777777" w:rsidR="00F24039" w:rsidRPr="00736D2F" w:rsidRDefault="00F24039" w:rsidP="00F24039">
      <w:pPr>
        <w:tabs>
          <w:tab w:val="center" w:pos="567"/>
        </w:tabs>
        <w:spacing w:line="240" w:lineRule="auto"/>
        <w:rPr>
          <w:szCs w:val="22"/>
          <w:lang w:val="lt-LT"/>
        </w:rPr>
      </w:pPr>
    </w:p>
    <w:p w14:paraId="58448BBB" w14:textId="399D2134" w:rsidR="00F24039" w:rsidRPr="00736D2F" w:rsidRDefault="00F24039" w:rsidP="00F24039">
      <w:pPr>
        <w:tabs>
          <w:tab w:val="center" w:pos="567"/>
        </w:tabs>
        <w:spacing w:line="240" w:lineRule="auto"/>
        <w:rPr>
          <w:szCs w:val="22"/>
          <w:lang w:val="lt-LT"/>
        </w:rPr>
      </w:pPr>
      <w:r w:rsidRPr="00736D2F">
        <w:rPr>
          <w:szCs w:val="22"/>
          <w:lang w:val="lt-LT"/>
        </w:rPr>
        <w:t xml:space="preserve">Cabazitaxel Teva būtina </w:t>
      </w:r>
      <w:r w:rsidR="007A5D47">
        <w:rPr>
          <w:szCs w:val="22"/>
          <w:lang w:val="lt-LT"/>
        </w:rPr>
        <w:t>leist</w:t>
      </w:r>
      <w:r w:rsidR="007A5D47" w:rsidRPr="00736D2F">
        <w:rPr>
          <w:szCs w:val="22"/>
          <w:lang w:val="lt-LT"/>
        </w:rPr>
        <w:t xml:space="preserve">i </w:t>
      </w:r>
      <w:r w:rsidRPr="00736D2F">
        <w:rPr>
          <w:szCs w:val="22"/>
          <w:lang w:val="lt-LT"/>
        </w:rPr>
        <w:t xml:space="preserve">specializuotuose gydymo citotoksiniais </w:t>
      </w:r>
      <w:r w:rsidR="001F322F">
        <w:rPr>
          <w:szCs w:val="22"/>
          <w:lang w:val="lt-LT"/>
        </w:rPr>
        <w:t xml:space="preserve">vaistiniais </w:t>
      </w:r>
      <w:r w:rsidRPr="00736D2F">
        <w:rPr>
          <w:szCs w:val="22"/>
          <w:lang w:val="lt-LT"/>
        </w:rPr>
        <w:t xml:space="preserve">preparatais skyriuose ir tik prižiūrint gydytojui, turinčiam gydymo </w:t>
      </w:r>
      <w:r w:rsidR="001F322F">
        <w:rPr>
          <w:szCs w:val="22"/>
          <w:lang w:val="lt-LT"/>
        </w:rPr>
        <w:t>prieš</w:t>
      </w:r>
      <w:r w:rsidRPr="00736D2F">
        <w:rPr>
          <w:szCs w:val="22"/>
          <w:lang w:val="lt-LT"/>
        </w:rPr>
        <w:t xml:space="preserve">vėžiniais chemoterapiniais </w:t>
      </w:r>
      <w:r w:rsidR="001F322F">
        <w:rPr>
          <w:szCs w:val="22"/>
          <w:lang w:val="lt-LT"/>
        </w:rPr>
        <w:t xml:space="preserve">vaistiniais </w:t>
      </w:r>
      <w:r w:rsidRPr="00736D2F">
        <w:rPr>
          <w:szCs w:val="22"/>
          <w:lang w:val="lt-LT"/>
        </w:rPr>
        <w:t>preparatais patirties. Būtina turėti įrangos ir priemonių sunkiai padidėjusio jautrumo reakcijai, pvz., hipotenzij</w:t>
      </w:r>
      <w:r w:rsidR="001F322F">
        <w:rPr>
          <w:szCs w:val="22"/>
          <w:lang w:val="lt-LT"/>
        </w:rPr>
        <w:t>os</w:t>
      </w:r>
      <w:r w:rsidRPr="00736D2F">
        <w:rPr>
          <w:szCs w:val="22"/>
          <w:lang w:val="lt-LT"/>
        </w:rPr>
        <w:t xml:space="preserve"> ir bronchų spazm</w:t>
      </w:r>
      <w:r w:rsidR="001F322F">
        <w:rPr>
          <w:szCs w:val="22"/>
          <w:lang w:val="lt-LT"/>
        </w:rPr>
        <w:t>o</w:t>
      </w:r>
      <w:r w:rsidRPr="00736D2F">
        <w:rPr>
          <w:szCs w:val="22"/>
          <w:lang w:val="lt-LT"/>
        </w:rPr>
        <w:t>, gydy</w:t>
      </w:r>
      <w:r w:rsidR="001F322F">
        <w:rPr>
          <w:szCs w:val="22"/>
          <w:lang w:val="lt-LT"/>
        </w:rPr>
        <w:t>mui</w:t>
      </w:r>
      <w:r w:rsidRPr="00736D2F">
        <w:rPr>
          <w:szCs w:val="22"/>
          <w:lang w:val="lt-LT"/>
        </w:rPr>
        <w:t xml:space="preserve"> (žr. 4.4 skyrių). </w:t>
      </w:r>
    </w:p>
    <w:p w14:paraId="58B16750" w14:textId="77777777" w:rsidR="00F24039" w:rsidRPr="00736D2F" w:rsidRDefault="00F24039" w:rsidP="00F24039">
      <w:pPr>
        <w:tabs>
          <w:tab w:val="center" w:pos="567"/>
        </w:tabs>
        <w:spacing w:line="240" w:lineRule="auto"/>
        <w:rPr>
          <w:szCs w:val="22"/>
          <w:lang w:val="lt-LT"/>
        </w:rPr>
      </w:pPr>
    </w:p>
    <w:p w14:paraId="28D554DC" w14:textId="5C0F8854" w:rsidR="00F24039" w:rsidRPr="00736D2F" w:rsidRDefault="001F322F" w:rsidP="00F24039">
      <w:pPr>
        <w:tabs>
          <w:tab w:val="center" w:pos="567"/>
        </w:tabs>
        <w:spacing w:line="240" w:lineRule="auto"/>
        <w:rPr>
          <w:szCs w:val="22"/>
          <w:u w:val="single"/>
          <w:lang w:val="lt-LT"/>
        </w:rPr>
      </w:pPr>
      <w:r>
        <w:rPr>
          <w:szCs w:val="22"/>
          <w:u w:val="single"/>
          <w:lang w:val="lt-LT"/>
        </w:rPr>
        <w:t>Premedikacija</w:t>
      </w:r>
    </w:p>
    <w:p w14:paraId="1B254BDF" w14:textId="0BE84785" w:rsidR="00F24039" w:rsidRPr="00736D2F" w:rsidRDefault="00F24039" w:rsidP="00F24039">
      <w:pPr>
        <w:tabs>
          <w:tab w:val="center" w:pos="567"/>
        </w:tabs>
        <w:spacing w:line="240" w:lineRule="auto"/>
        <w:rPr>
          <w:szCs w:val="22"/>
          <w:lang w:val="lt-LT"/>
        </w:rPr>
      </w:pPr>
      <w:r w:rsidRPr="00736D2F">
        <w:rPr>
          <w:szCs w:val="22"/>
          <w:lang w:val="lt-LT"/>
        </w:rPr>
        <w:t xml:space="preserve">Rekomenduojamą </w:t>
      </w:r>
      <w:r w:rsidR="001F322F">
        <w:rPr>
          <w:szCs w:val="22"/>
          <w:lang w:val="lt-LT"/>
        </w:rPr>
        <w:t>premedikaciją</w:t>
      </w:r>
      <w:r w:rsidRPr="00736D2F">
        <w:rPr>
          <w:szCs w:val="22"/>
          <w:lang w:val="lt-LT"/>
        </w:rPr>
        <w:t xml:space="preserve"> būtina skirti likus mažiausiai 30</w:t>
      </w:r>
      <w:r w:rsidR="001F322F">
        <w:rPr>
          <w:szCs w:val="22"/>
          <w:lang w:val="lt-LT"/>
        </w:rPr>
        <w:t> </w:t>
      </w:r>
      <w:r w:rsidRPr="00736D2F">
        <w:rPr>
          <w:szCs w:val="22"/>
          <w:lang w:val="lt-LT"/>
        </w:rPr>
        <w:t xml:space="preserve">minučių iki kiekvienos Cabazitaxel Teva dozės </w:t>
      </w:r>
      <w:r w:rsidR="001F322F">
        <w:rPr>
          <w:szCs w:val="22"/>
          <w:lang w:val="lt-LT"/>
        </w:rPr>
        <w:t>suleidimo</w:t>
      </w:r>
      <w:r w:rsidRPr="00736D2F">
        <w:rPr>
          <w:szCs w:val="22"/>
          <w:lang w:val="lt-LT"/>
        </w:rPr>
        <w:t xml:space="preserve">. Į veną vartojama toliau išvardytų padidėjusio jautrumo reakcijų riziką ir sunkumą mažinančių vaistinių preparatų: </w:t>
      </w:r>
    </w:p>
    <w:p w14:paraId="00DC7C96" w14:textId="690C6359" w:rsidR="00F24039" w:rsidRPr="00736D2F" w:rsidRDefault="001F322F" w:rsidP="00F24039">
      <w:pPr>
        <w:pStyle w:val="Sraopastraipa"/>
        <w:numPr>
          <w:ilvl w:val="0"/>
          <w:numId w:val="7"/>
        </w:numPr>
        <w:tabs>
          <w:tab w:val="center" w:pos="567"/>
        </w:tabs>
        <w:spacing w:line="240" w:lineRule="auto"/>
        <w:ind w:left="567" w:hanging="567"/>
        <w:rPr>
          <w:szCs w:val="22"/>
          <w:lang w:val="lt-LT"/>
        </w:rPr>
      </w:pPr>
      <w:r w:rsidRPr="00736D2F">
        <w:rPr>
          <w:szCs w:val="22"/>
          <w:lang w:val="lt-LT"/>
        </w:rPr>
        <w:t>A</w:t>
      </w:r>
      <w:r w:rsidR="00F24039" w:rsidRPr="00736D2F">
        <w:rPr>
          <w:szCs w:val="22"/>
          <w:lang w:val="lt-LT"/>
        </w:rPr>
        <w:t>ntihistamininių</w:t>
      </w:r>
      <w:r>
        <w:rPr>
          <w:szCs w:val="22"/>
          <w:lang w:val="lt-LT"/>
        </w:rPr>
        <w:t xml:space="preserve"> vaistinių</w:t>
      </w:r>
      <w:r w:rsidR="00F24039" w:rsidRPr="00736D2F">
        <w:rPr>
          <w:szCs w:val="22"/>
          <w:lang w:val="lt-LT"/>
        </w:rPr>
        <w:t xml:space="preserve"> preparatų (5 mg dekschlorfeniramino ar 25 mg difenhidramino, ar ekvivalentiško vaist</w:t>
      </w:r>
      <w:r>
        <w:rPr>
          <w:szCs w:val="22"/>
          <w:lang w:val="lt-LT"/>
        </w:rPr>
        <w:t>inio preparato</w:t>
      </w:r>
      <w:r w:rsidR="00F24039" w:rsidRPr="00736D2F">
        <w:rPr>
          <w:szCs w:val="22"/>
          <w:lang w:val="lt-LT"/>
        </w:rPr>
        <w:t xml:space="preserve">); </w:t>
      </w:r>
    </w:p>
    <w:p w14:paraId="25A4406A" w14:textId="1B4C49B7" w:rsidR="00F24039" w:rsidRPr="00736D2F" w:rsidRDefault="00F24039" w:rsidP="00F24039">
      <w:pPr>
        <w:pStyle w:val="Sraopastraipa"/>
        <w:numPr>
          <w:ilvl w:val="0"/>
          <w:numId w:val="7"/>
        </w:numPr>
        <w:tabs>
          <w:tab w:val="center" w:pos="567"/>
        </w:tabs>
        <w:spacing w:line="240" w:lineRule="auto"/>
        <w:ind w:left="567" w:hanging="567"/>
        <w:rPr>
          <w:szCs w:val="22"/>
          <w:lang w:val="lt-LT"/>
        </w:rPr>
      </w:pPr>
      <w:r w:rsidRPr="00736D2F">
        <w:rPr>
          <w:szCs w:val="22"/>
          <w:lang w:val="lt-LT"/>
        </w:rPr>
        <w:t xml:space="preserve">kortikosteroido (8 mg deksametazono ar ekvivalentiško </w:t>
      </w:r>
      <w:r w:rsidR="001F322F" w:rsidRPr="00736D2F">
        <w:rPr>
          <w:szCs w:val="22"/>
          <w:lang w:val="lt-LT"/>
        </w:rPr>
        <w:t>vaist</w:t>
      </w:r>
      <w:r w:rsidR="001F322F">
        <w:rPr>
          <w:szCs w:val="22"/>
          <w:lang w:val="lt-LT"/>
        </w:rPr>
        <w:t>inio preparato</w:t>
      </w:r>
      <w:r w:rsidRPr="00736D2F">
        <w:rPr>
          <w:szCs w:val="22"/>
          <w:lang w:val="lt-LT"/>
        </w:rPr>
        <w:t xml:space="preserve">); </w:t>
      </w:r>
    </w:p>
    <w:p w14:paraId="2947E5A5" w14:textId="58B4B909" w:rsidR="00F24039" w:rsidRPr="00736D2F" w:rsidRDefault="00F24039" w:rsidP="00F24039">
      <w:pPr>
        <w:pStyle w:val="Sraopastraipa"/>
        <w:numPr>
          <w:ilvl w:val="0"/>
          <w:numId w:val="7"/>
        </w:numPr>
        <w:tabs>
          <w:tab w:val="center" w:pos="567"/>
        </w:tabs>
        <w:spacing w:line="240" w:lineRule="auto"/>
        <w:ind w:left="567" w:hanging="567"/>
        <w:rPr>
          <w:szCs w:val="22"/>
          <w:lang w:val="lt-LT"/>
        </w:rPr>
      </w:pPr>
      <w:r w:rsidRPr="00736D2F">
        <w:rPr>
          <w:szCs w:val="22"/>
          <w:lang w:val="lt-LT"/>
        </w:rPr>
        <w:t>H2 antagonisto (ranitidino ar ekvivalentiško vaist</w:t>
      </w:r>
      <w:r w:rsidR="001F322F">
        <w:rPr>
          <w:szCs w:val="22"/>
          <w:lang w:val="lt-LT"/>
        </w:rPr>
        <w:t>inio preparato</w:t>
      </w:r>
      <w:r w:rsidRPr="00736D2F">
        <w:rPr>
          <w:szCs w:val="22"/>
          <w:lang w:val="lt-LT"/>
        </w:rPr>
        <w:t xml:space="preserve">) (žr. 4.4 skyrių). </w:t>
      </w:r>
    </w:p>
    <w:p w14:paraId="4641C6B1" w14:textId="77777777" w:rsidR="00F24039" w:rsidRPr="00736D2F" w:rsidRDefault="00F24039" w:rsidP="00F24039">
      <w:pPr>
        <w:tabs>
          <w:tab w:val="center" w:pos="567"/>
        </w:tabs>
        <w:spacing w:line="240" w:lineRule="auto"/>
        <w:rPr>
          <w:szCs w:val="22"/>
          <w:lang w:val="lt-LT"/>
        </w:rPr>
      </w:pPr>
    </w:p>
    <w:p w14:paraId="64704B07" w14:textId="77777777" w:rsidR="00F24039" w:rsidRPr="00736D2F" w:rsidRDefault="00F24039" w:rsidP="00F24039">
      <w:pPr>
        <w:tabs>
          <w:tab w:val="center" w:pos="567"/>
        </w:tabs>
        <w:spacing w:line="240" w:lineRule="auto"/>
        <w:rPr>
          <w:szCs w:val="22"/>
          <w:lang w:val="lt-LT"/>
        </w:rPr>
      </w:pPr>
      <w:r w:rsidRPr="00736D2F">
        <w:rPr>
          <w:szCs w:val="22"/>
          <w:lang w:val="lt-LT"/>
        </w:rPr>
        <w:t xml:space="preserve">Rekomenduojama profilaktika antiemetikais, jų pagal poreikį galima vartoti per burną arba į veną. </w:t>
      </w:r>
    </w:p>
    <w:p w14:paraId="42FB4214" w14:textId="77777777" w:rsidR="00F24039" w:rsidRPr="00736D2F" w:rsidRDefault="00F24039" w:rsidP="00F24039">
      <w:pPr>
        <w:tabs>
          <w:tab w:val="center" w:pos="567"/>
        </w:tabs>
        <w:spacing w:line="240" w:lineRule="auto"/>
        <w:rPr>
          <w:szCs w:val="22"/>
          <w:lang w:val="lt-LT"/>
        </w:rPr>
      </w:pPr>
    </w:p>
    <w:p w14:paraId="3C22E0BE" w14:textId="282B7A05" w:rsidR="00F24039" w:rsidRPr="00736D2F" w:rsidRDefault="00F24039" w:rsidP="00F24039">
      <w:pPr>
        <w:tabs>
          <w:tab w:val="center" w:pos="567"/>
        </w:tabs>
        <w:spacing w:line="240" w:lineRule="auto"/>
        <w:rPr>
          <w:szCs w:val="22"/>
          <w:lang w:val="lt-LT"/>
        </w:rPr>
      </w:pPr>
      <w:r w:rsidRPr="00736D2F">
        <w:rPr>
          <w:szCs w:val="22"/>
          <w:lang w:val="lt-LT"/>
        </w:rPr>
        <w:t>Gydymo metu būtina užtikrinti reikiamą paciento hidraciją, siekiant išvengti tokių komplikacijų kaip inkstų nepakankamumas.</w:t>
      </w:r>
    </w:p>
    <w:p w14:paraId="2114ACF2" w14:textId="77777777" w:rsidR="00F24039" w:rsidRPr="00736D2F" w:rsidRDefault="00F24039" w:rsidP="00F24039">
      <w:pPr>
        <w:tabs>
          <w:tab w:val="center" w:pos="567"/>
        </w:tabs>
        <w:spacing w:line="240" w:lineRule="auto"/>
        <w:rPr>
          <w:szCs w:val="22"/>
          <w:lang w:val="lt-LT"/>
        </w:rPr>
      </w:pPr>
    </w:p>
    <w:p w14:paraId="313B842D" w14:textId="77777777" w:rsidR="00F24039" w:rsidRPr="00736D2F" w:rsidRDefault="00F24039" w:rsidP="00F24039">
      <w:pPr>
        <w:tabs>
          <w:tab w:val="center" w:pos="567"/>
        </w:tabs>
        <w:spacing w:line="240" w:lineRule="auto"/>
        <w:rPr>
          <w:szCs w:val="22"/>
          <w:u w:val="single"/>
          <w:lang w:val="lt-LT"/>
        </w:rPr>
      </w:pPr>
      <w:r w:rsidRPr="00736D2F">
        <w:rPr>
          <w:szCs w:val="22"/>
          <w:u w:val="single"/>
          <w:lang w:val="lt-LT"/>
        </w:rPr>
        <w:t xml:space="preserve">Dozavimas </w:t>
      </w:r>
    </w:p>
    <w:p w14:paraId="534A7808" w14:textId="1866D2BB" w:rsidR="00F24039" w:rsidRPr="00736D2F" w:rsidRDefault="00F24039" w:rsidP="00F24039">
      <w:pPr>
        <w:tabs>
          <w:tab w:val="center" w:pos="567"/>
        </w:tabs>
        <w:spacing w:line="240" w:lineRule="auto"/>
        <w:rPr>
          <w:szCs w:val="22"/>
          <w:lang w:val="lt-LT"/>
        </w:rPr>
      </w:pPr>
      <w:r w:rsidRPr="00736D2F">
        <w:rPr>
          <w:szCs w:val="22"/>
          <w:lang w:val="lt-LT"/>
        </w:rPr>
        <w:t>Rekomenduojama Cabazitaxel Teva dozė yra 25 mg/m</w:t>
      </w:r>
      <w:r w:rsidRPr="00736D2F">
        <w:rPr>
          <w:szCs w:val="22"/>
          <w:vertAlign w:val="superscript"/>
          <w:lang w:val="lt-LT"/>
        </w:rPr>
        <w:t>2</w:t>
      </w:r>
      <w:r w:rsidRPr="00736D2F">
        <w:rPr>
          <w:szCs w:val="22"/>
          <w:lang w:val="lt-LT"/>
        </w:rPr>
        <w:t xml:space="preserve">, ji </w:t>
      </w:r>
      <w:r w:rsidR="001F322F">
        <w:rPr>
          <w:szCs w:val="22"/>
          <w:lang w:val="lt-LT"/>
        </w:rPr>
        <w:t>leidžiama</w:t>
      </w:r>
      <w:r w:rsidR="001F322F" w:rsidRPr="00736D2F">
        <w:rPr>
          <w:szCs w:val="22"/>
          <w:lang w:val="lt-LT"/>
        </w:rPr>
        <w:t xml:space="preserve"> </w:t>
      </w:r>
      <w:r w:rsidRPr="00736D2F">
        <w:rPr>
          <w:szCs w:val="22"/>
          <w:lang w:val="lt-LT"/>
        </w:rPr>
        <w:t>į veną per 1</w:t>
      </w:r>
      <w:r w:rsidR="001F322F">
        <w:rPr>
          <w:szCs w:val="22"/>
          <w:lang w:val="lt-LT"/>
        </w:rPr>
        <w:t> </w:t>
      </w:r>
      <w:r w:rsidRPr="00736D2F">
        <w:rPr>
          <w:szCs w:val="22"/>
          <w:lang w:val="lt-LT"/>
        </w:rPr>
        <w:t xml:space="preserve">valandą kas 3 savaites, be to, gydymo metu kartu geriama 10 mg prednizono ar prednizolono paros dozė. </w:t>
      </w:r>
    </w:p>
    <w:p w14:paraId="6AEBA1E5" w14:textId="77777777" w:rsidR="00F24039" w:rsidRPr="00736D2F" w:rsidRDefault="00F24039" w:rsidP="00F24039">
      <w:pPr>
        <w:tabs>
          <w:tab w:val="center" w:pos="567"/>
        </w:tabs>
        <w:spacing w:line="240" w:lineRule="auto"/>
        <w:rPr>
          <w:szCs w:val="22"/>
          <w:lang w:val="lt-LT"/>
        </w:rPr>
      </w:pPr>
    </w:p>
    <w:p w14:paraId="6CAEC9F8" w14:textId="77777777" w:rsidR="00F24039" w:rsidRPr="00736D2F" w:rsidRDefault="00F24039" w:rsidP="00F24039">
      <w:pPr>
        <w:tabs>
          <w:tab w:val="center" w:pos="567"/>
        </w:tabs>
        <w:spacing w:line="240" w:lineRule="auto"/>
        <w:rPr>
          <w:i/>
          <w:szCs w:val="22"/>
          <w:lang w:val="lt-LT"/>
        </w:rPr>
      </w:pPr>
      <w:r w:rsidRPr="00736D2F">
        <w:rPr>
          <w:i/>
          <w:szCs w:val="22"/>
          <w:lang w:val="lt-LT"/>
        </w:rPr>
        <w:t xml:space="preserve">Dozės koregavimas </w:t>
      </w:r>
    </w:p>
    <w:p w14:paraId="088731FF" w14:textId="3BAF049C" w:rsidR="00F24039" w:rsidRPr="00736D2F" w:rsidRDefault="00F24039" w:rsidP="00F24039">
      <w:pPr>
        <w:tabs>
          <w:tab w:val="center" w:pos="567"/>
        </w:tabs>
        <w:spacing w:line="240" w:lineRule="auto"/>
        <w:rPr>
          <w:szCs w:val="22"/>
          <w:lang w:val="lt-LT"/>
        </w:rPr>
      </w:pPr>
      <w:r w:rsidRPr="00736D2F">
        <w:rPr>
          <w:szCs w:val="22"/>
          <w:lang w:val="lt-LT"/>
        </w:rPr>
        <w:t xml:space="preserve">Dozę reikia koreguoti tuo atveju, jei pacientui atsiranda toliau išvardytų nepageidaujamų reakcijų (laipsniai </w:t>
      </w:r>
      <w:r w:rsidRPr="00EE2D77">
        <w:rPr>
          <w:szCs w:val="22"/>
          <w:lang w:val="lt-LT"/>
        </w:rPr>
        <w:t>atitinka Bendruosius nepageidaujamų reiškinių termin</w:t>
      </w:r>
      <w:r w:rsidR="00EE2D77" w:rsidRPr="00894A0A">
        <w:rPr>
          <w:szCs w:val="22"/>
          <w:lang w:val="lt-LT"/>
        </w:rPr>
        <w:t>ologijos</w:t>
      </w:r>
      <w:r w:rsidRPr="00EE2D77">
        <w:rPr>
          <w:szCs w:val="22"/>
          <w:lang w:val="lt-LT"/>
        </w:rPr>
        <w:t xml:space="preserve"> kriterijus</w:t>
      </w:r>
      <w:r w:rsidRPr="00736D2F">
        <w:rPr>
          <w:szCs w:val="22"/>
          <w:lang w:val="lt-LT"/>
        </w:rPr>
        <w:t xml:space="preserve"> (</w:t>
      </w:r>
      <w:r w:rsidR="00AD2E3A">
        <w:rPr>
          <w:szCs w:val="22"/>
          <w:lang w:val="lt-LT"/>
        </w:rPr>
        <w:t xml:space="preserve">angl. </w:t>
      </w:r>
      <w:r w:rsidRPr="00736D2F">
        <w:rPr>
          <w:i/>
          <w:szCs w:val="22"/>
          <w:lang w:val="lt-LT"/>
        </w:rPr>
        <w:t>Common Terminology Criteria for Adverse Events, CTCAE 4.0</w:t>
      </w:r>
      <w:r w:rsidRPr="00736D2F">
        <w:rPr>
          <w:szCs w:val="22"/>
          <w:lang w:val="lt-LT"/>
        </w:rPr>
        <w:t xml:space="preserve">). </w:t>
      </w:r>
    </w:p>
    <w:p w14:paraId="4595C3B3" w14:textId="77777777" w:rsidR="00F24039" w:rsidRPr="00736D2F" w:rsidRDefault="00F24039" w:rsidP="00F24039">
      <w:pPr>
        <w:tabs>
          <w:tab w:val="center" w:pos="567"/>
        </w:tabs>
        <w:spacing w:line="240" w:lineRule="auto"/>
        <w:rPr>
          <w:szCs w:val="22"/>
          <w:lang w:val="lt-LT"/>
        </w:rPr>
      </w:pPr>
    </w:p>
    <w:p w14:paraId="1D818F7C" w14:textId="77777777" w:rsidR="00F24039" w:rsidRPr="00736D2F" w:rsidRDefault="00F24039" w:rsidP="00F24039">
      <w:pPr>
        <w:tabs>
          <w:tab w:val="center" w:pos="567"/>
        </w:tabs>
        <w:spacing w:line="240" w:lineRule="auto"/>
        <w:rPr>
          <w:szCs w:val="22"/>
          <w:lang w:val="lt-LT"/>
        </w:rPr>
      </w:pPr>
      <w:r w:rsidRPr="00736D2F">
        <w:rPr>
          <w:szCs w:val="22"/>
          <w:lang w:val="lt-LT"/>
        </w:rPr>
        <w:t>1 lentelė. Rekomenduojamas dozės keitimas kabazitakseliu gydomiems ligoniams atsiradus nepageidaujamų reakcijų</w:t>
      </w:r>
    </w:p>
    <w:p w14:paraId="0E6A3947" w14:textId="77777777" w:rsidR="00F24039" w:rsidRPr="00736D2F" w:rsidRDefault="00F24039" w:rsidP="00F24039">
      <w:pPr>
        <w:tabs>
          <w:tab w:val="center" w:pos="567"/>
        </w:tabs>
        <w:spacing w:line="240" w:lineRule="auto"/>
        <w:contextualSpacing/>
        <w:rPr>
          <w:szCs w:val="22"/>
          <w:lang w:val="lt-LT"/>
        </w:rPr>
      </w:pPr>
    </w:p>
    <w:tbl>
      <w:tblPr>
        <w:tblW w:w="9131" w:type="dxa"/>
        <w:tblInd w:w="5" w:type="dxa"/>
        <w:tblLayout w:type="fixed"/>
        <w:tblCellMar>
          <w:left w:w="0" w:type="dxa"/>
          <w:right w:w="0" w:type="dxa"/>
        </w:tblCellMar>
        <w:tblLook w:val="01E0" w:firstRow="1" w:lastRow="1" w:firstColumn="1" w:lastColumn="1" w:noHBand="0" w:noVBand="0"/>
      </w:tblPr>
      <w:tblGrid>
        <w:gridCol w:w="4634"/>
        <w:gridCol w:w="4497"/>
      </w:tblGrid>
      <w:tr w:rsidR="00F24039" w:rsidRPr="00736D2F" w14:paraId="1141AF23" w14:textId="77777777" w:rsidTr="00163693">
        <w:trPr>
          <w:trHeight w:hRule="exact" w:val="509"/>
        </w:trPr>
        <w:tc>
          <w:tcPr>
            <w:tcW w:w="4634" w:type="dxa"/>
            <w:tcBorders>
              <w:top w:val="single" w:sz="4" w:space="0" w:color="000000"/>
              <w:left w:val="single" w:sz="4" w:space="0" w:color="000000"/>
              <w:bottom w:val="single" w:sz="4" w:space="0" w:color="000000"/>
              <w:right w:val="single" w:sz="4" w:space="0" w:color="000000"/>
            </w:tcBorders>
            <w:vAlign w:val="center"/>
          </w:tcPr>
          <w:p w14:paraId="1C24193C" w14:textId="77777777" w:rsidR="00F24039" w:rsidRPr="00736D2F" w:rsidRDefault="00F24039" w:rsidP="00163693">
            <w:pPr>
              <w:tabs>
                <w:tab w:val="center" w:pos="567"/>
              </w:tabs>
              <w:spacing w:line="240" w:lineRule="auto"/>
              <w:contextualSpacing/>
              <w:jc w:val="center"/>
              <w:rPr>
                <w:b/>
                <w:szCs w:val="22"/>
                <w:lang w:val="lt-LT"/>
              </w:rPr>
            </w:pPr>
            <w:r w:rsidRPr="00736D2F">
              <w:rPr>
                <w:b/>
                <w:szCs w:val="22"/>
                <w:lang w:val="lt-LT"/>
              </w:rPr>
              <w:t>Nepageidaujamos reakcijos</w:t>
            </w:r>
          </w:p>
        </w:tc>
        <w:tc>
          <w:tcPr>
            <w:tcW w:w="4497" w:type="dxa"/>
            <w:tcBorders>
              <w:top w:val="single" w:sz="4" w:space="0" w:color="000000"/>
              <w:left w:val="single" w:sz="4" w:space="0" w:color="000000"/>
              <w:bottom w:val="single" w:sz="4" w:space="0" w:color="000000"/>
              <w:right w:val="single" w:sz="4" w:space="0" w:color="000000"/>
            </w:tcBorders>
            <w:vAlign w:val="center"/>
          </w:tcPr>
          <w:p w14:paraId="2FE8CE5E" w14:textId="77777777" w:rsidR="00F24039" w:rsidRPr="00736D2F" w:rsidRDefault="00F24039" w:rsidP="00163693">
            <w:pPr>
              <w:tabs>
                <w:tab w:val="center" w:pos="567"/>
              </w:tabs>
              <w:spacing w:line="240" w:lineRule="auto"/>
              <w:ind w:right="-20"/>
              <w:contextualSpacing/>
              <w:jc w:val="center"/>
              <w:rPr>
                <w:szCs w:val="22"/>
                <w:lang w:val="lt-LT"/>
              </w:rPr>
            </w:pPr>
            <w:r w:rsidRPr="00736D2F">
              <w:rPr>
                <w:b/>
                <w:szCs w:val="22"/>
                <w:lang w:val="lt-LT"/>
              </w:rPr>
              <w:t>Dozės keitimas</w:t>
            </w:r>
          </w:p>
        </w:tc>
      </w:tr>
      <w:tr w:rsidR="00F24039" w:rsidRPr="00736D2F" w14:paraId="2CBF33B3" w14:textId="77777777" w:rsidTr="00163693">
        <w:trPr>
          <w:trHeight w:hRule="exact" w:val="775"/>
        </w:trPr>
        <w:tc>
          <w:tcPr>
            <w:tcW w:w="4634" w:type="dxa"/>
            <w:tcBorders>
              <w:top w:val="single" w:sz="4" w:space="0" w:color="000000"/>
              <w:left w:val="single" w:sz="4" w:space="0" w:color="000000"/>
              <w:bottom w:val="single" w:sz="4" w:space="0" w:color="000000"/>
              <w:right w:val="single" w:sz="4" w:space="0" w:color="000000"/>
            </w:tcBorders>
          </w:tcPr>
          <w:p w14:paraId="1FE89407" w14:textId="4450A2BF" w:rsidR="00F24039" w:rsidRPr="00736D2F" w:rsidRDefault="00F24039" w:rsidP="00163693">
            <w:pPr>
              <w:tabs>
                <w:tab w:val="center" w:pos="567"/>
              </w:tabs>
              <w:spacing w:line="240" w:lineRule="auto"/>
              <w:ind w:left="142" w:right="-20"/>
              <w:contextualSpacing/>
              <w:rPr>
                <w:szCs w:val="22"/>
                <w:lang w:val="lt-LT"/>
              </w:rPr>
            </w:pPr>
            <w:r w:rsidRPr="00736D2F">
              <w:rPr>
                <w:szCs w:val="22"/>
                <w:lang w:val="lt-LT"/>
              </w:rPr>
              <w:t>Ilgalaikė ≥3 laipsnio neutropenija (ilgiau kaip 1</w:t>
            </w:r>
            <w:r w:rsidR="00AD2E3A">
              <w:rPr>
                <w:szCs w:val="22"/>
                <w:lang w:val="lt-LT"/>
              </w:rPr>
              <w:t> </w:t>
            </w:r>
            <w:r w:rsidRPr="00736D2F">
              <w:rPr>
                <w:szCs w:val="22"/>
                <w:lang w:val="lt-LT"/>
              </w:rPr>
              <w:t>savaitė), nepaisant tinkamo gydymo, įskaitant G-KSF</w:t>
            </w:r>
            <w:r w:rsidR="00137ECC">
              <w:rPr>
                <w:szCs w:val="22"/>
                <w:lang w:val="lt-LT"/>
              </w:rPr>
              <w:t>.</w:t>
            </w:r>
          </w:p>
        </w:tc>
        <w:tc>
          <w:tcPr>
            <w:tcW w:w="4497" w:type="dxa"/>
            <w:tcBorders>
              <w:top w:val="single" w:sz="4" w:space="0" w:color="000000"/>
              <w:left w:val="single" w:sz="4" w:space="0" w:color="000000"/>
              <w:bottom w:val="single" w:sz="4" w:space="0" w:color="000000"/>
              <w:right w:val="single" w:sz="4" w:space="0" w:color="000000"/>
            </w:tcBorders>
          </w:tcPr>
          <w:p w14:paraId="3883A0DE" w14:textId="2842CC54" w:rsidR="00F24039" w:rsidRPr="00736D2F" w:rsidRDefault="00F24039" w:rsidP="00022E22">
            <w:pPr>
              <w:tabs>
                <w:tab w:val="center" w:pos="567"/>
              </w:tabs>
              <w:spacing w:line="240" w:lineRule="auto"/>
              <w:ind w:left="142" w:right="-20"/>
              <w:contextualSpacing/>
              <w:rPr>
                <w:szCs w:val="22"/>
                <w:lang w:val="lt-LT"/>
              </w:rPr>
            </w:pPr>
            <w:r w:rsidRPr="00736D2F">
              <w:rPr>
                <w:szCs w:val="22"/>
                <w:lang w:val="lt-LT"/>
              </w:rPr>
              <w:t xml:space="preserve">Gydymą atidėti, kol neutrofilų </w:t>
            </w:r>
            <w:r w:rsidR="00022E22">
              <w:rPr>
                <w:szCs w:val="22"/>
                <w:lang w:val="lt-LT"/>
              </w:rPr>
              <w:t>skaičius</w:t>
            </w:r>
            <w:r w:rsidR="00022E22" w:rsidRPr="00736D2F">
              <w:rPr>
                <w:szCs w:val="22"/>
                <w:lang w:val="lt-LT"/>
              </w:rPr>
              <w:t xml:space="preserve"> </w:t>
            </w:r>
            <w:r w:rsidRPr="00736D2F">
              <w:rPr>
                <w:szCs w:val="22"/>
                <w:lang w:val="lt-LT"/>
              </w:rPr>
              <w:t>taps &gt;1</w:t>
            </w:r>
            <w:r w:rsidR="00AD2E3A">
              <w:rPr>
                <w:szCs w:val="22"/>
                <w:lang w:val="lt-LT"/>
              </w:rPr>
              <w:t> </w:t>
            </w:r>
            <w:r w:rsidRPr="00736D2F">
              <w:rPr>
                <w:szCs w:val="22"/>
                <w:lang w:val="lt-LT"/>
              </w:rPr>
              <w:t>500</w:t>
            </w:r>
            <w:r w:rsidR="00AD2E3A">
              <w:rPr>
                <w:szCs w:val="22"/>
                <w:lang w:val="lt-LT"/>
              </w:rPr>
              <w:t> </w:t>
            </w:r>
            <w:r w:rsidRPr="00736D2F">
              <w:rPr>
                <w:szCs w:val="22"/>
                <w:lang w:val="lt-LT"/>
              </w:rPr>
              <w:t>ląstelių/mm</w:t>
            </w:r>
            <w:r w:rsidRPr="00736D2F">
              <w:rPr>
                <w:szCs w:val="22"/>
                <w:vertAlign w:val="superscript"/>
                <w:lang w:val="lt-LT"/>
              </w:rPr>
              <w:t>3</w:t>
            </w:r>
            <w:r w:rsidRPr="00736D2F">
              <w:rPr>
                <w:szCs w:val="22"/>
                <w:lang w:val="lt-LT"/>
              </w:rPr>
              <w:t>, tada kabazitakselio dozę sumažinti nuo 25 mg/m</w:t>
            </w:r>
            <w:r w:rsidRPr="00736D2F">
              <w:rPr>
                <w:szCs w:val="22"/>
                <w:vertAlign w:val="superscript"/>
                <w:lang w:val="lt-LT"/>
              </w:rPr>
              <w:t>2</w:t>
            </w:r>
            <w:r w:rsidRPr="00736D2F">
              <w:rPr>
                <w:szCs w:val="22"/>
                <w:lang w:val="lt-LT"/>
              </w:rPr>
              <w:t xml:space="preserve"> iki 20 mg/m</w:t>
            </w:r>
            <w:r w:rsidRPr="00736D2F">
              <w:rPr>
                <w:szCs w:val="22"/>
                <w:vertAlign w:val="superscript"/>
                <w:lang w:val="lt-LT"/>
              </w:rPr>
              <w:t>2</w:t>
            </w:r>
            <w:r w:rsidRPr="00736D2F">
              <w:rPr>
                <w:szCs w:val="22"/>
                <w:lang w:val="lt-LT"/>
              </w:rPr>
              <w:t xml:space="preserve"> .</w:t>
            </w:r>
          </w:p>
        </w:tc>
      </w:tr>
      <w:tr w:rsidR="00F24039" w:rsidRPr="00736D2F" w14:paraId="20D4FED8" w14:textId="77777777" w:rsidTr="00163693">
        <w:trPr>
          <w:trHeight w:hRule="exact" w:val="1140"/>
        </w:trPr>
        <w:tc>
          <w:tcPr>
            <w:tcW w:w="4634" w:type="dxa"/>
            <w:tcBorders>
              <w:top w:val="single" w:sz="4" w:space="0" w:color="000000"/>
              <w:left w:val="single" w:sz="4" w:space="0" w:color="000000"/>
              <w:bottom w:val="single" w:sz="4" w:space="0" w:color="000000"/>
              <w:right w:val="single" w:sz="4" w:space="0" w:color="000000"/>
            </w:tcBorders>
          </w:tcPr>
          <w:p w14:paraId="3E2F25B5" w14:textId="77777777" w:rsidR="00F24039" w:rsidRPr="00736D2F" w:rsidRDefault="00F24039" w:rsidP="00163693">
            <w:pPr>
              <w:tabs>
                <w:tab w:val="center" w:pos="567"/>
              </w:tabs>
              <w:spacing w:line="240" w:lineRule="auto"/>
              <w:ind w:left="142" w:right="-20"/>
              <w:contextualSpacing/>
              <w:rPr>
                <w:szCs w:val="22"/>
                <w:lang w:val="lt-LT"/>
              </w:rPr>
            </w:pPr>
            <w:r w:rsidRPr="00736D2F">
              <w:rPr>
                <w:szCs w:val="22"/>
                <w:lang w:val="lt-LT"/>
              </w:rPr>
              <w:t>Febrili</w:t>
            </w:r>
            <w:r w:rsidR="00AD2E3A">
              <w:rPr>
                <w:szCs w:val="22"/>
                <w:lang w:val="lt-LT"/>
              </w:rPr>
              <w:t>nė</w:t>
            </w:r>
            <w:r w:rsidRPr="00736D2F">
              <w:rPr>
                <w:szCs w:val="22"/>
                <w:lang w:val="lt-LT"/>
              </w:rPr>
              <w:t xml:space="preserve"> neutropenija ar neutropeninė infekcija</w:t>
            </w:r>
            <w:r w:rsidR="00137ECC">
              <w:rPr>
                <w:szCs w:val="22"/>
                <w:lang w:val="lt-LT"/>
              </w:rPr>
              <w:t>.</w:t>
            </w:r>
          </w:p>
        </w:tc>
        <w:tc>
          <w:tcPr>
            <w:tcW w:w="4497" w:type="dxa"/>
            <w:tcBorders>
              <w:top w:val="single" w:sz="4" w:space="0" w:color="000000"/>
              <w:left w:val="single" w:sz="4" w:space="0" w:color="000000"/>
              <w:bottom w:val="single" w:sz="4" w:space="0" w:color="000000"/>
              <w:right w:val="single" w:sz="4" w:space="0" w:color="000000"/>
            </w:tcBorders>
          </w:tcPr>
          <w:p w14:paraId="31C655C4" w14:textId="0E4BDE3A" w:rsidR="00F24039" w:rsidRPr="00137ECC" w:rsidRDefault="00F24039" w:rsidP="00022E22">
            <w:pPr>
              <w:tabs>
                <w:tab w:val="center" w:pos="567"/>
              </w:tabs>
              <w:spacing w:line="240" w:lineRule="auto"/>
              <w:ind w:left="142" w:right="227"/>
              <w:contextualSpacing/>
              <w:rPr>
                <w:szCs w:val="22"/>
                <w:lang w:val="lt-LT"/>
              </w:rPr>
            </w:pPr>
            <w:r w:rsidRPr="00736D2F">
              <w:rPr>
                <w:szCs w:val="22"/>
                <w:lang w:val="lt-LT"/>
              </w:rPr>
              <w:t xml:space="preserve">Gydymą atidėti, kol sutrikimas sumažės ar išnyks ir neutrofilų </w:t>
            </w:r>
            <w:r w:rsidR="00022E22">
              <w:rPr>
                <w:szCs w:val="22"/>
                <w:lang w:val="lt-LT"/>
              </w:rPr>
              <w:t>skaičius</w:t>
            </w:r>
            <w:r w:rsidR="00022E22" w:rsidRPr="00736D2F">
              <w:rPr>
                <w:szCs w:val="22"/>
                <w:lang w:val="lt-LT"/>
              </w:rPr>
              <w:t xml:space="preserve"> </w:t>
            </w:r>
            <w:r w:rsidRPr="00736D2F">
              <w:rPr>
                <w:szCs w:val="22"/>
                <w:lang w:val="lt-LT"/>
              </w:rPr>
              <w:t>taps &gt;1</w:t>
            </w:r>
            <w:r w:rsidR="00AD2E3A">
              <w:rPr>
                <w:szCs w:val="22"/>
                <w:lang w:val="lt-LT"/>
              </w:rPr>
              <w:t> </w:t>
            </w:r>
            <w:r w:rsidRPr="00736D2F">
              <w:rPr>
                <w:szCs w:val="22"/>
                <w:lang w:val="lt-LT"/>
              </w:rPr>
              <w:t>500</w:t>
            </w:r>
            <w:r w:rsidR="00AD2E3A">
              <w:rPr>
                <w:szCs w:val="22"/>
                <w:lang w:val="lt-LT"/>
              </w:rPr>
              <w:t> </w:t>
            </w:r>
            <w:r w:rsidRPr="00736D2F">
              <w:rPr>
                <w:szCs w:val="22"/>
                <w:lang w:val="lt-LT"/>
              </w:rPr>
              <w:t>ląstelių/mm</w:t>
            </w:r>
            <w:r w:rsidRPr="00736D2F">
              <w:rPr>
                <w:szCs w:val="22"/>
                <w:vertAlign w:val="superscript"/>
                <w:lang w:val="lt-LT"/>
              </w:rPr>
              <w:t>3</w:t>
            </w:r>
            <w:r w:rsidRPr="00736D2F">
              <w:rPr>
                <w:szCs w:val="22"/>
                <w:lang w:val="lt-LT"/>
              </w:rPr>
              <w:t>, tada kabazitakselio dozę sumažinti nuo 25 mg/m</w:t>
            </w:r>
            <w:r w:rsidRPr="00736D2F">
              <w:rPr>
                <w:szCs w:val="22"/>
                <w:vertAlign w:val="superscript"/>
                <w:lang w:val="lt-LT"/>
              </w:rPr>
              <w:t>2</w:t>
            </w:r>
            <w:r w:rsidRPr="00736D2F">
              <w:rPr>
                <w:szCs w:val="22"/>
                <w:lang w:val="lt-LT"/>
              </w:rPr>
              <w:t xml:space="preserve"> iki 20  mg/m</w:t>
            </w:r>
            <w:r w:rsidRPr="00736D2F">
              <w:rPr>
                <w:szCs w:val="22"/>
                <w:vertAlign w:val="superscript"/>
                <w:lang w:val="lt-LT"/>
              </w:rPr>
              <w:t>2</w:t>
            </w:r>
            <w:r w:rsidR="00137ECC">
              <w:rPr>
                <w:szCs w:val="22"/>
                <w:lang w:val="lt-LT"/>
              </w:rPr>
              <w:t>.</w:t>
            </w:r>
          </w:p>
        </w:tc>
      </w:tr>
      <w:tr w:rsidR="00F24039" w:rsidRPr="00736D2F" w14:paraId="448A9C36" w14:textId="77777777" w:rsidTr="00163693">
        <w:trPr>
          <w:trHeight w:hRule="exact" w:val="844"/>
        </w:trPr>
        <w:tc>
          <w:tcPr>
            <w:tcW w:w="4634" w:type="dxa"/>
            <w:tcBorders>
              <w:top w:val="single" w:sz="4" w:space="0" w:color="000000"/>
              <w:left w:val="single" w:sz="4" w:space="0" w:color="000000"/>
              <w:bottom w:val="single" w:sz="4" w:space="0" w:color="000000"/>
              <w:right w:val="single" w:sz="4" w:space="0" w:color="000000"/>
            </w:tcBorders>
          </w:tcPr>
          <w:p w14:paraId="2641789D" w14:textId="0F991EA1" w:rsidR="00F24039" w:rsidRPr="00736D2F" w:rsidRDefault="00F24039" w:rsidP="00163693">
            <w:pPr>
              <w:tabs>
                <w:tab w:val="center" w:pos="567"/>
              </w:tabs>
              <w:spacing w:line="240" w:lineRule="auto"/>
              <w:ind w:left="142" w:right="98"/>
              <w:contextualSpacing/>
              <w:rPr>
                <w:szCs w:val="22"/>
                <w:lang w:val="lt-LT"/>
              </w:rPr>
            </w:pPr>
            <w:r w:rsidRPr="00736D2F">
              <w:rPr>
                <w:szCs w:val="22"/>
                <w:lang w:val="lt-LT"/>
              </w:rPr>
              <w:t>≥ 3</w:t>
            </w:r>
            <w:r w:rsidR="00AD2E3A">
              <w:rPr>
                <w:szCs w:val="22"/>
                <w:lang w:val="lt-LT"/>
              </w:rPr>
              <w:t> </w:t>
            </w:r>
            <w:r w:rsidRPr="00736D2F">
              <w:rPr>
                <w:szCs w:val="22"/>
                <w:lang w:val="lt-LT"/>
              </w:rPr>
              <w:t>laipsnio viduriavimas ar išliekantis viduriavimas, nepaisant tinkamo gydymo, įskaitant skysčių ir elektrolitų papildymą.</w:t>
            </w:r>
          </w:p>
        </w:tc>
        <w:tc>
          <w:tcPr>
            <w:tcW w:w="4497" w:type="dxa"/>
            <w:tcBorders>
              <w:top w:val="single" w:sz="4" w:space="0" w:color="000000"/>
              <w:left w:val="single" w:sz="4" w:space="0" w:color="000000"/>
              <w:bottom w:val="single" w:sz="4" w:space="0" w:color="000000"/>
              <w:right w:val="single" w:sz="4" w:space="0" w:color="000000"/>
            </w:tcBorders>
          </w:tcPr>
          <w:p w14:paraId="38BCF833" w14:textId="77777777" w:rsidR="00F24039" w:rsidRPr="00137ECC" w:rsidRDefault="00F24039" w:rsidP="00163693">
            <w:pPr>
              <w:tabs>
                <w:tab w:val="center" w:pos="567"/>
              </w:tabs>
              <w:spacing w:line="240" w:lineRule="auto"/>
              <w:ind w:left="142" w:right="-20"/>
              <w:contextualSpacing/>
              <w:rPr>
                <w:szCs w:val="22"/>
                <w:lang w:val="lt-LT"/>
              </w:rPr>
            </w:pPr>
            <w:r w:rsidRPr="00736D2F">
              <w:rPr>
                <w:szCs w:val="22"/>
                <w:lang w:val="lt-LT"/>
              </w:rPr>
              <w:t>Gydymą atidėti, kol sutrikimas sumažės ar išnyks, tada kabazitakselio dozę sumažinti nuo 25 mg/m</w:t>
            </w:r>
            <w:r w:rsidRPr="00736D2F">
              <w:rPr>
                <w:szCs w:val="22"/>
                <w:vertAlign w:val="superscript"/>
                <w:lang w:val="lt-LT"/>
              </w:rPr>
              <w:t>2</w:t>
            </w:r>
            <w:r w:rsidRPr="00736D2F">
              <w:rPr>
                <w:szCs w:val="22"/>
                <w:lang w:val="lt-LT"/>
              </w:rPr>
              <w:t xml:space="preserve"> iki 20 mg/m</w:t>
            </w:r>
            <w:r w:rsidRPr="00736D2F">
              <w:rPr>
                <w:szCs w:val="22"/>
                <w:vertAlign w:val="superscript"/>
                <w:lang w:val="lt-LT"/>
              </w:rPr>
              <w:t>2</w:t>
            </w:r>
            <w:r w:rsidR="00137ECC">
              <w:rPr>
                <w:szCs w:val="22"/>
                <w:lang w:val="lt-LT"/>
              </w:rPr>
              <w:t>.</w:t>
            </w:r>
          </w:p>
        </w:tc>
      </w:tr>
      <w:tr w:rsidR="00F24039" w:rsidRPr="00736D2F" w14:paraId="4B160B40" w14:textId="77777777" w:rsidTr="00163693">
        <w:trPr>
          <w:trHeight w:hRule="exact" w:val="908"/>
        </w:trPr>
        <w:tc>
          <w:tcPr>
            <w:tcW w:w="4634" w:type="dxa"/>
            <w:tcBorders>
              <w:top w:val="single" w:sz="4" w:space="0" w:color="000000"/>
              <w:left w:val="single" w:sz="4" w:space="0" w:color="000000"/>
              <w:bottom w:val="single" w:sz="4" w:space="0" w:color="000000"/>
              <w:right w:val="single" w:sz="4" w:space="0" w:color="000000"/>
            </w:tcBorders>
          </w:tcPr>
          <w:p w14:paraId="14979BBC" w14:textId="0038CBE0" w:rsidR="00F24039" w:rsidRPr="00736D2F" w:rsidRDefault="00F24039" w:rsidP="00163693">
            <w:pPr>
              <w:tabs>
                <w:tab w:val="center" w:pos="567"/>
              </w:tabs>
              <w:spacing w:line="240" w:lineRule="auto"/>
              <w:ind w:left="142" w:right="-20"/>
              <w:contextualSpacing/>
              <w:rPr>
                <w:szCs w:val="22"/>
                <w:lang w:val="lt-LT"/>
              </w:rPr>
            </w:pPr>
            <w:r w:rsidRPr="00736D2F">
              <w:rPr>
                <w:szCs w:val="22"/>
                <w:lang w:val="lt-LT"/>
              </w:rPr>
              <w:t>&gt; 2</w:t>
            </w:r>
            <w:r w:rsidR="00AD2E3A">
              <w:rPr>
                <w:szCs w:val="22"/>
                <w:lang w:val="lt-LT"/>
              </w:rPr>
              <w:t> </w:t>
            </w:r>
            <w:r w:rsidRPr="00736D2F">
              <w:rPr>
                <w:szCs w:val="22"/>
                <w:lang w:val="lt-LT"/>
              </w:rPr>
              <w:t>laipsnio periferinė neuropatija</w:t>
            </w:r>
            <w:r w:rsidR="00137ECC">
              <w:rPr>
                <w:szCs w:val="22"/>
                <w:lang w:val="lt-LT"/>
              </w:rPr>
              <w:t>.</w:t>
            </w:r>
          </w:p>
        </w:tc>
        <w:tc>
          <w:tcPr>
            <w:tcW w:w="4497" w:type="dxa"/>
            <w:tcBorders>
              <w:top w:val="single" w:sz="4" w:space="0" w:color="000000"/>
              <w:left w:val="single" w:sz="4" w:space="0" w:color="000000"/>
              <w:bottom w:val="single" w:sz="4" w:space="0" w:color="000000"/>
              <w:right w:val="single" w:sz="4" w:space="0" w:color="000000"/>
            </w:tcBorders>
          </w:tcPr>
          <w:p w14:paraId="173E4627" w14:textId="77777777" w:rsidR="00F24039" w:rsidRPr="00137ECC" w:rsidRDefault="00F24039" w:rsidP="00163693">
            <w:pPr>
              <w:tabs>
                <w:tab w:val="center" w:pos="567"/>
              </w:tabs>
              <w:spacing w:line="240" w:lineRule="auto"/>
              <w:ind w:left="142" w:right="-20"/>
              <w:contextualSpacing/>
              <w:rPr>
                <w:szCs w:val="22"/>
                <w:lang w:val="lt-LT"/>
              </w:rPr>
            </w:pPr>
            <w:r w:rsidRPr="00736D2F">
              <w:rPr>
                <w:szCs w:val="22"/>
                <w:lang w:val="lt-LT"/>
              </w:rPr>
              <w:t>Gydymą atidėti, kol sutrikimas sumažės, tada kabazitakselio dozę sumažinti nuo 25 mg/m</w:t>
            </w:r>
            <w:r w:rsidRPr="00137ECC">
              <w:rPr>
                <w:szCs w:val="22"/>
                <w:vertAlign w:val="superscript"/>
                <w:lang w:val="lt-LT"/>
              </w:rPr>
              <w:t>2</w:t>
            </w:r>
            <w:r w:rsidRPr="00736D2F">
              <w:rPr>
                <w:szCs w:val="22"/>
                <w:lang w:val="lt-LT"/>
              </w:rPr>
              <w:t xml:space="preserve"> iki 20 mg/m</w:t>
            </w:r>
            <w:r w:rsidRPr="00736D2F">
              <w:rPr>
                <w:szCs w:val="22"/>
                <w:vertAlign w:val="superscript"/>
                <w:lang w:val="lt-LT"/>
              </w:rPr>
              <w:t>2</w:t>
            </w:r>
            <w:r w:rsidR="00137ECC">
              <w:rPr>
                <w:szCs w:val="22"/>
                <w:lang w:val="lt-LT"/>
              </w:rPr>
              <w:t>.</w:t>
            </w:r>
          </w:p>
        </w:tc>
      </w:tr>
    </w:tbl>
    <w:p w14:paraId="27BA8239" w14:textId="77777777" w:rsidR="00F24039" w:rsidRPr="00736D2F" w:rsidRDefault="00F24039" w:rsidP="00F24039">
      <w:pPr>
        <w:rPr>
          <w:szCs w:val="22"/>
          <w:lang w:val="lt-LT"/>
        </w:rPr>
      </w:pPr>
    </w:p>
    <w:p w14:paraId="392294BB" w14:textId="77777777" w:rsidR="00F24039" w:rsidRPr="00736D2F" w:rsidRDefault="00F24039" w:rsidP="00F24039">
      <w:pPr>
        <w:rPr>
          <w:szCs w:val="22"/>
          <w:lang w:val="lt-LT"/>
        </w:rPr>
      </w:pPr>
      <w:r w:rsidRPr="00736D2F">
        <w:rPr>
          <w:szCs w:val="22"/>
          <w:lang w:val="lt-LT"/>
        </w:rPr>
        <w:t>Jei bet kuri iš tokių reakcijų išlieka ir vartojant 20 mg/m</w:t>
      </w:r>
      <w:r w:rsidRPr="00736D2F">
        <w:rPr>
          <w:szCs w:val="22"/>
          <w:vertAlign w:val="superscript"/>
          <w:lang w:val="lt-LT"/>
        </w:rPr>
        <w:t>2</w:t>
      </w:r>
      <w:r w:rsidRPr="00736D2F">
        <w:rPr>
          <w:szCs w:val="22"/>
          <w:lang w:val="lt-LT"/>
        </w:rPr>
        <w:t xml:space="preserve"> dozę, galima apsvarstyti dozės sumažinimo iki 15 mg/m</w:t>
      </w:r>
      <w:r w:rsidRPr="00736D2F">
        <w:rPr>
          <w:szCs w:val="22"/>
          <w:vertAlign w:val="superscript"/>
          <w:lang w:val="lt-LT"/>
        </w:rPr>
        <w:t>2</w:t>
      </w:r>
      <w:r w:rsidRPr="00736D2F">
        <w:rPr>
          <w:szCs w:val="22"/>
          <w:lang w:val="lt-LT"/>
        </w:rPr>
        <w:t xml:space="preserve"> arba Cabazitaxel Teva vartojimo nutraukimo galimybę. Duomenų apie mažesnę kaip 20 mg/m</w:t>
      </w:r>
      <w:r w:rsidRPr="00736D2F">
        <w:rPr>
          <w:szCs w:val="22"/>
          <w:vertAlign w:val="superscript"/>
          <w:lang w:val="lt-LT"/>
        </w:rPr>
        <w:t>2</w:t>
      </w:r>
      <w:r w:rsidRPr="00736D2F">
        <w:rPr>
          <w:szCs w:val="22"/>
          <w:lang w:val="lt-LT"/>
        </w:rPr>
        <w:t xml:space="preserve"> dozę vartojančius pacientus yra nedaug.</w:t>
      </w:r>
    </w:p>
    <w:p w14:paraId="7EB0A378" w14:textId="77777777" w:rsidR="00F24039" w:rsidRPr="00736D2F" w:rsidRDefault="00F24039" w:rsidP="00F24039">
      <w:pPr>
        <w:rPr>
          <w:szCs w:val="22"/>
          <w:lang w:val="lt-LT"/>
        </w:rPr>
      </w:pPr>
    </w:p>
    <w:p w14:paraId="597C351E" w14:textId="77777777" w:rsidR="00F24039" w:rsidRPr="00736D2F" w:rsidRDefault="00F24039" w:rsidP="00F24039">
      <w:pPr>
        <w:spacing w:line="240" w:lineRule="auto"/>
        <w:rPr>
          <w:noProof/>
          <w:szCs w:val="22"/>
          <w:u w:val="single"/>
          <w:lang w:val="lt-LT"/>
        </w:rPr>
      </w:pPr>
      <w:r w:rsidRPr="00736D2F">
        <w:rPr>
          <w:noProof/>
          <w:szCs w:val="22"/>
          <w:u w:val="single"/>
          <w:lang w:val="lt-LT"/>
        </w:rPr>
        <w:t>Ypatingos populiacijos</w:t>
      </w:r>
    </w:p>
    <w:p w14:paraId="0D0EA9ED" w14:textId="77777777" w:rsidR="00F24039" w:rsidRPr="00736D2F" w:rsidRDefault="00F24039" w:rsidP="00F24039">
      <w:pPr>
        <w:rPr>
          <w:i/>
          <w:szCs w:val="22"/>
          <w:lang w:val="lt-LT"/>
        </w:rPr>
      </w:pPr>
      <w:r w:rsidRPr="00736D2F">
        <w:rPr>
          <w:i/>
          <w:szCs w:val="22"/>
          <w:lang w:val="lt-LT"/>
        </w:rPr>
        <w:t xml:space="preserve">Pacientams, kurių kepenų funkcija sutrikusi </w:t>
      </w:r>
    </w:p>
    <w:p w14:paraId="06999D67" w14:textId="36277AB6" w:rsidR="00F24039" w:rsidRPr="00736D2F" w:rsidRDefault="00F24039" w:rsidP="00F24039">
      <w:pPr>
        <w:rPr>
          <w:szCs w:val="22"/>
          <w:lang w:val="lt-LT"/>
        </w:rPr>
      </w:pPr>
      <w:r w:rsidRPr="00736D2F">
        <w:rPr>
          <w:szCs w:val="22"/>
          <w:lang w:val="lt-LT"/>
        </w:rPr>
        <w:t xml:space="preserve">Kabazitakselis ekstensyviai metabolizuojamas kepenyse. Pacientams, kuriems yra lengvas kepenų funkcijos sutrikimas (bendra bilirubino </w:t>
      </w:r>
      <w:r w:rsidR="00022E22">
        <w:rPr>
          <w:szCs w:val="22"/>
          <w:lang w:val="lt-LT"/>
        </w:rPr>
        <w:t>koncentracija</w:t>
      </w:r>
      <w:r w:rsidRPr="00736D2F">
        <w:rPr>
          <w:szCs w:val="22"/>
          <w:lang w:val="lt-LT"/>
        </w:rPr>
        <w:t xml:space="preserve"> nuo &gt;1 iki ≤1,5 x viršutinė normos riba (VNR) arba AST </w:t>
      </w:r>
      <w:r w:rsidR="00AD2E3A">
        <w:rPr>
          <w:szCs w:val="22"/>
          <w:lang w:val="lt-LT"/>
        </w:rPr>
        <w:t xml:space="preserve">aktyvumas </w:t>
      </w:r>
      <w:r w:rsidRPr="00736D2F">
        <w:rPr>
          <w:szCs w:val="22"/>
          <w:lang w:val="lt-LT"/>
        </w:rPr>
        <w:t>&gt;1,5 x VNR), kabazitakselio dozę reikia sumažinti iki 20 mg/m</w:t>
      </w:r>
      <w:r w:rsidRPr="00736D2F">
        <w:rPr>
          <w:szCs w:val="22"/>
          <w:vertAlign w:val="superscript"/>
          <w:lang w:val="lt-LT"/>
        </w:rPr>
        <w:t>2</w:t>
      </w:r>
      <w:r w:rsidRPr="00736D2F">
        <w:rPr>
          <w:szCs w:val="22"/>
          <w:lang w:val="lt-LT"/>
        </w:rPr>
        <w:t xml:space="preserve">. Pacientams, kuriems yra lengvas kepenų funkcijos sutrikimas, kabazitakselio reikia skirti vartoti atsargiai, be to, būtina atidžiai stebėti saugumo parametrus. Pacientams, kuriems yra vidutinio sunkumo kepenų funkcijos sutrikimas (bendra bilirubino </w:t>
      </w:r>
      <w:r w:rsidR="00B635D5">
        <w:rPr>
          <w:szCs w:val="22"/>
          <w:lang w:val="lt-LT"/>
        </w:rPr>
        <w:t>koncentracija</w:t>
      </w:r>
      <w:r w:rsidRPr="00736D2F">
        <w:rPr>
          <w:szCs w:val="22"/>
          <w:lang w:val="lt-LT"/>
        </w:rPr>
        <w:t xml:space="preserve"> nuo &gt;1,5 iki ≤3,0 x VNR), maksimali toleruojama dozė (MTD) buvo 15 mg/m</w:t>
      </w:r>
      <w:r w:rsidRPr="00736D2F">
        <w:rPr>
          <w:szCs w:val="22"/>
          <w:vertAlign w:val="superscript"/>
          <w:lang w:val="lt-LT"/>
        </w:rPr>
        <w:t>2</w:t>
      </w:r>
      <w:r w:rsidRPr="00736D2F">
        <w:rPr>
          <w:szCs w:val="22"/>
          <w:lang w:val="lt-LT"/>
        </w:rPr>
        <w:t>. Jei numatomas pacientų, kuriems yra vidutinio sunkumo kepenų funkcijos sutrikimas, gydymas, kabazitakselio dozė negali būti didesnė kaip 15 mg/m</w:t>
      </w:r>
      <w:r w:rsidRPr="00736D2F">
        <w:rPr>
          <w:szCs w:val="22"/>
          <w:vertAlign w:val="superscript"/>
          <w:lang w:val="lt-LT"/>
        </w:rPr>
        <w:t>2</w:t>
      </w:r>
      <w:r w:rsidRPr="00736D2F">
        <w:rPr>
          <w:szCs w:val="22"/>
          <w:lang w:val="lt-LT"/>
        </w:rPr>
        <w:t>. Vis dėlto</w:t>
      </w:r>
      <w:r w:rsidR="00AD2E3A">
        <w:rPr>
          <w:szCs w:val="22"/>
          <w:lang w:val="lt-LT"/>
        </w:rPr>
        <w:t>,</w:t>
      </w:r>
      <w:r w:rsidRPr="00736D2F">
        <w:rPr>
          <w:szCs w:val="22"/>
          <w:lang w:val="lt-LT"/>
        </w:rPr>
        <w:t xml:space="preserve"> duomenų apie tokios dozės veiksmingumą yra nedaug. </w:t>
      </w:r>
    </w:p>
    <w:p w14:paraId="4E3823A7" w14:textId="1B646D37" w:rsidR="00F24039" w:rsidRPr="00736D2F" w:rsidRDefault="00F24039" w:rsidP="00F24039">
      <w:pPr>
        <w:rPr>
          <w:szCs w:val="22"/>
          <w:lang w:val="lt-LT"/>
        </w:rPr>
      </w:pPr>
      <w:r w:rsidRPr="00736D2F">
        <w:rPr>
          <w:szCs w:val="22"/>
          <w:lang w:val="lt-LT"/>
        </w:rPr>
        <w:t xml:space="preserve">Pacientų, kuriems yra sunkus kepenų funkcijos sutrikimas (bendra bilirubino </w:t>
      </w:r>
      <w:r w:rsidR="00B635D5">
        <w:rPr>
          <w:szCs w:val="22"/>
          <w:lang w:val="lt-LT"/>
        </w:rPr>
        <w:t>koncentracija</w:t>
      </w:r>
      <w:r w:rsidRPr="00736D2F">
        <w:rPr>
          <w:szCs w:val="22"/>
          <w:lang w:val="lt-LT"/>
        </w:rPr>
        <w:t xml:space="preserve"> &gt;3 x VNR), </w:t>
      </w:r>
      <w:r w:rsidRPr="00736D2F">
        <w:rPr>
          <w:color w:val="222222"/>
          <w:szCs w:val="22"/>
          <w:lang w:val="lt-LT"/>
        </w:rPr>
        <w:t>Cabazitaxel Teva</w:t>
      </w:r>
      <w:r w:rsidRPr="00736D2F">
        <w:rPr>
          <w:szCs w:val="22"/>
          <w:lang w:val="lt-LT"/>
        </w:rPr>
        <w:t xml:space="preserve"> gydyti negalima (žr. 4.3, 4.4 ir 5.2 skyrius).</w:t>
      </w:r>
    </w:p>
    <w:p w14:paraId="5ABC9016" w14:textId="77777777" w:rsidR="00F24039" w:rsidRPr="00736D2F" w:rsidRDefault="00F24039" w:rsidP="00F24039">
      <w:pPr>
        <w:rPr>
          <w:szCs w:val="22"/>
          <w:lang w:val="lt-LT"/>
        </w:rPr>
      </w:pPr>
    </w:p>
    <w:p w14:paraId="0EF094B4" w14:textId="77777777" w:rsidR="00F24039" w:rsidRPr="00736D2F" w:rsidRDefault="00F24039" w:rsidP="00F24039">
      <w:pPr>
        <w:rPr>
          <w:szCs w:val="22"/>
          <w:lang w:val="lt-LT"/>
        </w:rPr>
      </w:pPr>
      <w:r w:rsidRPr="00736D2F">
        <w:rPr>
          <w:i/>
          <w:szCs w:val="22"/>
          <w:lang w:val="lt-LT"/>
        </w:rPr>
        <w:t>Pacientams, kurių inkstų funkcija sutrikusi</w:t>
      </w:r>
      <w:r w:rsidRPr="00736D2F">
        <w:rPr>
          <w:szCs w:val="22"/>
          <w:lang w:val="lt-LT"/>
        </w:rPr>
        <w:t xml:space="preserve"> </w:t>
      </w:r>
    </w:p>
    <w:p w14:paraId="3E8588C5" w14:textId="09EBD87C" w:rsidR="00F24039" w:rsidRPr="00736D2F" w:rsidRDefault="00F24039" w:rsidP="00F24039">
      <w:pPr>
        <w:rPr>
          <w:szCs w:val="22"/>
          <w:lang w:val="lt-LT"/>
        </w:rPr>
      </w:pPr>
      <w:r w:rsidRPr="00736D2F">
        <w:rPr>
          <w:szCs w:val="22"/>
          <w:lang w:val="lt-LT"/>
        </w:rPr>
        <w:t>Pro inkstus kabazitakselio išskiriama labai mažai. Pacientams, kuriems yra inkstų funkcijos sutrikimas, tačiau gydymas hemodializėmis nereikalingas, dozės koreguoti nereikia. Pacientus, kurie serga terminalinės stadijos inkstų liga (kreatinino klirensas (CLCR) &lt;15 ml/min./1,73 m</w:t>
      </w:r>
      <w:r w:rsidRPr="00736D2F">
        <w:rPr>
          <w:szCs w:val="22"/>
          <w:vertAlign w:val="superscript"/>
          <w:lang w:val="lt-LT"/>
        </w:rPr>
        <w:t>2</w:t>
      </w:r>
      <w:r w:rsidRPr="00736D2F">
        <w:rPr>
          <w:szCs w:val="22"/>
          <w:lang w:val="lt-LT"/>
        </w:rPr>
        <w:t xml:space="preserve">), atsižvelgiant į jų </w:t>
      </w:r>
      <w:r w:rsidRPr="00736D2F">
        <w:rPr>
          <w:szCs w:val="22"/>
          <w:lang w:val="lt-LT"/>
        </w:rPr>
        <w:lastRenderedPageBreak/>
        <w:t xml:space="preserve">būklę ir </w:t>
      </w:r>
      <w:r w:rsidR="00AB4978">
        <w:rPr>
          <w:szCs w:val="22"/>
          <w:lang w:val="lt-LT"/>
        </w:rPr>
        <w:t>nepakankamus</w:t>
      </w:r>
      <w:r w:rsidRPr="00736D2F">
        <w:rPr>
          <w:szCs w:val="22"/>
          <w:lang w:val="lt-LT"/>
        </w:rPr>
        <w:t xml:space="preserve"> duomenis, būtina gydyti atsargiai ir jų būklę gydymo metu atidžiai stebėti (žr. 4.4 ir 5.2 skyrius). </w:t>
      </w:r>
    </w:p>
    <w:p w14:paraId="23DCBD11" w14:textId="77777777" w:rsidR="00F24039" w:rsidRPr="00736D2F" w:rsidRDefault="00F24039" w:rsidP="00F24039">
      <w:pPr>
        <w:rPr>
          <w:szCs w:val="22"/>
          <w:lang w:val="lt-LT"/>
        </w:rPr>
      </w:pPr>
    </w:p>
    <w:p w14:paraId="664E044C" w14:textId="77777777" w:rsidR="00F24039" w:rsidRPr="00736D2F" w:rsidRDefault="00F24039" w:rsidP="00F24039">
      <w:pPr>
        <w:rPr>
          <w:i/>
          <w:szCs w:val="22"/>
          <w:lang w:val="lt-LT"/>
        </w:rPr>
      </w:pPr>
      <w:r w:rsidRPr="00736D2F">
        <w:rPr>
          <w:i/>
          <w:szCs w:val="22"/>
          <w:lang w:val="lt-LT"/>
        </w:rPr>
        <w:t xml:space="preserve">Senyviems pacientams </w:t>
      </w:r>
    </w:p>
    <w:p w14:paraId="5A07D09E" w14:textId="77777777" w:rsidR="00F24039" w:rsidRPr="00736D2F" w:rsidRDefault="00F24039" w:rsidP="00F24039">
      <w:pPr>
        <w:rPr>
          <w:szCs w:val="22"/>
          <w:lang w:val="lt-LT"/>
        </w:rPr>
      </w:pPr>
      <w:r w:rsidRPr="00736D2F">
        <w:rPr>
          <w:szCs w:val="22"/>
          <w:lang w:val="lt-LT"/>
        </w:rPr>
        <w:t xml:space="preserve">Specifinio dozės koregavimo kabazitakseliu gydomiems senyviems pacientams nerekomenduojama (taip pat žr. 4.4, 4.8 ir 5.2 skyrius). </w:t>
      </w:r>
    </w:p>
    <w:p w14:paraId="78DB24A5" w14:textId="77777777" w:rsidR="003216C5" w:rsidRDefault="003216C5" w:rsidP="00F24039">
      <w:pPr>
        <w:rPr>
          <w:i/>
          <w:szCs w:val="22"/>
          <w:lang w:val="lt-LT"/>
        </w:rPr>
      </w:pPr>
    </w:p>
    <w:p w14:paraId="0A19D9B0" w14:textId="77777777" w:rsidR="00F24039" w:rsidRPr="00736D2F" w:rsidRDefault="00F24039" w:rsidP="00F24039">
      <w:pPr>
        <w:rPr>
          <w:i/>
          <w:szCs w:val="22"/>
          <w:lang w:val="lt-LT"/>
        </w:rPr>
      </w:pPr>
      <w:r w:rsidRPr="00736D2F">
        <w:rPr>
          <w:i/>
          <w:szCs w:val="22"/>
          <w:lang w:val="lt-LT"/>
        </w:rPr>
        <w:t xml:space="preserve">Kartu vartojami vaistiniai preparatai </w:t>
      </w:r>
    </w:p>
    <w:p w14:paraId="1CC0DF46" w14:textId="77777777" w:rsidR="00F24039" w:rsidRPr="00736D2F" w:rsidRDefault="00F24039" w:rsidP="00F24039">
      <w:pPr>
        <w:rPr>
          <w:szCs w:val="22"/>
          <w:lang w:val="lt-LT"/>
        </w:rPr>
      </w:pPr>
      <w:r w:rsidRPr="00736D2F">
        <w:rPr>
          <w:szCs w:val="22"/>
          <w:lang w:val="lt-LT"/>
        </w:rPr>
        <w:t>Tuo pat metu vartoti vaistinių preparatų, kurie yra stiprūs CYP3A induktoriai ar stiprūs inhibitoriai, turi būti vengiama. Tačiau, jei pacientui būtina kartu skirti stiprų CYP3A inhibitorių, reikia įvertinti būtinumą 25 % sumažinti kabazitakselio dozę (žr. 4.4 ir 4.5 skyrius).</w:t>
      </w:r>
    </w:p>
    <w:p w14:paraId="2E424BF5" w14:textId="77777777" w:rsidR="00F24039" w:rsidRPr="00736D2F" w:rsidRDefault="00F24039" w:rsidP="00F24039">
      <w:pPr>
        <w:rPr>
          <w:i/>
          <w:noProof/>
          <w:szCs w:val="22"/>
          <w:lang w:val="lt-LT"/>
        </w:rPr>
      </w:pPr>
    </w:p>
    <w:p w14:paraId="4068D371" w14:textId="77777777" w:rsidR="00F24039" w:rsidRPr="00736D2F" w:rsidRDefault="00F24039" w:rsidP="00F24039">
      <w:pPr>
        <w:rPr>
          <w:i/>
          <w:szCs w:val="22"/>
          <w:lang w:val="lt-LT"/>
        </w:rPr>
      </w:pPr>
      <w:r w:rsidRPr="00736D2F">
        <w:rPr>
          <w:i/>
          <w:noProof/>
          <w:szCs w:val="22"/>
          <w:lang w:val="lt-LT"/>
        </w:rPr>
        <w:t>Vaikų populiacija</w:t>
      </w:r>
    </w:p>
    <w:p w14:paraId="10845CF0" w14:textId="77777777" w:rsidR="00F24039" w:rsidRPr="00736D2F" w:rsidRDefault="00F24039" w:rsidP="00F24039">
      <w:pPr>
        <w:tabs>
          <w:tab w:val="center" w:pos="567"/>
        </w:tabs>
        <w:spacing w:line="240" w:lineRule="auto"/>
        <w:contextualSpacing/>
        <w:rPr>
          <w:szCs w:val="22"/>
          <w:lang w:val="lt-LT"/>
        </w:rPr>
      </w:pPr>
      <w:r w:rsidRPr="00736D2F">
        <w:rPr>
          <w:szCs w:val="22"/>
          <w:lang w:val="lt-LT"/>
        </w:rPr>
        <w:t>Cabazitaxel Teva A nėra skirtas vaikų populiacijai. Cabazitaxel Teva saugumas ir veiksmingumas vaikams ir jaunesniems kaip 18 metų paaugliams nebuvo nustatytas.</w:t>
      </w:r>
    </w:p>
    <w:p w14:paraId="40EE1038" w14:textId="77777777" w:rsidR="00F24039" w:rsidRPr="00736D2F" w:rsidRDefault="00F24039" w:rsidP="00F24039">
      <w:pPr>
        <w:rPr>
          <w:i/>
          <w:szCs w:val="22"/>
          <w:lang w:val="lt-LT"/>
        </w:rPr>
      </w:pPr>
    </w:p>
    <w:p w14:paraId="07F1148E" w14:textId="77777777" w:rsidR="00F24039" w:rsidRPr="00736D2F" w:rsidRDefault="00F24039" w:rsidP="00F24039">
      <w:pPr>
        <w:rPr>
          <w:szCs w:val="22"/>
          <w:u w:val="single"/>
          <w:lang w:val="lt-LT"/>
        </w:rPr>
      </w:pPr>
      <w:r w:rsidRPr="00736D2F">
        <w:rPr>
          <w:noProof/>
          <w:szCs w:val="22"/>
          <w:u w:val="single"/>
          <w:lang w:val="lt-LT"/>
        </w:rPr>
        <w:t>Vartojimo metodas</w:t>
      </w:r>
      <w:r w:rsidRPr="00736D2F">
        <w:rPr>
          <w:szCs w:val="22"/>
          <w:u w:val="single"/>
          <w:lang w:val="lt-LT"/>
        </w:rPr>
        <w:t xml:space="preserve"> </w:t>
      </w:r>
    </w:p>
    <w:p w14:paraId="46AE47C1" w14:textId="77777777" w:rsidR="00F24039" w:rsidRPr="00736D2F" w:rsidRDefault="00F24039" w:rsidP="00F24039">
      <w:pPr>
        <w:rPr>
          <w:szCs w:val="22"/>
          <w:lang w:val="lt-LT"/>
        </w:rPr>
      </w:pPr>
      <w:r w:rsidRPr="00736D2F">
        <w:rPr>
          <w:szCs w:val="22"/>
          <w:lang w:val="lt-LT"/>
        </w:rPr>
        <w:t xml:space="preserve">Nurodymai, kaip paruošti ir vartoti vaistinį preparatą, pateikti 6.6 skyriuje. Negalima naudoti PVC infuzinių talpyklių ir poliuretano infuzinių rinkinių. </w:t>
      </w:r>
      <w:r w:rsidRPr="00736D2F">
        <w:rPr>
          <w:color w:val="222222"/>
          <w:szCs w:val="22"/>
          <w:lang w:val="lt-LT"/>
        </w:rPr>
        <w:t>Cabazitaxel Teva</w:t>
      </w:r>
      <w:r w:rsidRPr="00736D2F">
        <w:rPr>
          <w:szCs w:val="22"/>
          <w:lang w:val="lt-LT"/>
        </w:rPr>
        <w:t xml:space="preserve"> negalima maišyti su kitais vaistiniais preparatais, išskyrus nurodytus 6.6 skyriuje.</w:t>
      </w:r>
    </w:p>
    <w:p w14:paraId="27038B7C" w14:textId="77777777" w:rsidR="00F24039" w:rsidRPr="00736D2F" w:rsidRDefault="00F24039" w:rsidP="00F24039">
      <w:pPr>
        <w:tabs>
          <w:tab w:val="center" w:pos="567"/>
        </w:tabs>
        <w:spacing w:line="240" w:lineRule="auto"/>
        <w:contextualSpacing/>
        <w:rPr>
          <w:szCs w:val="22"/>
          <w:lang w:val="lt-LT"/>
        </w:rPr>
      </w:pPr>
    </w:p>
    <w:p w14:paraId="4E0ADBC1"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4.3</w:t>
      </w:r>
      <w:r w:rsidRPr="00736D2F">
        <w:rPr>
          <w:rFonts w:ascii="Times New Roman" w:hAnsi="Times New Roman"/>
          <w:sz w:val="22"/>
          <w:szCs w:val="22"/>
          <w:lang w:val="lt-LT"/>
        </w:rPr>
        <w:tab/>
        <w:t>Kontraindikacijos</w:t>
      </w:r>
    </w:p>
    <w:p w14:paraId="119D4E70" w14:textId="77777777" w:rsidR="00F24039" w:rsidRPr="00736D2F" w:rsidRDefault="00F24039" w:rsidP="00F24039">
      <w:pPr>
        <w:rPr>
          <w:szCs w:val="22"/>
          <w:lang w:val="lt-LT"/>
        </w:rPr>
      </w:pPr>
    </w:p>
    <w:p w14:paraId="5AD6D190" w14:textId="37DCCDB6" w:rsidR="00F24039" w:rsidRPr="00736D2F" w:rsidRDefault="00F24039" w:rsidP="00F24039">
      <w:pPr>
        <w:pStyle w:val="Sraopastraipa"/>
        <w:numPr>
          <w:ilvl w:val="0"/>
          <w:numId w:val="9"/>
        </w:numPr>
        <w:ind w:left="567" w:hanging="567"/>
        <w:rPr>
          <w:szCs w:val="22"/>
          <w:lang w:val="lt-LT"/>
        </w:rPr>
      </w:pPr>
      <w:r w:rsidRPr="00736D2F">
        <w:rPr>
          <w:szCs w:val="22"/>
          <w:lang w:val="lt-LT"/>
        </w:rPr>
        <w:t>Padidėjęs jautrumas kabazitakseliui, kitiems taksanams arba polisorbatui</w:t>
      </w:r>
      <w:r w:rsidR="00AB4978">
        <w:rPr>
          <w:szCs w:val="22"/>
          <w:lang w:val="lt-LT"/>
        </w:rPr>
        <w:t> </w:t>
      </w:r>
      <w:r w:rsidRPr="00736D2F">
        <w:rPr>
          <w:szCs w:val="22"/>
          <w:lang w:val="lt-LT"/>
        </w:rPr>
        <w:t xml:space="preserve">80, arba bet kuriai 6.1 skyriuje nurodytai pagalbinei medžiagai. </w:t>
      </w:r>
    </w:p>
    <w:p w14:paraId="7E3267F6" w14:textId="2CCC8F97" w:rsidR="00F24039" w:rsidRPr="00736D2F" w:rsidRDefault="00F24039" w:rsidP="00F24039">
      <w:pPr>
        <w:pStyle w:val="Sraopastraipa"/>
        <w:numPr>
          <w:ilvl w:val="0"/>
          <w:numId w:val="9"/>
        </w:numPr>
        <w:ind w:left="567" w:hanging="567"/>
        <w:rPr>
          <w:szCs w:val="22"/>
          <w:lang w:val="lt-LT"/>
        </w:rPr>
      </w:pPr>
      <w:r w:rsidRPr="00736D2F">
        <w:rPr>
          <w:szCs w:val="22"/>
          <w:lang w:val="lt-LT"/>
        </w:rPr>
        <w:t>Ne</w:t>
      </w:r>
      <w:r w:rsidR="00163693" w:rsidRPr="00736D2F">
        <w:rPr>
          <w:szCs w:val="22"/>
          <w:lang w:val="lt-LT"/>
        </w:rPr>
        <w:t xml:space="preserve">utrofilų </w:t>
      </w:r>
      <w:r w:rsidR="00B635D5">
        <w:rPr>
          <w:szCs w:val="22"/>
          <w:lang w:val="lt-LT"/>
        </w:rPr>
        <w:t>skaičius</w:t>
      </w:r>
      <w:r w:rsidR="00B635D5" w:rsidRPr="00736D2F">
        <w:rPr>
          <w:szCs w:val="22"/>
          <w:lang w:val="lt-LT"/>
        </w:rPr>
        <w:t xml:space="preserve"> </w:t>
      </w:r>
      <w:r w:rsidR="00163693" w:rsidRPr="00736D2F">
        <w:rPr>
          <w:szCs w:val="22"/>
          <w:lang w:val="lt-LT"/>
        </w:rPr>
        <w:t>mažesnis kaip 1</w:t>
      </w:r>
      <w:r w:rsidRPr="00736D2F">
        <w:rPr>
          <w:szCs w:val="22"/>
          <w:lang w:val="lt-LT"/>
        </w:rPr>
        <w:t>500/mm</w:t>
      </w:r>
      <w:r w:rsidRPr="00736D2F">
        <w:rPr>
          <w:szCs w:val="22"/>
          <w:vertAlign w:val="superscript"/>
          <w:lang w:val="lt-LT"/>
        </w:rPr>
        <w:t>3</w:t>
      </w:r>
      <w:r w:rsidRPr="00736D2F">
        <w:rPr>
          <w:szCs w:val="22"/>
          <w:lang w:val="lt-LT"/>
        </w:rPr>
        <w:t xml:space="preserve">. </w:t>
      </w:r>
    </w:p>
    <w:p w14:paraId="6ECB42B9" w14:textId="1ECED1E8" w:rsidR="00F24039" w:rsidRPr="00736D2F" w:rsidRDefault="00F24039" w:rsidP="00F24039">
      <w:pPr>
        <w:pStyle w:val="Sraopastraipa"/>
        <w:numPr>
          <w:ilvl w:val="0"/>
          <w:numId w:val="9"/>
        </w:numPr>
        <w:ind w:left="567" w:hanging="567"/>
        <w:rPr>
          <w:szCs w:val="22"/>
          <w:lang w:val="lt-LT"/>
        </w:rPr>
      </w:pPr>
      <w:r w:rsidRPr="00736D2F">
        <w:rPr>
          <w:szCs w:val="22"/>
          <w:lang w:val="lt-LT"/>
        </w:rPr>
        <w:t xml:space="preserve">Sunkus kepenų funkcijos sutrikimas (bendra bilirubino </w:t>
      </w:r>
      <w:r w:rsidR="00B635D5">
        <w:rPr>
          <w:szCs w:val="22"/>
          <w:lang w:val="lt-LT"/>
        </w:rPr>
        <w:t>koncentracija</w:t>
      </w:r>
      <w:r w:rsidR="00B635D5" w:rsidRPr="00736D2F">
        <w:rPr>
          <w:szCs w:val="22"/>
          <w:lang w:val="lt-LT"/>
        </w:rPr>
        <w:t xml:space="preserve"> </w:t>
      </w:r>
      <w:r w:rsidRPr="00736D2F">
        <w:rPr>
          <w:szCs w:val="22"/>
          <w:lang w:val="lt-LT"/>
        </w:rPr>
        <w:t>&gt;3 x VNR).</w:t>
      </w:r>
    </w:p>
    <w:p w14:paraId="06CBA4E1" w14:textId="77777777" w:rsidR="00F24039" w:rsidRPr="00736D2F" w:rsidRDefault="00F24039" w:rsidP="00F24039">
      <w:pPr>
        <w:pStyle w:val="Sraopastraipa"/>
        <w:numPr>
          <w:ilvl w:val="0"/>
          <w:numId w:val="9"/>
        </w:numPr>
        <w:ind w:left="567" w:hanging="567"/>
        <w:rPr>
          <w:szCs w:val="22"/>
          <w:lang w:val="lt-LT"/>
        </w:rPr>
      </w:pPr>
      <w:r w:rsidRPr="00736D2F">
        <w:rPr>
          <w:szCs w:val="22"/>
          <w:lang w:val="lt-LT"/>
        </w:rPr>
        <w:t xml:space="preserve">Tuo pat metu skiepijama vakcina nuo geltonosios karštinės (žr. 4.5 skyrių). </w:t>
      </w:r>
    </w:p>
    <w:p w14:paraId="4D80EDFB" w14:textId="77777777" w:rsidR="00F24039" w:rsidRPr="00736D2F" w:rsidRDefault="00F24039" w:rsidP="00F24039">
      <w:pPr>
        <w:rPr>
          <w:szCs w:val="22"/>
          <w:lang w:val="lt-LT"/>
        </w:rPr>
      </w:pPr>
    </w:p>
    <w:p w14:paraId="66369065"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4.4</w:t>
      </w:r>
      <w:r w:rsidRPr="00736D2F">
        <w:rPr>
          <w:rFonts w:ascii="Times New Roman" w:hAnsi="Times New Roman"/>
          <w:sz w:val="22"/>
          <w:szCs w:val="22"/>
          <w:lang w:val="lt-LT"/>
        </w:rPr>
        <w:tab/>
        <w:t>Specialūs įspėjimai ir atsargumo priemonės</w:t>
      </w:r>
    </w:p>
    <w:p w14:paraId="564E6734" w14:textId="77777777" w:rsidR="00F24039" w:rsidRPr="00736D2F" w:rsidRDefault="00F24039" w:rsidP="00F24039">
      <w:pPr>
        <w:rPr>
          <w:szCs w:val="22"/>
          <w:lang w:val="lt-LT"/>
        </w:rPr>
      </w:pPr>
    </w:p>
    <w:p w14:paraId="18DA210A" w14:textId="77777777" w:rsidR="00F24039" w:rsidRPr="00736D2F" w:rsidRDefault="00F24039" w:rsidP="00F24039">
      <w:pPr>
        <w:rPr>
          <w:szCs w:val="22"/>
          <w:u w:val="single"/>
          <w:lang w:val="lt-LT"/>
        </w:rPr>
      </w:pPr>
      <w:r w:rsidRPr="00736D2F">
        <w:rPr>
          <w:szCs w:val="22"/>
          <w:u w:val="single"/>
          <w:lang w:val="lt-LT"/>
        </w:rPr>
        <w:t xml:space="preserve">Padidėjusio jautrumo reakcijos </w:t>
      </w:r>
    </w:p>
    <w:p w14:paraId="03324CBC" w14:textId="597E9897" w:rsidR="00F24039" w:rsidRPr="00736D2F" w:rsidRDefault="00F24039" w:rsidP="00F24039">
      <w:pPr>
        <w:rPr>
          <w:szCs w:val="22"/>
          <w:lang w:val="lt-LT"/>
        </w:rPr>
      </w:pPr>
      <w:r w:rsidRPr="00736D2F">
        <w:rPr>
          <w:szCs w:val="22"/>
          <w:lang w:val="lt-LT"/>
        </w:rPr>
        <w:t xml:space="preserve">Prieš kabazitakselio </w:t>
      </w:r>
      <w:r w:rsidR="00AB4978">
        <w:rPr>
          <w:szCs w:val="22"/>
          <w:lang w:val="lt-LT"/>
        </w:rPr>
        <w:t>suleidimą</w:t>
      </w:r>
      <w:r w:rsidR="00AB4978" w:rsidRPr="00736D2F">
        <w:rPr>
          <w:szCs w:val="22"/>
          <w:lang w:val="lt-LT"/>
        </w:rPr>
        <w:t xml:space="preserve"> </w:t>
      </w:r>
      <w:r w:rsidRPr="00736D2F">
        <w:rPr>
          <w:szCs w:val="22"/>
          <w:lang w:val="lt-LT"/>
        </w:rPr>
        <w:t xml:space="preserve">visiems pacientams būtina skirti </w:t>
      </w:r>
      <w:r w:rsidR="00AB4978">
        <w:rPr>
          <w:szCs w:val="22"/>
          <w:lang w:val="lt-LT"/>
        </w:rPr>
        <w:t>premedikaciją</w:t>
      </w:r>
      <w:r w:rsidRPr="00736D2F">
        <w:rPr>
          <w:szCs w:val="22"/>
          <w:lang w:val="lt-LT"/>
        </w:rPr>
        <w:t xml:space="preserve"> (žr. 4.2 skyrių). Pacientus būtina atidžiai stebėti, ar neatsiranda padidėjusio jautrumo reakcijų, ypač pirmosios ir antrosios infuzijų metu. Padidėjusio jautrumo reakcijų gali atsirasti per kelias minutes nuo kabazitakselio infuzijos pradžios, todėl būtina turėti įrangos ir priemonių hipotenzijai ir bronchų spazmui gydyti. Gali atsirasti sunkių reakcijų, įskaitant generalizuotą išbėrimą ir eritemą, hipotenziją ir bronchų spazmą. Jeigu atsiranda sunkių padidėjusio jautrumo reakcijų, būtina nedelsiant nutraukti kabazitakselio infuziją ir pradėti tinkamą gydymą. Pacientų, kuriems atsirado padidėjusio jautrumo reakcija, gydymą Cabazitaxel Teva reikia nutraukti (žr. 4.3 skyrių). </w:t>
      </w:r>
    </w:p>
    <w:p w14:paraId="3BB68271" w14:textId="77777777" w:rsidR="00F24039" w:rsidRPr="00736D2F" w:rsidRDefault="00F24039" w:rsidP="00F24039">
      <w:pPr>
        <w:rPr>
          <w:szCs w:val="22"/>
          <w:lang w:val="lt-LT"/>
        </w:rPr>
      </w:pPr>
    </w:p>
    <w:p w14:paraId="63B70118" w14:textId="77777777" w:rsidR="00F24039" w:rsidRPr="00736D2F" w:rsidRDefault="00F24039" w:rsidP="00F24039">
      <w:pPr>
        <w:rPr>
          <w:szCs w:val="22"/>
          <w:u w:val="single"/>
          <w:lang w:val="lt-LT"/>
        </w:rPr>
      </w:pPr>
      <w:r w:rsidRPr="00736D2F">
        <w:rPr>
          <w:szCs w:val="22"/>
          <w:u w:val="single"/>
          <w:lang w:val="lt-LT"/>
        </w:rPr>
        <w:t xml:space="preserve">Kaulų čiulpų slopinimas </w:t>
      </w:r>
    </w:p>
    <w:p w14:paraId="7EB1D09A" w14:textId="77777777" w:rsidR="00F24039" w:rsidRPr="00736D2F" w:rsidRDefault="00F24039" w:rsidP="00F24039">
      <w:pPr>
        <w:rPr>
          <w:szCs w:val="22"/>
          <w:lang w:val="lt-LT"/>
        </w:rPr>
      </w:pPr>
      <w:r w:rsidRPr="00736D2F">
        <w:rPr>
          <w:szCs w:val="22"/>
          <w:lang w:val="lt-LT"/>
        </w:rPr>
        <w:t xml:space="preserve">Gali atsirasti kaulų čiulpų slopinimas, pasireiškiantis neutropenija, anemija, trombocitopenija arba pancitopenija (žr. „Neutropenijos rizika“ ir „Anemija“ 4.4 skyriuje toliau). </w:t>
      </w:r>
    </w:p>
    <w:p w14:paraId="069CB0D0" w14:textId="77777777" w:rsidR="00F24039" w:rsidRPr="00736D2F" w:rsidRDefault="00F24039" w:rsidP="00F24039">
      <w:pPr>
        <w:rPr>
          <w:szCs w:val="22"/>
          <w:lang w:val="lt-LT"/>
        </w:rPr>
      </w:pPr>
    </w:p>
    <w:p w14:paraId="4437E19F" w14:textId="77777777" w:rsidR="00F24039" w:rsidRPr="00736D2F" w:rsidRDefault="00F24039" w:rsidP="00F24039">
      <w:pPr>
        <w:rPr>
          <w:szCs w:val="22"/>
          <w:u w:val="single"/>
          <w:lang w:val="lt-LT"/>
        </w:rPr>
      </w:pPr>
      <w:r w:rsidRPr="00736D2F">
        <w:rPr>
          <w:szCs w:val="22"/>
          <w:u w:val="single"/>
          <w:lang w:val="lt-LT"/>
        </w:rPr>
        <w:t xml:space="preserve">Neutropenijos rizika </w:t>
      </w:r>
    </w:p>
    <w:p w14:paraId="2ED7643C" w14:textId="752B598F" w:rsidR="00F24039" w:rsidRPr="00736D2F" w:rsidRDefault="00F24039" w:rsidP="00F24039">
      <w:pPr>
        <w:rPr>
          <w:szCs w:val="22"/>
          <w:lang w:val="lt-LT"/>
        </w:rPr>
      </w:pPr>
      <w:r w:rsidRPr="00736D2F">
        <w:rPr>
          <w:szCs w:val="22"/>
          <w:lang w:val="lt-LT"/>
        </w:rPr>
        <w:t>Kabazitakseliu gydomiems pacientams profilaktikai galima skirti G-KSF, kaip nurodyta Amerikos klinikinės onkologijos draugijos (</w:t>
      </w:r>
      <w:r w:rsidR="001902AB">
        <w:rPr>
          <w:szCs w:val="22"/>
          <w:lang w:val="lt-LT"/>
        </w:rPr>
        <w:t xml:space="preserve">angl. </w:t>
      </w:r>
      <w:r w:rsidRPr="00736D2F">
        <w:rPr>
          <w:i/>
          <w:szCs w:val="22"/>
          <w:lang w:val="lt-LT"/>
        </w:rPr>
        <w:t>American Society of Clinical Oncology, ASCO</w:t>
      </w:r>
      <w:r w:rsidRPr="00736D2F">
        <w:rPr>
          <w:szCs w:val="22"/>
          <w:lang w:val="lt-LT"/>
        </w:rPr>
        <w:t>) gairėse ir (arba) galiojančiose įstaigos rekomendacijose, neutropenijos komplikacijų (febrili</w:t>
      </w:r>
      <w:r w:rsidR="001902AB">
        <w:rPr>
          <w:szCs w:val="22"/>
          <w:lang w:val="lt-LT"/>
        </w:rPr>
        <w:t>nės</w:t>
      </w:r>
      <w:r w:rsidRPr="00736D2F">
        <w:rPr>
          <w:szCs w:val="22"/>
          <w:lang w:val="lt-LT"/>
        </w:rPr>
        <w:t xml:space="preserve"> neutropenijos, ilgalaikės neutropenijos ar neutropeninės infekcijos) rizik</w:t>
      </w:r>
      <w:r w:rsidR="001902AB">
        <w:rPr>
          <w:szCs w:val="22"/>
          <w:lang w:val="lt-LT"/>
        </w:rPr>
        <w:t>os</w:t>
      </w:r>
      <w:r w:rsidRPr="00736D2F">
        <w:rPr>
          <w:szCs w:val="22"/>
          <w:lang w:val="lt-LT"/>
        </w:rPr>
        <w:t xml:space="preserve"> sumažin</w:t>
      </w:r>
      <w:r w:rsidR="001902AB">
        <w:rPr>
          <w:szCs w:val="22"/>
          <w:lang w:val="lt-LT"/>
        </w:rPr>
        <w:t>imui</w:t>
      </w:r>
      <w:r w:rsidRPr="00736D2F">
        <w:rPr>
          <w:szCs w:val="22"/>
          <w:lang w:val="lt-LT"/>
        </w:rPr>
        <w:t xml:space="preserve"> ar j</w:t>
      </w:r>
      <w:r w:rsidR="001902AB">
        <w:rPr>
          <w:szCs w:val="22"/>
          <w:lang w:val="lt-LT"/>
        </w:rPr>
        <w:t>ų</w:t>
      </w:r>
      <w:r w:rsidRPr="00736D2F">
        <w:rPr>
          <w:szCs w:val="22"/>
          <w:lang w:val="lt-LT"/>
        </w:rPr>
        <w:t xml:space="preserve"> gydy</w:t>
      </w:r>
      <w:r w:rsidR="001902AB">
        <w:rPr>
          <w:szCs w:val="22"/>
          <w:lang w:val="lt-LT"/>
        </w:rPr>
        <w:t>mui</w:t>
      </w:r>
      <w:r w:rsidRPr="00736D2F">
        <w:rPr>
          <w:szCs w:val="22"/>
          <w:lang w:val="lt-LT"/>
        </w:rPr>
        <w:t xml:space="preserve">. Pirminę profilaktiką G-KSF reikia apsvarstyti, jei pacientas turi klinikinių didelės rizikos veiksnių (vyresnis kaip 65 metų, bloga </w:t>
      </w:r>
      <w:r w:rsidRPr="00736D2F">
        <w:rPr>
          <w:szCs w:val="22"/>
          <w:lang w:val="lt-LT"/>
        </w:rPr>
        <w:lastRenderedPageBreak/>
        <w:t>funkcinė būklė, buvę febrili</w:t>
      </w:r>
      <w:r w:rsidR="007B5505">
        <w:rPr>
          <w:szCs w:val="22"/>
          <w:lang w:val="lt-LT"/>
        </w:rPr>
        <w:t>nės</w:t>
      </w:r>
      <w:r w:rsidRPr="00736D2F">
        <w:rPr>
          <w:szCs w:val="22"/>
          <w:lang w:val="lt-LT"/>
        </w:rPr>
        <w:t xml:space="preserve"> neutropenijos epizodai, ekstenstyvus ankstesnis gydymas spinduli</w:t>
      </w:r>
      <w:r w:rsidR="007B5505">
        <w:rPr>
          <w:szCs w:val="22"/>
          <w:lang w:val="lt-LT"/>
        </w:rPr>
        <w:t>ne terapija</w:t>
      </w:r>
      <w:r w:rsidRPr="00736D2F">
        <w:rPr>
          <w:szCs w:val="22"/>
          <w:lang w:val="lt-LT"/>
        </w:rPr>
        <w:t xml:space="preserve">, bloga mityba ar kitos sunkios būklės), didinančių polinkį į ilgalaikės neutropenijos komplikacijų riziką. Nustatyta, kad G-KSF vartojimas mažina neutropenijos dažnį ir sunkumą. </w:t>
      </w:r>
    </w:p>
    <w:p w14:paraId="182D129D" w14:textId="77777777" w:rsidR="00F24039" w:rsidRPr="00736D2F" w:rsidRDefault="00F24039" w:rsidP="00F24039">
      <w:pPr>
        <w:rPr>
          <w:szCs w:val="22"/>
          <w:lang w:val="lt-LT"/>
        </w:rPr>
      </w:pPr>
      <w:r w:rsidRPr="00736D2F">
        <w:rPr>
          <w:szCs w:val="22"/>
          <w:lang w:val="lt-LT"/>
        </w:rPr>
        <w:t>Neutropenija yra dažniausia nepageidaujama kabazitakselio reakcija (žr. 4.8 skyrių). Būtina tirti visų kraujo ląstelių kiekį kas savaitę 1 ciklo metu bei prieš kiekvieną gydymo ciklą po to, kad prireikus būtų galima koreguoti dozę. Jei nepaisant tinkamo gydymo pasireiškia febrili</w:t>
      </w:r>
      <w:r w:rsidR="007B5505">
        <w:rPr>
          <w:szCs w:val="22"/>
          <w:lang w:val="lt-LT"/>
        </w:rPr>
        <w:t>nė</w:t>
      </w:r>
      <w:r w:rsidRPr="00736D2F">
        <w:rPr>
          <w:szCs w:val="22"/>
          <w:lang w:val="lt-LT"/>
        </w:rPr>
        <w:t xml:space="preserve"> ar ilgalaikė neutropenija, dozė turi būti sumažinta (žr. 4.2 skyrių). </w:t>
      </w:r>
    </w:p>
    <w:p w14:paraId="142FC916" w14:textId="1B17B4FE" w:rsidR="00F24039" w:rsidRPr="00736D2F" w:rsidRDefault="00F24039" w:rsidP="00F24039">
      <w:pPr>
        <w:rPr>
          <w:szCs w:val="22"/>
          <w:lang w:val="lt-LT"/>
        </w:rPr>
      </w:pPr>
      <w:r w:rsidRPr="00736D2F">
        <w:rPr>
          <w:szCs w:val="22"/>
          <w:lang w:val="lt-LT"/>
        </w:rPr>
        <w:t xml:space="preserve">Gydymą pakartotinai atnaujinti galima tik tada, kai neutrofilų </w:t>
      </w:r>
      <w:r w:rsidR="00B635D5" w:rsidRPr="00B635D5">
        <w:rPr>
          <w:szCs w:val="22"/>
          <w:lang w:val="lt-LT"/>
        </w:rPr>
        <w:t>skaičius</w:t>
      </w:r>
      <w:r w:rsidRPr="00736D2F">
        <w:rPr>
          <w:szCs w:val="22"/>
          <w:lang w:val="lt-LT"/>
        </w:rPr>
        <w:t xml:space="preserve"> vėl tampa ≥1  500/mm</w:t>
      </w:r>
      <w:r w:rsidRPr="00736D2F">
        <w:rPr>
          <w:szCs w:val="22"/>
          <w:vertAlign w:val="superscript"/>
          <w:lang w:val="lt-LT"/>
        </w:rPr>
        <w:t>3</w:t>
      </w:r>
      <w:r w:rsidRPr="00736D2F">
        <w:rPr>
          <w:szCs w:val="22"/>
          <w:lang w:val="lt-LT"/>
        </w:rPr>
        <w:t xml:space="preserve"> (žr. 4.3 skyrių).</w:t>
      </w:r>
    </w:p>
    <w:p w14:paraId="0841FF60" w14:textId="77777777" w:rsidR="00F24039" w:rsidRPr="00736D2F" w:rsidRDefault="00F24039" w:rsidP="00F24039">
      <w:pPr>
        <w:rPr>
          <w:szCs w:val="22"/>
          <w:lang w:val="lt-LT"/>
        </w:rPr>
      </w:pPr>
    </w:p>
    <w:p w14:paraId="66EECA0F" w14:textId="77777777" w:rsidR="00F24039" w:rsidRPr="00736D2F" w:rsidRDefault="00F24039" w:rsidP="00F24039">
      <w:pPr>
        <w:rPr>
          <w:szCs w:val="22"/>
          <w:u w:val="single"/>
          <w:lang w:val="lt-LT"/>
        </w:rPr>
      </w:pPr>
      <w:r w:rsidRPr="00736D2F">
        <w:rPr>
          <w:szCs w:val="22"/>
          <w:u w:val="single"/>
          <w:lang w:val="lt-LT"/>
        </w:rPr>
        <w:t xml:space="preserve">Virškinimo trakto sutrikimai </w:t>
      </w:r>
    </w:p>
    <w:p w14:paraId="71CA8686" w14:textId="77777777" w:rsidR="00F24039" w:rsidRPr="00736D2F" w:rsidRDefault="00F24039" w:rsidP="00F24039">
      <w:pPr>
        <w:rPr>
          <w:szCs w:val="22"/>
          <w:lang w:val="lt-LT"/>
        </w:rPr>
      </w:pPr>
      <w:r w:rsidRPr="00736D2F">
        <w:rPr>
          <w:szCs w:val="22"/>
          <w:lang w:val="lt-LT"/>
        </w:rPr>
        <w:t xml:space="preserve">Simptomai, tokie kaip pilvo skausmas ir jautrumas, karščiavimas, nuolatinis vidurių užkietėjimas, viduriavimas kartu su neutropenija arba be jos, gali būti ankstyvieji sunkaus toksinio poveikio virškinimo traktui požymiai ir turi būti nedelsiant tiriami ir gydomi. Gali prireikti atidėti arba nutraukti gydymą kabazitakseliu. </w:t>
      </w:r>
    </w:p>
    <w:p w14:paraId="0197C429" w14:textId="77777777" w:rsidR="00F24039" w:rsidRPr="00736D2F" w:rsidRDefault="00F24039" w:rsidP="00F24039">
      <w:pPr>
        <w:rPr>
          <w:i/>
          <w:szCs w:val="22"/>
          <w:lang w:val="lt-LT"/>
        </w:rPr>
      </w:pPr>
    </w:p>
    <w:p w14:paraId="364D0793" w14:textId="77777777" w:rsidR="00F24039" w:rsidRPr="00736D2F" w:rsidRDefault="00F24039" w:rsidP="00F24039">
      <w:pPr>
        <w:rPr>
          <w:i/>
          <w:szCs w:val="22"/>
          <w:lang w:val="lt-LT"/>
        </w:rPr>
      </w:pPr>
      <w:r w:rsidRPr="00736D2F">
        <w:rPr>
          <w:i/>
          <w:szCs w:val="22"/>
          <w:lang w:val="lt-LT"/>
        </w:rPr>
        <w:t xml:space="preserve">Pykinimo, vėmimo, viduriavimo ir dehidratacijos rizika </w:t>
      </w:r>
    </w:p>
    <w:p w14:paraId="44287276" w14:textId="7787396E" w:rsidR="00F24039" w:rsidRPr="00736D2F" w:rsidRDefault="00F24039" w:rsidP="00F24039">
      <w:pPr>
        <w:rPr>
          <w:szCs w:val="22"/>
          <w:lang w:val="lt-LT"/>
        </w:rPr>
      </w:pPr>
      <w:r w:rsidRPr="00736D2F">
        <w:rPr>
          <w:szCs w:val="22"/>
          <w:lang w:val="lt-LT"/>
        </w:rPr>
        <w:t>Pacientus, kuriems po kabazitakselio vartojimo pasireiškia viduriavimas, galima gydyti įprastais vaistiniais preparatais nuo viduriavimo. Būtina imtis tinkamų priemonių pacientui rehidratuoti. Viduriavimas dažniau gali atsirasti pacientams, kurie buvo gydyti spinduli</w:t>
      </w:r>
      <w:r w:rsidR="007B5505">
        <w:rPr>
          <w:szCs w:val="22"/>
          <w:lang w:val="lt-LT"/>
        </w:rPr>
        <w:t>ne terapija</w:t>
      </w:r>
      <w:r w:rsidRPr="00736D2F">
        <w:rPr>
          <w:szCs w:val="22"/>
          <w:lang w:val="lt-LT"/>
        </w:rPr>
        <w:t xml:space="preserve"> pilvo ar dubens srityje. Dehidratacija dažniau atsiranda 65 metų ar vyresniems pacientams. Būtina imtis tinkamų priemonių pacientui rehidratuoti ir stebėti bei koreguoti elektrolitų, ypač kalio, koncentraciją serume. Jei yra ≥ 3 laipsnio viduriavimas, gali reikėti infuziją atidėti ar dozę sumažinti (žr. 4.2 skyrių). Jei pacientui atsiranda pykinimas ar vėmimas, tokį poveikį galima gydyti įprastiniais antiemetikais. </w:t>
      </w:r>
    </w:p>
    <w:p w14:paraId="5EBBF8EC" w14:textId="77777777" w:rsidR="00F24039" w:rsidRPr="00736D2F" w:rsidRDefault="00F24039" w:rsidP="00F24039">
      <w:pPr>
        <w:rPr>
          <w:szCs w:val="22"/>
          <w:lang w:val="lt-LT"/>
        </w:rPr>
      </w:pPr>
    </w:p>
    <w:p w14:paraId="6C4970B0" w14:textId="77777777" w:rsidR="00F24039" w:rsidRPr="00736D2F" w:rsidRDefault="00F24039" w:rsidP="00F24039">
      <w:pPr>
        <w:rPr>
          <w:i/>
          <w:szCs w:val="22"/>
          <w:lang w:val="lt-LT"/>
        </w:rPr>
      </w:pPr>
      <w:r w:rsidRPr="00736D2F">
        <w:rPr>
          <w:i/>
          <w:szCs w:val="22"/>
          <w:lang w:val="lt-LT"/>
        </w:rPr>
        <w:t xml:space="preserve">Sunkių virškinimo trakto reakcijų pasireiškimo rizika </w:t>
      </w:r>
    </w:p>
    <w:p w14:paraId="587512E9" w14:textId="77777777" w:rsidR="00F24039" w:rsidRPr="00736D2F" w:rsidRDefault="00F24039" w:rsidP="00F24039">
      <w:pPr>
        <w:rPr>
          <w:szCs w:val="22"/>
          <w:lang w:val="lt-LT"/>
        </w:rPr>
      </w:pPr>
      <w:r w:rsidRPr="00736D2F">
        <w:rPr>
          <w:szCs w:val="22"/>
          <w:lang w:val="lt-LT"/>
        </w:rPr>
        <w:t xml:space="preserve">Gauta pranešimų apie virškinimo trakto (VT) kraujavimo ir perforacijos, žarnų nepraeinamumo, kolito (įskaitant pasibaigusį mirtimi) atvejus pacientams, gydytiems kabazitakseliu (žr. 4.8 skyrių). Patartina atsargiai gydyti pacientus, kuriems yra didžiausia virškinimo trakto komplikacijų rizika: t. y. tokius, kuriems yra neutropenija, kurie yra senyvo amžiaus, kurie kartu vartoja </w:t>
      </w:r>
      <w:r w:rsidR="007B5505">
        <w:rPr>
          <w:szCs w:val="22"/>
          <w:lang w:val="lt-LT"/>
        </w:rPr>
        <w:t>nesteroidinių vaistų nuo uždegimo (</w:t>
      </w:r>
      <w:r w:rsidRPr="00736D2F">
        <w:rPr>
          <w:szCs w:val="22"/>
          <w:lang w:val="lt-LT"/>
        </w:rPr>
        <w:t>NVNU</w:t>
      </w:r>
      <w:r w:rsidR="007B5505">
        <w:rPr>
          <w:szCs w:val="22"/>
          <w:lang w:val="lt-LT"/>
        </w:rPr>
        <w:t>)</w:t>
      </w:r>
      <w:r w:rsidRPr="00736D2F">
        <w:rPr>
          <w:szCs w:val="22"/>
          <w:lang w:val="lt-LT"/>
        </w:rPr>
        <w:t xml:space="preserve">, trombocitų agregaciją slopinančių vaistinių preparatų arba antikoaguliantų, ir pacientus, kuriems anksčiau atlikta dubens </w:t>
      </w:r>
      <w:r w:rsidR="007B5505">
        <w:rPr>
          <w:szCs w:val="22"/>
          <w:lang w:val="lt-LT"/>
        </w:rPr>
        <w:t xml:space="preserve">srities </w:t>
      </w:r>
      <w:r w:rsidRPr="00736D2F">
        <w:rPr>
          <w:szCs w:val="22"/>
          <w:lang w:val="lt-LT"/>
        </w:rPr>
        <w:t xml:space="preserve">radioterapija arba kuriems yra buvę virškinimo trakto ligų, tokių, kaip išopėjimas ir kraujavimas iš virškinimo trakto. </w:t>
      </w:r>
    </w:p>
    <w:p w14:paraId="1E6361F8" w14:textId="77777777" w:rsidR="00F24039" w:rsidRPr="00736D2F" w:rsidRDefault="00F24039" w:rsidP="00F24039">
      <w:pPr>
        <w:rPr>
          <w:szCs w:val="22"/>
          <w:lang w:val="lt-LT"/>
        </w:rPr>
      </w:pPr>
    </w:p>
    <w:p w14:paraId="65B21B18" w14:textId="77777777" w:rsidR="00F24039" w:rsidRPr="00736D2F" w:rsidRDefault="00F24039" w:rsidP="00F24039">
      <w:pPr>
        <w:rPr>
          <w:szCs w:val="22"/>
          <w:u w:val="single"/>
          <w:lang w:val="lt-LT"/>
        </w:rPr>
      </w:pPr>
      <w:r w:rsidRPr="00736D2F">
        <w:rPr>
          <w:szCs w:val="22"/>
          <w:u w:val="single"/>
          <w:lang w:val="lt-LT"/>
        </w:rPr>
        <w:t xml:space="preserve">Periferinė neuropatija </w:t>
      </w:r>
    </w:p>
    <w:p w14:paraId="7CC643CD" w14:textId="77777777" w:rsidR="00F24039" w:rsidRPr="00736D2F" w:rsidRDefault="00F24039" w:rsidP="00F24039">
      <w:pPr>
        <w:rPr>
          <w:szCs w:val="22"/>
          <w:lang w:val="lt-LT"/>
        </w:rPr>
      </w:pPr>
      <w:r w:rsidRPr="00736D2F">
        <w:rPr>
          <w:szCs w:val="22"/>
          <w:lang w:val="lt-LT"/>
        </w:rPr>
        <w:t>Kabazitakselio vartojusiems pacientams buvo periferinės neuropatijos, periferinės sensorinės neuropatijos (pvz., parestezijų, disestezijų) ir periferinės motorinės neuropatijos atvejų. Kabazitakseliu gydomi pacientai turi žinoti, kad atsiradus neuropatijos simptomų (pvz., skausmui, deginimui, dilgčiojimui, tirpimui ar silpnumui), apie juos gydytojui būtina pasakyti prieš kiekvieną naują gydymo kursą. Gydytojas prieš kiekvieną gydymo kursą turi įvertinti, ar neatsirado ir ar nepasunkėjo neuropatija. Gydymą reikia atidėti iki tol, kol simptomai palengvės. Jei išlieka &gt; 2 laipsnio periferinė neuropatija, kabazitakselio dozę reikia mažinti nuo 25 mg/m</w:t>
      </w:r>
      <w:r w:rsidRPr="00736D2F">
        <w:rPr>
          <w:szCs w:val="22"/>
          <w:vertAlign w:val="superscript"/>
          <w:lang w:val="lt-LT"/>
        </w:rPr>
        <w:t>2</w:t>
      </w:r>
      <w:r w:rsidRPr="00736D2F">
        <w:rPr>
          <w:szCs w:val="22"/>
          <w:lang w:val="lt-LT"/>
        </w:rPr>
        <w:t xml:space="preserve"> iki 20 mg/m</w:t>
      </w:r>
      <w:r w:rsidRPr="00736D2F">
        <w:rPr>
          <w:szCs w:val="22"/>
          <w:vertAlign w:val="superscript"/>
          <w:lang w:val="lt-LT"/>
        </w:rPr>
        <w:t>2</w:t>
      </w:r>
      <w:r w:rsidRPr="00736D2F">
        <w:rPr>
          <w:szCs w:val="22"/>
          <w:lang w:val="lt-LT"/>
        </w:rPr>
        <w:t xml:space="preserve"> (žr. 4.2 skyrių). </w:t>
      </w:r>
    </w:p>
    <w:p w14:paraId="5D2418BD" w14:textId="77777777" w:rsidR="00F24039" w:rsidRPr="00736D2F" w:rsidRDefault="00F24039" w:rsidP="00F24039">
      <w:pPr>
        <w:rPr>
          <w:szCs w:val="22"/>
          <w:lang w:val="lt-LT"/>
        </w:rPr>
      </w:pPr>
    </w:p>
    <w:p w14:paraId="4CD601DF" w14:textId="77777777" w:rsidR="00F24039" w:rsidRPr="00736D2F" w:rsidRDefault="00F24039" w:rsidP="00F24039">
      <w:pPr>
        <w:rPr>
          <w:szCs w:val="22"/>
          <w:u w:val="single"/>
          <w:lang w:val="lt-LT"/>
        </w:rPr>
      </w:pPr>
      <w:r w:rsidRPr="00736D2F">
        <w:rPr>
          <w:szCs w:val="22"/>
          <w:u w:val="single"/>
          <w:lang w:val="lt-LT"/>
        </w:rPr>
        <w:t xml:space="preserve">Anemija </w:t>
      </w:r>
    </w:p>
    <w:p w14:paraId="4912A17A" w14:textId="77777777" w:rsidR="00F24039" w:rsidRPr="00736D2F" w:rsidRDefault="00F24039" w:rsidP="00F24039">
      <w:pPr>
        <w:rPr>
          <w:szCs w:val="22"/>
          <w:lang w:val="lt-LT"/>
        </w:rPr>
      </w:pPr>
      <w:r w:rsidRPr="00736D2F">
        <w:rPr>
          <w:szCs w:val="22"/>
          <w:lang w:val="lt-LT"/>
        </w:rPr>
        <w:t>Kabazitakselio vartojantiems pacientams buvo anemijos atvejų (žr. 4.8 skyrių). Hemoglobino ir hematokrito rodmenis reikia patikrinti prieš gydymą kabazitakseliu bei tuo atveju, jei pacientui atsiranda anemijos ar kraujo netekimo požymių ar simptomų. Pacientą, kurio hemoglobino rodmuo yra &lt;10 g/dl, rekomenduojama gydyti atsargiai bei imtis tinkamų priemonių, atsižvelgiant į klinikinę būklę.</w:t>
      </w:r>
    </w:p>
    <w:p w14:paraId="6AC99A83" w14:textId="77777777" w:rsidR="00F24039" w:rsidRPr="00736D2F" w:rsidRDefault="00F24039" w:rsidP="00F24039">
      <w:pPr>
        <w:rPr>
          <w:szCs w:val="22"/>
          <w:lang w:val="lt-LT"/>
        </w:rPr>
      </w:pPr>
    </w:p>
    <w:p w14:paraId="53398195" w14:textId="77777777" w:rsidR="00F24039" w:rsidRPr="00736D2F" w:rsidRDefault="00F24039" w:rsidP="00F24039">
      <w:pPr>
        <w:rPr>
          <w:szCs w:val="22"/>
          <w:u w:val="single"/>
          <w:lang w:val="lt-LT"/>
        </w:rPr>
      </w:pPr>
      <w:r w:rsidRPr="00736D2F">
        <w:rPr>
          <w:szCs w:val="22"/>
          <w:u w:val="single"/>
          <w:lang w:val="lt-LT"/>
        </w:rPr>
        <w:t xml:space="preserve">Inkstų nepakankamumo rizika </w:t>
      </w:r>
    </w:p>
    <w:p w14:paraId="602D23D8" w14:textId="77777777" w:rsidR="00F24039" w:rsidRPr="00736D2F" w:rsidRDefault="00F24039" w:rsidP="00F24039">
      <w:pPr>
        <w:rPr>
          <w:szCs w:val="22"/>
          <w:lang w:val="lt-LT"/>
        </w:rPr>
      </w:pPr>
      <w:r w:rsidRPr="00736D2F">
        <w:rPr>
          <w:szCs w:val="22"/>
          <w:lang w:val="lt-LT"/>
        </w:rPr>
        <w:lastRenderedPageBreak/>
        <w:t xml:space="preserve">Gauta pranešimų apie inkstų ligas, susijusias su sepsiu, sunkia dehidratacija, kurią sukėlė viduriavimas ar vėmimas, ir obstrukcine uropatija. Buvo inkstų nepakankamumo, įskaitant mirtiną, atvejų. Atsiradus inkstų nepakankamumui, būtina imtis tinkamų priemonių jo priežasčiai nustatyti bei intensyviai gydyti. </w:t>
      </w:r>
    </w:p>
    <w:p w14:paraId="3EC4F2D4" w14:textId="087520F9" w:rsidR="00F24039" w:rsidRPr="00736D2F" w:rsidRDefault="00F24039" w:rsidP="00F24039">
      <w:pPr>
        <w:rPr>
          <w:szCs w:val="22"/>
          <w:lang w:val="lt-LT"/>
        </w:rPr>
      </w:pPr>
      <w:r w:rsidRPr="00736D2F">
        <w:rPr>
          <w:szCs w:val="22"/>
          <w:lang w:val="lt-LT"/>
        </w:rPr>
        <w:t xml:space="preserve">Viso gydymo kabazitakseliu metu būtina užtikrinti tinkamą paciento hidraciją. Pacientui reikia pasakyti, kad jis nedelsdamas praneštų apie bet kokį reikšmingą paros šlapimo tūrio pokytį. </w:t>
      </w:r>
      <w:r w:rsidRPr="004D6C39">
        <w:rPr>
          <w:szCs w:val="22"/>
          <w:lang w:val="lt-LT"/>
        </w:rPr>
        <w:t>Kreatinino koncentraciją</w:t>
      </w:r>
      <w:r w:rsidRPr="00736D2F">
        <w:rPr>
          <w:szCs w:val="22"/>
          <w:lang w:val="lt-LT"/>
        </w:rPr>
        <w:t xml:space="preserve"> būtina tirti prieš gydymą, kartu su kiekvienu </w:t>
      </w:r>
      <w:r w:rsidR="004D6C39" w:rsidRPr="004D6C39">
        <w:rPr>
          <w:szCs w:val="22"/>
          <w:lang w:val="lt-LT"/>
        </w:rPr>
        <w:t>b</w:t>
      </w:r>
      <w:r w:rsidR="004D6C39" w:rsidRPr="00022E22">
        <w:rPr>
          <w:szCs w:val="22"/>
          <w:lang w:val="lt-LT"/>
        </w:rPr>
        <w:t>endru</w:t>
      </w:r>
      <w:r w:rsidR="004D6C39">
        <w:rPr>
          <w:szCs w:val="22"/>
          <w:lang w:val="lt-LT"/>
        </w:rPr>
        <w:t xml:space="preserve"> kraujo</w:t>
      </w:r>
      <w:r w:rsidRPr="00736D2F">
        <w:rPr>
          <w:szCs w:val="22"/>
          <w:lang w:val="lt-LT"/>
        </w:rPr>
        <w:t xml:space="preserve"> tyrimu bei visada, kai pacientas praneša apie išskiriamo šlapimo kiekio pokytį. Jei atsiranda bet koks inkstų funkcijos pablogėjimas iki ≥ 3 laipsnio (pagal CTCAE 4.0) inkstų nepakankamumo, gydymą kabazitakseliu būtina nutraukti. </w:t>
      </w:r>
    </w:p>
    <w:p w14:paraId="24A4954B" w14:textId="77777777" w:rsidR="00F24039" w:rsidRPr="00736D2F" w:rsidRDefault="00F24039" w:rsidP="00F24039">
      <w:pPr>
        <w:rPr>
          <w:szCs w:val="22"/>
          <w:lang w:val="lt-LT"/>
        </w:rPr>
      </w:pPr>
    </w:p>
    <w:p w14:paraId="590035C3" w14:textId="77777777" w:rsidR="00F24039" w:rsidRPr="00736D2F" w:rsidRDefault="00F24039" w:rsidP="00F24039">
      <w:pPr>
        <w:rPr>
          <w:szCs w:val="22"/>
          <w:u w:val="single"/>
          <w:lang w:val="lt-LT"/>
        </w:rPr>
      </w:pPr>
      <w:r w:rsidRPr="00736D2F">
        <w:rPr>
          <w:szCs w:val="22"/>
          <w:u w:val="single"/>
          <w:lang w:val="lt-LT"/>
        </w:rPr>
        <w:t xml:space="preserve">Kvėpavimo sutrikimai </w:t>
      </w:r>
    </w:p>
    <w:p w14:paraId="781B59AC" w14:textId="77777777" w:rsidR="00F24039" w:rsidRPr="00736D2F" w:rsidRDefault="00F24039" w:rsidP="00F24039">
      <w:pPr>
        <w:rPr>
          <w:szCs w:val="22"/>
          <w:lang w:val="lt-LT"/>
        </w:rPr>
      </w:pPr>
      <w:r w:rsidRPr="00736D2F">
        <w:rPr>
          <w:szCs w:val="22"/>
          <w:lang w:val="lt-LT"/>
        </w:rPr>
        <w:t xml:space="preserve">Gauta pranešimų apie intersticinės pneumonijos ir (arba) pneumonito bei intersticinės plaučių ligos atvejus, kurie gali būti mirtini (žr. 4.8 skyrių). </w:t>
      </w:r>
    </w:p>
    <w:p w14:paraId="4C4C0189" w14:textId="77777777" w:rsidR="00F24039" w:rsidRPr="00736D2F" w:rsidRDefault="00F24039" w:rsidP="00F24039">
      <w:pPr>
        <w:rPr>
          <w:szCs w:val="22"/>
          <w:lang w:val="lt-LT"/>
        </w:rPr>
      </w:pPr>
      <w:r w:rsidRPr="00736D2F">
        <w:rPr>
          <w:szCs w:val="22"/>
          <w:lang w:val="lt-LT"/>
        </w:rPr>
        <w:t xml:space="preserve">Jeigu atsiranda naujų su plaučiais susijusių simptomų arba pasunkėja esami, pacientus būtina atidžiai stebėti, nedelsiant ištirti ir tinkamai gydyti. Gydymą kabazitakseliu rekomenduojama sustabdyti iki tol, kol bus nustatyta diagnozė. Ankstyvas palaikomųjų priemonių vartojimas gali padėti pagerinti būklę. Būtina atidžiai įvertinti gydymo kabazitakseliu atnaujinimo naudą. </w:t>
      </w:r>
    </w:p>
    <w:p w14:paraId="1AE3CDE6" w14:textId="77777777" w:rsidR="00F24039" w:rsidRPr="00736D2F" w:rsidRDefault="00F24039" w:rsidP="00F24039">
      <w:pPr>
        <w:rPr>
          <w:szCs w:val="22"/>
          <w:lang w:val="lt-LT"/>
        </w:rPr>
      </w:pPr>
    </w:p>
    <w:p w14:paraId="305E9DF6" w14:textId="77777777" w:rsidR="00F24039" w:rsidRPr="00736D2F" w:rsidRDefault="00F24039" w:rsidP="00F24039">
      <w:pPr>
        <w:rPr>
          <w:szCs w:val="22"/>
          <w:u w:val="single"/>
          <w:lang w:val="lt-LT"/>
        </w:rPr>
      </w:pPr>
      <w:r w:rsidRPr="00736D2F">
        <w:rPr>
          <w:szCs w:val="22"/>
          <w:u w:val="single"/>
          <w:lang w:val="lt-LT"/>
        </w:rPr>
        <w:t xml:space="preserve">Širdies aritmijų rizika </w:t>
      </w:r>
    </w:p>
    <w:p w14:paraId="38DEC30E" w14:textId="77777777" w:rsidR="00F24039" w:rsidRPr="00736D2F" w:rsidRDefault="00F24039" w:rsidP="00F24039">
      <w:pPr>
        <w:rPr>
          <w:szCs w:val="22"/>
          <w:lang w:val="lt-LT"/>
        </w:rPr>
      </w:pPr>
      <w:r w:rsidRPr="00736D2F">
        <w:rPr>
          <w:szCs w:val="22"/>
          <w:lang w:val="lt-LT"/>
        </w:rPr>
        <w:t xml:space="preserve">Gauta pranešimų apie širdies aritmijas, dažniausiai tachikardiją ir prieširdžių virpėjimą (žr. 4.8 skyrių). </w:t>
      </w:r>
    </w:p>
    <w:p w14:paraId="54EDBE03" w14:textId="77777777" w:rsidR="00F24039" w:rsidRPr="00736D2F" w:rsidRDefault="00F24039" w:rsidP="00F24039">
      <w:pPr>
        <w:rPr>
          <w:szCs w:val="22"/>
          <w:lang w:val="lt-LT"/>
        </w:rPr>
      </w:pPr>
    </w:p>
    <w:p w14:paraId="3F9F4F55" w14:textId="77777777" w:rsidR="00F24039" w:rsidRPr="00736D2F" w:rsidRDefault="00F24039" w:rsidP="00F24039">
      <w:pPr>
        <w:rPr>
          <w:szCs w:val="22"/>
          <w:u w:val="single"/>
          <w:lang w:val="lt-LT"/>
        </w:rPr>
      </w:pPr>
      <w:r w:rsidRPr="00736D2F">
        <w:rPr>
          <w:szCs w:val="22"/>
          <w:u w:val="single"/>
          <w:lang w:val="lt-LT"/>
        </w:rPr>
        <w:t xml:space="preserve">Senyvi pacientai </w:t>
      </w:r>
    </w:p>
    <w:p w14:paraId="5DB34C57" w14:textId="107EB1F3" w:rsidR="00F24039" w:rsidRPr="00736D2F" w:rsidRDefault="00F24039" w:rsidP="00F24039">
      <w:pPr>
        <w:rPr>
          <w:szCs w:val="22"/>
          <w:lang w:val="lt-LT"/>
        </w:rPr>
      </w:pPr>
      <w:r w:rsidRPr="00736D2F">
        <w:rPr>
          <w:szCs w:val="22"/>
          <w:lang w:val="lt-LT"/>
        </w:rPr>
        <w:t>Senyviems pacientams (≥ 65 metų) yra didesnė tam tikrų nepageidaujamų reakcijų, įskaitant neutropeniją ir febrili</w:t>
      </w:r>
      <w:r w:rsidR="003F23C9">
        <w:rPr>
          <w:szCs w:val="22"/>
          <w:lang w:val="lt-LT"/>
        </w:rPr>
        <w:t>nę</w:t>
      </w:r>
      <w:r w:rsidRPr="00736D2F">
        <w:rPr>
          <w:szCs w:val="22"/>
          <w:lang w:val="lt-LT"/>
        </w:rPr>
        <w:t xml:space="preserve"> neutropeniją, rizika (žr. 4.8 skyrių). </w:t>
      </w:r>
    </w:p>
    <w:p w14:paraId="428484FD" w14:textId="77777777" w:rsidR="00F24039" w:rsidRPr="00736D2F" w:rsidRDefault="00F24039" w:rsidP="00F24039">
      <w:pPr>
        <w:rPr>
          <w:szCs w:val="22"/>
          <w:lang w:val="lt-LT"/>
        </w:rPr>
      </w:pPr>
    </w:p>
    <w:p w14:paraId="70EEC083" w14:textId="500B1014" w:rsidR="00F24039" w:rsidRPr="00736D2F" w:rsidRDefault="00F24039" w:rsidP="00F24039">
      <w:pPr>
        <w:rPr>
          <w:szCs w:val="22"/>
          <w:u w:val="single"/>
          <w:lang w:val="lt-LT"/>
        </w:rPr>
      </w:pPr>
      <w:r w:rsidRPr="00736D2F">
        <w:rPr>
          <w:szCs w:val="22"/>
          <w:u w:val="single"/>
          <w:lang w:val="lt-LT"/>
        </w:rPr>
        <w:t>Pacienta</w:t>
      </w:r>
      <w:r w:rsidR="003F23C9">
        <w:rPr>
          <w:szCs w:val="22"/>
          <w:u w:val="single"/>
          <w:lang w:val="lt-LT"/>
        </w:rPr>
        <w:t>ms</w:t>
      </w:r>
      <w:r w:rsidRPr="00736D2F">
        <w:rPr>
          <w:szCs w:val="22"/>
          <w:u w:val="single"/>
          <w:lang w:val="lt-LT"/>
        </w:rPr>
        <w:t>, kuri</w:t>
      </w:r>
      <w:r w:rsidR="003F23C9">
        <w:rPr>
          <w:szCs w:val="22"/>
          <w:u w:val="single"/>
          <w:lang w:val="lt-LT"/>
        </w:rPr>
        <w:t>ų</w:t>
      </w:r>
      <w:r w:rsidRPr="00736D2F">
        <w:rPr>
          <w:szCs w:val="22"/>
          <w:u w:val="single"/>
          <w:lang w:val="lt-LT"/>
        </w:rPr>
        <w:t xml:space="preserve"> kepenų funkcija sutrikusi </w:t>
      </w:r>
    </w:p>
    <w:p w14:paraId="125C634B" w14:textId="34B69778" w:rsidR="00F24039" w:rsidRPr="00736D2F" w:rsidRDefault="00F24039" w:rsidP="00F24039">
      <w:pPr>
        <w:rPr>
          <w:szCs w:val="22"/>
          <w:lang w:val="lt-LT"/>
        </w:rPr>
      </w:pPr>
      <w:r w:rsidRPr="00736D2F">
        <w:rPr>
          <w:szCs w:val="22"/>
          <w:lang w:val="lt-LT"/>
        </w:rPr>
        <w:t xml:space="preserve">Pacientus, kuriems yra sunkus kepenų funkcijos sutrikimas (bendra bilirubino </w:t>
      </w:r>
      <w:r w:rsidR="00B635D5">
        <w:rPr>
          <w:szCs w:val="22"/>
          <w:lang w:val="lt-LT"/>
        </w:rPr>
        <w:t>koncentracija</w:t>
      </w:r>
      <w:r w:rsidRPr="00736D2F">
        <w:rPr>
          <w:szCs w:val="22"/>
          <w:lang w:val="lt-LT"/>
        </w:rPr>
        <w:t xml:space="preserve"> &gt; 3 x VNR), Cabazitaxel Teva gydyti draudžiama (žr. 4.3 ir 5.2 skyrius). Pacientams, kuriems yra lengvas kepenų funkcijos sutrikimas (bendra bilirubino </w:t>
      </w:r>
      <w:r w:rsidR="00B635D5">
        <w:rPr>
          <w:szCs w:val="22"/>
          <w:lang w:val="lt-LT"/>
        </w:rPr>
        <w:t>koncentracija</w:t>
      </w:r>
      <w:r w:rsidRPr="00736D2F">
        <w:rPr>
          <w:szCs w:val="22"/>
          <w:lang w:val="lt-LT"/>
        </w:rPr>
        <w:t xml:space="preserve"> nuo &gt; 1 iki ≤ 1,5 x VNR arba AST &gt; 1,5 x VNR), dozę reikia sumažinti (žr. 4.2 ir 5.2 skyrius). </w:t>
      </w:r>
    </w:p>
    <w:p w14:paraId="7D59F7E7" w14:textId="77777777" w:rsidR="00F24039" w:rsidRPr="00736D2F" w:rsidRDefault="00F24039" w:rsidP="00F24039">
      <w:pPr>
        <w:rPr>
          <w:szCs w:val="22"/>
          <w:lang w:val="lt-LT"/>
        </w:rPr>
      </w:pPr>
    </w:p>
    <w:p w14:paraId="7F8859F1" w14:textId="77777777" w:rsidR="00F24039" w:rsidRPr="00736D2F" w:rsidRDefault="00F24039" w:rsidP="00F24039">
      <w:pPr>
        <w:rPr>
          <w:szCs w:val="22"/>
          <w:u w:val="single"/>
          <w:lang w:val="lt-LT"/>
        </w:rPr>
      </w:pPr>
      <w:r w:rsidRPr="00736D2F">
        <w:rPr>
          <w:szCs w:val="22"/>
          <w:u w:val="single"/>
          <w:lang w:val="lt-LT"/>
        </w:rPr>
        <w:t xml:space="preserve">Sąveika </w:t>
      </w:r>
    </w:p>
    <w:p w14:paraId="2CEF6AAA" w14:textId="77777777" w:rsidR="00F24039" w:rsidRPr="00736D2F" w:rsidRDefault="00F24039" w:rsidP="00F24039">
      <w:pPr>
        <w:rPr>
          <w:szCs w:val="22"/>
          <w:lang w:val="lt-LT"/>
        </w:rPr>
      </w:pPr>
      <w:r w:rsidRPr="00736D2F">
        <w:rPr>
          <w:szCs w:val="22"/>
          <w:lang w:val="lt-LT"/>
        </w:rPr>
        <w:t xml:space="preserve">Stiprių CYP3A inhibitorių kartu skirti turi būti vengiama, kadangi gali didėti kabazitakselio koncentracija plazmoje (žr. 4.2 ir 4.5 skyrius). Jei stipraus CYP3A inhibitoriaus skyrimo kartu negalima išvengti, turi būti apgalvotas atidus toksiškumo stebėjimas ir kabazitakselio dozės mažinimas (žr. 4.2 ir 4.5 skyrius). </w:t>
      </w:r>
    </w:p>
    <w:p w14:paraId="77DBB5D3" w14:textId="77777777" w:rsidR="00F24039" w:rsidRPr="00736D2F" w:rsidRDefault="00F24039" w:rsidP="00F24039">
      <w:pPr>
        <w:rPr>
          <w:szCs w:val="22"/>
          <w:lang w:val="lt-LT"/>
        </w:rPr>
      </w:pPr>
      <w:r w:rsidRPr="00736D2F">
        <w:rPr>
          <w:szCs w:val="22"/>
          <w:lang w:val="lt-LT"/>
        </w:rPr>
        <w:t xml:space="preserve">Stiprių CYP3A induktorių kartu skirti turi būti vengiama, kadangi gali mažėti kabazitakselio koncentracija plazmoje (žr. 4.2 ir 4.5 skyrius). </w:t>
      </w:r>
    </w:p>
    <w:p w14:paraId="42DB5717" w14:textId="77777777" w:rsidR="00F24039" w:rsidRPr="00736D2F" w:rsidRDefault="00F24039" w:rsidP="00F24039">
      <w:pPr>
        <w:rPr>
          <w:szCs w:val="22"/>
          <w:lang w:val="lt-LT"/>
        </w:rPr>
      </w:pPr>
    </w:p>
    <w:p w14:paraId="73A8D582" w14:textId="77777777" w:rsidR="00F24039" w:rsidRPr="00736D2F" w:rsidRDefault="00F24039" w:rsidP="00F24039">
      <w:pPr>
        <w:rPr>
          <w:szCs w:val="22"/>
          <w:u w:val="single"/>
          <w:lang w:val="lt-LT"/>
        </w:rPr>
      </w:pPr>
      <w:r w:rsidRPr="00736D2F">
        <w:rPr>
          <w:szCs w:val="22"/>
          <w:u w:val="single"/>
          <w:lang w:val="lt-LT"/>
        </w:rPr>
        <w:t xml:space="preserve">Pagalbinės medžiagos </w:t>
      </w:r>
    </w:p>
    <w:p w14:paraId="2F13D95C" w14:textId="77777777" w:rsidR="00F24039" w:rsidRPr="00736D2F" w:rsidRDefault="00F24039" w:rsidP="00F24039">
      <w:pPr>
        <w:rPr>
          <w:i/>
          <w:szCs w:val="22"/>
          <w:lang w:val="lt-LT"/>
        </w:rPr>
      </w:pPr>
      <w:r w:rsidRPr="00736D2F">
        <w:rPr>
          <w:i/>
          <w:szCs w:val="22"/>
          <w:lang w:val="lt-LT"/>
        </w:rPr>
        <w:t>Etanolis</w:t>
      </w:r>
    </w:p>
    <w:p w14:paraId="27865F16" w14:textId="69BB7838" w:rsidR="00F24039" w:rsidRPr="00736D2F" w:rsidRDefault="00F869FA" w:rsidP="00F24039">
      <w:pPr>
        <w:rPr>
          <w:szCs w:val="22"/>
          <w:lang w:val="lt-LT"/>
        </w:rPr>
      </w:pPr>
      <w:r>
        <w:rPr>
          <w:szCs w:val="22"/>
          <w:lang w:val="lt-LT"/>
        </w:rPr>
        <w:t>K</w:t>
      </w:r>
      <w:r w:rsidR="00F24039" w:rsidRPr="00736D2F">
        <w:rPr>
          <w:szCs w:val="22"/>
          <w:lang w:val="lt-LT"/>
        </w:rPr>
        <w:t xml:space="preserve">iekviename </w:t>
      </w:r>
      <w:r w:rsidRPr="00736D2F">
        <w:rPr>
          <w:szCs w:val="22"/>
          <w:lang w:val="lt-LT"/>
        </w:rPr>
        <w:t xml:space="preserve">Cabazitaxel Teva </w:t>
      </w:r>
      <w:r w:rsidR="00F24039" w:rsidRPr="00736D2F">
        <w:rPr>
          <w:szCs w:val="22"/>
          <w:lang w:val="lt-LT"/>
        </w:rPr>
        <w:t xml:space="preserve">koncentrato </w:t>
      </w:r>
      <w:r>
        <w:rPr>
          <w:szCs w:val="22"/>
          <w:lang w:val="lt-LT"/>
        </w:rPr>
        <w:t xml:space="preserve">infuziniam </w:t>
      </w:r>
      <w:r w:rsidR="00F24039" w:rsidRPr="00736D2F">
        <w:rPr>
          <w:szCs w:val="22"/>
          <w:lang w:val="lt-LT"/>
        </w:rPr>
        <w:t>tirpal</w:t>
      </w:r>
      <w:r>
        <w:rPr>
          <w:szCs w:val="22"/>
          <w:lang w:val="lt-LT"/>
        </w:rPr>
        <w:t>ui</w:t>
      </w:r>
      <w:r w:rsidR="00F24039" w:rsidRPr="00736D2F">
        <w:rPr>
          <w:szCs w:val="22"/>
          <w:lang w:val="lt-LT"/>
        </w:rPr>
        <w:t xml:space="preserve"> </w:t>
      </w:r>
      <w:r w:rsidRPr="00736D2F">
        <w:rPr>
          <w:szCs w:val="22"/>
          <w:lang w:val="lt-LT"/>
        </w:rPr>
        <w:t xml:space="preserve">mililitre </w:t>
      </w:r>
      <w:r>
        <w:rPr>
          <w:szCs w:val="22"/>
          <w:lang w:val="lt-LT"/>
        </w:rPr>
        <w:t xml:space="preserve">yra 182 mg etanolio. </w:t>
      </w:r>
      <w:r w:rsidR="00F24039" w:rsidRPr="00736D2F">
        <w:rPr>
          <w:szCs w:val="22"/>
          <w:lang w:val="lt-LT"/>
        </w:rPr>
        <w:t xml:space="preserve">. </w:t>
      </w:r>
    </w:p>
    <w:p w14:paraId="68FA9F77" w14:textId="77777777" w:rsidR="00F24039" w:rsidRPr="00736D2F" w:rsidRDefault="00F24039" w:rsidP="00F24039">
      <w:pPr>
        <w:rPr>
          <w:szCs w:val="22"/>
          <w:lang w:val="lt-LT"/>
        </w:rPr>
      </w:pPr>
    </w:p>
    <w:p w14:paraId="71C47537" w14:textId="57FFFE45" w:rsidR="00F24039" w:rsidRPr="00736D2F" w:rsidRDefault="00F24039" w:rsidP="00F24039">
      <w:pPr>
        <w:rPr>
          <w:szCs w:val="22"/>
          <w:lang w:val="lt-LT"/>
        </w:rPr>
      </w:pPr>
      <w:r w:rsidRPr="00736D2F">
        <w:rPr>
          <w:szCs w:val="22"/>
          <w:lang w:val="lt-LT"/>
        </w:rPr>
        <w:t xml:space="preserve">Kiekviename 6 ml koncentrato infuziniam tirpalui </w:t>
      </w:r>
      <w:r w:rsidR="0095489C">
        <w:rPr>
          <w:szCs w:val="22"/>
          <w:lang w:val="lt-LT"/>
        </w:rPr>
        <w:t xml:space="preserve">flakone </w:t>
      </w:r>
      <w:r w:rsidRPr="00736D2F">
        <w:rPr>
          <w:szCs w:val="22"/>
          <w:lang w:val="lt-LT"/>
        </w:rPr>
        <w:t>yra 1092 mg alkoho</w:t>
      </w:r>
      <w:r w:rsidR="00163693" w:rsidRPr="00736D2F">
        <w:rPr>
          <w:szCs w:val="22"/>
          <w:lang w:val="lt-LT"/>
        </w:rPr>
        <w:t xml:space="preserve">lio (etanolio), kuris atitinka </w:t>
      </w:r>
      <w:r w:rsidRPr="00736D2F">
        <w:rPr>
          <w:szCs w:val="22"/>
          <w:lang w:val="lt-LT"/>
        </w:rPr>
        <w:t xml:space="preserve">23 % t/t. Šio vaistinio preparato 6 ml atitinka 27,6 ml alaus ar 11,04 ml vyno. </w:t>
      </w:r>
    </w:p>
    <w:p w14:paraId="18D1A8C8" w14:textId="77777777" w:rsidR="00F24039" w:rsidRPr="00736D2F" w:rsidRDefault="00F24039" w:rsidP="00F24039">
      <w:pPr>
        <w:rPr>
          <w:szCs w:val="22"/>
          <w:lang w:val="lt-LT"/>
        </w:rPr>
      </w:pPr>
    </w:p>
    <w:p w14:paraId="3E44C66A"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4.5</w:t>
      </w:r>
      <w:r w:rsidRPr="00736D2F">
        <w:rPr>
          <w:rFonts w:ascii="Times New Roman" w:hAnsi="Times New Roman"/>
          <w:sz w:val="22"/>
          <w:szCs w:val="22"/>
          <w:lang w:val="lt-LT"/>
        </w:rPr>
        <w:tab/>
        <w:t>Sąveika su kitais vaistiniais preparatais ir kitokia sąveika</w:t>
      </w:r>
    </w:p>
    <w:p w14:paraId="6F7CAE77" w14:textId="77777777" w:rsidR="00F24039" w:rsidRPr="00736D2F" w:rsidRDefault="00F24039" w:rsidP="00F24039">
      <w:pPr>
        <w:rPr>
          <w:szCs w:val="22"/>
          <w:lang w:val="lt-LT"/>
        </w:rPr>
      </w:pPr>
    </w:p>
    <w:p w14:paraId="1D3E02E5" w14:textId="77777777" w:rsidR="00F24039" w:rsidRPr="00736D2F" w:rsidRDefault="00F24039" w:rsidP="00F24039">
      <w:pPr>
        <w:rPr>
          <w:szCs w:val="22"/>
          <w:lang w:val="lt-LT"/>
        </w:rPr>
      </w:pPr>
      <w:r w:rsidRPr="00736D2F">
        <w:rPr>
          <w:i/>
          <w:szCs w:val="22"/>
          <w:lang w:val="lt-LT"/>
        </w:rPr>
        <w:t>In vitro</w:t>
      </w:r>
      <w:r w:rsidRPr="00736D2F">
        <w:rPr>
          <w:szCs w:val="22"/>
          <w:lang w:val="lt-LT"/>
        </w:rPr>
        <w:t xml:space="preserve"> tyrimų metu nustatyta, kad kabazitakselis daugiausia metabolizuojamas dalyvaujant CYP3A (80 - 90%) (žr. skyrių 5.2).</w:t>
      </w:r>
    </w:p>
    <w:p w14:paraId="6F01C1D0" w14:textId="77777777" w:rsidR="00F24039" w:rsidRPr="00736D2F" w:rsidRDefault="00F24039" w:rsidP="00F24039">
      <w:pPr>
        <w:rPr>
          <w:szCs w:val="22"/>
          <w:lang w:val="lt-LT"/>
        </w:rPr>
      </w:pPr>
    </w:p>
    <w:p w14:paraId="3175325D" w14:textId="77777777" w:rsidR="00F24039" w:rsidRPr="00736D2F" w:rsidRDefault="00F24039" w:rsidP="00F24039">
      <w:pPr>
        <w:rPr>
          <w:szCs w:val="22"/>
          <w:u w:val="single"/>
          <w:lang w:val="lt-LT"/>
        </w:rPr>
      </w:pPr>
      <w:r w:rsidRPr="00736D2F">
        <w:rPr>
          <w:szCs w:val="22"/>
          <w:u w:val="single"/>
          <w:lang w:val="lt-LT"/>
        </w:rPr>
        <w:t xml:space="preserve">CYP3A inhibitoriai </w:t>
      </w:r>
    </w:p>
    <w:p w14:paraId="7819DF8A" w14:textId="77777777" w:rsidR="00F24039" w:rsidRPr="00736D2F" w:rsidRDefault="00F24039" w:rsidP="00F24039">
      <w:pPr>
        <w:rPr>
          <w:szCs w:val="22"/>
          <w:lang w:val="lt-LT"/>
        </w:rPr>
      </w:pPr>
      <w:r w:rsidRPr="00736D2F">
        <w:rPr>
          <w:szCs w:val="22"/>
          <w:lang w:val="lt-LT"/>
        </w:rPr>
        <w:lastRenderedPageBreak/>
        <w:t xml:space="preserve">Pakartotinai skiriant stipraus CYP3A inhibitoriaus ketokonazolo (400 mg kartą per parą) kabazitakselio klirenso sumažėjimas 20 % atitinkamai padidino AUC 25 %. Dėl šios priežasties stiprių CYP3A inhibitorių (pvz., ketokonazolo, itrakonazolo, klaritromicino, indinaviro, nefazodono, nelfinaviro, ritonaviro, sakvinaviro, telitromicino, vorikonazolo) kartu skirti reikia vengti, kadangi gali didėti kabazitakselio koncentracija plazmoje. (žr. 4.2 ir 4.4 skyrius). </w:t>
      </w:r>
    </w:p>
    <w:p w14:paraId="13A1B576" w14:textId="77777777" w:rsidR="00F24039" w:rsidRPr="00736D2F" w:rsidRDefault="00F24039" w:rsidP="00F24039">
      <w:pPr>
        <w:rPr>
          <w:szCs w:val="22"/>
          <w:lang w:val="lt-LT"/>
        </w:rPr>
      </w:pPr>
      <w:r w:rsidRPr="00736D2F">
        <w:rPr>
          <w:szCs w:val="22"/>
          <w:lang w:val="lt-LT"/>
        </w:rPr>
        <w:t xml:space="preserve">Kartu skiriamas vidutinio stiprumo CYP3A inhibitorius aprepitantas neturėjo jokio poveikio kabazitakselio klirensui. </w:t>
      </w:r>
    </w:p>
    <w:p w14:paraId="3DBB1AF4" w14:textId="77777777" w:rsidR="00F24039" w:rsidRPr="00736D2F" w:rsidRDefault="00F24039" w:rsidP="00F24039">
      <w:pPr>
        <w:rPr>
          <w:szCs w:val="22"/>
          <w:lang w:val="lt-LT"/>
        </w:rPr>
      </w:pPr>
    </w:p>
    <w:p w14:paraId="4E05C720" w14:textId="77777777" w:rsidR="00F24039" w:rsidRPr="00736D2F" w:rsidRDefault="00F24039" w:rsidP="00F24039">
      <w:pPr>
        <w:rPr>
          <w:szCs w:val="22"/>
          <w:u w:val="single"/>
          <w:lang w:val="lt-LT"/>
        </w:rPr>
      </w:pPr>
      <w:r w:rsidRPr="00736D2F">
        <w:rPr>
          <w:szCs w:val="22"/>
          <w:u w:val="single"/>
          <w:lang w:val="lt-LT"/>
        </w:rPr>
        <w:t xml:space="preserve">CYP3A induktoriai </w:t>
      </w:r>
    </w:p>
    <w:p w14:paraId="4EB4F136" w14:textId="7C0CB647" w:rsidR="00F24039" w:rsidRPr="00736D2F" w:rsidRDefault="00F24039" w:rsidP="00F24039">
      <w:pPr>
        <w:rPr>
          <w:szCs w:val="22"/>
          <w:lang w:val="lt-LT"/>
        </w:rPr>
      </w:pPr>
      <w:r w:rsidRPr="00736D2F">
        <w:rPr>
          <w:szCs w:val="22"/>
          <w:lang w:val="lt-LT"/>
        </w:rPr>
        <w:t>Pakartotinai skiriant stipraus CYP3A induktoriaus rifampicino (600 mg kartą per parą) kabazitakselio klirensas padidėjo 21 %, atitinkamai sumažėjo AUC 17 %. Dėl šios priežasties stiprių CYP3A induktorių (pvz., fenitoino, karbamazepino, rifampino, rifabutino, rifapentino, fenobarbitalio) kartu skirti turi būti vengiama, kadangi gali mažėti kabazitakselio koncentracija plazmoje (žr. 4.2 ir 4.4 skyrius). Be to, pacientai turi nevartoti paprast</w:t>
      </w:r>
      <w:r w:rsidR="00CB090C">
        <w:rPr>
          <w:szCs w:val="22"/>
          <w:lang w:val="lt-LT"/>
        </w:rPr>
        <w:t>osios</w:t>
      </w:r>
      <w:r w:rsidRPr="00736D2F">
        <w:rPr>
          <w:szCs w:val="22"/>
          <w:lang w:val="lt-LT"/>
        </w:rPr>
        <w:t xml:space="preserve"> jonažol</w:t>
      </w:r>
      <w:r w:rsidR="00CB090C">
        <w:rPr>
          <w:szCs w:val="22"/>
          <w:lang w:val="lt-LT"/>
        </w:rPr>
        <w:t>ės</w:t>
      </w:r>
      <w:r w:rsidRPr="00736D2F">
        <w:rPr>
          <w:szCs w:val="22"/>
          <w:lang w:val="lt-LT"/>
        </w:rPr>
        <w:t xml:space="preserve"> preparatų. </w:t>
      </w:r>
    </w:p>
    <w:p w14:paraId="0E96959D" w14:textId="77777777" w:rsidR="00F24039" w:rsidRPr="00736D2F" w:rsidRDefault="00F24039" w:rsidP="00F24039">
      <w:pPr>
        <w:rPr>
          <w:szCs w:val="22"/>
          <w:lang w:val="lt-LT"/>
        </w:rPr>
      </w:pPr>
    </w:p>
    <w:p w14:paraId="41F65837" w14:textId="77777777" w:rsidR="00F24039" w:rsidRPr="00736D2F" w:rsidRDefault="00F24039" w:rsidP="00F24039">
      <w:pPr>
        <w:rPr>
          <w:szCs w:val="22"/>
          <w:u w:val="single"/>
          <w:lang w:val="lt-LT"/>
        </w:rPr>
      </w:pPr>
      <w:r w:rsidRPr="00736D2F">
        <w:rPr>
          <w:szCs w:val="22"/>
          <w:u w:val="single"/>
          <w:lang w:val="lt-LT"/>
        </w:rPr>
        <w:t xml:space="preserve">OAPP1B1 </w:t>
      </w:r>
    </w:p>
    <w:p w14:paraId="22A307F4" w14:textId="77777777" w:rsidR="00F24039" w:rsidRPr="00736D2F" w:rsidRDefault="00F24039" w:rsidP="00F24039">
      <w:pPr>
        <w:rPr>
          <w:szCs w:val="22"/>
          <w:lang w:val="lt-LT"/>
        </w:rPr>
      </w:pPr>
      <w:r w:rsidRPr="00736D2F">
        <w:rPr>
          <w:szCs w:val="22"/>
          <w:lang w:val="lt-LT"/>
        </w:rPr>
        <w:t xml:space="preserve">Nustatyta, kad </w:t>
      </w:r>
      <w:r w:rsidRPr="00736D2F">
        <w:rPr>
          <w:i/>
          <w:szCs w:val="22"/>
          <w:lang w:val="lt-LT"/>
        </w:rPr>
        <w:t>in vitro</w:t>
      </w:r>
      <w:r w:rsidRPr="00736D2F">
        <w:rPr>
          <w:szCs w:val="22"/>
          <w:lang w:val="lt-LT"/>
        </w:rPr>
        <w:t xml:space="preserve"> kabazitakselis slopina organinių anijonų pernašos polipeptidų (angl. </w:t>
      </w:r>
      <w:r w:rsidRPr="00736D2F">
        <w:rPr>
          <w:i/>
          <w:szCs w:val="22"/>
          <w:lang w:val="lt-LT"/>
        </w:rPr>
        <w:t>Organic Anion Transport Polypeptides</w:t>
      </w:r>
      <w:r w:rsidRPr="00736D2F">
        <w:rPr>
          <w:szCs w:val="22"/>
          <w:lang w:val="lt-LT"/>
        </w:rPr>
        <w:t>) OAPP1B1 pernašos baltymus. Galima sąveika su OAPP1B1 substratais (pvz., statinais, valsartanu, repa</w:t>
      </w:r>
      <w:r w:rsidR="003216C5">
        <w:rPr>
          <w:szCs w:val="22"/>
          <w:lang w:val="lt-LT"/>
        </w:rPr>
        <w:t>glinidu), ypač infuzijos metu (vieną</w:t>
      </w:r>
      <w:r w:rsidRPr="00736D2F">
        <w:rPr>
          <w:szCs w:val="22"/>
          <w:lang w:val="lt-LT"/>
        </w:rPr>
        <w:t xml:space="preserve"> valandą) ir laikotarpiu iki 20 minučių po infuzijos pabaigos. OAPP1B1 substratų rekomenduojama vartoti likus 12 valandų iki infuzijos ar praėjus ne mažiau kaip 3 valandoms po jos. </w:t>
      </w:r>
    </w:p>
    <w:p w14:paraId="6374EA8A" w14:textId="77777777" w:rsidR="00F24039" w:rsidRPr="00736D2F" w:rsidRDefault="00F24039" w:rsidP="00F24039">
      <w:pPr>
        <w:rPr>
          <w:szCs w:val="22"/>
          <w:lang w:val="lt-LT"/>
        </w:rPr>
      </w:pPr>
    </w:p>
    <w:p w14:paraId="1756943D" w14:textId="77777777" w:rsidR="00F24039" w:rsidRPr="003216C5" w:rsidRDefault="00F24039" w:rsidP="00F24039">
      <w:pPr>
        <w:rPr>
          <w:szCs w:val="22"/>
          <w:u w:val="single"/>
          <w:lang w:val="lt-LT"/>
        </w:rPr>
      </w:pPr>
      <w:r w:rsidRPr="003216C5">
        <w:rPr>
          <w:szCs w:val="22"/>
          <w:u w:val="single"/>
          <w:lang w:val="lt-LT"/>
        </w:rPr>
        <w:t xml:space="preserve">Vakcinavimas </w:t>
      </w:r>
    </w:p>
    <w:p w14:paraId="6F81B569" w14:textId="77777777" w:rsidR="00F24039" w:rsidRPr="00736D2F" w:rsidRDefault="00F24039" w:rsidP="00F24039">
      <w:pPr>
        <w:rPr>
          <w:szCs w:val="22"/>
          <w:lang w:val="lt-LT"/>
        </w:rPr>
      </w:pPr>
      <w:r w:rsidRPr="00736D2F">
        <w:rPr>
          <w:szCs w:val="22"/>
          <w:lang w:val="lt-LT"/>
        </w:rPr>
        <w:t xml:space="preserve">Pacientų, kurių imuninė sistema dėl gydymo chemoterapiniais </w:t>
      </w:r>
      <w:r w:rsidR="00CB090C">
        <w:rPr>
          <w:szCs w:val="22"/>
          <w:lang w:val="lt-LT"/>
        </w:rPr>
        <w:t xml:space="preserve">vaistiniais </w:t>
      </w:r>
      <w:r w:rsidRPr="00736D2F">
        <w:rPr>
          <w:szCs w:val="22"/>
          <w:lang w:val="lt-LT"/>
        </w:rPr>
        <w:t>preparatais yra nusilpusi, skiepijimas gyvomis ar gyvomis susilpnintomis vakcinomis gali sukelti sunkių ar mirtinų infekcinių ligų. Kabazitakseliu gydomų pacientų gyvomis susilpnintomis vakcinomis skiepyti turi būti vengiama. Vakcinomis, kuriose yra žuvusių ar neaktyvių sukėlėjų, skiepyti galima, tačiau reakcija į jas gali būti susilpnėjusi.</w:t>
      </w:r>
    </w:p>
    <w:p w14:paraId="5E196166" w14:textId="77777777" w:rsidR="00F24039" w:rsidRPr="00736D2F" w:rsidRDefault="00F24039" w:rsidP="00F24039">
      <w:pPr>
        <w:rPr>
          <w:szCs w:val="22"/>
          <w:lang w:val="lt-LT"/>
        </w:rPr>
      </w:pPr>
    </w:p>
    <w:p w14:paraId="0EBA6165" w14:textId="77777777" w:rsidR="00F24039" w:rsidRPr="00736D2F" w:rsidRDefault="00F24039" w:rsidP="00F24039">
      <w:pPr>
        <w:rPr>
          <w:szCs w:val="22"/>
          <w:u w:val="single"/>
          <w:lang w:val="lt-LT"/>
        </w:rPr>
      </w:pPr>
      <w:r w:rsidRPr="00736D2F">
        <w:rPr>
          <w:szCs w:val="22"/>
          <w:u w:val="single"/>
          <w:lang w:val="lt-LT"/>
        </w:rPr>
        <w:t>Etanolis</w:t>
      </w:r>
    </w:p>
    <w:p w14:paraId="1F372347" w14:textId="77777777" w:rsidR="00F24039" w:rsidRPr="00736D2F" w:rsidRDefault="00F24039" w:rsidP="00F24039">
      <w:pPr>
        <w:rPr>
          <w:szCs w:val="22"/>
          <w:lang w:val="lt-LT"/>
        </w:rPr>
      </w:pPr>
      <w:r w:rsidRPr="00736D2F">
        <w:rPr>
          <w:szCs w:val="22"/>
          <w:lang w:val="lt-LT"/>
        </w:rPr>
        <w:t>Vaistinio preparato 25 mg/m</w:t>
      </w:r>
      <w:r w:rsidRPr="00736D2F">
        <w:rPr>
          <w:szCs w:val="22"/>
          <w:vertAlign w:val="superscript"/>
          <w:lang w:val="lt-LT"/>
        </w:rPr>
        <w:t>2</w:t>
      </w:r>
      <w:r w:rsidRPr="00736D2F">
        <w:rPr>
          <w:szCs w:val="22"/>
          <w:lang w:val="lt-LT"/>
        </w:rPr>
        <w:t xml:space="preserve"> dozė, tai yra apie 45 mg (4,5 ml), paskirta 70 kg sveriančiam suaugusiam asmeniui sukels11,7 mg/kg etanolio ekspoziciją, kuri gali sąlygoti alkoholio koncentracijos kraujyje (AKK) maždaug 1,95 mg/100 ml padidėjimą.</w:t>
      </w:r>
    </w:p>
    <w:p w14:paraId="21512E7D" w14:textId="77777777" w:rsidR="00F24039" w:rsidRPr="00736D2F" w:rsidRDefault="00F24039" w:rsidP="00F24039">
      <w:pPr>
        <w:rPr>
          <w:szCs w:val="22"/>
          <w:lang w:val="lt-LT"/>
        </w:rPr>
      </w:pPr>
    </w:p>
    <w:p w14:paraId="42714721"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4.6</w:t>
      </w:r>
      <w:r w:rsidRPr="00736D2F">
        <w:rPr>
          <w:rFonts w:ascii="Times New Roman" w:hAnsi="Times New Roman"/>
          <w:sz w:val="22"/>
          <w:szCs w:val="22"/>
          <w:lang w:val="lt-LT"/>
        </w:rPr>
        <w:tab/>
        <w:t>Vaisingumas, nėštumo ir žindymo laikotarpis</w:t>
      </w:r>
    </w:p>
    <w:p w14:paraId="0EC28F0A" w14:textId="77777777" w:rsidR="00F24039" w:rsidRPr="00736D2F" w:rsidRDefault="00F24039" w:rsidP="00F24039">
      <w:pPr>
        <w:rPr>
          <w:szCs w:val="22"/>
          <w:lang w:val="lt-LT"/>
        </w:rPr>
      </w:pPr>
    </w:p>
    <w:p w14:paraId="58F62223" w14:textId="77777777" w:rsidR="00F24039" w:rsidRPr="00736D2F" w:rsidRDefault="00F24039" w:rsidP="00F24039">
      <w:pPr>
        <w:rPr>
          <w:szCs w:val="22"/>
          <w:u w:val="single"/>
          <w:lang w:val="lt-LT"/>
        </w:rPr>
      </w:pPr>
      <w:r w:rsidRPr="00736D2F">
        <w:rPr>
          <w:szCs w:val="22"/>
          <w:u w:val="single"/>
          <w:lang w:val="lt-LT"/>
        </w:rPr>
        <w:t xml:space="preserve">Nėštumas </w:t>
      </w:r>
    </w:p>
    <w:p w14:paraId="758878B2" w14:textId="77777777" w:rsidR="00F24039" w:rsidRPr="00736D2F" w:rsidRDefault="00F24039" w:rsidP="00F24039">
      <w:pPr>
        <w:rPr>
          <w:szCs w:val="22"/>
          <w:lang w:val="lt-LT"/>
        </w:rPr>
      </w:pPr>
      <w:r w:rsidRPr="00736D2F">
        <w:rPr>
          <w:szCs w:val="22"/>
          <w:lang w:val="lt-LT"/>
        </w:rPr>
        <w:t xml:space="preserve">Duomenų apie kabazitakselio vartojimą nėštumo metu nėra. Su gyvūnais atlikti tyrimai parodė toksinį poveikį reprodukcijai, jei vartojamos patelei toksinį poveikį sukeliančios dozės (žr. 5.3 skyrių), ir kad kabazitakselis prasiskverbia placentos barjerą (žr. 5.3 skyrių). Nėščių moterų ekspozicija kabazitakseliu, kaip ir kitokiais citotoksiniais </w:t>
      </w:r>
      <w:r w:rsidR="00B64F4C">
        <w:rPr>
          <w:szCs w:val="22"/>
          <w:lang w:val="lt-LT"/>
        </w:rPr>
        <w:t xml:space="preserve">vaistiniais </w:t>
      </w:r>
      <w:r w:rsidRPr="00736D2F">
        <w:rPr>
          <w:szCs w:val="22"/>
          <w:lang w:val="lt-LT"/>
        </w:rPr>
        <w:t xml:space="preserve">preparatais, gali sukelti vaisiaus pažaidą. </w:t>
      </w:r>
    </w:p>
    <w:p w14:paraId="0F8B38A8" w14:textId="0EB9BF00" w:rsidR="00F24039" w:rsidRPr="00736D2F" w:rsidRDefault="00F24039" w:rsidP="00F24039">
      <w:pPr>
        <w:rPr>
          <w:szCs w:val="22"/>
          <w:lang w:val="lt-LT"/>
        </w:rPr>
      </w:pPr>
      <w:r w:rsidRPr="00736D2F">
        <w:rPr>
          <w:szCs w:val="22"/>
          <w:lang w:val="lt-LT"/>
        </w:rPr>
        <w:t>Kabazitakselio nerekomenduojama vartoti nėštumo metu ir vaisingo</w:t>
      </w:r>
      <w:r w:rsidR="00B64F4C">
        <w:rPr>
          <w:szCs w:val="22"/>
          <w:lang w:val="lt-LT"/>
        </w:rPr>
        <w:t xml:space="preserve">ms </w:t>
      </w:r>
      <w:r w:rsidRPr="00736D2F">
        <w:rPr>
          <w:szCs w:val="22"/>
          <w:lang w:val="lt-LT"/>
        </w:rPr>
        <w:t xml:space="preserve">moterims, kurios nevartoja kontracepcijos priemonių. </w:t>
      </w:r>
    </w:p>
    <w:p w14:paraId="6B093F66" w14:textId="77777777" w:rsidR="00F24039" w:rsidRPr="00736D2F" w:rsidRDefault="00F24039" w:rsidP="00F24039">
      <w:pPr>
        <w:rPr>
          <w:szCs w:val="22"/>
          <w:lang w:val="lt-LT"/>
        </w:rPr>
      </w:pPr>
    </w:p>
    <w:p w14:paraId="5CD21900" w14:textId="77777777" w:rsidR="00F24039" w:rsidRPr="00736D2F" w:rsidRDefault="00F24039" w:rsidP="00F24039">
      <w:pPr>
        <w:rPr>
          <w:szCs w:val="22"/>
          <w:u w:val="single"/>
          <w:lang w:val="lt-LT"/>
        </w:rPr>
      </w:pPr>
      <w:r w:rsidRPr="00736D2F">
        <w:rPr>
          <w:szCs w:val="22"/>
          <w:u w:val="single"/>
          <w:lang w:val="lt-LT"/>
        </w:rPr>
        <w:t xml:space="preserve">Žindymas </w:t>
      </w:r>
    </w:p>
    <w:p w14:paraId="7C197888" w14:textId="6C66CE0C" w:rsidR="00F24039" w:rsidRPr="00736D2F" w:rsidRDefault="00B64F4C" w:rsidP="00F24039">
      <w:pPr>
        <w:rPr>
          <w:szCs w:val="22"/>
          <w:lang w:val="lt-LT"/>
        </w:rPr>
      </w:pPr>
      <w:r>
        <w:rPr>
          <w:szCs w:val="22"/>
          <w:lang w:val="lt-LT"/>
        </w:rPr>
        <w:t>Esami</w:t>
      </w:r>
      <w:r w:rsidRPr="00736D2F">
        <w:rPr>
          <w:szCs w:val="22"/>
          <w:lang w:val="lt-LT"/>
        </w:rPr>
        <w:t xml:space="preserve"> </w:t>
      </w:r>
      <w:r w:rsidR="00F24039" w:rsidRPr="00736D2F">
        <w:rPr>
          <w:szCs w:val="22"/>
          <w:lang w:val="lt-LT"/>
        </w:rPr>
        <w:t>farmakokinetikos gyvūnų organizme duomenys rodo, kad kabazitakseli</w:t>
      </w:r>
      <w:r>
        <w:rPr>
          <w:szCs w:val="22"/>
          <w:lang w:val="lt-LT"/>
        </w:rPr>
        <w:t>s</w:t>
      </w:r>
      <w:r w:rsidR="00F24039" w:rsidRPr="00736D2F">
        <w:rPr>
          <w:szCs w:val="22"/>
          <w:lang w:val="lt-LT"/>
        </w:rPr>
        <w:t xml:space="preserve"> ir jo metabolit</w:t>
      </w:r>
      <w:r>
        <w:rPr>
          <w:szCs w:val="22"/>
          <w:lang w:val="lt-LT"/>
        </w:rPr>
        <w:t>ai</w:t>
      </w:r>
      <w:r w:rsidR="00F24039" w:rsidRPr="00736D2F">
        <w:rPr>
          <w:szCs w:val="22"/>
          <w:lang w:val="lt-LT"/>
        </w:rPr>
        <w:t xml:space="preserve"> išsiskiria į pieną (žr. 5.3 skyrių). </w:t>
      </w:r>
      <w:r>
        <w:rPr>
          <w:szCs w:val="22"/>
          <w:lang w:val="lt-LT"/>
        </w:rPr>
        <w:t>Pavojaus žindomiems naujagimiams/kūdikiams negalima atmesti.</w:t>
      </w:r>
      <w:r w:rsidR="001A08B9">
        <w:rPr>
          <w:szCs w:val="22"/>
          <w:lang w:val="lt-LT"/>
        </w:rPr>
        <w:t xml:space="preserve"> </w:t>
      </w:r>
      <w:r w:rsidR="00F24039" w:rsidRPr="00736D2F">
        <w:rPr>
          <w:szCs w:val="22"/>
          <w:lang w:val="lt-LT"/>
        </w:rPr>
        <w:t>Cabazitaxel</w:t>
      </w:r>
      <w:r w:rsidR="001A08B9">
        <w:rPr>
          <w:szCs w:val="22"/>
          <w:lang w:val="lt-LT"/>
        </w:rPr>
        <w:t> </w:t>
      </w:r>
      <w:r w:rsidR="00F24039" w:rsidRPr="00736D2F">
        <w:rPr>
          <w:szCs w:val="22"/>
          <w:lang w:val="lt-LT"/>
        </w:rPr>
        <w:t xml:space="preserve">Teva </w:t>
      </w:r>
      <w:r>
        <w:rPr>
          <w:szCs w:val="22"/>
          <w:lang w:val="lt-LT"/>
        </w:rPr>
        <w:t xml:space="preserve">negalima vartoti </w:t>
      </w:r>
      <w:r w:rsidR="00F24039" w:rsidRPr="00736D2F">
        <w:rPr>
          <w:szCs w:val="22"/>
          <w:lang w:val="lt-LT"/>
        </w:rPr>
        <w:t xml:space="preserve">žindymo </w:t>
      </w:r>
      <w:r>
        <w:rPr>
          <w:szCs w:val="22"/>
          <w:lang w:val="lt-LT"/>
        </w:rPr>
        <w:t>metu.</w:t>
      </w:r>
      <w:r w:rsidR="00F24039" w:rsidRPr="00736D2F">
        <w:rPr>
          <w:szCs w:val="22"/>
          <w:lang w:val="lt-LT"/>
        </w:rPr>
        <w:t xml:space="preserve"> </w:t>
      </w:r>
    </w:p>
    <w:p w14:paraId="7831F88F" w14:textId="77777777" w:rsidR="00F24039" w:rsidRPr="00736D2F" w:rsidRDefault="00F24039" w:rsidP="00F24039">
      <w:pPr>
        <w:rPr>
          <w:szCs w:val="22"/>
          <w:lang w:val="lt-LT"/>
        </w:rPr>
      </w:pPr>
    </w:p>
    <w:p w14:paraId="30198029" w14:textId="77777777" w:rsidR="00F24039" w:rsidRPr="00736D2F" w:rsidRDefault="00F24039" w:rsidP="00F24039">
      <w:pPr>
        <w:rPr>
          <w:szCs w:val="22"/>
          <w:u w:val="single"/>
          <w:lang w:val="lt-LT"/>
        </w:rPr>
      </w:pPr>
      <w:r w:rsidRPr="00736D2F">
        <w:rPr>
          <w:szCs w:val="22"/>
          <w:u w:val="single"/>
          <w:lang w:val="lt-LT"/>
        </w:rPr>
        <w:t xml:space="preserve">Vaisingumas </w:t>
      </w:r>
    </w:p>
    <w:p w14:paraId="5D566242" w14:textId="77777777" w:rsidR="00F24039" w:rsidRPr="00736D2F" w:rsidRDefault="00F24039" w:rsidP="00F24039">
      <w:pPr>
        <w:rPr>
          <w:szCs w:val="22"/>
          <w:lang w:val="lt-LT"/>
        </w:rPr>
      </w:pPr>
      <w:r w:rsidRPr="00736D2F">
        <w:rPr>
          <w:szCs w:val="22"/>
          <w:lang w:val="lt-LT"/>
        </w:rPr>
        <w:lastRenderedPageBreak/>
        <w:t xml:space="preserve">Tyrimai su gyvūnais parodė, kad kabazitakselis sukelia poveikį žiurkių ir šunų patinų reprodukcinei sistemai, tačiau funkcinio poveikio vaisingumui nebūna (žr. 5.3 skyrių). Vis dėlto atsižvelgiant į farmakologinį taksanų aktyvumą, jų genotoksinį poveikį bei tyrimų su gyvūnais metu nustatytą kelių šios klasės darinių poveikį vislumui, poveikio vyrų vaisingumui atmesti negalima. </w:t>
      </w:r>
    </w:p>
    <w:p w14:paraId="5604751D" w14:textId="77777777" w:rsidR="00F24039" w:rsidRPr="00736D2F" w:rsidRDefault="00F24039" w:rsidP="00F24039">
      <w:pPr>
        <w:rPr>
          <w:szCs w:val="22"/>
          <w:lang w:val="lt-LT"/>
        </w:rPr>
      </w:pPr>
    </w:p>
    <w:p w14:paraId="040DAC09" w14:textId="3EFBA58F" w:rsidR="00F24039" w:rsidRPr="00736D2F" w:rsidRDefault="00F24039" w:rsidP="00F24039">
      <w:pPr>
        <w:rPr>
          <w:szCs w:val="22"/>
          <w:lang w:val="lt-LT"/>
        </w:rPr>
      </w:pPr>
      <w:r w:rsidRPr="00736D2F">
        <w:rPr>
          <w:szCs w:val="22"/>
          <w:lang w:val="lt-LT"/>
        </w:rPr>
        <w:t xml:space="preserve">Dėl galimo poveikio vyro gametoms ir galimos ekspozicijos sėklinio skysčio pavidalu kabazitakselio vartojantys vyrai gydymo metu privalo naudoti veiksmingą kontracepcijos </w:t>
      </w:r>
      <w:r w:rsidR="00B64F4C">
        <w:rPr>
          <w:szCs w:val="22"/>
          <w:lang w:val="lt-LT"/>
        </w:rPr>
        <w:t>metodą</w:t>
      </w:r>
      <w:r w:rsidRPr="00736D2F">
        <w:rPr>
          <w:szCs w:val="22"/>
          <w:lang w:val="lt-LT"/>
        </w:rPr>
        <w:t xml:space="preserve">, be to, jos naudojimą rekomenduojama tęsti dar iki 6 mėnesių po paskutinės kabazitakselio dozės suvartojimo. </w:t>
      </w:r>
    </w:p>
    <w:p w14:paraId="1B8D8839" w14:textId="77777777" w:rsidR="00F24039" w:rsidRPr="00736D2F" w:rsidRDefault="00F24039" w:rsidP="00F24039">
      <w:pPr>
        <w:rPr>
          <w:szCs w:val="22"/>
          <w:lang w:val="lt-LT"/>
        </w:rPr>
      </w:pPr>
    </w:p>
    <w:p w14:paraId="1FAFB9F7" w14:textId="570B3AE3" w:rsidR="00F24039" w:rsidRPr="00736D2F" w:rsidRDefault="00F24039" w:rsidP="00F24039">
      <w:pPr>
        <w:rPr>
          <w:noProof/>
          <w:color w:val="0D0D0D"/>
          <w:szCs w:val="22"/>
          <w:u w:val="single"/>
          <w:lang w:val="lt-LT"/>
        </w:rPr>
      </w:pPr>
      <w:r w:rsidRPr="00736D2F">
        <w:rPr>
          <w:szCs w:val="22"/>
          <w:lang w:val="lt-LT"/>
        </w:rPr>
        <w:t>Dėl galimos ekspozicijos sėklinio skysčio pavidalu, vyrai, gydomi kabazitakseliu, turi neleisti kitam asmeniui kontaktuoti su ejakuliatu viso gydymo metu. Vyrams, gydomiems kabazitakseliu, rekomenduojama pasitarti dėl spermos konservavimo prieš gydymą.</w:t>
      </w:r>
    </w:p>
    <w:p w14:paraId="337E089B" w14:textId="77777777" w:rsidR="00F24039" w:rsidRPr="00736D2F" w:rsidRDefault="00F24039" w:rsidP="00F24039">
      <w:pPr>
        <w:spacing w:line="240" w:lineRule="auto"/>
        <w:rPr>
          <w:noProof/>
          <w:color w:val="0D0D0D"/>
          <w:szCs w:val="22"/>
          <w:u w:val="single"/>
          <w:lang w:val="lt-LT"/>
        </w:rPr>
      </w:pPr>
    </w:p>
    <w:p w14:paraId="051CEDEA"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4.7</w:t>
      </w:r>
      <w:r w:rsidRPr="00736D2F">
        <w:rPr>
          <w:rFonts w:ascii="Times New Roman" w:hAnsi="Times New Roman"/>
          <w:sz w:val="22"/>
          <w:szCs w:val="22"/>
          <w:lang w:val="lt-LT"/>
        </w:rPr>
        <w:tab/>
        <w:t>Poveikis gebėjimui vairuoti ir valdyti mechanizmus</w:t>
      </w:r>
    </w:p>
    <w:p w14:paraId="41DFE80C" w14:textId="77777777" w:rsidR="00F24039" w:rsidRPr="00736D2F" w:rsidRDefault="00F24039" w:rsidP="00F24039">
      <w:pPr>
        <w:rPr>
          <w:szCs w:val="22"/>
          <w:lang w:val="lt-LT"/>
        </w:rPr>
      </w:pPr>
    </w:p>
    <w:p w14:paraId="45D5FD7C" w14:textId="64DEEB6E" w:rsidR="00F24039" w:rsidRPr="00736D2F" w:rsidRDefault="00F24039" w:rsidP="00F24039">
      <w:pPr>
        <w:rPr>
          <w:szCs w:val="22"/>
          <w:lang w:val="lt-LT"/>
        </w:rPr>
      </w:pPr>
      <w:r w:rsidRPr="00736D2F">
        <w:rPr>
          <w:szCs w:val="22"/>
          <w:lang w:val="lt-LT"/>
        </w:rPr>
        <w:t xml:space="preserve">Kabazitakselis gali keisti gebėjimą vairuoti ir valdyti mechanizmus, kadangi gali sukelti nuovargį ir </w:t>
      </w:r>
      <w:r w:rsidR="009F52C9">
        <w:rPr>
          <w:szCs w:val="22"/>
          <w:lang w:val="lt-LT"/>
        </w:rPr>
        <w:t>svaigulį</w:t>
      </w:r>
      <w:r w:rsidRPr="00736D2F">
        <w:rPr>
          <w:szCs w:val="22"/>
          <w:lang w:val="lt-LT"/>
        </w:rPr>
        <w:t>. Pacientams reikia patarti nevairuoti ir nevaldyti mechanizmų, jei gydymo metu atsiranda minėtų reakcijų.</w:t>
      </w:r>
    </w:p>
    <w:p w14:paraId="3D6A51D1" w14:textId="77777777" w:rsidR="00F24039" w:rsidRPr="00736D2F" w:rsidRDefault="00F24039" w:rsidP="00F24039">
      <w:pPr>
        <w:spacing w:line="240" w:lineRule="auto"/>
        <w:outlineLvl w:val="0"/>
        <w:rPr>
          <w:b/>
          <w:szCs w:val="22"/>
          <w:lang w:val="lt-LT"/>
        </w:rPr>
      </w:pPr>
    </w:p>
    <w:p w14:paraId="32D19B9D" w14:textId="77777777" w:rsidR="00F24039" w:rsidRPr="00736D2F" w:rsidRDefault="00F24039" w:rsidP="00F24039">
      <w:pPr>
        <w:spacing w:line="240" w:lineRule="auto"/>
        <w:outlineLvl w:val="0"/>
        <w:rPr>
          <w:szCs w:val="22"/>
          <w:lang w:val="lt-LT"/>
        </w:rPr>
      </w:pPr>
      <w:r w:rsidRPr="00736D2F">
        <w:rPr>
          <w:b/>
          <w:szCs w:val="22"/>
          <w:lang w:val="lt-LT"/>
        </w:rPr>
        <w:t>4.8</w:t>
      </w:r>
      <w:r w:rsidRPr="00736D2F">
        <w:rPr>
          <w:b/>
          <w:szCs w:val="22"/>
          <w:lang w:val="lt-LT"/>
        </w:rPr>
        <w:tab/>
        <w:t>Nepageidaujamas poveikis</w:t>
      </w:r>
    </w:p>
    <w:p w14:paraId="2E4BA3F6" w14:textId="77777777" w:rsidR="00F24039" w:rsidRPr="00736D2F" w:rsidRDefault="00F24039" w:rsidP="00F24039">
      <w:pPr>
        <w:rPr>
          <w:szCs w:val="22"/>
          <w:highlight w:val="yellow"/>
          <w:lang w:val="lt-LT"/>
        </w:rPr>
      </w:pPr>
    </w:p>
    <w:p w14:paraId="26DDEA9D" w14:textId="7099ED38" w:rsidR="00F24039" w:rsidRPr="00736D2F" w:rsidRDefault="00F24039" w:rsidP="00F24039">
      <w:pPr>
        <w:rPr>
          <w:szCs w:val="22"/>
          <w:u w:val="single"/>
          <w:lang w:val="lt-LT"/>
        </w:rPr>
      </w:pPr>
      <w:r w:rsidRPr="00736D2F">
        <w:rPr>
          <w:szCs w:val="22"/>
          <w:u w:val="single"/>
          <w:lang w:val="lt-LT"/>
        </w:rPr>
        <w:t xml:space="preserve">Saugumo </w:t>
      </w:r>
      <w:r w:rsidR="009F52C9">
        <w:rPr>
          <w:szCs w:val="22"/>
          <w:u w:val="single"/>
          <w:lang w:val="lt-LT"/>
        </w:rPr>
        <w:t>duomenų santrauka</w:t>
      </w:r>
    </w:p>
    <w:p w14:paraId="2A7E3F23" w14:textId="6DB1F32B" w:rsidR="00F24039" w:rsidRPr="00736D2F" w:rsidRDefault="00F24039" w:rsidP="00F24039">
      <w:pPr>
        <w:rPr>
          <w:szCs w:val="22"/>
          <w:lang w:val="lt-LT"/>
        </w:rPr>
      </w:pPr>
      <w:r w:rsidRPr="00736D2F">
        <w:rPr>
          <w:szCs w:val="22"/>
          <w:lang w:val="lt-LT"/>
        </w:rPr>
        <w:t>Gydymo kabazitakseliu kartu su prednizonu ar prednizolonu saugumas vertintas atsitiktinių imčių atviro kontroliuoto III fazės tyrimo, kuriame dalyvav</w:t>
      </w:r>
      <w:r w:rsidR="009F52C9">
        <w:rPr>
          <w:szCs w:val="22"/>
          <w:lang w:val="lt-LT"/>
        </w:rPr>
        <w:t>o</w:t>
      </w:r>
      <w:r w:rsidRPr="00736D2F">
        <w:rPr>
          <w:szCs w:val="22"/>
          <w:lang w:val="lt-LT"/>
        </w:rPr>
        <w:t xml:space="preserve"> 371 pacienta</w:t>
      </w:r>
      <w:r w:rsidR="009F52C9">
        <w:rPr>
          <w:szCs w:val="22"/>
          <w:lang w:val="lt-LT"/>
        </w:rPr>
        <w:t>i</w:t>
      </w:r>
      <w:r w:rsidRPr="00736D2F">
        <w:rPr>
          <w:szCs w:val="22"/>
          <w:lang w:val="lt-LT"/>
        </w:rPr>
        <w:t>, sirgę kastracij</w:t>
      </w:r>
      <w:r w:rsidR="009F52C9">
        <w:rPr>
          <w:szCs w:val="22"/>
          <w:lang w:val="lt-LT"/>
        </w:rPr>
        <w:t>ai atspariu</w:t>
      </w:r>
      <w:r w:rsidRPr="00736D2F">
        <w:rPr>
          <w:szCs w:val="22"/>
          <w:lang w:val="lt-LT"/>
        </w:rPr>
        <w:t xml:space="preserve"> metastazavusiu prostatos vėžiu, kartą kas tris savaites vartojo 25 mg/m</w:t>
      </w:r>
      <w:r w:rsidRPr="00736D2F">
        <w:rPr>
          <w:szCs w:val="22"/>
          <w:vertAlign w:val="superscript"/>
          <w:lang w:val="lt-LT"/>
        </w:rPr>
        <w:t>2</w:t>
      </w:r>
      <w:r w:rsidR="009F52C9">
        <w:rPr>
          <w:szCs w:val="22"/>
          <w:vertAlign w:val="superscript"/>
          <w:lang w:val="lt-LT"/>
        </w:rPr>
        <w:t> </w:t>
      </w:r>
      <w:r w:rsidRPr="00736D2F">
        <w:rPr>
          <w:szCs w:val="22"/>
          <w:lang w:val="lt-LT"/>
        </w:rPr>
        <w:t>kabazitakselio dozę, metu. Pacientams taikytų gydymo kabazitakseliu mediana buvo 6 kursai. Dažniausios (≥ 10 %) pasireiškusios visų sunkumo laipsnių nepageidaujamos reakcijos buvo anemija (97,3 %), leukopenija (95,7 %), neutropenija (93,5 %), trombocitopenija (47,4 %) ir viduriavimas (46,6 %). Dažniausios (≥5 %) ≥ 3 laipsnio nepageidaujamos reakcijos, atsiradusios kabazitakseliu gydytiems pacientams, buvo neutropenija (81,7 %), leukopenija (68,2 %), anemija (10,5 %), febrili</w:t>
      </w:r>
      <w:r w:rsidR="009F52C9">
        <w:rPr>
          <w:szCs w:val="22"/>
          <w:lang w:val="lt-LT"/>
        </w:rPr>
        <w:t>nė</w:t>
      </w:r>
      <w:r w:rsidRPr="00736D2F">
        <w:rPr>
          <w:szCs w:val="22"/>
          <w:lang w:val="lt-LT"/>
        </w:rPr>
        <w:t xml:space="preserve"> neutropenija (7,5 %) ir viduriavimas (6,2 %). </w:t>
      </w:r>
    </w:p>
    <w:p w14:paraId="4848DABC" w14:textId="77777777" w:rsidR="00F24039" w:rsidRPr="00736D2F" w:rsidRDefault="00F24039" w:rsidP="00F24039">
      <w:pPr>
        <w:rPr>
          <w:szCs w:val="22"/>
          <w:lang w:val="lt-LT"/>
        </w:rPr>
      </w:pPr>
    </w:p>
    <w:p w14:paraId="2DFC40E7" w14:textId="77777777" w:rsidR="00F24039" w:rsidRPr="00736D2F" w:rsidRDefault="00F24039" w:rsidP="00F24039">
      <w:pPr>
        <w:rPr>
          <w:szCs w:val="22"/>
          <w:lang w:val="lt-LT"/>
        </w:rPr>
      </w:pPr>
      <w:r w:rsidRPr="00736D2F">
        <w:rPr>
          <w:szCs w:val="22"/>
          <w:lang w:val="lt-LT"/>
        </w:rPr>
        <w:t xml:space="preserve">Dėl nepageidaujamų reakcijų gydymą nutraukė 68 pacientai (18,3 %), vartoję kabazitakselio. Dažniausia nepageidaujama reakcija, dėl kurios nutrauktas kabazitakselio vartojimas, buvo neutropenija. </w:t>
      </w:r>
    </w:p>
    <w:p w14:paraId="4152B941" w14:textId="77777777" w:rsidR="00F24039" w:rsidRPr="00736D2F" w:rsidRDefault="00F24039" w:rsidP="00F24039">
      <w:pPr>
        <w:rPr>
          <w:szCs w:val="22"/>
          <w:lang w:val="lt-LT"/>
        </w:rPr>
      </w:pPr>
    </w:p>
    <w:p w14:paraId="1D99DC90" w14:textId="77777777" w:rsidR="00F24039" w:rsidRPr="00736D2F" w:rsidRDefault="00F24039" w:rsidP="00F24039">
      <w:pPr>
        <w:rPr>
          <w:szCs w:val="22"/>
          <w:u w:val="single"/>
          <w:lang w:val="lt-LT"/>
        </w:rPr>
      </w:pPr>
      <w:r w:rsidRPr="00736D2F">
        <w:rPr>
          <w:szCs w:val="22"/>
          <w:u w:val="single"/>
          <w:lang w:val="lt-LT"/>
        </w:rPr>
        <w:t xml:space="preserve">Nepageidaujamų reakcijų santrauka lentelėje </w:t>
      </w:r>
    </w:p>
    <w:p w14:paraId="32AF5402" w14:textId="67EF3B8A" w:rsidR="00F24039" w:rsidRPr="00736D2F" w:rsidRDefault="00F24039" w:rsidP="00F24039">
      <w:pPr>
        <w:rPr>
          <w:szCs w:val="22"/>
          <w:lang w:val="lt-LT"/>
        </w:rPr>
      </w:pPr>
      <w:r w:rsidRPr="00736D2F">
        <w:rPr>
          <w:szCs w:val="22"/>
          <w:lang w:val="lt-LT"/>
        </w:rPr>
        <w:t>2 lentelėje išvardytos reakcijos suskirstytos pagal MedDRA organų sistemų klases ir atsiradimo dažnumą. Kiekvienoje dažnio grupėje nepageidaujamas poveikis pateikiamas mažėjančio sunkumo tvarka. Nepageidaujamų reakcijų sunkumas suskirstytas pagal CTCAE 4.0 (≥ 3 laipsnis = G≥ 3). Dažnio atvejai, apskaičiuoti įvertinus visų sunkumo laipsnių reakcijas ir apibūdinami taip: labai dažn</w:t>
      </w:r>
      <w:r w:rsidR="009F52C9">
        <w:rPr>
          <w:szCs w:val="22"/>
          <w:lang w:val="lt-LT"/>
        </w:rPr>
        <w:t>as</w:t>
      </w:r>
      <w:r w:rsidRPr="00736D2F">
        <w:rPr>
          <w:szCs w:val="22"/>
          <w:lang w:val="lt-LT"/>
        </w:rPr>
        <w:t xml:space="preserve"> (≥ 1/10), dažn</w:t>
      </w:r>
      <w:r w:rsidR="009F52C9">
        <w:rPr>
          <w:szCs w:val="22"/>
          <w:lang w:val="lt-LT"/>
        </w:rPr>
        <w:t>as</w:t>
      </w:r>
      <w:r w:rsidRPr="00736D2F">
        <w:rPr>
          <w:szCs w:val="22"/>
          <w:lang w:val="lt-LT"/>
        </w:rPr>
        <w:t xml:space="preserve"> (nuo ≥ 1/100 iki &lt; 1/10), nedažn</w:t>
      </w:r>
      <w:r w:rsidR="009F52C9">
        <w:rPr>
          <w:szCs w:val="22"/>
          <w:lang w:val="lt-LT"/>
        </w:rPr>
        <w:t>as</w:t>
      </w:r>
      <w:r w:rsidRPr="00736D2F">
        <w:rPr>
          <w:szCs w:val="22"/>
          <w:lang w:val="lt-LT"/>
        </w:rPr>
        <w:t xml:space="preserve"> (nuo ≥ 1/1 000 iki &lt; 1/100), ret</w:t>
      </w:r>
      <w:r w:rsidR="009F52C9">
        <w:rPr>
          <w:szCs w:val="22"/>
          <w:lang w:val="lt-LT"/>
        </w:rPr>
        <w:t>as</w:t>
      </w:r>
      <w:r w:rsidRPr="00736D2F">
        <w:rPr>
          <w:szCs w:val="22"/>
          <w:lang w:val="lt-LT"/>
        </w:rPr>
        <w:t xml:space="preserve"> (nuo ≥ 1/10 000 iki &lt; 1/1 000), labai ret</w:t>
      </w:r>
      <w:r w:rsidR="009F52C9">
        <w:rPr>
          <w:szCs w:val="22"/>
          <w:lang w:val="lt-LT"/>
        </w:rPr>
        <w:t>as</w:t>
      </w:r>
      <w:r w:rsidRPr="00736D2F">
        <w:rPr>
          <w:szCs w:val="22"/>
          <w:lang w:val="lt-LT"/>
        </w:rPr>
        <w:t xml:space="preserve"> (&lt; 1/10000), dažnis nežinomas (negali būti </w:t>
      </w:r>
      <w:r w:rsidR="00692424" w:rsidRPr="00736D2F">
        <w:rPr>
          <w:bCs/>
          <w:snapToGrid w:val="0"/>
          <w:szCs w:val="22"/>
          <w:lang w:val="lt-LT" w:eastAsia="x-none"/>
        </w:rPr>
        <w:t>apskaičiuotas</w:t>
      </w:r>
      <w:r w:rsidR="00692424" w:rsidRPr="00736D2F">
        <w:rPr>
          <w:szCs w:val="22"/>
          <w:lang w:val="lt-LT"/>
        </w:rPr>
        <w:t xml:space="preserve"> </w:t>
      </w:r>
      <w:r w:rsidRPr="00736D2F">
        <w:rPr>
          <w:szCs w:val="22"/>
          <w:lang w:val="lt-LT"/>
        </w:rPr>
        <w:t xml:space="preserve">pagal turimus duomenis). </w:t>
      </w:r>
    </w:p>
    <w:p w14:paraId="0B36A673" w14:textId="77777777" w:rsidR="00692424" w:rsidRPr="00736D2F" w:rsidRDefault="00692424" w:rsidP="00F24039">
      <w:pPr>
        <w:rPr>
          <w:szCs w:val="22"/>
          <w:lang w:val="lt-LT"/>
        </w:rPr>
      </w:pPr>
    </w:p>
    <w:p w14:paraId="4A9C3576" w14:textId="77777777" w:rsidR="00F24039" w:rsidRPr="00736D2F" w:rsidRDefault="00F24039" w:rsidP="00F24039">
      <w:pPr>
        <w:rPr>
          <w:szCs w:val="22"/>
          <w:lang w:val="lt-LT"/>
        </w:rPr>
      </w:pPr>
      <w:r w:rsidRPr="00736D2F">
        <w:rPr>
          <w:szCs w:val="22"/>
          <w:lang w:val="lt-LT"/>
        </w:rPr>
        <w:t>2 lentelė. Nepageidaujamos reakcijos ir hematologiniai nukrypimai, atsiradę vartojant kabazitakselio kartu su prednizonu ar prednizolonu TROPIC tyrimo metu (n=371)</w:t>
      </w:r>
    </w:p>
    <w:p w14:paraId="65BBC5BC" w14:textId="77777777" w:rsidR="00F24039" w:rsidRPr="00736D2F" w:rsidRDefault="00F24039" w:rsidP="00F24039">
      <w:pPr>
        <w:tabs>
          <w:tab w:val="center" w:pos="567"/>
        </w:tabs>
        <w:spacing w:line="240" w:lineRule="auto"/>
        <w:ind w:right="122"/>
        <w:contextualSpacing/>
        <w:rPr>
          <w:szCs w:val="22"/>
          <w:lang w:val="lt-LT"/>
        </w:rPr>
      </w:pPr>
    </w:p>
    <w:tbl>
      <w:tblPr>
        <w:tblW w:w="9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2650"/>
        <w:gridCol w:w="1559"/>
        <w:gridCol w:w="1480"/>
        <w:gridCol w:w="1275"/>
      </w:tblGrid>
      <w:tr w:rsidR="009B566E" w:rsidRPr="00736D2F" w14:paraId="3ACA02BC" w14:textId="77777777" w:rsidTr="00262E68">
        <w:trPr>
          <w:trHeight w:hRule="exact" w:val="530"/>
          <w:tblHeader/>
        </w:trPr>
        <w:tc>
          <w:tcPr>
            <w:tcW w:w="2160" w:type="dxa"/>
            <w:vMerge w:val="restart"/>
            <w:tcMar>
              <w:left w:w="57" w:type="dxa"/>
              <w:right w:w="0" w:type="dxa"/>
            </w:tcMar>
          </w:tcPr>
          <w:p w14:paraId="6F9D9D47" w14:textId="77777777" w:rsidR="009B566E" w:rsidRPr="00736D2F" w:rsidRDefault="009B566E" w:rsidP="00163693">
            <w:pPr>
              <w:spacing w:line="240" w:lineRule="auto"/>
              <w:ind w:right="-20"/>
              <w:contextualSpacing/>
              <w:rPr>
                <w:b/>
                <w:szCs w:val="22"/>
                <w:lang w:val="lt-LT"/>
              </w:rPr>
            </w:pPr>
            <w:r w:rsidRPr="00736D2F">
              <w:rPr>
                <w:b/>
                <w:szCs w:val="22"/>
                <w:lang w:val="lt-LT"/>
              </w:rPr>
              <w:t>Organų sistemų klasė</w:t>
            </w:r>
          </w:p>
        </w:tc>
        <w:tc>
          <w:tcPr>
            <w:tcW w:w="2650" w:type="dxa"/>
            <w:vMerge w:val="restart"/>
            <w:tcMar>
              <w:left w:w="57" w:type="dxa"/>
              <w:right w:w="0" w:type="dxa"/>
            </w:tcMar>
          </w:tcPr>
          <w:p w14:paraId="0CA7A0C9" w14:textId="77777777" w:rsidR="009B566E" w:rsidRPr="00736D2F" w:rsidRDefault="009B566E" w:rsidP="003E761C">
            <w:pPr>
              <w:spacing w:line="240" w:lineRule="auto"/>
              <w:ind w:right="-20"/>
              <w:contextualSpacing/>
              <w:jc w:val="center"/>
              <w:rPr>
                <w:b/>
                <w:szCs w:val="22"/>
                <w:lang w:val="lt-LT"/>
              </w:rPr>
            </w:pPr>
            <w:r w:rsidRPr="00736D2F">
              <w:rPr>
                <w:b/>
                <w:szCs w:val="22"/>
                <w:lang w:val="lt-LT"/>
              </w:rPr>
              <w:t>Nepageidaujama reakcija</w:t>
            </w:r>
          </w:p>
        </w:tc>
        <w:tc>
          <w:tcPr>
            <w:tcW w:w="3039" w:type="dxa"/>
            <w:gridSpan w:val="2"/>
            <w:tcMar>
              <w:left w:w="57" w:type="dxa"/>
              <w:right w:w="0" w:type="dxa"/>
            </w:tcMar>
          </w:tcPr>
          <w:p w14:paraId="15CFF964" w14:textId="77777777" w:rsidR="009B566E" w:rsidRPr="00736D2F" w:rsidRDefault="009B566E" w:rsidP="00163693">
            <w:pPr>
              <w:spacing w:line="240" w:lineRule="auto"/>
              <w:contextualSpacing/>
              <w:jc w:val="center"/>
              <w:rPr>
                <w:b/>
                <w:szCs w:val="22"/>
                <w:lang w:val="lt-LT"/>
              </w:rPr>
            </w:pPr>
            <w:r w:rsidRPr="00736D2F">
              <w:rPr>
                <w:b/>
                <w:szCs w:val="22"/>
                <w:lang w:val="lt-LT"/>
              </w:rPr>
              <w:t>Visų sunkumo laipsnių n (%)</w:t>
            </w:r>
          </w:p>
        </w:tc>
        <w:tc>
          <w:tcPr>
            <w:tcW w:w="1275" w:type="dxa"/>
            <w:vMerge w:val="restart"/>
            <w:tcMar>
              <w:left w:w="57" w:type="dxa"/>
              <w:right w:w="0" w:type="dxa"/>
            </w:tcMar>
          </w:tcPr>
          <w:p w14:paraId="669F37E9" w14:textId="77777777" w:rsidR="009B566E" w:rsidRPr="00736D2F" w:rsidRDefault="009B566E" w:rsidP="00163693">
            <w:pPr>
              <w:spacing w:line="240" w:lineRule="auto"/>
              <w:contextualSpacing/>
              <w:rPr>
                <w:b/>
                <w:szCs w:val="22"/>
                <w:lang w:val="lt-LT"/>
              </w:rPr>
            </w:pPr>
            <w:r w:rsidRPr="00736D2F">
              <w:rPr>
                <w:b/>
                <w:szCs w:val="22"/>
                <w:lang w:val="lt-LT"/>
              </w:rPr>
              <w:t xml:space="preserve">&gt; 3 laipsnio </w:t>
            </w:r>
          </w:p>
          <w:p w14:paraId="0530C389" w14:textId="77777777" w:rsidR="009B566E" w:rsidRPr="00736D2F" w:rsidRDefault="009B566E" w:rsidP="00163693">
            <w:pPr>
              <w:spacing w:line="240" w:lineRule="auto"/>
              <w:contextualSpacing/>
              <w:rPr>
                <w:b/>
                <w:szCs w:val="22"/>
                <w:lang w:val="lt-LT"/>
              </w:rPr>
            </w:pPr>
            <w:r w:rsidRPr="00736D2F">
              <w:rPr>
                <w:b/>
                <w:szCs w:val="22"/>
                <w:lang w:val="lt-LT"/>
              </w:rPr>
              <w:t xml:space="preserve">      n (%)</w:t>
            </w:r>
          </w:p>
        </w:tc>
      </w:tr>
      <w:tr w:rsidR="009B566E" w:rsidRPr="00736D2F" w14:paraId="47EE40D5" w14:textId="77777777" w:rsidTr="00262E68">
        <w:trPr>
          <w:trHeight w:hRule="exact" w:val="269"/>
          <w:tblHeader/>
        </w:trPr>
        <w:tc>
          <w:tcPr>
            <w:tcW w:w="2160" w:type="dxa"/>
            <w:vMerge/>
            <w:tcMar>
              <w:left w:w="57" w:type="dxa"/>
              <w:right w:w="0" w:type="dxa"/>
            </w:tcMar>
          </w:tcPr>
          <w:p w14:paraId="72D7C754" w14:textId="77777777" w:rsidR="009B566E" w:rsidRPr="00736D2F" w:rsidRDefault="009B566E" w:rsidP="00163693">
            <w:pPr>
              <w:tabs>
                <w:tab w:val="center" w:pos="567"/>
              </w:tabs>
              <w:spacing w:line="240" w:lineRule="auto"/>
              <w:ind w:right="-20"/>
              <w:contextualSpacing/>
              <w:rPr>
                <w:b/>
                <w:spacing w:val="-1"/>
                <w:szCs w:val="22"/>
                <w:lang w:val="lt-LT"/>
              </w:rPr>
            </w:pPr>
          </w:p>
        </w:tc>
        <w:tc>
          <w:tcPr>
            <w:tcW w:w="2650" w:type="dxa"/>
            <w:vMerge/>
            <w:tcMar>
              <w:left w:w="57" w:type="dxa"/>
              <w:right w:w="0" w:type="dxa"/>
            </w:tcMar>
          </w:tcPr>
          <w:p w14:paraId="5B06C3F8" w14:textId="77777777" w:rsidR="009B566E" w:rsidRPr="00736D2F" w:rsidRDefault="009B566E" w:rsidP="00163693">
            <w:pPr>
              <w:tabs>
                <w:tab w:val="center" w:pos="567"/>
              </w:tabs>
              <w:spacing w:line="240" w:lineRule="auto"/>
              <w:ind w:right="-20"/>
              <w:contextualSpacing/>
              <w:rPr>
                <w:b/>
                <w:spacing w:val="-1"/>
                <w:szCs w:val="22"/>
                <w:lang w:val="lt-LT"/>
              </w:rPr>
            </w:pPr>
          </w:p>
        </w:tc>
        <w:tc>
          <w:tcPr>
            <w:tcW w:w="1559" w:type="dxa"/>
            <w:tcMar>
              <w:left w:w="57" w:type="dxa"/>
              <w:right w:w="0" w:type="dxa"/>
            </w:tcMar>
          </w:tcPr>
          <w:p w14:paraId="2D98F502" w14:textId="5FCC15D7" w:rsidR="009B566E" w:rsidRPr="00736D2F" w:rsidRDefault="009B566E" w:rsidP="009B566E">
            <w:pPr>
              <w:tabs>
                <w:tab w:val="center" w:pos="567"/>
              </w:tabs>
              <w:spacing w:line="240" w:lineRule="auto"/>
              <w:ind w:right="-20"/>
              <w:contextualSpacing/>
              <w:jc w:val="center"/>
              <w:rPr>
                <w:b/>
                <w:spacing w:val="-1"/>
                <w:szCs w:val="22"/>
                <w:lang w:val="lt-LT"/>
              </w:rPr>
            </w:pPr>
            <w:r w:rsidRPr="00736D2F">
              <w:rPr>
                <w:szCs w:val="22"/>
                <w:lang w:val="lt-LT"/>
              </w:rPr>
              <w:t>Labai dažn</w:t>
            </w:r>
            <w:r w:rsidR="009F52C9">
              <w:rPr>
                <w:szCs w:val="22"/>
                <w:lang w:val="lt-LT"/>
              </w:rPr>
              <w:t>as</w:t>
            </w:r>
          </w:p>
        </w:tc>
        <w:tc>
          <w:tcPr>
            <w:tcW w:w="1480" w:type="dxa"/>
            <w:tcMar>
              <w:left w:w="57" w:type="dxa"/>
              <w:right w:w="0" w:type="dxa"/>
            </w:tcMar>
          </w:tcPr>
          <w:p w14:paraId="5FFC277D" w14:textId="336ECAD9" w:rsidR="009B566E" w:rsidRPr="00736D2F" w:rsidRDefault="009B566E" w:rsidP="009B566E">
            <w:pPr>
              <w:tabs>
                <w:tab w:val="center" w:pos="567"/>
              </w:tabs>
              <w:spacing w:line="240" w:lineRule="auto"/>
              <w:ind w:right="-20"/>
              <w:contextualSpacing/>
              <w:jc w:val="center"/>
              <w:rPr>
                <w:b/>
                <w:spacing w:val="-1"/>
                <w:szCs w:val="22"/>
                <w:lang w:val="lt-LT"/>
              </w:rPr>
            </w:pPr>
            <w:r w:rsidRPr="00736D2F">
              <w:rPr>
                <w:szCs w:val="22"/>
                <w:lang w:val="lt-LT"/>
              </w:rPr>
              <w:t>Dažn</w:t>
            </w:r>
            <w:r w:rsidR="009F52C9">
              <w:rPr>
                <w:szCs w:val="22"/>
                <w:lang w:val="lt-LT"/>
              </w:rPr>
              <w:t>as</w:t>
            </w:r>
          </w:p>
        </w:tc>
        <w:tc>
          <w:tcPr>
            <w:tcW w:w="1275" w:type="dxa"/>
            <w:vMerge/>
            <w:tcMar>
              <w:left w:w="57" w:type="dxa"/>
              <w:right w:w="0" w:type="dxa"/>
            </w:tcMar>
          </w:tcPr>
          <w:p w14:paraId="6783D77A" w14:textId="77777777" w:rsidR="009B566E" w:rsidRPr="00736D2F" w:rsidRDefault="009B566E" w:rsidP="00163693">
            <w:pPr>
              <w:tabs>
                <w:tab w:val="center" w:pos="567"/>
              </w:tabs>
              <w:spacing w:line="240" w:lineRule="auto"/>
              <w:ind w:right="-20"/>
              <w:contextualSpacing/>
              <w:rPr>
                <w:b/>
                <w:spacing w:val="-1"/>
                <w:szCs w:val="22"/>
                <w:lang w:val="lt-LT"/>
              </w:rPr>
            </w:pPr>
          </w:p>
        </w:tc>
      </w:tr>
      <w:tr w:rsidR="00F24039" w:rsidRPr="00736D2F" w14:paraId="450E18D1" w14:textId="77777777" w:rsidTr="00262E68">
        <w:trPr>
          <w:trHeight w:hRule="exact" w:val="271"/>
        </w:trPr>
        <w:tc>
          <w:tcPr>
            <w:tcW w:w="2160" w:type="dxa"/>
            <w:vMerge w:val="restart"/>
            <w:tcMar>
              <w:left w:w="57" w:type="dxa"/>
              <w:right w:w="0" w:type="dxa"/>
            </w:tcMar>
            <w:vAlign w:val="center"/>
          </w:tcPr>
          <w:p w14:paraId="1A39F93B"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Infekcijos ir infestacijos</w:t>
            </w:r>
          </w:p>
        </w:tc>
        <w:tc>
          <w:tcPr>
            <w:tcW w:w="2650" w:type="dxa"/>
            <w:tcMar>
              <w:left w:w="57" w:type="dxa"/>
              <w:right w:w="0" w:type="dxa"/>
            </w:tcMar>
          </w:tcPr>
          <w:p w14:paraId="3D1B1BB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Sepsinis šokas</w:t>
            </w:r>
          </w:p>
        </w:tc>
        <w:tc>
          <w:tcPr>
            <w:tcW w:w="1559" w:type="dxa"/>
            <w:tcMar>
              <w:left w:w="57" w:type="dxa"/>
              <w:right w:w="0" w:type="dxa"/>
            </w:tcMar>
          </w:tcPr>
          <w:p w14:paraId="5402CF56"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0AD8F54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40457E6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5E6269AE" w14:textId="77777777" w:rsidTr="00262E68">
        <w:trPr>
          <w:trHeight w:hRule="exact" w:val="269"/>
        </w:trPr>
        <w:tc>
          <w:tcPr>
            <w:tcW w:w="2160" w:type="dxa"/>
            <w:vMerge/>
            <w:tcMar>
              <w:left w:w="57" w:type="dxa"/>
              <w:right w:w="0" w:type="dxa"/>
            </w:tcMar>
            <w:vAlign w:val="center"/>
          </w:tcPr>
          <w:p w14:paraId="48DAF200"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282CF4E"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Sepsis</w:t>
            </w:r>
          </w:p>
        </w:tc>
        <w:tc>
          <w:tcPr>
            <w:tcW w:w="1559" w:type="dxa"/>
            <w:tcMar>
              <w:left w:w="57" w:type="dxa"/>
              <w:right w:w="0" w:type="dxa"/>
            </w:tcMar>
          </w:tcPr>
          <w:p w14:paraId="3F57ACFE"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219454F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528BF5D2"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629B0E1A" w14:textId="77777777" w:rsidTr="00262E68">
        <w:trPr>
          <w:trHeight w:hRule="exact" w:val="271"/>
        </w:trPr>
        <w:tc>
          <w:tcPr>
            <w:tcW w:w="2160" w:type="dxa"/>
            <w:vMerge/>
            <w:tcMar>
              <w:left w:w="57" w:type="dxa"/>
              <w:right w:w="0" w:type="dxa"/>
            </w:tcMar>
            <w:vAlign w:val="center"/>
          </w:tcPr>
          <w:p w14:paraId="007D23BD"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BD0AFD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Celiulitas</w:t>
            </w:r>
          </w:p>
        </w:tc>
        <w:tc>
          <w:tcPr>
            <w:tcW w:w="1559" w:type="dxa"/>
            <w:tcMar>
              <w:left w:w="57" w:type="dxa"/>
              <w:right w:w="0" w:type="dxa"/>
            </w:tcMar>
          </w:tcPr>
          <w:p w14:paraId="6FF7F047"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15C9B92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c>
          <w:tcPr>
            <w:tcW w:w="1275" w:type="dxa"/>
            <w:tcMar>
              <w:left w:w="57" w:type="dxa"/>
              <w:right w:w="0" w:type="dxa"/>
            </w:tcMar>
          </w:tcPr>
          <w:p w14:paraId="76D19DA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413E3180" w14:textId="77777777" w:rsidTr="00262E68">
        <w:trPr>
          <w:trHeight w:hRule="exact" w:val="269"/>
        </w:trPr>
        <w:tc>
          <w:tcPr>
            <w:tcW w:w="2160" w:type="dxa"/>
            <w:vMerge/>
            <w:tcMar>
              <w:left w:w="57" w:type="dxa"/>
              <w:right w:w="0" w:type="dxa"/>
            </w:tcMar>
            <w:vAlign w:val="center"/>
          </w:tcPr>
          <w:p w14:paraId="7178D8E1"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4251CFC"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Šlapimo takų infekcija</w:t>
            </w:r>
          </w:p>
        </w:tc>
        <w:tc>
          <w:tcPr>
            <w:tcW w:w="1559" w:type="dxa"/>
            <w:tcMar>
              <w:left w:w="57" w:type="dxa"/>
              <w:right w:w="0" w:type="dxa"/>
            </w:tcMar>
          </w:tcPr>
          <w:p w14:paraId="5ED5C31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49AA378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27 (7,3)</w:t>
            </w:r>
          </w:p>
        </w:tc>
        <w:tc>
          <w:tcPr>
            <w:tcW w:w="1275" w:type="dxa"/>
            <w:tcMar>
              <w:left w:w="57" w:type="dxa"/>
              <w:right w:w="0" w:type="dxa"/>
            </w:tcMar>
          </w:tcPr>
          <w:p w14:paraId="222003C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52BCC3F9" w14:textId="77777777" w:rsidTr="00262E68">
        <w:trPr>
          <w:trHeight w:hRule="exact" w:val="278"/>
        </w:trPr>
        <w:tc>
          <w:tcPr>
            <w:tcW w:w="2160" w:type="dxa"/>
            <w:vMerge/>
            <w:tcMar>
              <w:left w:w="57" w:type="dxa"/>
              <w:right w:w="0" w:type="dxa"/>
            </w:tcMar>
            <w:vAlign w:val="center"/>
          </w:tcPr>
          <w:p w14:paraId="09FDE288"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6BE82583"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Gripas</w:t>
            </w:r>
          </w:p>
        </w:tc>
        <w:tc>
          <w:tcPr>
            <w:tcW w:w="1559" w:type="dxa"/>
            <w:tcMar>
              <w:left w:w="57" w:type="dxa"/>
              <w:right w:w="0" w:type="dxa"/>
            </w:tcMar>
          </w:tcPr>
          <w:p w14:paraId="43F415F0"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5FA821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11 (3)</w:t>
            </w:r>
          </w:p>
        </w:tc>
        <w:tc>
          <w:tcPr>
            <w:tcW w:w="1275" w:type="dxa"/>
            <w:tcMar>
              <w:left w:w="57" w:type="dxa"/>
              <w:right w:w="0" w:type="dxa"/>
            </w:tcMar>
          </w:tcPr>
          <w:p w14:paraId="765C6C8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243FBE8C" w14:textId="77777777" w:rsidTr="00262E68">
        <w:trPr>
          <w:trHeight w:hRule="exact" w:val="271"/>
        </w:trPr>
        <w:tc>
          <w:tcPr>
            <w:tcW w:w="2160" w:type="dxa"/>
            <w:vMerge/>
            <w:tcMar>
              <w:left w:w="57" w:type="dxa"/>
              <w:right w:w="0" w:type="dxa"/>
            </w:tcMar>
            <w:vAlign w:val="center"/>
          </w:tcPr>
          <w:p w14:paraId="2EB6F935"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3C832040"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Cistitas</w:t>
            </w:r>
          </w:p>
        </w:tc>
        <w:tc>
          <w:tcPr>
            <w:tcW w:w="1559" w:type="dxa"/>
            <w:tcMar>
              <w:left w:w="57" w:type="dxa"/>
              <w:right w:w="0" w:type="dxa"/>
            </w:tcMar>
          </w:tcPr>
          <w:p w14:paraId="0D79015C"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635CC2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10 (2,7)</w:t>
            </w:r>
          </w:p>
        </w:tc>
        <w:tc>
          <w:tcPr>
            <w:tcW w:w="1275" w:type="dxa"/>
            <w:tcMar>
              <w:left w:w="57" w:type="dxa"/>
              <w:right w:w="0" w:type="dxa"/>
            </w:tcMar>
          </w:tcPr>
          <w:p w14:paraId="08E715E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6165595F" w14:textId="77777777" w:rsidTr="00262E68">
        <w:trPr>
          <w:trHeight w:hRule="exact" w:val="530"/>
        </w:trPr>
        <w:tc>
          <w:tcPr>
            <w:tcW w:w="2160" w:type="dxa"/>
            <w:vMerge/>
            <w:tcMar>
              <w:left w:w="57" w:type="dxa"/>
              <w:right w:w="0" w:type="dxa"/>
            </w:tcMar>
            <w:vAlign w:val="center"/>
          </w:tcPr>
          <w:p w14:paraId="3C7DB7DB"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3E0332D6"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Viršutinių kvėpavimo takų infekcija</w:t>
            </w:r>
          </w:p>
        </w:tc>
        <w:tc>
          <w:tcPr>
            <w:tcW w:w="1559" w:type="dxa"/>
            <w:tcMar>
              <w:left w:w="57" w:type="dxa"/>
              <w:right w:w="0" w:type="dxa"/>
            </w:tcMar>
          </w:tcPr>
          <w:p w14:paraId="1BC21343"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F69AAC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10 (2,7)</w:t>
            </w:r>
          </w:p>
        </w:tc>
        <w:tc>
          <w:tcPr>
            <w:tcW w:w="1275" w:type="dxa"/>
            <w:tcMar>
              <w:left w:w="57" w:type="dxa"/>
              <w:right w:w="0" w:type="dxa"/>
            </w:tcMar>
          </w:tcPr>
          <w:p w14:paraId="13CAAD4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61661400" w14:textId="77777777" w:rsidTr="00262E68">
        <w:trPr>
          <w:trHeight w:hRule="exact" w:val="269"/>
        </w:trPr>
        <w:tc>
          <w:tcPr>
            <w:tcW w:w="2160" w:type="dxa"/>
            <w:vMerge/>
            <w:tcMar>
              <w:left w:w="57" w:type="dxa"/>
              <w:right w:w="0" w:type="dxa"/>
            </w:tcMar>
            <w:vAlign w:val="center"/>
          </w:tcPr>
          <w:p w14:paraId="08228BA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305415A1"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Juostinė pūslelinė</w:t>
            </w:r>
          </w:p>
        </w:tc>
        <w:tc>
          <w:tcPr>
            <w:tcW w:w="1559" w:type="dxa"/>
            <w:tcMar>
              <w:left w:w="57" w:type="dxa"/>
              <w:right w:w="0" w:type="dxa"/>
            </w:tcMar>
          </w:tcPr>
          <w:p w14:paraId="24CE8F6A"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360ABC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4EA9C13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6D520D19" w14:textId="77777777" w:rsidTr="00262E68">
        <w:trPr>
          <w:trHeight w:hRule="exact" w:val="271"/>
        </w:trPr>
        <w:tc>
          <w:tcPr>
            <w:tcW w:w="2160" w:type="dxa"/>
            <w:vMerge/>
            <w:tcMar>
              <w:left w:w="57" w:type="dxa"/>
              <w:right w:w="0" w:type="dxa"/>
            </w:tcMar>
            <w:vAlign w:val="center"/>
          </w:tcPr>
          <w:p w14:paraId="241A269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A47E3A6"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Kandidozė</w:t>
            </w:r>
          </w:p>
        </w:tc>
        <w:tc>
          <w:tcPr>
            <w:tcW w:w="1559" w:type="dxa"/>
            <w:tcMar>
              <w:left w:w="57" w:type="dxa"/>
              <w:right w:w="0" w:type="dxa"/>
            </w:tcMar>
          </w:tcPr>
          <w:p w14:paraId="52F51AE4"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015708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718A9A6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2AF7D06" w14:textId="77777777" w:rsidTr="00262E68">
        <w:trPr>
          <w:trHeight w:hRule="exact" w:val="269"/>
        </w:trPr>
        <w:tc>
          <w:tcPr>
            <w:tcW w:w="2160" w:type="dxa"/>
            <w:vMerge w:val="restart"/>
            <w:tcMar>
              <w:left w:w="57" w:type="dxa"/>
              <w:right w:w="0" w:type="dxa"/>
            </w:tcMar>
            <w:vAlign w:val="center"/>
          </w:tcPr>
          <w:p w14:paraId="7FCD7462"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Kraujo ir limfinės sistemos sutrikimai</w:t>
            </w:r>
          </w:p>
        </w:tc>
        <w:tc>
          <w:tcPr>
            <w:tcW w:w="2650" w:type="dxa"/>
            <w:tcMar>
              <w:left w:w="57" w:type="dxa"/>
              <w:right w:w="0" w:type="dxa"/>
            </w:tcMar>
          </w:tcPr>
          <w:p w14:paraId="07F6E0F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Neutropenija</w:t>
            </w:r>
            <w:r w:rsidRPr="00736D2F">
              <w:rPr>
                <w:spacing w:val="-1"/>
                <w:szCs w:val="22"/>
                <w:vertAlign w:val="superscript"/>
                <w:lang w:val="lt-LT"/>
              </w:rPr>
              <w:t>a</w:t>
            </w:r>
            <w:r w:rsidRPr="00736D2F">
              <w:rPr>
                <w:spacing w:val="-1"/>
                <w:szCs w:val="22"/>
                <w:lang w:val="lt-LT"/>
              </w:rPr>
              <w:t>*</w:t>
            </w:r>
          </w:p>
        </w:tc>
        <w:tc>
          <w:tcPr>
            <w:tcW w:w="1559" w:type="dxa"/>
            <w:tcMar>
              <w:left w:w="57" w:type="dxa"/>
              <w:right w:w="0" w:type="dxa"/>
            </w:tcMar>
          </w:tcPr>
          <w:p w14:paraId="252240D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347 (93,5)</w:t>
            </w:r>
          </w:p>
        </w:tc>
        <w:tc>
          <w:tcPr>
            <w:tcW w:w="1480" w:type="dxa"/>
            <w:tcMar>
              <w:left w:w="57" w:type="dxa"/>
              <w:right w:w="0" w:type="dxa"/>
            </w:tcMar>
          </w:tcPr>
          <w:p w14:paraId="2E1D9C3F"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40FFDC3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303 (81,7)</w:t>
            </w:r>
          </w:p>
        </w:tc>
      </w:tr>
      <w:tr w:rsidR="00F24039" w:rsidRPr="00736D2F" w14:paraId="0765B1E4" w14:textId="77777777" w:rsidTr="00262E68">
        <w:trPr>
          <w:trHeight w:hRule="exact" w:val="247"/>
        </w:trPr>
        <w:tc>
          <w:tcPr>
            <w:tcW w:w="2160" w:type="dxa"/>
            <w:vMerge/>
            <w:tcMar>
              <w:left w:w="57" w:type="dxa"/>
              <w:right w:w="0" w:type="dxa"/>
            </w:tcMar>
            <w:vAlign w:val="center"/>
          </w:tcPr>
          <w:p w14:paraId="115C299F"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7B5757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Anemija</w:t>
            </w:r>
            <w:r w:rsidRPr="00736D2F">
              <w:rPr>
                <w:spacing w:val="-1"/>
                <w:szCs w:val="22"/>
                <w:vertAlign w:val="superscript"/>
                <w:lang w:val="lt-LT"/>
              </w:rPr>
              <w:t>a</w:t>
            </w:r>
          </w:p>
        </w:tc>
        <w:tc>
          <w:tcPr>
            <w:tcW w:w="1559" w:type="dxa"/>
            <w:tcMar>
              <w:left w:w="57" w:type="dxa"/>
              <w:right w:w="0" w:type="dxa"/>
            </w:tcMar>
          </w:tcPr>
          <w:p w14:paraId="2767C1E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361 (97,3)</w:t>
            </w:r>
          </w:p>
        </w:tc>
        <w:tc>
          <w:tcPr>
            <w:tcW w:w="1480" w:type="dxa"/>
            <w:tcMar>
              <w:left w:w="57" w:type="dxa"/>
              <w:right w:w="0" w:type="dxa"/>
            </w:tcMar>
          </w:tcPr>
          <w:p w14:paraId="52877252"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313989B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39 (10,5)</w:t>
            </w:r>
          </w:p>
        </w:tc>
      </w:tr>
      <w:tr w:rsidR="00F24039" w:rsidRPr="00736D2F" w14:paraId="00AE5A9E" w14:textId="77777777" w:rsidTr="00262E68">
        <w:trPr>
          <w:trHeight w:hRule="exact" w:val="281"/>
        </w:trPr>
        <w:tc>
          <w:tcPr>
            <w:tcW w:w="2160" w:type="dxa"/>
            <w:vMerge/>
            <w:tcMar>
              <w:left w:w="57" w:type="dxa"/>
              <w:right w:w="0" w:type="dxa"/>
            </w:tcMar>
            <w:vAlign w:val="center"/>
          </w:tcPr>
          <w:p w14:paraId="63661AF8"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F257D33"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Leukopenija</w:t>
            </w:r>
            <w:r w:rsidRPr="00736D2F">
              <w:rPr>
                <w:spacing w:val="-1"/>
                <w:szCs w:val="22"/>
                <w:vertAlign w:val="superscript"/>
                <w:lang w:val="lt-LT"/>
              </w:rPr>
              <w:t>a</w:t>
            </w:r>
          </w:p>
        </w:tc>
        <w:tc>
          <w:tcPr>
            <w:tcW w:w="1559" w:type="dxa"/>
            <w:tcMar>
              <w:left w:w="57" w:type="dxa"/>
              <w:right w:w="0" w:type="dxa"/>
            </w:tcMar>
          </w:tcPr>
          <w:p w14:paraId="3C40F6F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355 (95,7)</w:t>
            </w:r>
          </w:p>
        </w:tc>
        <w:tc>
          <w:tcPr>
            <w:tcW w:w="1480" w:type="dxa"/>
            <w:tcMar>
              <w:left w:w="57" w:type="dxa"/>
              <w:right w:w="0" w:type="dxa"/>
            </w:tcMar>
          </w:tcPr>
          <w:p w14:paraId="234EB7EC"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1DF2A4F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253 (68,2)</w:t>
            </w:r>
          </w:p>
        </w:tc>
      </w:tr>
      <w:tr w:rsidR="00F24039" w:rsidRPr="00736D2F" w14:paraId="23EB2F7C" w14:textId="77777777" w:rsidTr="00262E68">
        <w:trPr>
          <w:trHeight w:hRule="exact" w:val="291"/>
        </w:trPr>
        <w:tc>
          <w:tcPr>
            <w:tcW w:w="2160" w:type="dxa"/>
            <w:vMerge/>
            <w:tcMar>
              <w:left w:w="57" w:type="dxa"/>
              <w:right w:w="0" w:type="dxa"/>
            </w:tcMar>
            <w:vAlign w:val="center"/>
          </w:tcPr>
          <w:p w14:paraId="3BD70131"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2558B92"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Trombocitopenija</w:t>
            </w:r>
            <w:r w:rsidRPr="00736D2F">
              <w:rPr>
                <w:szCs w:val="22"/>
                <w:vertAlign w:val="superscript"/>
                <w:lang w:val="lt-LT"/>
              </w:rPr>
              <w:t>a</w:t>
            </w:r>
          </w:p>
        </w:tc>
        <w:tc>
          <w:tcPr>
            <w:tcW w:w="1559" w:type="dxa"/>
            <w:tcMar>
              <w:left w:w="57" w:type="dxa"/>
              <w:right w:w="0" w:type="dxa"/>
            </w:tcMar>
          </w:tcPr>
          <w:p w14:paraId="66D82C0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176 (47,4)</w:t>
            </w:r>
          </w:p>
        </w:tc>
        <w:tc>
          <w:tcPr>
            <w:tcW w:w="1480" w:type="dxa"/>
            <w:tcMar>
              <w:left w:w="57" w:type="dxa"/>
              <w:right w:w="0" w:type="dxa"/>
            </w:tcMar>
          </w:tcPr>
          <w:p w14:paraId="0E1D765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1B5195C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15 (4)</w:t>
            </w:r>
          </w:p>
        </w:tc>
      </w:tr>
      <w:tr w:rsidR="00F24039" w:rsidRPr="00736D2F" w14:paraId="5CA46B96" w14:textId="77777777" w:rsidTr="00262E68">
        <w:trPr>
          <w:trHeight w:hRule="exact" w:val="269"/>
        </w:trPr>
        <w:tc>
          <w:tcPr>
            <w:tcW w:w="2160" w:type="dxa"/>
            <w:vMerge/>
            <w:tcMar>
              <w:left w:w="57" w:type="dxa"/>
              <w:right w:w="0" w:type="dxa"/>
            </w:tcMar>
            <w:vAlign w:val="center"/>
          </w:tcPr>
          <w:p w14:paraId="10897321"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4126C9E"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Febrili</w:t>
            </w:r>
            <w:r w:rsidR="009F52C9">
              <w:rPr>
                <w:szCs w:val="22"/>
                <w:lang w:val="lt-LT"/>
              </w:rPr>
              <w:t>nė</w:t>
            </w:r>
            <w:r w:rsidRPr="00736D2F">
              <w:rPr>
                <w:szCs w:val="22"/>
                <w:lang w:val="lt-LT"/>
              </w:rPr>
              <w:t xml:space="preserve"> neutropenija</w:t>
            </w:r>
          </w:p>
        </w:tc>
        <w:tc>
          <w:tcPr>
            <w:tcW w:w="1559" w:type="dxa"/>
            <w:tcMar>
              <w:left w:w="57" w:type="dxa"/>
              <w:right w:w="0" w:type="dxa"/>
            </w:tcMar>
          </w:tcPr>
          <w:p w14:paraId="51DDA2A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EB5651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28 (7,5)</w:t>
            </w:r>
          </w:p>
        </w:tc>
        <w:tc>
          <w:tcPr>
            <w:tcW w:w="1275" w:type="dxa"/>
            <w:tcMar>
              <w:left w:w="57" w:type="dxa"/>
              <w:right w:w="0" w:type="dxa"/>
            </w:tcMar>
          </w:tcPr>
          <w:p w14:paraId="4FF3F25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28 (7,5)</w:t>
            </w:r>
          </w:p>
        </w:tc>
      </w:tr>
      <w:tr w:rsidR="00F24039" w:rsidRPr="00736D2F" w14:paraId="4B356EA8" w14:textId="77777777" w:rsidTr="00262E68">
        <w:trPr>
          <w:trHeight w:hRule="exact" w:val="530"/>
        </w:trPr>
        <w:tc>
          <w:tcPr>
            <w:tcW w:w="2160" w:type="dxa"/>
            <w:tcMar>
              <w:left w:w="57" w:type="dxa"/>
              <w:right w:w="0" w:type="dxa"/>
            </w:tcMar>
            <w:vAlign w:val="center"/>
          </w:tcPr>
          <w:p w14:paraId="2AC048F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Imuninės sistemos sutrikimai</w:t>
            </w:r>
          </w:p>
        </w:tc>
        <w:tc>
          <w:tcPr>
            <w:tcW w:w="2650" w:type="dxa"/>
            <w:tcMar>
              <w:left w:w="57" w:type="dxa"/>
              <w:right w:w="0" w:type="dxa"/>
            </w:tcMar>
          </w:tcPr>
          <w:p w14:paraId="2DBCD02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Padidėjęs jautrumas</w:t>
            </w:r>
          </w:p>
        </w:tc>
        <w:tc>
          <w:tcPr>
            <w:tcW w:w="1559" w:type="dxa"/>
            <w:tcMar>
              <w:left w:w="57" w:type="dxa"/>
              <w:right w:w="0" w:type="dxa"/>
            </w:tcMar>
          </w:tcPr>
          <w:p w14:paraId="3F8B2604"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583E2ED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64988BB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53174A53" w14:textId="77777777" w:rsidTr="00262E68">
        <w:trPr>
          <w:trHeight w:hRule="exact" w:val="271"/>
        </w:trPr>
        <w:tc>
          <w:tcPr>
            <w:tcW w:w="2160" w:type="dxa"/>
            <w:vMerge w:val="restart"/>
            <w:tcMar>
              <w:left w:w="57" w:type="dxa"/>
              <w:right w:w="0" w:type="dxa"/>
            </w:tcMar>
            <w:vAlign w:val="center"/>
          </w:tcPr>
          <w:p w14:paraId="5BE3082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Metabolizmo ir mitybos sutrikimai</w:t>
            </w:r>
          </w:p>
        </w:tc>
        <w:tc>
          <w:tcPr>
            <w:tcW w:w="2650" w:type="dxa"/>
            <w:tcMar>
              <w:left w:w="57" w:type="dxa"/>
              <w:right w:w="0" w:type="dxa"/>
            </w:tcMar>
          </w:tcPr>
          <w:p w14:paraId="2FBDD528"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Anoreksija</w:t>
            </w:r>
          </w:p>
        </w:tc>
        <w:tc>
          <w:tcPr>
            <w:tcW w:w="1559" w:type="dxa"/>
            <w:tcMar>
              <w:left w:w="57" w:type="dxa"/>
              <w:right w:w="0" w:type="dxa"/>
            </w:tcMar>
          </w:tcPr>
          <w:p w14:paraId="20A7307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59 (15,9)</w:t>
            </w:r>
          </w:p>
        </w:tc>
        <w:tc>
          <w:tcPr>
            <w:tcW w:w="1480" w:type="dxa"/>
            <w:tcMar>
              <w:left w:w="57" w:type="dxa"/>
              <w:right w:w="0" w:type="dxa"/>
            </w:tcMar>
          </w:tcPr>
          <w:p w14:paraId="48FAB293"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54A1827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 (0,8)</w:t>
            </w:r>
          </w:p>
        </w:tc>
      </w:tr>
      <w:tr w:rsidR="00F24039" w:rsidRPr="00736D2F" w14:paraId="63FEB37D" w14:textId="77777777" w:rsidTr="00262E68">
        <w:trPr>
          <w:trHeight w:hRule="exact" w:val="269"/>
        </w:trPr>
        <w:tc>
          <w:tcPr>
            <w:tcW w:w="2160" w:type="dxa"/>
            <w:vMerge/>
            <w:tcMar>
              <w:left w:w="57" w:type="dxa"/>
              <w:right w:w="0" w:type="dxa"/>
            </w:tcMar>
            <w:vAlign w:val="center"/>
          </w:tcPr>
          <w:p w14:paraId="3F8B4159"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C56BC16"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Dehidratacija</w:t>
            </w:r>
          </w:p>
        </w:tc>
        <w:tc>
          <w:tcPr>
            <w:tcW w:w="1559" w:type="dxa"/>
            <w:tcMar>
              <w:left w:w="57" w:type="dxa"/>
              <w:right w:w="0" w:type="dxa"/>
            </w:tcMar>
          </w:tcPr>
          <w:p w14:paraId="067A802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492D15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18 (4,9)</w:t>
            </w:r>
          </w:p>
        </w:tc>
        <w:tc>
          <w:tcPr>
            <w:tcW w:w="1275" w:type="dxa"/>
            <w:tcMar>
              <w:left w:w="57" w:type="dxa"/>
              <w:right w:w="0" w:type="dxa"/>
            </w:tcMar>
          </w:tcPr>
          <w:p w14:paraId="2F762F3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8 (2,2)</w:t>
            </w:r>
          </w:p>
        </w:tc>
      </w:tr>
      <w:tr w:rsidR="00F24039" w:rsidRPr="00736D2F" w14:paraId="7D65D05A" w14:textId="77777777" w:rsidTr="00262E68">
        <w:trPr>
          <w:trHeight w:hRule="exact" w:val="271"/>
        </w:trPr>
        <w:tc>
          <w:tcPr>
            <w:tcW w:w="2160" w:type="dxa"/>
            <w:vMerge/>
            <w:tcMar>
              <w:left w:w="57" w:type="dxa"/>
              <w:right w:w="0" w:type="dxa"/>
            </w:tcMar>
            <w:vAlign w:val="center"/>
          </w:tcPr>
          <w:p w14:paraId="3D38A012"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061AE5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Hiperglikemija</w:t>
            </w:r>
          </w:p>
        </w:tc>
        <w:tc>
          <w:tcPr>
            <w:tcW w:w="1559" w:type="dxa"/>
            <w:tcMar>
              <w:left w:w="57" w:type="dxa"/>
              <w:right w:w="0" w:type="dxa"/>
            </w:tcMar>
          </w:tcPr>
          <w:p w14:paraId="7E69938B"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34E433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5C7486D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 (0,8)</w:t>
            </w:r>
          </w:p>
        </w:tc>
      </w:tr>
      <w:tr w:rsidR="00F24039" w:rsidRPr="00736D2F" w14:paraId="78D2A012" w14:textId="77777777" w:rsidTr="00262E68">
        <w:trPr>
          <w:trHeight w:hRule="exact" w:val="269"/>
        </w:trPr>
        <w:tc>
          <w:tcPr>
            <w:tcW w:w="2160" w:type="dxa"/>
            <w:vMerge/>
            <w:tcMar>
              <w:left w:w="57" w:type="dxa"/>
              <w:right w:w="0" w:type="dxa"/>
            </w:tcMar>
            <w:vAlign w:val="center"/>
          </w:tcPr>
          <w:p w14:paraId="45F6FC43"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F388203"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Hipokalemija</w:t>
            </w:r>
          </w:p>
        </w:tc>
        <w:tc>
          <w:tcPr>
            <w:tcW w:w="1559" w:type="dxa"/>
            <w:tcMar>
              <w:left w:w="57" w:type="dxa"/>
              <w:right w:w="0" w:type="dxa"/>
            </w:tcMar>
          </w:tcPr>
          <w:p w14:paraId="25E0879B"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1BF08F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08C7ECC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3E098374" w14:textId="77777777" w:rsidTr="00262E68">
        <w:trPr>
          <w:trHeight w:hRule="exact" w:val="271"/>
        </w:trPr>
        <w:tc>
          <w:tcPr>
            <w:tcW w:w="2160" w:type="dxa"/>
            <w:vMerge w:val="restart"/>
            <w:tcMar>
              <w:left w:w="57" w:type="dxa"/>
              <w:right w:w="0" w:type="dxa"/>
            </w:tcMar>
            <w:vAlign w:val="center"/>
          </w:tcPr>
          <w:p w14:paraId="4353CB53"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Psichikos sutrikimai</w:t>
            </w:r>
          </w:p>
        </w:tc>
        <w:tc>
          <w:tcPr>
            <w:tcW w:w="2650" w:type="dxa"/>
            <w:tcMar>
              <w:left w:w="57" w:type="dxa"/>
              <w:right w:w="0" w:type="dxa"/>
            </w:tcMar>
          </w:tcPr>
          <w:p w14:paraId="00AC0181"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Nerimas</w:t>
            </w:r>
          </w:p>
        </w:tc>
        <w:tc>
          <w:tcPr>
            <w:tcW w:w="1559" w:type="dxa"/>
            <w:tcMar>
              <w:left w:w="57" w:type="dxa"/>
              <w:right w:w="0" w:type="dxa"/>
            </w:tcMar>
          </w:tcPr>
          <w:p w14:paraId="61C256E0" w14:textId="77777777" w:rsidR="00F24039" w:rsidRPr="00736D2F" w:rsidRDefault="00F24039" w:rsidP="009B566E">
            <w:pPr>
              <w:tabs>
                <w:tab w:val="center" w:pos="567"/>
              </w:tabs>
              <w:spacing w:line="240" w:lineRule="auto"/>
              <w:contextualSpacing/>
              <w:jc w:val="center"/>
              <w:rPr>
                <w:spacing w:val="-1"/>
                <w:szCs w:val="22"/>
                <w:lang w:val="lt-LT"/>
              </w:rPr>
            </w:pPr>
          </w:p>
        </w:tc>
        <w:tc>
          <w:tcPr>
            <w:tcW w:w="1480" w:type="dxa"/>
            <w:tcMar>
              <w:left w:w="57" w:type="dxa"/>
              <w:right w:w="0" w:type="dxa"/>
            </w:tcMar>
          </w:tcPr>
          <w:p w14:paraId="778BC53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11 (3)</w:t>
            </w:r>
          </w:p>
        </w:tc>
        <w:tc>
          <w:tcPr>
            <w:tcW w:w="1275" w:type="dxa"/>
            <w:tcMar>
              <w:left w:w="57" w:type="dxa"/>
              <w:right w:w="0" w:type="dxa"/>
            </w:tcMar>
          </w:tcPr>
          <w:p w14:paraId="481A8FC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5FF069CA" w14:textId="77777777" w:rsidTr="00262E68">
        <w:trPr>
          <w:trHeight w:hRule="exact" w:val="269"/>
        </w:trPr>
        <w:tc>
          <w:tcPr>
            <w:tcW w:w="2160" w:type="dxa"/>
            <w:vMerge/>
            <w:tcMar>
              <w:left w:w="57" w:type="dxa"/>
              <w:right w:w="0" w:type="dxa"/>
            </w:tcMar>
            <w:vAlign w:val="center"/>
          </w:tcPr>
          <w:p w14:paraId="0E04D6A8"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6AAB9284" w14:textId="77777777" w:rsidR="00F24039" w:rsidRPr="00736D2F" w:rsidRDefault="00F24039" w:rsidP="002612AE">
            <w:pPr>
              <w:tabs>
                <w:tab w:val="center" w:pos="567"/>
              </w:tabs>
              <w:spacing w:line="240" w:lineRule="auto"/>
              <w:ind w:right="-20"/>
              <w:contextualSpacing/>
              <w:rPr>
                <w:spacing w:val="-1"/>
                <w:szCs w:val="22"/>
                <w:lang w:val="lt-LT"/>
              </w:rPr>
            </w:pPr>
            <w:r w:rsidRPr="00736D2F">
              <w:rPr>
                <w:szCs w:val="22"/>
                <w:lang w:val="lt-LT"/>
              </w:rPr>
              <w:t>Konfūzinė būklė</w:t>
            </w:r>
            <w:r w:rsidRPr="00736D2F">
              <w:rPr>
                <w:spacing w:val="-1"/>
                <w:szCs w:val="22"/>
                <w:lang w:val="lt-LT"/>
              </w:rPr>
              <w:t xml:space="preserve"> </w:t>
            </w:r>
          </w:p>
        </w:tc>
        <w:tc>
          <w:tcPr>
            <w:tcW w:w="1559" w:type="dxa"/>
            <w:tcMar>
              <w:left w:w="57" w:type="dxa"/>
              <w:right w:w="0" w:type="dxa"/>
            </w:tcMar>
          </w:tcPr>
          <w:p w14:paraId="5320C79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B95CC7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2CD0C3B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0F951354" w14:textId="77777777" w:rsidTr="00262E68">
        <w:trPr>
          <w:trHeight w:hRule="exact" w:val="271"/>
        </w:trPr>
        <w:tc>
          <w:tcPr>
            <w:tcW w:w="2160" w:type="dxa"/>
            <w:vMerge w:val="restart"/>
            <w:tcMar>
              <w:left w:w="57" w:type="dxa"/>
              <w:right w:w="0" w:type="dxa"/>
            </w:tcMar>
            <w:vAlign w:val="center"/>
          </w:tcPr>
          <w:p w14:paraId="25175A5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Nervų sistemos sutrikimai</w:t>
            </w:r>
          </w:p>
        </w:tc>
        <w:tc>
          <w:tcPr>
            <w:tcW w:w="2650" w:type="dxa"/>
            <w:tcMar>
              <w:left w:w="57" w:type="dxa"/>
              <w:right w:w="0" w:type="dxa"/>
            </w:tcMar>
          </w:tcPr>
          <w:p w14:paraId="0BF10A3B"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Disgeuzija</w:t>
            </w:r>
          </w:p>
        </w:tc>
        <w:tc>
          <w:tcPr>
            <w:tcW w:w="1559" w:type="dxa"/>
            <w:tcMar>
              <w:left w:w="57" w:type="dxa"/>
              <w:right w:w="0" w:type="dxa"/>
            </w:tcMar>
          </w:tcPr>
          <w:p w14:paraId="3922386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41 (11,1)</w:t>
            </w:r>
          </w:p>
        </w:tc>
        <w:tc>
          <w:tcPr>
            <w:tcW w:w="1480" w:type="dxa"/>
            <w:tcMar>
              <w:left w:w="57" w:type="dxa"/>
              <w:right w:w="0" w:type="dxa"/>
            </w:tcMar>
          </w:tcPr>
          <w:p w14:paraId="70D98487" w14:textId="77777777" w:rsidR="00F24039" w:rsidRPr="00736D2F" w:rsidRDefault="00F24039" w:rsidP="009B566E">
            <w:pPr>
              <w:tabs>
                <w:tab w:val="center" w:pos="567"/>
              </w:tabs>
              <w:spacing w:line="240" w:lineRule="auto"/>
              <w:contextualSpacing/>
              <w:jc w:val="center"/>
              <w:rPr>
                <w:spacing w:val="-1"/>
                <w:szCs w:val="22"/>
                <w:lang w:val="lt-LT"/>
              </w:rPr>
            </w:pPr>
          </w:p>
        </w:tc>
        <w:tc>
          <w:tcPr>
            <w:tcW w:w="1275" w:type="dxa"/>
            <w:tcMar>
              <w:left w:w="57" w:type="dxa"/>
              <w:right w:w="0" w:type="dxa"/>
            </w:tcMar>
          </w:tcPr>
          <w:p w14:paraId="63BE1E1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40C24F7E" w14:textId="77777777" w:rsidTr="00262E68">
        <w:trPr>
          <w:trHeight w:hRule="exact" w:val="270"/>
        </w:trPr>
        <w:tc>
          <w:tcPr>
            <w:tcW w:w="2160" w:type="dxa"/>
            <w:vMerge/>
            <w:tcMar>
              <w:left w:w="57" w:type="dxa"/>
              <w:right w:w="0" w:type="dxa"/>
            </w:tcMar>
            <w:vAlign w:val="center"/>
          </w:tcPr>
          <w:p w14:paraId="65132F1E"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C03752E" w14:textId="77777777" w:rsidR="00F24039" w:rsidRPr="00736D2F" w:rsidRDefault="00F24039" w:rsidP="00163693">
            <w:pPr>
              <w:tabs>
                <w:tab w:val="center" w:pos="567"/>
              </w:tabs>
              <w:spacing w:line="240" w:lineRule="auto"/>
              <w:ind w:right="27"/>
              <w:contextualSpacing/>
              <w:rPr>
                <w:spacing w:val="-1"/>
                <w:szCs w:val="22"/>
                <w:lang w:val="lt-LT"/>
              </w:rPr>
            </w:pPr>
            <w:r w:rsidRPr="00736D2F">
              <w:rPr>
                <w:szCs w:val="22"/>
                <w:lang w:val="lt-LT"/>
              </w:rPr>
              <w:t>Periferinė neuropatija</w:t>
            </w:r>
          </w:p>
        </w:tc>
        <w:tc>
          <w:tcPr>
            <w:tcW w:w="1559" w:type="dxa"/>
            <w:tcMar>
              <w:left w:w="57" w:type="dxa"/>
              <w:right w:w="0" w:type="dxa"/>
            </w:tcMar>
          </w:tcPr>
          <w:p w14:paraId="1BB3330A" w14:textId="77777777" w:rsidR="00F24039" w:rsidRPr="00736D2F" w:rsidRDefault="00F24039" w:rsidP="009B566E">
            <w:pPr>
              <w:tabs>
                <w:tab w:val="center" w:pos="567"/>
              </w:tabs>
              <w:spacing w:line="240" w:lineRule="auto"/>
              <w:contextualSpacing/>
              <w:jc w:val="center"/>
              <w:rPr>
                <w:spacing w:val="-1"/>
                <w:szCs w:val="22"/>
                <w:lang w:val="lt-LT"/>
              </w:rPr>
            </w:pPr>
          </w:p>
        </w:tc>
        <w:tc>
          <w:tcPr>
            <w:tcW w:w="1480" w:type="dxa"/>
            <w:tcMar>
              <w:left w:w="57" w:type="dxa"/>
              <w:right w:w="0" w:type="dxa"/>
            </w:tcMar>
          </w:tcPr>
          <w:p w14:paraId="44B9CB7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30 (8,1)</w:t>
            </w:r>
          </w:p>
        </w:tc>
        <w:tc>
          <w:tcPr>
            <w:tcW w:w="1275" w:type="dxa"/>
            <w:tcMar>
              <w:left w:w="57" w:type="dxa"/>
              <w:right w:w="0" w:type="dxa"/>
            </w:tcMar>
          </w:tcPr>
          <w:p w14:paraId="26C077D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0B190156" w14:textId="77777777" w:rsidTr="00262E68">
        <w:trPr>
          <w:trHeight w:hRule="exact" w:val="528"/>
        </w:trPr>
        <w:tc>
          <w:tcPr>
            <w:tcW w:w="2160" w:type="dxa"/>
            <w:vMerge/>
            <w:tcMar>
              <w:left w:w="57" w:type="dxa"/>
              <w:right w:w="0" w:type="dxa"/>
            </w:tcMar>
            <w:vAlign w:val="center"/>
          </w:tcPr>
          <w:p w14:paraId="79706D30"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6919B129"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Periferinė sensorinė neuropatija</w:t>
            </w:r>
          </w:p>
        </w:tc>
        <w:tc>
          <w:tcPr>
            <w:tcW w:w="1559" w:type="dxa"/>
            <w:tcMar>
              <w:left w:w="57" w:type="dxa"/>
              <w:right w:w="0" w:type="dxa"/>
            </w:tcMar>
          </w:tcPr>
          <w:p w14:paraId="19AE734C"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5489F8A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20 (5,4)</w:t>
            </w:r>
          </w:p>
        </w:tc>
        <w:tc>
          <w:tcPr>
            <w:tcW w:w="1275" w:type="dxa"/>
            <w:tcMar>
              <w:left w:w="57" w:type="dxa"/>
              <w:right w:w="0" w:type="dxa"/>
            </w:tcMar>
          </w:tcPr>
          <w:p w14:paraId="4C1635C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149AAA7E" w14:textId="77777777" w:rsidTr="00262E68">
        <w:trPr>
          <w:trHeight w:hRule="exact" w:val="271"/>
        </w:trPr>
        <w:tc>
          <w:tcPr>
            <w:tcW w:w="2160" w:type="dxa"/>
            <w:vMerge/>
            <w:tcMar>
              <w:left w:w="57" w:type="dxa"/>
              <w:right w:w="0" w:type="dxa"/>
            </w:tcMar>
            <w:vAlign w:val="center"/>
          </w:tcPr>
          <w:p w14:paraId="5954FA03"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C0820A7" w14:textId="77777777" w:rsidR="00F24039" w:rsidRPr="00736D2F" w:rsidRDefault="00C63347" w:rsidP="00C63347">
            <w:pPr>
              <w:tabs>
                <w:tab w:val="center" w:pos="567"/>
              </w:tabs>
              <w:spacing w:line="240" w:lineRule="auto"/>
              <w:ind w:right="-20"/>
              <w:contextualSpacing/>
              <w:rPr>
                <w:spacing w:val="-1"/>
                <w:szCs w:val="22"/>
                <w:lang w:val="lt-LT"/>
              </w:rPr>
            </w:pPr>
            <w:r w:rsidRPr="00736D2F">
              <w:rPr>
                <w:szCs w:val="22"/>
                <w:lang w:val="lt-LT"/>
              </w:rPr>
              <w:t>S</w:t>
            </w:r>
            <w:r w:rsidR="00F24039" w:rsidRPr="00736D2F">
              <w:rPr>
                <w:szCs w:val="22"/>
                <w:lang w:val="lt-LT"/>
              </w:rPr>
              <w:t>vaig</w:t>
            </w:r>
            <w:r w:rsidRPr="00736D2F">
              <w:rPr>
                <w:szCs w:val="22"/>
                <w:lang w:val="lt-LT"/>
              </w:rPr>
              <w:t>ulys</w:t>
            </w:r>
          </w:p>
        </w:tc>
        <w:tc>
          <w:tcPr>
            <w:tcW w:w="1559" w:type="dxa"/>
            <w:tcMar>
              <w:left w:w="57" w:type="dxa"/>
              <w:right w:w="0" w:type="dxa"/>
            </w:tcMar>
          </w:tcPr>
          <w:p w14:paraId="4ED97F28"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8F00F3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30 (8,1)</w:t>
            </w:r>
          </w:p>
        </w:tc>
        <w:tc>
          <w:tcPr>
            <w:tcW w:w="1275" w:type="dxa"/>
            <w:tcMar>
              <w:left w:w="57" w:type="dxa"/>
              <w:right w:w="0" w:type="dxa"/>
            </w:tcMar>
          </w:tcPr>
          <w:p w14:paraId="7C84FAE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70D6969" w14:textId="77777777" w:rsidTr="00262E68">
        <w:trPr>
          <w:trHeight w:hRule="exact" w:val="269"/>
        </w:trPr>
        <w:tc>
          <w:tcPr>
            <w:tcW w:w="2160" w:type="dxa"/>
            <w:vMerge/>
            <w:tcMar>
              <w:left w:w="57" w:type="dxa"/>
              <w:right w:w="0" w:type="dxa"/>
            </w:tcMar>
            <w:vAlign w:val="center"/>
          </w:tcPr>
          <w:p w14:paraId="0C8B6258"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A4870C8"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Galvos skausmas</w:t>
            </w:r>
          </w:p>
        </w:tc>
        <w:tc>
          <w:tcPr>
            <w:tcW w:w="1559" w:type="dxa"/>
            <w:tcMar>
              <w:left w:w="57" w:type="dxa"/>
              <w:right w:w="0" w:type="dxa"/>
            </w:tcMar>
          </w:tcPr>
          <w:p w14:paraId="281B85F2"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42EE4DD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28 (7,5)</w:t>
            </w:r>
          </w:p>
        </w:tc>
        <w:tc>
          <w:tcPr>
            <w:tcW w:w="1275" w:type="dxa"/>
            <w:tcMar>
              <w:left w:w="57" w:type="dxa"/>
              <w:right w:w="0" w:type="dxa"/>
            </w:tcMar>
          </w:tcPr>
          <w:p w14:paraId="4B2DCC8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4C3C328E" w14:textId="77777777" w:rsidTr="00262E68">
        <w:trPr>
          <w:trHeight w:hRule="exact" w:val="271"/>
        </w:trPr>
        <w:tc>
          <w:tcPr>
            <w:tcW w:w="2160" w:type="dxa"/>
            <w:vMerge/>
            <w:tcMar>
              <w:left w:w="57" w:type="dxa"/>
              <w:right w:w="0" w:type="dxa"/>
            </w:tcMar>
            <w:vAlign w:val="center"/>
          </w:tcPr>
          <w:p w14:paraId="1891A45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65B0E47"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Parestezija</w:t>
            </w:r>
          </w:p>
        </w:tc>
        <w:tc>
          <w:tcPr>
            <w:tcW w:w="1559" w:type="dxa"/>
            <w:tcMar>
              <w:left w:w="57" w:type="dxa"/>
              <w:right w:w="0" w:type="dxa"/>
            </w:tcMar>
          </w:tcPr>
          <w:p w14:paraId="0E3F7DC2"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4C8254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17 (4,6)</w:t>
            </w:r>
          </w:p>
        </w:tc>
        <w:tc>
          <w:tcPr>
            <w:tcW w:w="1275" w:type="dxa"/>
            <w:tcMar>
              <w:left w:w="57" w:type="dxa"/>
              <w:right w:w="0" w:type="dxa"/>
            </w:tcMar>
          </w:tcPr>
          <w:p w14:paraId="7D4B48F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1F925FF6" w14:textId="77777777" w:rsidTr="00262E68">
        <w:trPr>
          <w:trHeight w:hRule="exact" w:val="361"/>
        </w:trPr>
        <w:tc>
          <w:tcPr>
            <w:tcW w:w="2160" w:type="dxa"/>
            <w:vMerge/>
            <w:tcMar>
              <w:left w:w="57" w:type="dxa"/>
              <w:right w:w="0" w:type="dxa"/>
            </w:tcMar>
            <w:vAlign w:val="center"/>
          </w:tcPr>
          <w:p w14:paraId="3C6C5C3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41A494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Letargija</w:t>
            </w:r>
          </w:p>
        </w:tc>
        <w:tc>
          <w:tcPr>
            <w:tcW w:w="1559" w:type="dxa"/>
            <w:tcMar>
              <w:left w:w="57" w:type="dxa"/>
              <w:right w:w="0" w:type="dxa"/>
            </w:tcMar>
          </w:tcPr>
          <w:p w14:paraId="1F7AE5F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48D50A2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2FF3305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21AD2840" w14:textId="77777777" w:rsidTr="00262E68">
        <w:trPr>
          <w:trHeight w:hRule="exact" w:val="271"/>
        </w:trPr>
        <w:tc>
          <w:tcPr>
            <w:tcW w:w="2160" w:type="dxa"/>
            <w:vMerge/>
            <w:tcMar>
              <w:left w:w="57" w:type="dxa"/>
              <w:right w:w="0" w:type="dxa"/>
            </w:tcMar>
            <w:vAlign w:val="center"/>
          </w:tcPr>
          <w:p w14:paraId="4D78187D"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3504F20"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Hipoestezija</w:t>
            </w:r>
          </w:p>
        </w:tc>
        <w:tc>
          <w:tcPr>
            <w:tcW w:w="1559" w:type="dxa"/>
            <w:tcMar>
              <w:left w:w="57" w:type="dxa"/>
              <w:right w:w="0" w:type="dxa"/>
            </w:tcMar>
          </w:tcPr>
          <w:p w14:paraId="0AF83EB1"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089CB6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714C92E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7656E4D" w14:textId="77777777" w:rsidTr="00521A6F">
        <w:trPr>
          <w:trHeight w:hRule="exact" w:val="243"/>
        </w:trPr>
        <w:tc>
          <w:tcPr>
            <w:tcW w:w="2160" w:type="dxa"/>
            <w:vMerge/>
            <w:tcMar>
              <w:left w:w="57" w:type="dxa"/>
              <w:right w:w="0" w:type="dxa"/>
            </w:tcMar>
            <w:vAlign w:val="center"/>
          </w:tcPr>
          <w:p w14:paraId="0AEDE1DD"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62FEA11E"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Išialgija</w:t>
            </w:r>
          </w:p>
        </w:tc>
        <w:tc>
          <w:tcPr>
            <w:tcW w:w="1559" w:type="dxa"/>
            <w:tcMar>
              <w:left w:w="57" w:type="dxa"/>
              <w:right w:w="0" w:type="dxa"/>
            </w:tcMar>
          </w:tcPr>
          <w:p w14:paraId="5D77E0D3"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5AF8F23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1B701F1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457B2052" w14:textId="77777777" w:rsidTr="00262E68">
        <w:trPr>
          <w:trHeight w:hRule="exact" w:val="269"/>
        </w:trPr>
        <w:tc>
          <w:tcPr>
            <w:tcW w:w="2160" w:type="dxa"/>
            <w:vMerge w:val="restart"/>
            <w:tcMar>
              <w:left w:w="57" w:type="dxa"/>
              <w:right w:w="0" w:type="dxa"/>
            </w:tcMar>
            <w:vAlign w:val="center"/>
          </w:tcPr>
          <w:p w14:paraId="49455B9C"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Akių sutrikimai</w:t>
            </w:r>
          </w:p>
        </w:tc>
        <w:tc>
          <w:tcPr>
            <w:tcW w:w="2650" w:type="dxa"/>
            <w:tcMar>
              <w:left w:w="57" w:type="dxa"/>
              <w:right w:w="0" w:type="dxa"/>
            </w:tcMar>
          </w:tcPr>
          <w:p w14:paraId="04D84F22"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Konjunktyvitas</w:t>
            </w:r>
          </w:p>
        </w:tc>
        <w:tc>
          <w:tcPr>
            <w:tcW w:w="1559" w:type="dxa"/>
            <w:tcMar>
              <w:left w:w="57" w:type="dxa"/>
              <w:right w:w="0" w:type="dxa"/>
            </w:tcMar>
          </w:tcPr>
          <w:p w14:paraId="79608E8F" w14:textId="77777777" w:rsidR="00F24039" w:rsidRPr="00736D2F" w:rsidRDefault="00F24039" w:rsidP="009B566E">
            <w:pPr>
              <w:tabs>
                <w:tab w:val="center" w:pos="567"/>
              </w:tabs>
              <w:spacing w:line="240" w:lineRule="auto"/>
              <w:contextualSpacing/>
              <w:jc w:val="center"/>
              <w:rPr>
                <w:spacing w:val="-1"/>
                <w:szCs w:val="22"/>
                <w:lang w:val="lt-LT"/>
              </w:rPr>
            </w:pPr>
          </w:p>
        </w:tc>
        <w:tc>
          <w:tcPr>
            <w:tcW w:w="1480" w:type="dxa"/>
            <w:tcMar>
              <w:left w:w="57" w:type="dxa"/>
              <w:right w:w="0" w:type="dxa"/>
            </w:tcMar>
          </w:tcPr>
          <w:p w14:paraId="084A018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1A29825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6DF3DE06" w14:textId="77777777" w:rsidTr="00262E68">
        <w:trPr>
          <w:trHeight w:hRule="exact" w:val="248"/>
        </w:trPr>
        <w:tc>
          <w:tcPr>
            <w:tcW w:w="2160" w:type="dxa"/>
            <w:vMerge/>
            <w:tcMar>
              <w:left w:w="57" w:type="dxa"/>
              <w:right w:w="0" w:type="dxa"/>
            </w:tcMar>
            <w:vAlign w:val="center"/>
          </w:tcPr>
          <w:p w14:paraId="1F93D144"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4CFF1A0"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Sustiprėjęs ašarojimas</w:t>
            </w:r>
          </w:p>
        </w:tc>
        <w:tc>
          <w:tcPr>
            <w:tcW w:w="1559" w:type="dxa"/>
            <w:tcMar>
              <w:left w:w="57" w:type="dxa"/>
              <w:right w:w="0" w:type="dxa"/>
            </w:tcMar>
          </w:tcPr>
          <w:p w14:paraId="38754B63"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6D9DAA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6EA5E94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04F0EFF3" w14:textId="77777777" w:rsidTr="00894A0A">
        <w:trPr>
          <w:trHeight w:hRule="exact" w:val="479"/>
        </w:trPr>
        <w:tc>
          <w:tcPr>
            <w:tcW w:w="2160" w:type="dxa"/>
            <w:vMerge w:val="restart"/>
            <w:tcMar>
              <w:left w:w="57" w:type="dxa"/>
              <w:right w:w="0" w:type="dxa"/>
            </w:tcMar>
            <w:vAlign w:val="center"/>
          </w:tcPr>
          <w:p w14:paraId="3F998F14" w14:textId="77777777" w:rsidR="00F24039" w:rsidRPr="00736D2F" w:rsidRDefault="00F24039" w:rsidP="00163693">
            <w:pPr>
              <w:keepNext/>
              <w:tabs>
                <w:tab w:val="center" w:pos="567"/>
              </w:tabs>
              <w:spacing w:line="240" w:lineRule="auto"/>
              <w:ind w:right="-23"/>
              <w:contextualSpacing/>
              <w:rPr>
                <w:spacing w:val="-1"/>
                <w:szCs w:val="22"/>
                <w:lang w:val="lt-LT"/>
              </w:rPr>
            </w:pPr>
            <w:r w:rsidRPr="00736D2F">
              <w:rPr>
                <w:szCs w:val="22"/>
                <w:lang w:val="lt-LT"/>
              </w:rPr>
              <w:t>Ausų ir labirintų sutrikimai</w:t>
            </w:r>
          </w:p>
        </w:tc>
        <w:tc>
          <w:tcPr>
            <w:tcW w:w="2650" w:type="dxa"/>
            <w:tcMar>
              <w:left w:w="57" w:type="dxa"/>
              <w:right w:w="0" w:type="dxa"/>
            </w:tcMar>
          </w:tcPr>
          <w:p w14:paraId="0112D8B2" w14:textId="3C68B655" w:rsidR="00F24039" w:rsidRPr="00736D2F" w:rsidRDefault="009B66AD" w:rsidP="00163693">
            <w:pPr>
              <w:tabs>
                <w:tab w:val="center" w:pos="567"/>
              </w:tabs>
              <w:spacing w:line="240" w:lineRule="auto"/>
              <w:ind w:right="-20"/>
              <w:contextualSpacing/>
              <w:rPr>
                <w:spacing w:val="-1"/>
                <w:szCs w:val="22"/>
                <w:lang w:val="lt-LT"/>
              </w:rPr>
            </w:pPr>
            <w:r>
              <w:rPr>
                <w:szCs w:val="22"/>
                <w:lang w:val="lt-LT"/>
              </w:rPr>
              <w:t>Ūžesys (</w:t>
            </w:r>
            <w:r>
              <w:rPr>
                <w:i/>
                <w:szCs w:val="22"/>
                <w:lang w:val="lt-LT"/>
              </w:rPr>
              <w:t>tinnitus</w:t>
            </w:r>
            <w:r>
              <w:rPr>
                <w:szCs w:val="22"/>
                <w:lang w:val="lt-LT"/>
              </w:rPr>
              <w:t>)</w:t>
            </w:r>
          </w:p>
        </w:tc>
        <w:tc>
          <w:tcPr>
            <w:tcW w:w="1559" w:type="dxa"/>
            <w:tcMar>
              <w:left w:w="57" w:type="dxa"/>
              <w:right w:w="0" w:type="dxa"/>
            </w:tcMar>
          </w:tcPr>
          <w:p w14:paraId="4B0FE3C1"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BA13AB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3355FDA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82F6541" w14:textId="77777777" w:rsidTr="00894A0A">
        <w:trPr>
          <w:trHeight w:hRule="exact" w:val="524"/>
        </w:trPr>
        <w:tc>
          <w:tcPr>
            <w:tcW w:w="2160" w:type="dxa"/>
            <w:vMerge/>
            <w:tcMar>
              <w:left w:w="57" w:type="dxa"/>
              <w:right w:w="0" w:type="dxa"/>
            </w:tcMar>
            <w:vAlign w:val="center"/>
          </w:tcPr>
          <w:p w14:paraId="2A31EF8E"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8BFEFDA" w14:textId="1827AA02" w:rsidR="00F24039" w:rsidRPr="00736D2F" w:rsidRDefault="00F24039" w:rsidP="009B66AD">
            <w:pPr>
              <w:tabs>
                <w:tab w:val="center" w:pos="567"/>
              </w:tabs>
              <w:spacing w:line="240" w:lineRule="auto"/>
              <w:ind w:right="-20"/>
              <w:contextualSpacing/>
              <w:rPr>
                <w:spacing w:val="-1"/>
                <w:szCs w:val="22"/>
                <w:lang w:val="lt-LT"/>
              </w:rPr>
            </w:pPr>
            <w:r w:rsidRPr="00736D2F">
              <w:rPr>
                <w:szCs w:val="22"/>
                <w:lang w:val="lt-LT"/>
              </w:rPr>
              <w:t xml:space="preserve">Galvos </w:t>
            </w:r>
            <w:r w:rsidR="009B66AD">
              <w:rPr>
                <w:szCs w:val="22"/>
                <w:lang w:val="lt-LT"/>
              </w:rPr>
              <w:t>svaigimas</w:t>
            </w:r>
            <w:r w:rsidR="008D3DCC">
              <w:rPr>
                <w:szCs w:val="22"/>
                <w:lang w:val="lt-LT"/>
              </w:rPr>
              <w:t xml:space="preserve"> (</w:t>
            </w:r>
            <w:r w:rsidR="008D3DCC" w:rsidRPr="008D3DCC">
              <w:rPr>
                <w:i/>
                <w:szCs w:val="22"/>
                <w:lang w:val="lt-LT"/>
              </w:rPr>
              <w:t>vertigo</w:t>
            </w:r>
            <w:r w:rsidR="008D3DCC">
              <w:rPr>
                <w:szCs w:val="22"/>
                <w:lang w:val="lt-LT"/>
              </w:rPr>
              <w:t>)</w:t>
            </w:r>
          </w:p>
        </w:tc>
        <w:tc>
          <w:tcPr>
            <w:tcW w:w="1559" w:type="dxa"/>
            <w:tcMar>
              <w:left w:w="57" w:type="dxa"/>
              <w:right w:w="0" w:type="dxa"/>
            </w:tcMar>
          </w:tcPr>
          <w:p w14:paraId="56617328"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38BB41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518A0D5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27F28D53" w14:textId="77777777" w:rsidTr="00262E68">
        <w:trPr>
          <w:trHeight w:hRule="exact" w:val="271"/>
        </w:trPr>
        <w:tc>
          <w:tcPr>
            <w:tcW w:w="2160" w:type="dxa"/>
            <w:vMerge w:val="restart"/>
            <w:tcMar>
              <w:left w:w="57" w:type="dxa"/>
              <w:right w:w="0" w:type="dxa"/>
            </w:tcMar>
            <w:vAlign w:val="center"/>
          </w:tcPr>
          <w:p w14:paraId="0D4C387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Širdies sutrikimai*</w:t>
            </w:r>
          </w:p>
        </w:tc>
        <w:tc>
          <w:tcPr>
            <w:tcW w:w="2650" w:type="dxa"/>
            <w:tcMar>
              <w:left w:w="57" w:type="dxa"/>
              <w:right w:w="0" w:type="dxa"/>
            </w:tcMar>
          </w:tcPr>
          <w:p w14:paraId="4020175C"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Prieširdžių virpėjimas</w:t>
            </w:r>
          </w:p>
        </w:tc>
        <w:tc>
          <w:tcPr>
            <w:tcW w:w="1559" w:type="dxa"/>
            <w:tcMar>
              <w:left w:w="57" w:type="dxa"/>
              <w:right w:w="0" w:type="dxa"/>
            </w:tcMar>
          </w:tcPr>
          <w:p w14:paraId="2A2CF93E" w14:textId="77777777" w:rsidR="00F24039" w:rsidRPr="00736D2F" w:rsidRDefault="00F24039" w:rsidP="009B566E">
            <w:pPr>
              <w:tabs>
                <w:tab w:val="center" w:pos="567"/>
              </w:tabs>
              <w:spacing w:line="240" w:lineRule="auto"/>
              <w:contextualSpacing/>
              <w:jc w:val="center"/>
              <w:rPr>
                <w:spacing w:val="-1"/>
                <w:szCs w:val="22"/>
                <w:lang w:val="lt-LT"/>
              </w:rPr>
            </w:pPr>
          </w:p>
        </w:tc>
        <w:tc>
          <w:tcPr>
            <w:tcW w:w="1480" w:type="dxa"/>
            <w:tcMar>
              <w:left w:w="57" w:type="dxa"/>
              <w:right w:w="0" w:type="dxa"/>
            </w:tcMar>
          </w:tcPr>
          <w:p w14:paraId="1A628AA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516EEFC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24A8BF8A" w14:textId="77777777" w:rsidTr="00262E68">
        <w:trPr>
          <w:trHeight w:hRule="exact" w:val="269"/>
        </w:trPr>
        <w:tc>
          <w:tcPr>
            <w:tcW w:w="2160" w:type="dxa"/>
            <w:vMerge/>
            <w:tcMar>
              <w:left w:w="57" w:type="dxa"/>
              <w:right w:w="0" w:type="dxa"/>
            </w:tcMar>
            <w:vAlign w:val="center"/>
          </w:tcPr>
          <w:p w14:paraId="1F247AAD"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5830A4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Tachikardija</w:t>
            </w:r>
          </w:p>
        </w:tc>
        <w:tc>
          <w:tcPr>
            <w:tcW w:w="1559" w:type="dxa"/>
            <w:tcMar>
              <w:left w:w="57" w:type="dxa"/>
              <w:right w:w="0" w:type="dxa"/>
            </w:tcMar>
          </w:tcPr>
          <w:p w14:paraId="1F2F0271"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697D740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c>
          <w:tcPr>
            <w:tcW w:w="1275" w:type="dxa"/>
            <w:tcMar>
              <w:left w:w="57" w:type="dxa"/>
              <w:right w:w="0" w:type="dxa"/>
            </w:tcMar>
          </w:tcPr>
          <w:p w14:paraId="0CDA101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75210A1F" w14:textId="77777777" w:rsidTr="00262E68">
        <w:trPr>
          <w:trHeight w:hRule="exact" w:val="271"/>
        </w:trPr>
        <w:tc>
          <w:tcPr>
            <w:tcW w:w="2160" w:type="dxa"/>
            <w:vMerge w:val="restart"/>
            <w:tcMar>
              <w:left w:w="57" w:type="dxa"/>
              <w:right w:w="0" w:type="dxa"/>
            </w:tcMar>
            <w:vAlign w:val="center"/>
          </w:tcPr>
          <w:p w14:paraId="78C8E1E7"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Kraujagyslių sutrikimai</w:t>
            </w:r>
          </w:p>
        </w:tc>
        <w:tc>
          <w:tcPr>
            <w:tcW w:w="2650" w:type="dxa"/>
            <w:tcMar>
              <w:left w:w="57" w:type="dxa"/>
              <w:right w:w="0" w:type="dxa"/>
            </w:tcMar>
          </w:tcPr>
          <w:p w14:paraId="4D8F53C7"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Hipotenzija</w:t>
            </w:r>
          </w:p>
        </w:tc>
        <w:tc>
          <w:tcPr>
            <w:tcW w:w="1559" w:type="dxa"/>
            <w:tcMar>
              <w:left w:w="57" w:type="dxa"/>
              <w:right w:w="0" w:type="dxa"/>
            </w:tcMar>
          </w:tcPr>
          <w:p w14:paraId="0E8DD2B0" w14:textId="77777777" w:rsidR="00F24039" w:rsidRPr="00736D2F" w:rsidRDefault="00F24039" w:rsidP="009B566E">
            <w:pPr>
              <w:tabs>
                <w:tab w:val="center" w:pos="567"/>
              </w:tabs>
              <w:spacing w:line="240" w:lineRule="auto"/>
              <w:contextualSpacing/>
              <w:jc w:val="center"/>
              <w:rPr>
                <w:spacing w:val="-1"/>
                <w:szCs w:val="22"/>
                <w:lang w:val="lt-LT"/>
              </w:rPr>
            </w:pPr>
          </w:p>
        </w:tc>
        <w:tc>
          <w:tcPr>
            <w:tcW w:w="1480" w:type="dxa"/>
            <w:tcMar>
              <w:left w:w="57" w:type="dxa"/>
              <w:right w:w="0" w:type="dxa"/>
            </w:tcMar>
          </w:tcPr>
          <w:p w14:paraId="71D851C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20 (5,4)</w:t>
            </w:r>
          </w:p>
        </w:tc>
        <w:tc>
          <w:tcPr>
            <w:tcW w:w="1275" w:type="dxa"/>
            <w:tcMar>
              <w:left w:w="57" w:type="dxa"/>
              <w:right w:w="0" w:type="dxa"/>
            </w:tcMar>
          </w:tcPr>
          <w:p w14:paraId="12C6F13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2DE04052" w14:textId="77777777" w:rsidTr="00262E68">
        <w:trPr>
          <w:trHeight w:hRule="exact" w:val="332"/>
        </w:trPr>
        <w:tc>
          <w:tcPr>
            <w:tcW w:w="2160" w:type="dxa"/>
            <w:vMerge/>
            <w:tcMar>
              <w:left w:w="57" w:type="dxa"/>
              <w:right w:w="0" w:type="dxa"/>
            </w:tcMar>
            <w:vAlign w:val="center"/>
          </w:tcPr>
          <w:p w14:paraId="0F8E2F1E"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CB23C1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Giliųjų venų trombozė</w:t>
            </w:r>
          </w:p>
        </w:tc>
        <w:tc>
          <w:tcPr>
            <w:tcW w:w="1559" w:type="dxa"/>
            <w:tcMar>
              <w:left w:w="57" w:type="dxa"/>
              <w:right w:w="0" w:type="dxa"/>
            </w:tcMar>
          </w:tcPr>
          <w:p w14:paraId="3CB7D59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3899AC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8 (2,2)</w:t>
            </w:r>
          </w:p>
        </w:tc>
        <w:tc>
          <w:tcPr>
            <w:tcW w:w="1275" w:type="dxa"/>
            <w:tcMar>
              <w:left w:w="57" w:type="dxa"/>
              <w:right w:w="0" w:type="dxa"/>
            </w:tcMar>
          </w:tcPr>
          <w:p w14:paraId="0104BD5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r>
      <w:tr w:rsidR="00F24039" w:rsidRPr="00736D2F" w14:paraId="1E511A8A" w14:textId="77777777" w:rsidTr="00262E68">
        <w:trPr>
          <w:trHeight w:hRule="exact" w:val="271"/>
        </w:trPr>
        <w:tc>
          <w:tcPr>
            <w:tcW w:w="2160" w:type="dxa"/>
            <w:vMerge/>
            <w:tcMar>
              <w:left w:w="57" w:type="dxa"/>
              <w:right w:w="0" w:type="dxa"/>
            </w:tcMar>
            <w:vAlign w:val="center"/>
          </w:tcPr>
          <w:p w14:paraId="0F10467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E6CC6F7"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Hipertenzija</w:t>
            </w:r>
          </w:p>
        </w:tc>
        <w:tc>
          <w:tcPr>
            <w:tcW w:w="1559" w:type="dxa"/>
            <w:tcMar>
              <w:left w:w="57" w:type="dxa"/>
              <w:right w:w="0" w:type="dxa"/>
            </w:tcMar>
          </w:tcPr>
          <w:p w14:paraId="2E19F7F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54A952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c>
          <w:tcPr>
            <w:tcW w:w="1275" w:type="dxa"/>
            <w:tcMar>
              <w:left w:w="57" w:type="dxa"/>
              <w:right w:w="0" w:type="dxa"/>
            </w:tcMar>
          </w:tcPr>
          <w:p w14:paraId="0947B0A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3AC09DB2" w14:textId="77777777" w:rsidTr="00262E68">
        <w:trPr>
          <w:trHeight w:hRule="exact" w:val="283"/>
        </w:trPr>
        <w:tc>
          <w:tcPr>
            <w:tcW w:w="2160" w:type="dxa"/>
            <w:vMerge/>
            <w:tcMar>
              <w:left w:w="57" w:type="dxa"/>
              <w:right w:w="0" w:type="dxa"/>
            </w:tcMar>
            <w:vAlign w:val="center"/>
          </w:tcPr>
          <w:p w14:paraId="2873DD20"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FF6E8E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Ortostatinė hipotenzija</w:t>
            </w:r>
          </w:p>
        </w:tc>
        <w:tc>
          <w:tcPr>
            <w:tcW w:w="1559" w:type="dxa"/>
            <w:tcMar>
              <w:left w:w="57" w:type="dxa"/>
              <w:right w:w="0" w:type="dxa"/>
            </w:tcMar>
          </w:tcPr>
          <w:p w14:paraId="3E526679"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A32076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6C52ACE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4EA61768" w14:textId="77777777" w:rsidTr="00894A0A">
        <w:trPr>
          <w:trHeight w:hRule="exact" w:val="584"/>
        </w:trPr>
        <w:tc>
          <w:tcPr>
            <w:tcW w:w="2160" w:type="dxa"/>
            <w:vMerge/>
            <w:tcMar>
              <w:left w:w="57" w:type="dxa"/>
              <w:right w:w="0" w:type="dxa"/>
            </w:tcMar>
            <w:vAlign w:val="center"/>
          </w:tcPr>
          <w:p w14:paraId="0A6E85EA"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D142A17" w14:textId="44B1BB02" w:rsidR="00F24039" w:rsidRPr="00736D2F" w:rsidRDefault="009B66AD" w:rsidP="00163693">
            <w:pPr>
              <w:tabs>
                <w:tab w:val="center" w:pos="567"/>
              </w:tabs>
              <w:spacing w:line="240" w:lineRule="auto"/>
              <w:ind w:right="-20"/>
              <w:contextualSpacing/>
              <w:rPr>
                <w:spacing w:val="-1"/>
                <w:szCs w:val="22"/>
                <w:lang w:val="lt-LT"/>
              </w:rPr>
            </w:pPr>
            <w:r>
              <w:rPr>
                <w:szCs w:val="22"/>
                <w:lang w:val="lt-LT"/>
              </w:rPr>
              <w:t>Karščio pylimas</w:t>
            </w:r>
          </w:p>
        </w:tc>
        <w:tc>
          <w:tcPr>
            <w:tcW w:w="1559" w:type="dxa"/>
            <w:tcMar>
              <w:left w:w="57" w:type="dxa"/>
              <w:right w:w="0" w:type="dxa"/>
            </w:tcMar>
          </w:tcPr>
          <w:p w14:paraId="199F8428"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179DB72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1888AEC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0C0D6B64" w14:textId="77777777" w:rsidTr="00262E68">
        <w:trPr>
          <w:trHeight w:hRule="exact" w:val="271"/>
        </w:trPr>
        <w:tc>
          <w:tcPr>
            <w:tcW w:w="2160" w:type="dxa"/>
            <w:vMerge/>
            <w:tcMar>
              <w:left w:w="57" w:type="dxa"/>
              <w:right w:w="0" w:type="dxa"/>
            </w:tcMar>
            <w:vAlign w:val="center"/>
          </w:tcPr>
          <w:p w14:paraId="54DCC812"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34F44BD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Paraudimas</w:t>
            </w:r>
          </w:p>
        </w:tc>
        <w:tc>
          <w:tcPr>
            <w:tcW w:w="1559" w:type="dxa"/>
            <w:tcMar>
              <w:left w:w="57" w:type="dxa"/>
              <w:right w:w="0" w:type="dxa"/>
            </w:tcMar>
          </w:tcPr>
          <w:p w14:paraId="1B0DF66F"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1B3C1D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681F18F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16D3391A" w14:textId="77777777" w:rsidTr="00262E68">
        <w:trPr>
          <w:trHeight w:hRule="exact" w:val="269"/>
        </w:trPr>
        <w:tc>
          <w:tcPr>
            <w:tcW w:w="2160" w:type="dxa"/>
            <w:vMerge w:val="restart"/>
            <w:tcMar>
              <w:left w:w="57" w:type="dxa"/>
              <w:right w:w="0" w:type="dxa"/>
            </w:tcMar>
            <w:vAlign w:val="center"/>
          </w:tcPr>
          <w:p w14:paraId="79DD938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Kvėpavimo sistemos, krūtinės ląstos ir tarpuplaučio sutrikimai</w:t>
            </w:r>
          </w:p>
        </w:tc>
        <w:tc>
          <w:tcPr>
            <w:tcW w:w="2650" w:type="dxa"/>
            <w:tcMar>
              <w:left w:w="57" w:type="dxa"/>
              <w:right w:w="0" w:type="dxa"/>
            </w:tcMar>
          </w:tcPr>
          <w:p w14:paraId="44715E5C"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Dispnėja</w:t>
            </w:r>
          </w:p>
        </w:tc>
        <w:tc>
          <w:tcPr>
            <w:tcW w:w="1559" w:type="dxa"/>
            <w:tcMar>
              <w:left w:w="57" w:type="dxa"/>
              <w:right w:w="0" w:type="dxa"/>
            </w:tcMar>
          </w:tcPr>
          <w:p w14:paraId="4C3DD1C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44 (11,9)</w:t>
            </w:r>
          </w:p>
        </w:tc>
        <w:tc>
          <w:tcPr>
            <w:tcW w:w="1480" w:type="dxa"/>
            <w:tcMar>
              <w:left w:w="57" w:type="dxa"/>
              <w:right w:w="0" w:type="dxa"/>
            </w:tcMar>
          </w:tcPr>
          <w:p w14:paraId="7AA69244"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6346310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r>
      <w:tr w:rsidR="00F24039" w:rsidRPr="00736D2F" w14:paraId="0DE030E5" w14:textId="77777777" w:rsidTr="00262E68">
        <w:trPr>
          <w:trHeight w:hRule="exact" w:val="271"/>
        </w:trPr>
        <w:tc>
          <w:tcPr>
            <w:tcW w:w="2160" w:type="dxa"/>
            <w:vMerge/>
            <w:tcMar>
              <w:left w:w="57" w:type="dxa"/>
              <w:right w:w="0" w:type="dxa"/>
            </w:tcMar>
            <w:vAlign w:val="center"/>
          </w:tcPr>
          <w:p w14:paraId="40425B55"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CB6B142"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Kosulys</w:t>
            </w:r>
          </w:p>
        </w:tc>
        <w:tc>
          <w:tcPr>
            <w:tcW w:w="1559" w:type="dxa"/>
            <w:tcMar>
              <w:left w:w="57" w:type="dxa"/>
              <w:right w:w="0" w:type="dxa"/>
            </w:tcMar>
          </w:tcPr>
          <w:p w14:paraId="17BB019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40 (10,8)</w:t>
            </w:r>
          </w:p>
        </w:tc>
        <w:tc>
          <w:tcPr>
            <w:tcW w:w="1480" w:type="dxa"/>
            <w:tcMar>
              <w:left w:w="57" w:type="dxa"/>
              <w:right w:w="0" w:type="dxa"/>
            </w:tcMar>
          </w:tcPr>
          <w:p w14:paraId="7C393580"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39C6776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2E7446C4" w14:textId="77777777" w:rsidTr="00262E68">
        <w:trPr>
          <w:trHeight w:hRule="exact" w:val="383"/>
        </w:trPr>
        <w:tc>
          <w:tcPr>
            <w:tcW w:w="2160" w:type="dxa"/>
            <w:vMerge/>
            <w:tcMar>
              <w:left w:w="57" w:type="dxa"/>
              <w:right w:w="0" w:type="dxa"/>
            </w:tcMar>
            <w:vAlign w:val="center"/>
          </w:tcPr>
          <w:p w14:paraId="6CC07FAE"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FEF22C9"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Burnos ir ryklės skausmas</w:t>
            </w:r>
          </w:p>
        </w:tc>
        <w:tc>
          <w:tcPr>
            <w:tcW w:w="1559" w:type="dxa"/>
            <w:tcMar>
              <w:left w:w="57" w:type="dxa"/>
              <w:right w:w="0" w:type="dxa"/>
            </w:tcMar>
          </w:tcPr>
          <w:p w14:paraId="04163424"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62DB089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13 (3,5)</w:t>
            </w:r>
          </w:p>
        </w:tc>
        <w:tc>
          <w:tcPr>
            <w:tcW w:w="1275" w:type="dxa"/>
            <w:tcMar>
              <w:left w:w="57" w:type="dxa"/>
              <w:right w:w="0" w:type="dxa"/>
            </w:tcMar>
          </w:tcPr>
          <w:p w14:paraId="07E6707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0ABAEEC" w14:textId="77777777" w:rsidTr="00262E68">
        <w:trPr>
          <w:trHeight w:hRule="exact" w:val="271"/>
        </w:trPr>
        <w:tc>
          <w:tcPr>
            <w:tcW w:w="2160" w:type="dxa"/>
            <w:vMerge/>
            <w:tcMar>
              <w:left w:w="57" w:type="dxa"/>
              <w:right w:w="0" w:type="dxa"/>
            </w:tcMar>
            <w:vAlign w:val="center"/>
          </w:tcPr>
          <w:p w14:paraId="3DCB8B05"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4A11309"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Pneumonija</w:t>
            </w:r>
          </w:p>
        </w:tc>
        <w:tc>
          <w:tcPr>
            <w:tcW w:w="1559" w:type="dxa"/>
            <w:tcMar>
              <w:left w:w="57" w:type="dxa"/>
              <w:right w:w="0" w:type="dxa"/>
            </w:tcMar>
          </w:tcPr>
          <w:p w14:paraId="72642066"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63BEAF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9 (2,4)</w:t>
            </w:r>
          </w:p>
        </w:tc>
        <w:tc>
          <w:tcPr>
            <w:tcW w:w="1275" w:type="dxa"/>
            <w:tcMar>
              <w:left w:w="57" w:type="dxa"/>
              <w:right w:w="0" w:type="dxa"/>
            </w:tcMar>
          </w:tcPr>
          <w:p w14:paraId="43B277D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r>
      <w:tr w:rsidR="00F24039" w:rsidRPr="00736D2F" w14:paraId="42F7E5DF" w14:textId="77777777" w:rsidTr="00262E68">
        <w:trPr>
          <w:trHeight w:hRule="exact" w:val="269"/>
        </w:trPr>
        <w:tc>
          <w:tcPr>
            <w:tcW w:w="2160" w:type="dxa"/>
            <w:vMerge w:val="restart"/>
            <w:tcMar>
              <w:left w:w="57" w:type="dxa"/>
              <w:right w:w="0" w:type="dxa"/>
            </w:tcMar>
            <w:vAlign w:val="center"/>
          </w:tcPr>
          <w:p w14:paraId="45626256"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Virškinimo trakto sutrikimai</w:t>
            </w:r>
          </w:p>
        </w:tc>
        <w:tc>
          <w:tcPr>
            <w:tcW w:w="2650" w:type="dxa"/>
            <w:tcMar>
              <w:left w:w="57" w:type="dxa"/>
              <w:right w:w="0" w:type="dxa"/>
            </w:tcMar>
          </w:tcPr>
          <w:p w14:paraId="6A634579"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Viduriavimas</w:t>
            </w:r>
          </w:p>
        </w:tc>
        <w:tc>
          <w:tcPr>
            <w:tcW w:w="1559" w:type="dxa"/>
            <w:tcMar>
              <w:left w:w="57" w:type="dxa"/>
              <w:right w:w="0" w:type="dxa"/>
            </w:tcMar>
          </w:tcPr>
          <w:p w14:paraId="7D6D10B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173 (46,6)</w:t>
            </w:r>
          </w:p>
        </w:tc>
        <w:tc>
          <w:tcPr>
            <w:tcW w:w="1480" w:type="dxa"/>
            <w:tcMar>
              <w:left w:w="57" w:type="dxa"/>
              <w:right w:w="0" w:type="dxa"/>
            </w:tcMar>
          </w:tcPr>
          <w:p w14:paraId="5C26390E"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4167B78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23 (6,2)</w:t>
            </w:r>
          </w:p>
        </w:tc>
      </w:tr>
      <w:tr w:rsidR="00F24039" w:rsidRPr="00736D2F" w14:paraId="1C7F96DB" w14:textId="77777777" w:rsidTr="00262E68">
        <w:trPr>
          <w:trHeight w:hRule="exact" w:val="271"/>
        </w:trPr>
        <w:tc>
          <w:tcPr>
            <w:tcW w:w="2160" w:type="dxa"/>
            <w:vMerge/>
            <w:tcMar>
              <w:left w:w="57" w:type="dxa"/>
              <w:right w:w="0" w:type="dxa"/>
            </w:tcMar>
            <w:vAlign w:val="center"/>
          </w:tcPr>
          <w:p w14:paraId="3B3A6837"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ABCD567"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Pykinimas</w:t>
            </w:r>
          </w:p>
        </w:tc>
        <w:tc>
          <w:tcPr>
            <w:tcW w:w="1559" w:type="dxa"/>
            <w:tcMar>
              <w:left w:w="57" w:type="dxa"/>
              <w:right w:w="0" w:type="dxa"/>
            </w:tcMar>
          </w:tcPr>
          <w:p w14:paraId="4953BEF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127 (34,2)</w:t>
            </w:r>
          </w:p>
        </w:tc>
        <w:tc>
          <w:tcPr>
            <w:tcW w:w="1480" w:type="dxa"/>
            <w:tcMar>
              <w:left w:w="57" w:type="dxa"/>
              <w:right w:w="0" w:type="dxa"/>
            </w:tcMar>
          </w:tcPr>
          <w:p w14:paraId="2CD0D3F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62601E8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r>
      <w:tr w:rsidR="00F24039" w:rsidRPr="00736D2F" w14:paraId="065E1A1F" w14:textId="77777777" w:rsidTr="00262E68">
        <w:trPr>
          <w:trHeight w:hRule="exact" w:val="269"/>
        </w:trPr>
        <w:tc>
          <w:tcPr>
            <w:tcW w:w="2160" w:type="dxa"/>
            <w:vMerge/>
            <w:tcMar>
              <w:left w:w="57" w:type="dxa"/>
              <w:right w:w="0" w:type="dxa"/>
            </w:tcMar>
            <w:vAlign w:val="center"/>
          </w:tcPr>
          <w:p w14:paraId="65CB0E6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39F52E49"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Vėmimas</w:t>
            </w:r>
          </w:p>
        </w:tc>
        <w:tc>
          <w:tcPr>
            <w:tcW w:w="1559" w:type="dxa"/>
            <w:tcMar>
              <w:left w:w="57" w:type="dxa"/>
              <w:right w:w="0" w:type="dxa"/>
            </w:tcMar>
          </w:tcPr>
          <w:p w14:paraId="0DFD735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84 (22,6)</w:t>
            </w:r>
          </w:p>
        </w:tc>
        <w:tc>
          <w:tcPr>
            <w:tcW w:w="1480" w:type="dxa"/>
            <w:tcMar>
              <w:left w:w="57" w:type="dxa"/>
              <w:right w:w="0" w:type="dxa"/>
            </w:tcMar>
          </w:tcPr>
          <w:p w14:paraId="4F3DF199"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166A482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r>
      <w:tr w:rsidR="00F24039" w:rsidRPr="00736D2F" w14:paraId="6CABA6E0" w14:textId="77777777" w:rsidTr="00262E68">
        <w:trPr>
          <w:trHeight w:hRule="exact" w:val="288"/>
        </w:trPr>
        <w:tc>
          <w:tcPr>
            <w:tcW w:w="2160" w:type="dxa"/>
            <w:vMerge/>
            <w:tcMar>
              <w:left w:w="57" w:type="dxa"/>
              <w:right w:w="0" w:type="dxa"/>
            </w:tcMar>
            <w:vAlign w:val="center"/>
          </w:tcPr>
          <w:p w14:paraId="631CBB9A"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6055E07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Vidurių užkietėjimas</w:t>
            </w:r>
          </w:p>
        </w:tc>
        <w:tc>
          <w:tcPr>
            <w:tcW w:w="1559" w:type="dxa"/>
            <w:tcMar>
              <w:left w:w="57" w:type="dxa"/>
              <w:right w:w="0" w:type="dxa"/>
            </w:tcMar>
          </w:tcPr>
          <w:p w14:paraId="5990B65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76 (20,5)</w:t>
            </w:r>
          </w:p>
        </w:tc>
        <w:tc>
          <w:tcPr>
            <w:tcW w:w="1480" w:type="dxa"/>
            <w:tcMar>
              <w:left w:w="57" w:type="dxa"/>
              <w:right w:w="0" w:type="dxa"/>
            </w:tcMar>
          </w:tcPr>
          <w:p w14:paraId="1FB09056"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539DED7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2E3A84F3" w14:textId="77777777" w:rsidTr="00262E68">
        <w:trPr>
          <w:trHeight w:hRule="exact" w:val="291"/>
        </w:trPr>
        <w:tc>
          <w:tcPr>
            <w:tcW w:w="2160" w:type="dxa"/>
            <w:vMerge/>
            <w:tcMar>
              <w:left w:w="57" w:type="dxa"/>
              <w:right w:w="0" w:type="dxa"/>
            </w:tcMar>
            <w:vAlign w:val="center"/>
          </w:tcPr>
          <w:p w14:paraId="102DC581"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6FEAF8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Pilvo skausmas</w:t>
            </w:r>
          </w:p>
        </w:tc>
        <w:tc>
          <w:tcPr>
            <w:tcW w:w="1559" w:type="dxa"/>
            <w:tcMar>
              <w:left w:w="57" w:type="dxa"/>
              <w:right w:w="0" w:type="dxa"/>
            </w:tcMar>
          </w:tcPr>
          <w:p w14:paraId="33A049F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43 (11,6)</w:t>
            </w:r>
          </w:p>
        </w:tc>
        <w:tc>
          <w:tcPr>
            <w:tcW w:w="1480" w:type="dxa"/>
            <w:tcMar>
              <w:left w:w="57" w:type="dxa"/>
              <w:right w:w="0" w:type="dxa"/>
            </w:tcMar>
          </w:tcPr>
          <w:p w14:paraId="27439CD2"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67E3EE5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r>
      <w:tr w:rsidR="00F24039" w:rsidRPr="00736D2F" w14:paraId="36A4AE57" w14:textId="77777777" w:rsidTr="00262E68">
        <w:trPr>
          <w:trHeight w:hRule="exact" w:val="271"/>
        </w:trPr>
        <w:tc>
          <w:tcPr>
            <w:tcW w:w="2160" w:type="dxa"/>
            <w:vMerge/>
            <w:tcMar>
              <w:left w:w="57" w:type="dxa"/>
              <w:right w:w="0" w:type="dxa"/>
            </w:tcMar>
            <w:vAlign w:val="center"/>
          </w:tcPr>
          <w:p w14:paraId="160B2ADB"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577DF76"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Dispepsija</w:t>
            </w:r>
          </w:p>
        </w:tc>
        <w:tc>
          <w:tcPr>
            <w:tcW w:w="1559" w:type="dxa"/>
            <w:tcMar>
              <w:left w:w="57" w:type="dxa"/>
              <w:right w:w="0" w:type="dxa"/>
            </w:tcMar>
          </w:tcPr>
          <w:p w14:paraId="22C48BC9"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6933504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25 (6,7)</w:t>
            </w:r>
          </w:p>
        </w:tc>
        <w:tc>
          <w:tcPr>
            <w:tcW w:w="1275" w:type="dxa"/>
            <w:tcMar>
              <w:left w:w="57" w:type="dxa"/>
              <w:right w:w="0" w:type="dxa"/>
            </w:tcMar>
          </w:tcPr>
          <w:p w14:paraId="709C48E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5CD8D32D" w14:textId="77777777" w:rsidTr="00262E68">
        <w:trPr>
          <w:trHeight w:val="423"/>
        </w:trPr>
        <w:tc>
          <w:tcPr>
            <w:tcW w:w="2160" w:type="dxa"/>
            <w:vMerge/>
            <w:tcMar>
              <w:left w:w="57" w:type="dxa"/>
              <w:right w:w="0" w:type="dxa"/>
            </w:tcMar>
            <w:vAlign w:val="center"/>
          </w:tcPr>
          <w:p w14:paraId="66C107E9"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6595A5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Viršutinės pilvo dalies skausmas</w:t>
            </w:r>
          </w:p>
        </w:tc>
        <w:tc>
          <w:tcPr>
            <w:tcW w:w="1559" w:type="dxa"/>
            <w:tcMar>
              <w:left w:w="57" w:type="dxa"/>
              <w:right w:w="0" w:type="dxa"/>
            </w:tcMar>
          </w:tcPr>
          <w:p w14:paraId="7CEBE6F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1087B62"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20 (5,4)</w:t>
            </w:r>
          </w:p>
        </w:tc>
        <w:tc>
          <w:tcPr>
            <w:tcW w:w="1275" w:type="dxa"/>
            <w:tcMar>
              <w:left w:w="57" w:type="dxa"/>
              <w:right w:w="0" w:type="dxa"/>
            </w:tcMar>
          </w:tcPr>
          <w:p w14:paraId="3D72169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2AA591F" w14:textId="77777777" w:rsidTr="00262E68">
        <w:trPr>
          <w:trHeight w:hRule="exact" w:val="269"/>
        </w:trPr>
        <w:tc>
          <w:tcPr>
            <w:tcW w:w="2160" w:type="dxa"/>
            <w:vMerge/>
            <w:tcMar>
              <w:left w:w="57" w:type="dxa"/>
              <w:right w:w="0" w:type="dxa"/>
            </w:tcMar>
            <w:vAlign w:val="center"/>
          </w:tcPr>
          <w:p w14:paraId="052A5F7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59DCE5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Hemorojus</w:t>
            </w:r>
          </w:p>
        </w:tc>
        <w:tc>
          <w:tcPr>
            <w:tcW w:w="1559" w:type="dxa"/>
            <w:tcMar>
              <w:left w:w="57" w:type="dxa"/>
              <w:right w:w="0" w:type="dxa"/>
            </w:tcMar>
          </w:tcPr>
          <w:p w14:paraId="5202E070"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5368FEE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14 (3,8)</w:t>
            </w:r>
          </w:p>
        </w:tc>
        <w:tc>
          <w:tcPr>
            <w:tcW w:w="1275" w:type="dxa"/>
            <w:tcMar>
              <w:left w:w="57" w:type="dxa"/>
              <w:right w:w="0" w:type="dxa"/>
            </w:tcMar>
          </w:tcPr>
          <w:p w14:paraId="7E08CCE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5C67D9FA" w14:textId="77777777" w:rsidTr="00262E68">
        <w:trPr>
          <w:trHeight w:hRule="exact" w:val="530"/>
        </w:trPr>
        <w:tc>
          <w:tcPr>
            <w:tcW w:w="2160" w:type="dxa"/>
            <w:vMerge/>
            <w:tcMar>
              <w:left w:w="57" w:type="dxa"/>
              <w:right w:w="0" w:type="dxa"/>
            </w:tcMar>
            <w:vAlign w:val="center"/>
          </w:tcPr>
          <w:p w14:paraId="4C29B694"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74E2E12"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Gastroezofaginio refliukso liga</w:t>
            </w:r>
          </w:p>
        </w:tc>
        <w:tc>
          <w:tcPr>
            <w:tcW w:w="1559" w:type="dxa"/>
            <w:tcMar>
              <w:left w:w="57" w:type="dxa"/>
              <w:right w:w="0" w:type="dxa"/>
            </w:tcMar>
          </w:tcPr>
          <w:p w14:paraId="0D4A4E5F"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6AD404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12 (3,2)</w:t>
            </w:r>
          </w:p>
        </w:tc>
        <w:tc>
          <w:tcPr>
            <w:tcW w:w="1275" w:type="dxa"/>
            <w:tcMar>
              <w:left w:w="57" w:type="dxa"/>
              <w:right w:w="0" w:type="dxa"/>
            </w:tcMar>
          </w:tcPr>
          <w:p w14:paraId="6F88566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3F01CB1E" w14:textId="77777777" w:rsidTr="00262E68">
        <w:trPr>
          <w:trHeight w:hRule="exact" w:val="502"/>
        </w:trPr>
        <w:tc>
          <w:tcPr>
            <w:tcW w:w="2160" w:type="dxa"/>
            <w:vMerge/>
            <w:tcMar>
              <w:left w:w="57" w:type="dxa"/>
              <w:right w:w="0" w:type="dxa"/>
            </w:tcMar>
            <w:vAlign w:val="center"/>
          </w:tcPr>
          <w:p w14:paraId="172231F3"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5E300DC"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Tiesiosios žarnos kraujavimas</w:t>
            </w:r>
          </w:p>
        </w:tc>
        <w:tc>
          <w:tcPr>
            <w:tcW w:w="1559" w:type="dxa"/>
            <w:tcMar>
              <w:left w:w="57" w:type="dxa"/>
              <w:right w:w="0" w:type="dxa"/>
            </w:tcMar>
          </w:tcPr>
          <w:p w14:paraId="40A4B9A2"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A72612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8 (2,2)</w:t>
            </w:r>
          </w:p>
        </w:tc>
        <w:tc>
          <w:tcPr>
            <w:tcW w:w="1275" w:type="dxa"/>
            <w:tcMar>
              <w:left w:w="57" w:type="dxa"/>
              <w:right w:w="0" w:type="dxa"/>
            </w:tcMar>
          </w:tcPr>
          <w:p w14:paraId="6106052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4154178D" w14:textId="77777777" w:rsidTr="00262E68">
        <w:trPr>
          <w:trHeight w:hRule="exact" w:val="271"/>
        </w:trPr>
        <w:tc>
          <w:tcPr>
            <w:tcW w:w="2160" w:type="dxa"/>
            <w:vMerge/>
            <w:tcMar>
              <w:left w:w="57" w:type="dxa"/>
              <w:right w:w="0" w:type="dxa"/>
            </w:tcMar>
            <w:vAlign w:val="center"/>
          </w:tcPr>
          <w:p w14:paraId="42DA1F15"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4E732A8"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Burnos džiūvimas</w:t>
            </w:r>
          </w:p>
        </w:tc>
        <w:tc>
          <w:tcPr>
            <w:tcW w:w="1559" w:type="dxa"/>
            <w:tcMar>
              <w:left w:w="57" w:type="dxa"/>
              <w:right w:w="0" w:type="dxa"/>
            </w:tcMar>
          </w:tcPr>
          <w:p w14:paraId="748F428D"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6F90E2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8 (2,2)</w:t>
            </w:r>
          </w:p>
        </w:tc>
        <w:tc>
          <w:tcPr>
            <w:tcW w:w="1275" w:type="dxa"/>
            <w:tcMar>
              <w:left w:w="57" w:type="dxa"/>
              <w:right w:w="0" w:type="dxa"/>
            </w:tcMar>
          </w:tcPr>
          <w:p w14:paraId="0BA12D5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29A28A9A" w14:textId="77777777" w:rsidTr="00262E68">
        <w:trPr>
          <w:trHeight w:hRule="exact" w:val="343"/>
        </w:trPr>
        <w:tc>
          <w:tcPr>
            <w:tcW w:w="2160" w:type="dxa"/>
            <w:vMerge/>
            <w:tcMar>
              <w:left w:w="57" w:type="dxa"/>
              <w:right w:w="0" w:type="dxa"/>
            </w:tcMar>
            <w:vAlign w:val="center"/>
          </w:tcPr>
          <w:p w14:paraId="52184C9F"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94045C8"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Pilvo tempimas</w:t>
            </w:r>
          </w:p>
        </w:tc>
        <w:tc>
          <w:tcPr>
            <w:tcW w:w="1559" w:type="dxa"/>
            <w:tcMar>
              <w:left w:w="57" w:type="dxa"/>
              <w:right w:w="0" w:type="dxa"/>
            </w:tcMar>
          </w:tcPr>
          <w:p w14:paraId="01C1D138"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383F05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77A9014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2E1A18CC" w14:textId="77777777" w:rsidTr="00262E68">
        <w:trPr>
          <w:trHeight w:hRule="exact" w:val="269"/>
        </w:trPr>
        <w:tc>
          <w:tcPr>
            <w:tcW w:w="2160" w:type="dxa"/>
            <w:vMerge w:val="restart"/>
            <w:tcMar>
              <w:left w:w="57" w:type="dxa"/>
              <w:right w:w="0" w:type="dxa"/>
            </w:tcMar>
            <w:vAlign w:val="center"/>
          </w:tcPr>
          <w:p w14:paraId="5BABF8B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Odos ir poodinio audinio sutrikimai</w:t>
            </w:r>
          </w:p>
        </w:tc>
        <w:tc>
          <w:tcPr>
            <w:tcW w:w="2650" w:type="dxa"/>
            <w:tcMar>
              <w:left w:w="57" w:type="dxa"/>
              <w:right w:w="0" w:type="dxa"/>
            </w:tcMar>
          </w:tcPr>
          <w:p w14:paraId="6F710B8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Alopecija</w:t>
            </w:r>
          </w:p>
        </w:tc>
        <w:tc>
          <w:tcPr>
            <w:tcW w:w="1559" w:type="dxa"/>
            <w:tcMar>
              <w:left w:w="57" w:type="dxa"/>
              <w:right w:w="0" w:type="dxa"/>
            </w:tcMar>
          </w:tcPr>
          <w:p w14:paraId="5ED3F05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37 (10)</w:t>
            </w:r>
          </w:p>
        </w:tc>
        <w:tc>
          <w:tcPr>
            <w:tcW w:w="1480" w:type="dxa"/>
            <w:tcMar>
              <w:left w:w="57" w:type="dxa"/>
              <w:right w:w="0" w:type="dxa"/>
            </w:tcMar>
          </w:tcPr>
          <w:p w14:paraId="03B9142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6E46D30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797AC962" w14:textId="77777777" w:rsidTr="00262E68">
        <w:trPr>
          <w:trHeight w:hRule="exact" w:val="271"/>
        </w:trPr>
        <w:tc>
          <w:tcPr>
            <w:tcW w:w="2160" w:type="dxa"/>
            <w:vMerge/>
            <w:tcMar>
              <w:left w:w="57" w:type="dxa"/>
              <w:right w:w="0" w:type="dxa"/>
            </w:tcMar>
            <w:vAlign w:val="center"/>
          </w:tcPr>
          <w:p w14:paraId="3A360394"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5342AD1"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Odos sausumas</w:t>
            </w:r>
          </w:p>
        </w:tc>
        <w:tc>
          <w:tcPr>
            <w:tcW w:w="1559" w:type="dxa"/>
            <w:tcMar>
              <w:left w:w="57" w:type="dxa"/>
              <w:right w:w="0" w:type="dxa"/>
            </w:tcMar>
          </w:tcPr>
          <w:p w14:paraId="7D5B7CE6"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9D36FC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9 (2,4)</w:t>
            </w:r>
          </w:p>
        </w:tc>
        <w:tc>
          <w:tcPr>
            <w:tcW w:w="1275" w:type="dxa"/>
            <w:tcMar>
              <w:left w:w="57" w:type="dxa"/>
              <w:right w:w="0" w:type="dxa"/>
            </w:tcMar>
          </w:tcPr>
          <w:p w14:paraId="7F72FDA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418452CC" w14:textId="77777777" w:rsidTr="00262E68">
        <w:trPr>
          <w:trHeight w:hRule="exact" w:val="269"/>
        </w:trPr>
        <w:tc>
          <w:tcPr>
            <w:tcW w:w="2160" w:type="dxa"/>
            <w:vMerge/>
            <w:tcMar>
              <w:left w:w="57" w:type="dxa"/>
              <w:right w:w="0" w:type="dxa"/>
            </w:tcMar>
            <w:vAlign w:val="center"/>
          </w:tcPr>
          <w:p w14:paraId="768CB86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F8B0E61"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Eritema</w:t>
            </w:r>
          </w:p>
        </w:tc>
        <w:tc>
          <w:tcPr>
            <w:tcW w:w="1559" w:type="dxa"/>
            <w:tcMar>
              <w:left w:w="57" w:type="dxa"/>
              <w:right w:w="0" w:type="dxa"/>
            </w:tcMar>
          </w:tcPr>
          <w:p w14:paraId="64B35350"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4E90071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066DE8B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47C5C3E9" w14:textId="77777777" w:rsidTr="00262E68">
        <w:trPr>
          <w:trHeight w:hRule="exact" w:val="271"/>
        </w:trPr>
        <w:tc>
          <w:tcPr>
            <w:tcW w:w="2160" w:type="dxa"/>
            <w:vMerge w:val="restart"/>
            <w:tcMar>
              <w:left w:w="57" w:type="dxa"/>
              <w:right w:w="0" w:type="dxa"/>
            </w:tcMar>
            <w:vAlign w:val="center"/>
          </w:tcPr>
          <w:p w14:paraId="0C69320E"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Skeleto, raumenų ir jungiamojo audinio sutrikimai</w:t>
            </w:r>
          </w:p>
        </w:tc>
        <w:tc>
          <w:tcPr>
            <w:tcW w:w="2650" w:type="dxa"/>
            <w:tcMar>
              <w:left w:w="57" w:type="dxa"/>
              <w:right w:w="0" w:type="dxa"/>
            </w:tcMar>
          </w:tcPr>
          <w:p w14:paraId="3AB203A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Nugaros skausmas</w:t>
            </w:r>
          </w:p>
        </w:tc>
        <w:tc>
          <w:tcPr>
            <w:tcW w:w="1559" w:type="dxa"/>
            <w:tcMar>
              <w:left w:w="57" w:type="dxa"/>
              <w:right w:w="0" w:type="dxa"/>
            </w:tcMar>
          </w:tcPr>
          <w:p w14:paraId="5A43CD5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60 (16,2)</w:t>
            </w:r>
          </w:p>
        </w:tc>
        <w:tc>
          <w:tcPr>
            <w:tcW w:w="1480" w:type="dxa"/>
            <w:tcMar>
              <w:left w:w="57" w:type="dxa"/>
              <w:right w:w="0" w:type="dxa"/>
            </w:tcMar>
          </w:tcPr>
          <w:p w14:paraId="7629D6CD"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3E225FE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14 (3,8)</w:t>
            </w:r>
          </w:p>
        </w:tc>
      </w:tr>
      <w:tr w:rsidR="00F24039" w:rsidRPr="00736D2F" w14:paraId="795AB420" w14:textId="77777777" w:rsidTr="00262E68">
        <w:trPr>
          <w:trHeight w:hRule="exact" w:val="269"/>
        </w:trPr>
        <w:tc>
          <w:tcPr>
            <w:tcW w:w="2160" w:type="dxa"/>
            <w:vMerge/>
            <w:tcMar>
              <w:left w:w="57" w:type="dxa"/>
              <w:right w:w="0" w:type="dxa"/>
            </w:tcMar>
            <w:vAlign w:val="center"/>
          </w:tcPr>
          <w:p w14:paraId="08F994D2"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69CEE13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Artralgija</w:t>
            </w:r>
          </w:p>
        </w:tc>
        <w:tc>
          <w:tcPr>
            <w:tcW w:w="1559" w:type="dxa"/>
            <w:tcMar>
              <w:left w:w="57" w:type="dxa"/>
              <w:right w:w="0" w:type="dxa"/>
            </w:tcMar>
          </w:tcPr>
          <w:p w14:paraId="40A35CF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39 (10,5)</w:t>
            </w:r>
          </w:p>
        </w:tc>
        <w:tc>
          <w:tcPr>
            <w:tcW w:w="1480" w:type="dxa"/>
            <w:tcMar>
              <w:left w:w="57" w:type="dxa"/>
              <w:right w:w="0" w:type="dxa"/>
            </w:tcMar>
          </w:tcPr>
          <w:p w14:paraId="563242FA"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6140431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73913B08" w14:textId="77777777" w:rsidTr="00262E68">
        <w:trPr>
          <w:trHeight w:hRule="exact" w:val="271"/>
        </w:trPr>
        <w:tc>
          <w:tcPr>
            <w:tcW w:w="2160" w:type="dxa"/>
            <w:vMerge/>
            <w:tcMar>
              <w:left w:w="57" w:type="dxa"/>
              <w:right w:w="0" w:type="dxa"/>
            </w:tcMar>
            <w:vAlign w:val="center"/>
          </w:tcPr>
          <w:p w14:paraId="27BD299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EF2146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Galūnių skausmas</w:t>
            </w:r>
          </w:p>
        </w:tc>
        <w:tc>
          <w:tcPr>
            <w:tcW w:w="1559" w:type="dxa"/>
            <w:tcMar>
              <w:left w:w="57" w:type="dxa"/>
              <w:right w:w="0" w:type="dxa"/>
            </w:tcMar>
          </w:tcPr>
          <w:p w14:paraId="48064967"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43AC9E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30 (8,1)</w:t>
            </w:r>
          </w:p>
        </w:tc>
        <w:tc>
          <w:tcPr>
            <w:tcW w:w="1275" w:type="dxa"/>
            <w:tcMar>
              <w:left w:w="57" w:type="dxa"/>
              <w:right w:w="0" w:type="dxa"/>
            </w:tcMar>
          </w:tcPr>
          <w:p w14:paraId="4E60D32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r>
      <w:tr w:rsidR="00F24039" w:rsidRPr="00736D2F" w14:paraId="2038AA45" w14:textId="77777777" w:rsidTr="00262E68">
        <w:trPr>
          <w:trHeight w:hRule="exact" w:val="269"/>
        </w:trPr>
        <w:tc>
          <w:tcPr>
            <w:tcW w:w="2160" w:type="dxa"/>
            <w:vMerge/>
            <w:tcMar>
              <w:left w:w="57" w:type="dxa"/>
              <w:right w:w="0" w:type="dxa"/>
            </w:tcMar>
            <w:vAlign w:val="center"/>
          </w:tcPr>
          <w:p w14:paraId="2592A721"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622755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Raumenų spazmai</w:t>
            </w:r>
          </w:p>
        </w:tc>
        <w:tc>
          <w:tcPr>
            <w:tcW w:w="1559" w:type="dxa"/>
            <w:tcMar>
              <w:left w:w="57" w:type="dxa"/>
              <w:right w:w="0" w:type="dxa"/>
            </w:tcMar>
          </w:tcPr>
          <w:p w14:paraId="72FBF74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474A178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27 (7,3)</w:t>
            </w:r>
          </w:p>
        </w:tc>
        <w:tc>
          <w:tcPr>
            <w:tcW w:w="1275" w:type="dxa"/>
            <w:tcMar>
              <w:left w:w="57" w:type="dxa"/>
              <w:right w:w="0" w:type="dxa"/>
            </w:tcMar>
          </w:tcPr>
          <w:p w14:paraId="0074E9C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2448F7A2" w14:textId="77777777" w:rsidTr="00262E68">
        <w:trPr>
          <w:trHeight w:hRule="exact" w:val="271"/>
        </w:trPr>
        <w:tc>
          <w:tcPr>
            <w:tcW w:w="2160" w:type="dxa"/>
            <w:vMerge/>
            <w:tcMar>
              <w:left w:w="57" w:type="dxa"/>
              <w:right w:w="0" w:type="dxa"/>
            </w:tcMar>
            <w:vAlign w:val="center"/>
          </w:tcPr>
          <w:p w14:paraId="38E8D709"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78E3B90"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Mialgija</w:t>
            </w:r>
          </w:p>
        </w:tc>
        <w:tc>
          <w:tcPr>
            <w:tcW w:w="1559" w:type="dxa"/>
            <w:tcMar>
              <w:left w:w="57" w:type="dxa"/>
              <w:right w:w="0" w:type="dxa"/>
            </w:tcMar>
          </w:tcPr>
          <w:p w14:paraId="068FE9D1"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5A09BCF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14 (3,8)</w:t>
            </w:r>
          </w:p>
        </w:tc>
        <w:tc>
          <w:tcPr>
            <w:tcW w:w="1275" w:type="dxa"/>
            <w:tcMar>
              <w:left w:w="57" w:type="dxa"/>
              <w:right w:w="0" w:type="dxa"/>
            </w:tcMar>
          </w:tcPr>
          <w:p w14:paraId="42A3E30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06B654F0" w14:textId="77777777" w:rsidTr="00262E68">
        <w:trPr>
          <w:trHeight w:hRule="exact" w:val="566"/>
        </w:trPr>
        <w:tc>
          <w:tcPr>
            <w:tcW w:w="2160" w:type="dxa"/>
            <w:vMerge/>
            <w:tcMar>
              <w:left w:w="57" w:type="dxa"/>
              <w:right w:w="0" w:type="dxa"/>
            </w:tcMar>
            <w:vAlign w:val="center"/>
          </w:tcPr>
          <w:p w14:paraId="1E50B9E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9F8814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Su griaučiais ir raumenimis susijęs krūtinės skausmas</w:t>
            </w:r>
          </w:p>
        </w:tc>
        <w:tc>
          <w:tcPr>
            <w:tcW w:w="1559" w:type="dxa"/>
            <w:tcMar>
              <w:left w:w="57" w:type="dxa"/>
              <w:right w:w="0" w:type="dxa"/>
            </w:tcMar>
          </w:tcPr>
          <w:p w14:paraId="6D852B28"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8D5829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11 (3)</w:t>
            </w:r>
          </w:p>
        </w:tc>
        <w:tc>
          <w:tcPr>
            <w:tcW w:w="1275" w:type="dxa"/>
            <w:tcMar>
              <w:left w:w="57" w:type="dxa"/>
              <w:right w:w="0" w:type="dxa"/>
            </w:tcMar>
          </w:tcPr>
          <w:p w14:paraId="220075D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4B8851C4" w14:textId="77777777" w:rsidTr="00262E68">
        <w:trPr>
          <w:trHeight w:hRule="exact" w:val="269"/>
        </w:trPr>
        <w:tc>
          <w:tcPr>
            <w:tcW w:w="2160" w:type="dxa"/>
            <w:vMerge/>
            <w:tcMar>
              <w:left w:w="57" w:type="dxa"/>
              <w:right w:w="0" w:type="dxa"/>
            </w:tcMar>
            <w:vAlign w:val="center"/>
          </w:tcPr>
          <w:p w14:paraId="1BE530C4"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28C7DC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Šono skausmas</w:t>
            </w:r>
          </w:p>
        </w:tc>
        <w:tc>
          <w:tcPr>
            <w:tcW w:w="1559" w:type="dxa"/>
            <w:tcMar>
              <w:left w:w="57" w:type="dxa"/>
              <w:right w:w="0" w:type="dxa"/>
            </w:tcMar>
          </w:tcPr>
          <w:p w14:paraId="22C3474B"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892BA9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c>
          <w:tcPr>
            <w:tcW w:w="1275" w:type="dxa"/>
            <w:tcMar>
              <w:left w:w="57" w:type="dxa"/>
              <w:right w:w="0" w:type="dxa"/>
            </w:tcMar>
          </w:tcPr>
          <w:p w14:paraId="700D5BD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 (0,8)</w:t>
            </w:r>
          </w:p>
        </w:tc>
      </w:tr>
      <w:tr w:rsidR="00F24039" w:rsidRPr="00736D2F" w14:paraId="1E62FA9F" w14:textId="77777777" w:rsidTr="00262E68">
        <w:trPr>
          <w:trHeight w:hRule="exact" w:val="578"/>
        </w:trPr>
        <w:tc>
          <w:tcPr>
            <w:tcW w:w="2160" w:type="dxa"/>
            <w:vMerge w:val="restart"/>
            <w:tcMar>
              <w:left w:w="57" w:type="dxa"/>
              <w:right w:w="0" w:type="dxa"/>
            </w:tcMar>
            <w:vAlign w:val="center"/>
          </w:tcPr>
          <w:p w14:paraId="47B5BB52"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Inkstų ir šlapimo takų sutrikimai</w:t>
            </w:r>
          </w:p>
        </w:tc>
        <w:tc>
          <w:tcPr>
            <w:tcW w:w="2650" w:type="dxa"/>
            <w:tcMar>
              <w:left w:w="57" w:type="dxa"/>
              <w:right w:w="0" w:type="dxa"/>
            </w:tcMar>
          </w:tcPr>
          <w:p w14:paraId="21E020F1"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Ūminis inkstų nepakankamumas</w:t>
            </w:r>
          </w:p>
        </w:tc>
        <w:tc>
          <w:tcPr>
            <w:tcW w:w="1559" w:type="dxa"/>
            <w:tcMar>
              <w:left w:w="57" w:type="dxa"/>
              <w:right w:w="0" w:type="dxa"/>
            </w:tcMar>
          </w:tcPr>
          <w:p w14:paraId="2E5C8376"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E2C0B6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8 (2,2)</w:t>
            </w:r>
          </w:p>
        </w:tc>
        <w:tc>
          <w:tcPr>
            <w:tcW w:w="1275" w:type="dxa"/>
            <w:tcMar>
              <w:left w:w="57" w:type="dxa"/>
              <w:right w:w="0" w:type="dxa"/>
            </w:tcMar>
          </w:tcPr>
          <w:p w14:paraId="6ABE377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r>
      <w:tr w:rsidR="00F24039" w:rsidRPr="00736D2F" w14:paraId="59212A1E" w14:textId="77777777" w:rsidTr="00262E68">
        <w:trPr>
          <w:trHeight w:hRule="exact" w:val="269"/>
        </w:trPr>
        <w:tc>
          <w:tcPr>
            <w:tcW w:w="2160" w:type="dxa"/>
            <w:vMerge/>
            <w:tcMar>
              <w:left w:w="57" w:type="dxa"/>
              <w:right w:w="0" w:type="dxa"/>
            </w:tcMar>
            <w:vAlign w:val="center"/>
          </w:tcPr>
          <w:p w14:paraId="56355B2F"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7F80778"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Inkstų nepakankamumas</w:t>
            </w:r>
          </w:p>
        </w:tc>
        <w:tc>
          <w:tcPr>
            <w:tcW w:w="1559" w:type="dxa"/>
            <w:tcMar>
              <w:left w:w="57" w:type="dxa"/>
              <w:right w:w="0" w:type="dxa"/>
            </w:tcMar>
          </w:tcPr>
          <w:p w14:paraId="614367ED"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1F6C71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c>
          <w:tcPr>
            <w:tcW w:w="1275" w:type="dxa"/>
            <w:tcMar>
              <w:left w:w="57" w:type="dxa"/>
              <w:right w:w="0" w:type="dxa"/>
            </w:tcMar>
          </w:tcPr>
          <w:p w14:paraId="233F941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r>
      <w:tr w:rsidR="00F24039" w:rsidRPr="00736D2F" w14:paraId="593BF292" w14:textId="77777777" w:rsidTr="00262E68">
        <w:trPr>
          <w:trHeight w:hRule="exact" w:val="271"/>
        </w:trPr>
        <w:tc>
          <w:tcPr>
            <w:tcW w:w="2160" w:type="dxa"/>
            <w:vMerge/>
            <w:tcMar>
              <w:left w:w="57" w:type="dxa"/>
              <w:right w:w="0" w:type="dxa"/>
            </w:tcMar>
            <w:vAlign w:val="center"/>
          </w:tcPr>
          <w:p w14:paraId="6859B31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4384C4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Dizurija</w:t>
            </w:r>
          </w:p>
        </w:tc>
        <w:tc>
          <w:tcPr>
            <w:tcW w:w="1559" w:type="dxa"/>
            <w:tcMar>
              <w:left w:w="57" w:type="dxa"/>
              <w:right w:w="0" w:type="dxa"/>
            </w:tcMar>
          </w:tcPr>
          <w:p w14:paraId="0ED402BD"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7679BB3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25 (6,7)</w:t>
            </w:r>
          </w:p>
        </w:tc>
        <w:tc>
          <w:tcPr>
            <w:tcW w:w="1275" w:type="dxa"/>
            <w:tcMar>
              <w:left w:w="57" w:type="dxa"/>
              <w:right w:w="0" w:type="dxa"/>
            </w:tcMar>
          </w:tcPr>
          <w:p w14:paraId="370F18E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5D849DDF" w14:textId="77777777" w:rsidTr="00262E68">
        <w:trPr>
          <w:trHeight w:hRule="exact" w:val="269"/>
        </w:trPr>
        <w:tc>
          <w:tcPr>
            <w:tcW w:w="2160" w:type="dxa"/>
            <w:vMerge/>
            <w:tcMar>
              <w:left w:w="57" w:type="dxa"/>
              <w:right w:w="0" w:type="dxa"/>
            </w:tcMar>
            <w:vAlign w:val="center"/>
          </w:tcPr>
          <w:p w14:paraId="6BD5A6E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E70B9E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Inkstų kolika</w:t>
            </w:r>
          </w:p>
        </w:tc>
        <w:tc>
          <w:tcPr>
            <w:tcW w:w="1559" w:type="dxa"/>
            <w:tcMar>
              <w:left w:w="57" w:type="dxa"/>
              <w:right w:w="0" w:type="dxa"/>
            </w:tcMar>
          </w:tcPr>
          <w:p w14:paraId="459949A8"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4AB916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64F6721D"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685350B5" w14:textId="77777777" w:rsidTr="00262E68">
        <w:trPr>
          <w:trHeight w:hRule="exact" w:val="271"/>
        </w:trPr>
        <w:tc>
          <w:tcPr>
            <w:tcW w:w="2160" w:type="dxa"/>
            <w:vMerge/>
            <w:tcMar>
              <w:left w:w="57" w:type="dxa"/>
              <w:right w:w="0" w:type="dxa"/>
            </w:tcMar>
            <w:vAlign w:val="center"/>
          </w:tcPr>
          <w:p w14:paraId="43A95DF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53867A10"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Hematurija</w:t>
            </w:r>
          </w:p>
        </w:tc>
        <w:tc>
          <w:tcPr>
            <w:tcW w:w="1559" w:type="dxa"/>
            <w:tcMar>
              <w:left w:w="57" w:type="dxa"/>
              <w:right w:w="0" w:type="dxa"/>
            </w:tcMar>
          </w:tcPr>
          <w:p w14:paraId="69058D8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62 (16,7)</w:t>
            </w:r>
          </w:p>
        </w:tc>
        <w:tc>
          <w:tcPr>
            <w:tcW w:w="1480" w:type="dxa"/>
            <w:tcMar>
              <w:left w:w="57" w:type="dxa"/>
              <w:right w:w="0" w:type="dxa"/>
            </w:tcMar>
          </w:tcPr>
          <w:p w14:paraId="15136C7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275" w:type="dxa"/>
            <w:tcMar>
              <w:left w:w="57" w:type="dxa"/>
              <w:right w:w="0" w:type="dxa"/>
            </w:tcMar>
          </w:tcPr>
          <w:p w14:paraId="2534740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r>
      <w:tr w:rsidR="00F24039" w:rsidRPr="00736D2F" w14:paraId="3E85AD12" w14:textId="77777777" w:rsidTr="00262E68">
        <w:trPr>
          <w:trHeight w:hRule="exact" w:val="269"/>
        </w:trPr>
        <w:tc>
          <w:tcPr>
            <w:tcW w:w="2160" w:type="dxa"/>
            <w:vMerge/>
            <w:tcMar>
              <w:left w:w="57" w:type="dxa"/>
              <w:right w:w="0" w:type="dxa"/>
            </w:tcMar>
            <w:vAlign w:val="center"/>
          </w:tcPr>
          <w:p w14:paraId="5F4C23BE"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70410C2" w14:textId="77777777" w:rsidR="00F24039" w:rsidRPr="00736D2F" w:rsidRDefault="00262E68" w:rsidP="00163693">
            <w:pPr>
              <w:tabs>
                <w:tab w:val="center" w:pos="567"/>
              </w:tabs>
              <w:spacing w:line="240" w:lineRule="auto"/>
              <w:ind w:right="-20"/>
              <w:contextualSpacing/>
              <w:rPr>
                <w:spacing w:val="-1"/>
                <w:szCs w:val="22"/>
                <w:lang w:val="lt-LT"/>
              </w:rPr>
            </w:pPr>
            <w:r w:rsidRPr="00736D2F">
              <w:rPr>
                <w:spacing w:val="-1"/>
                <w:szCs w:val="22"/>
                <w:lang w:val="lt-LT"/>
              </w:rPr>
              <w:t>Pol</w:t>
            </w:r>
            <w:r w:rsidR="00F24039" w:rsidRPr="00736D2F">
              <w:rPr>
                <w:spacing w:val="-1"/>
                <w:szCs w:val="22"/>
                <w:lang w:val="lt-LT"/>
              </w:rPr>
              <w:t>akiuri</w:t>
            </w:r>
            <w:r w:rsidRPr="00736D2F">
              <w:rPr>
                <w:spacing w:val="-1"/>
                <w:szCs w:val="22"/>
                <w:lang w:val="lt-LT"/>
              </w:rPr>
              <w:t>j</w:t>
            </w:r>
            <w:r w:rsidR="00F24039" w:rsidRPr="00736D2F">
              <w:rPr>
                <w:spacing w:val="-1"/>
                <w:szCs w:val="22"/>
                <w:lang w:val="lt-LT"/>
              </w:rPr>
              <w:t>a</w:t>
            </w:r>
          </w:p>
        </w:tc>
        <w:tc>
          <w:tcPr>
            <w:tcW w:w="1559" w:type="dxa"/>
            <w:tcMar>
              <w:left w:w="57" w:type="dxa"/>
              <w:right w:w="0" w:type="dxa"/>
            </w:tcMar>
          </w:tcPr>
          <w:p w14:paraId="4203A90F"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179825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13 (3,5)</w:t>
            </w:r>
          </w:p>
        </w:tc>
        <w:tc>
          <w:tcPr>
            <w:tcW w:w="1275" w:type="dxa"/>
            <w:tcMar>
              <w:left w:w="57" w:type="dxa"/>
              <w:right w:w="0" w:type="dxa"/>
            </w:tcMar>
          </w:tcPr>
          <w:p w14:paraId="4D89E792"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7F56F9EA" w14:textId="77777777" w:rsidTr="00262E68">
        <w:trPr>
          <w:trHeight w:hRule="exact" w:val="271"/>
        </w:trPr>
        <w:tc>
          <w:tcPr>
            <w:tcW w:w="2160" w:type="dxa"/>
            <w:vMerge/>
            <w:tcMar>
              <w:left w:w="57" w:type="dxa"/>
              <w:right w:w="0" w:type="dxa"/>
            </w:tcMar>
            <w:vAlign w:val="center"/>
          </w:tcPr>
          <w:p w14:paraId="294D6DFF"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A819D0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Hidronefrozė</w:t>
            </w:r>
          </w:p>
        </w:tc>
        <w:tc>
          <w:tcPr>
            <w:tcW w:w="1559" w:type="dxa"/>
            <w:tcMar>
              <w:left w:w="57" w:type="dxa"/>
              <w:right w:w="0" w:type="dxa"/>
            </w:tcMar>
          </w:tcPr>
          <w:p w14:paraId="79725475"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321F05D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9 (2,4)</w:t>
            </w:r>
          </w:p>
        </w:tc>
        <w:tc>
          <w:tcPr>
            <w:tcW w:w="1275" w:type="dxa"/>
            <w:tcMar>
              <w:left w:w="57" w:type="dxa"/>
              <w:right w:w="0" w:type="dxa"/>
            </w:tcMar>
          </w:tcPr>
          <w:p w14:paraId="6B2ED96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 (0,8)</w:t>
            </w:r>
          </w:p>
        </w:tc>
      </w:tr>
      <w:tr w:rsidR="00F24039" w:rsidRPr="00736D2F" w14:paraId="1D51EEF7" w14:textId="77777777" w:rsidTr="00262E68">
        <w:trPr>
          <w:trHeight w:hRule="exact" w:val="269"/>
        </w:trPr>
        <w:tc>
          <w:tcPr>
            <w:tcW w:w="2160" w:type="dxa"/>
            <w:vMerge/>
            <w:tcMar>
              <w:left w:w="57" w:type="dxa"/>
              <w:right w:w="0" w:type="dxa"/>
            </w:tcMar>
            <w:vAlign w:val="center"/>
          </w:tcPr>
          <w:p w14:paraId="46BE7A85"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46F2B8B"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Šlapimo susilaikymas</w:t>
            </w:r>
          </w:p>
        </w:tc>
        <w:tc>
          <w:tcPr>
            <w:tcW w:w="1559" w:type="dxa"/>
            <w:tcMar>
              <w:left w:w="57" w:type="dxa"/>
              <w:right w:w="0" w:type="dxa"/>
            </w:tcMar>
          </w:tcPr>
          <w:p w14:paraId="07E62434" w14:textId="77777777" w:rsidR="00F24039" w:rsidRPr="00736D2F" w:rsidRDefault="00F24039" w:rsidP="009B566E">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230794E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9 (2,4)</w:t>
            </w:r>
          </w:p>
        </w:tc>
        <w:tc>
          <w:tcPr>
            <w:tcW w:w="1275" w:type="dxa"/>
            <w:tcMar>
              <w:left w:w="57" w:type="dxa"/>
              <w:right w:w="0" w:type="dxa"/>
            </w:tcMar>
          </w:tcPr>
          <w:p w14:paraId="74E8AD6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 (0,8)</w:t>
            </w:r>
          </w:p>
        </w:tc>
      </w:tr>
      <w:tr w:rsidR="00F24039" w:rsidRPr="00736D2F" w14:paraId="1796F3E0" w14:textId="77777777" w:rsidTr="00262E68">
        <w:trPr>
          <w:trHeight w:hRule="exact" w:val="309"/>
        </w:trPr>
        <w:tc>
          <w:tcPr>
            <w:tcW w:w="2160" w:type="dxa"/>
            <w:vMerge/>
            <w:tcMar>
              <w:left w:w="57" w:type="dxa"/>
              <w:right w:w="0" w:type="dxa"/>
            </w:tcMar>
            <w:vAlign w:val="center"/>
          </w:tcPr>
          <w:p w14:paraId="6B492E67"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18619DB"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Šlapimo nelaikymas</w:t>
            </w:r>
          </w:p>
        </w:tc>
        <w:tc>
          <w:tcPr>
            <w:tcW w:w="1559" w:type="dxa"/>
            <w:tcMar>
              <w:left w:w="57" w:type="dxa"/>
              <w:right w:w="0" w:type="dxa"/>
            </w:tcMar>
          </w:tcPr>
          <w:p w14:paraId="409ACAE3"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0D6648B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9 (2,4)</w:t>
            </w:r>
          </w:p>
        </w:tc>
        <w:tc>
          <w:tcPr>
            <w:tcW w:w="1275" w:type="dxa"/>
            <w:tcMar>
              <w:left w:w="57" w:type="dxa"/>
              <w:right w:w="0" w:type="dxa"/>
            </w:tcMar>
          </w:tcPr>
          <w:p w14:paraId="27FFB38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175D8ED7" w14:textId="77777777" w:rsidTr="00262E68">
        <w:trPr>
          <w:trHeight w:hRule="exact" w:val="269"/>
        </w:trPr>
        <w:tc>
          <w:tcPr>
            <w:tcW w:w="2160" w:type="dxa"/>
            <w:vMerge/>
            <w:tcMar>
              <w:left w:w="57" w:type="dxa"/>
              <w:right w:w="0" w:type="dxa"/>
            </w:tcMar>
            <w:vAlign w:val="center"/>
          </w:tcPr>
          <w:p w14:paraId="151683D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BCC69B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Šlapimtakio obstrukcija</w:t>
            </w:r>
          </w:p>
        </w:tc>
        <w:tc>
          <w:tcPr>
            <w:tcW w:w="1559" w:type="dxa"/>
            <w:tcMar>
              <w:left w:w="57" w:type="dxa"/>
              <w:right w:w="0" w:type="dxa"/>
            </w:tcMar>
          </w:tcPr>
          <w:p w14:paraId="0C000ABE"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78A8C129"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c>
          <w:tcPr>
            <w:tcW w:w="1275" w:type="dxa"/>
            <w:tcMar>
              <w:left w:w="57" w:type="dxa"/>
              <w:right w:w="0" w:type="dxa"/>
            </w:tcMar>
          </w:tcPr>
          <w:p w14:paraId="7D072D30"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r>
      <w:tr w:rsidR="00F24039" w:rsidRPr="00736D2F" w14:paraId="69126A4E" w14:textId="77777777" w:rsidTr="00262E68">
        <w:trPr>
          <w:trHeight w:hRule="exact" w:val="530"/>
        </w:trPr>
        <w:tc>
          <w:tcPr>
            <w:tcW w:w="2160" w:type="dxa"/>
            <w:tcMar>
              <w:left w:w="57" w:type="dxa"/>
              <w:right w:w="0" w:type="dxa"/>
            </w:tcMar>
            <w:vAlign w:val="center"/>
          </w:tcPr>
          <w:p w14:paraId="7B3D801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Lytinės sistemos ir krūties sutrikimai</w:t>
            </w:r>
          </w:p>
        </w:tc>
        <w:tc>
          <w:tcPr>
            <w:tcW w:w="2650" w:type="dxa"/>
            <w:tcMar>
              <w:left w:w="57" w:type="dxa"/>
              <w:right w:w="0" w:type="dxa"/>
            </w:tcMar>
          </w:tcPr>
          <w:p w14:paraId="0167856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Dubens srities skausmas</w:t>
            </w:r>
          </w:p>
        </w:tc>
        <w:tc>
          <w:tcPr>
            <w:tcW w:w="1559" w:type="dxa"/>
            <w:tcMar>
              <w:left w:w="57" w:type="dxa"/>
              <w:right w:w="0" w:type="dxa"/>
            </w:tcMar>
          </w:tcPr>
          <w:p w14:paraId="7B750632"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537BA732"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c>
          <w:tcPr>
            <w:tcW w:w="1275" w:type="dxa"/>
            <w:tcMar>
              <w:left w:w="57" w:type="dxa"/>
              <w:right w:w="0" w:type="dxa"/>
            </w:tcMar>
          </w:tcPr>
          <w:p w14:paraId="49CA184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6BC76DF3" w14:textId="77777777" w:rsidTr="00262E68">
        <w:trPr>
          <w:trHeight w:hRule="exact" w:val="271"/>
        </w:trPr>
        <w:tc>
          <w:tcPr>
            <w:tcW w:w="2160" w:type="dxa"/>
            <w:vMerge w:val="restart"/>
            <w:tcMar>
              <w:left w:w="57" w:type="dxa"/>
              <w:right w:w="0" w:type="dxa"/>
            </w:tcMar>
            <w:vAlign w:val="center"/>
          </w:tcPr>
          <w:p w14:paraId="02851E9D" w14:textId="77777777" w:rsidR="00F24039" w:rsidRPr="00736D2F" w:rsidRDefault="00F24039" w:rsidP="00163693">
            <w:pPr>
              <w:keepNext/>
              <w:tabs>
                <w:tab w:val="center" w:pos="567"/>
              </w:tabs>
              <w:spacing w:line="240" w:lineRule="auto"/>
              <w:ind w:right="-23"/>
              <w:contextualSpacing/>
              <w:rPr>
                <w:spacing w:val="-1"/>
                <w:szCs w:val="22"/>
                <w:lang w:val="lt-LT"/>
              </w:rPr>
            </w:pPr>
            <w:r w:rsidRPr="00736D2F">
              <w:rPr>
                <w:szCs w:val="22"/>
                <w:lang w:val="lt-LT"/>
              </w:rPr>
              <w:t>Bendrieji sutrikimai ir vartojimo vietos pažeidimai</w:t>
            </w:r>
          </w:p>
        </w:tc>
        <w:tc>
          <w:tcPr>
            <w:tcW w:w="2650" w:type="dxa"/>
            <w:tcMar>
              <w:left w:w="57" w:type="dxa"/>
              <w:right w:w="0" w:type="dxa"/>
            </w:tcMar>
          </w:tcPr>
          <w:p w14:paraId="47F40C3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Nuovargis</w:t>
            </w:r>
          </w:p>
        </w:tc>
        <w:tc>
          <w:tcPr>
            <w:tcW w:w="1559" w:type="dxa"/>
            <w:tcMar>
              <w:left w:w="57" w:type="dxa"/>
              <w:right w:w="0" w:type="dxa"/>
            </w:tcMar>
          </w:tcPr>
          <w:p w14:paraId="7885164F" w14:textId="77777777" w:rsidR="00F24039" w:rsidRPr="00736D2F" w:rsidRDefault="00F24039" w:rsidP="008021BD">
            <w:pPr>
              <w:tabs>
                <w:tab w:val="center" w:pos="567"/>
              </w:tabs>
              <w:spacing w:line="240" w:lineRule="auto"/>
              <w:ind w:right="-20"/>
              <w:contextualSpacing/>
              <w:jc w:val="center"/>
              <w:rPr>
                <w:spacing w:val="-1"/>
                <w:szCs w:val="22"/>
                <w:lang w:val="lt-LT"/>
              </w:rPr>
            </w:pPr>
            <w:r w:rsidRPr="00736D2F">
              <w:rPr>
                <w:spacing w:val="-1"/>
                <w:szCs w:val="22"/>
                <w:lang w:val="lt-LT"/>
              </w:rPr>
              <w:t>136 (36,7)</w:t>
            </w:r>
          </w:p>
        </w:tc>
        <w:tc>
          <w:tcPr>
            <w:tcW w:w="1480" w:type="dxa"/>
            <w:tcMar>
              <w:left w:w="57" w:type="dxa"/>
              <w:right w:w="0" w:type="dxa"/>
            </w:tcMar>
          </w:tcPr>
          <w:p w14:paraId="24B5C95D" w14:textId="77777777" w:rsidR="00F24039" w:rsidRPr="00736D2F" w:rsidRDefault="00F24039" w:rsidP="009B566E">
            <w:pPr>
              <w:tabs>
                <w:tab w:val="center" w:pos="567"/>
              </w:tabs>
              <w:spacing w:line="240" w:lineRule="auto"/>
              <w:contextualSpacing/>
              <w:jc w:val="center"/>
              <w:rPr>
                <w:spacing w:val="-1"/>
                <w:szCs w:val="22"/>
                <w:lang w:val="lt-LT"/>
              </w:rPr>
            </w:pPr>
          </w:p>
        </w:tc>
        <w:tc>
          <w:tcPr>
            <w:tcW w:w="1275" w:type="dxa"/>
            <w:tcMar>
              <w:left w:w="57" w:type="dxa"/>
              <w:right w:w="0" w:type="dxa"/>
            </w:tcMar>
          </w:tcPr>
          <w:p w14:paraId="6CFAC79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18 (4,9)</w:t>
            </w:r>
          </w:p>
        </w:tc>
      </w:tr>
      <w:tr w:rsidR="00F24039" w:rsidRPr="00736D2F" w14:paraId="194DC04D" w14:textId="77777777" w:rsidTr="00262E68">
        <w:trPr>
          <w:trHeight w:hRule="exact" w:val="269"/>
        </w:trPr>
        <w:tc>
          <w:tcPr>
            <w:tcW w:w="2160" w:type="dxa"/>
            <w:vMerge/>
            <w:tcMar>
              <w:left w:w="57" w:type="dxa"/>
              <w:right w:w="0" w:type="dxa"/>
            </w:tcMar>
            <w:vAlign w:val="center"/>
          </w:tcPr>
          <w:p w14:paraId="5CD206C6"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05AD1B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Astenija</w:t>
            </w:r>
          </w:p>
        </w:tc>
        <w:tc>
          <w:tcPr>
            <w:tcW w:w="1559" w:type="dxa"/>
            <w:tcMar>
              <w:left w:w="57" w:type="dxa"/>
              <w:right w:w="0" w:type="dxa"/>
            </w:tcMar>
          </w:tcPr>
          <w:p w14:paraId="372D2A82" w14:textId="77777777" w:rsidR="00F24039" w:rsidRPr="00736D2F" w:rsidRDefault="00F24039" w:rsidP="008021BD">
            <w:pPr>
              <w:tabs>
                <w:tab w:val="center" w:pos="567"/>
              </w:tabs>
              <w:spacing w:line="240" w:lineRule="auto"/>
              <w:ind w:right="-20"/>
              <w:contextualSpacing/>
              <w:jc w:val="center"/>
              <w:rPr>
                <w:spacing w:val="-1"/>
                <w:szCs w:val="22"/>
                <w:lang w:val="lt-LT"/>
              </w:rPr>
            </w:pPr>
            <w:r w:rsidRPr="00736D2F">
              <w:rPr>
                <w:spacing w:val="-1"/>
                <w:szCs w:val="22"/>
                <w:lang w:val="lt-LT"/>
              </w:rPr>
              <w:t>76 (20,5)</w:t>
            </w:r>
          </w:p>
        </w:tc>
        <w:tc>
          <w:tcPr>
            <w:tcW w:w="1480" w:type="dxa"/>
            <w:tcMar>
              <w:left w:w="57" w:type="dxa"/>
              <w:right w:w="0" w:type="dxa"/>
            </w:tcMar>
          </w:tcPr>
          <w:p w14:paraId="5AC497D1" w14:textId="77777777" w:rsidR="00F24039" w:rsidRPr="00736D2F" w:rsidRDefault="00F24039" w:rsidP="009B566E">
            <w:pPr>
              <w:tabs>
                <w:tab w:val="center" w:pos="567"/>
              </w:tabs>
              <w:spacing w:line="240" w:lineRule="auto"/>
              <w:contextualSpacing/>
              <w:jc w:val="center"/>
              <w:rPr>
                <w:spacing w:val="-1"/>
                <w:szCs w:val="22"/>
                <w:lang w:val="lt-LT"/>
              </w:rPr>
            </w:pPr>
          </w:p>
        </w:tc>
        <w:tc>
          <w:tcPr>
            <w:tcW w:w="1275" w:type="dxa"/>
            <w:tcMar>
              <w:left w:w="57" w:type="dxa"/>
              <w:right w:w="0" w:type="dxa"/>
            </w:tcMar>
          </w:tcPr>
          <w:p w14:paraId="430105F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17 (4,6)</w:t>
            </w:r>
          </w:p>
        </w:tc>
      </w:tr>
      <w:tr w:rsidR="00F24039" w:rsidRPr="00736D2F" w14:paraId="366FC955" w14:textId="77777777" w:rsidTr="00262E68">
        <w:trPr>
          <w:trHeight w:hRule="exact" w:val="271"/>
        </w:trPr>
        <w:tc>
          <w:tcPr>
            <w:tcW w:w="2160" w:type="dxa"/>
            <w:vMerge/>
            <w:tcMar>
              <w:left w:w="57" w:type="dxa"/>
              <w:right w:w="0" w:type="dxa"/>
            </w:tcMar>
            <w:vAlign w:val="center"/>
          </w:tcPr>
          <w:p w14:paraId="56D703F7"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11C00B33"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Karščiavimas</w:t>
            </w:r>
          </w:p>
        </w:tc>
        <w:tc>
          <w:tcPr>
            <w:tcW w:w="1559" w:type="dxa"/>
            <w:tcMar>
              <w:left w:w="57" w:type="dxa"/>
              <w:right w:w="0" w:type="dxa"/>
            </w:tcMar>
          </w:tcPr>
          <w:p w14:paraId="0F7A6FA8" w14:textId="77777777" w:rsidR="00F24039" w:rsidRPr="00736D2F" w:rsidRDefault="00F24039" w:rsidP="008021BD">
            <w:pPr>
              <w:tabs>
                <w:tab w:val="center" w:pos="567"/>
              </w:tabs>
              <w:spacing w:line="240" w:lineRule="auto"/>
              <w:ind w:right="-20"/>
              <w:contextualSpacing/>
              <w:jc w:val="center"/>
              <w:rPr>
                <w:spacing w:val="-1"/>
                <w:szCs w:val="22"/>
                <w:lang w:val="lt-LT"/>
              </w:rPr>
            </w:pPr>
            <w:r w:rsidRPr="00736D2F">
              <w:rPr>
                <w:spacing w:val="-1"/>
                <w:szCs w:val="22"/>
                <w:lang w:val="lt-LT"/>
              </w:rPr>
              <w:t>45 (12,1)</w:t>
            </w:r>
          </w:p>
        </w:tc>
        <w:tc>
          <w:tcPr>
            <w:tcW w:w="1480" w:type="dxa"/>
            <w:tcMar>
              <w:left w:w="57" w:type="dxa"/>
              <w:right w:w="0" w:type="dxa"/>
            </w:tcMar>
          </w:tcPr>
          <w:p w14:paraId="671A487C" w14:textId="77777777" w:rsidR="00F24039" w:rsidRPr="00736D2F" w:rsidRDefault="00F24039" w:rsidP="009B566E">
            <w:pPr>
              <w:tabs>
                <w:tab w:val="center" w:pos="567"/>
              </w:tabs>
              <w:spacing w:line="240" w:lineRule="auto"/>
              <w:contextualSpacing/>
              <w:jc w:val="center"/>
              <w:rPr>
                <w:spacing w:val="-1"/>
                <w:szCs w:val="22"/>
                <w:lang w:val="lt-LT"/>
              </w:rPr>
            </w:pPr>
          </w:p>
        </w:tc>
        <w:tc>
          <w:tcPr>
            <w:tcW w:w="1275" w:type="dxa"/>
            <w:tcMar>
              <w:left w:w="57" w:type="dxa"/>
              <w:right w:w="0" w:type="dxa"/>
            </w:tcMar>
          </w:tcPr>
          <w:p w14:paraId="765BAFA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6374DD5F" w14:textId="77777777" w:rsidTr="00262E68">
        <w:trPr>
          <w:trHeight w:hRule="exact" w:val="269"/>
        </w:trPr>
        <w:tc>
          <w:tcPr>
            <w:tcW w:w="2160" w:type="dxa"/>
            <w:vMerge/>
            <w:tcMar>
              <w:left w:w="57" w:type="dxa"/>
              <w:right w:w="0" w:type="dxa"/>
            </w:tcMar>
            <w:vAlign w:val="center"/>
          </w:tcPr>
          <w:p w14:paraId="798B85FC"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8A01904"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Periferinė edema</w:t>
            </w:r>
          </w:p>
        </w:tc>
        <w:tc>
          <w:tcPr>
            <w:tcW w:w="1559" w:type="dxa"/>
            <w:tcMar>
              <w:left w:w="57" w:type="dxa"/>
              <w:right w:w="0" w:type="dxa"/>
            </w:tcMar>
          </w:tcPr>
          <w:p w14:paraId="30ECB40D" w14:textId="77777777" w:rsidR="00F24039" w:rsidRPr="00736D2F" w:rsidRDefault="00F24039" w:rsidP="008021BD">
            <w:pPr>
              <w:tabs>
                <w:tab w:val="center" w:pos="567"/>
              </w:tabs>
              <w:spacing w:line="240" w:lineRule="auto"/>
              <w:ind w:right="-20"/>
              <w:contextualSpacing/>
              <w:jc w:val="center"/>
              <w:rPr>
                <w:spacing w:val="-1"/>
                <w:szCs w:val="22"/>
                <w:lang w:val="lt-LT"/>
              </w:rPr>
            </w:pPr>
          </w:p>
        </w:tc>
        <w:tc>
          <w:tcPr>
            <w:tcW w:w="1480" w:type="dxa"/>
            <w:tcMar>
              <w:left w:w="57" w:type="dxa"/>
              <w:right w:w="0" w:type="dxa"/>
            </w:tcMar>
          </w:tcPr>
          <w:p w14:paraId="03C42B7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34 (9,2)</w:t>
            </w:r>
          </w:p>
        </w:tc>
        <w:tc>
          <w:tcPr>
            <w:tcW w:w="1275" w:type="dxa"/>
            <w:tcMar>
              <w:left w:w="57" w:type="dxa"/>
              <w:right w:w="0" w:type="dxa"/>
            </w:tcMar>
          </w:tcPr>
          <w:p w14:paraId="17C45EC8"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2EC9C4BC" w14:textId="77777777" w:rsidTr="00262E68">
        <w:trPr>
          <w:trHeight w:hRule="exact" w:val="256"/>
        </w:trPr>
        <w:tc>
          <w:tcPr>
            <w:tcW w:w="2160" w:type="dxa"/>
            <w:vMerge/>
            <w:tcMar>
              <w:left w:w="57" w:type="dxa"/>
              <w:right w:w="0" w:type="dxa"/>
            </w:tcMar>
            <w:vAlign w:val="center"/>
          </w:tcPr>
          <w:p w14:paraId="155D60A1"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3A50AF2B"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Gleivinės uždegimas</w:t>
            </w:r>
          </w:p>
        </w:tc>
        <w:tc>
          <w:tcPr>
            <w:tcW w:w="1559" w:type="dxa"/>
            <w:tcMar>
              <w:left w:w="57" w:type="dxa"/>
              <w:right w:w="0" w:type="dxa"/>
            </w:tcMar>
          </w:tcPr>
          <w:p w14:paraId="445CE4AE"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3ABDBBCE"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22 (5,9)</w:t>
            </w:r>
          </w:p>
        </w:tc>
        <w:tc>
          <w:tcPr>
            <w:tcW w:w="1275" w:type="dxa"/>
            <w:tcMar>
              <w:left w:w="57" w:type="dxa"/>
              <w:right w:w="0" w:type="dxa"/>
            </w:tcMar>
          </w:tcPr>
          <w:p w14:paraId="1BDAAA73"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01624FC2" w14:textId="77777777" w:rsidTr="00262E68">
        <w:trPr>
          <w:trHeight w:hRule="exact" w:val="271"/>
        </w:trPr>
        <w:tc>
          <w:tcPr>
            <w:tcW w:w="2160" w:type="dxa"/>
            <w:vMerge/>
            <w:tcMar>
              <w:left w:w="57" w:type="dxa"/>
              <w:right w:w="0" w:type="dxa"/>
            </w:tcMar>
            <w:vAlign w:val="center"/>
          </w:tcPr>
          <w:p w14:paraId="0D8D3AAA"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E10417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Skausmas</w:t>
            </w:r>
          </w:p>
        </w:tc>
        <w:tc>
          <w:tcPr>
            <w:tcW w:w="1559" w:type="dxa"/>
            <w:tcMar>
              <w:left w:w="57" w:type="dxa"/>
              <w:right w:w="0" w:type="dxa"/>
            </w:tcMar>
          </w:tcPr>
          <w:p w14:paraId="50ACEE97"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1549E7B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20 (5,4)</w:t>
            </w:r>
          </w:p>
        </w:tc>
        <w:tc>
          <w:tcPr>
            <w:tcW w:w="1275" w:type="dxa"/>
            <w:tcMar>
              <w:left w:w="57" w:type="dxa"/>
              <w:right w:w="0" w:type="dxa"/>
            </w:tcMar>
          </w:tcPr>
          <w:p w14:paraId="4F4ABDD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r>
      <w:tr w:rsidR="00F24039" w:rsidRPr="00736D2F" w14:paraId="08167ED0" w14:textId="77777777" w:rsidTr="00262E68">
        <w:trPr>
          <w:trHeight w:hRule="exact" w:val="269"/>
        </w:trPr>
        <w:tc>
          <w:tcPr>
            <w:tcW w:w="2160" w:type="dxa"/>
            <w:vMerge/>
            <w:tcMar>
              <w:left w:w="57" w:type="dxa"/>
              <w:right w:w="0" w:type="dxa"/>
            </w:tcMar>
            <w:vAlign w:val="center"/>
          </w:tcPr>
          <w:p w14:paraId="339A66BF"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456479BD"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Krūtinės skausmas</w:t>
            </w:r>
          </w:p>
        </w:tc>
        <w:tc>
          <w:tcPr>
            <w:tcW w:w="1559" w:type="dxa"/>
            <w:tcMar>
              <w:left w:w="57" w:type="dxa"/>
              <w:right w:w="0" w:type="dxa"/>
            </w:tcMar>
          </w:tcPr>
          <w:p w14:paraId="3A9F3086"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08155335"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9 (2,4)</w:t>
            </w:r>
          </w:p>
        </w:tc>
        <w:tc>
          <w:tcPr>
            <w:tcW w:w="1275" w:type="dxa"/>
            <w:tcMar>
              <w:left w:w="57" w:type="dxa"/>
              <w:right w:w="0" w:type="dxa"/>
            </w:tcMar>
          </w:tcPr>
          <w:p w14:paraId="3525D984"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2 (0,5)</w:t>
            </w:r>
          </w:p>
        </w:tc>
      </w:tr>
      <w:tr w:rsidR="00F24039" w:rsidRPr="00736D2F" w14:paraId="11F34C7E" w14:textId="77777777" w:rsidTr="00262E68">
        <w:trPr>
          <w:trHeight w:hRule="exact" w:val="271"/>
        </w:trPr>
        <w:tc>
          <w:tcPr>
            <w:tcW w:w="2160" w:type="dxa"/>
            <w:vMerge/>
            <w:tcMar>
              <w:left w:w="57" w:type="dxa"/>
              <w:right w:w="0" w:type="dxa"/>
            </w:tcMar>
            <w:vAlign w:val="center"/>
          </w:tcPr>
          <w:p w14:paraId="620BAD94"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750EF38F" w14:textId="77777777" w:rsidR="00F24039" w:rsidRPr="00736D2F" w:rsidRDefault="00F24039" w:rsidP="00163693">
            <w:pPr>
              <w:tabs>
                <w:tab w:val="center" w:pos="567"/>
              </w:tabs>
              <w:spacing w:line="240" w:lineRule="auto"/>
              <w:ind w:right="-20"/>
              <w:contextualSpacing/>
              <w:rPr>
                <w:spacing w:val="-1"/>
                <w:szCs w:val="22"/>
                <w:lang w:val="lt-LT"/>
              </w:rPr>
            </w:pPr>
            <w:r w:rsidRPr="00736D2F">
              <w:rPr>
                <w:spacing w:val="-1"/>
                <w:szCs w:val="22"/>
                <w:lang w:val="lt-LT"/>
              </w:rPr>
              <w:t>Edema</w:t>
            </w:r>
          </w:p>
        </w:tc>
        <w:tc>
          <w:tcPr>
            <w:tcW w:w="1559" w:type="dxa"/>
            <w:tcMar>
              <w:left w:w="57" w:type="dxa"/>
              <w:right w:w="0" w:type="dxa"/>
            </w:tcMar>
          </w:tcPr>
          <w:p w14:paraId="59A2AB42"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5090FBF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7 (1,9)</w:t>
            </w:r>
          </w:p>
        </w:tc>
        <w:tc>
          <w:tcPr>
            <w:tcW w:w="1275" w:type="dxa"/>
            <w:tcMar>
              <w:left w:w="57" w:type="dxa"/>
              <w:right w:w="0" w:type="dxa"/>
            </w:tcMar>
          </w:tcPr>
          <w:p w14:paraId="651FD9CC"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1 (0,3)</w:t>
            </w:r>
          </w:p>
        </w:tc>
      </w:tr>
      <w:tr w:rsidR="00F24039" w:rsidRPr="00736D2F" w14:paraId="7E1467C2" w14:textId="77777777" w:rsidTr="00262E68">
        <w:trPr>
          <w:trHeight w:hRule="exact" w:val="269"/>
        </w:trPr>
        <w:tc>
          <w:tcPr>
            <w:tcW w:w="2160" w:type="dxa"/>
            <w:vMerge/>
            <w:tcMar>
              <w:left w:w="57" w:type="dxa"/>
              <w:right w:w="0" w:type="dxa"/>
            </w:tcMar>
            <w:vAlign w:val="center"/>
          </w:tcPr>
          <w:p w14:paraId="3DCA2809"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0F6EA5D5"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Šaltkrėtis</w:t>
            </w:r>
          </w:p>
        </w:tc>
        <w:tc>
          <w:tcPr>
            <w:tcW w:w="1559" w:type="dxa"/>
            <w:tcMar>
              <w:left w:w="57" w:type="dxa"/>
              <w:right w:w="0" w:type="dxa"/>
            </w:tcMar>
          </w:tcPr>
          <w:p w14:paraId="22DC9793"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03AFA8E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6 (1,6)</w:t>
            </w:r>
          </w:p>
        </w:tc>
        <w:tc>
          <w:tcPr>
            <w:tcW w:w="1275" w:type="dxa"/>
            <w:tcMar>
              <w:left w:w="57" w:type="dxa"/>
              <w:right w:w="0" w:type="dxa"/>
            </w:tcMar>
          </w:tcPr>
          <w:p w14:paraId="04EFC99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7CE0DE84" w14:textId="77777777" w:rsidTr="00262E68">
        <w:trPr>
          <w:trHeight w:hRule="exact" w:val="271"/>
        </w:trPr>
        <w:tc>
          <w:tcPr>
            <w:tcW w:w="2160" w:type="dxa"/>
            <w:vMerge/>
            <w:tcMar>
              <w:left w:w="57" w:type="dxa"/>
              <w:right w:w="0" w:type="dxa"/>
            </w:tcMar>
            <w:vAlign w:val="center"/>
          </w:tcPr>
          <w:p w14:paraId="6FDD847F" w14:textId="77777777" w:rsidR="00F24039" w:rsidRPr="00736D2F" w:rsidRDefault="00F24039" w:rsidP="00163693">
            <w:pPr>
              <w:tabs>
                <w:tab w:val="center" w:pos="567"/>
              </w:tabs>
              <w:spacing w:line="240" w:lineRule="auto"/>
              <w:ind w:right="-20"/>
              <w:contextualSpacing/>
              <w:rPr>
                <w:spacing w:val="-1"/>
                <w:szCs w:val="22"/>
                <w:lang w:val="lt-LT"/>
              </w:rPr>
            </w:pPr>
          </w:p>
        </w:tc>
        <w:tc>
          <w:tcPr>
            <w:tcW w:w="2650" w:type="dxa"/>
            <w:tcMar>
              <w:left w:w="57" w:type="dxa"/>
              <w:right w:w="0" w:type="dxa"/>
            </w:tcMar>
          </w:tcPr>
          <w:p w14:paraId="2030E244" w14:textId="716022FA"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Bendras negalavimas</w:t>
            </w:r>
          </w:p>
        </w:tc>
        <w:tc>
          <w:tcPr>
            <w:tcW w:w="1559" w:type="dxa"/>
            <w:tcMar>
              <w:left w:w="57" w:type="dxa"/>
              <w:right w:w="0" w:type="dxa"/>
            </w:tcMar>
          </w:tcPr>
          <w:p w14:paraId="0E65145C"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56CAD61A"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5 (1,3)</w:t>
            </w:r>
          </w:p>
        </w:tc>
        <w:tc>
          <w:tcPr>
            <w:tcW w:w="1275" w:type="dxa"/>
            <w:tcMar>
              <w:left w:w="57" w:type="dxa"/>
              <w:right w:w="0" w:type="dxa"/>
            </w:tcMar>
          </w:tcPr>
          <w:p w14:paraId="3E8484A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790B7D85" w14:textId="77777777" w:rsidTr="00262E68">
        <w:trPr>
          <w:trHeight w:hRule="exact" w:val="269"/>
        </w:trPr>
        <w:tc>
          <w:tcPr>
            <w:tcW w:w="2160" w:type="dxa"/>
            <w:vMerge w:val="restart"/>
            <w:tcMar>
              <w:left w:w="57" w:type="dxa"/>
              <w:right w:w="0" w:type="dxa"/>
            </w:tcMar>
            <w:vAlign w:val="center"/>
          </w:tcPr>
          <w:p w14:paraId="59C55979"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Tyrimai</w:t>
            </w:r>
          </w:p>
        </w:tc>
        <w:tc>
          <w:tcPr>
            <w:tcW w:w="2650" w:type="dxa"/>
            <w:tcMar>
              <w:left w:w="57" w:type="dxa"/>
              <w:right w:w="0" w:type="dxa"/>
            </w:tcMar>
          </w:tcPr>
          <w:p w14:paraId="030669FA" w14:textId="77777777" w:rsidR="00F24039" w:rsidRPr="00736D2F" w:rsidRDefault="00F24039" w:rsidP="00163693">
            <w:pPr>
              <w:tabs>
                <w:tab w:val="center" w:pos="567"/>
              </w:tabs>
              <w:spacing w:line="240" w:lineRule="auto"/>
              <w:ind w:right="-20"/>
              <w:contextualSpacing/>
              <w:rPr>
                <w:spacing w:val="-1"/>
                <w:szCs w:val="22"/>
                <w:lang w:val="lt-LT"/>
              </w:rPr>
            </w:pPr>
            <w:r w:rsidRPr="00736D2F">
              <w:rPr>
                <w:szCs w:val="22"/>
                <w:lang w:val="lt-LT"/>
              </w:rPr>
              <w:t>Kūno svorio mažėjimas</w:t>
            </w:r>
          </w:p>
        </w:tc>
        <w:tc>
          <w:tcPr>
            <w:tcW w:w="1559" w:type="dxa"/>
            <w:tcMar>
              <w:left w:w="57" w:type="dxa"/>
              <w:right w:w="0" w:type="dxa"/>
            </w:tcMar>
          </w:tcPr>
          <w:p w14:paraId="281C4854"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600F944F"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32 (8,6)</w:t>
            </w:r>
          </w:p>
        </w:tc>
        <w:tc>
          <w:tcPr>
            <w:tcW w:w="1275" w:type="dxa"/>
            <w:tcMar>
              <w:left w:w="57" w:type="dxa"/>
              <w:right w:w="0" w:type="dxa"/>
            </w:tcMar>
          </w:tcPr>
          <w:p w14:paraId="50B98AB7"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63DE1B55" w14:textId="77777777" w:rsidTr="00894A0A">
        <w:trPr>
          <w:trHeight w:hRule="exact" w:val="778"/>
        </w:trPr>
        <w:tc>
          <w:tcPr>
            <w:tcW w:w="2160" w:type="dxa"/>
            <w:vMerge/>
            <w:tcMar>
              <w:left w:w="57" w:type="dxa"/>
              <w:right w:w="0" w:type="dxa"/>
            </w:tcMar>
          </w:tcPr>
          <w:p w14:paraId="48DB5EDD" w14:textId="77777777" w:rsidR="00F24039" w:rsidRPr="00736D2F" w:rsidRDefault="00F24039" w:rsidP="00163693">
            <w:pPr>
              <w:spacing w:line="240" w:lineRule="auto"/>
              <w:contextualSpacing/>
              <w:rPr>
                <w:szCs w:val="22"/>
                <w:lang w:val="lt-LT"/>
              </w:rPr>
            </w:pPr>
          </w:p>
        </w:tc>
        <w:tc>
          <w:tcPr>
            <w:tcW w:w="2650" w:type="dxa"/>
            <w:tcMar>
              <w:left w:w="57" w:type="dxa"/>
              <w:right w:w="0" w:type="dxa"/>
            </w:tcMar>
          </w:tcPr>
          <w:p w14:paraId="22D30E64" w14:textId="102AB634" w:rsidR="00F24039" w:rsidRPr="00736D2F" w:rsidRDefault="00F24039" w:rsidP="00521A6F">
            <w:pPr>
              <w:tabs>
                <w:tab w:val="center" w:pos="567"/>
              </w:tabs>
              <w:spacing w:line="240" w:lineRule="auto"/>
              <w:ind w:right="-20"/>
              <w:contextualSpacing/>
              <w:rPr>
                <w:spacing w:val="-1"/>
                <w:szCs w:val="22"/>
                <w:lang w:val="lt-LT"/>
              </w:rPr>
            </w:pPr>
            <w:r w:rsidRPr="00736D2F">
              <w:rPr>
                <w:szCs w:val="22"/>
                <w:lang w:val="lt-LT"/>
              </w:rPr>
              <w:t xml:space="preserve">Aspartato aminotransferazės </w:t>
            </w:r>
            <w:r w:rsidR="00521A6F">
              <w:rPr>
                <w:szCs w:val="22"/>
                <w:lang w:val="lt-LT"/>
              </w:rPr>
              <w:t>aktyvumo</w:t>
            </w:r>
            <w:r w:rsidR="00521A6F" w:rsidRPr="00736D2F">
              <w:rPr>
                <w:szCs w:val="22"/>
                <w:lang w:val="lt-LT"/>
              </w:rPr>
              <w:t xml:space="preserve"> </w:t>
            </w:r>
            <w:r w:rsidRPr="00736D2F">
              <w:rPr>
                <w:szCs w:val="22"/>
                <w:lang w:val="lt-LT"/>
              </w:rPr>
              <w:t>padidėjimas</w:t>
            </w:r>
          </w:p>
        </w:tc>
        <w:tc>
          <w:tcPr>
            <w:tcW w:w="1559" w:type="dxa"/>
            <w:tcMar>
              <w:left w:w="57" w:type="dxa"/>
              <w:right w:w="0" w:type="dxa"/>
            </w:tcMar>
          </w:tcPr>
          <w:p w14:paraId="15DBDE75"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2EF1F6F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139C07A6"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r w:rsidR="00F24039" w:rsidRPr="00736D2F" w14:paraId="25B6E28B" w14:textId="77777777" w:rsidTr="00894A0A">
        <w:trPr>
          <w:trHeight w:hRule="exact" w:val="846"/>
        </w:trPr>
        <w:tc>
          <w:tcPr>
            <w:tcW w:w="2160" w:type="dxa"/>
            <w:vMerge/>
            <w:tcMar>
              <w:left w:w="57" w:type="dxa"/>
              <w:right w:w="0" w:type="dxa"/>
            </w:tcMar>
          </w:tcPr>
          <w:p w14:paraId="5ACB7647" w14:textId="77777777" w:rsidR="00F24039" w:rsidRPr="00736D2F" w:rsidRDefault="00F24039" w:rsidP="00163693">
            <w:pPr>
              <w:spacing w:line="240" w:lineRule="auto"/>
              <w:contextualSpacing/>
              <w:rPr>
                <w:szCs w:val="22"/>
                <w:lang w:val="lt-LT"/>
              </w:rPr>
            </w:pPr>
          </w:p>
        </w:tc>
        <w:tc>
          <w:tcPr>
            <w:tcW w:w="2650" w:type="dxa"/>
            <w:tcMar>
              <w:left w:w="57" w:type="dxa"/>
              <w:right w:w="0" w:type="dxa"/>
            </w:tcMar>
          </w:tcPr>
          <w:p w14:paraId="4A8558EF" w14:textId="519C9339" w:rsidR="00F24039" w:rsidRPr="00736D2F" w:rsidRDefault="00F24039" w:rsidP="00521A6F">
            <w:pPr>
              <w:tabs>
                <w:tab w:val="center" w:pos="567"/>
              </w:tabs>
              <w:spacing w:line="240" w:lineRule="auto"/>
              <w:ind w:right="-20"/>
              <w:contextualSpacing/>
              <w:rPr>
                <w:spacing w:val="-1"/>
                <w:szCs w:val="22"/>
                <w:lang w:val="lt-LT"/>
              </w:rPr>
            </w:pPr>
            <w:r w:rsidRPr="00736D2F">
              <w:rPr>
                <w:szCs w:val="22"/>
                <w:lang w:val="lt-LT"/>
              </w:rPr>
              <w:t xml:space="preserve">Transaminazių </w:t>
            </w:r>
            <w:r w:rsidR="00521A6F">
              <w:rPr>
                <w:szCs w:val="22"/>
                <w:lang w:val="lt-LT"/>
              </w:rPr>
              <w:t>aktyvumo</w:t>
            </w:r>
            <w:r w:rsidR="00521A6F" w:rsidRPr="00736D2F">
              <w:rPr>
                <w:szCs w:val="22"/>
                <w:lang w:val="lt-LT"/>
              </w:rPr>
              <w:t xml:space="preserve"> </w:t>
            </w:r>
            <w:r w:rsidRPr="00736D2F">
              <w:rPr>
                <w:szCs w:val="22"/>
                <w:lang w:val="lt-LT"/>
              </w:rPr>
              <w:t>padidėjimas</w:t>
            </w:r>
          </w:p>
        </w:tc>
        <w:tc>
          <w:tcPr>
            <w:tcW w:w="1559" w:type="dxa"/>
            <w:tcMar>
              <w:left w:w="57" w:type="dxa"/>
              <w:right w:w="0" w:type="dxa"/>
            </w:tcMar>
          </w:tcPr>
          <w:p w14:paraId="78B1AC2D" w14:textId="77777777" w:rsidR="00F24039" w:rsidRPr="00736D2F" w:rsidRDefault="00F24039" w:rsidP="00163693">
            <w:pPr>
              <w:tabs>
                <w:tab w:val="center" w:pos="567"/>
              </w:tabs>
              <w:spacing w:line="240" w:lineRule="auto"/>
              <w:ind w:right="-20"/>
              <w:contextualSpacing/>
              <w:rPr>
                <w:spacing w:val="-1"/>
                <w:szCs w:val="22"/>
                <w:lang w:val="lt-LT"/>
              </w:rPr>
            </w:pPr>
          </w:p>
        </w:tc>
        <w:tc>
          <w:tcPr>
            <w:tcW w:w="1480" w:type="dxa"/>
            <w:tcMar>
              <w:left w:w="57" w:type="dxa"/>
              <w:right w:w="0" w:type="dxa"/>
            </w:tcMar>
          </w:tcPr>
          <w:p w14:paraId="53273501"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4 (1,1)</w:t>
            </w:r>
          </w:p>
        </w:tc>
        <w:tc>
          <w:tcPr>
            <w:tcW w:w="1275" w:type="dxa"/>
            <w:tcMar>
              <w:left w:w="57" w:type="dxa"/>
              <w:right w:w="0" w:type="dxa"/>
            </w:tcMar>
          </w:tcPr>
          <w:p w14:paraId="22294E8B" w14:textId="77777777" w:rsidR="00F24039" w:rsidRPr="00736D2F" w:rsidRDefault="00F24039" w:rsidP="009B566E">
            <w:pPr>
              <w:tabs>
                <w:tab w:val="center" w:pos="567"/>
              </w:tabs>
              <w:spacing w:line="240" w:lineRule="auto"/>
              <w:ind w:right="-20"/>
              <w:contextualSpacing/>
              <w:jc w:val="center"/>
              <w:rPr>
                <w:spacing w:val="-1"/>
                <w:szCs w:val="22"/>
                <w:lang w:val="lt-LT"/>
              </w:rPr>
            </w:pPr>
            <w:r w:rsidRPr="00736D2F">
              <w:rPr>
                <w:spacing w:val="-1"/>
                <w:szCs w:val="22"/>
                <w:lang w:val="lt-LT"/>
              </w:rPr>
              <w:t>0</w:t>
            </w:r>
          </w:p>
        </w:tc>
      </w:tr>
    </w:tbl>
    <w:p w14:paraId="741DC33D" w14:textId="77777777" w:rsidR="00F24039" w:rsidRPr="00736D2F" w:rsidRDefault="00F24039" w:rsidP="00F24039">
      <w:pPr>
        <w:tabs>
          <w:tab w:val="center" w:pos="567"/>
        </w:tabs>
        <w:spacing w:line="240" w:lineRule="auto"/>
        <w:contextualSpacing/>
        <w:rPr>
          <w:szCs w:val="22"/>
          <w:lang w:val="lt-LT"/>
        </w:rPr>
      </w:pPr>
      <w:r w:rsidRPr="00736D2F">
        <w:rPr>
          <w:szCs w:val="22"/>
          <w:vertAlign w:val="superscript"/>
          <w:lang w:val="lt-LT"/>
        </w:rPr>
        <w:t>a</w:t>
      </w:r>
      <w:r w:rsidRPr="00736D2F">
        <w:rPr>
          <w:szCs w:val="22"/>
          <w:lang w:val="lt-LT"/>
        </w:rPr>
        <w:t xml:space="preserve"> remiantis laboratoriniais duomenimis </w:t>
      </w:r>
    </w:p>
    <w:p w14:paraId="34D7E5B6" w14:textId="77777777" w:rsidR="00F24039" w:rsidRPr="00736D2F" w:rsidRDefault="00F24039" w:rsidP="00F24039">
      <w:pPr>
        <w:tabs>
          <w:tab w:val="center" w:pos="567"/>
        </w:tabs>
        <w:spacing w:line="240" w:lineRule="auto"/>
        <w:contextualSpacing/>
        <w:rPr>
          <w:szCs w:val="22"/>
          <w:lang w:val="lt-LT"/>
        </w:rPr>
      </w:pPr>
      <w:r w:rsidRPr="00736D2F">
        <w:rPr>
          <w:szCs w:val="22"/>
          <w:lang w:val="lt-LT"/>
        </w:rPr>
        <w:t>* detaliau aprašyta žemiau</w:t>
      </w:r>
    </w:p>
    <w:p w14:paraId="599435FB" w14:textId="77777777" w:rsidR="00F24039" w:rsidRPr="00736D2F" w:rsidRDefault="00F24039" w:rsidP="00F24039">
      <w:pPr>
        <w:rPr>
          <w:szCs w:val="22"/>
          <w:lang w:val="lt-LT"/>
        </w:rPr>
      </w:pPr>
    </w:p>
    <w:p w14:paraId="25E7C73C" w14:textId="77777777" w:rsidR="00F24039" w:rsidRPr="00736D2F" w:rsidRDefault="00F24039" w:rsidP="00F24039">
      <w:pPr>
        <w:rPr>
          <w:szCs w:val="22"/>
          <w:u w:val="single"/>
          <w:lang w:val="lt-LT"/>
        </w:rPr>
      </w:pPr>
      <w:r w:rsidRPr="00736D2F">
        <w:rPr>
          <w:szCs w:val="22"/>
          <w:u w:val="single"/>
          <w:lang w:val="lt-LT"/>
        </w:rPr>
        <w:t xml:space="preserve">Atrinktų nepageidaujamų reakcijų apibūdinimas </w:t>
      </w:r>
    </w:p>
    <w:p w14:paraId="47D31599" w14:textId="77777777" w:rsidR="00F24039" w:rsidRPr="00736D2F" w:rsidRDefault="00F24039" w:rsidP="00F24039">
      <w:pPr>
        <w:rPr>
          <w:i/>
          <w:szCs w:val="22"/>
          <w:lang w:val="lt-LT"/>
        </w:rPr>
      </w:pPr>
    </w:p>
    <w:p w14:paraId="07F06F65" w14:textId="77777777" w:rsidR="00F24039" w:rsidRPr="00736D2F" w:rsidRDefault="00F24039" w:rsidP="00F24039">
      <w:pPr>
        <w:rPr>
          <w:i/>
          <w:szCs w:val="22"/>
          <w:lang w:val="lt-LT"/>
        </w:rPr>
      </w:pPr>
      <w:r w:rsidRPr="00736D2F">
        <w:rPr>
          <w:i/>
          <w:szCs w:val="22"/>
          <w:lang w:val="lt-LT"/>
        </w:rPr>
        <w:t xml:space="preserve">Neutropenija ir susiję klinikiniai reiškiniai </w:t>
      </w:r>
    </w:p>
    <w:p w14:paraId="2DEE1CE1" w14:textId="7EC8E398" w:rsidR="00F24039" w:rsidRPr="00736D2F" w:rsidRDefault="00F24039" w:rsidP="00F24039">
      <w:pPr>
        <w:tabs>
          <w:tab w:val="left" w:pos="9072"/>
        </w:tabs>
        <w:rPr>
          <w:szCs w:val="22"/>
          <w:lang w:val="lt-LT"/>
        </w:rPr>
      </w:pPr>
      <w:r w:rsidRPr="00736D2F">
        <w:rPr>
          <w:szCs w:val="22"/>
          <w:lang w:val="lt-LT"/>
        </w:rPr>
        <w:t>Laboratoriniais duomenimis pagrįstos ≥ 3 laipsnio neutropenijos dažnis buvo 81,7 %. ≥ 3 laipsnio klinikinės neutropenijos ir febrili</w:t>
      </w:r>
      <w:r w:rsidR="0040036C">
        <w:rPr>
          <w:szCs w:val="22"/>
          <w:lang w:val="lt-LT"/>
        </w:rPr>
        <w:t>nės</w:t>
      </w:r>
      <w:r w:rsidRPr="00736D2F">
        <w:rPr>
          <w:szCs w:val="22"/>
          <w:lang w:val="lt-LT"/>
        </w:rPr>
        <w:t xml:space="preserve"> neutropenijos nepageidaujamų reakcijų dažnis buvo atitinkamai 21,3 % ir 7,5 %. Neutropenija buvo dažniausia nepageidaujama reakcija, dėl kurios vaistinio preparato vartojimą reikėjo nutraukti (2,4 %). </w:t>
      </w:r>
    </w:p>
    <w:p w14:paraId="22D6BD81" w14:textId="77777777" w:rsidR="00F24039" w:rsidRPr="00736D2F" w:rsidRDefault="00F24039" w:rsidP="00F24039">
      <w:pPr>
        <w:tabs>
          <w:tab w:val="left" w:pos="9072"/>
        </w:tabs>
        <w:rPr>
          <w:szCs w:val="22"/>
          <w:lang w:val="lt-LT"/>
        </w:rPr>
      </w:pPr>
      <w:r w:rsidRPr="00736D2F">
        <w:rPr>
          <w:szCs w:val="22"/>
          <w:lang w:val="lt-LT"/>
        </w:rPr>
        <w:t xml:space="preserve">Neutropeninės komplikacijos, įskaitant neutropenines infekcijas (0,5 %), neutropeninį sepsį (0,8 %) ir sepsinį šoką (1,1 %), kai kuriais atvejais baigėsi mirtimi. </w:t>
      </w:r>
    </w:p>
    <w:p w14:paraId="2330C892" w14:textId="77777777" w:rsidR="00F24039" w:rsidRPr="00736D2F" w:rsidRDefault="00F24039" w:rsidP="00F24039">
      <w:pPr>
        <w:tabs>
          <w:tab w:val="left" w:pos="9072"/>
        </w:tabs>
        <w:rPr>
          <w:szCs w:val="22"/>
          <w:lang w:val="lt-LT"/>
        </w:rPr>
      </w:pPr>
      <w:r w:rsidRPr="00736D2F">
        <w:rPr>
          <w:szCs w:val="22"/>
          <w:lang w:val="lt-LT"/>
        </w:rPr>
        <w:t xml:space="preserve">Nustatyta, kad G-KSF vartojimas mažina neutropenijos dažnį ir sunkumą (žr. 4.2 ir 4.4 skyrius). </w:t>
      </w:r>
    </w:p>
    <w:p w14:paraId="218B4030" w14:textId="77777777" w:rsidR="00F24039" w:rsidRPr="00736D2F" w:rsidRDefault="00F24039" w:rsidP="00F24039">
      <w:pPr>
        <w:tabs>
          <w:tab w:val="left" w:pos="9072"/>
        </w:tabs>
        <w:rPr>
          <w:szCs w:val="22"/>
          <w:lang w:val="lt-LT"/>
        </w:rPr>
      </w:pPr>
    </w:p>
    <w:p w14:paraId="762A3F49" w14:textId="77777777" w:rsidR="00F24039" w:rsidRPr="00736D2F" w:rsidRDefault="00F24039" w:rsidP="00F24039">
      <w:pPr>
        <w:tabs>
          <w:tab w:val="left" w:pos="9072"/>
        </w:tabs>
        <w:rPr>
          <w:szCs w:val="22"/>
          <w:lang w:val="lt-LT"/>
        </w:rPr>
      </w:pPr>
      <w:r w:rsidRPr="00736D2F">
        <w:rPr>
          <w:i/>
          <w:szCs w:val="22"/>
          <w:lang w:val="lt-LT"/>
        </w:rPr>
        <w:t>Širdies sutrikimai ir aritmijos</w:t>
      </w:r>
      <w:r w:rsidRPr="00736D2F">
        <w:rPr>
          <w:szCs w:val="22"/>
          <w:lang w:val="lt-LT"/>
        </w:rPr>
        <w:t xml:space="preserve"> </w:t>
      </w:r>
    </w:p>
    <w:p w14:paraId="4DCAC928" w14:textId="77777777" w:rsidR="00F24039" w:rsidRPr="00736D2F" w:rsidRDefault="00F24039" w:rsidP="00F24039">
      <w:pPr>
        <w:tabs>
          <w:tab w:val="left" w:pos="9072"/>
        </w:tabs>
        <w:rPr>
          <w:szCs w:val="22"/>
          <w:lang w:val="lt-LT"/>
        </w:rPr>
      </w:pPr>
      <w:r w:rsidRPr="00736D2F">
        <w:rPr>
          <w:szCs w:val="22"/>
          <w:lang w:val="lt-LT"/>
        </w:rPr>
        <w:t xml:space="preserve">Visų sunkumo laipsnių širdies sutrikimų dažniau atsirado kabazitakseliu gydytiems pacientams, 6 iš jų (1,6 %) atsirado ≥ 3 laipsnio širdies aritmija. Tachikardijos dažnis kabazitakseliu gydytiems pacientams buvo 1,6 %, ≥ 3 laipsnio atvejų nebuvo. Prieširdžių virpėjimo dažnis kabazitakseliu gydytiems pacientams nustatytas 1,1 %. Su širdies nepakankamumu susijusių reiškinių dažniau atsirado kabazitakseliu gydytiems pacientams, apie juos pranešta 2 pacientams (0,5 %). Vienas kabazitakselio grupės pacientas mirė nuo širdies nepakankamumo. Pranešta apie mirtiną skilvelių virpėjimą 1 pacientui (0,3 %) ir širdies sustojimą 2 pacientams (0,5 %). Tyrėjas šių atvejų su vaistiniu preparatu nesiejo. </w:t>
      </w:r>
    </w:p>
    <w:p w14:paraId="7793E443" w14:textId="77777777" w:rsidR="00F24039" w:rsidRPr="00736D2F" w:rsidRDefault="00F24039" w:rsidP="00F24039">
      <w:pPr>
        <w:tabs>
          <w:tab w:val="left" w:pos="9072"/>
        </w:tabs>
        <w:rPr>
          <w:szCs w:val="22"/>
          <w:lang w:val="lt-LT"/>
        </w:rPr>
      </w:pPr>
    </w:p>
    <w:p w14:paraId="7FA8CB48" w14:textId="77777777" w:rsidR="00F24039" w:rsidRPr="00736D2F" w:rsidRDefault="00F24039" w:rsidP="00F24039">
      <w:pPr>
        <w:tabs>
          <w:tab w:val="left" w:pos="9072"/>
        </w:tabs>
        <w:rPr>
          <w:i/>
          <w:szCs w:val="22"/>
          <w:lang w:val="lt-LT"/>
        </w:rPr>
      </w:pPr>
      <w:r w:rsidRPr="00736D2F">
        <w:rPr>
          <w:i/>
          <w:szCs w:val="22"/>
          <w:lang w:val="lt-LT"/>
        </w:rPr>
        <w:t xml:space="preserve">Hematurija </w:t>
      </w:r>
    </w:p>
    <w:p w14:paraId="098B8D8F" w14:textId="77777777" w:rsidR="00F24039" w:rsidRPr="00736D2F" w:rsidRDefault="00F24039" w:rsidP="00F24039">
      <w:pPr>
        <w:tabs>
          <w:tab w:val="left" w:pos="9072"/>
        </w:tabs>
        <w:rPr>
          <w:szCs w:val="22"/>
          <w:lang w:val="lt-LT"/>
        </w:rPr>
      </w:pPr>
      <w:r w:rsidRPr="00736D2F">
        <w:rPr>
          <w:szCs w:val="22"/>
          <w:lang w:val="lt-LT"/>
        </w:rPr>
        <w:t>Visų laipsnių hematurijos dažnis EFC11785 tyrimo metu vartojant 25 mg/m</w:t>
      </w:r>
      <w:r w:rsidRPr="00736D2F">
        <w:rPr>
          <w:szCs w:val="22"/>
          <w:vertAlign w:val="superscript"/>
          <w:lang w:val="lt-LT"/>
        </w:rPr>
        <w:t>2</w:t>
      </w:r>
      <w:r w:rsidRPr="00736D2F">
        <w:rPr>
          <w:szCs w:val="22"/>
          <w:lang w:val="lt-LT"/>
        </w:rPr>
        <w:t xml:space="preserve"> dozę buvo 20,8 % (žr. 5.1 skyrių). Beveik dviem trečdaliais atvejų nustatyta papildomų sutrikimą sukelti galėjusių priežasčių, tokių kaip ligos progresavimas, instrumentinės procedūros, infekcija ir gydymas antikoaguliantais, NVNU ar aspirinu. </w:t>
      </w:r>
    </w:p>
    <w:p w14:paraId="49C258ED" w14:textId="77777777" w:rsidR="00F24039" w:rsidRPr="00736D2F" w:rsidRDefault="00F24039" w:rsidP="00F24039">
      <w:pPr>
        <w:tabs>
          <w:tab w:val="left" w:pos="9072"/>
        </w:tabs>
        <w:rPr>
          <w:szCs w:val="22"/>
          <w:lang w:val="lt-LT"/>
        </w:rPr>
      </w:pPr>
    </w:p>
    <w:p w14:paraId="3FDA5BDB" w14:textId="77777777" w:rsidR="00F24039" w:rsidRPr="00736D2F" w:rsidRDefault="00F24039" w:rsidP="00F24039">
      <w:pPr>
        <w:tabs>
          <w:tab w:val="left" w:pos="9072"/>
        </w:tabs>
        <w:rPr>
          <w:szCs w:val="22"/>
          <w:lang w:val="lt-LT"/>
        </w:rPr>
      </w:pPr>
      <w:r w:rsidRPr="00736D2F">
        <w:rPr>
          <w:i/>
          <w:szCs w:val="22"/>
          <w:lang w:val="lt-LT"/>
        </w:rPr>
        <w:t xml:space="preserve">Kiti laboratoriniai nukrypimai </w:t>
      </w:r>
    </w:p>
    <w:p w14:paraId="3702BFA5" w14:textId="77777777" w:rsidR="00F24039" w:rsidRPr="00736D2F" w:rsidRDefault="00F24039" w:rsidP="00F24039">
      <w:pPr>
        <w:tabs>
          <w:tab w:val="left" w:pos="9072"/>
        </w:tabs>
        <w:rPr>
          <w:szCs w:val="22"/>
          <w:lang w:val="lt-LT"/>
        </w:rPr>
      </w:pPr>
      <w:r w:rsidRPr="00736D2F">
        <w:rPr>
          <w:szCs w:val="22"/>
          <w:lang w:val="lt-LT"/>
        </w:rPr>
        <w:t>Anemijos ≥ 3 laipsnio bei AST, ALT</w:t>
      </w:r>
      <w:r w:rsidR="0040036C">
        <w:rPr>
          <w:szCs w:val="22"/>
          <w:lang w:val="lt-LT"/>
        </w:rPr>
        <w:t xml:space="preserve"> aktyvumo</w:t>
      </w:r>
      <w:r w:rsidRPr="00736D2F">
        <w:rPr>
          <w:szCs w:val="22"/>
          <w:lang w:val="lt-LT"/>
        </w:rPr>
        <w:t xml:space="preserve"> ir bilirubino koncentracijos padidėjimo (remiantis nenormaliais laboratoriniais rodmenimis) dažnis buvo atitinkamai 10,5 %, 0,7 %, 0,9 % ir 0,6 %. </w:t>
      </w:r>
    </w:p>
    <w:p w14:paraId="7F7EE3AC" w14:textId="77777777" w:rsidR="00F24039" w:rsidRPr="00736D2F" w:rsidRDefault="00F24039" w:rsidP="00F24039">
      <w:pPr>
        <w:tabs>
          <w:tab w:val="left" w:pos="9072"/>
        </w:tabs>
        <w:rPr>
          <w:szCs w:val="22"/>
          <w:lang w:val="lt-LT"/>
        </w:rPr>
      </w:pPr>
    </w:p>
    <w:p w14:paraId="41F1294E" w14:textId="77777777" w:rsidR="00F24039" w:rsidRPr="00736D2F" w:rsidRDefault="00F24039" w:rsidP="00F24039">
      <w:pPr>
        <w:tabs>
          <w:tab w:val="left" w:pos="9072"/>
        </w:tabs>
        <w:rPr>
          <w:i/>
          <w:szCs w:val="22"/>
          <w:lang w:val="lt-LT"/>
        </w:rPr>
      </w:pPr>
      <w:r w:rsidRPr="00736D2F">
        <w:rPr>
          <w:i/>
          <w:szCs w:val="22"/>
          <w:lang w:val="lt-LT"/>
        </w:rPr>
        <w:t xml:space="preserve">Virškinimo trakto sutrikimai </w:t>
      </w:r>
    </w:p>
    <w:p w14:paraId="5BCA7DDC" w14:textId="77777777" w:rsidR="00F24039" w:rsidRPr="00736D2F" w:rsidRDefault="00F24039" w:rsidP="00F24039">
      <w:pPr>
        <w:tabs>
          <w:tab w:val="left" w:pos="9072"/>
        </w:tabs>
        <w:rPr>
          <w:szCs w:val="22"/>
          <w:lang w:val="lt-LT"/>
        </w:rPr>
      </w:pPr>
      <w:r w:rsidRPr="00736D2F">
        <w:rPr>
          <w:szCs w:val="22"/>
          <w:lang w:val="lt-LT"/>
        </w:rPr>
        <w:lastRenderedPageBreak/>
        <w:t>Pastebėta kolito, enterokolito, gastrito, neutropeninio enterokolito atvejų. Taip pat gauta pranešimų apie kraujavimo iš virškinimo trakto ir perforacijos, žarnyno nepraeinamumo ir žarnų obstrukcijos atvejus (žr. 4.4 skyrių).</w:t>
      </w:r>
    </w:p>
    <w:p w14:paraId="024B49AD" w14:textId="77777777" w:rsidR="00F24039" w:rsidRPr="00736D2F" w:rsidRDefault="00F24039" w:rsidP="00F24039">
      <w:pPr>
        <w:rPr>
          <w:szCs w:val="22"/>
          <w:lang w:val="lt-LT"/>
        </w:rPr>
      </w:pPr>
    </w:p>
    <w:p w14:paraId="1D5622C7" w14:textId="77777777" w:rsidR="00F24039" w:rsidRPr="00736D2F" w:rsidRDefault="00F24039" w:rsidP="00F24039">
      <w:pPr>
        <w:rPr>
          <w:i/>
          <w:szCs w:val="22"/>
          <w:lang w:val="lt-LT"/>
        </w:rPr>
      </w:pPr>
      <w:r w:rsidRPr="00736D2F">
        <w:rPr>
          <w:i/>
          <w:szCs w:val="22"/>
          <w:lang w:val="lt-LT"/>
        </w:rPr>
        <w:t xml:space="preserve">Kvėpavimo sutrikimai </w:t>
      </w:r>
    </w:p>
    <w:p w14:paraId="0C80F73A" w14:textId="77777777" w:rsidR="00F24039" w:rsidRPr="00736D2F" w:rsidRDefault="00F24039" w:rsidP="00F24039">
      <w:pPr>
        <w:rPr>
          <w:szCs w:val="22"/>
          <w:lang w:val="lt-LT"/>
        </w:rPr>
      </w:pPr>
      <w:r w:rsidRPr="00736D2F">
        <w:rPr>
          <w:szCs w:val="22"/>
          <w:lang w:val="lt-LT"/>
        </w:rPr>
        <w:t>Gautų pranešimų apie intersticinės pneumonijos ir (arba) pneumonito bei intersticinės plaučių ligos atvejus, kurie kartais baigėsi mirtimi, dažnis nežinomas (negali būti apskaičiuotas pagal turimus duomenis) (žr. 4.4 skyrių).</w:t>
      </w:r>
    </w:p>
    <w:p w14:paraId="4A9928C3" w14:textId="77777777" w:rsidR="00F24039" w:rsidRPr="00736D2F" w:rsidRDefault="00F24039" w:rsidP="00F24039">
      <w:pPr>
        <w:rPr>
          <w:szCs w:val="22"/>
          <w:lang w:val="lt-LT"/>
        </w:rPr>
      </w:pPr>
    </w:p>
    <w:p w14:paraId="70BD9F9F" w14:textId="77777777" w:rsidR="00F24039" w:rsidRPr="00736D2F" w:rsidRDefault="00F24039" w:rsidP="00F24039">
      <w:pPr>
        <w:rPr>
          <w:i/>
          <w:szCs w:val="22"/>
          <w:lang w:val="lt-LT"/>
        </w:rPr>
      </w:pPr>
      <w:r w:rsidRPr="00736D2F">
        <w:rPr>
          <w:i/>
          <w:szCs w:val="22"/>
          <w:lang w:val="lt-LT"/>
        </w:rPr>
        <w:t xml:space="preserve">Inkstų ir šlapimo takų sutrikimai </w:t>
      </w:r>
    </w:p>
    <w:p w14:paraId="35A18E59" w14:textId="77777777" w:rsidR="00F24039" w:rsidRPr="00736D2F" w:rsidRDefault="00F24039" w:rsidP="00F24039">
      <w:pPr>
        <w:rPr>
          <w:szCs w:val="22"/>
          <w:lang w:val="lt-LT"/>
        </w:rPr>
      </w:pPr>
      <w:r w:rsidRPr="00736D2F">
        <w:rPr>
          <w:szCs w:val="22"/>
          <w:lang w:val="lt-LT"/>
        </w:rPr>
        <w:t xml:space="preserve">Nedažnai pranešta apie spindulinio gydymo sukeltų reakcijų atsinaujinimo fenomeno sukeltą cistitą, įskaitant hemoraginį cistitą. </w:t>
      </w:r>
    </w:p>
    <w:p w14:paraId="11DEC247" w14:textId="77777777" w:rsidR="00F24039" w:rsidRPr="00736D2F" w:rsidRDefault="00F24039" w:rsidP="00F24039">
      <w:pPr>
        <w:rPr>
          <w:szCs w:val="22"/>
          <w:lang w:val="lt-LT"/>
        </w:rPr>
      </w:pPr>
    </w:p>
    <w:p w14:paraId="29CFDE62" w14:textId="77777777" w:rsidR="00F24039" w:rsidRPr="00736D2F" w:rsidRDefault="00F24039" w:rsidP="00F24039">
      <w:pPr>
        <w:rPr>
          <w:szCs w:val="22"/>
          <w:u w:val="single"/>
          <w:lang w:val="lt-LT"/>
        </w:rPr>
      </w:pPr>
      <w:r w:rsidRPr="00736D2F">
        <w:rPr>
          <w:szCs w:val="22"/>
          <w:u w:val="single"/>
          <w:lang w:val="lt-LT"/>
        </w:rPr>
        <w:t xml:space="preserve">Vaikų populiacija </w:t>
      </w:r>
    </w:p>
    <w:p w14:paraId="26931F1C" w14:textId="77777777" w:rsidR="00F24039" w:rsidRPr="00736D2F" w:rsidRDefault="00F24039" w:rsidP="00F24039">
      <w:pPr>
        <w:rPr>
          <w:szCs w:val="22"/>
          <w:u w:val="single"/>
          <w:lang w:val="lt-LT"/>
        </w:rPr>
      </w:pPr>
      <w:r w:rsidRPr="00736D2F">
        <w:rPr>
          <w:szCs w:val="22"/>
          <w:lang w:val="lt-LT"/>
        </w:rPr>
        <w:t>Žr. 4.2 skyrių.</w:t>
      </w:r>
      <w:r w:rsidRPr="00736D2F">
        <w:rPr>
          <w:szCs w:val="22"/>
          <w:u w:val="single"/>
          <w:lang w:val="lt-LT"/>
        </w:rPr>
        <w:t xml:space="preserve"> </w:t>
      </w:r>
    </w:p>
    <w:p w14:paraId="751D2FEA" w14:textId="77777777" w:rsidR="00F24039" w:rsidRPr="00736D2F" w:rsidRDefault="00F24039" w:rsidP="00F24039">
      <w:pPr>
        <w:rPr>
          <w:szCs w:val="22"/>
          <w:lang w:val="lt-LT"/>
        </w:rPr>
      </w:pPr>
    </w:p>
    <w:p w14:paraId="7BC40D6E" w14:textId="77777777" w:rsidR="00F24039" w:rsidRPr="00736D2F" w:rsidRDefault="00F24039" w:rsidP="00F24039">
      <w:pPr>
        <w:rPr>
          <w:szCs w:val="22"/>
          <w:u w:val="single"/>
          <w:lang w:val="lt-LT"/>
        </w:rPr>
      </w:pPr>
      <w:r w:rsidRPr="00736D2F">
        <w:rPr>
          <w:szCs w:val="22"/>
          <w:u w:val="single"/>
          <w:lang w:val="lt-LT"/>
        </w:rPr>
        <w:t xml:space="preserve">Kitos specifinės pacientų grupės </w:t>
      </w:r>
    </w:p>
    <w:p w14:paraId="2B4424AE" w14:textId="77777777" w:rsidR="00F24039" w:rsidRPr="00736D2F" w:rsidRDefault="00F24039" w:rsidP="00F24039">
      <w:pPr>
        <w:rPr>
          <w:szCs w:val="22"/>
          <w:lang w:val="lt-LT"/>
        </w:rPr>
      </w:pPr>
    </w:p>
    <w:p w14:paraId="703FFA74" w14:textId="77777777" w:rsidR="00F24039" w:rsidRPr="00736D2F" w:rsidRDefault="00F24039" w:rsidP="00F24039">
      <w:pPr>
        <w:rPr>
          <w:i/>
          <w:szCs w:val="22"/>
          <w:lang w:val="lt-LT"/>
        </w:rPr>
      </w:pPr>
      <w:r w:rsidRPr="00736D2F">
        <w:rPr>
          <w:i/>
          <w:szCs w:val="22"/>
          <w:lang w:val="lt-LT"/>
        </w:rPr>
        <w:t xml:space="preserve">Senyvi pacientai </w:t>
      </w:r>
    </w:p>
    <w:p w14:paraId="61782CC6" w14:textId="7F8180C5" w:rsidR="00F24039" w:rsidRPr="00736D2F" w:rsidRDefault="00F24039" w:rsidP="00F24039">
      <w:pPr>
        <w:rPr>
          <w:szCs w:val="22"/>
          <w:lang w:val="lt-LT"/>
        </w:rPr>
      </w:pPr>
      <w:r w:rsidRPr="00736D2F">
        <w:rPr>
          <w:szCs w:val="22"/>
          <w:lang w:val="lt-LT"/>
        </w:rPr>
        <w:t>Prostatos vėžio tyrime iš 371 kabazitakseliu gydyt</w:t>
      </w:r>
      <w:r w:rsidR="0040036C">
        <w:rPr>
          <w:szCs w:val="22"/>
          <w:lang w:val="lt-LT"/>
        </w:rPr>
        <w:t>ų</w:t>
      </w:r>
      <w:r w:rsidRPr="00736D2F">
        <w:rPr>
          <w:szCs w:val="22"/>
          <w:lang w:val="lt-LT"/>
        </w:rPr>
        <w:t xml:space="preserve"> pacient</w:t>
      </w:r>
      <w:r w:rsidR="0040036C">
        <w:rPr>
          <w:szCs w:val="22"/>
          <w:lang w:val="lt-LT"/>
        </w:rPr>
        <w:t>ų</w:t>
      </w:r>
      <w:r w:rsidRPr="00736D2F">
        <w:rPr>
          <w:szCs w:val="22"/>
          <w:lang w:val="lt-LT"/>
        </w:rPr>
        <w:t xml:space="preserve"> 240 pacientų buvo 65 metų ar vyresni, iš jų 70 buvo vyresni kaip 75 metų. </w:t>
      </w:r>
    </w:p>
    <w:p w14:paraId="5A5A92DA" w14:textId="019F2748" w:rsidR="00F24039" w:rsidRPr="00736D2F" w:rsidRDefault="00F24039" w:rsidP="00F24039">
      <w:pPr>
        <w:rPr>
          <w:szCs w:val="22"/>
          <w:lang w:val="lt-LT"/>
        </w:rPr>
      </w:pPr>
      <w:r w:rsidRPr="00736D2F">
        <w:rPr>
          <w:szCs w:val="22"/>
          <w:lang w:val="lt-LT"/>
        </w:rPr>
        <w:t xml:space="preserve">Toliau išvardytos nepageidaujamos reakcijos 65 metų ir vyresniems pacientams atsiradusios ≥ 5% dažniau nei jaunesniems pacientams buvo nuovargis (atitinkamai 40,4 % ir 29,8 %), klinikinė neutropenija (24,2 % ir 17,6 %), astenija (23,8 % ir 14,5 %), </w:t>
      </w:r>
      <w:r w:rsidR="0040036C">
        <w:rPr>
          <w:szCs w:val="22"/>
          <w:lang w:val="lt-LT"/>
        </w:rPr>
        <w:t>karščiavimas</w:t>
      </w:r>
      <w:r w:rsidR="0040036C" w:rsidRPr="00736D2F">
        <w:rPr>
          <w:szCs w:val="22"/>
          <w:lang w:val="lt-LT"/>
        </w:rPr>
        <w:t xml:space="preserve"> </w:t>
      </w:r>
      <w:r w:rsidRPr="00736D2F">
        <w:rPr>
          <w:szCs w:val="22"/>
          <w:lang w:val="lt-LT"/>
        </w:rPr>
        <w:t xml:space="preserve">(14,6 % ir 7,6 %), </w:t>
      </w:r>
      <w:r w:rsidR="0040036C">
        <w:rPr>
          <w:szCs w:val="22"/>
          <w:lang w:val="lt-LT"/>
        </w:rPr>
        <w:t>svaigulys</w:t>
      </w:r>
      <w:r w:rsidRPr="00736D2F">
        <w:rPr>
          <w:szCs w:val="22"/>
          <w:lang w:val="lt-LT"/>
        </w:rPr>
        <w:t xml:space="preserve"> (10,0 % ir 4,6 %), šlapimo takų infekcija (9,6 % ir 3,1 %) ir dehidratacija (6,7 % ir 1,5 %). Kitos išvardytos ≥ 3 laipsnio nepageidaujamos reakcijos 65 metų ir vyresniems pacientams atsirado dažniau nei jaunesniems pacientams: neutropenija, remiantis nenormaliais laboratoriniais rodmenimis (86,3 % ir 73,3 %), klinikinė neutropenija (23,8 % ir 16,8 %) ir febrili</w:t>
      </w:r>
      <w:r w:rsidR="0040036C">
        <w:rPr>
          <w:szCs w:val="22"/>
          <w:lang w:val="lt-LT"/>
        </w:rPr>
        <w:t>nė</w:t>
      </w:r>
      <w:r w:rsidRPr="00736D2F">
        <w:rPr>
          <w:szCs w:val="22"/>
          <w:lang w:val="lt-LT"/>
        </w:rPr>
        <w:t xml:space="preserve"> neutropenija (8,3 % ir 6,1 %) (žr. 4.2 ir 4.4 skyrius). </w:t>
      </w:r>
    </w:p>
    <w:p w14:paraId="5FC096C0" w14:textId="77777777" w:rsidR="00F24039" w:rsidRPr="00736D2F" w:rsidRDefault="00F24039" w:rsidP="00F24039">
      <w:pPr>
        <w:rPr>
          <w:szCs w:val="22"/>
          <w:lang w:val="lt-LT"/>
        </w:rPr>
      </w:pPr>
    </w:p>
    <w:p w14:paraId="7A64309E" w14:textId="77777777" w:rsidR="00F24039" w:rsidRPr="00736D2F" w:rsidRDefault="00F24039" w:rsidP="00F24039">
      <w:pPr>
        <w:rPr>
          <w:szCs w:val="22"/>
          <w:lang w:val="lt-LT"/>
        </w:rPr>
      </w:pPr>
      <w:r w:rsidRPr="00736D2F">
        <w:rPr>
          <w:szCs w:val="22"/>
          <w:lang w:val="lt-LT"/>
        </w:rPr>
        <w:t>Iš 595 prostatos vėžio tyrime EFC 11785 25 mg/m</w:t>
      </w:r>
      <w:r w:rsidRPr="00736D2F">
        <w:rPr>
          <w:szCs w:val="22"/>
          <w:vertAlign w:val="superscript"/>
          <w:lang w:val="lt-LT"/>
        </w:rPr>
        <w:t>2</w:t>
      </w:r>
      <w:r w:rsidRPr="00736D2F">
        <w:rPr>
          <w:szCs w:val="22"/>
          <w:lang w:val="lt-LT"/>
        </w:rPr>
        <w:t xml:space="preserve"> kabazitakselio doze gydytų pacientų, 420 buvo 65 metų arba vyresni. Nepageidaujamos reakcijos, 65 metų ir vyresniems pacientams atsiradusios mažiausiai 5 % dažniau nei jaunesniems pacientams, buvo viduriavimas (atitinkamai 42,9 %, palyginti su 32,6 %), nuovargis (30,2 %, palyginti su 19,4 %), astenija (22,4 %, palyginti su 13,1 %), vidurių užkietėjimas (20,2 %, palyginti su 12,6 %), klinikinė neutropenija (12,9 %, palyginti su 6,3 %), febrili</w:t>
      </w:r>
      <w:r w:rsidR="0040036C">
        <w:rPr>
          <w:szCs w:val="22"/>
          <w:lang w:val="lt-LT"/>
        </w:rPr>
        <w:t>nė</w:t>
      </w:r>
      <w:r w:rsidRPr="00736D2F">
        <w:rPr>
          <w:szCs w:val="22"/>
          <w:lang w:val="lt-LT"/>
        </w:rPr>
        <w:t xml:space="preserve"> neutropenija (11,2 %, palyginti su 4,6 %) ir dispnėja (9,5 %, palyginti su 3,4 %).</w:t>
      </w:r>
    </w:p>
    <w:p w14:paraId="70AA1AAD" w14:textId="77777777" w:rsidR="00F24039" w:rsidRPr="00736D2F" w:rsidRDefault="00F24039" w:rsidP="00F24039">
      <w:pPr>
        <w:autoSpaceDE w:val="0"/>
        <w:autoSpaceDN w:val="0"/>
        <w:adjustRightInd w:val="0"/>
        <w:jc w:val="both"/>
        <w:rPr>
          <w:noProof/>
          <w:szCs w:val="22"/>
          <w:u w:val="single"/>
          <w:lang w:val="lt-LT"/>
        </w:rPr>
      </w:pPr>
    </w:p>
    <w:p w14:paraId="48CE53A9" w14:textId="77777777" w:rsidR="00F24039" w:rsidRPr="00736D2F" w:rsidRDefault="00F24039" w:rsidP="00F24039">
      <w:pPr>
        <w:autoSpaceDE w:val="0"/>
        <w:autoSpaceDN w:val="0"/>
        <w:adjustRightInd w:val="0"/>
        <w:jc w:val="both"/>
        <w:rPr>
          <w:szCs w:val="22"/>
          <w:u w:val="single"/>
          <w:lang w:val="lt-LT"/>
        </w:rPr>
      </w:pPr>
      <w:r w:rsidRPr="00736D2F">
        <w:rPr>
          <w:noProof/>
          <w:szCs w:val="22"/>
          <w:u w:val="single"/>
          <w:lang w:val="lt-LT"/>
        </w:rPr>
        <w:t>Pranešimas apie įtariamas nepageidaujamas reakcijas</w:t>
      </w:r>
    </w:p>
    <w:p w14:paraId="2E6C5B21" w14:textId="77777777" w:rsidR="00F24039" w:rsidRPr="00736D2F" w:rsidRDefault="00F24039" w:rsidP="00F24039">
      <w:pPr>
        <w:autoSpaceDE w:val="0"/>
        <w:autoSpaceDN w:val="0"/>
        <w:adjustRightInd w:val="0"/>
        <w:jc w:val="both"/>
        <w:rPr>
          <w:noProof/>
          <w:szCs w:val="22"/>
          <w:lang w:val="lt-LT"/>
        </w:rPr>
      </w:pPr>
      <w:r w:rsidRPr="00736D2F">
        <w:rPr>
          <w:noProof/>
          <w:szCs w:val="22"/>
          <w:lang w:val="lt-LT"/>
        </w:rPr>
        <w:t>Svarbu pranešti apie įtariamas nepageidaujamas reakcijas, pastebėtas po vaistinio preparato registracijos, nes tai leidžia nuolat stebėti vaistinio preparato naudos ir rizikos santykį.</w:t>
      </w:r>
      <w:r w:rsidRPr="00736D2F">
        <w:rPr>
          <w:szCs w:val="22"/>
          <w:lang w:val="lt-LT"/>
        </w:rPr>
        <w:t xml:space="preserve"> </w:t>
      </w:r>
      <w:r w:rsidRPr="00736D2F">
        <w:rPr>
          <w:noProof/>
          <w:szCs w:val="22"/>
          <w:lang w:val="lt-LT"/>
        </w:rPr>
        <w:t>Sveikatos priežiūros specialistai turi pranešti apie bet kokias įtariamas nepageidaujamas reakcijas, užpildę interneto svetainėje http://</w:t>
      </w:r>
      <w:hyperlink r:id="rId7" w:history="1">
        <w:r w:rsidRPr="00736D2F">
          <w:rPr>
            <w:rStyle w:val="Hipersaitas"/>
            <w:rFonts w:eastAsia="SimSun"/>
            <w:noProof/>
            <w:szCs w:val="22"/>
            <w:lang w:val="lt-LT"/>
          </w:rPr>
          <w:t>www.vvkt.lt</w:t>
        </w:r>
      </w:hyperlink>
      <w:r w:rsidRPr="00736D2F">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36D2F">
          <w:rPr>
            <w:rStyle w:val="Hipersaitas"/>
            <w:rFonts w:eastAsia="SimSun"/>
            <w:noProof/>
            <w:szCs w:val="22"/>
            <w:lang w:val="lt-LT"/>
          </w:rPr>
          <w:t>NepageidaujamaR@vvkt.lt</w:t>
        </w:r>
      </w:hyperlink>
      <w:r w:rsidRPr="00736D2F">
        <w:rPr>
          <w:noProof/>
          <w:szCs w:val="22"/>
          <w:lang w:val="lt-LT"/>
        </w:rPr>
        <w:t xml:space="preserve">), per interneto svetainę (adresu </w:t>
      </w:r>
      <w:hyperlink r:id="rId9" w:history="1">
        <w:r w:rsidR="0040036C" w:rsidRPr="009E7F6C">
          <w:rPr>
            <w:rStyle w:val="Hipersaitas"/>
            <w:noProof/>
            <w:szCs w:val="22"/>
            <w:lang w:val="lt-LT"/>
          </w:rPr>
          <w:t>http://www.vvkt.lt</w:t>
        </w:r>
      </w:hyperlink>
      <w:r w:rsidRPr="00736D2F">
        <w:rPr>
          <w:noProof/>
          <w:szCs w:val="22"/>
          <w:lang w:val="lt-LT"/>
        </w:rPr>
        <w:t>).</w:t>
      </w:r>
    </w:p>
    <w:p w14:paraId="0DF0C793" w14:textId="77777777" w:rsidR="00F24039" w:rsidRPr="00736D2F" w:rsidRDefault="00F24039" w:rsidP="00F24039">
      <w:pPr>
        <w:rPr>
          <w:szCs w:val="22"/>
          <w:lang w:val="lt-LT"/>
        </w:rPr>
      </w:pPr>
    </w:p>
    <w:p w14:paraId="692509EC"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4.9</w:t>
      </w:r>
      <w:r w:rsidRPr="00736D2F">
        <w:rPr>
          <w:rFonts w:ascii="Times New Roman" w:hAnsi="Times New Roman"/>
          <w:sz w:val="22"/>
          <w:szCs w:val="22"/>
          <w:lang w:val="lt-LT"/>
        </w:rPr>
        <w:tab/>
        <w:t>Perdozavimas</w:t>
      </w:r>
    </w:p>
    <w:p w14:paraId="4CFA936D" w14:textId="77777777" w:rsidR="00F24039" w:rsidRPr="00736D2F" w:rsidRDefault="00F24039" w:rsidP="00F24039">
      <w:pPr>
        <w:rPr>
          <w:szCs w:val="22"/>
          <w:lang w:val="lt-LT"/>
        </w:rPr>
      </w:pPr>
    </w:p>
    <w:p w14:paraId="43F69DA1" w14:textId="51B2B48B" w:rsidR="00F24039" w:rsidRPr="00736D2F" w:rsidRDefault="00F24039" w:rsidP="00F24039">
      <w:pPr>
        <w:rPr>
          <w:szCs w:val="22"/>
          <w:lang w:val="lt-LT"/>
        </w:rPr>
      </w:pPr>
      <w:r w:rsidRPr="00736D2F">
        <w:rPr>
          <w:szCs w:val="22"/>
          <w:lang w:val="lt-LT"/>
        </w:rPr>
        <w:t xml:space="preserve">Kabazitakselio priešnuodis nežinomas. Tikėtinos perdozavimo komplikacijos yra nepageidaujamų reakcijų, tokių kaip kaulų čiulpų slopinimas ir virškinimo trakto sutrikimai, paūmėjimas. Perdozavusį pacientą būtina gydyti specializuotame skyriuje ir atidžiai stebėti jo būklę. Pacientą būtina pradėti gydyti </w:t>
      </w:r>
      <w:r w:rsidRPr="00736D2F">
        <w:rPr>
          <w:szCs w:val="22"/>
          <w:lang w:val="lt-LT"/>
        </w:rPr>
        <w:lastRenderedPageBreak/>
        <w:t>G-KSF kiek įmanoma greičiau po to, kai sužinota, kad perdozuota. Reikia imtis kit</w:t>
      </w:r>
      <w:r w:rsidR="0040036C">
        <w:rPr>
          <w:szCs w:val="22"/>
          <w:lang w:val="lt-LT"/>
        </w:rPr>
        <w:t>ų</w:t>
      </w:r>
      <w:r w:rsidRPr="00736D2F">
        <w:rPr>
          <w:szCs w:val="22"/>
          <w:lang w:val="lt-LT"/>
        </w:rPr>
        <w:t xml:space="preserve"> </w:t>
      </w:r>
      <w:r w:rsidR="0040036C">
        <w:rPr>
          <w:szCs w:val="22"/>
          <w:lang w:val="lt-LT"/>
        </w:rPr>
        <w:t xml:space="preserve">tinkamų </w:t>
      </w:r>
      <w:r w:rsidRPr="00736D2F">
        <w:rPr>
          <w:szCs w:val="22"/>
          <w:lang w:val="lt-LT"/>
        </w:rPr>
        <w:t>simptominių priemonių.</w:t>
      </w:r>
    </w:p>
    <w:p w14:paraId="670A0BF1" w14:textId="77777777" w:rsidR="00F24039" w:rsidRPr="00736D2F" w:rsidRDefault="00F24039" w:rsidP="00F24039">
      <w:pPr>
        <w:rPr>
          <w:szCs w:val="22"/>
          <w:lang w:val="lt-LT"/>
        </w:rPr>
      </w:pPr>
    </w:p>
    <w:p w14:paraId="07791052" w14:textId="77777777" w:rsidR="00F24039" w:rsidRPr="00736D2F" w:rsidRDefault="00F24039" w:rsidP="00F24039">
      <w:pPr>
        <w:rPr>
          <w:szCs w:val="22"/>
          <w:lang w:val="lt-LT"/>
        </w:rPr>
      </w:pPr>
    </w:p>
    <w:p w14:paraId="4A73BF41" w14:textId="77777777" w:rsidR="00F24039" w:rsidRPr="00736D2F" w:rsidRDefault="00F24039" w:rsidP="00F24039">
      <w:pPr>
        <w:pStyle w:val="Antrat3"/>
        <w:spacing w:before="0" w:after="0" w:line="240" w:lineRule="auto"/>
        <w:rPr>
          <w:rFonts w:ascii="Times New Roman" w:hAnsi="Times New Roman"/>
          <w:sz w:val="22"/>
          <w:szCs w:val="22"/>
          <w:lang w:val="lt-LT"/>
        </w:rPr>
      </w:pPr>
      <w:r w:rsidRPr="00736D2F">
        <w:rPr>
          <w:rFonts w:ascii="Times New Roman" w:hAnsi="Times New Roman"/>
          <w:sz w:val="22"/>
          <w:szCs w:val="22"/>
          <w:lang w:val="lt-LT"/>
        </w:rPr>
        <w:t>5.</w:t>
      </w:r>
      <w:r w:rsidRPr="00736D2F">
        <w:rPr>
          <w:rFonts w:ascii="Times New Roman" w:hAnsi="Times New Roman"/>
          <w:sz w:val="22"/>
          <w:szCs w:val="22"/>
          <w:lang w:val="lt-LT"/>
        </w:rPr>
        <w:tab/>
        <w:t>FARMAKOLOGINĖS SAVYBĖS</w:t>
      </w:r>
    </w:p>
    <w:p w14:paraId="557CF38F" w14:textId="77777777" w:rsidR="00F24039" w:rsidRPr="00736D2F" w:rsidRDefault="00F24039" w:rsidP="00F24039">
      <w:pPr>
        <w:rPr>
          <w:szCs w:val="22"/>
          <w:lang w:val="lt-LT"/>
        </w:rPr>
      </w:pPr>
    </w:p>
    <w:p w14:paraId="359891B6" w14:textId="77777777" w:rsidR="00F24039" w:rsidRPr="00736D2F" w:rsidRDefault="00F24039" w:rsidP="00F24039">
      <w:pPr>
        <w:pStyle w:val="Antrat4"/>
        <w:rPr>
          <w:rFonts w:ascii="Times New Roman" w:hAnsi="Times New Roman"/>
          <w:sz w:val="22"/>
          <w:szCs w:val="22"/>
          <w:lang w:val="lt-LT"/>
        </w:rPr>
      </w:pPr>
      <w:r w:rsidRPr="00736D2F">
        <w:rPr>
          <w:rFonts w:ascii="Times New Roman" w:hAnsi="Times New Roman"/>
          <w:sz w:val="22"/>
          <w:szCs w:val="22"/>
          <w:lang w:val="lt-LT"/>
        </w:rPr>
        <w:t>5.1</w:t>
      </w:r>
      <w:r w:rsidRPr="00736D2F">
        <w:rPr>
          <w:rFonts w:ascii="Times New Roman" w:hAnsi="Times New Roman"/>
          <w:bCs w:val="0"/>
          <w:sz w:val="22"/>
          <w:szCs w:val="22"/>
          <w:lang w:val="lt-LT"/>
        </w:rPr>
        <w:t xml:space="preserve"> </w:t>
      </w:r>
      <w:r w:rsidRPr="00736D2F">
        <w:rPr>
          <w:rFonts w:ascii="Times New Roman" w:hAnsi="Times New Roman"/>
          <w:sz w:val="22"/>
          <w:szCs w:val="22"/>
          <w:lang w:val="lt-LT"/>
        </w:rPr>
        <w:tab/>
        <w:t>Farmakodinaminės savybės</w:t>
      </w:r>
    </w:p>
    <w:p w14:paraId="391AC803" w14:textId="77777777" w:rsidR="00F24039" w:rsidRPr="00736D2F" w:rsidRDefault="00F24039" w:rsidP="00F24039">
      <w:pPr>
        <w:rPr>
          <w:szCs w:val="22"/>
          <w:lang w:val="lt-LT"/>
        </w:rPr>
      </w:pPr>
    </w:p>
    <w:p w14:paraId="5377ED36" w14:textId="77777777" w:rsidR="00F24039" w:rsidRPr="00736D2F" w:rsidRDefault="00F24039" w:rsidP="00F24039">
      <w:pPr>
        <w:rPr>
          <w:szCs w:val="22"/>
          <w:lang w:val="lt-LT"/>
        </w:rPr>
      </w:pPr>
      <w:r w:rsidRPr="00736D2F">
        <w:rPr>
          <w:noProof/>
          <w:szCs w:val="22"/>
          <w:lang w:val="lt-LT"/>
        </w:rPr>
        <w:t xml:space="preserve">Farmakoterapinė grupė – </w:t>
      </w:r>
      <w:r w:rsidRPr="00736D2F">
        <w:rPr>
          <w:szCs w:val="22"/>
          <w:lang w:val="lt-LT"/>
        </w:rPr>
        <w:t xml:space="preserve">antineoplastiniai </w:t>
      </w:r>
      <w:r w:rsidR="00EE2D77">
        <w:rPr>
          <w:szCs w:val="22"/>
          <w:lang w:val="lt-LT"/>
        </w:rPr>
        <w:t xml:space="preserve">vaistiniai </w:t>
      </w:r>
      <w:r w:rsidRPr="00736D2F">
        <w:rPr>
          <w:szCs w:val="22"/>
          <w:lang w:val="lt-LT"/>
        </w:rPr>
        <w:t>preparatai, taksanai, ATC kodas – L01CD04</w:t>
      </w:r>
      <w:r w:rsidRPr="00736D2F">
        <w:rPr>
          <w:szCs w:val="22"/>
          <w:highlight w:val="lightGray"/>
          <w:lang w:val="lt-LT"/>
        </w:rPr>
        <w:t xml:space="preserve"> &gt;.</w:t>
      </w:r>
    </w:p>
    <w:p w14:paraId="3AD40D74" w14:textId="77777777" w:rsidR="00F24039" w:rsidRPr="00736D2F" w:rsidRDefault="00F24039" w:rsidP="00F24039">
      <w:pPr>
        <w:rPr>
          <w:szCs w:val="22"/>
          <w:lang w:val="lt-LT"/>
        </w:rPr>
      </w:pPr>
    </w:p>
    <w:p w14:paraId="7414F700" w14:textId="77777777" w:rsidR="00F24039" w:rsidRPr="00736D2F" w:rsidRDefault="00F24039" w:rsidP="00F24039">
      <w:pPr>
        <w:rPr>
          <w:szCs w:val="22"/>
          <w:u w:val="single"/>
          <w:lang w:val="lt-LT"/>
        </w:rPr>
      </w:pPr>
      <w:r w:rsidRPr="00736D2F">
        <w:rPr>
          <w:szCs w:val="22"/>
          <w:u w:val="single"/>
          <w:lang w:val="lt-LT"/>
        </w:rPr>
        <w:t xml:space="preserve">Veikimo mechanizmas </w:t>
      </w:r>
    </w:p>
    <w:p w14:paraId="6354AF5D" w14:textId="77777777" w:rsidR="00F24039" w:rsidRPr="00736D2F" w:rsidRDefault="00F24039" w:rsidP="00F24039">
      <w:pPr>
        <w:rPr>
          <w:szCs w:val="22"/>
          <w:lang w:val="lt-LT"/>
        </w:rPr>
      </w:pPr>
      <w:r w:rsidRPr="00736D2F">
        <w:rPr>
          <w:szCs w:val="22"/>
          <w:lang w:val="lt-LT"/>
        </w:rPr>
        <w:t xml:space="preserve">Kabazitakselis yra antineoplastinis </w:t>
      </w:r>
      <w:r w:rsidR="00EE2D77">
        <w:rPr>
          <w:szCs w:val="22"/>
          <w:lang w:val="lt-LT"/>
        </w:rPr>
        <w:t xml:space="preserve">vaistinis </w:t>
      </w:r>
      <w:r w:rsidRPr="00736D2F">
        <w:rPr>
          <w:szCs w:val="22"/>
          <w:lang w:val="lt-LT"/>
        </w:rPr>
        <w:t xml:space="preserve">preparatas, kurio veikimas pagrįstas ląstelės mikrovamzdelių tinklo suardymu. Kabazitakselis jungiasi prie tubulino ir skatina jo kaupimąsi mikrovamzdeliuose bei slopina atsiskyrimą. Dėl šios priežasties mikrovamzdeliai stabilizuojami ir taip slopinamos mitozinės ir interfazinės ląstelių funkcijos. </w:t>
      </w:r>
    </w:p>
    <w:p w14:paraId="42D86012" w14:textId="77777777" w:rsidR="00F24039" w:rsidRPr="00736D2F" w:rsidRDefault="00F24039" w:rsidP="00F24039">
      <w:pPr>
        <w:rPr>
          <w:szCs w:val="22"/>
          <w:lang w:val="lt-LT"/>
        </w:rPr>
      </w:pPr>
    </w:p>
    <w:p w14:paraId="01EA71DA" w14:textId="77777777" w:rsidR="00F24039" w:rsidRPr="00736D2F" w:rsidRDefault="00F24039" w:rsidP="00F24039">
      <w:pPr>
        <w:rPr>
          <w:szCs w:val="22"/>
          <w:u w:val="single"/>
          <w:lang w:val="lt-LT"/>
        </w:rPr>
      </w:pPr>
      <w:r w:rsidRPr="00736D2F">
        <w:rPr>
          <w:szCs w:val="22"/>
          <w:u w:val="single"/>
          <w:lang w:val="lt-LT"/>
        </w:rPr>
        <w:t xml:space="preserve">Farmakodinaminis poveikis </w:t>
      </w:r>
    </w:p>
    <w:p w14:paraId="1A1E6D79" w14:textId="77777777" w:rsidR="00F24039" w:rsidRPr="00736D2F" w:rsidRDefault="00F24039" w:rsidP="00F24039">
      <w:pPr>
        <w:rPr>
          <w:szCs w:val="22"/>
          <w:lang w:val="lt-LT"/>
        </w:rPr>
      </w:pPr>
      <w:r w:rsidRPr="00736D2F">
        <w:rPr>
          <w:szCs w:val="22"/>
          <w:lang w:val="lt-LT"/>
        </w:rPr>
        <w:t xml:space="preserve">Kabazitakseliui būdingas plataus poveikio antinavikinis aktyvumas prieš pelėms persodintus progresavusius žmogaus navikus. Kabazitakselis sukelia poveikį docetakseliui jautriems navikams. Be to, kabazitakselis sukelia poveikį navikų modeliams, nejautriems chemoterapijai, įskaitant docetakselį. </w:t>
      </w:r>
    </w:p>
    <w:p w14:paraId="1C5A740F" w14:textId="77777777" w:rsidR="00F24039" w:rsidRPr="00736D2F" w:rsidRDefault="00F24039" w:rsidP="00F24039">
      <w:pPr>
        <w:rPr>
          <w:szCs w:val="22"/>
          <w:lang w:val="lt-LT"/>
        </w:rPr>
      </w:pPr>
    </w:p>
    <w:p w14:paraId="5523174C" w14:textId="77777777" w:rsidR="00F24039" w:rsidRPr="00736D2F" w:rsidRDefault="00F24039" w:rsidP="00F24039">
      <w:pPr>
        <w:rPr>
          <w:szCs w:val="22"/>
          <w:u w:val="single"/>
          <w:lang w:val="lt-LT"/>
        </w:rPr>
      </w:pPr>
      <w:r w:rsidRPr="00736D2F">
        <w:rPr>
          <w:szCs w:val="22"/>
          <w:u w:val="single"/>
          <w:lang w:val="lt-LT"/>
        </w:rPr>
        <w:t xml:space="preserve">Klinikinis veiksmingumas ir saugumas </w:t>
      </w:r>
    </w:p>
    <w:p w14:paraId="3E41B320" w14:textId="260CB338" w:rsidR="00F24039" w:rsidRPr="00736D2F" w:rsidRDefault="00266A4D" w:rsidP="00F24039">
      <w:pPr>
        <w:rPr>
          <w:szCs w:val="22"/>
          <w:lang w:val="lt-LT"/>
        </w:rPr>
      </w:pPr>
      <w:r w:rsidRPr="00736D2F">
        <w:rPr>
          <w:szCs w:val="22"/>
          <w:lang w:val="lt-LT"/>
        </w:rPr>
        <w:t>Kabazitakselio</w:t>
      </w:r>
      <w:r w:rsidR="00F24039" w:rsidRPr="00736D2F">
        <w:rPr>
          <w:szCs w:val="22"/>
          <w:lang w:val="lt-LT"/>
        </w:rPr>
        <w:t>, vartojamo kartu su prednizonu ar prednizolonu, efektyvumas ir saugumas vertinti atsitiktinių imčių atviro tarptautinio daugiacentrio III fazės tyrimo (tyrimo EFC6193), kuriame dalyvavo kastracij</w:t>
      </w:r>
      <w:r w:rsidR="00786E8D">
        <w:rPr>
          <w:szCs w:val="22"/>
          <w:lang w:val="lt-LT"/>
        </w:rPr>
        <w:t>ai</w:t>
      </w:r>
      <w:r w:rsidR="00F24039" w:rsidRPr="00736D2F">
        <w:rPr>
          <w:szCs w:val="22"/>
          <w:lang w:val="lt-LT"/>
        </w:rPr>
        <w:t xml:space="preserve"> </w:t>
      </w:r>
      <w:r w:rsidR="00786E8D">
        <w:rPr>
          <w:szCs w:val="22"/>
          <w:lang w:val="lt-LT"/>
        </w:rPr>
        <w:t xml:space="preserve">atspariu </w:t>
      </w:r>
      <w:r w:rsidR="00F24039" w:rsidRPr="00736D2F">
        <w:rPr>
          <w:szCs w:val="22"/>
          <w:lang w:val="lt-LT"/>
        </w:rPr>
        <w:t xml:space="preserve">metastazavusiu prostatos vėžiu sirgę pacientai, anksčiau gydyti pagal schemą, į kurią buvo įtrauktas docetakselis, metu. </w:t>
      </w:r>
    </w:p>
    <w:p w14:paraId="79819768" w14:textId="77777777" w:rsidR="00F24039" w:rsidRPr="00736D2F" w:rsidRDefault="00F24039" w:rsidP="00F24039">
      <w:pPr>
        <w:rPr>
          <w:szCs w:val="22"/>
          <w:lang w:val="lt-LT"/>
        </w:rPr>
      </w:pPr>
    </w:p>
    <w:p w14:paraId="7B9A673D" w14:textId="504435E6" w:rsidR="00F24039" w:rsidRPr="00736D2F" w:rsidRDefault="00F24039" w:rsidP="00F24039">
      <w:pPr>
        <w:rPr>
          <w:szCs w:val="22"/>
          <w:lang w:val="lt-LT"/>
        </w:rPr>
      </w:pPr>
      <w:r w:rsidRPr="00736D2F">
        <w:rPr>
          <w:szCs w:val="22"/>
          <w:lang w:val="lt-LT"/>
        </w:rPr>
        <w:t>Pagrindinė vertinamoj</w:t>
      </w:r>
      <w:r w:rsidR="00786E8D">
        <w:rPr>
          <w:szCs w:val="22"/>
          <w:lang w:val="lt-LT"/>
        </w:rPr>
        <w:t>i</w:t>
      </w:r>
      <w:r w:rsidRPr="00736D2F">
        <w:rPr>
          <w:szCs w:val="22"/>
          <w:lang w:val="lt-LT"/>
        </w:rPr>
        <w:t xml:space="preserve"> tyrimo baigtis buvo bendrasis išgyvenamumas (BI). </w:t>
      </w:r>
    </w:p>
    <w:p w14:paraId="6D77961B" w14:textId="567C6427" w:rsidR="00F24039" w:rsidRPr="00736D2F" w:rsidRDefault="00F24039" w:rsidP="00F24039">
      <w:pPr>
        <w:rPr>
          <w:szCs w:val="22"/>
          <w:lang w:val="lt-LT"/>
        </w:rPr>
      </w:pPr>
      <w:r w:rsidRPr="00736D2F">
        <w:rPr>
          <w:szCs w:val="22"/>
          <w:lang w:val="lt-LT"/>
        </w:rPr>
        <w:t>Antrinės vertinamosios baigtys buvo išgyv</w:t>
      </w:r>
      <w:r w:rsidR="00866DB4">
        <w:rPr>
          <w:szCs w:val="22"/>
          <w:lang w:val="lt-LT"/>
        </w:rPr>
        <w:t>enamumas be ligos progresavimo [</w:t>
      </w:r>
      <w:r w:rsidRPr="00736D2F">
        <w:rPr>
          <w:szCs w:val="22"/>
          <w:lang w:val="lt-LT"/>
        </w:rPr>
        <w:t xml:space="preserve">IBLP, apibūdinamas kaip laikas nuo priskyrimo atsitiktinei imčiai iki naviko progresavimo, prostatai specifinio antigeno (PSA) progresavimo, skausmo progresavimo ar mirties nuo bet kokios priežasties, priklausomai nuo </w:t>
      </w:r>
      <w:r w:rsidR="00866DB4">
        <w:rPr>
          <w:szCs w:val="22"/>
          <w:lang w:val="lt-LT"/>
        </w:rPr>
        <w:t>to, koks įvykis įvyksta pirmiau]</w:t>
      </w:r>
      <w:r w:rsidRPr="00736D2F">
        <w:rPr>
          <w:szCs w:val="22"/>
          <w:lang w:val="lt-LT"/>
        </w:rPr>
        <w:t>, naviko reakcijos dažnis atsižvelgiant į S</w:t>
      </w:r>
      <w:r w:rsidR="00786E8D">
        <w:rPr>
          <w:szCs w:val="22"/>
          <w:lang w:val="lt-LT"/>
        </w:rPr>
        <w:t>olidinių</w:t>
      </w:r>
      <w:r w:rsidRPr="00736D2F">
        <w:rPr>
          <w:szCs w:val="22"/>
          <w:lang w:val="lt-LT"/>
        </w:rPr>
        <w:t xml:space="preserve"> navik</w:t>
      </w:r>
      <w:r w:rsidR="00786E8D">
        <w:rPr>
          <w:szCs w:val="22"/>
          <w:lang w:val="lt-LT"/>
        </w:rPr>
        <w:t>ų</w:t>
      </w:r>
      <w:r w:rsidRPr="00736D2F">
        <w:rPr>
          <w:szCs w:val="22"/>
          <w:lang w:val="lt-LT"/>
        </w:rPr>
        <w:t xml:space="preserve"> </w:t>
      </w:r>
      <w:r w:rsidR="00786E8D">
        <w:rPr>
          <w:szCs w:val="22"/>
          <w:lang w:val="lt-LT"/>
        </w:rPr>
        <w:t>atsako</w:t>
      </w:r>
      <w:r w:rsidR="00786E8D" w:rsidRPr="00736D2F">
        <w:rPr>
          <w:szCs w:val="22"/>
          <w:lang w:val="lt-LT"/>
        </w:rPr>
        <w:t xml:space="preserve"> </w:t>
      </w:r>
      <w:r w:rsidRPr="00736D2F">
        <w:rPr>
          <w:szCs w:val="22"/>
          <w:lang w:val="lt-LT"/>
        </w:rPr>
        <w:t>vertinimo kriterijus (</w:t>
      </w:r>
      <w:r w:rsidR="00786E8D">
        <w:rPr>
          <w:szCs w:val="22"/>
          <w:lang w:val="lt-LT"/>
        </w:rPr>
        <w:t xml:space="preserve">angl. </w:t>
      </w:r>
      <w:r w:rsidRPr="00736D2F">
        <w:rPr>
          <w:i/>
          <w:szCs w:val="22"/>
          <w:lang w:val="lt-LT"/>
        </w:rPr>
        <w:t>Response Evaluation Criteria in Solid Tumours, RECIST</w:t>
      </w:r>
      <w:r w:rsidRPr="00736D2F">
        <w:rPr>
          <w:szCs w:val="22"/>
          <w:lang w:val="lt-LT"/>
        </w:rPr>
        <w:t>), PSA progresavimas (apibrėžiamas kaip padidėjimas ≥ 25 % arba &gt; 50 % atitinkamai pacientams, kurių PSA nereagavo ar reagavo), PSA reakcija (PSA koncentracijos serume sumažėjimas mažiausiai 50 %), skausmo progresavimas (vertintas naudojant Esamo skausmo intensyvumo (</w:t>
      </w:r>
      <w:r w:rsidR="00786E8D">
        <w:rPr>
          <w:szCs w:val="22"/>
          <w:lang w:val="lt-LT"/>
        </w:rPr>
        <w:t xml:space="preserve">angl. </w:t>
      </w:r>
      <w:r w:rsidRPr="00736D2F">
        <w:rPr>
          <w:i/>
          <w:szCs w:val="22"/>
          <w:lang w:val="lt-LT"/>
        </w:rPr>
        <w:t>Present Pain Intensity, PPI</w:t>
      </w:r>
      <w:r w:rsidRPr="00736D2F">
        <w:rPr>
          <w:szCs w:val="22"/>
          <w:lang w:val="lt-LT"/>
        </w:rPr>
        <w:t>) skalę iš McGill-Melzack klaus</w:t>
      </w:r>
      <w:r w:rsidR="00866DB4">
        <w:rPr>
          <w:szCs w:val="22"/>
          <w:lang w:val="lt-LT"/>
        </w:rPr>
        <w:t xml:space="preserve">imyno ir Analgezijos skalę (AS), </w:t>
      </w:r>
      <w:r w:rsidRPr="00736D2F">
        <w:rPr>
          <w:szCs w:val="22"/>
          <w:lang w:val="lt-LT"/>
        </w:rPr>
        <w:t>ir skausmo reakcija (apibūdinta kaip 2 balais didesnis sumažėjimas nuo pradinės PPI medianos kartu nep</w:t>
      </w:r>
      <w:r w:rsidR="00163693" w:rsidRPr="00736D2F">
        <w:rPr>
          <w:szCs w:val="22"/>
          <w:lang w:val="lt-LT"/>
        </w:rPr>
        <w:t>adidėjant AS arba sumažėjimas ≥ </w:t>
      </w:r>
      <w:r w:rsidRPr="00736D2F">
        <w:rPr>
          <w:szCs w:val="22"/>
          <w:lang w:val="lt-LT"/>
        </w:rPr>
        <w:t xml:space="preserve">50 % nuo pradinio vidutinio AS įvertinimo vartojant analgetikų ir nesustiprėjant skausmui). </w:t>
      </w:r>
    </w:p>
    <w:p w14:paraId="1FC668E5" w14:textId="77777777" w:rsidR="00F24039" w:rsidRPr="00736D2F" w:rsidRDefault="00F24039" w:rsidP="00F24039">
      <w:pPr>
        <w:rPr>
          <w:szCs w:val="22"/>
          <w:lang w:val="lt-LT"/>
        </w:rPr>
      </w:pPr>
    </w:p>
    <w:p w14:paraId="19B2E000" w14:textId="12D3349B" w:rsidR="00F24039" w:rsidRPr="00736D2F" w:rsidRDefault="00F24039" w:rsidP="00F24039">
      <w:pPr>
        <w:rPr>
          <w:szCs w:val="22"/>
          <w:lang w:val="lt-LT"/>
        </w:rPr>
      </w:pPr>
      <w:r w:rsidRPr="00736D2F">
        <w:rPr>
          <w:szCs w:val="22"/>
          <w:lang w:val="lt-LT"/>
        </w:rPr>
        <w:t xml:space="preserve">Iš viso 755 pacientai buvo suskirstyti į atsitiktines imtis ir buvo gydomi arba </w:t>
      </w:r>
      <w:r w:rsidR="00786E8D">
        <w:rPr>
          <w:szCs w:val="22"/>
          <w:lang w:val="lt-LT"/>
        </w:rPr>
        <w:t>suleidžiant</w:t>
      </w:r>
      <w:r w:rsidR="00786E8D" w:rsidRPr="00736D2F">
        <w:rPr>
          <w:szCs w:val="22"/>
          <w:lang w:val="lt-LT"/>
        </w:rPr>
        <w:t xml:space="preserve"> </w:t>
      </w:r>
      <w:r w:rsidRPr="00736D2F">
        <w:rPr>
          <w:szCs w:val="22"/>
          <w:lang w:val="lt-LT"/>
        </w:rPr>
        <w:t>25 mg/m</w:t>
      </w:r>
      <w:r w:rsidRPr="00736D2F">
        <w:rPr>
          <w:szCs w:val="22"/>
          <w:vertAlign w:val="superscript"/>
          <w:lang w:val="lt-LT"/>
        </w:rPr>
        <w:t>2</w:t>
      </w:r>
      <w:r w:rsidRPr="00736D2F">
        <w:rPr>
          <w:szCs w:val="22"/>
          <w:lang w:val="lt-LT"/>
        </w:rPr>
        <w:t xml:space="preserve"> </w:t>
      </w:r>
      <w:r w:rsidR="00266A4D" w:rsidRPr="00736D2F">
        <w:rPr>
          <w:szCs w:val="22"/>
          <w:lang w:val="lt-LT"/>
        </w:rPr>
        <w:t>kabazitakselio</w:t>
      </w:r>
      <w:r w:rsidRPr="00736D2F">
        <w:rPr>
          <w:szCs w:val="22"/>
          <w:lang w:val="lt-LT"/>
        </w:rPr>
        <w:t xml:space="preserve"> į veną kas 3 savaites, iš viso ne daugiau kaip 10 kursų, kartu buvo duodama gerti 10 mg prednizono ar prednizolono (n=378), arba </w:t>
      </w:r>
      <w:r w:rsidR="00786E8D">
        <w:rPr>
          <w:szCs w:val="22"/>
          <w:lang w:val="lt-LT"/>
        </w:rPr>
        <w:t>su</w:t>
      </w:r>
      <w:r w:rsidRPr="00736D2F">
        <w:rPr>
          <w:szCs w:val="22"/>
          <w:lang w:val="lt-LT"/>
        </w:rPr>
        <w:t>leidžia</w:t>
      </w:r>
      <w:r w:rsidR="00786E8D">
        <w:rPr>
          <w:szCs w:val="22"/>
          <w:lang w:val="lt-LT"/>
        </w:rPr>
        <w:t>nt</w:t>
      </w:r>
      <w:r w:rsidRPr="00736D2F">
        <w:rPr>
          <w:szCs w:val="22"/>
          <w:lang w:val="lt-LT"/>
        </w:rPr>
        <w:t xml:space="preserve"> 12 mg/m</w:t>
      </w:r>
      <w:r w:rsidRPr="00736D2F">
        <w:rPr>
          <w:szCs w:val="22"/>
          <w:vertAlign w:val="superscript"/>
          <w:lang w:val="lt-LT"/>
        </w:rPr>
        <w:t>2</w:t>
      </w:r>
      <w:r w:rsidRPr="00736D2F">
        <w:rPr>
          <w:szCs w:val="22"/>
          <w:lang w:val="lt-LT"/>
        </w:rPr>
        <w:t xml:space="preserve"> mitoksantrono į veną kas 3 savaites, iš viso ne daugiau kaip 10 kursų, kartu duodama gerti 10 mg prednizono ar prednizolono (n=377). </w:t>
      </w:r>
    </w:p>
    <w:p w14:paraId="7E482C6C" w14:textId="77777777" w:rsidR="00F24039" w:rsidRPr="00736D2F" w:rsidRDefault="00F24039" w:rsidP="00F24039">
      <w:pPr>
        <w:rPr>
          <w:szCs w:val="22"/>
          <w:lang w:val="lt-LT"/>
        </w:rPr>
      </w:pPr>
    </w:p>
    <w:p w14:paraId="31DD35EE" w14:textId="65D0C2F7" w:rsidR="00F24039" w:rsidRPr="00736D2F" w:rsidRDefault="00F24039" w:rsidP="00F24039">
      <w:pPr>
        <w:rPr>
          <w:szCs w:val="22"/>
          <w:lang w:val="lt-LT"/>
        </w:rPr>
      </w:pPr>
      <w:r w:rsidRPr="00736D2F">
        <w:rPr>
          <w:szCs w:val="22"/>
          <w:lang w:val="lt-LT"/>
        </w:rPr>
        <w:t>Į šį tyrimą buvo įtraukti vyresni kaip 18 metų pacientai, sirgę kastracij</w:t>
      </w:r>
      <w:r w:rsidR="00AF5F80">
        <w:rPr>
          <w:szCs w:val="22"/>
          <w:lang w:val="lt-LT"/>
        </w:rPr>
        <w:t>ai</w:t>
      </w:r>
      <w:r w:rsidRPr="00736D2F">
        <w:rPr>
          <w:szCs w:val="22"/>
          <w:lang w:val="lt-LT"/>
        </w:rPr>
        <w:t xml:space="preserve"> </w:t>
      </w:r>
      <w:r w:rsidR="00AF5F80">
        <w:rPr>
          <w:szCs w:val="22"/>
          <w:lang w:val="lt-LT"/>
        </w:rPr>
        <w:t>atspariu</w:t>
      </w:r>
      <w:r w:rsidRPr="00736D2F">
        <w:rPr>
          <w:szCs w:val="22"/>
          <w:lang w:val="lt-LT"/>
        </w:rPr>
        <w:t xml:space="preserve"> metastazavusiu prostatos vėžiu arba įvertinamu pagal RECIST kriterijus, arba neišmatuojamu, tačiau su didėjančia PSA koncentracija arba atsirandančiais naujais pažeidimais, su Rytų </w:t>
      </w:r>
      <w:r w:rsidR="00AF5F80">
        <w:rPr>
          <w:szCs w:val="22"/>
          <w:lang w:val="lt-LT"/>
        </w:rPr>
        <w:t>jungtinės</w:t>
      </w:r>
      <w:r w:rsidR="00AF5F80" w:rsidRPr="00736D2F">
        <w:rPr>
          <w:szCs w:val="22"/>
          <w:lang w:val="lt-LT"/>
        </w:rPr>
        <w:t xml:space="preserve"> </w:t>
      </w:r>
      <w:r w:rsidRPr="00736D2F">
        <w:rPr>
          <w:szCs w:val="22"/>
          <w:lang w:val="lt-LT"/>
        </w:rPr>
        <w:t>onkologijos grupės (</w:t>
      </w:r>
      <w:r w:rsidRPr="00736D2F">
        <w:rPr>
          <w:i/>
          <w:szCs w:val="22"/>
          <w:lang w:val="lt-LT"/>
        </w:rPr>
        <w:t>Eastern Cooperative Oncology Group, ECOG</w:t>
      </w:r>
      <w:r w:rsidRPr="00736D2F">
        <w:rPr>
          <w:szCs w:val="22"/>
          <w:lang w:val="lt-LT"/>
        </w:rPr>
        <w:t>) funkcinės būklės įvertinimais nuo 0 iki 2. Ne</w:t>
      </w:r>
      <w:r w:rsidR="00866DB4">
        <w:rPr>
          <w:szCs w:val="22"/>
          <w:lang w:val="lt-LT"/>
        </w:rPr>
        <w:t>utrofilų</w:t>
      </w:r>
      <w:r w:rsidR="004D6C39">
        <w:rPr>
          <w:szCs w:val="22"/>
          <w:lang w:val="lt-LT"/>
        </w:rPr>
        <w:t>skaičius</w:t>
      </w:r>
      <w:r w:rsidR="00866DB4">
        <w:rPr>
          <w:szCs w:val="22"/>
          <w:lang w:val="lt-LT"/>
        </w:rPr>
        <w:t xml:space="preserve"> turėjo būti &gt; 1</w:t>
      </w:r>
      <w:r w:rsidRPr="00736D2F">
        <w:rPr>
          <w:szCs w:val="22"/>
          <w:lang w:val="lt-LT"/>
        </w:rPr>
        <w:t>500/mm</w:t>
      </w:r>
      <w:r w:rsidRPr="00736D2F">
        <w:rPr>
          <w:szCs w:val="22"/>
          <w:vertAlign w:val="superscript"/>
          <w:lang w:val="lt-LT"/>
        </w:rPr>
        <w:t>3</w:t>
      </w:r>
      <w:r w:rsidRPr="00736D2F">
        <w:rPr>
          <w:szCs w:val="22"/>
          <w:lang w:val="lt-LT"/>
        </w:rPr>
        <w:t xml:space="preserve">, trombocitų </w:t>
      </w:r>
      <w:r w:rsidR="004D6C39">
        <w:rPr>
          <w:szCs w:val="22"/>
          <w:lang w:val="lt-LT"/>
        </w:rPr>
        <w:t>skaičius</w:t>
      </w:r>
      <w:r w:rsidRPr="00736D2F">
        <w:rPr>
          <w:szCs w:val="22"/>
          <w:lang w:val="lt-LT"/>
        </w:rPr>
        <w:t>&gt; 100 000/mm</w:t>
      </w:r>
      <w:r w:rsidRPr="00736D2F">
        <w:rPr>
          <w:szCs w:val="22"/>
          <w:vertAlign w:val="superscript"/>
          <w:lang w:val="lt-LT"/>
        </w:rPr>
        <w:t>3</w:t>
      </w:r>
      <w:r w:rsidRPr="00736D2F">
        <w:rPr>
          <w:szCs w:val="22"/>
          <w:lang w:val="lt-LT"/>
        </w:rPr>
        <w:t xml:space="preserve">, hemoglobino </w:t>
      </w:r>
      <w:r w:rsidR="004D6C39">
        <w:rPr>
          <w:szCs w:val="22"/>
          <w:lang w:val="lt-LT"/>
        </w:rPr>
        <w:t>koncentracija</w:t>
      </w:r>
      <w:r w:rsidRPr="00736D2F">
        <w:rPr>
          <w:szCs w:val="22"/>
          <w:lang w:val="lt-LT"/>
        </w:rPr>
        <w:t xml:space="preserve"> &gt; 10 g/dl, kreatinino koncentracija &lt; 1,5 x VNR, bendrojo bilirubino koncentracija &lt; 1 x VNR, AST ir ALT </w:t>
      </w:r>
      <w:r w:rsidR="00AF5F80">
        <w:rPr>
          <w:szCs w:val="22"/>
          <w:lang w:val="lt-LT"/>
        </w:rPr>
        <w:t>aktyvumas</w:t>
      </w:r>
      <w:r w:rsidR="00AF5F80" w:rsidRPr="00736D2F">
        <w:rPr>
          <w:szCs w:val="22"/>
          <w:lang w:val="lt-LT"/>
        </w:rPr>
        <w:t xml:space="preserve"> </w:t>
      </w:r>
      <w:r w:rsidRPr="00736D2F">
        <w:rPr>
          <w:szCs w:val="22"/>
          <w:lang w:val="lt-LT"/>
        </w:rPr>
        <w:lastRenderedPageBreak/>
        <w:t>&lt; 1,5 x VNR. Į tyrimą nebuvo įtraukti pacientai, sirgę staziniu širdies nepakankamumu ar ištikti</w:t>
      </w:r>
      <w:r w:rsidR="00AF5F80">
        <w:rPr>
          <w:szCs w:val="22"/>
          <w:lang w:val="lt-LT"/>
        </w:rPr>
        <w:t xml:space="preserve"> miokardo</w:t>
      </w:r>
      <w:r w:rsidRPr="00736D2F">
        <w:rPr>
          <w:szCs w:val="22"/>
          <w:lang w:val="lt-LT"/>
        </w:rPr>
        <w:t xml:space="preserve"> infarkto paskutinių 6 mėnesių laikotarpiu, bei pacientai, sirgę nekontroliuojama širdies aritmija, krūtinės angina ir (arba) hipertenzija. </w:t>
      </w:r>
    </w:p>
    <w:p w14:paraId="0E6AA755" w14:textId="77777777" w:rsidR="00F24039" w:rsidRPr="00736D2F" w:rsidRDefault="00F24039" w:rsidP="00F24039">
      <w:pPr>
        <w:rPr>
          <w:szCs w:val="22"/>
          <w:lang w:val="lt-LT"/>
        </w:rPr>
      </w:pPr>
    </w:p>
    <w:p w14:paraId="2CA22060" w14:textId="77777777" w:rsidR="00F24039" w:rsidRPr="00736D2F" w:rsidRDefault="00F24039" w:rsidP="00F24039">
      <w:pPr>
        <w:rPr>
          <w:szCs w:val="22"/>
          <w:lang w:val="lt-LT"/>
        </w:rPr>
      </w:pPr>
      <w:r w:rsidRPr="00736D2F">
        <w:rPr>
          <w:szCs w:val="22"/>
          <w:lang w:val="lt-LT"/>
        </w:rPr>
        <w:t>Demografiniai duomenys, įskaitant amžių, rasę ir ECOG funkcinę būklę (nuo 0 iki 2), gydymo grupėse buvo panašūs. Kabazit</w:t>
      </w:r>
      <w:r w:rsidR="00AF5F80">
        <w:rPr>
          <w:szCs w:val="22"/>
          <w:lang w:val="lt-LT"/>
        </w:rPr>
        <w:t>a</w:t>
      </w:r>
      <w:r w:rsidRPr="00736D2F">
        <w:rPr>
          <w:szCs w:val="22"/>
          <w:lang w:val="lt-LT"/>
        </w:rPr>
        <w:t xml:space="preserve">kseliu gydytų pacientų vidutinis amžius buvo 68 metai (46-92 metai), 83,9 % pacientų buvo baltaodžiai, 6,9 % - azijiečiai / rytiečiai, 5,3 % - juodaodžiai, 4 % - kitokios rasės. </w:t>
      </w:r>
    </w:p>
    <w:p w14:paraId="62C0DB10" w14:textId="77777777" w:rsidR="00266A4D" w:rsidRPr="00736D2F" w:rsidRDefault="00266A4D" w:rsidP="00F24039">
      <w:pPr>
        <w:rPr>
          <w:szCs w:val="22"/>
          <w:lang w:val="lt-LT"/>
        </w:rPr>
      </w:pPr>
    </w:p>
    <w:p w14:paraId="1BA0ED00" w14:textId="77777777" w:rsidR="00F24039" w:rsidRPr="00736D2F" w:rsidRDefault="00F24039" w:rsidP="00F24039">
      <w:pPr>
        <w:rPr>
          <w:szCs w:val="22"/>
          <w:lang w:val="lt-LT"/>
        </w:rPr>
      </w:pPr>
      <w:r w:rsidRPr="00736D2F">
        <w:rPr>
          <w:szCs w:val="22"/>
          <w:lang w:val="lt-LT"/>
        </w:rPr>
        <w:t xml:space="preserve">Gydymo kursų skaičiaus mediana buvo 6 </w:t>
      </w:r>
      <w:r w:rsidR="00266A4D" w:rsidRPr="00736D2F">
        <w:rPr>
          <w:szCs w:val="22"/>
          <w:lang w:val="lt-LT"/>
        </w:rPr>
        <w:t>kabazitakseliu</w:t>
      </w:r>
      <w:r w:rsidRPr="00736D2F">
        <w:rPr>
          <w:szCs w:val="22"/>
          <w:lang w:val="lt-LT"/>
        </w:rPr>
        <w:t xml:space="preserve"> ir 4 mitoksantronu gydytų pacientų grupėse. Pacientų, kurie užbaigė tyrimo gydymą (</w:t>
      </w:r>
      <w:r w:rsidR="00266A4D" w:rsidRPr="00736D2F">
        <w:rPr>
          <w:szCs w:val="22"/>
          <w:lang w:val="lt-LT"/>
        </w:rPr>
        <w:t xml:space="preserve">10 kursų), buvo 29,4% ir 13,5% </w:t>
      </w:r>
      <w:r w:rsidRPr="00736D2F">
        <w:rPr>
          <w:szCs w:val="22"/>
          <w:lang w:val="lt-LT"/>
        </w:rPr>
        <w:t xml:space="preserve">atitinkamai </w:t>
      </w:r>
      <w:r w:rsidR="00266A4D" w:rsidRPr="00736D2F">
        <w:rPr>
          <w:szCs w:val="22"/>
          <w:lang w:val="lt-LT"/>
        </w:rPr>
        <w:t>kabazitakselio ir lyginamosios grupės pacientų</w:t>
      </w:r>
      <w:r w:rsidRPr="00736D2F">
        <w:rPr>
          <w:szCs w:val="22"/>
          <w:lang w:val="lt-LT"/>
        </w:rPr>
        <w:t xml:space="preserve">. </w:t>
      </w:r>
    </w:p>
    <w:p w14:paraId="07B0D9F7" w14:textId="77777777" w:rsidR="00F24039" w:rsidRPr="00736D2F" w:rsidRDefault="00F24039" w:rsidP="00F24039">
      <w:pPr>
        <w:rPr>
          <w:szCs w:val="22"/>
          <w:lang w:val="lt-LT"/>
        </w:rPr>
      </w:pPr>
    </w:p>
    <w:p w14:paraId="26A69EB7" w14:textId="77777777" w:rsidR="00F24039" w:rsidRPr="00736D2F" w:rsidRDefault="00F24039" w:rsidP="00F24039">
      <w:pPr>
        <w:rPr>
          <w:szCs w:val="22"/>
          <w:lang w:val="lt-LT"/>
        </w:rPr>
      </w:pPr>
      <w:r w:rsidRPr="00736D2F">
        <w:rPr>
          <w:szCs w:val="22"/>
          <w:lang w:val="lt-LT"/>
        </w:rPr>
        <w:t xml:space="preserve">Kabazitakseliu gydytų pacientų bendrasis išgyvenamumas buvo reikšmingai ilgesnis nei mitoksantrono vartojusių pacientų (atitinkamai 15,1 mėnesio ir 12,7 mėnesio), o mirties rizika sumažėjo 30 %, palyginti su mitoksantronu gydytų pacientų (žr. 3 lentelę ir 1 paveikslą). </w:t>
      </w:r>
    </w:p>
    <w:p w14:paraId="61239EFB" w14:textId="77777777" w:rsidR="00F24039" w:rsidRPr="00736D2F" w:rsidRDefault="00F24039" w:rsidP="00F24039">
      <w:pPr>
        <w:rPr>
          <w:szCs w:val="22"/>
          <w:lang w:val="lt-LT"/>
        </w:rPr>
      </w:pPr>
    </w:p>
    <w:p w14:paraId="2E96EE7B" w14:textId="77777777" w:rsidR="00F24039" w:rsidRPr="00736D2F" w:rsidRDefault="00F24039" w:rsidP="00F24039">
      <w:pPr>
        <w:rPr>
          <w:szCs w:val="22"/>
          <w:lang w:val="lt-LT"/>
        </w:rPr>
      </w:pPr>
      <w:r w:rsidRPr="00736D2F">
        <w:rPr>
          <w:szCs w:val="22"/>
          <w:lang w:val="lt-LT"/>
        </w:rPr>
        <w:t xml:space="preserve">Pogrupyje, kurį sudarė 59 pacientai, vartoto docetakselio kumuliacinė dozė buvo &lt; 225 mg/m² (29 pacientai gydyti kabazitakseliu, kitoje grupėje - 30 mitoksantronu). Bendrasis šių grupių pacientų išgyvenamumas reikšmingai nesiskyrė (RS (95 %PI) 0,96 (0,49-1,86)). </w:t>
      </w:r>
    </w:p>
    <w:p w14:paraId="6F47C2B7" w14:textId="77777777" w:rsidR="00163693" w:rsidRPr="00736D2F" w:rsidRDefault="00163693" w:rsidP="00F24039">
      <w:pPr>
        <w:rPr>
          <w:szCs w:val="22"/>
          <w:lang w:val="lt-LT"/>
        </w:rPr>
      </w:pPr>
    </w:p>
    <w:p w14:paraId="2F05E51C" w14:textId="08CE081F" w:rsidR="00F24039" w:rsidRPr="00736D2F" w:rsidRDefault="00F24039" w:rsidP="00F24039">
      <w:pPr>
        <w:rPr>
          <w:szCs w:val="22"/>
          <w:lang w:val="lt-LT"/>
        </w:rPr>
      </w:pPr>
      <w:r w:rsidRPr="00736D2F">
        <w:rPr>
          <w:szCs w:val="22"/>
          <w:lang w:val="lt-LT"/>
        </w:rPr>
        <w:t>3 lentelė. Kabazitakselio efektyvumas tyrimo EFC6193 metu gydant kastracij</w:t>
      </w:r>
      <w:r w:rsidR="00AF5F80">
        <w:rPr>
          <w:szCs w:val="22"/>
          <w:lang w:val="lt-LT"/>
        </w:rPr>
        <w:t>ai</w:t>
      </w:r>
      <w:r w:rsidRPr="00736D2F">
        <w:rPr>
          <w:szCs w:val="22"/>
          <w:lang w:val="lt-LT"/>
        </w:rPr>
        <w:t xml:space="preserve"> </w:t>
      </w:r>
      <w:r w:rsidR="00AF5F80">
        <w:rPr>
          <w:szCs w:val="22"/>
          <w:lang w:val="lt-LT"/>
        </w:rPr>
        <w:t>atspariu</w:t>
      </w:r>
      <w:r w:rsidRPr="00736D2F">
        <w:rPr>
          <w:szCs w:val="22"/>
          <w:lang w:val="lt-LT"/>
        </w:rPr>
        <w:t xml:space="preserve"> metastazavusiu prostatos vėžiu sergančius pacientus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260"/>
        <w:gridCol w:w="3118"/>
      </w:tblGrid>
      <w:tr w:rsidR="00F24039" w:rsidRPr="00736D2F" w14:paraId="120B3AB9" w14:textId="77777777" w:rsidTr="00866DB4">
        <w:tc>
          <w:tcPr>
            <w:tcW w:w="3261" w:type="dxa"/>
            <w:tcBorders>
              <w:left w:val="nil"/>
              <w:bottom w:val="single" w:sz="4" w:space="0" w:color="auto"/>
              <w:right w:val="nil"/>
            </w:tcBorders>
            <w:shd w:val="clear" w:color="auto" w:fill="auto"/>
          </w:tcPr>
          <w:p w14:paraId="10333C1D" w14:textId="77777777" w:rsidR="00F24039" w:rsidRPr="00736D2F" w:rsidRDefault="00F24039" w:rsidP="00163693">
            <w:pPr>
              <w:keepNext/>
              <w:tabs>
                <w:tab w:val="center" w:pos="567"/>
              </w:tabs>
              <w:spacing w:line="240" w:lineRule="auto"/>
              <w:ind w:right="503"/>
              <w:contextualSpacing/>
              <w:rPr>
                <w:szCs w:val="22"/>
                <w:lang w:val="lt-LT"/>
              </w:rPr>
            </w:pPr>
          </w:p>
        </w:tc>
        <w:tc>
          <w:tcPr>
            <w:tcW w:w="3260" w:type="dxa"/>
            <w:tcBorders>
              <w:left w:val="nil"/>
              <w:bottom w:val="single" w:sz="4" w:space="0" w:color="auto"/>
              <w:right w:val="nil"/>
            </w:tcBorders>
            <w:shd w:val="clear" w:color="auto" w:fill="auto"/>
          </w:tcPr>
          <w:p w14:paraId="1895EF51" w14:textId="77777777" w:rsidR="00736D2F" w:rsidRDefault="00F24039" w:rsidP="00866DB4">
            <w:pPr>
              <w:keepNext/>
              <w:tabs>
                <w:tab w:val="clear" w:pos="567"/>
              </w:tabs>
              <w:spacing w:line="240" w:lineRule="auto"/>
              <w:contextualSpacing/>
              <w:rPr>
                <w:szCs w:val="22"/>
                <w:lang w:val="lt-LT"/>
              </w:rPr>
            </w:pPr>
            <w:r w:rsidRPr="00736D2F">
              <w:rPr>
                <w:b/>
                <w:szCs w:val="22"/>
                <w:lang w:val="lt-LT"/>
              </w:rPr>
              <w:t>Kabazitakselis + prednizonas</w:t>
            </w:r>
            <w:r w:rsidRPr="00736D2F">
              <w:rPr>
                <w:szCs w:val="22"/>
                <w:lang w:val="lt-LT"/>
              </w:rPr>
              <w:t xml:space="preserve"> </w:t>
            </w:r>
          </w:p>
          <w:p w14:paraId="4B0AB48A" w14:textId="77777777" w:rsidR="00F24039" w:rsidRPr="00736D2F" w:rsidRDefault="00F24039" w:rsidP="00163693">
            <w:pPr>
              <w:keepNext/>
              <w:tabs>
                <w:tab w:val="clear" w:pos="567"/>
              </w:tabs>
              <w:spacing w:line="240" w:lineRule="auto"/>
              <w:contextualSpacing/>
              <w:jc w:val="center"/>
              <w:rPr>
                <w:szCs w:val="22"/>
                <w:lang w:val="lt-LT"/>
              </w:rPr>
            </w:pPr>
            <w:r w:rsidRPr="00736D2F">
              <w:rPr>
                <w:b/>
                <w:szCs w:val="22"/>
                <w:lang w:val="lt-LT"/>
              </w:rPr>
              <w:t>n=378</w:t>
            </w:r>
          </w:p>
        </w:tc>
        <w:tc>
          <w:tcPr>
            <w:tcW w:w="3118" w:type="dxa"/>
            <w:tcBorders>
              <w:left w:val="nil"/>
              <w:bottom w:val="single" w:sz="4" w:space="0" w:color="auto"/>
              <w:right w:val="nil"/>
            </w:tcBorders>
            <w:shd w:val="clear" w:color="auto" w:fill="auto"/>
          </w:tcPr>
          <w:p w14:paraId="74BD0239" w14:textId="77777777" w:rsidR="00F24039" w:rsidRPr="00736D2F" w:rsidRDefault="00F24039" w:rsidP="00866DB4">
            <w:pPr>
              <w:keepNext/>
              <w:tabs>
                <w:tab w:val="left" w:pos="0"/>
                <w:tab w:val="center" w:pos="567"/>
              </w:tabs>
              <w:spacing w:line="240" w:lineRule="auto"/>
              <w:ind w:left="-251" w:firstLine="142"/>
              <w:contextualSpacing/>
              <w:jc w:val="center"/>
              <w:rPr>
                <w:szCs w:val="22"/>
                <w:lang w:val="lt-LT"/>
              </w:rPr>
            </w:pPr>
            <w:r w:rsidRPr="00736D2F">
              <w:rPr>
                <w:b/>
                <w:szCs w:val="22"/>
                <w:lang w:val="lt-LT"/>
              </w:rPr>
              <w:t>Mitoksantronas + </w:t>
            </w:r>
            <w:r w:rsidR="00866DB4">
              <w:rPr>
                <w:b/>
                <w:szCs w:val="22"/>
                <w:lang w:val="lt-LT"/>
              </w:rPr>
              <w:t>p</w:t>
            </w:r>
            <w:r w:rsidRPr="00736D2F">
              <w:rPr>
                <w:b/>
                <w:szCs w:val="22"/>
                <w:lang w:val="lt-LT"/>
              </w:rPr>
              <w:t>rednizon</w:t>
            </w:r>
            <w:r w:rsidR="00866DB4">
              <w:rPr>
                <w:b/>
                <w:szCs w:val="22"/>
                <w:lang w:val="lt-LT"/>
              </w:rPr>
              <w:t>as</w:t>
            </w:r>
            <w:r w:rsidR="00736D2F">
              <w:rPr>
                <w:b/>
                <w:szCs w:val="22"/>
                <w:lang w:val="lt-LT"/>
              </w:rPr>
              <w:t xml:space="preserve"> </w:t>
            </w:r>
            <w:r w:rsidRPr="00736D2F">
              <w:rPr>
                <w:b/>
                <w:szCs w:val="22"/>
                <w:lang w:val="lt-LT"/>
              </w:rPr>
              <w:t>n=377</w:t>
            </w:r>
          </w:p>
        </w:tc>
      </w:tr>
      <w:tr w:rsidR="00F24039" w:rsidRPr="00736D2F" w14:paraId="4BBB35F0" w14:textId="77777777" w:rsidTr="00866DB4">
        <w:tc>
          <w:tcPr>
            <w:tcW w:w="3261" w:type="dxa"/>
            <w:tcBorders>
              <w:left w:val="nil"/>
              <w:bottom w:val="nil"/>
              <w:right w:val="nil"/>
            </w:tcBorders>
            <w:shd w:val="clear" w:color="auto" w:fill="auto"/>
          </w:tcPr>
          <w:p w14:paraId="53D881FB" w14:textId="77777777" w:rsidR="00F24039" w:rsidRPr="00736D2F" w:rsidRDefault="00F24039" w:rsidP="00163693">
            <w:pPr>
              <w:keepNext/>
              <w:tabs>
                <w:tab w:val="center" w:pos="567"/>
              </w:tabs>
              <w:spacing w:line="240" w:lineRule="auto"/>
              <w:ind w:right="503"/>
              <w:contextualSpacing/>
              <w:rPr>
                <w:b/>
                <w:szCs w:val="22"/>
                <w:lang w:val="lt-LT"/>
              </w:rPr>
            </w:pPr>
            <w:r w:rsidRPr="00736D2F">
              <w:rPr>
                <w:b/>
                <w:szCs w:val="22"/>
                <w:lang w:val="lt-LT"/>
              </w:rPr>
              <w:t>Bendrasis išgyvenamumas</w:t>
            </w:r>
          </w:p>
        </w:tc>
        <w:tc>
          <w:tcPr>
            <w:tcW w:w="3260" w:type="dxa"/>
            <w:tcBorders>
              <w:left w:val="nil"/>
              <w:bottom w:val="nil"/>
              <w:right w:val="nil"/>
            </w:tcBorders>
            <w:shd w:val="clear" w:color="auto" w:fill="auto"/>
          </w:tcPr>
          <w:p w14:paraId="33FF4B8F" w14:textId="77777777" w:rsidR="00F24039" w:rsidRPr="00736D2F" w:rsidRDefault="00F24039" w:rsidP="00163693">
            <w:pPr>
              <w:keepNext/>
              <w:tabs>
                <w:tab w:val="center" w:pos="567"/>
              </w:tabs>
              <w:spacing w:line="240" w:lineRule="auto"/>
              <w:contextualSpacing/>
              <w:jc w:val="center"/>
              <w:rPr>
                <w:szCs w:val="22"/>
                <w:lang w:val="lt-LT"/>
              </w:rPr>
            </w:pPr>
          </w:p>
        </w:tc>
        <w:tc>
          <w:tcPr>
            <w:tcW w:w="3118" w:type="dxa"/>
            <w:tcBorders>
              <w:left w:val="nil"/>
              <w:bottom w:val="nil"/>
              <w:right w:val="nil"/>
            </w:tcBorders>
            <w:shd w:val="clear" w:color="auto" w:fill="auto"/>
          </w:tcPr>
          <w:p w14:paraId="64026A77" w14:textId="77777777" w:rsidR="00F24039" w:rsidRPr="00736D2F" w:rsidRDefault="00F24039" w:rsidP="00163693">
            <w:pPr>
              <w:keepNext/>
              <w:tabs>
                <w:tab w:val="clear" w:pos="567"/>
              </w:tabs>
              <w:spacing w:line="240" w:lineRule="auto"/>
              <w:ind w:right="-108"/>
              <w:contextualSpacing/>
              <w:jc w:val="center"/>
              <w:rPr>
                <w:szCs w:val="22"/>
                <w:lang w:val="lt-LT"/>
              </w:rPr>
            </w:pPr>
          </w:p>
        </w:tc>
      </w:tr>
      <w:tr w:rsidR="00F24039" w:rsidRPr="00736D2F" w14:paraId="4EFC4B74" w14:textId="77777777" w:rsidTr="00866DB4">
        <w:tc>
          <w:tcPr>
            <w:tcW w:w="3261" w:type="dxa"/>
            <w:tcBorders>
              <w:top w:val="nil"/>
              <w:left w:val="nil"/>
              <w:bottom w:val="nil"/>
              <w:right w:val="nil"/>
            </w:tcBorders>
            <w:shd w:val="clear" w:color="auto" w:fill="auto"/>
          </w:tcPr>
          <w:p w14:paraId="681128CD" w14:textId="77777777" w:rsidR="00F24039" w:rsidRPr="00736D2F" w:rsidRDefault="00F24039" w:rsidP="00163693">
            <w:pPr>
              <w:keepNext/>
              <w:tabs>
                <w:tab w:val="center" w:pos="567"/>
              </w:tabs>
              <w:spacing w:line="240" w:lineRule="auto"/>
              <w:ind w:right="-108"/>
              <w:contextualSpacing/>
              <w:rPr>
                <w:szCs w:val="22"/>
                <w:lang w:val="lt-LT"/>
              </w:rPr>
            </w:pPr>
            <w:r w:rsidRPr="00736D2F">
              <w:rPr>
                <w:szCs w:val="22"/>
                <w:lang w:val="lt-LT"/>
              </w:rPr>
              <w:t>Mirusių pacientų skaičius (%)</w:t>
            </w:r>
          </w:p>
        </w:tc>
        <w:tc>
          <w:tcPr>
            <w:tcW w:w="3260" w:type="dxa"/>
            <w:tcBorders>
              <w:top w:val="nil"/>
              <w:left w:val="nil"/>
              <w:bottom w:val="nil"/>
              <w:right w:val="nil"/>
            </w:tcBorders>
            <w:shd w:val="clear" w:color="auto" w:fill="auto"/>
          </w:tcPr>
          <w:p w14:paraId="755740E6" w14:textId="77777777" w:rsidR="00F24039" w:rsidRPr="00736D2F" w:rsidRDefault="00F24039" w:rsidP="00163693">
            <w:pPr>
              <w:keepNext/>
              <w:tabs>
                <w:tab w:val="center" w:pos="567"/>
              </w:tabs>
              <w:spacing w:line="240" w:lineRule="auto"/>
              <w:contextualSpacing/>
              <w:jc w:val="center"/>
              <w:rPr>
                <w:szCs w:val="22"/>
                <w:lang w:val="lt-LT"/>
              </w:rPr>
            </w:pPr>
            <w:r w:rsidRPr="00736D2F">
              <w:rPr>
                <w:szCs w:val="22"/>
                <w:lang w:val="lt-LT"/>
              </w:rPr>
              <w:t>234 (61,9 %)</w:t>
            </w:r>
          </w:p>
        </w:tc>
        <w:tc>
          <w:tcPr>
            <w:tcW w:w="3118" w:type="dxa"/>
            <w:tcBorders>
              <w:top w:val="nil"/>
              <w:left w:val="nil"/>
              <w:bottom w:val="nil"/>
              <w:right w:val="nil"/>
            </w:tcBorders>
            <w:shd w:val="clear" w:color="auto" w:fill="auto"/>
          </w:tcPr>
          <w:p w14:paraId="2F619E22" w14:textId="77777777" w:rsidR="00F24039" w:rsidRPr="00736D2F" w:rsidRDefault="00F24039" w:rsidP="00163693">
            <w:pPr>
              <w:keepNext/>
              <w:tabs>
                <w:tab w:val="clear" w:pos="567"/>
              </w:tabs>
              <w:spacing w:line="240" w:lineRule="auto"/>
              <w:ind w:right="-108"/>
              <w:contextualSpacing/>
              <w:jc w:val="center"/>
              <w:rPr>
                <w:szCs w:val="22"/>
                <w:lang w:val="lt-LT"/>
              </w:rPr>
            </w:pPr>
            <w:r w:rsidRPr="00736D2F">
              <w:rPr>
                <w:szCs w:val="22"/>
                <w:lang w:val="lt-LT"/>
              </w:rPr>
              <w:t>279 (74 %)</w:t>
            </w:r>
          </w:p>
        </w:tc>
      </w:tr>
      <w:tr w:rsidR="00F24039" w:rsidRPr="00736D2F" w14:paraId="0BCCDAC7" w14:textId="77777777" w:rsidTr="00866DB4">
        <w:tc>
          <w:tcPr>
            <w:tcW w:w="3261" w:type="dxa"/>
            <w:tcBorders>
              <w:top w:val="nil"/>
              <w:left w:val="nil"/>
              <w:bottom w:val="nil"/>
              <w:right w:val="nil"/>
            </w:tcBorders>
            <w:shd w:val="clear" w:color="auto" w:fill="auto"/>
          </w:tcPr>
          <w:p w14:paraId="3FE77775" w14:textId="77777777" w:rsidR="00F24039" w:rsidRPr="00736D2F" w:rsidRDefault="00F24039" w:rsidP="00163693">
            <w:pPr>
              <w:keepNext/>
              <w:tabs>
                <w:tab w:val="center" w:pos="567"/>
              </w:tabs>
              <w:spacing w:line="240" w:lineRule="auto"/>
              <w:ind w:right="-108"/>
              <w:contextualSpacing/>
              <w:rPr>
                <w:szCs w:val="22"/>
                <w:lang w:val="lt-LT"/>
              </w:rPr>
            </w:pPr>
            <w:r w:rsidRPr="00736D2F">
              <w:rPr>
                <w:szCs w:val="22"/>
                <w:lang w:val="lt-LT"/>
              </w:rPr>
              <w:t>Išgyven</w:t>
            </w:r>
            <w:r w:rsidR="00736D2F">
              <w:rPr>
                <w:szCs w:val="22"/>
                <w:lang w:val="lt-LT"/>
              </w:rPr>
              <w:t>amumo mediana (mėnesiai) (95 % </w:t>
            </w:r>
            <w:r w:rsidRPr="00736D2F">
              <w:rPr>
                <w:szCs w:val="22"/>
                <w:lang w:val="lt-LT"/>
              </w:rPr>
              <w:t>PI)</w:t>
            </w:r>
          </w:p>
        </w:tc>
        <w:tc>
          <w:tcPr>
            <w:tcW w:w="3260" w:type="dxa"/>
            <w:tcBorders>
              <w:top w:val="nil"/>
              <w:left w:val="nil"/>
              <w:bottom w:val="nil"/>
              <w:right w:val="nil"/>
            </w:tcBorders>
            <w:shd w:val="clear" w:color="auto" w:fill="auto"/>
          </w:tcPr>
          <w:p w14:paraId="2DDEA6EF" w14:textId="77777777" w:rsidR="00F24039" w:rsidRPr="00736D2F" w:rsidRDefault="00F24039" w:rsidP="00163693">
            <w:pPr>
              <w:keepNext/>
              <w:tabs>
                <w:tab w:val="center" w:pos="567"/>
              </w:tabs>
              <w:spacing w:line="240" w:lineRule="auto"/>
              <w:contextualSpacing/>
              <w:jc w:val="center"/>
              <w:rPr>
                <w:szCs w:val="22"/>
                <w:lang w:val="lt-LT"/>
              </w:rPr>
            </w:pPr>
          </w:p>
          <w:p w14:paraId="51B6FA16" w14:textId="77777777" w:rsidR="00F24039" w:rsidRPr="00736D2F" w:rsidRDefault="00F24039" w:rsidP="00163693">
            <w:pPr>
              <w:keepNext/>
              <w:tabs>
                <w:tab w:val="center" w:pos="567"/>
              </w:tabs>
              <w:spacing w:line="240" w:lineRule="auto"/>
              <w:contextualSpacing/>
              <w:jc w:val="center"/>
              <w:rPr>
                <w:szCs w:val="22"/>
                <w:lang w:val="lt-LT"/>
              </w:rPr>
            </w:pPr>
            <w:r w:rsidRPr="00736D2F">
              <w:rPr>
                <w:szCs w:val="22"/>
                <w:lang w:val="lt-LT"/>
              </w:rPr>
              <w:t>15,1 (14,1</w:t>
            </w:r>
            <w:r w:rsidRPr="00736D2F">
              <w:rPr>
                <w:szCs w:val="22"/>
                <w:lang w:val="lt-LT"/>
              </w:rPr>
              <w:noBreakHyphen/>
              <w:t>16,3)</w:t>
            </w:r>
          </w:p>
        </w:tc>
        <w:tc>
          <w:tcPr>
            <w:tcW w:w="3118" w:type="dxa"/>
            <w:tcBorders>
              <w:top w:val="nil"/>
              <w:left w:val="nil"/>
              <w:bottom w:val="nil"/>
              <w:right w:val="nil"/>
            </w:tcBorders>
            <w:shd w:val="clear" w:color="auto" w:fill="auto"/>
          </w:tcPr>
          <w:p w14:paraId="73A500F8" w14:textId="77777777" w:rsidR="00F24039" w:rsidRPr="00736D2F" w:rsidRDefault="00F24039" w:rsidP="00163693">
            <w:pPr>
              <w:keepNext/>
              <w:tabs>
                <w:tab w:val="clear" w:pos="567"/>
              </w:tabs>
              <w:spacing w:line="240" w:lineRule="auto"/>
              <w:ind w:right="-108"/>
              <w:contextualSpacing/>
              <w:jc w:val="center"/>
              <w:rPr>
                <w:szCs w:val="22"/>
                <w:lang w:val="lt-LT"/>
              </w:rPr>
            </w:pPr>
          </w:p>
          <w:p w14:paraId="1C232847" w14:textId="77777777" w:rsidR="00F24039" w:rsidRPr="00736D2F" w:rsidRDefault="00F24039" w:rsidP="00163693">
            <w:pPr>
              <w:keepNext/>
              <w:tabs>
                <w:tab w:val="clear" w:pos="567"/>
              </w:tabs>
              <w:spacing w:line="240" w:lineRule="auto"/>
              <w:ind w:right="-108"/>
              <w:contextualSpacing/>
              <w:jc w:val="center"/>
              <w:rPr>
                <w:szCs w:val="22"/>
                <w:lang w:val="lt-LT"/>
              </w:rPr>
            </w:pPr>
            <w:r w:rsidRPr="00736D2F">
              <w:rPr>
                <w:szCs w:val="22"/>
                <w:lang w:val="lt-LT"/>
              </w:rPr>
              <w:t>12,7 (11,6-13,7)</w:t>
            </w:r>
          </w:p>
        </w:tc>
      </w:tr>
      <w:tr w:rsidR="00F24039" w:rsidRPr="00736D2F" w14:paraId="6A38DCB7" w14:textId="77777777" w:rsidTr="00866DB4">
        <w:tc>
          <w:tcPr>
            <w:tcW w:w="3261" w:type="dxa"/>
            <w:tcBorders>
              <w:top w:val="nil"/>
              <w:left w:val="nil"/>
              <w:bottom w:val="nil"/>
              <w:right w:val="nil"/>
            </w:tcBorders>
            <w:shd w:val="clear" w:color="auto" w:fill="auto"/>
          </w:tcPr>
          <w:p w14:paraId="4CF1B37F" w14:textId="77777777" w:rsidR="00866DB4" w:rsidRDefault="00866DB4" w:rsidP="00163693">
            <w:pPr>
              <w:keepNext/>
              <w:tabs>
                <w:tab w:val="center" w:pos="567"/>
              </w:tabs>
              <w:spacing w:line="240" w:lineRule="auto"/>
              <w:ind w:right="318"/>
              <w:contextualSpacing/>
              <w:rPr>
                <w:szCs w:val="22"/>
                <w:lang w:val="lt-LT"/>
              </w:rPr>
            </w:pPr>
          </w:p>
          <w:p w14:paraId="6F7FF99B" w14:textId="77777777" w:rsidR="00F24039" w:rsidRPr="00736D2F" w:rsidRDefault="00F24039" w:rsidP="00866DB4">
            <w:pPr>
              <w:keepNext/>
              <w:tabs>
                <w:tab w:val="center" w:pos="567"/>
                <w:tab w:val="left" w:pos="2730"/>
              </w:tabs>
              <w:spacing w:line="240" w:lineRule="auto"/>
              <w:ind w:right="318"/>
              <w:contextualSpacing/>
              <w:rPr>
                <w:szCs w:val="22"/>
                <w:lang w:val="lt-LT"/>
              </w:rPr>
            </w:pPr>
            <w:r w:rsidRPr="00736D2F">
              <w:rPr>
                <w:szCs w:val="22"/>
                <w:lang w:val="lt-LT"/>
              </w:rPr>
              <w:t>Rizikos santykis (RS)</w:t>
            </w:r>
            <w:r w:rsidRPr="00736D2F">
              <w:rPr>
                <w:szCs w:val="22"/>
                <w:vertAlign w:val="superscript"/>
                <w:lang w:val="lt-LT"/>
              </w:rPr>
              <w:t>1</w:t>
            </w:r>
            <w:r w:rsidRPr="00736D2F">
              <w:rPr>
                <w:szCs w:val="22"/>
                <w:lang w:val="lt-LT"/>
              </w:rPr>
              <w:t xml:space="preserve"> (95 % PI)</w:t>
            </w:r>
          </w:p>
        </w:tc>
        <w:tc>
          <w:tcPr>
            <w:tcW w:w="6378" w:type="dxa"/>
            <w:gridSpan w:val="2"/>
            <w:tcBorders>
              <w:top w:val="nil"/>
              <w:left w:val="nil"/>
              <w:bottom w:val="nil"/>
              <w:right w:val="nil"/>
            </w:tcBorders>
            <w:shd w:val="clear" w:color="auto" w:fill="auto"/>
          </w:tcPr>
          <w:p w14:paraId="1B97B3C9" w14:textId="77777777" w:rsidR="00F24039" w:rsidRPr="00736D2F" w:rsidRDefault="00F24039" w:rsidP="00163693">
            <w:pPr>
              <w:keepNext/>
              <w:tabs>
                <w:tab w:val="center" w:pos="567"/>
              </w:tabs>
              <w:spacing w:line="240" w:lineRule="auto"/>
              <w:contextualSpacing/>
              <w:jc w:val="center"/>
              <w:rPr>
                <w:szCs w:val="22"/>
                <w:lang w:val="lt-LT"/>
              </w:rPr>
            </w:pPr>
          </w:p>
          <w:p w14:paraId="25D8DEE4" w14:textId="77777777" w:rsidR="00866DB4" w:rsidRDefault="00866DB4" w:rsidP="00163693">
            <w:pPr>
              <w:keepNext/>
              <w:tabs>
                <w:tab w:val="center" w:pos="567"/>
              </w:tabs>
              <w:spacing w:line="240" w:lineRule="auto"/>
              <w:contextualSpacing/>
              <w:jc w:val="center"/>
              <w:rPr>
                <w:szCs w:val="22"/>
                <w:lang w:val="lt-LT"/>
              </w:rPr>
            </w:pPr>
          </w:p>
          <w:p w14:paraId="0BEBA580" w14:textId="77777777" w:rsidR="00F24039" w:rsidRPr="00736D2F" w:rsidRDefault="00F24039" w:rsidP="00163693">
            <w:pPr>
              <w:keepNext/>
              <w:tabs>
                <w:tab w:val="center" w:pos="567"/>
              </w:tabs>
              <w:spacing w:line="240" w:lineRule="auto"/>
              <w:contextualSpacing/>
              <w:jc w:val="center"/>
              <w:rPr>
                <w:szCs w:val="22"/>
                <w:lang w:val="lt-LT"/>
              </w:rPr>
            </w:pPr>
            <w:r w:rsidRPr="00736D2F">
              <w:rPr>
                <w:szCs w:val="22"/>
                <w:lang w:val="lt-LT"/>
              </w:rPr>
              <w:t>0,70 (0,59-0,83)</w:t>
            </w:r>
          </w:p>
        </w:tc>
      </w:tr>
      <w:tr w:rsidR="00F24039" w:rsidRPr="00736D2F" w14:paraId="16EB64D8" w14:textId="77777777" w:rsidTr="00866DB4">
        <w:tc>
          <w:tcPr>
            <w:tcW w:w="3261" w:type="dxa"/>
            <w:tcBorders>
              <w:top w:val="nil"/>
              <w:left w:val="nil"/>
              <w:bottom w:val="single" w:sz="4" w:space="0" w:color="auto"/>
              <w:right w:val="nil"/>
            </w:tcBorders>
            <w:shd w:val="clear" w:color="auto" w:fill="auto"/>
          </w:tcPr>
          <w:p w14:paraId="227841AF" w14:textId="77777777" w:rsidR="00F24039" w:rsidRPr="00736D2F" w:rsidRDefault="00F24039" w:rsidP="00163693">
            <w:pPr>
              <w:keepNext/>
              <w:tabs>
                <w:tab w:val="center" w:pos="567"/>
              </w:tabs>
              <w:spacing w:line="240" w:lineRule="auto"/>
              <w:ind w:right="503"/>
              <w:contextualSpacing/>
              <w:rPr>
                <w:szCs w:val="22"/>
                <w:lang w:val="lt-LT"/>
              </w:rPr>
            </w:pPr>
            <w:r w:rsidRPr="00736D2F">
              <w:rPr>
                <w:szCs w:val="22"/>
                <w:lang w:val="lt-LT"/>
              </w:rPr>
              <w:t>p reikšmė</w:t>
            </w:r>
          </w:p>
        </w:tc>
        <w:tc>
          <w:tcPr>
            <w:tcW w:w="6378" w:type="dxa"/>
            <w:gridSpan w:val="2"/>
            <w:tcBorders>
              <w:top w:val="nil"/>
              <w:left w:val="nil"/>
              <w:bottom w:val="single" w:sz="4" w:space="0" w:color="auto"/>
              <w:right w:val="nil"/>
            </w:tcBorders>
            <w:shd w:val="clear" w:color="auto" w:fill="auto"/>
          </w:tcPr>
          <w:p w14:paraId="7A7C8AF2" w14:textId="77777777" w:rsidR="00F24039" w:rsidRPr="00736D2F" w:rsidRDefault="00F24039" w:rsidP="00163693">
            <w:pPr>
              <w:keepNext/>
              <w:tabs>
                <w:tab w:val="center" w:pos="567"/>
              </w:tabs>
              <w:spacing w:line="240" w:lineRule="auto"/>
              <w:contextualSpacing/>
              <w:jc w:val="center"/>
              <w:rPr>
                <w:szCs w:val="22"/>
                <w:lang w:val="lt-LT"/>
              </w:rPr>
            </w:pPr>
            <w:r w:rsidRPr="00736D2F">
              <w:rPr>
                <w:szCs w:val="22"/>
                <w:lang w:val="lt-LT"/>
              </w:rPr>
              <w:t>&lt; 0,0001</w:t>
            </w:r>
          </w:p>
        </w:tc>
      </w:tr>
    </w:tbl>
    <w:p w14:paraId="5F8880EB" w14:textId="77777777" w:rsidR="00F24039" w:rsidRPr="00736D2F" w:rsidRDefault="00F24039" w:rsidP="00F24039">
      <w:pPr>
        <w:rPr>
          <w:szCs w:val="22"/>
          <w:lang w:val="lt-LT"/>
        </w:rPr>
      </w:pPr>
      <w:r w:rsidRPr="00736D2F">
        <w:rPr>
          <w:szCs w:val="22"/>
          <w:vertAlign w:val="superscript"/>
          <w:lang w:val="lt-LT"/>
        </w:rPr>
        <w:t>1</w:t>
      </w:r>
      <w:r w:rsidRPr="00736D2F">
        <w:rPr>
          <w:szCs w:val="22"/>
          <w:lang w:val="lt-LT"/>
        </w:rPr>
        <w:t xml:space="preserve">RS vertintas naudojant Cox modelį; rizikos santykis mažiau kaip 1 kabazitakselio naudai </w:t>
      </w:r>
    </w:p>
    <w:p w14:paraId="12C69808" w14:textId="77777777" w:rsidR="00F24039" w:rsidRPr="00736D2F" w:rsidRDefault="00F24039" w:rsidP="00F24039">
      <w:pPr>
        <w:rPr>
          <w:szCs w:val="22"/>
          <w:lang w:val="lt-LT"/>
        </w:rPr>
      </w:pPr>
    </w:p>
    <w:p w14:paraId="67C32A85" w14:textId="77777777" w:rsidR="00266A4D" w:rsidRPr="00736D2F" w:rsidRDefault="00266A4D" w:rsidP="00F24039">
      <w:pPr>
        <w:rPr>
          <w:szCs w:val="22"/>
          <w:lang w:val="lt-LT"/>
        </w:rPr>
      </w:pPr>
    </w:p>
    <w:p w14:paraId="45431253" w14:textId="77777777" w:rsidR="00F24039" w:rsidRPr="00736D2F" w:rsidRDefault="00F24039" w:rsidP="00F24039">
      <w:pPr>
        <w:rPr>
          <w:szCs w:val="22"/>
          <w:lang w:val="lt-LT"/>
        </w:rPr>
      </w:pPr>
      <w:r w:rsidRPr="00736D2F">
        <w:rPr>
          <w:szCs w:val="22"/>
          <w:lang w:val="lt-LT"/>
        </w:rPr>
        <w:t>1 paveikslas. Kaplan Meier bendrojo išgyvenamumo kreivės (EFC6193)</w:t>
      </w:r>
    </w:p>
    <w:p w14:paraId="3922C41B" w14:textId="77777777" w:rsidR="00F24039" w:rsidRPr="00736D2F" w:rsidRDefault="00F24039" w:rsidP="00F24039">
      <w:pPr>
        <w:rPr>
          <w:szCs w:val="22"/>
          <w:lang w:val="lt-LT"/>
        </w:rPr>
      </w:pPr>
    </w:p>
    <w:p w14:paraId="05CA245E" w14:textId="77777777" w:rsidR="00F24039" w:rsidRPr="00736D2F" w:rsidRDefault="00F24039" w:rsidP="004C2671">
      <w:pPr>
        <w:tabs>
          <w:tab w:val="center" w:pos="567"/>
        </w:tabs>
        <w:spacing w:line="240" w:lineRule="auto"/>
        <w:contextualSpacing/>
        <w:rPr>
          <w:szCs w:val="22"/>
          <w:lang w:val="lt-LT"/>
        </w:rPr>
      </w:pPr>
    </w:p>
    <w:p w14:paraId="36E1D47C" w14:textId="77777777" w:rsidR="00F777F7" w:rsidRPr="00736D2F" w:rsidRDefault="00F777F7" w:rsidP="004D555B">
      <w:pPr>
        <w:tabs>
          <w:tab w:val="center" w:pos="567"/>
        </w:tabs>
        <w:spacing w:line="240" w:lineRule="auto"/>
        <w:contextualSpacing/>
        <w:rPr>
          <w:szCs w:val="22"/>
          <w:lang w:val="lt-LT"/>
        </w:rPr>
      </w:pPr>
      <w:r w:rsidRPr="00736D2F">
        <w:rPr>
          <w:noProof/>
          <w:szCs w:val="22"/>
          <w:lang w:val="lt-LT" w:eastAsia="lt-LT"/>
        </w:rPr>
        <w:lastRenderedPageBreak/>
        <w:drawing>
          <wp:inline distT="0" distB="0" distL="0" distR="0" wp14:anchorId="6E25608C" wp14:editId="2AF5C230">
            <wp:extent cx="6022232" cy="45233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260" cy="4530860"/>
                    </a:xfrm>
                    <a:prstGeom prst="rect">
                      <a:avLst/>
                    </a:prstGeom>
                    <a:noFill/>
                    <a:ln>
                      <a:noFill/>
                    </a:ln>
                  </pic:spPr>
                </pic:pic>
              </a:graphicData>
            </a:graphic>
          </wp:inline>
        </w:drawing>
      </w:r>
    </w:p>
    <w:p w14:paraId="10A16494" w14:textId="77777777" w:rsidR="00F777F7" w:rsidRPr="00736D2F" w:rsidRDefault="00F777F7" w:rsidP="004D555B">
      <w:pPr>
        <w:tabs>
          <w:tab w:val="center" w:pos="567"/>
        </w:tabs>
        <w:spacing w:line="240" w:lineRule="auto"/>
        <w:contextualSpacing/>
        <w:rPr>
          <w:szCs w:val="22"/>
          <w:lang w:val="lt-LT"/>
        </w:rPr>
      </w:pPr>
    </w:p>
    <w:p w14:paraId="1A9C38D7" w14:textId="77777777" w:rsidR="003163AE" w:rsidRPr="00736D2F" w:rsidRDefault="00163693" w:rsidP="004D555B">
      <w:pPr>
        <w:tabs>
          <w:tab w:val="center" w:pos="567"/>
        </w:tabs>
        <w:spacing w:line="240" w:lineRule="auto"/>
        <w:contextualSpacing/>
        <w:rPr>
          <w:lang w:val="lt-LT"/>
        </w:rPr>
      </w:pPr>
      <w:r w:rsidRPr="00736D2F">
        <w:rPr>
          <w:lang w:val="lt-LT"/>
        </w:rPr>
        <w:t xml:space="preserve">IBLP </w:t>
      </w:r>
      <w:r w:rsidR="003163AE" w:rsidRPr="00736D2F">
        <w:rPr>
          <w:lang w:val="lt-LT"/>
        </w:rPr>
        <w:t>kabazitakselio</w:t>
      </w:r>
      <w:r w:rsidRPr="00736D2F">
        <w:rPr>
          <w:lang w:val="lt-LT"/>
        </w:rPr>
        <w:t xml:space="preserve"> vartojusiųjų grupėje buvo geresnis nei mitoksantrono vartojusiųjų grupėje, atitinkamai 2,8 (2,4-3,0) mėnesio ir 1,4 (1,4-1,7) mėnesio, RS (95</w:t>
      </w:r>
      <w:r w:rsidR="003163AE" w:rsidRPr="00736D2F">
        <w:rPr>
          <w:lang w:val="lt-LT"/>
        </w:rPr>
        <w:t> % PI) 0,74 (0,64-0,86), p  &lt; </w:t>
      </w:r>
      <w:r w:rsidRPr="00736D2F">
        <w:rPr>
          <w:lang w:val="lt-LT"/>
        </w:rPr>
        <w:t xml:space="preserve">0,0001. </w:t>
      </w:r>
    </w:p>
    <w:p w14:paraId="763D56FC" w14:textId="77777777" w:rsidR="003163AE" w:rsidRPr="00736D2F" w:rsidRDefault="003163AE" w:rsidP="004D555B">
      <w:pPr>
        <w:tabs>
          <w:tab w:val="center" w:pos="567"/>
        </w:tabs>
        <w:spacing w:line="240" w:lineRule="auto"/>
        <w:contextualSpacing/>
        <w:rPr>
          <w:lang w:val="lt-LT"/>
        </w:rPr>
      </w:pPr>
    </w:p>
    <w:p w14:paraId="2A3EFB4F" w14:textId="77777777" w:rsidR="003163AE" w:rsidRPr="00736D2F" w:rsidRDefault="003163AE" w:rsidP="004D555B">
      <w:pPr>
        <w:tabs>
          <w:tab w:val="center" w:pos="567"/>
        </w:tabs>
        <w:spacing w:line="240" w:lineRule="auto"/>
        <w:contextualSpacing/>
        <w:rPr>
          <w:lang w:val="lt-LT"/>
        </w:rPr>
      </w:pPr>
      <w:r w:rsidRPr="00736D2F">
        <w:rPr>
          <w:lang w:val="lt-LT"/>
        </w:rPr>
        <w:t>Naviko atsako dažnis buvo reikšmingai didesnis kabazitakseliu gydytiems pacientams nei mitoksantrono vartojusiems pacientams: atitinkamai 14,4 % (95 % PI: 9,6-19,3) ir 4,4 % (95 % PI: 1,6- 7,2), p = 0,0005.</w:t>
      </w:r>
    </w:p>
    <w:p w14:paraId="4D3BBF9E" w14:textId="77777777" w:rsidR="003163AE" w:rsidRPr="00736D2F" w:rsidRDefault="003163AE" w:rsidP="004D555B">
      <w:pPr>
        <w:tabs>
          <w:tab w:val="center" w:pos="567"/>
        </w:tabs>
        <w:spacing w:line="240" w:lineRule="auto"/>
        <w:contextualSpacing/>
        <w:rPr>
          <w:lang w:val="lt-LT"/>
        </w:rPr>
      </w:pPr>
    </w:p>
    <w:p w14:paraId="0832F9E7" w14:textId="77777777" w:rsidR="003163AE" w:rsidRPr="00736D2F" w:rsidRDefault="00163693" w:rsidP="004D555B">
      <w:pPr>
        <w:tabs>
          <w:tab w:val="center" w:pos="567"/>
        </w:tabs>
        <w:spacing w:line="240" w:lineRule="auto"/>
        <w:contextualSpacing/>
        <w:rPr>
          <w:lang w:val="lt-LT"/>
        </w:rPr>
      </w:pPr>
      <w:r w:rsidRPr="00736D2F">
        <w:rPr>
          <w:lang w:val="lt-LT"/>
        </w:rPr>
        <w:t xml:space="preserve">Antrinių PSA vertinamųjų baigčių analizė parodė palankesnius rezultatus </w:t>
      </w:r>
      <w:r w:rsidR="003163AE" w:rsidRPr="00736D2F">
        <w:rPr>
          <w:lang w:val="lt-LT"/>
        </w:rPr>
        <w:t>kabazitakseliu</w:t>
      </w:r>
      <w:r w:rsidRPr="00736D2F">
        <w:rPr>
          <w:lang w:val="lt-LT"/>
        </w:rPr>
        <w:t xml:space="preserve"> gydytų pacientų grupėje. PSA progresavimo mediana buvo 6,4 mėnesio (95</w:t>
      </w:r>
      <w:r w:rsidR="003163AE" w:rsidRPr="00736D2F">
        <w:rPr>
          <w:lang w:val="lt-LT"/>
        </w:rPr>
        <w:t> </w:t>
      </w:r>
      <w:r w:rsidRPr="00736D2F">
        <w:rPr>
          <w:lang w:val="lt-LT"/>
        </w:rPr>
        <w:t xml:space="preserve">% PI: 5,1-7,3) </w:t>
      </w:r>
      <w:r w:rsidR="003163AE" w:rsidRPr="00736D2F">
        <w:rPr>
          <w:lang w:val="lt-LT"/>
        </w:rPr>
        <w:t>kabazitakselio</w:t>
      </w:r>
      <w:r w:rsidRPr="00736D2F">
        <w:rPr>
          <w:lang w:val="lt-LT"/>
        </w:rPr>
        <w:t xml:space="preserve"> vartojusiems pacientams ir 3,1 mėnesio (95</w:t>
      </w:r>
      <w:r w:rsidR="003163AE" w:rsidRPr="00736D2F">
        <w:rPr>
          <w:lang w:val="lt-LT"/>
        </w:rPr>
        <w:t> </w:t>
      </w:r>
      <w:r w:rsidRPr="00736D2F">
        <w:rPr>
          <w:lang w:val="lt-LT"/>
        </w:rPr>
        <w:t>% PI: 2,2-4,4) mitoksantrono vartojusiems pacientams, RS 0,75 mėnesio (95</w:t>
      </w:r>
      <w:r w:rsidR="003163AE" w:rsidRPr="00736D2F">
        <w:rPr>
          <w:lang w:val="lt-LT"/>
        </w:rPr>
        <w:t> </w:t>
      </w:r>
      <w:r w:rsidRPr="00736D2F">
        <w:rPr>
          <w:lang w:val="lt-LT"/>
        </w:rPr>
        <w:t>% PI 0,63-0,90), p</w:t>
      </w:r>
      <w:r w:rsidR="003163AE" w:rsidRPr="00736D2F">
        <w:rPr>
          <w:lang w:val="lt-LT"/>
        </w:rPr>
        <w:t> </w:t>
      </w:r>
      <w:r w:rsidRPr="00736D2F">
        <w:rPr>
          <w:lang w:val="lt-LT"/>
        </w:rPr>
        <w:t>=</w:t>
      </w:r>
      <w:r w:rsidR="003163AE" w:rsidRPr="00736D2F">
        <w:rPr>
          <w:lang w:val="lt-LT"/>
        </w:rPr>
        <w:t> </w:t>
      </w:r>
      <w:r w:rsidRPr="00736D2F">
        <w:rPr>
          <w:lang w:val="lt-LT"/>
        </w:rPr>
        <w:t>0,0010. PSA reakcija buvo 39,2</w:t>
      </w:r>
      <w:r w:rsidR="003163AE" w:rsidRPr="00736D2F">
        <w:rPr>
          <w:lang w:val="lt-LT"/>
        </w:rPr>
        <w:t> </w:t>
      </w:r>
      <w:r w:rsidRPr="00736D2F">
        <w:rPr>
          <w:lang w:val="lt-LT"/>
        </w:rPr>
        <w:t xml:space="preserve">% </w:t>
      </w:r>
      <w:r w:rsidR="003163AE" w:rsidRPr="00736D2F">
        <w:rPr>
          <w:lang w:val="lt-LT"/>
        </w:rPr>
        <w:t>kabazitakseliu</w:t>
      </w:r>
      <w:r w:rsidRPr="00736D2F">
        <w:rPr>
          <w:lang w:val="lt-LT"/>
        </w:rPr>
        <w:t xml:space="preserve"> gydytiems pacientams (95</w:t>
      </w:r>
      <w:r w:rsidR="003163AE" w:rsidRPr="00736D2F">
        <w:rPr>
          <w:lang w:val="lt-LT"/>
        </w:rPr>
        <w:t> </w:t>
      </w:r>
      <w:r w:rsidRPr="00736D2F">
        <w:rPr>
          <w:lang w:val="lt-LT"/>
        </w:rPr>
        <w:t>% PI: 33,9-44,5) ir 17,8</w:t>
      </w:r>
      <w:r w:rsidR="003163AE" w:rsidRPr="00736D2F">
        <w:rPr>
          <w:lang w:val="lt-LT"/>
        </w:rPr>
        <w:t> </w:t>
      </w:r>
      <w:r w:rsidRPr="00736D2F">
        <w:rPr>
          <w:lang w:val="lt-LT"/>
        </w:rPr>
        <w:t>% mitoksantrono vartojusiems pacientams (95</w:t>
      </w:r>
      <w:r w:rsidR="003163AE" w:rsidRPr="00736D2F">
        <w:rPr>
          <w:lang w:val="lt-LT"/>
        </w:rPr>
        <w:t> </w:t>
      </w:r>
      <w:r w:rsidRPr="00736D2F">
        <w:rPr>
          <w:lang w:val="lt-LT"/>
        </w:rPr>
        <w:t>% PI: 13,7-22,0), p</w:t>
      </w:r>
      <w:r w:rsidR="003163AE" w:rsidRPr="00736D2F">
        <w:rPr>
          <w:lang w:val="lt-LT"/>
        </w:rPr>
        <w:t> </w:t>
      </w:r>
      <w:r w:rsidRPr="00736D2F">
        <w:rPr>
          <w:lang w:val="lt-LT"/>
        </w:rPr>
        <w:t>=</w:t>
      </w:r>
      <w:r w:rsidR="003163AE" w:rsidRPr="00736D2F">
        <w:rPr>
          <w:lang w:val="lt-LT"/>
        </w:rPr>
        <w:t> </w:t>
      </w:r>
      <w:r w:rsidRPr="00736D2F">
        <w:rPr>
          <w:lang w:val="lt-LT"/>
        </w:rPr>
        <w:t xml:space="preserve">0,0002. Vertinant skausmo progresavimą ir skausmo reakciją, statistiškai reikšmingo skirtumo tarp gydymo grupių nebuvo. </w:t>
      </w:r>
    </w:p>
    <w:p w14:paraId="26A9BCCE" w14:textId="77777777" w:rsidR="003163AE" w:rsidRPr="00736D2F" w:rsidRDefault="003163AE" w:rsidP="004D555B">
      <w:pPr>
        <w:tabs>
          <w:tab w:val="center" w:pos="567"/>
        </w:tabs>
        <w:spacing w:line="240" w:lineRule="auto"/>
        <w:contextualSpacing/>
        <w:rPr>
          <w:lang w:val="lt-LT"/>
        </w:rPr>
      </w:pPr>
    </w:p>
    <w:p w14:paraId="58BCF2EA" w14:textId="7FAA5B2E" w:rsidR="003163AE" w:rsidRPr="00736D2F" w:rsidRDefault="00163693" w:rsidP="004D555B">
      <w:pPr>
        <w:tabs>
          <w:tab w:val="center" w:pos="567"/>
        </w:tabs>
        <w:spacing w:line="240" w:lineRule="auto"/>
        <w:contextualSpacing/>
        <w:rPr>
          <w:lang w:val="lt-LT"/>
        </w:rPr>
      </w:pPr>
      <w:r w:rsidRPr="00736D2F">
        <w:rPr>
          <w:lang w:val="lt-LT"/>
        </w:rPr>
        <w:t>Ne</w:t>
      </w:r>
      <w:r w:rsidR="003163AE" w:rsidRPr="00736D2F">
        <w:rPr>
          <w:lang w:val="lt-LT"/>
        </w:rPr>
        <w:t>mažesnio reikšmingumo</w:t>
      </w:r>
      <w:r w:rsidR="00AB4777" w:rsidRPr="00736D2F">
        <w:rPr>
          <w:lang w:val="lt-LT"/>
        </w:rPr>
        <w:t xml:space="preserve"> (</w:t>
      </w:r>
      <w:r w:rsidR="00AF5F80">
        <w:rPr>
          <w:lang w:val="lt-LT"/>
        </w:rPr>
        <w:t xml:space="preserve">angl. </w:t>
      </w:r>
      <w:r w:rsidR="00AB4777" w:rsidRPr="00736D2F">
        <w:rPr>
          <w:i/>
          <w:lang w:val="lt-LT"/>
        </w:rPr>
        <w:t>non inferiority</w:t>
      </w:r>
      <w:r w:rsidR="00AB4777" w:rsidRPr="00736D2F">
        <w:rPr>
          <w:lang w:val="lt-LT"/>
        </w:rPr>
        <w:t>)</w:t>
      </w:r>
      <w:r w:rsidRPr="00736D2F">
        <w:rPr>
          <w:lang w:val="lt-LT"/>
        </w:rPr>
        <w:t>, daugiacentriame, daugianacionaliniame, atsitiktinių imčių, atvirame III fazės tyrime (EFC11785 tyrime) 1200 pacientų, sergančių kastracij</w:t>
      </w:r>
      <w:r w:rsidR="00AF5F80">
        <w:rPr>
          <w:lang w:val="lt-LT"/>
        </w:rPr>
        <w:t>ai</w:t>
      </w:r>
      <w:r w:rsidRPr="00736D2F">
        <w:rPr>
          <w:lang w:val="lt-LT"/>
        </w:rPr>
        <w:t xml:space="preserve"> </w:t>
      </w:r>
      <w:r w:rsidR="00AF5F80">
        <w:rPr>
          <w:lang w:val="lt-LT"/>
        </w:rPr>
        <w:t>atspariu</w:t>
      </w:r>
      <w:r w:rsidRPr="00736D2F">
        <w:rPr>
          <w:lang w:val="lt-LT"/>
        </w:rPr>
        <w:t xml:space="preserve"> metastazavusiu prostatos vėžiu ir jau gydytų taikant gydymo schemą, kai vienas iš vartojamų vaistinių preparatų yra docetakselis, buvo </w:t>
      </w:r>
      <w:r w:rsidR="003163AE" w:rsidRPr="00736D2F">
        <w:rPr>
          <w:lang w:val="lt-LT"/>
        </w:rPr>
        <w:t xml:space="preserve">atsitiktinai </w:t>
      </w:r>
      <w:r w:rsidRPr="00736D2F">
        <w:rPr>
          <w:lang w:val="lt-LT"/>
        </w:rPr>
        <w:t xml:space="preserve">suskirstyti į </w:t>
      </w:r>
      <w:r w:rsidR="003163AE" w:rsidRPr="00736D2F">
        <w:rPr>
          <w:lang w:val="lt-LT"/>
        </w:rPr>
        <w:t>imtis ir vartojo 25 </w:t>
      </w:r>
      <w:r w:rsidRPr="00736D2F">
        <w:rPr>
          <w:lang w:val="lt-LT"/>
        </w:rPr>
        <w:t>mg/m</w:t>
      </w:r>
      <w:r w:rsidRPr="00736D2F">
        <w:rPr>
          <w:vertAlign w:val="superscript"/>
          <w:lang w:val="lt-LT"/>
        </w:rPr>
        <w:t>2</w:t>
      </w:r>
      <w:r w:rsidR="003163AE" w:rsidRPr="00736D2F">
        <w:rPr>
          <w:lang w:val="lt-LT"/>
        </w:rPr>
        <w:t xml:space="preserve"> (n=602) arba 20 </w:t>
      </w:r>
      <w:r w:rsidRPr="00736D2F">
        <w:rPr>
          <w:lang w:val="lt-LT"/>
        </w:rPr>
        <w:t>mg/m</w:t>
      </w:r>
      <w:r w:rsidRPr="00736D2F">
        <w:rPr>
          <w:vertAlign w:val="superscript"/>
          <w:lang w:val="lt-LT"/>
        </w:rPr>
        <w:t>2</w:t>
      </w:r>
      <w:r w:rsidRPr="00736D2F">
        <w:rPr>
          <w:lang w:val="lt-LT"/>
        </w:rPr>
        <w:t xml:space="preserve"> (n=598) kabazitakselio dozę. Pagrindinė veiksmingumo vertinamoji baigtis buvo bendrasis išgyvenamumas (BI). </w:t>
      </w:r>
    </w:p>
    <w:p w14:paraId="63BFF12B" w14:textId="77777777" w:rsidR="00AB4777" w:rsidRPr="00736D2F" w:rsidRDefault="00163693" w:rsidP="00AB4777">
      <w:pPr>
        <w:tabs>
          <w:tab w:val="center" w:pos="567"/>
        </w:tabs>
        <w:spacing w:line="240" w:lineRule="auto"/>
        <w:contextualSpacing/>
        <w:rPr>
          <w:lang w:val="lt-LT"/>
        </w:rPr>
      </w:pPr>
      <w:r w:rsidRPr="00736D2F">
        <w:rPr>
          <w:lang w:val="lt-LT"/>
        </w:rPr>
        <w:t>Tyrimo metu buvo pasiektas pagrindinis tikslas, t. y. buvo įrodytas 20</w:t>
      </w:r>
      <w:r w:rsidR="003163AE" w:rsidRPr="00736D2F">
        <w:rPr>
          <w:lang w:val="lt-LT"/>
        </w:rPr>
        <w:t> </w:t>
      </w:r>
      <w:r w:rsidRPr="00736D2F">
        <w:rPr>
          <w:lang w:val="lt-LT"/>
        </w:rPr>
        <w:t>mg/m</w:t>
      </w:r>
      <w:r w:rsidRPr="00736D2F">
        <w:rPr>
          <w:vertAlign w:val="superscript"/>
          <w:lang w:val="lt-LT"/>
        </w:rPr>
        <w:t>2</w:t>
      </w:r>
      <w:r w:rsidRPr="00736D2F">
        <w:rPr>
          <w:lang w:val="lt-LT"/>
        </w:rPr>
        <w:t xml:space="preserve"> kabazitakselio d</w:t>
      </w:r>
      <w:r w:rsidR="00AB4777" w:rsidRPr="00736D2F">
        <w:rPr>
          <w:lang w:val="lt-LT"/>
        </w:rPr>
        <w:t>ozės poveikio nenusileidimas 25 </w:t>
      </w:r>
      <w:r w:rsidRPr="00736D2F">
        <w:rPr>
          <w:lang w:val="lt-LT"/>
        </w:rPr>
        <w:t>mg/m</w:t>
      </w:r>
      <w:r w:rsidRPr="00736D2F">
        <w:rPr>
          <w:vertAlign w:val="superscript"/>
          <w:lang w:val="lt-LT"/>
        </w:rPr>
        <w:t>2</w:t>
      </w:r>
      <w:r w:rsidRPr="00736D2F">
        <w:rPr>
          <w:lang w:val="lt-LT"/>
        </w:rPr>
        <w:t xml:space="preserve"> dozės poveikiui (žr. 4 lentelę). Statistiškai reikšmingai didesnei procentinei daliai pacientų </w:t>
      </w:r>
      <w:r w:rsidR="00AB4777" w:rsidRPr="00736D2F">
        <w:rPr>
          <w:lang w:val="lt-LT"/>
        </w:rPr>
        <w:t>(p&lt; 0,001) PSA reakcija pasireiškė 25 mg/m</w:t>
      </w:r>
      <w:r w:rsidR="00AB4777" w:rsidRPr="00736D2F">
        <w:rPr>
          <w:vertAlign w:val="superscript"/>
          <w:lang w:val="lt-LT"/>
        </w:rPr>
        <w:t>2</w:t>
      </w:r>
      <w:r w:rsidR="00AB4777" w:rsidRPr="00736D2F">
        <w:rPr>
          <w:lang w:val="lt-LT"/>
        </w:rPr>
        <w:t xml:space="preserve"> grupėje (42,9 %), lyginant su 20  mg/m</w:t>
      </w:r>
      <w:r w:rsidR="00AB4777" w:rsidRPr="00736D2F">
        <w:rPr>
          <w:vertAlign w:val="superscript"/>
          <w:lang w:val="lt-LT"/>
        </w:rPr>
        <w:t>2</w:t>
      </w:r>
      <w:r w:rsidR="00AB4777" w:rsidRPr="00736D2F">
        <w:rPr>
          <w:lang w:val="lt-LT"/>
        </w:rPr>
        <w:t xml:space="preserve"> grupe (29,5 %). PSA progresavimo rizika buvo statistiškai reikšmingai didesnė 20 mg/m</w:t>
      </w:r>
      <w:r w:rsidR="00AB4777" w:rsidRPr="00736D2F">
        <w:rPr>
          <w:vertAlign w:val="superscript"/>
          <w:lang w:val="lt-LT"/>
        </w:rPr>
        <w:t xml:space="preserve">2 </w:t>
      </w:r>
      <w:r w:rsidR="00AB4777" w:rsidRPr="00736D2F">
        <w:rPr>
          <w:lang w:val="lt-LT"/>
        </w:rPr>
        <w:t xml:space="preserve">dozę </w:t>
      </w:r>
      <w:r w:rsidR="00AB4777" w:rsidRPr="00736D2F">
        <w:rPr>
          <w:lang w:val="lt-LT"/>
        </w:rPr>
        <w:lastRenderedPageBreak/>
        <w:t>vartojusiems pacientams, lyginant su 25 mg/m</w:t>
      </w:r>
      <w:r w:rsidR="00AB4777" w:rsidRPr="00736D2F">
        <w:rPr>
          <w:vertAlign w:val="superscript"/>
          <w:lang w:val="lt-LT"/>
        </w:rPr>
        <w:t>2</w:t>
      </w:r>
      <w:r w:rsidR="00AB4777" w:rsidRPr="00736D2F">
        <w:rPr>
          <w:lang w:val="lt-LT"/>
        </w:rPr>
        <w:t xml:space="preserve"> dozę var</w:t>
      </w:r>
      <w:r w:rsidR="00EE789A">
        <w:rPr>
          <w:lang w:val="lt-LT"/>
        </w:rPr>
        <w:t>tojusiais pacientais (RS 1,195;</w:t>
      </w:r>
      <w:r w:rsidR="00AB4777" w:rsidRPr="00736D2F">
        <w:rPr>
          <w:lang w:val="lt-LT"/>
        </w:rPr>
        <w:t xml:space="preserve">95 % </w:t>
      </w:r>
      <w:r w:rsidR="00EE789A">
        <w:rPr>
          <w:lang w:val="lt-LT"/>
        </w:rPr>
        <w:t> PI: </w:t>
      </w:r>
      <w:r w:rsidR="00AB4777" w:rsidRPr="00736D2F">
        <w:rPr>
          <w:lang w:val="lt-LT"/>
        </w:rPr>
        <w:t>1,025 - 1,393). Kitos antrinės vertinamosios baigtys (IBLP, naviko ir skausmo reakcija, naviko ir skausmo progresavimas bei keturios FACT-P subkategorijos) statistiškai reikšmingai nesiskyrė.</w:t>
      </w:r>
    </w:p>
    <w:p w14:paraId="5593E99E" w14:textId="77777777" w:rsidR="00AB4777" w:rsidRPr="00736D2F" w:rsidRDefault="00AB4777" w:rsidP="004D555B">
      <w:pPr>
        <w:tabs>
          <w:tab w:val="center" w:pos="567"/>
        </w:tabs>
        <w:spacing w:line="240" w:lineRule="auto"/>
        <w:contextualSpacing/>
        <w:rPr>
          <w:lang w:val="lt-LT"/>
        </w:rPr>
      </w:pPr>
    </w:p>
    <w:p w14:paraId="26763AED" w14:textId="77777777" w:rsidR="00AB4777" w:rsidRPr="00736D2F" w:rsidRDefault="00AB4777" w:rsidP="004D555B">
      <w:pPr>
        <w:tabs>
          <w:tab w:val="center" w:pos="567"/>
        </w:tabs>
        <w:spacing w:line="240" w:lineRule="auto"/>
        <w:contextualSpacing/>
        <w:rPr>
          <w:lang w:val="lt-LT"/>
        </w:rPr>
      </w:pPr>
      <w:r w:rsidRPr="00736D2F">
        <w:rPr>
          <w:lang w:val="lt-LT"/>
        </w:rPr>
        <w:t>4 lentelė. Bendrasis išgyvenamumas EFC11785 tyrimo metu 25 mg/m</w:t>
      </w:r>
      <w:r w:rsidRPr="00736D2F">
        <w:rPr>
          <w:vertAlign w:val="superscript"/>
          <w:lang w:val="lt-LT"/>
        </w:rPr>
        <w:t>2</w:t>
      </w:r>
      <w:r w:rsidRPr="00736D2F">
        <w:rPr>
          <w:lang w:val="lt-LT"/>
        </w:rPr>
        <w:t xml:space="preserve"> kabazitakselio dozės grupėje, palyginti su 20 mg/m</w:t>
      </w:r>
      <w:r w:rsidRPr="00736D2F">
        <w:rPr>
          <w:vertAlign w:val="superscript"/>
          <w:lang w:val="lt-LT"/>
        </w:rPr>
        <w:t>2</w:t>
      </w:r>
      <w:r w:rsidRPr="00736D2F">
        <w:rPr>
          <w:lang w:val="lt-LT"/>
        </w:rPr>
        <w:t xml:space="preserve"> kabazitakselio dozės grupe (</w:t>
      </w:r>
      <w:r w:rsidRPr="00736D2F">
        <w:rPr>
          <w:i/>
          <w:lang w:val="lt-LT"/>
        </w:rPr>
        <w:t>intent-to–treat</w:t>
      </w:r>
      <w:r w:rsidRPr="00736D2F">
        <w:rPr>
          <w:lang w:val="lt-LT"/>
        </w:rPr>
        <w:t xml:space="preserve"> analizė) – pagrindinė veiksmingumo vertinamoji baigtis</w:t>
      </w:r>
    </w:p>
    <w:p w14:paraId="20BF587D" w14:textId="77777777" w:rsidR="00B27D07" w:rsidRPr="00736D2F" w:rsidRDefault="00B27D07" w:rsidP="004D555B">
      <w:pPr>
        <w:tabs>
          <w:tab w:val="center" w:pos="567"/>
        </w:tabs>
        <w:spacing w:line="240" w:lineRule="auto"/>
        <w:contextualSpacing/>
        <w:rPr>
          <w:lang w:val="lt-LT"/>
        </w:rPr>
      </w:pPr>
    </w:p>
    <w:tbl>
      <w:tblPr>
        <w:tblW w:w="960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92"/>
        <w:gridCol w:w="2833"/>
        <w:gridCol w:w="2975"/>
      </w:tblGrid>
      <w:tr w:rsidR="00B0039C" w:rsidRPr="00736D2F" w14:paraId="54C90656" w14:textId="77777777" w:rsidTr="00B0039C">
        <w:tc>
          <w:tcPr>
            <w:tcW w:w="3792" w:type="dxa"/>
            <w:tcBorders>
              <w:top w:val="single" w:sz="4" w:space="0" w:color="auto"/>
              <w:left w:val="nil"/>
              <w:bottom w:val="single" w:sz="4" w:space="0" w:color="auto"/>
              <w:right w:val="nil"/>
            </w:tcBorders>
          </w:tcPr>
          <w:p w14:paraId="67B26456" w14:textId="77777777" w:rsidR="00B0039C" w:rsidRPr="00736D2F" w:rsidRDefault="00B0039C">
            <w:pPr>
              <w:tabs>
                <w:tab w:val="center" w:pos="567"/>
              </w:tabs>
              <w:spacing w:line="240" w:lineRule="auto"/>
              <w:ind w:right="503"/>
              <w:contextualSpacing/>
              <w:rPr>
                <w:szCs w:val="22"/>
                <w:lang w:val="lt-LT" w:eastAsia="de-DE"/>
              </w:rPr>
            </w:pPr>
          </w:p>
        </w:tc>
        <w:tc>
          <w:tcPr>
            <w:tcW w:w="2833" w:type="dxa"/>
            <w:tcBorders>
              <w:top w:val="single" w:sz="4" w:space="0" w:color="auto"/>
              <w:left w:val="nil"/>
              <w:bottom w:val="single" w:sz="4" w:space="0" w:color="auto"/>
              <w:right w:val="nil"/>
            </w:tcBorders>
            <w:hideMark/>
          </w:tcPr>
          <w:p w14:paraId="41C02889" w14:textId="77777777" w:rsidR="00B0039C" w:rsidRPr="00736D2F" w:rsidRDefault="00B0039C">
            <w:pPr>
              <w:tabs>
                <w:tab w:val="clear" w:pos="567"/>
                <w:tab w:val="left" w:pos="720"/>
              </w:tabs>
              <w:spacing w:line="240" w:lineRule="auto"/>
              <w:ind w:right="34"/>
              <w:contextualSpacing/>
              <w:jc w:val="center"/>
              <w:rPr>
                <w:b/>
                <w:szCs w:val="22"/>
                <w:lang w:val="lt-LT" w:eastAsia="de-DE"/>
              </w:rPr>
            </w:pPr>
            <w:r w:rsidRPr="00736D2F">
              <w:rPr>
                <w:b/>
                <w:szCs w:val="22"/>
                <w:lang w:val="lt-LT" w:eastAsia="de-DE"/>
              </w:rPr>
              <w:t>CBZ20+PRED</w:t>
            </w:r>
          </w:p>
          <w:p w14:paraId="03DFDBD3" w14:textId="77777777" w:rsidR="00B0039C" w:rsidRPr="00736D2F" w:rsidRDefault="00B0039C">
            <w:pPr>
              <w:tabs>
                <w:tab w:val="clear" w:pos="567"/>
                <w:tab w:val="left" w:pos="720"/>
              </w:tabs>
              <w:spacing w:line="240" w:lineRule="auto"/>
              <w:ind w:right="34"/>
              <w:contextualSpacing/>
              <w:jc w:val="center"/>
              <w:rPr>
                <w:szCs w:val="22"/>
                <w:lang w:val="lt-LT" w:eastAsia="de-DE"/>
              </w:rPr>
            </w:pPr>
            <w:r w:rsidRPr="00736D2F">
              <w:rPr>
                <w:b/>
                <w:szCs w:val="22"/>
                <w:lang w:val="lt-LT" w:eastAsia="de-DE"/>
              </w:rPr>
              <w:t>n=598</w:t>
            </w:r>
          </w:p>
        </w:tc>
        <w:tc>
          <w:tcPr>
            <w:tcW w:w="2975" w:type="dxa"/>
            <w:tcBorders>
              <w:top w:val="single" w:sz="4" w:space="0" w:color="auto"/>
              <w:left w:val="nil"/>
              <w:bottom w:val="single" w:sz="4" w:space="0" w:color="auto"/>
              <w:right w:val="nil"/>
            </w:tcBorders>
            <w:hideMark/>
          </w:tcPr>
          <w:p w14:paraId="3E00EF24" w14:textId="77777777" w:rsidR="00B0039C" w:rsidRPr="00736D2F" w:rsidRDefault="00B0039C">
            <w:pPr>
              <w:tabs>
                <w:tab w:val="center" w:pos="567"/>
              </w:tabs>
              <w:spacing w:line="240" w:lineRule="auto"/>
              <w:ind w:right="34"/>
              <w:contextualSpacing/>
              <w:jc w:val="center"/>
              <w:rPr>
                <w:b/>
                <w:szCs w:val="22"/>
                <w:lang w:val="lt-LT" w:eastAsia="de-DE"/>
              </w:rPr>
            </w:pPr>
            <w:r w:rsidRPr="00736D2F">
              <w:rPr>
                <w:b/>
                <w:szCs w:val="22"/>
                <w:lang w:val="lt-LT" w:eastAsia="de-DE"/>
              </w:rPr>
              <w:t>CBZ25+PRED</w:t>
            </w:r>
          </w:p>
          <w:p w14:paraId="44E3087A" w14:textId="77777777" w:rsidR="00B0039C" w:rsidRPr="00736D2F" w:rsidRDefault="00B0039C">
            <w:pPr>
              <w:tabs>
                <w:tab w:val="left" w:pos="34"/>
                <w:tab w:val="center" w:pos="567"/>
              </w:tabs>
              <w:spacing w:line="240" w:lineRule="auto"/>
              <w:ind w:right="34"/>
              <w:contextualSpacing/>
              <w:jc w:val="center"/>
              <w:rPr>
                <w:szCs w:val="22"/>
                <w:lang w:val="lt-LT" w:eastAsia="de-DE"/>
              </w:rPr>
            </w:pPr>
            <w:r w:rsidRPr="00736D2F">
              <w:rPr>
                <w:b/>
                <w:szCs w:val="22"/>
                <w:lang w:val="lt-LT" w:eastAsia="de-DE"/>
              </w:rPr>
              <w:t>n=602</w:t>
            </w:r>
          </w:p>
        </w:tc>
      </w:tr>
      <w:tr w:rsidR="00B0039C" w:rsidRPr="00736D2F" w14:paraId="1B21315B" w14:textId="77777777" w:rsidTr="00B0039C">
        <w:tc>
          <w:tcPr>
            <w:tcW w:w="3792" w:type="dxa"/>
            <w:tcBorders>
              <w:top w:val="single" w:sz="4" w:space="0" w:color="auto"/>
              <w:left w:val="nil"/>
              <w:bottom w:val="nil"/>
              <w:right w:val="nil"/>
            </w:tcBorders>
          </w:tcPr>
          <w:p w14:paraId="3F04FF2A" w14:textId="77777777" w:rsidR="00B0039C" w:rsidRPr="00736D2F" w:rsidRDefault="00B0039C">
            <w:pPr>
              <w:tabs>
                <w:tab w:val="center" w:pos="567"/>
              </w:tabs>
              <w:spacing w:line="240" w:lineRule="auto"/>
              <w:ind w:right="503"/>
              <w:contextualSpacing/>
              <w:rPr>
                <w:b/>
                <w:szCs w:val="22"/>
                <w:lang w:val="lt-LT" w:eastAsia="de-DE"/>
              </w:rPr>
            </w:pPr>
          </w:p>
        </w:tc>
        <w:tc>
          <w:tcPr>
            <w:tcW w:w="2833" w:type="dxa"/>
            <w:tcBorders>
              <w:top w:val="single" w:sz="4" w:space="0" w:color="auto"/>
              <w:left w:val="nil"/>
              <w:bottom w:val="nil"/>
              <w:right w:val="nil"/>
            </w:tcBorders>
          </w:tcPr>
          <w:p w14:paraId="3DBDB3A4" w14:textId="77777777" w:rsidR="00B0039C" w:rsidRPr="00736D2F" w:rsidRDefault="00B0039C">
            <w:pPr>
              <w:tabs>
                <w:tab w:val="clear" w:pos="567"/>
                <w:tab w:val="left" w:pos="720"/>
              </w:tabs>
              <w:spacing w:line="240" w:lineRule="auto"/>
              <w:jc w:val="center"/>
              <w:rPr>
                <w:szCs w:val="22"/>
                <w:lang w:val="lt-LT" w:eastAsia="de-DE"/>
              </w:rPr>
            </w:pPr>
          </w:p>
        </w:tc>
        <w:tc>
          <w:tcPr>
            <w:tcW w:w="2975" w:type="dxa"/>
            <w:tcBorders>
              <w:top w:val="single" w:sz="4" w:space="0" w:color="auto"/>
              <w:left w:val="nil"/>
              <w:bottom w:val="nil"/>
              <w:right w:val="nil"/>
            </w:tcBorders>
          </w:tcPr>
          <w:p w14:paraId="31A17C10" w14:textId="77777777" w:rsidR="00B0039C" w:rsidRPr="00736D2F" w:rsidRDefault="00B0039C">
            <w:pPr>
              <w:tabs>
                <w:tab w:val="center" w:pos="567"/>
              </w:tabs>
              <w:spacing w:line="240" w:lineRule="auto"/>
              <w:jc w:val="center"/>
              <w:rPr>
                <w:szCs w:val="22"/>
                <w:lang w:val="lt-LT" w:eastAsia="de-DE"/>
              </w:rPr>
            </w:pPr>
          </w:p>
        </w:tc>
      </w:tr>
      <w:tr w:rsidR="00B0039C" w:rsidRPr="00736D2F" w14:paraId="0205D340" w14:textId="77777777" w:rsidTr="00B0039C">
        <w:tc>
          <w:tcPr>
            <w:tcW w:w="3792" w:type="dxa"/>
            <w:tcBorders>
              <w:top w:val="nil"/>
              <w:left w:val="nil"/>
              <w:bottom w:val="nil"/>
              <w:right w:val="nil"/>
            </w:tcBorders>
          </w:tcPr>
          <w:p w14:paraId="636F24BB" w14:textId="77777777" w:rsidR="00B0039C" w:rsidRPr="00736D2F" w:rsidRDefault="00B0039C">
            <w:pPr>
              <w:tabs>
                <w:tab w:val="center" w:pos="567"/>
              </w:tabs>
              <w:spacing w:line="240" w:lineRule="auto"/>
              <w:ind w:right="-108"/>
              <w:contextualSpacing/>
              <w:rPr>
                <w:b/>
                <w:lang w:val="lt-LT"/>
              </w:rPr>
            </w:pPr>
            <w:r w:rsidRPr="00736D2F">
              <w:rPr>
                <w:b/>
                <w:lang w:val="lt-LT"/>
              </w:rPr>
              <w:t xml:space="preserve">Bendrasis išgyvenamumas </w:t>
            </w:r>
          </w:p>
          <w:p w14:paraId="39E10E5F" w14:textId="77777777" w:rsidR="00B0039C" w:rsidRPr="00736D2F" w:rsidRDefault="00B0039C">
            <w:pPr>
              <w:tabs>
                <w:tab w:val="center" w:pos="567"/>
              </w:tabs>
              <w:spacing w:line="240" w:lineRule="auto"/>
              <w:ind w:right="-108"/>
              <w:contextualSpacing/>
              <w:rPr>
                <w:szCs w:val="22"/>
                <w:lang w:val="lt-LT" w:eastAsia="de-DE"/>
              </w:rPr>
            </w:pPr>
            <w:r w:rsidRPr="00736D2F">
              <w:rPr>
                <w:lang w:val="lt-LT"/>
              </w:rPr>
              <w:t>Mirusių pacientų skaičius, n (%)</w:t>
            </w:r>
          </w:p>
        </w:tc>
        <w:tc>
          <w:tcPr>
            <w:tcW w:w="2833" w:type="dxa"/>
            <w:tcBorders>
              <w:top w:val="nil"/>
              <w:left w:val="nil"/>
              <w:bottom w:val="nil"/>
              <w:right w:val="nil"/>
            </w:tcBorders>
            <w:hideMark/>
          </w:tcPr>
          <w:p w14:paraId="09F136B2" w14:textId="77777777" w:rsidR="00B0039C" w:rsidRPr="00736D2F" w:rsidRDefault="00B0039C">
            <w:pPr>
              <w:tabs>
                <w:tab w:val="clear" w:pos="567"/>
                <w:tab w:val="left" w:pos="720"/>
              </w:tabs>
              <w:spacing w:line="240" w:lineRule="auto"/>
              <w:jc w:val="center"/>
              <w:rPr>
                <w:szCs w:val="22"/>
                <w:lang w:val="lt-LT" w:eastAsia="de-DE"/>
              </w:rPr>
            </w:pPr>
          </w:p>
          <w:p w14:paraId="05CBF886" w14:textId="77777777" w:rsidR="00B0039C" w:rsidRPr="00736D2F" w:rsidRDefault="00B0039C">
            <w:pPr>
              <w:tabs>
                <w:tab w:val="clear" w:pos="567"/>
                <w:tab w:val="left" w:pos="720"/>
              </w:tabs>
              <w:spacing w:line="240" w:lineRule="auto"/>
              <w:jc w:val="center"/>
              <w:rPr>
                <w:szCs w:val="22"/>
                <w:lang w:val="lt-LT" w:eastAsia="de-DE"/>
              </w:rPr>
            </w:pPr>
            <w:r w:rsidRPr="00736D2F">
              <w:rPr>
                <w:szCs w:val="22"/>
                <w:lang w:val="lt-LT" w:eastAsia="de-DE"/>
              </w:rPr>
              <w:t xml:space="preserve">497 </w:t>
            </w:r>
            <w:r w:rsidRPr="00736D2F">
              <w:rPr>
                <w:spacing w:val="1"/>
                <w:szCs w:val="22"/>
                <w:lang w:val="lt-LT" w:eastAsia="de-DE"/>
              </w:rPr>
              <w:t>(</w:t>
            </w:r>
            <w:r w:rsidRPr="00736D2F">
              <w:rPr>
                <w:szCs w:val="22"/>
                <w:lang w:val="lt-LT" w:eastAsia="de-DE"/>
              </w:rPr>
              <w:t>83</w:t>
            </w:r>
            <w:r w:rsidRPr="00736D2F">
              <w:rPr>
                <w:spacing w:val="-2"/>
                <w:szCs w:val="22"/>
                <w:lang w:val="lt-LT" w:eastAsia="de-DE"/>
              </w:rPr>
              <w:t>,</w:t>
            </w:r>
            <w:r w:rsidRPr="00736D2F">
              <w:rPr>
                <w:szCs w:val="22"/>
                <w:lang w:val="lt-LT" w:eastAsia="de-DE"/>
              </w:rPr>
              <w:t xml:space="preserve">1 </w:t>
            </w:r>
            <w:r w:rsidRPr="00736D2F">
              <w:rPr>
                <w:spacing w:val="-2"/>
                <w:szCs w:val="22"/>
                <w:lang w:val="lt-LT" w:eastAsia="de-DE"/>
              </w:rPr>
              <w:t>%</w:t>
            </w:r>
            <w:r w:rsidRPr="00736D2F">
              <w:rPr>
                <w:szCs w:val="22"/>
                <w:lang w:val="lt-LT" w:eastAsia="de-DE"/>
              </w:rPr>
              <w:t>)</w:t>
            </w:r>
          </w:p>
        </w:tc>
        <w:tc>
          <w:tcPr>
            <w:tcW w:w="2975" w:type="dxa"/>
            <w:tcBorders>
              <w:top w:val="nil"/>
              <w:left w:val="nil"/>
              <w:bottom w:val="nil"/>
              <w:right w:val="nil"/>
            </w:tcBorders>
            <w:hideMark/>
          </w:tcPr>
          <w:p w14:paraId="7D09E672" w14:textId="77777777" w:rsidR="00B0039C" w:rsidRPr="00736D2F" w:rsidRDefault="00B0039C">
            <w:pPr>
              <w:tabs>
                <w:tab w:val="center" w:pos="567"/>
              </w:tabs>
              <w:spacing w:line="240" w:lineRule="auto"/>
              <w:jc w:val="center"/>
              <w:rPr>
                <w:szCs w:val="22"/>
                <w:lang w:val="lt-LT" w:eastAsia="de-DE"/>
              </w:rPr>
            </w:pPr>
          </w:p>
          <w:p w14:paraId="7FDAA556"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 xml:space="preserve">501 </w:t>
            </w:r>
            <w:r w:rsidRPr="00736D2F">
              <w:rPr>
                <w:spacing w:val="1"/>
                <w:szCs w:val="22"/>
                <w:lang w:val="lt-LT" w:eastAsia="de-DE"/>
              </w:rPr>
              <w:t>(</w:t>
            </w:r>
            <w:r w:rsidRPr="00736D2F">
              <w:rPr>
                <w:szCs w:val="22"/>
                <w:lang w:val="lt-LT" w:eastAsia="de-DE"/>
              </w:rPr>
              <w:t>83</w:t>
            </w:r>
            <w:r w:rsidRPr="00736D2F">
              <w:rPr>
                <w:spacing w:val="-2"/>
                <w:szCs w:val="22"/>
                <w:lang w:val="lt-LT" w:eastAsia="de-DE"/>
              </w:rPr>
              <w:t>,</w:t>
            </w:r>
            <w:r w:rsidRPr="00736D2F">
              <w:rPr>
                <w:szCs w:val="22"/>
                <w:lang w:val="lt-LT" w:eastAsia="de-DE"/>
              </w:rPr>
              <w:t>2</w:t>
            </w:r>
            <w:r w:rsidRPr="00736D2F">
              <w:rPr>
                <w:spacing w:val="-2"/>
                <w:szCs w:val="22"/>
                <w:lang w:val="lt-LT" w:eastAsia="de-DE"/>
              </w:rPr>
              <w:t>%</w:t>
            </w:r>
            <w:r w:rsidRPr="00736D2F">
              <w:rPr>
                <w:szCs w:val="22"/>
                <w:lang w:val="lt-LT" w:eastAsia="de-DE"/>
              </w:rPr>
              <w:t>)</w:t>
            </w:r>
          </w:p>
        </w:tc>
      </w:tr>
      <w:tr w:rsidR="00B0039C" w:rsidRPr="00736D2F" w14:paraId="5DD9D610" w14:textId="77777777" w:rsidTr="00B0039C">
        <w:tc>
          <w:tcPr>
            <w:tcW w:w="3792" w:type="dxa"/>
            <w:tcBorders>
              <w:top w:val="nil"/>
              <w:left w:val="nil"/>
              <w:bottom w:val="nil"/>
              <w:right w:val="nil"/>
            </w:tcBorders>
            <w:hideMark/>
          </w:tcPr>
          <w:p w14:paraId="3485ED3B" w14:textId="77777777" w:rsidR="00B0039C" w:rsidRPr="00736D2F" w:rsidRDefault="00B0039C">
            <w:pPr>
              <w:tabs>
                <w:tab w:val="center" w:pos="567"/>
              </w:tabs>
              <w:spacing w:line="240" w:lineRule="auto"/>
              <w:ind w:right="-108"/>
              <w:contextualSpacing/>
              <w:rPr>
                <w:szCs w:val="22"/>
                <w:lang w:val="lt-LT" w:eastAsia="de-DE"/>
              </w:rPr>
            </w:pPr>
            <w:r w:rsidRPr="00736D2F">
              <w:rPr>
                <w:lang w:val="lt-LT"/>
              </w:rPr>
              <w:t>Išgyvenamumo mediana (95% PI) (mėnesiai)</w:t>
            </w:r>
          </w:p>
        </w:tc>
        <w:tc>
          <w:tcPr>
            <w:tcW w:w="2833" w:type="dxa"/>
            <w:tcBorders>
              <w:top w:val="nil"/>
              <w:left w:val="nil"/>
              <w:bottom w:val="nil"/>
              <w:right w:val="nil"/>
            </w:tcBorders>
            <w:hideMark/>
          </w:tcPr>
          <w:p w14:paraId="10EAC602" w14:textId="77777777" w:rsidR="00B0039C" w:rsidRPr="00736D2F" w:rsidRDefault="00B0039C">
            <w:pPr>
              <w:tabs>
                <w:tab w:val="clear" w:pos="567"/>
                <w:tab w:val="left" w:pos="2160"/>
              </w:tabs>
              <w:spacing w:line="240" w:lineRule="auto"/>
              <w:jc w:val="center"/>
              <w:rPr>
                <w:szCs w:val="22"/>
                <w:lang w:val="lt-LT" w:eastAsia="de-DE"/>
              </w:rPr>
            </w:pPr>
          </w:p>
          <w:p w14:paraId="19BAEF7B" w14:textId="77777777" w:rsidR="00B0039C" w:rsidRPr="00736D2F" w:rsidRDefault="00B0039C" w:rsidP="00B0039C">
            <w:pPr>
              <w:tabs>
                <w:tab w:val="clear" w:pos="567"/>
                <w:tab w:val="left" w:pos="2160"/>
              </w:tabs>
              <w:spacing w:line="240" w:lineRule="auto"/>
              <w:jc w:val="center"/>
              <w:rPr>
                <w:szCs w:val="22"/>
                <w:lang w:val="lt-LT" w:eastAsia="de-DE"/>
              </w:rPr>
            </w:pPr>
            <w:r w:rsidRPr="00736D2F">
              <w:rPr>
                <w:szCs w:val="22"/>
                <w:lang w:val="lt-LT" w:eastAsia="de-DE"/>
              </w:rPr>
              <w:t xml:space="preserve">13,4 </w:t>
            </w:r>
            <w:r w:rsidRPr="00736D2F">
              <w:rPr>
                <w:spacing w:val="1"/>
                <w:szCs w:val="22"/>
                <w:lang w:val="lt-LT" w:eastAsia="de-DE"/>
              </w:rPr>
              <w:t xml:space="preserve">(nuo </w:t>
            </w:r>
            <w:r w:rsidRPr="00736D2F">
              <w:rPr>
                <w:szCs w:val="22"/>
                <w:lang w:val="lt-LT" w:eastAsia="de-DE"/>
              </w:rPr>
              <w:t>1</w:t>
            </w:r>
            <w:r w:rsidRPr="00736D2F">
              <w:rPr>
                <w:spacing w:val="-2"/>
                <w:szCs w:val="22"/>
                <w:lang w:val="lt-LT" w:eastAsia="de-DE"/>
              </w:rPr>
              <w:t>2</w:t>
            </w:r>
            <w:r w:rsidRPr="00736D2F">
              <w:rPr>
                <w:szCs w:val="22"/>
                <w:lang w:val="lt-LT" w:eastAsia="de-DE"/>
              </w:rPr>
              <w:t>,19 iki 14.8</w:t>
            </w:r>
            <w:r w:rsidRPr="00736D2F">
              <w:rPr>
                <w:spacing w:val="-2"/>
                <w:szCs w:val="22"/>
                <w:lang w:val="lt-LT" w:eastAsia="de-DE"/>
              </w:rPr>
              <w:t>8</w:t>
            </w:r>
            <w:r w:rsidRPr="00736D2F">
              <w:rPr>
                <w:szCs w:val="22"/>
                <w:lang w:val="lt-LT" w:eastAsia="de-DE"/>
              </w:rPr>
              <w:t>)</w:t>
            </w:r>
          </w:p>
        </w:tc>
        <w:tc>
          <w:tcPr>
            <w:tcW w:w="2975" w:type="dxa"/>
            <w:tcBorders>
              <w:top w:val="nil"/>
              <w:left w:val="nil"/>
              <w:bottom w:val="nil"/>
              <w:right w:val="nil"/>
            </w:tcBorders>
            <w:hideMark/>
          </w:tcPr>
          <w:p w14:paraId="3381F05D" w14:textId="77777777" w:rsidR="00B0039C" w:rsidRPr="00736D2F" w:rsidRDefault="00B0039C">
            <w:pPr>
              <w:tabs>
                <w:tab w:val="center" w:pos="567"/>
              </w:tabs>
              <w:spacing w:line="240" w:lineRule="auto"/>
              <w:jc w:val="center"/>
              <w:rPr>
                <w:szCs w:val="22"/>
                <w:lang w:val="lt-LT" w:eastAsia="de-DE"/>
              </w:rPr>
            </w:pPr>
          </w:p>
          <w:p w14:paraId="1AEEFFD9" w14:textId="77777777" w:rsidR="00B0039C" w:rsidRPr="00736D2F" w:rsidRDefault="00B0039C" w:rsidP="00B0039C">
            <w:pPr>
              <w:tabs>
                <w:tab w:val="center" w:pos="567"/>
              </w:tabs>
              <w:spacing w:line="240" w:lineRule="auto"/>
              <w:jc w:val="center"/>
              <w:rPr>
                <w:szCs w:val="22"/>
                <w:lang w:val="lt-LT" w:eastAsia="de-DE"/>
              </w:rPr>
            </w:pPr>
            <w:r w:rsidRPr="00736D2F">
              <w:rPr>
                <w:szCs w:val="22"/>
                <w:lang w:val="lt-LT" w:eastAsia="de-DE"/>
              </w:rPr>
              <w:t xml:space="preserve">14,5 </w:t>
            </w:r>
            <w:r w:rsidRPr="00736D2F">
              <w:rPr>
                <w:spacing w:val="1"/>
                <w:szCs w:val="22"/>
                <w:lang w:val="lt-LT" w:eastAsia="de-DE"/>
              </w:rPr>
              <w:t xml:space="preserve">(nuo </w:t>
            </w:r>
            <w:r w:rsidRPr="00736D2F">
              <w:rPr>
                <w:szCs w:val="22"/>
                <w:lang w:val="lt-LT" w:eastAsia="de-DE"/>
              </w:rPr>
              <w:t>1</w:t>
            </w:r>
            <w:r w:rsidRPr="00736D2F">
              <w:rPr>
                <w:spacing w:val="-2"/>
                <w:szCs w:val="22"/>
                <w:lang w:val="lt-LT" w:eastAsia="de-DE"/>
              </w:rPr>
              <w:t>3</w:t>
            </w:r>
            <w:r w:rsidRPr="00736D2F">
              <w:rPr>
                <w:szCs w:val="22"/>
                <w:lang w:val="lt-LT" w:eastAsia="de-DE"/>
              </w:rPr>
              <w:t>,47 iki 15,2</w:t>
            </w:r>
            <w:r w:rsidRPr="00736D2F">
              <w:rPr>
                <w:spacing w:val="-2"/>
                <w:szCs w:val="22"/>
                <w:lang w:val="lt-LT" w:eastAsia="de-DE"/>
              </w:rPr>
              <w:t>8</w:t>
            </w:r>
            <w:r w:rsidRPr="00736D2F">
              <w:rPr>
                <w:szCs w:val="22"/>
                <w:lang w:val="lt-LT" w:eastAsia="de-DE"/>
              </w:rPr>
              <w:t>)</w:t>
            </w:r>
          </w:p>
        </w:tc>
      </w:tr>
      <w:tr w:rsidR="00B0039C" w:rsidRPr="00736D2F" w14:paraId="0FD23F5E" w14:textId="77777777" w:rsidTr="00B0039C">
        <w:tc>
          <w:tcPr>
            <w:tcW w:w="3792" w:type="dxa"/>
            <w:tcBorders>
              <w:top w:val="nil"/>
              <w:left w:val="nil"/>
              <w:bottom w:val="nil"/>
              <w:right w:val="nil"/>
            </w:tcBorders>
            <w:hideMark/>
          </w:tcPr>
          <w:p w14:paraId="08F6006D" w14:textId="77777777" w:rsidR="00B0039C" w:rsidRPr="00736D2F" w:rsidRDefault="00B0039C" w:rsidP="00B0039C">
            <w:pPr>
              <w:tabs>
                <w:tab w:val="center" w:pos="567"/>
              </w:tabs>
              <w:spacing w:line="240" w:lineRule="auto"/>
              <w:ind w:right="318"/>
              <w:contextualSpacing/>
              <w:rPr>
                <w:position w:val="10"/>
                <w:szCs w:val="22"/>
                <w:lang w:val="lt-LT" w:eastAsia="de-DE"/>
              </w:rPr>
            </w:pPr>
            <w:r w:rsidRPr="00736D2F">
              <w:rPr>
                <w:lang w:val="lt-LT"/>
              </w:rPr>
              <w:t>Rizikos santykis</w:t>
            </w:r>
            <w:r w:rsidRPr="00736D2F">
              <w:rPr>
                <w:vertAlign w:val="superscript"/>
                <w:lang w:val="lt-LT"/>
              </w:rPr>
              <w:t>a</w:t>
            </w:r>
            <w:r w:rsidRPr="00736D2F">
              <w:rPr>
                <w:lang w:val="lt-LT"/>
              </w:rPr>
              <w:t xml:space="preserve"> </w:t>
            </w:r>
          </w:p>
        </w:tc>
        <w:tc>
          <w:tcPr>
            <w:tcW w:w="2833" w:type="dxa"/>
            <w:tcBorders>
              <w:top w:val="nil"/>
              <w:left w:val="nil"/>
              <w:bottom w:val="nil"/>
              <w:right w:val="nil"/>
            </w:tcBorders>
          </w:tcPr>
          <w:p w14:paraId="607B1C8E" w14:textId="77777777" w:rsidR="00B0039C" w:rsidRPr="00736D2F" w:rsidRDefault="00B0039C">
            <w:pPr>
              <w:tabs>
                <w:tab w:val="center" w:pos="567"/>
              </w:tabs>
              <w:spacing w:line="240" w:lineRule="auto"/>
              <w:jc w:val="center"/>
              <w:rPr>
                <w:szCs w:val="22"/>
                <w:lang w:val="lt-LT" w:eastAsia="de-DE"/>
              </w:rPr>
            </w:pPr>
          </w:p>
        </w:tc>
        <w:tc>
          <w:tcPr>
            <w:tcW w:w="2975" w:type="dxa"/>
            <w:tcBorders>
              <w:top w:val="nil"/>
              <w:left w:val="nil"/>
              <w:bottom w:val="nil"/>
              <w:right w:val="nil"/>
            </w:tcBorders>
          </w:tcPr>
          <w:p w14:paraId="6E034DF2" w14:textId="77777777" w:rsidR="00B0039C" w:rsidRPr="00736D2F" w:rsidRDefault="00B0039C">
            <w:pPr>
              <w:tabs>
                <w:tab w:val="center" w:pos="567"/>
              </w:tabs>
              <w:spacing w:line="240" w:lineRule="auto"/>
              <w:jc w:val="center"/>
              <w:rPr>
                <w:szCs w:val="22"/>
                <w:lang w:val="lt-LT" w:eastAsia="de-DE"/>
              </w:rPr>
            </w:pPr>
          </w:p>
        </w:tc>
      </w:tr>
      <w:tr w:rsidR="00B0039C" w:rsidRPr="00736D2F" w14:paraId="6E74D376" w14:textId="77777777" w:rsidTr="00B0039C">
        <w:tc>
          <w:tcPr>
            <w:tcW w:w="3792" w:type="dxa"/>
            <w:tcBorders>
              <w:top w:val="nil"/>
              <w:left w:val="nil"/>
              <w:bottom w:val="nil"/>
              <w:right w:val="nil"/>
            </w:tcBorders>
            <w:hideMark/>
          </w:tcPr>
          <w:p w14:paraId="0FD5B5C5" w14:textId="77777777" w:rsidR="00B0039C" w:rsidRPr="00736D2F" w:rsidRDefault="00B0039C" w:rsidP="00B0039C">
            <w:pPr>
              <w:tabs>
                <w:tab w:val="clear" w:pos="567"/>
                <w:tab w:val="left" w:pos="720"/>
              </w:tabs>
              <w:spacing w:line="240" w:lineRule="auto"/>
              <w:ind w:left="567" w:right="318" w:hanging="567"/>
              <w:contextualSpacing/>
              <w:rPr>
                <w:spacing w:val="-1"/>
                <w:szCs w:val="22"/>
                <w:lang w:val="lt-LT" w:eastAsia="de-DE"/>
              </w:rPr>
            </w:pPr>
            <w:r w:rsidRPr="00736D2F">
              <w:rPr>
                <w:spacing w:val="-2"/>
                <w:szCs w:val="22"/>
                <w:lang w:val="lt-LT" w:eastAsia="de-DE"/>
              </w:rPr>
              <w:tab/>
            </w:r>
            <w:r w:rsidRPr="00736D2F">
              <w:rPr>
                <w:lang w:val="lt-LT"/>
              </w:rPr>
              <w:t>palyginti su CBZ25+PRED</w:t>
            </w:r>
          </w:p>
        </w:tc>
        <w:tc>
          <w:tcPr>
            <w:tcW w:w="2833" w:type="dxa"/>
            <w:tcBorders>
              <w:top w:val="nil"/>
              <w:left w:val="nil"/>
              <w:bottom w:val="nil"/>
              <w:right w:val="nil"/>
            </w:tcBorders>
            <w:hideMark/>
          </w:tcPr>
          <w:p w14:paraId="14AAF806"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1,024</w:t>
            </w:r>
          </w:p>
        </w:tc>
        <w:tc>
          <w:tcPr>
            <w:tcW w:w="2975" w:type="dxa"/>
            <w:tcBorders>
              <w:top w:val="nil"/>
              <w:left w:val="nil"/>
              <w:bottom w:val="nil"/>
              <w:right w:val="nil"/>
            </w:tcBorders>
            <w:hideMark/>
          </w:tcPr>
          <w:p w14:paraId="7DF9AD28"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w:t>
            </w:r>
          </w:p>
        </w:tc>
      </w:tr>
      <w:tr w:rsidR="00B0039C" w:rsidRPr="00736D2F" w14:paraId="41142972" w14:textId="77777777" w:rsidTr="00B0039C">
        <w:tc>
          <w:tcPr>
            <w:tcW w:w="3792" w:type="dxa"/>
            <w:tcBorders>
              <w:top w:val="nil"/>
              <w:left w:val="nil"/>
              <w:bottom w:val="nil"/>
              <w:right w:val="nil"/>
            </w:tcBorders>
            <w:hideMark/>
          </w:tcPr>
          <w:p w14:paraId="12E1407E" w14:textId="77777777" w:rsidR="00B0039C" w:rsidRPr="00736D2F" w:rsidRDefault="00B0039C">
            <w:pPr>
              <w:tabs>
                <w:tab w:val="clear" w:pos="567"/>
                <w:tab w:val="left" w:pos="720"/>
              </w:tabs>
              <w:spacing w:line="240" w:lineRule="auto"/>
              <w:ind w:left="567" w:right="318" w:hanging="567"/>
              <w:contextualSpacing/>
              <w:rPr>
                <w:szCs w:val="22"/>
                <w:lang w:val="lt-LT" w:eastAsia="de-DE"/>
              </w:rPr>
            </w:pPr>
            <w:r w:rsidRPr="00736D2F">
              <w:rPr>
                <w:szCs w:val="22"/>
                <w:lang w:val="lt-LT" w:eastAsia="de-DE"/>
              </w:rPr>
              <w:tab/>
            </w:r>
            <w:r w:rsidRPr="00736D2F">
              <w:rPr>
                <w:lang w:val="lt-LT"/>
              </w:rPr>
              <w:t>vienpusė 98,89 % VPI</w:t>
            </w:r>
          </w:p>
        </w:tc>
        <w:tc>
          <w:tcPr>
            <w:tcW w:w="2833" w:type="dxa"/>
            <w:tcBorders>
              <w:top w:val="nil"/>
              <w:left w:val="nil"/>
              <w:bottom w:val="nil"/>
              <w:right w:val="nil"/>
            </w:tcBorders>
            <w:hideMark/>
          </w:tcPr>
          <w:p w14:paraId="6673E788"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1,184</w:t>
            </w:r>
          </w:p>
        </w:tc>
        <w:tc>
          <w:tcPr>
            <w:tcW w:w="2975" w:type="dxa"/>
            <w:tcBorders>
              <w:top w:val="nil"/>
              <w:left w:val="nil"/>
              <w:bottom w:val="nil"/>
              <w:right w:val="nil"/>
            </w:tcBorders>
            <w:hideMark/>
          </w:tcPr>
          <w:p w14:paraId="07862A5F"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w:t>
            </w:r>
          </w:p>
        </w:tc>
      </w:tr>
      <w:tr w:rsidR="00B0039C" w:rsidRPr="00736D2F" w14:paraId="646E0155" w14:textId="77777777" w:rsidTr="00B0039C">
        <w:tc>
          <w:tcPr>
            <w:tcW w:w="3792" w:type="dxa"/>
            <w:tcBorders>
              <w:top w:val="nil"/>
              <w:left w:val="nil"/>
              <w:bottom w:val="single" w:sz="4" w:space="0" w:color="auto"/>
              <w:right w:val="nil"/>
            </w:tcBorders>
            <w:hideMark/>
          </w:tcPr>
          <w:p w14:paraId="3D86D753" w14:textId="77777777" w:rsidR="00B0039C" w:rsidRPr="00736D2F" w:rsidRDefault="00B0039C">
            <w:pPr>
              <w:tabs>
                <w:tab w:val="clear" w:pos="567"/>
                <w:tab w:val="left" w:pos="720"/>
              </w:tabs>
              <w:spacing w:line="240" w:lineRule="auto"/>
              <w:ind w:left="567" w:right="318" w:hanging="567"/>
              <w:contextualSpacing/>
              <w:rPr>
                <w:spacing w:val="-1"/>
                <w:szCs w:val="22"/>
                <w:lang w:val="lt-LT" w:eastAsia="de-DE"/>
              </w:rPr>
            </w:pPr>
            <w:r w:rsidRPr="00736D2F">
              <w:rPr>
                <w:szCs w:val="22"/>
                <w:lang w:val="lt-LT" w:eastAsia="de-DE"/>
              </w:rPr>
              <w:tab/>
            </w:r>
            <w:r w:rsidRPr="00736D2F">
              <w:rPr>
                <w:lang w:val="lt-LT"/>
              </w:rPr>
              <w:t>vienpusė 95% API</w:t>
            </w:r>
          </w:p>
        </w:tc>
        <w:tc>
          <w:tcPr>
            <w:tcW w:w="2833" w:type="dxa"/>
            <w:tcBorders>
              <w:top w:val="nil"/>
              <w:left w:val="nil"/>
              <w:bottom w:val="single" w:sz="4" w:space="0" w:color="auto"/>
              <w:right w:val="nil"/>
            </w:tcBorders>
            <w:hideMark/>
          </w:tcPr>
          <w:p w14:paraId="78FF6DFB"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0,922</w:t>
            </w:r>
          </w:p>
        </w:tc>
        <w:tc>
          <w:tcPr>
            <w:tcW w:w="2975" w:type="dxa"/>
            <w:tcBorders>
              <w:top w:val="nil"/>
              <w:left w:val="nil"/>
              <w:bottom w:val="single" w:sz="4" w:space="0" w:color="auto"/>
              <w:right w:val="nil"/>
            </w:tcBorders>
            <w:hideMark/>
          </w:tcPr>
          <w:p w14:paraId="7A2B266C" w14:textId="77777777" w:rsidR="00B0039C" w:rsidRPr="00736D2F" w:rsidRDefault="00B0039C">
            <w:pPr>
              <w:tabs>
                <w:tab w:val="center" w:pos="567"/>
              </w:tabs>
              <w:spacing w:line="240" w:lineRule="auto"/>
              <w:jc w:val="center"/>
              <w:rPr>
                <w:szCs w:val="22"/>
                <w:lang w:val="lt-LT" w:eastAsia="de-DE"/>
              </w:rPr>
            </w:pPr>
            <w:r w:rsidRPr="00736D2F">
              <w:rPr>
                <w:szCs w:val="22"/>
                <w:lang w:val="lt-LT" w:eastAsia="de-DE"/>
              </w:rPr>
              <w:t>-</w:t>
            </w:r>
          </w:p>
        </w:tc>
      </w:tr>
    </w:tbl>
    <w:p w14:paraId="6B35FCB5" w14:textId="77777777" w:rsidR="00B0039C" w:rsidRPr="00736D2F" w:rsidRDefault="00B0039C" w:rsidP="004D555B">
      <w:pPr>
        <w:tabs>
          <w:tab w:val="center" w:pos="567"/>
        </w:tabs>
        <w:spacing w:line="240" w:lineRule="auto"/>
        <w:contextualSpacing/>
        <w:rPr>
          <w:lang w:val="lt-LT"/>
        </w:rPr>
      </w:pPr>
      <w:r w:rsidRPr="00736D2F">
        <w:rPr>
          <w:lang w:val="lt-LT"/>
        </w:rPr>
        <w:t>CBZ20 = kabazitakselis 20 mg/m</w:t>
      </w:r>
      <w:r w:rsidRPr="00736D2F">
        <w:rPr>
          <w:vertAlign w:val="superscript"/>
          <w:lang w:val="lt-LT"/>
        </w:rPr>
        <w:t>2</w:t>
      </w:r>
      <w:r w:rsidRPr="00736D2F">
        <w:rPr>
          <w:lang w:val="lt-LT"/>
        </w:rPr>
        <w:t xml:space="preserve"> , CBZ25 = kabazitakselis 25 mg/m</w:t>
      </w:r>
      <w:r w:rsidRPr="00736D2F">
        <w:rPr>
          <w:vertAlign w:val="superscript"/>
          <w:lang w:val="lt-LT"/>
        </w:rPr>
        <w:t>2</w:t>
      </w:r>
      <w:r w:rsidRPr="00736D2F">
        <w:rPr>
          <w:lang w:val="lt-LT"/>
        </w:rPr>
        <w:t xml:space="preserve"> , PRED = prednizonas/prednizolonas; </w:t>
      </w:r>
    </w:p>
    <w:p w14:paraId="112C9C00" w14:textId="77777777" w:rsidR="00B0039C" w:rsidRPr="00736D2F" w:rsidRDefault="00B0039C" w:rsidP="004D555B">
      <w:pPr>
        <w:tabs>
          <w:tab w:val="center" w:pos="567"/>
        </w:tabs>
        <w:spacing w:line="240" w:lineRule="auto"/>
        <w:contextualSpacing/>
        <w:rPr>
          <w:lang w:val="lt-LT"/>
        </w:rPr>
      </w:pPr>
      <w:r w:rsidRPr="00736D2F">
        <w:rPr>
          <w:lang w:val="lt-LT"/>
        </w:rPr>
        <w:t>PI = pasikliautinieji intervalai, API = apatinė pasikliautinųjų intervalų riba, VPI = viršutinė pasikliautinųjų intervalų riba</w:t>
      </w:r>
    </w:p>
    <w:p w14:paraId="7769635E" w14:textId="77777777" w:rsidR="00B0039C" w:rsidRPr="00736D2F" w:rsidRDefault="00B0039C" w:rsidP="004D555B">
      <w:pPr>
        <w:tabs>
          <w:tab w:val="center" w:pos="567"/>
        </w:tabs>
        <w:spacing w:line="240" w:lineRule="auto"/>
        <w:contextualSpacing/>
        <w:rPr>
          <w:lang w:val="lt-LT"/>
        </w:rPr>
      </w:pPr>
      <w:r w:rsidRPr="00736D2F">
        <w:rPr>
          <w:vertAlign w:val="superscript"/>
          <w:lang w:val="lt-LT"/>
        </w:rPr>
        <w:t>a</w:t>
      </w:r>
      <w:r w:rsidRPr="00736D2F">
        <w:rPr>
          <w:lang w:val="lt-LT"/>
        </w:rPr>
        <w:t xml:space="preserve"> Rizikos santykis apskaičiuotas naudojant Cox proporcinės rizikos regresijos modelį. </w:t>
      </w:r>
    </w:p>
    <w:p w14:paraId="21161645" w14:textId="77777777" w:rsidR="00AB4777" w:rsidRPr="00736D2F" w:rsidRDefault="00B0039C" w:rsidP="004D555B">
      <w:pPr>
        <w:tabs>
          <w:tab w:val="center" w:pos="567"/>
        </w:tabs>
        <w:spacing w:line="240" w:lineRule="auto"/>
        <w:contextualSpacing/>
        <w:rPr>
          <w:szCs w:val="22"/>
          <w:lang w:val="lt-LT"/>
        </w:rPr>
      </w:pPr>
      <w:r w:rsidRPr="00736D2F">
        <w:rPr>
          <w:lang w:val="lt-LT"/>
        </w:rPr>
        <w:t>Rizikos santykis &lt; 1 rodo mažesnę riziką vartojant 20 mg/m</w:t>
      </w:r>
      <w:r w:rsidRPr="00736D2F">
        <w:rPr>
          <w:vertAlign w:val="superscript"/>
          <w:lang w:val="lt-LT"/>
        </w:rPr>
        <w:t>2</w:t>
      </w:r>
      <w:r w:rsidRPr="00736D2F">
        <w:rPr>
          <w:lang w:val="lt-LT"/>
        </w:rPr>
        <w:t xml:space="preserve"> kabazitakselio dozę, palyginti su 25 mg/m</w:t>
      </w:r>
      <w:r w:rsidRPr="00736D2F">
        <w:rPr>
          <w:vertAlign w:val="superscript"/>
          <w:lang w:val="lt-LT"/>
        </w:rPr>
        <w:t>2</w:t>
      </w:r>
      <w:r w:rsidRPr="00736D2F">
        <w:rPr>
          <w:lang w:val="lt-LT"/>
        </w:rPr>
        <w:t xml:space="preserve"> doze.</w:t>
      </w:r>
    </w:p>
    <w:p w14:paraId="67611820" w14:textId="77777777" w:rsidR="00C92AC0" w:rsidRPr="00736D2F" w:rsidRDefault="00C92AC0" w:rsidP="00C92AC0">
      <w:pPr>
        <w:tabs>
          <w:tab w:val="clear" w:pos="567"/>
        </w:tabs>
        <w:spacing w:line="240" w:lineRule="auto"/>
        <w:rPr>
          <w:snapToGrid w:val="0"/>
          <w:szCs w:val="24"/>
          <w:lang w:val="lt-LT"/>
        </w:rPr>
      </w:pPr>
    </w:p>
    <w:p w14:paraId="12E77345" w14:textId="77777777" w:rsidR="00B27D07" w:rsidRPr="00736D2F" w:rsidRDefault="00B27D07" w:rsidP="00EE789A">
      <w:pPr>
        <w:tabs>
          <w:tab w:val="clear" w:pos="567"/>
        </w:tabs>
        <w:spacing w:line="240" w:lineRule="auto"/>
        <w:rPr>
          <w:szCs w:val="22"/>
          <w:lang w:val="lt-LT"/>
        </w:rPr>
      </w:pPr>
      <w:r w:rsidRPr="00736D2F">
        <w:rPr>
          <w:lang w:val="lt-LT"/>
        </w:rPr>
        <w:t>5 lentelė. EFC11785 tyrimo 25 </w:t>
      </w:r>
      <w:r w:rsidR="00B0039C" w:rsidRPr="00736D2F">
        <w:rPr>
          <w:lang w:val="lt-LT"/>
        </w:rPr>
        <w:t>mg/m</w:t>
      </w:r>
      <w:r w:rsidR="00B0039C" w:rsidRPr="00736D2F">
        <w:rPr>
          <w:vertAlign w:val="superscript"/>
          <w:lang w:val="lt-LT"/>
        </w:rPr>
        <w:t>2</w:t>
      </w:r>
      <w:r w:rsidR="00B0039C" w:rsidRPr="00736D2F">
        <w:rPr>
          <w:lang w:val="lt-LT"/>
        </w:rPr>
        <w:t xml:space="preserve"> kabazitakselio dozės ir 20</w:t>
      </w:r>
      <w:r w:rsidRPr="00736D2F">
        <w:rPr>
          <w:lang w:val="lt-LT"/>
        </w:rPr>
        <w:t> </w:t>
      </w:r>
      <w:r w:rsidR="00B0039C" w:rsidRPr="00736D2F">
        <w:rPr>
          <w:lang w:val="lt-LT"/>
        </w:rPr>
        <w:t>mg/m</w:t>
      </w:r>
      <w:r w:rsidR="00B0039C" w:rsidRPr="00736D2F">
        <w:rPr>
          <w:vertAlign w:val="superscript"/>
          <w:lang w:val="lt-LT"/>
        </w:rPr>
        <w:t>2</w:t>
      </w:r>
      <w:r w:rsidR="00B0039C" w:rsidRPr="00736D2F">
        <w:rPr>
          <w:lang w:val="lt-LT"/>
        </w:rPr>
        <w:t xml:space="preserve"> kabazitakselio dozės grupių saugumo duomenų apibendrinimas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gridCol w:w="3402"/>
      </w:tblGrid>
      <w:tr w:rsidR="00B27D07" w:rsidRPr="00736D2F" w14:paraId="4BC545D0" w14:textId="77777777" w:rsidTr="00DA1FE0">
        <w:tc>
          <w:tcPr>
            <w:tcW w:w="2943" w:type="dxa"/>
            <w:tcBorders>
              <w:left w:val="nil"/>
              <w:bottom w:val="single" w:sz="4" w:space="0" w:color="auto"/>
              <w:right w:val="nil"/>
            </w:tcBorders>
            <w:shd w:val="clear" w:color="auto" w:fill="auto"/>
          </w:tcPr>
          <w:p w14:paraId="543DEA44" w14:textId="77777777" w:rsidR="00B27D07" w:rsidRPr="00736D2F" w:rsidRDefault="00B27D07" w:rsidP="00DA1FE0">
            <w:pPr>
              <w:tabs>
                <w:tab w:val="center" w:pos="567"/>
              </w:tabs>
              <w:spacing w:line="240" w:lineRule="auto"/>
              <w:contextualSpacing/>
              <w:rPr>
                <w:szCs w:val="22"/>
                <w:lang w:val="lt-LT"/>
              </w:rPr>
            </w:pPr>
          </w:p>
        </w:tc>
        <w:tc>
          <w:tcPr>
            <w:tcW w:w="3261" w:type="dxa"/>
            <w:tcBorders>
              <w:left w:val="nil"/>
              <w:bottom w:val="single" w:sz="4" w:space="0" w:color="auto"/>
              <w:right w:val="nil"/>
            </w:tcBorders>
            <w:shd w:val="clear" w:color="auto" w:fill="auto"/>
          </w:tcPr>
          <w:p w14:paraId="6651287D" w14:textId="77777777" w:rsidR="00B27D07" w:rsidRPr="00736D2F" w:rsidRDefault="00B27D07" w:rsidP="00DA1FE0">
            <w:pPr>
              <w:tabs>
                <w:tab w:val="center" w:pos="567"/>
              </w:tabs>
              <w:spacing w:line="240" w:lineRule="auto"/>
              <w:ind w:right="34"/>
              <w:contextualSpacing/>
              <w:jc w:val="center"/>
              <w:rPr>
                <w:szCs w:val="22"/>
                <w:lang w:val="lt-LT"/>
              </w:rPr>
            </w:pPr>
            <w:r w:rsidRPr="00736D2F">
              <w:rPr>
                <w:szCs w:val="22"/>
                <w:lang w:val="lt-LT"/>
              </w:rPr>
              <w:t>CBZ20+PRED</w:t>
            </w:r>
          </w:p>
          <w:p w14:paraId="528B31EE" w14:textId="77777777" w:rsidR="00B27D07" w:rsidRPr="00736D2F" w:rsidRDefault="00B27D07" w:rsidP="00DA1FE0">
            <w:pPr>
              <w:tabs>
                <w:tab w:val="center" w:pos="567"/>
                <w:tab w:val="center" w:pos="1427"/>
              </w:tabs>
              <w:spacing w:line="240" w:lineRule="auto"/>
              <w:contextualSpacing/>
              <w:jc w:val="center"/>
              <w:rPr>
                <w:szCs w:val="22"/>
                <w:lang w:val="lt-LT"/>
              </w:rPr>
            </w:pPr>
            <w:r w:rsidRPr="00736D2F">
              <w:rPr>
                <w:szCs w:val="22"/>
                <w:lang w:val="lt-LT"/>
              </w:rPr>
              <w:t>n=580</w:t>
            </w:r>
          </w:p>
        </w:tc>
        <w:tc>
          <w:tcPr>
            <w:tcW w:w="3402" w:type="dxa"/>
            <w:tcBorders>
              <w:left w:val="nil"/>
              <w:bottom w:val="single" w:sz="4" w:space="0" w:color="auto"/>
              <w:right w:val="nil"/>
            </w:tcBorders>
            <w:shd w:val="clear" w:color="auto" w:fill="auto"/>
          </w:tcPr>
          <w:p w14:paraId="41074E3A" w14:textId="77777777" w:rsidR="00B27D07" w:rsidRPr="00736D2F" w:rsidRDefault="00B27D07" w:rsidP="00DA1FE0">
            <w:pPr>
              <w:tabs>
                <w:tab w:val="center" w:pos="567"/>
              </w:tabs>
              <w:spacing w:line="240" w:lineRule="auto"/>
              <w:ind w:right="34"/>
              <w:contextualSpacing/>
              <w:jc w:val="center"/>
              <w:rPr>
                <w:szCs w:val="22"/>
                <w:lang w:val="lt-LT"/>
              </w:rPr>
            </w:pPr>
            <w:r w:rsidRPr="00736D2F">
              <w:rPr>
                <w:szCs w:val="22"/>
                <w:lang w:val="lt-LT"/>
              </w:rPr>
              <w:t>CBZ25+PRED</w:t>
            </w:r>
          </w:p>
          <w:p w14:paraId="5050EDF2"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n=595</w:t>
            </w:r>
          </w:p>
        </w:tc>
      </w:tr>
      <w:tr w:rsidR="00B27D07" w:rsidRPr="00736D2F" w14:paraId="30221024" w14:textId="77777777" w:rsidTr="00DA1FE0">
        <w:tc>
          <w:tcPr>
            <w:tcW w:w="2943" w:type="dxa"/>
            <w:tcBorders>
              <w:left w:val="nil"/>
              <w:bottom w:val="nil"/>
              <w:right w:val="nil"/>
            </w:tcBorders>
            <w:shd w:val="clear" w:color="auto" w:fill="auto"/>
          </w:tcPr>
          <w:p w14:paraId="6A1421CA" w14:textId="77777777" w:rsidR="00B27D07" w:rsidRPr="00736D2F" w:rsidRDefault="00B27D07" w:rsidP="00DA1FE0">
            <w:pPr>
              <w:tabs>
                <w:tab w:val="center" w:pos="567"/>
              </w:tabs>
              <w:spacing w:line="240" w:lineRule="auto"/>
              <w:ind w:right="-73"/>
              <w:contextualSpacing/>
              <w:rPr>
                <w:szCs w:val="22"/>
                <w:lang w:val="lt-LT"/>
              </w:rPr>
            </w:pPr>
            <w:r w:rsidRPr="00736D2F">
              <w:rPr>
                <w:lang w:val="lt-LT"/>
              </w:rPr>
              <w:t xml:space="preserve">Ciklų skaičiaus mediana/ gydymo trukmės mediana </w:t>
            </w:r>
          </w:p>
        </w:tc>
        <w:tc>
          <w:tcPr>
            <w:tcW w:w="3261" w:type="dxa"/>
            <w:tcBorders>
              <w:left w:val="nil"/>
              <w:bottom w:val="nil"/>
              <w:right w:val="nil"/>
            </w:tcBorders>
            <w:shd w:val="clear" w:color="auto" w:fill="auto"/>
          </w:tcPr>
          <w:p w14:paraId="21612B6F" w14:textId="77777777" w:rsidR="00866DB4" w:rsidRDefault="00866DB4" w:rsidP="00DA1FE0">
            <w:pPr>
              <w:tabs>
                <w:tab w:val="center" w:pos="567"/>
              </w:tabs>
              <w:spacing w:line="240" w:lineRule="auto"/>
              <w:contextualSpacing/>
              <w:jc w:val="center"/>
              <w:rPr>
                <w:lang w:val="lt-LT"/>
              </w:rPr>
            </w:pPr>
          </w:p>
          <w:p w14:paraId="27CC0E21" w14:textId="77777777" w:rsidR="00B27D07" w:rsidRPr="00736D2F" w:rsidRDefault="00B27D07" w:rsidP="00DA1FE0">
            <w:pPr>
              <w:tabs>
                <w:tab w:val="center" w:pos="567"/>
              </w:tabs>
              <w:spacing w:line="240" w:lineRule="auto"/>
              <w:contextualSpacing/>
              <w:jc w:val="center"/>
              <w:rPr>
                <w:szCs w:val="22"/>
                <w:lang w:val="lt-LT"/>
              </w:rPr>
            </w:pPr>
            <w:r w:rsidRPr="00736D2F">
              <w:rPr>
                <w:lang w:val="lt-LT"/>
              </w:rPr>
              <w:t>6/ 18 savaičių</w:t>
            </w:r>
          </w:p>
        </w:tc>
        <w:tc>
          <w:tcPr>
            <w:tcW w:w="3402" w:type="dxa"/>
            <w:tcBorders>
              <w:left w:val="nil"/>
              <w:bottom w:val="nil"/>
              <w:right w:val="nil"/>
            </w:tcBorders>
            <w:shd w:val="clear" w:color="auto" w:fill="auto"/>
          </w:tcPr>
          <w:p w14:paraId="5A46C26E" w14:textId="77777777" w:rsidR="00866DB4" w:rsidRDefault="00866DB4" w:rsidP="00DA1FE0">
            <w:pPr>
              <w:tabs>
                <w:tab w:val="center" w:pos="567"/>
              </w:tabs>
              <w:spacing w:line="240" w:lineRule="auto"/>
              <w:contextualSpacing/>
              <w:jc w:val="center"/>
              <w:rPr>
                <w:lang w:val="lt-LT"/>
              </w:rPr>
            </w:pPr>
          </w:p>
          <w:p w14:paraId="679DE9DF" w14:textId="77777777" w:rsidR="00B27D07" w:rsidRPr="00736D2F" w:rsidRDefault="00B27D07" w:rsidP="00DA1FE0">
            <w:pPr>
              <w:tabs>
                <w:tab w:val="center" w:pos="567"/>
              </w:tabs>
              <w:spacing w:line="240" w:lineRule="auto"/>
              <w:contextualSpacing/>
              <w:jc w:val="center"/>
              <w:rPr>
                <w:szCs w:val="22"/>
                <w:lang w:val="lt-LT"/>
              </w:rPr>
            </w:pPr>
            <w:r w:rsidRPr="00736D2F">
              <w:rPr>
                <w:lang w:val="lt-LT"/>
              </w:rPr>
              <w:t>7/ 21 savaitė</w:t>
            </w:r>
          </w:p>
        </w:tc>
      </w:tr>
      <w:tr w:rsidR="00B27D07" w:rsidRPr="00736D2F" w14:paraId="5F221B34" w14:textId="77777777" w:rsidTr="00DA1FE0">
        <w:tc>
          <w:tcPr>
            <w:tcW w:w="2943" w:type="dxa"/>
            <w:tcBorders>
              <w:top w:val="nil"/>
              <w:left w:val="nil"/>
              <w:bottom w:val="nil"/>
              <w:right w:val="nil"/>
            </w:tcBorders>
            <w:shd w:val="clear" w:color="auto" w:fill="auto"/>
          </w:tcPr>
          <w:p w14:paraId="25D1FFC9" w14:textId="77777777" w:rsidR="00B27D07" w:rsidRPr="00736D2F" w:rsidRDefault="00B27D07" w:rsidP="00DA1FE0">
            <w:pPr>
              <w:tabs>
                <w:tab w:val="center" w:pos="567"/>
              </w:tabs>
              <w:autoSpaceDE w:val="0"/>
              <w:autoSpaceDN w:val="0"/>
              <w:adjustRightInd w:val="0"/>
              <w:spacing w:line="240" w:lineRule="auto"/>
              <w:contextualSpacing/>
              <w:rPr>
                <w:lang w:val="lt-LT"/>
              </w:rPr>
            </w:pPr>
          </w:p>
          <w:p w14:paraId="044E792C" w14:textId="77777777" w:rsidR="00B27D07" w:rsidRPr="00736D2F" w:rsidRDefault="00B27D07" w:rsidP="0046710D">
            <w:pPr>
              <w:tabs>
                <w:tab w:val="center" w:pos="567"/>
              </w:tabs>
              <w:autoSpaceDE w:val="0"/>
              <w:autoSpaceDN w:val="0"/>
              <w:adjustRightInd w:val="0"/>
              <w:spacing w:line="240" w:lineRule="auto"/>
              <w:contextualSpacing/>
              <w:rPr>
                <w:rFonts w:eastAsia="Calibri"/>
                <w:color w:val="000000"/>
                <w:szCs w:val="22"/>
                <w:lang w:val="lt-LT"/>
              </w:rPr>
            </w:pPr>
            <w:r w:rsidRPr="00736D2F">
              <w:rPr>
                <w:lang w:val="lt-LT"/>
              </w:rPr>
              <w:t xml:space="preserve">Skaičius pacientų, kuriems buvo sumažinta dozė </w:t>
            </w:r>
            <w:r w:rsidRPr="00736D2F">
              <w:rPr>
                <w:rFonts w:eastAsia="Calibri"/>
                <w:color w:val="000000"/>
                <w:szCs w:val="22"/>
                <w:lang w:val="lt-LT"/>
              </w:rPr>
              <w:t xml:space="preserve">n (%) </w:t>
            </w:r>
          </w:p>
        </w:tc>
        <w:tc>
          <w:tcPr>
            <w:tcW w:w="3261" w:type="dxa"/>
            <w:tcBorders>
              <w:top w:val="nil"/>
              <w:left w:val="nil"/>
              <w:bottom w:val="nil"/>
              <w:right w:val="nil"/>
            </w:tcBorders>
            <w:shd w:val="clear" w:color="auto" w:fill="auto"/>
          </w:tcPr>
          <w:p w14:paraId="518B3479" w14:textId="77777777" w:rsidR="00B27D07" w:rsidRPr="00736D2F" w:rsidRDefault="00B27D07" w:rsidP="00DA1FE0">
            <w:pPr>
              <w:tabs>
                <w:tab w:val="center" w:pos="567"/>
              </w:tabs>
              <w:autoSpaceDE w:val="0"/>
              <w:autoSpaceDN w:val="0"/>
              <w:adjustRightInd w:val="0"/>
              <w:spacing w:line="240" w:lineRule="auto"/>
              <w:contextualSpacing/>
              <w:jc w:val="center"/>
              <w:rPr>
                <w:lang w:val="lt-LT"/>
              </w:rPr>
            </w:pPr>
          </w:p>
          <w:p w14:paraId="6468D53B" w14:textId="77777777" w:rsidR="0046710D" w:rsidRDefault="0046710D" w:rsidP="00DA1FE0">
            <w:pPr>
              <w:tabs>
                <w:tab w:val="center" w:pos="567"/>
              </w:tabs>
              <w:autoSpaceDE w:val="0"/>
              <w:autoSpaceDN w:val="0"/>
              <w:adjustRightInd w:val="0"/>
              <w:spacing w:line="240" w:lineRule="auto"/>
              <w:contextualSpacing/>
              <w:jc w:val="center"/>
              <w:rPr>
                <w:lang w:val="lt-LT"/>
              </w:rPr>
            </w:pPr>
          </w:p>
          <w:p w14:paraId="24C91905" w14:textId="77777777" w:rsidR="00B27D07" w:rsidRPr="00736D2F" w:rsidRDefault="00B27D07" w:rsidP="00DA1FE0">
            <w:pPr>
              <w:tabs>
                <w:tab w:val="center" w:pos="567"/>
              </w:tabs>
              <w:autoSpaceDE w:val="0"/>
              <w:autoSpaceDN w:val="0"/>
              <w:adjustRightInd w:val="0"/>
              <w:spacing w:line="240" w:lineRule="auto"/>
              <w:contextualSpacing/>
              <w:jc w:val="center"/>
              <w:rPr>
                <w:rFonts w:eastAsia="Calibri"/>
                <w:color w:val="000000"/>
                <w:szCs w:val="22"/>
                <w:lang w:val="lt-LT"/>
              </w:rPr>
            </w:pPr>
            <w:r w:rsidRPr="00736D2F">
              <w:rPr>
                <w:lang w:val="lt-LT"/>
              </w:rPr>
              <w:t>Nuo 20 iki 15 mg/m</w:t>
            </w:r>
            <w:r w:rsidRPr="00736D2F">
              <w:rPr>
                <w:vertAlign w:val="superscript"/>
                <w:lang w:val="lt-LT"/>
              </w:rPr>
              <w:t>2</w:t>
            </w:r>
            <w:r w:rsidRPr="00736D2F">
              <w:rPr>
                <w:lang w:val="lt-LT"/>
              </w:rPr>
              <w:t>: 58 (10,0 %) Nuo 15 iki 12 mg/m</w:t>
            </w:r>
            <w:r w:rsidRPr="00736D2F">
              <w:rPr>
                <w:vertAlign w:val="superscript"/>
                <w:lang w:val="lt-LT"/>
              </w:rPr>
              <w:t>2</w:t>
            </w:r>
            <w:r w:rsidRPr="00736D2F">
              <w:rPr>
                <w:lang w:val="lt-LT"/>
              </w:rPr>
              <w:t>: 9 (1,6 %)</w:t>
            </w:r>
          </w:p>
        </w:tc>
        <w:tc>
          <w:tcPr>
            <w:tcW w:w="3402" w:type="dxa"/>
            <w:tcBorders>
              <w:top w:val="nil"/>
              <w:left w:val="nil"/>
              <w:bottom w:val="nil"/>
              <w:right w:val="nil"/>
            </w:tcBorders>
            <w:shd w:val="clear" w:color="auto" w:fill="auto"/>
          </w:tcPr>
          <w:p w14:paraId="51D18D76" w14:textId="77777777" w:rsidR="00B27D07" w:rsidRPr="00736D2F" w:rsidRDefault="00B27D07" w:rsidP="00DA1FE0">
            <w:pPr>
              <w:tabs>
                <w:tab w:val="center" w:pos="567"/>
              </w:tabs>
              <w:autoSpaceDE w:val="0"/>
              <w:autoSpaceDN w:val="0"/>
              <w:adjustRightInd w:val="0"/>
              <w:spacing w:line="240" w:lineRule="auto"/>
              <w:contextualSpacing/>
              <w:jc w:val="center"/>
              <w:rPr>
                <w:lang w:val="lt-LT"/>
              </w:rPr>
            </w:pPr>
          </w:p>
          <w:p w14:paraId="6F2CCDFE" w14:textId="77777777" w:rsidR="0046710D" w:rsidRDefault="0046710D" w:rsidP="00B27D07">
            <w:pPr>
              <w:tabs>
                <w:tab w:val="center" w:pos="567"/>
              </w:tabs>
              <w:autoSpaceDE w:val="0"/>
              <w:autoSpaceDN w:val="0"/>
              <w:adjustRightInd w:val="0"/>
              <w:spacing w:line="240" w:lineRule="auto"/>
              <w:contextualSpacing/>
              <w:jc w:val="center"/>
              <w:rPr>
                <w:lang w:val="lt-LT"/>
              </w:rPr>
            </w:pPr>
          </w:p>
          <w:p w14:paraId="24E77938" w14:textId="77777777" w:rsidR="00B27D07" w:rsidRPr="00736D2F" w:rsidRDefault="00B27D07" w:rsidP="00B27D07">
            <w:pPr>
              <w:tabs>
                <w:tab w:val="center" w:pos="567"/>
              </w:tabs>
              <w:autoSpaceDE w:val="0"/>
              <w:autoSpaceDN w:val="0"/>
              <w:adjustRightInd w:val="0"/>
              <w:spacing w:line="240" w:lineRule="auto"/>
              <w:contextualSpacing/>
              <w:jc w:val="center"/>
              <w:rPr>
                <w:rFonts w:eastAsia="Calibri"/>
                <w:color w:val="000000"/>
                <w:sz w:val="24"/>
                <w:szCs w:val="22"/>
                <w:lang w:val="lt-LT"/>
              </w:rPr>
            </w:pPr>
            <w:r w:rsidRPr="00736D2F">
              <w:rPr>
                <w:lang w:val="lt-LT"/>
              </w:rPr>
              <w:t>Nuo 25 iki 20 mg/m</w:t>
            </w:r>
            <w:r w:rsidRPr="00736D2F">
              <w:rPr>
                <w:vertAlign w:val="superscript"/>
                <w:lang w:val="lt-LT"/>
              </w:rPr>
              <w:t>2</w:t>
            </w:r>
            <w:r w:rsidRPr="00736D2F">
              <w:rPr>
                <w:lang w:val="lt-LT"/>
              </w:rPr>
              <w:t>: 128 (21,5 %) Nuo 20 iki 15 mg/m</w:t>
            </w:r>
            <w:r w:rsidRPr="00736D2F">
              <w:rPr>
                <w:vertAlign w:val="superscript"/>
                <w:lang w:val="lt-LT"/>
              </w:rPr>
              <w:t>2</w:t>
            </w:r>
            <w:r w:rsidRPr="00736D2F">
              <w:rPr>
                <w:lang w:val="lt-LT"/>
              </w:rPr>
              <w:t>: 19 (3,2%) Nuo 15 iki 12 mg/m</w:t>
            </w:r>
            <w:r w:rsidRPr="00736D2F">
              <w:rPr>
                <w:vertAlign w:val="superscript"/>
                <w:lang w:val="lt-LT"/>
              </w:rPr>
              <w:t>2</w:t>
            </w:r>
            <w:r w:rsidRPr="00736D2F">
              <w:rPr>
                <w:lang w:val="lt-LT"/>
              </w:rPr>
              <w:t>: 1 (0,2 %)</w:t>
            </w:r>
          </w:p>
        </w:tc>
      </w:tr>
      <w:tr w:rsidR="00B27D07" w:rsidRPr="00736D2F" w14:paraId="2E2DB2A2" w14:textId="77777777" w:rsidTr="00DA1FE0">
        <w:tc>
          <w:tcPr>
            <w:tcW w:w="6204" w:type="dxa"/>
            <w:gridSpan w:val="2"/>
            <w:tcBorders>
              <w:top w:val="nil"/>
              <w:left w:val="nil"/>
              <w:bottom w:val="nil"/>
              <w:right w:val="nil"/>
            </w:tcBorders>
            <w:shd w:val="clear" w:color="auto" w:fill="auto"/>
          </w:tcPr>
          <w:p w14:paraId="3A7A8D22" w14:textId="77777777" w:rsidR="00B27D07" w:rsidRPr="00736D2F" w:rsidRDefault="00B27D07" w:rsidP="00DA1FE0">
            <w:pPr>
              <w:tabs>
                <w:tab w:val="center" w:pos="567"/>
              </w:tabs>
              <w:spacing w:line="240" w:lineRule="auto"/>
              <w:contextualSpacing/>
              <w:rPr>
                <w:rFonts w:eastAsia="Calibri"/>
                <w:b/>
                <w:bCs/>
                <w:color w:val="000000"/>
                <w:szCs w:val="22"/>
                <w:lang w:val="lt-LT"/>
              </w:rPr>
            </w:pPr>
          </w:p>
        </w:tc>
        <w:tc>
          <w:tcPr>
            <w:tcW w:w="3402" w:type="dxa"/>
            <w:tcBorders>
              <w:top w:val="nil"/>
              <w:left w:val="nil"/>
              <w:bottom w:val="nil"/>
              <w:right w:val="nil"/>
            </w:tcBorders>
            <w:shd w:val="clear" w:color="auto" w:fill="auto"/>
          </w:tcPr>
          <w:p w14:paraId="0A8512C4" w14:textId="77777777" w:rsidR="00B27D07" w:rsidRPr="00736D2F" w:rsidRDefault="00B27D07" w:rsidP="00DA1FE0">
            <w:pPr>
              <w:tabs>
                <w:tab w:val="center" w:pos="567"/>
              </w:tabs>
              <w:spacing w:line="240" w:lineRule="auto"/>
              <w:contextualSpacing/>
              <w:rPr>
                <w:szCs w:val="22"/>
                <w:lang w:val="lt-LT"/>
              </w:rPr>
            </w:pPr>
          </w:p>
        </w:tc>
      </w:tr>
      <w:tr w:rsidR="00B27D07" w:rsidRPr="00736D2F" w14:paraId="46BA3975" w14:textId="77777777" w:rsidTr="00DA1FE0">
        <w:tc>
          <w:tcPr>
            <w:tcW w:w="9606" w:type="dxa"/>
            <w:gridSpan w:val="3"/>
            <w:tcBorders>
              <w:top w:val="nil"/>
              <w:left w:val="nil"/>
              <w:bottom w:val="nil"/>
              <w:right w:val="nil"/>
            </w:tcBorders>
            <w:shd w:val="clear" w:color="auto" w:fill="auto"/>
          </w:tcPr>
          <w:p w14:paraId="2A2ACAFE" w14:textId="77777777" w:rsidR="00B27D07" w:rsidRPr="00736D2F" w:rsidRDefault="00B27D07" w:rsidP="00DA1FE0">
            <w:pPr>
              <w:tabs>
                <w:tab w:val="center" w:pos="567"/>
              </w:tabs>
              <w:spacing w:line="240" w:lineRule="auto"/>
              <w:contextualSpacing/>
              <w:rPr>
                <w:b/>
                <w:szCs w:val="22"/>
                <w:lang w:val="lt-LT"/>
              </w:rPr>
            </w:pPr>
            <w:r w:rsidRPr="00736D2F">
              <w:rPr>
                <w:b/>
                <w:lang w:val="lt-LT"/>
              </w:rPr>
              <w:t>Visų laipsnių nepageidaujamos reakcijos</w:t>
            </w:r>
            <w:r w:rsidRPr="00736D2F">
              <w:rPr>
                <w:b/>
                <w:vertAlign w:val="superscript"/>
                <w:lang w:val="lt-LT"/>
              </w:rPr>
              <w:t>a</w:t>
            </w:r>
            <w:r w:rsidRPr="00736D2F">
              <w:rPr>
                <w:b/>
                <w:lang w:val="lt-LT"/>
              </w:rPr>
              <w:t xml:space="preserve"> (%)</w:t>
            </w:r>
          </w:p>
        </w:tc>
      </w:tr>
      <w:tr w:rsidR="00B27D07" w:rsidRPr="00736D2F" w14:paraId="2ABAA27F" w14:textId="77777777" w:rsidTr="00DA1FE0">
        <w:tc>
          <w:tcPr>
            <w:tcW w:w="2943" w:type="dxa"/>
            <w:tcBorders>
              <w:top w:val="nil"/>
              <w:left w:val="nil"/>
              <w:bottom w:val="nil"/>
              <w:right w:val="nil"/>
            </w:tcBorders>
            <w:shd w:val="clear" w:color="auto" w:fill="auto"/>
          </w:tcPr>
          <w:p w14:paraId="713B0668" w14:textId="77777777" w:rsidR="00B27D07" w:rsidRPr="00736D2F" w:rsidRDefault="00B27D07" w:rsidP="00DA1FE0">
            <w:pPr>
              <w:tabs>
                <w:tab w:val="center" w:pos="567"/>
              </w:tabs>
              <w:spacing w:line="240" w:lineRule="auto"/>
              <w:contextualSpacing/>
              <w:rPr>
                <w:szCs w:val="22"/>
                <w:lang w:val="lt-LT"/>
              </w:rPr>
            </w:pPr>
            <w:r w:rsidRPr="00736D2F">
              <w:rPr>
                <w:lang w:val="lt-LT"/>
              </w:rPr>
              <w:t>Viduriavimas</w:t>
            </w:r>
          </w:p>
        </w:tc>
        <w:tc>
          <w:tcPr>
            <w:tcW w:w="3261" w:type="dxa"/>
            <w:tcBorders>
              <w:top w:val="nil"/>
              <w:left w:val="nil"/>
              <w:bottom w:val="nil"/>
              <w:right w:val="nil"/>
            </w:tcBorders>
            <w:shd w:val="clear" w:color="auto" w:fill="auto"/>
          </w:tcPr>
          <w:p w14:paraId="0071B9DF" w14:textId="77777777" w:rsidR="00B27D07" w:rsidRPr="00736D2F" w:rsidRDefault="00B27D07" w:rsidP="00B27D07">
            <w:pPr>
              <w:tabs>
                <w:tab w:val="center" w:pos="567"/>
              </w:tabs>
              <w:spacing w:line="240" w:lineRule="auto"/>
              <w:contextualSpacing/>
              <w:jc w:val="center"/>
              <w:rPr>
                <w:szCs w:val="22"/>
                <w:lang w:val="lt-LT"/>
              </w:rPr>
            </w:pPr>
            <w:r w:rsidRPr="00736D2F">
              <w:rPr>
                <w:szCs w:val="22"/>
                <w:lang w:val="lt-LT"/>
              </w:rPr>
              <w:t>30,7</w:t>
            </w:r>
          </w:p>
        </w:tc>
        <w:tc>
          <w:tcPr>
            <w:tcW w:w="3402" w:type="dxa"/>
            <w:tcBorders>
              <w:top w:val="nil"/>
              <w:left w:val="nil"/>
              <w:bottom w:val="nil"/>
              <w:right w:val="nil"/>
            </w:tcBorders>
            <w:shd w:val="clear" w:color="auto" w:fill="auto"/>
          </w:tcPr>
          <w:p w14:paraId="25F45DAE"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39,8</w:t>
            </w:r>
          </w:p>
        </w:tc>
      </w:tr>
      <w:tr w:rsidR="00B27D07" w:rsidRPr="00736D2F" w14:paraId="1A673E32" w14:textId="77777777" w:rsidTr="00DA1FE0">
        <w:tc>
          <w:tcPr>
            <w:tcW w:w="2943" w:type="dxa"/>
            <w:tcBorders>
              <w:top w:val="nil"/>
              <w:left w:val="nil"/>
              <w:bottom w:val="nil"/>
              <w:right w:val="nil"/>
            </w:tcBorders>
            <w:shd w:val="clear" w:color="auto" w:fill="auto"/>
          </w:tcPr>
          <w:p w14:paraId="54F8AFA6" w14:textId="77777777" w:rsidR="00B27D07" w:rsidRPr="00736D2F" w:rsidRDefault="00B27D07" w:rsidP="00DA1FE0">
            <w:pPr>
              <w:tabs>
                <w:tab w:val="center" w:pos="567"/>
              </w:tabs>
              <w:spacing w:line="240" w:lineRule="auto"/>
              <w:contextualSpacing/>
              <w:rPr>
                <w:szCs w:val="22"/>
                <w:lang w:val="lt-LT"/>
              </w:rPr>
            </w:pPr>
            <w:r w:rsidRPr="00736D2F">
              <w:rPr>
                <w:lang w:val="lt-LT"/>
              </w:rPr>
              <w:t>Pykinimas</w:t>
            </w:r>
          </w:p>
        </w:tc>
        <w:tc>
          <w:tcPr>
            <w:tcW w:w="3261" w:type="dxa"/>
            <w:tcBorders>
              <w:top w:val="nil"/>
              <w:left w:val="nil"/>
              <w:bottom w:val="nil"/>
              <w:right w:val="nil"/>
            </w:tcBorders>
            <w:shd w:val="clear" w:color="auto" w:fill="auto"/>
          </w:tcPr>
          <w:p w14:paraId="63775CC4"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24,5</w:t>
            </w:r>
          </w:p>
        </w:tc>
        <w:tc>
          <w:tcPr>
            <w:tcW w:w="3402" w:type="dxa"/>
            <w:tcBorders>
              <w:top w:val="nil"/>
              <w:left w:val="nil"/>
              <w:bottom w:val="nil"/>
              <w:right w:val="nil"/>
            </w:tcBorders>
            <w:shd w:val="clear" w:color="auto" w:fill="auto"/>
          </w:tcPr>
          <w:p w14:paraId="752EAB1C"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32,1</w:t>
            </w:r>
          </w:p>
        </w:tc>
      </w:tr>
      <w:tr w:rsidR="00B27D07" w:rsidRPr="00736D2F" w14:paraId="7EE04FCF" w14:textId="77777777" w:rsidTr="00DA1FE0">
        <w:tc>
          <w:tcPr>
            <w:tcW w:w="2943" w:type="dxa"/>
            <w:tcBorders>
              <w:top w:val="nil"/>
              <w:left w:val="nil"/>
              <w:bottom w:val="nil"/>
              <w:right w:val="nil"/>
            </w:tcBorders>
            <w:shd w:val="clear" w:color="auto" w:fill="auto"/>
          </w:tcPr>
          <w:p w14:paraId="05C9C2BC" w14:textId="77777777" w:rsidR="00B27D07" w:rsidRPr="00736D2F" w:rsidRDefault="00B27D07" w:rsidP="00DA1FE0">
            <w:pPr>
              <w:tabs>
                <w:tab w:val="center" w:pos="567"/>
              </w:tabs>
              <w:spacing w:line="240" w:lineRule="auto"/>
              <w:contextualSpacing/>
              <w:rPr>
                <w:szCs w:val="22"/>
                <w:lang w:val="lt-LT"/>
              </w:rPr>
            </w:pPr>
            <w:r w:rsidRPr="00736D2F">
              <w:rPr>
                <w:lang w:val="lt-LT"/>
              </w:rPr>
              <w:t>Nuovargis</w:t>
            </w:r>
          </w:p>
        </w:tc>
        <w:tc>
          <w:tcPr>
            <w:tcW w:w="3261" w:type="dxa"/>
            <w:tcBorders>
              <w:top w:val="nil"/>
              <w:left w:val="nil"/>
              <w:bottom w:val="nil"/>
              <w:right w:val="nil"/>
            </w:tcBorders>
            <w:shd w:val="clear" w:color="auto" w:fill="auto"/>
          </w:tcPr>
          <w:p w14:paraId="28404D1D" w14:textId="77777777" w:rsidR="00B27D07" w:rsidRPr="00736D2F" w:rsidRDefault="00B27D07" w:rsidP="00B27D07">
            <w:pPr>
              <w:tabs>
                <w:tab w:val="center" w:pos="567"/>
              </w:tabs>
              <w:spacing w:line="240" w:lineRule="auto"/>
              <w:contextualSpacing/>
              <w:jc w:val="center"/>
              <w:rPr>
                <w:szCs w:val="22"/>
                <w:lang w:val="lt-LT"/>
              </w:rPr>
            </w:pPr>
            <w:r w:rsidRPr="00736D2F">
              <w:rPr>
                <w:szCs w:val="22"/>
                <w:lang w:val="lt-LT"/>
              </w:rPr>
              <w:t>24,7</w:t>
            </w:r>
          </w:p>
        </w:tc>
        <w:tc>
          <w:tcPr>
            <w:tcW w:w="3402" w:type="dxa"/>
            <w:tcBorders>
              <w:top w:val="nil"/>
              <w:left w:val="nil"/>
              <w:bottom w:val="nil"/>
              <w:right w:val="nil"/>
            </w:tcBorders>
            <w:shd w:val="clear" w:color="auto" w:fill="auto"/>
          </w:tcPr>
          <w:p w14:paraId="45DB0875"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27,1</w:t>
            </w:r>
          </w:p>
        </w:tc>
      </w:tr>
      <w:tr w:rsidR="00B27D07" w:rsidRPr="00736D2F" w14:paraId="7C811C3C" w14:textId="77777777" w:rsidTr="00DA1FE0">
        <w:tc>
          <w:tcPr>
            <w:tcW w:w="2943" w:type="dxa"/>
            <w:tcBorders>
              <w:top w:val="nil"/>
              <w:left w:val="nil"/>
              <w:bottom w:val="nil"/>
              <w:right w:val="nil"/>
            </w:tcBorders>
            <w:shd w:val="clear" w:color="auto" w:fill="auto"/>
          </w:tcPr>
          <w:p w14:paraId="7E62BA32" w14:textId="77777777" w:rsidR="00B27D07" w:rsidRPr="00736D2F" w:rsidRDefault="00B27D07" w:rsidP="00DA1FE0">
            <w:pPr>
              <w:tabs>
                <w:tab w:val="center" w:pos="567"/>
              </w:tabs>
              <w:spacing w:line="240" w:lineRule="auto"/>
              <w:contextualSpacing/>
              <w:rPr>
                <w:szCs w:val="22"/>
                <w:lang w:val="lt-LT"/>
              </w:rPr>
            </w:pPr>
            <w:r w:rsidRPr="00736D2F">
              <w:rPr>
                <w:spacing w:val="-1"/>
                <w:szCs w:val="22"/>
                <w:lang w:val="lt-LT"/>
              </w:rPr>
              <w:t>H</w:t>
            </w:r>
            <w:r w:rsidRPr="00736D2F">
              <w:rPr>
                <w:szCs w:val="22"/>
                <w:lang w:val="lt-LT"/>
              </w:rPr>
              <w:t>e</w:t>
            </w:r>
            <w:r w:rsidRPr="00736D2F">
              <w:rPr>
                <w:spacing w:val="-4"/>
                <w:szCs w:val="22"/>
                <w:lang w:val="lt-LT"/>
              </w:rPr>
              <w:t>m</w:t>
            </w:r>
            <w:r w:rsidRPr="00736D2F">
              <w:rPr>
                <w:szCs w:val="22"/>
                <w:lang w:val="lt-LT"/>
              </w:rPr>
              <w:t>a</w:t>
            </w:r>
            <w:r w:rsidRPr="00736D2F">
              <w:rPr>
                <w:spacing w:val="1"/>
                <w:szCs w:val="22"/>
                <w:lang w:val="lt-LT"/>
              </w:rPr>
              <w:t>t</w:t>
            </w:r>
            <w:r w:rsidRPr="00736D2F">
              <w:rPr>
                <w:szCs w:val="22"/>
                <w:lang w:val="lt-LT"/>
              </w:rPr>
              <w:t>u</w:t>
            </w:r>
            <w:r w:rsidRPr="00736D2F">
              <w:rPr>
                <w:spacing w:val="1"/>
                <w:szCs w:val="22"/>
                <w:lang w:val="lt-LT"/>
              </w:rPr>
              <w:t>rij</w:t>
            </w:r>
            <w:r w:rsidRPr="00736D2F">
              <w:rPr>
                <w:szCs w:val="22"/>
                <w:lang w:val="lt-LT"/>
              </w:rPr>
              <w:t>a</w:t>
            </w:r>
          </w:p>
        </w:tc>
        <w:tc>
          <w:tcPr>
            <w:tcW w:w="3261" w:type="dxa"/>
            <w:tcBorders>
              <w:top w:val="nil"/>
              <w:left w:val="nil"/>
              <w:bottom w:val="nil"/>
              <w:right w:val="nil"/>
            </w:tcBorders>
            <w:shd w:val="clear" w:color="auto" w:fill="auto"/>
          </w:tcPr>
          <w:p w14:paraId="2C8E1610"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14,1</w:t>
            </w:r>
          </w:p>
        </w:tc>
        <w:tc>
          <w:tcPr>
            <w:tcW w:w="3402" w:type="dxa"/>
            <w:tcBorders>
              <w:top w:val="nil"/>
              <w:left w:val="nil"/>
              <w:bottom w:val="nil"/>
              <w:right w:val="nil"/>
            </w:tcBorders>
            <w:shd w:val="clear" w:color="auto" w:fill="auto"/>
          </w:tcPr>
          <w:p w14:paraId="61F12E11"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20,8</w:t>
            </w:r>
          </w:p>
        </w:tc>
      </w:tr>
      <w:tr w:rsidR="00B27D07" w:rsidRPr="00736D2F" w14:paraId="1CAAC85A" w14:textId="77777777" w:rsidTr="00DA1FE0">
        <w:tc>
          <w:tcPr>
            <w:tcW w:w="2943" w:type="dxa"/>
            <w:tcBorders>
              <w:top w:val="nil"/>
              <w:left w:val="nil"/>
              <w:bottom w:val="nil"/>
              <w:right w:val="nil"/>
            </w:tcBorders>
            <w:shd w:val="clear" w:color="auto" w:fill="auto"/>
          </w:tcPr>
          <w:p w14:paraId="002536BE" w14:textId="77777777" w:rsidR="00B27D07" w:rsidRPr="00736D2F" w:rsidRDefault="00B27D07" w:rsidP="00DA1FE0">
            <w:pPr>
              <w:tabs>
                <w:tab w:val="center" w:pos="567"/>
              </w:tabs>
              <w:spacing w:line="240" w:lineRule="auto"/>
              <w:contextualSpacing/>
              <w:rPr>
                <w:szCs w:val="22"/>
                <w:lang w:val="lt-LT"/>
              </w:rPr>
            </w:pPr>
            <w:r w:rsidRPr="00736D2F">
              <w:rPr>
                <w:spacing w:val="-1"/>
                <w:szCs w:val="22"/>
                <w:lang w:val="lt-LT"/>
              </w:rPr>
              <w:t>A</w:t>
            </w:r>
            <w:r w:rsidRPr="00736D2F">
              <w:rPr>
                <w:szCs w:val="22"/>
                <w:lang w:val="lt-LT"/>
              </w:rPr>
              <w:t>s</w:t>
            </w:r>
            <w:r w:rsidRPr="00736D2F">
              <w:rPr>
                <w:spacing w:val="1"/>
                <w:szCs w:val="22"/>
                <w:lang w:val="lt-LT"/>
              </w:rPr>
              <w:t>t</w:t>
            </w:r>
            <w:r w:rsidRPr="00736D2F">
              <w:rPr>
                <w:szCs w:val="22"/>
                <w:lang w:val="lt-LT"/>
              </w:rPr>
              <w:t>e</w:t>
            </w:r>
            <w:r w:rsidRPr="00736D2F">
              <w:rPr>
                <w:spacing w:val="-2"/>
                <w:szCs w:val="22"/>
                <w:lang w:val="lt-LT"/>
              </w:rPr>
              <w:t>n</w:t>
            </w:r>
            <w:r w:rsidRPr="00736D2F">
              <w:rPr>
                <w:spacing w:val="1"/>
                <w:szCs w:val="22"/>
                <w:lang w:val="lt-LT"/>
              </w:rPr>
              <w:t>ij</w:t>
            </w:r>
            <w:r w:rsidRPr="00736D2F">
              <w:rPr>
                <w:szCs w:val="22"/>
                <w:lang w:val="lt-LT"/>
              </w:rPr>
              <w:t>a</w:t>
            </w:r>
          </w:p>
        </w:tc>
        <w:tc>
          <w:tcPr>
            <w:tcW w:w="3261" w:type="dxa"/>
            <w:tcBorders>
              <w:top w:val="nil"/>
              <w:left w:val="nil"/>
              <w:bottom w:val="nil"/>
              <w:right w:val="nil"/>
            </w:tcBorders>
            <w:shd w:val="clear" w:color="auto" w:fill="auto"/>
          </w:tcPr>
          <w:p w14:paraId="2EB1BDC3"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15,3</w:t>
            </w:r>
          </w:p>
        </w:tc>
        <w:tc>
          <w:tcPr>
            <w:tcW w:w="3402" w:type="dxa"/>
            <w:tcBorders>
              <w:top w:val="nil"/>
              <w:left w:val="nil"/>
              <w:bottom w:val="nil"/>
              <w:right w:val="nil"/>
            </w:tcBorders>
            <w:shd w:val="clear" w:color="auto" w:fill="auto"/>
          </w:tcPr>
          <w:p w14:paraId="73C9B828"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19,7</w:t>
            </w:r>
          </w:p>
        </w:tc>
      </w:tr>
      <w:tr w:rsidR="00B27D07" w:rsidRPr="00736D2F" w14:paraId="245E0B8A" w14:textId="77777777" w:rsidTr="00DA1FE0">
        <w:tc>
          <w:tcPr>
            <w:tcW w:w="2943" w:type="dxa"/>
            <w:tcBorders>
              <w:top w:val="nil"/>
              <w:left w:val="nil"/>
              <w:bottom w:val="nil"/>
              <w:right w:val="nil"/>
            </w:tcBorders>
            <w:shd w:val="clear" w:color="auto" w:fill="auto"/>
          </w:tcPr>
          <w:p w14:paraId="5ED4D4DF" w14:textId="77777777" w:rsidR="00B27D07" w:rsidRPr="00736D2F" w:rsidRDefault="00B27D07" w:rsidP="00DA1FE0">
            <w:pPr>
              <w:tabs>
                <w:tab w:val="center" w:pos="567"/>
              </w:tabs>
              <w:spacing w:line="240" w:lineRule="auto"/>
              <w:contextualSpacing/>
              <w:rPr>
                <w:szCs w:val="22"/>
                <w:lang w:val="lt-LT"/>
              </w:rPr>
            </w:pPr>
            <w:r w:rsidRPr="00736D2F">
              <w:rPr>
                <w:lang w:val="lt-LT"/>
              </w:rPr>
              <w:t>Sumažėjęs apetitas</w:t>
            </w:r>
          </w:p>
        </w:tc>
        <w:tc>
          <w:tcPr>
            <w:tcW w:w="3261" w:type="dxa"/>
            <w:tcBorders>
              <w:top w:val="nil"/>
              <w:left w:val="nil"/>
              <w:bottom w:val="nil"/>
              <w:right w:val="nil"/>
            </w:tcBorders>
            <w:shd w:val="clear" w:color="auto" w:fill="auto"/>
          </w:tcPr>
          <w:p w14:paraId="25F76759"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13,1</w:t>
            </w:r>
          </w:p>
        </w:tc>
        <w:tc>
          <w:tcPr>
            <w:tcW w:w="3402" w:type="dxa"/>
            <w:tcBorders>
              <w:top w:val="nil"/>
              <w:left w:val="nil"/>
              <w:bottom w:val="nil"/>
              <w:right w:val="nil"/>
            </w:tcBorders>
            <w:shd w:val="clear" w:color="auto" w:fill="auto"/>
          </w:tcPr>
          <w:p w14:paraId="1F44903C" w14:textId="77777777" w:rsidR="00B27D07" w:rsidRPr="00736D2F" w:rsidRDefault="00B27D07" w:rsidP="00DA1FE0">
            <w:pPr>
              <w:tabs>
                <w:tab w:val="center" w:pos="567"/>
              </w:tabs>
              <w:spacing w:line="240" w:lineRule="auto"/>
              <w:contextualSpacing/>
              <w:jc w:val="center"/>
              <w:rPr>
                <w:szCs w:val="22"/>
                <w:lang w:val="lt-LT"/>
              </w:rPr>
            </w:pPr>
            <w:r w:rsidRPr="00736D2F">
              <w:rPr>
                <w:szCs w:val="22"/>
                <w:lang w:val="lt-LT"/>
              </w:rPr>
              <w:t>18,5</w:t>
            </w:r>
          </w:p>
        </w:tc>
      </w:tr>
      <w:tr w:rsidR="00B27D07" w:rsidRPr="00736D2F" w14:paraId="0B69C467" w14:textId="77777777" w:rsidTr="00DA1FE0">
        <w:tc>
          <w:tcPr>
            <w:tcW w:w="2943" w:type="dxa"/>
            <w:tcBorders>
              <w:top w:val="nil"/>
              <w:left w:val="nil"/>
              <w:bottom w:val="nil"/>
              <w:right w:val="nil"/>
            </w:tcBorders>
            <w:shd w:val="clear" w:color="auto" w:fill="auto"/>
          </w:tcPr>
          <w:p w14:paraId="46ED7A62" w14:textId="77777777" w:rsidR="00B27D07" w:rsidRPr="00736D2F" w:rsidRDefault="00B27D07" w:rsidP="00DA1FE0">
            <w:pPr>
              <w:tabs>
                <w:tab w:val="center" w:pos="567"/>
              </w:tabs>
              <w:spacing w:line="240" w:lineRule="auto"/>
              <w:contextualSpacing/>
              <w:rPr>
                <w:szCs w:val="22"/>
                <w:lang w:val="lt-LT"/>
              </w:rPr>
            </w:pPr>
            <w:r w:rsidRPr="00736D2F">
              <w:rPr>
                <w:lang w:val="lt-LT"/>
              </w:rPr>
              <w:t>Vėmimas</w:t>
            </w:r>
          </w:p>
        </w:tc>
        <w:tc>
          <w:tcPr>
            <w:tcW w:w="3261" w:type="dxa"/>
            <w:tcBorders>
              <w:top w:val="nil"/>
              <w:left w:val="nil"/>
              <w:bottom w:val="nil"/>
              <w:right w:val="nil"/>
            </w:tcBorders>
            <w:shd w:val="clear" w:color="auto" w:fill="auto"/>
          </w:tcPr>
          <w:p w14:paraId="1F7CE5DC"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14,</w:t>
            </w:r>
            <w:r w:rsidR="00B27D07" w:rsidRPr="00736D2F">
              <w:rPr>
                <w:szCs w:val="22"/>
                <w:lang w:val="lt-LT"/>
              </w:rPr>
              <w:t>5</w:t>
            </w:r>
          </w:p>
        </w:tc>
        <w:tc>
          <w:tcPr>
            <w:tcW w:w="3402" w:type="dxa"/>
            <w:tcBorders>
              <w:top w:val="nil"/>
              <w:left w:val="nil"/>
              <w:bottom w:val="nil"/>
              <w:right w:val="nil"/>
            </w:tcBorders>
            <w:shd w:val="clear" w:color="auto" w:fill="auto"/>
          </w:tcPr>
          <w:p w14:paraId="158ADDC0"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18,</w:t>
            </w:r>
            <w:r w:rsidR="00B27D07" w:rsidRPr="00736D2F">
              <w:rPr>
                <w:szCs w:val="22"/>
                <w:lang w:val="lt-LT"/>
              </w:rPr>
              <w:t>2</w:t>
            </w:r>
          </w:p>
        </w:tc>
      </w:tr>
      <w:tr w:rsidR="00B27D07" w:rsidRPr="00736D2F" w14:paraId="134F5B7F" w14:textId="77777777" w:rsidTr="00DA1FE0">
        <w:tc>
          <w:tcPr>
            <w:tcW w:w="2943" w:type="dxa"/>
            <w:tcBorders>
              <w:top w:val="nil"/>
              <w:left w:val="nil"/>
              <w:bottom w:val="nil"/>
              <w:right w:val="nil"/>
            </w:tcBorders>
            <w:shd w:val="clear" w:color="auto" w:fill="auto"/>
          </w:tcPr>
          <w:p w14:paraId="73A058FD" w14:textId="77777777" w:rsidR="00B27D07" w:rsidRPr="00736D2F" w:rsidRDefault="00B27D07" w:rsidP="00B27D07">
            <w:pPr>
              <w:tabs>
                <w:tab w:val="center" w:pos="567"/>
              </w:tabs>
              <w:spacing w:line="240" w:lineRule="auto"/>
              <w:contextualSpacing/>
              <w:rPr>
                <w:szCs w:val="22"/>
                <w:lang w:val="lt-LT"/>
              </w:rPr>
            </w:pPr>
            <w:r w:rsidRPr="00736D2F">
              <w:rPr>
                <w:lang w:val="lt-LT"/>
              </w:rPr>
              <w:t>Vidurių užkietėjimas</w:t>
            </w:r>
          </w:p>
        </w:tc>
        <w:tc>
          <w:tcPr>
            <w:tcW w:w="3261" w:type="dxa"/>
            <w:tcBorders>
              <w:top w:val="nil"/>
              <w:left w:val="nil"/>
              <w:bottom w:val="nil"/>
              <w:right w:val="nil"/>
            </w:tcBorders>
            <w:shd w:val="clear" w:color="auto" w:fill="auto"/>
          </w:tcPr>
          <w:p w14:paraId="6982DD3D"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17,</w:t>
            </w:r>
            <w:r w:rsidR="00B27D07" w:rsidRPr="00736D2F">
              <w:rPr>
                <w:szCs w:val="22"/>
                <w:lang w:val="lt-LT"/>
              </w:rPr>
              <w:t>6</w:t>
            </w:r>
          </w:p>
        </w:tc>
        <w:tc>
          <w:tcPr>
            <w:tcW w:w="3402" w:type="dxa"/>
            <w:tcBorders>
              <w:top w:val="nil"/>
              <w:left w:val="nil"/>
              <w:bottom w:val="nil"/>
              <w:right w:val="nil"/>
            </w:tcBorders>
            <w:shd w:val="clear" w:color="auto" w:fill="auto"/>
          </w:tcPr>
          <w:p w14:paraId="5C6E6CC3" w14:textId="77777777" w:rsidR="00B27D07" w:rsidRPr="00736D2F" w:rsidRDefault="00B27D07" w:rsidP="00192288">
            <w:pPr>
              <w:tabs>
                <w:tab w:val="center" w:pos="567"/>
              </w:tabs>
              <w:spacing w:line="240" w:lineRule="auto"/>
              <w:contextualSpacing/>
              <w:jc w:val="center"/>
              <w:rPr>
                <w:szCs w:val="22"/>
                <w:lang w:val="lt-LT"/>
              </w:rPr>
            </w:pPr>
            <w:r w:rsidRPr="00736D2F">
              <w:rPr>
                <w:szCs w:val="22"/>
                <w:lang w:val="lt-LT"/>
              </w:rPr>
              <w:t>18</w:t>
            </w:r>
            <w:r w:rsidR="00192288" w:rsidRPr="00736D2F">
              <w:rPr>
                <w:szCs w:val="22"/>
                <w:lang w:val="lt-LT"/>
              </w:rPr>
              <w:t>,</w:t>
            </w:r>
            <w:r w:rsidRPr="00736D2F">
              <w:rPr>
                <w:szCs w:val="22"/>
                <w:lang w:val="lt-LT"/>
              </w:rPr>
              <w:t>0</w:t>
            </w:r>
          </w:p>
        </w:tc>
      </w:tr>
      <w:tr w:rsidR="00B27D07" w:rsidRPr="00736D2F" w14:paraId="36EB68DA" w14:textId="77777777" w:rsidTr="00DA1FE0">
        <w:tc>
          <w:tcPr>
            <w:tcW w:w="2943" w:type="dxa"/>
            <w:tcBorders>
              <w:top w:val="nil"/>
              <w:left w:val="nil"/>
              <w:bottom w:val="nil"/>
              <w:right w:val="nil"/>
            </w:tcBorders>
            <w:shd w:val="clear" w:color="auto" w:fill="auto"/>
          </w:tcPr>
          <w:p w14:paraId="6675C4C4" w14:textId="77777777" w:rsidR="00B27D07" w:rsidRPr="00736D2F" w:rsidRDefault="00B27D07" w:rsidP="00DA1FE0">
            <w:pPr>
              <w:tabs>
                <w:tab w:val="center" w:pos="567"/>
              </w:tabs>
              <w:spacing w:line="240" w:lineRule="auto"/>
              <w:contextualSpacing/>
              <w:rPr>
                <w:szCs w:val="22"/>
                <w:lang w:val="lt-LT"/>
              </w:rPr>
            </w:pPr>
            <w:r w:rsidRPr="00736D2F">
              <w:rPr>
                <w:lang w:val="lt-LT"/>
              </w:rPr>
              <w:t>Nugaros skausmas</w:t>
            </w:r>
          </w:p>
        </w:tc>
        <w:tc>
          <w:tcPr>
            <w:tcW w:w="3261" w:type="dxa"/>
            <w:tcBorders>
              <w:top w:val="nil"/>
              <w:left w:val="nil"/>
              <w:bottom w:val="nil"/>
              <w:right w:val="nil"/>
            </w:tcBorders>
            <w:shd w:val="clear" w:color="auto" w:fill="auto"/>
          </w:tcPr>
          <w:p w14:paraId="4F0A84CB"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11,</w:t>
            </w:r>
            <w:r w:rsidR="00B27D07" w:rsidRPr="00736D2F">
              <w:rPr>
                <w:szCs w:val="22"/>
                <w:lang w:val="lt-LT"/>
              </w:rPr>
              <w:t>0</w:t>
            </w:r>
          </w:p>
        </w:tc>
        <w:tc>
          <w:tcPr>
            <w:tcW w:w="3402" w:type="dxa"/>
            <w:tcBorders>
              <w:top w:val="nil"/>
              <w:left w:val="nil"/>
              <w:bottom w:val="nil"/>
              <w:right w:val="nil"/>
            </w:tcBorders>
            <w:shd w:val="clear" w:color="auto" w:fill="auto"/>
          </w:tcPr>
          <w:p w14:paraId="619547AB" w14:textId="77777777" w:rsidR="00B27D07" w:rsidRPr="00736D2F" w:rsidRDefault="00B27D07" w:rsidP="00192288">
            <w:pPr>
              <w:tabs>
                <w:tab w:val="center" w:pos="567"/>
              </w:tabs>
              <w:spacing w:line="240" w:lineRule="auto"/>
              <w:contextualSpacing/>
              <w:jc w:val="center"/>
              <w:rPr>
                <w:szCs w:val="22"/>
                <w:lang w:val="lt-LT"/>
              </w:rPr>
            </w:pPr>
            <w:r w:rsidRPr="00736D2F">
              <w:rPr>
                <w:szCs w:val="22"/>
                <w:lang w:val="lt-LT"/>
              </w:rPr>
              <w:t>13</w:t>
            </w:r>
            <w:r w:rsidR="00192288" w:rsidRPr="00736D2F">
              <w:rPr>
                <w:szCs w:val="22"/>
                <w:lang w:val="lt-LT"/>
              </w:rPr>
              <w:t>,</w:t>
            </w:r>
            <w:r w:rsidRPr="00736D2F">
              <w:rPr>
                <w:szCs w:val="22"/>
                <w:lang w:val="lt-LT"/>
              </w:rPr>
              <w:t>9</w:t>
            </w:r>
          </w:p>
        </w:tc>
      </w:tr>
      <w:tr w:rsidR="00B27D07" w:rsidRPr="00736D2F" w14:paraId="0D459944" w14:textId="77777777" w:rsidTr="00DA1FE0">
        <w:tc>
          <w:tcPr>
            <w:tcW w:w="2943" w:type="dxa"/>
            <w:tcBorders>
              <w:top w:val="nil"/>
              <w:left w:val="nil"/>
              <w:bottom w:val="nil"/>
              <w:right w:val="nil"/>
            </w:tcBorders>
            <w:shd w:val="clear" w:color="auto" w:fill="auto"/>
          </w:tcPr>
          <w:p w14:paraId="00224519" w14:textId="77777777" w:rsidR="00B27D07" w:rsidRPr="00736D2F" w:rsidRDefault="00B27D07" w:rsidP="00DA1FE0">
            <w:pPr>
              <w:tabs>
                <w:tab w:val="center" w:pos="567"/>
              </w:tabs>
              <w:spacing w:line="240" w:lineRule="auto"/>
              <w:contextualSpacing/>
              <w:rPr>
                <w:szCs w:val="22"/>
                <w:lang w:val="lt-LT"/>
              </w:rPr>
            </w:pPr>
            <w:r w:rsidRPr="00736D2F">
              <w:rPr>
                <w:lang w:val="lt-LT"/>
              </w:rPr>
              <w:t>Kliniškai pasireiškianti neutropenija</w:t>
            </w:r>
          </w:p>
        </w:tc>
        <w:tc>
          <w:tcPr>
            <w:tcW w:w="3261" w:type="dxa"/>
            <w:tcBorders>
              <w:top w:val="nil"/>
              <w:left w:val="nil"/>
              <w:bottom w:val="nil"/>
              <w:right w:val="nil"/>
            </w:tcBorders>
            <w:shd w:val="clear" w:color="auto" w:fill="auto"/>
          </w:tcPr>
          <w:p w14:paraId="3DC171A6" w14:textId="77777777" w:rsidR="00192288" w:rsidRPr="00736D2F" w:rsidRDefault="00192288" w:rsidP="00DA1FE0">
            <w:pPr>
              <w:tabs>
                <w:tab w:val="center" w:pos="567"/>
              </w:tabs>
              <w:spacing w:line="240" w:lineRule="auto"/>
              <w:contextualSpacing/>
              <w:jc w:val="center"/>
              <w:rPr>
                <w:szCs w:val="22"/>
                <w:lang w:val="lt-LT"/>
              </w:rPr>
            </w:pPr>
          </w:p>
          <w:p w14:paraId="4131D588"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3,</w:t>
            </w:r>
            <w:r w:rsidR="00B27D07" w:rsidRPr="00736D2F">
              <w:rPr>
                <w:szCs w:val="22"/>
                <w:lang w:val="lt-LT"/>
              </w:rPr>
              <w:t>1</w:t>
            </w:r>
          </w:p>
        </w:tc>
        <w:tc>
          <w:tcPr>
            <w:tcW w:w="3402" w:type="dxa"/>
            <w:tcBorders>
              <w:top w:val="nil"/>
              <w:left w:val="nil"/>
              <w:bottom w:val="nil"/>
              <w:right w:val="nil"/>
            </w:tcBorders>
            <w:shd w:val="clear" w:color="auto" w:fill="auto"/>
          </w:tcPr>
          <w:p w14:paraId="2FD99DAC" w14:textId="77777777" w:rsidR="00192288" w:rsidRPr="00736D2F" w:rsidRDefault="00192288" w:rsidP="00DA1FE0">
            <w:pPr>
              <w:tabs>
                <w:tab w:val="center" w:pos="567"/>
              </w:tabs>
              <w:spacing w:line="240" w:lineRule="auto"/>
              <w:contextualSpacing/>
              <w:jc w:val="center"/>
              <w:rPr>
                <w:szCs w:val="22"/>
                <w:lang w:val="lt-LT"/>
              </w:rPr>
            </w:pPr>
          </w:p>
          <w:p w14:paraId="4A828C1A"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10,</w:t>
            </w:r>
            <w:r w:rsidR="00B27D07" w:rsidRPr="00736D2F">
              <w:rPr>
                <w:szCs w:val="22"/>
                <w:lang w:val="lt-LT"/>
              </w:rPr>
              <w:t>9</w:t>
            </w:r>
          </w:p>
        </w:tc>
      </w:tr>
      <w:tr w:rsidR="00B27D07" w:rsidRPr="00736D2F" w14:paraId="2A4BBD56" w14:textId="77777777" w:rsidTr="00DA1FE0">
        <w:tc>
          <w:tcPr>
            <w:tcW w:w="2943" w:type="dxa"/>
            <w:tcBorders>
              <w:top w:val="nil"/>
              <w:left w:val="nil"/>
              <w:bottom w:val="nil"/>
              <w:right w:val="nil"/>
            </w:tcBorders>
            <w:shd w:val="clear" w:color="auto" w:fill="auto"/>
          </w:tcPr>
          <w:p w14:paraId="421574AF" w14:textId="77777777" w:rsidR="00B27D07" w:rsidRPr="00736D2F" w:rsidRDefault="00B27D07" w:rsidP="00DA1FE0">
            <w:pPr>
              <w:tabs>
                <w:tab w:val="center" w:pos="567"/>
              </w:tabs>
              <w:spacing w:line="240" w:lineRule="auto"/>
              <w:contextualSpacing/>
              <w:rPr>
                <w:szCs w:val="22"/>
                <w:lang w:val="lt-LT"/>
              </w:rPr>
            </w:pPr>
            <w:r w:rsidRPr="00736D2F">
              <w:rPr>
                <w:lang w:val="lt-LT"/>
              </w:rPr>
              <w:t>Šlapimo takų infekcija</w:t>
            </w:r>
          </w:p>
        </w:tc>
        <w:tc>
          <w:tcPr>
            <w:tcW w:w="3261" w:type="dxa"/>
            <w:tcBorders>
              <w:top w:val="nil"/>
              <w:left w:val="nil"/>
              <w:bottom w:val="nil"/>
              <w:right w:val="nil"/>
            </w:tcBorders>
            <w:shd w:val="clear" w:color="auto" w:fill="auto"/>
          </w:tcPr>
          <w:p w14:paraId="4C2A3324"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6,</w:t>
            </w:r>
            <w:r w:rsidR="00B27D07" w:rsidRPr="00736D2F">
              <w:rPr>
                <w:szCs w:val="22"/>
                <w:lang w:val="lt-LT"/>
              </w:rPr>
              <w:t>9</w:t>
            </w:r>
          </w:p>
        </w:tc>
        <w:tc>
          <w:tcPr>
            <w:tcW w:w="3402" w:type="dxa"/>
            <w:tcBorders>
              <w:top w:val="nil"/>
              <w:left w:val="nil"/>
              <w:bottom w:val="nil"/>
              <w:right w:val="nil"/>
            </w:tcBorders>
            <w:shd w:val="clear" w:color="auto" w:fill="auto"/>
          </w:tcPr>
          <w:p w14:paraId="09F8D68E"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10,</w:t>
            </w:r>
            <w:r w:rsidR="00B27D07" w:rsidRPr="00736D2F">
              <w:rPr>
                <w:szCs w:val="22"/>
                <w:lang w:val="lt-LT"/>
              </w:rPr>
              <w:t>8</w:t>
            </w:r>
          </w:p>
        </w:tc>
      </w:tr>
      <w:tr w:rsidR="00B27D07" w:rsidRPr="00736D2F" w14:paraId="2083E39D" w14:textId="77777777" w:rsidTr="00DA1FE0">
        <w:tc>
          <w:tcPr>
            <w:tcW w:w="2943" w:type="dxa"/>
            <w:tcBorders>
              <w:top w:val="nil"/>
              <w:left w:val="nil"/>
              <w:bottom w:val="nil"/>
              <w:right w:val="nil"/>
            </w:tcBorders>
            <w:shd w:val="clear" w:color="auto" w:fill="auto"/>
          </w:tcPr>
          <w:p w14:paraId="36AB451D" w14:textId="77777777" w:rsidR="00B27D07" w:rsidRPr="00736D2F" w:rsidRDefault="00B27D07" w:rsidP="00DA1FE0">
            <w:pPr>
              <w:tabs>
                <w:tab w:val="center" w:pos="567"/>
              </w:tabs>
              <w:spacing w:line="240" w:lineRule="auto"/>
              <w:contextualSpacing/>
              <w:rPr>
                <w:szCs w:val="22"/>
                <w:lang w:val="lt-LT"/>
              </w:rPr>
            </w:pPr>
            <w:r w:rsidRPr="00736D2F">
              <w:rPr>
                <w:lang w:val="lt-LT"/>
              </w:rPr>
              <w:lastRenderedPageBreak/>
              <w:t>Periferinė sensorinė neuropatija</w:t>
            </w:r>
          </w:p>
        </w:tc>
        <w:tc>
          <w:tcPr>
            <w:tcW w:w="3261" w:type="dxa"/>
            <w:tcBorders>
              <w:top w:val="nil"/>
              <w:left w:val="nil"/>
              <w:bottom w:val="nil"/>
              <w:right w:val="nil"/>
            </w:tcBorders>
            <w:shd w:val="clear" w:color="auto" w:fill="auto"/>
          </w:tcPr>
          <w:p w14:paraId="63873E34" w14:textId="77777777" w:rsidR="00192288" w:rsidRPr="00736D2F" w:rsidRDefault="00192288" w:rsidP="00DA1FE0">
            <w:pPr>
              <w:tabs>
                <w:tab w:val="center" w:pos="567"/>
              </w:tabs>
              <w:spacing w:line="240" w:lineRule="auto"/>
              <w:contextualSpacing/>
              <w:jc w:val="center"/>
              <w:rPr>
                <w:szCs w:val="22"/>
                <w:lang w:val="lt-LT"/>
              </w:rPr>
            </w:pPr>
          </w:p>
          <w:p w14:paraId="566A3478"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6,</w:t>
            </w:r>
            <w:r w:rsidR="00B27D07" w:rsidRPr="00736D2F">
              <w:rPr>
                <w:szCs w:val="22"/>
                <w:lang w:val="lt-LT"/>
              </w:rPr>
              <w:t>6</w:t>
            </w:r>
          </w:p>
        </w:tc>
        <w:tc>
          <w:tcPr>
            <w:tcW w:w="3402" w:type="dxa"/>
            <w:tcBorders>
              <w:top w:val="nil"/>
              <w:left w:val="nil"/>
              <w:bottom w:val="nil"/>
              <w:right w:val="nil"/>
            </w:tcBorders>
            <w:shd w:val="clear" w:color="auto" w:fill="auto"/>
          </w:tcPr>
          <w:p w14:paraId="436BC8CB" w14:textId="77777777" w:rsidR="00192288" w:rsidRPr="00736D2F" w:rsidRDefault="00192288" w:rsidP="00DA1FE0">
            <w:pPr>
              <w:tabs>
                <w:tab w:val="center" w:pos="567"/>
              </w:tabs>
              <w:spacing w:line="240" w:lineRule="auto"/>
              <w:contextualSpacing/>
              <w:jc w:val="center"/>
              <w:rPr>
                <w:szCs w:val="22"/>
                <w:lang w:val="lt-LT"/>
              </w:rPr>
            </w:pPr>
          </w:p>
          <w:p w14:paraId="1902EE7D"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10,</w:t>
            </w:r>
            <w:r w:rsidR="00B27D07" w:rsidRPr="00736D2F">
              <w:rPr>
                <w:szCs w:val="22"/>
                <w:lang w:val="lt-LT"/>
              </w:rPr>
              <w:t>6</w:t>
            </w:r>
          </w:p>
        </w:tc>
      </w:tr>
      <w:tr w:rsidR="00B27D07" w:rsidRPr="00736D2F" w14:paraId="224B33C0" w14:textId="77777777" w:rsidTr="00DA1FE0">
        <w:tc>
          <w:tcPr>
            <w:tcW w:w="2943" w:type="dxa"/>
            <w:tcBorders>
              <w:top w:val="nil"/>
              <w:left w:val="nil"/>
              <w:bottom w:val="nil"/>
              <w:right w:val="nil"/>
            </w:tcBorders>
            <w:shd w:val="clear" w:color="auto" w:fill="auto"/>
          </w:tcPr>
          <w:p w14:paraId="7EBFCC55" w14:textId="77777777" w:rsidR="00B27D07" w:rsidRPr="00736D2F" w:rsidRDefault="00B27D07" w:rsidP="00DA1FE0">
            <w:pPr>
              <w:tabs>
                <w:tab w:val="center" w:pos="567"/>
              </w:tabs>
              <w:spacing w:line="240" w:lineRule="auto"/>
              <w:contextualSpacing/>
              <w:rPr>
                <w:szCs w:val="22"/>
                <w:lang w:val="lt-LT"/>
              </w:rPr>
            </w:pPr>
            <w:r w:rsidRPr="00736D2F">
              <w:rPr>
                <w:lang w:val="lt-LT"/>
              </w:rPr>
              <w:t>Disgeuzija</w:t>
            </w:r>
          </w:p>
        </w:tc>
        <w:tc>
          <w:tcPr>
            <w:tcW w:w="3261" w:type="dxa"/>
            <w:tcBorders>
              <w:top w:val="nil"/>
              <w:left w:val="nil"/>
              <w:bottom w:val="nil"/>
              <w:right w:val="nil"/>
            </w:tcBorders>
            <w:shd w:val="clear" w:color="auto" w:fill="auto"/>
          </w:tcPr>
          <w:p w14:paraId="1F0ED1F7"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7,</w:t>
            </w:r>
            <w:r w:rsidR="00B27D07" w:rsidRPr="00736D2F">
              <w:rPr>
                <w:szCs w:val="22"/>
                <w:lang w:val="lt-LT"/>
              </w:rPr>
              <w:t>1</w:t>
            </w:r>
          </w:p>
        </w:tc>
        <w:tc>
          <w:tcPr>
            <w:tcW w:w="3402" w:type="dxa"/>
            <w:tcBorders>
              <w:top w:val="nil"/>
              <w:left w:val="nil"/>
              <w:bottom w:val="nil"/>
              <w:right w:val="nil"/>
            </w:tcBorders>
            <w:shd w:val="clear" w:color="auto" w:fill="auto"/>
          </w:tcPr>
          <w:p w14:paraId="1699B897"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10,</w:t>
            </w:r>
            <w:r w:rsidR="00B27D07" w:rsidRPr="00736D2F">
              <w:rPr>
                <w:szCs w:val="22"/>
                <w:lang w:val="lt-LT"/>
              </w:rPr>
              <w:t>6</w:t>
            </w:r>
          </w:p>
        </w:tc>
      </w:tr>
      <w:tr w:rsidR="00B27D07" w:rsidRPr="00736D2F" w14:paraId="08D98556" w14:textId="77777777" w:rsidTr="00DA1FE0">
        <w:tc>
          <w:tcPr>
            <w:tcW w:w="9606" w:type="dxa"/>
            <w:gridSpan w:val="3"/>
            <w:tcBorders>
              <w:top w:val="nil"/>
              <w:left w:val="nil"/>
              <w:bottom w:val="nil"/>
              <w:right w:val="nil"/>
            </w:tcBorders>
            <w:shd w:val="clear" w:color="auto" w:fill="auto"/>
          </w:tcPr>
          <w:p w14:paraId="3A0D1DC0" w14:textId="77777777" w:rsidR="006C3026" w:rsidRDefault="006C3026" w:rsidP="00DA1FE0">
            <w:pPr>
              <w:tabs>
                <w:tab w:val="center" w:pos="567"/>
              </w:tabs>
              <w:spacing w:line="240" w:lineRule="auto"/>
              <w:contextualSpacing/>
              <w:rPr>
                <w:b/>
                <w:bCs/>
                <w:szCs w:val="22"/>
                <w:lang w:val="lt-LT"/>
              </w:rPr>
            </w:pPr>
          </w:p>
          <w:p w14:paraId="243B0FCA" w14:textId="77777777" w:rsidR="00B27D07" w:rsidRPr="00736D2F" w:rsidRDefault="00192288" w:rsidP="00DA1FE0">
            <w:pPr>
              <w:tabs>
                <w:tab w:val="center" w:pos="567"/>
              </w:tabs>
              <w:spacing w:line="240" w:lineRule="auto"/>
              <w:contextualSpacing/>
              <w:rPr>
                <w:b/>
                <w:szCs w:val="22"/>
                <w:lang w:val="lt-LT"/>
              </w:rPr>
            </w:pPr>
            <w:r w:rsidRPr="00736D2F">
              <w:rPr>
                <w:b/>
                <w:bCs/>
                <w:szCs w:val="22"/>
                <w:lang w:val="lt-LT"/>
              </w:rPr>
              <w:t>≥</w:t>
            </w:r>
            <w:r w:rsidRPr="00736D2F">
              <w:rPr>
                <w:b/>
                <w:bCs/>
                <w:spacing w:val="1"/>
                <w:szCs w:val="22"/>
                <w:lang w:val="lt-LT"/>
              </w:rPr>
              <w:t> </w:t>
            </w:r>
            <w:r w:rsidRPr="00736D2F">
              <w:rPr>
                <w:b/>
                <w:lang w:val="lt-LT"/>
              </w:rPr>
              <w:t>3 laipsnio nepageidaujamos reakcijos</w:t>
            </w:r>
            <w:r w:rsidRPr="00736D2F">
              <w:rPr>
                <w:b/>
                <w:vertAlign w:val="superscript"/>
                <w:lang w:val="lt-LT"/>
              </w:rPr>
              <w:t>b</w:t>
            </w:r>
            <w:r w:rsidRPr="00736D2F">
              <w:rPr>
                <w:b/>
                <w:lang w:val="lt-LT"/>
              </w:rPr>
              <w:t xml:space="preserve"> (%)</w:t>
            </w:r>
          </w:p>
        </w:tc>
      </w:tr>
      <w:tr w:rsidR="00B27D07" w:rsidRPr="00736D2F" w14:paraId="018F651F" w14:textId="77777777" w:rsidTr="00DA1FE0">
        <w:tc>
          <w:tcPr>
            <w:tcW w:w="2943" w:type="dxa"/>
            <w:tcBorders>
              <w:top w:val="nil"/>
              <w:left w:val="nil"/>
              <w:bottom w:val="nil"/>
              <w:right w:val="nil"/>
            </w:tcBorders>
            <w:shd w:val="clear" w:color="auto" w:fill="auto"/>
          </w:tcPr>
          <w:p w14:paraId="1BDCFCA0" w14:textId="77777777" w:rsidR="00B27D07" w:rsidRPr="00736D2F" w:rsidRDefault="00192288" w:rsidP="00DA1FE0">
            <w:pPr>
              <w:tabs>
                <w:tab w:val="center" w:pos="567"/>
              </w:tabs>
              <w:spacing w:line="240" w:lineRule="auto"/>
              <w:contextualSpacing/>
              <w:rPr>
                <w:szCs w:val="22"/>
                <w:lang w:val="lt-LT"/>
              </w:rPr>
            </w:pPr>
            <w:r w:rsidRPr="00736D2F">
              <w:rPr>
                <w:lang w:val="lt-LT"/>
              </w:rPr>
              <w:t>Kliniškai pasireiškianti neutropenija</w:t>
            </w:r>
          </w:p>
        </w:tc>
        <w:tc>
          <w:tcPr>
            <w:tcW w:w="3261" w:type="dxa"/>
            <w:tcBorders>
              <w:top w:val="nil"/>
              <w:left w:val="nil"/>
              <w:bottom w:val="nil"/>
              <w:right w:val="nil"/>
            </w:tcBorders>
            <w:shd w:val="clear" w:color="auto" w:fill="auto"/>
          </w:tcPr>
          <w:p w14:paraId="07D44B70" w14:textId="77777777" w:rsidR="00192288" w:rsidRPr="00736D2F" w:rsidRDefault="00192288" w:rsidP="00DA1FE0">
            <w:pPr>
              <w:tabs>
                <w:tab w:val="center" w:pos="567"/>
              </w:tabs>
              <w:spacing w:line="240" w:lineRule="auto"/>
              <w:contextualSpacing/>
              <w:jc w:val="center"/>
              <w:rPr>
                <w:szCs w:val="22"/>
                <w:lang w:val="lt-LT"/>
              </w:rPr>
            </w:pPr>
          </w:p>
          <w:p w14:paraId="765EBBD6"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2,</w:t>
            </w:r>
            <w:r w:rsidR="00B27D07" w:rsidRPr="00736D2F">
              <w:rPr>
                <w:szCs w:val="22"/>
                <w:lang w:val="lt-LT"/>
              </w:rPr>
              <w:t>4</w:t>
            </w:r>
          </w:p>
        </w:tc>
        <w:tc>
          <w:tcPr>
            <w:tcW w:w="3402" w:type="dxa"/>
            <w:tcBorders>
              <w:top w:val="nil"/>
              <w:left w:val="nil"/>
              <w:bottom w:val="nil"/>
              <w:right w:val="nil"/>
            </w:tcBorders>
            <w:shd w:val="clear" w:color="auto" w:fill="auto"/>
          </w:tcPr>
          <w:p w14:paraId="2B58EAC4" w14:textId="77777777" w:rsidR="00192288" w:rsidRPr="00736D2F" w:rsidRDefault="00192288" w:rsidP="00DA1FE0">
            <w:pPr>
              <w:tabs>
                <w:tab w:val="center" w:pos="567"/>
              </w:tabs>
              <w:spacing w:line="240" w:lineRule="auto"/>
              <w:contextualSpacing/>
              <w:jc w:val="center"/>
              <w:rPr>
                <w:szCs w:val="22"/>
                <w:lang w:val="lt-LT"/>
              </w:rPr>
            </w:pPr>
          </w:p>
          <w:p w14:paraId="0D333BF2"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9,</w:t>
            </w:r>
            <w:r w:rsidR="00B27D07" w:rsidRPr="00736D2F">
              <w:rPr>
                <w:szCs w:val="22"/>
                <w:lang w:val="lt-LT"/>
              </w:rPr>
              <w:t>6</w:t>
            </w:r>
          </w:p>
        </w:tc>
      </w:tr>
      <w:tr w:rsidR="00B27D07" w:rsidRPr="00736D2F" w14:paraId="0825813A" w14:textId="77777777" w:rsidTr="00DA1FE0">
        <w:tc>
          <w:tcPr>
            <w:tcW w:w="2943" w:type="dxa"/>
            <w:tcBorders>
              <w:top w:val="nil"/>
              <w:left w:val="nil"/>
              <w:bottom w:val="nil"/>
              <w:right w:val="nil"/>
            </w:tcBorders>
            <w:shd w:val="clear" w:color="auto" w:fill="auto"/>
          </w:tcPr>
          <w:p w14:paraId="7526FE32" w14:textId="77777777" w:rsidR="00B27D07" w:rsidRPr="00736D2F" w:rsidRDefault="00192288" w:rsidP="00DA1FE0">
            <w:pPr>
              <w:tabs>
                <w:tab w:val="center" w:pos="567"/>
              </w:tabs>
              <w:spacing w:line="240" w:lineRule="auto"/>
              <w:contextualSpacing/>
              <w:rPr>
                <w:szCs w:val="22"/>
                <w:lang w:val="lt-LT"/>
              </w:rPr>
            </w:pPr>
            <w:r w:rsidRPr="00736D2F">
              <w:rPr>
                <w:lang w:val="lt-LT"/>
              </w:rPr>
              <w:t>Febrili</w:t>
            </w:r>
            <w:r w:rsidR="00AF5F80">
              <w:rPr>
                <w:lang w:val="lt-LT"/>
              </w:rPr>
              <w:t>nė</w:t>
            </w:r>
            <w:r w:rsidRPr="00736D2F">
              <w:rPr>
                <w:lang w:val="lt-LT"/>
              </w:rPr>
              <w:t xml:space="preserve"> neutropenija</w:t>
            </w:r>
          </w:p>
        </w:tc>
        <w:tc>
          <w:tcPr>
            <w:tcW w:w="3261" w:type="dxa"/>
            <w:tcBorders>
              <w:top w:val="nil"/>
              <w:left w:val="nil"/>
              <w:bottom w:val="nil"/>
              <w:right w:val="nil"/>
            </w:tcBorders>
            <w:shd w:val="clear" w:color="auto" w:fill="auto"/>
          </w:tcPr>
          <w:p w14:paraId="73F2BD3F"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2,</w:t>
            </w:r>
            <w:r w:rsidR="00B27D07" w:rsidRPr="00736D2F">
              <w:rPr>
                <w:szCs w:val="22"/>
                <w:lang w:val="lt-LT"/>
              </w:rPr>
              <w:t>1</w:t>
            </w:r>
          </w:p>
        </w:tc>
        <w:tc>
          <w:tcPr>
            <w:tcW w:w="3402" w:type="dxa"/>
            <w:tcBorders>
              <w:top w:val="nil"/>
              <w:left w:val="nil"/>
              <w:bottom w:val="nil"/>
              <w:right w:val="nil"/>
            </w:tcBorders>
            <w:shd w:val="clear" w:color="auto" w:fill="auto"/>
          </w:tcPr>
          <w:p w14:paraId="425313A5"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9,</w:t>
            </w:r>
            <w:r w:rsidR="00B27D07" w:rsidRPr="00736D2F">
              <w:rPr>
                <w:szCs w:val="22"/>
                <w:lang w:val="lt-LT"/>
              </w:rPr>
              <w:t>2</w:t>
            </w:r>
          </w:p>
        </w:tc>
      </w:tr>
      <w:tr w:rsidR="00B27D07" w:rsidRPr="00736D2F" w14:paraId="754FD2F1" w14:textId="77777777" w:rsidTr="00DA1FE0">
        <w:trPr>
          <w:trHeight w:val="263"/>
        </w:trPr>
        <w:tc>
          <w:tcPr>
            <w:tcW w:w="9606" w:type="dxa"/>
            <w:gridSpan w:val="3"/>
            <w:tcBorders>
              <w:top w:val="nil"/>
              <w:left w:val="nil"/>
              <w:bottom w:val="nil"/>
              <w:right w:val="nil"/>
            </w:tcBorders>
            <w:shd w:val="clear" w:color="auto" w:fill="auto"/>
          </w:tcPr>
          <w:p w14:paraId="21DB5135" w14:textId="77777777" w:rsidR="005F682C" w:rsidRDefault="005F682C" w:rsidP="00DA1FE0">
            <w:pPr>
              <w:tabs>
                <w:tab w:val="center" w:pos="567"/>
              </w:tabs>
              <w:spacing w:line="240" w:lineRule="auto"/>
              <w:contextualSpacing/>
              <w:rPr>
                <w:b/>
                <w:lang w:val="lt-LT"/>
              </w:rPr>
            </w:pPr>
          </w:p>
          <w:p w14:paraId="75C72E80" w14:textId="77777777" w:rsidR="00B27D07" w:rsidRPr="00736D2F" w:rsidRDefault="00192288" w:rsidP="00DA1FE0">
            <w:pPr>
              <w:tabs>
                <w:tab w:val="center" w:pos="567"/>
              </w:tabs>
              <w:spacing w:line="240" w:lineRule="auto"/>
              <w:contextualSpacing/>
              <w:rPr>
                <w:b/>
                <w:szCs w:val="22"/>
                <w:lang w:val="lt-LT"/>
              </w:rPr>
            </w:pPr>
            <w:r w:rsidRPr="00736D2F">
              <w:rPr>
                <w:b/>
                <w:lang w:val="lt-LT"/>
              </w:rPr>
              <w:t>Hematologiniai nukrypimai</w:t>
            </w:r>
            <w:r w:rsidRPr="00736D2F">
              <w:rPr>
                <w:b/>
                <w:vertAlign w:val="superscript"/>
                <w:lang w:val="lt-LT"/>
              </w:rPr>
              <w:t>c</w:t>
            </w:r>
            <w:r w:rsidRPr="00736D2F">
              <w:rPr>
                <w:b/>
                <w:lang w:val="lt-LT"/>
              </w:rPr>
              <w:t xml:space="preserve"> (%)</w:t>
            </w:r>
          </w:p>
        </w:tc>
      </w:tr>
      <w:tr w:rsidR="00B27D07" w:rsidRPr="00736D2F" w14:paraId="2E0A19A5" w14:textId="77777777" w:rsidTr="00DA1FE0">
        <w:tc>
          <w:tcPr>
            <w:tcW w:w="2943" w:type="dxa"/>
            <w:tcBorders>
              <w:top w:val="nil"/>
              <w:left w:val="nil"/>
              <w:bottom w:val="nil"/>
              <w:right w:val="nil"/>
            </w:tcBorders>
            <w:shd w:val="clear" w:color="auto" w:fill="auto"/>
          </w:tcPr>
          <w:p w14:paraId="125C5DDE" w14:textId="77777777" w:rsidR="00B27D07" w:rsidRPr="00736D2F" w:rsidRDefault="00192288" w:rsidP="00DA1FE0">
            <w:pPr>
              <w:tabs>
                <w:tab w:val="center" w:pos="567"/>
                <w:tab w:val="left" w:pos="828"/>
              </w:tabs>
              <w:spacing w:line="240" w:lineRule="auto"/>
              <w:contextualSpacing/>
              <w:rPr>
                <w:szCs w:val="22"/>
                <w:lang w:val="lt-LT"/>
              </w:rPr>
            </w:pPr>
            <w:r w:rsidRPr="00736D2F">
              <w:rPr>
                <w:lang w:val="lt-LT"/>
              </w:rPr>
              <w:t>≥ 3 laipsnio neutropenija</w:t>
            </w:r>
          </w:p>
        </w:tc>
        <w:tc>
          <w:tcPr>
            <w:tcW w:w="3261" w:type="dxa"/>
            <w:tcBorders>
              <w:top w:val="nil"/>
              <w:left w:val="nil"/>
              <w:bottom w:val="nil"/>
              <w:right w:val="nil"/>
            </w:tcBorders>
            <w:shd w:val="clear" w:color="auto" w:fill="auto"/>
          </w:tcPr>
          <w:p w14:paraId="7C89B9ED" w14:textId="77777777" w:rsidR="00B27D07" w:rsidRPr="00736D2F" w:rsidRDefault="00B27D07" w:rsidP="00192288">
            <w:pPr>
              <w:tabs>
                <w:tab w:val="center" w:pos="567"/>
              </w:tabs>
              <w:spacing w:line="240" w:lineRule="auto"/>
              <w:contextualSpacing/>
              <w:jc w:val="center"/>
              <w:rPr>
                <w:szCs w:val="22"/>
                <w:lang w:val="lt-LT"/>
              </w:rPr>
            </w:pPr>
            <w:r w:rsidRPr="00736D2F">
              <w:rPr>
                <w:szCs w:val="22"/>
                <w:lang w:val="lt-LT"/>
              </w:rPr>
              <w:t>41</w:t>
            </w:r>
            <w:r w:rsidR="00192288" w:rsidRPr="00736D2F">
              <w:rPr>
                <w:szCs w:val="22"/>
                <w:lang w:val="lt-LT"/>
              </w:rPr>
              <w:t>,</w:t>
            </w:r>
            <w:r w:rsidRPr="00736D2F">
              <w:rPr>
                <w:szCs w:val="22"/>
                <w:lang w:val="lt-LT"/>
              </w:rPr>
              <w:t>8</w:t>
            </w:r>
          </w:p>
        </w:tc>
        <w:tc>
          <w:tcPr>
            <w:tcW w:w="3402" w:type="dxa"/>
            <w:tcBorders>
              <w:top w:val="nil"/>
              <w:left w:val="nil"/>
              <w:bottom w:val="nil"/>
              <w:right w:val="nil"/>
            </w:tcBorders>
            <w:shd w:val="clear" w:color="auto" w:fill="auto"/>
          </w:tcPr>
          <w:p w14:paraId="4AAEC6B6" w14:textId="77777777" w:rsidR="00B27D07" w:rsidRPr="00736D2F" w:rsidRDefault="00B27D07" w:rsidP="00192288">
            <w:pPr>
              <w:tabs>
                <w:tab w:val="center" w:pos="567"/>
              </w:tabs>
              <w:spacing w:line="240" w:lineRule="auto"/>
              <w:contextualSpacing/>
              <w:jc w:val="center"/>
              <w:rPr>
                <w:szCs w:val="22"/>
                <w:lang w:val="lt-LT"/>
              </w:rPr>
            </w:pPr>
            <w:r w:rsidRPr="00736D2F">
              <w:rPr>
                <w:szCs w:val="22"/>
                <w:lang w:val="lt-LT"/>
              </w:rPr>
              <w:t>73</w:t>
            </w:r>
            <w:r w:rsidR="00192288" w:rsidRPr="00736D2F">
              <w:rPr>
                <w:szCs w:val="22"/>
                <w:lang w:val="lt-LT"/>
              </w:rPr>
              <w:t>,</w:t>
            </w:r>
            <w:r w:rsidRPr="00736D2F">
              <w:rPr>
                <w:szCs w:val="22"/>
                <w:lang w:val="lt-LT"/>
              </w:rPr>
              <w:t>3</w:t>
            </w:r>
          </w:p>
        </w:tc>
      </w:tr>
      <w:tr w:rsidR="00B27D07" w:rsidRPr="00736D2F" w14:paraId="7D4A8447" w14:textId="77777777" w:rsidTr="00DA1FE0">
        <w:tc>
          <w:tcPr>
            <w:tcW w:w="2943" w:type="dxa"/>
            <w:tcBorders>
              <w:top w:val="nil"/>
              <w:left w:val="nil"/>
              <w:bottom w:val="nil"/>
              <w:right w:val="nil"/>
            </w:tcBorders>
            <w:shd w:val="clear" w:color="auto" w:fill="auto"/>
          </w:tcPr>
          <w:p w14:paraId="5486AD80" w14:textId="77777777" w:rsidR="00B27D07" w:rsidRPr="00736D2F" w:rsidRDefault="00192288" w:rsidP="00DA1FE0">
            <w:pPr>
              <w:tabs>
                <w:tab w:val="center" w:pos="567"/>
              </w:tabs>
              <w:spacing w:line="240" w:lineRule="auto"/>
              <w:contextualSpacing/>
              <w:rPr>
                <w:szCs w:val="22"/>
                <w:lang w:val="lt-LT"/>
              </w:rPr>
            </w:pPr>
            <w:r w:rsidRPr="00736D2F">
              <w:rPr>
                <w:lang w:val="lt-LT"/>
              </w:rPr>
              <w:t>≥ 3 laipsnio anemija</w:t>
            </w:r>
          </w:p>
        </w:tc>
        <w:tc>
          <w:tcPr>
            <w:tcW w:w="3261" w:type="dxa"/>
            <w:tcBorders>
              <w:top w:val="nil"/>
              <w:left w:val="nil"/>
              <w:bottom w:val="nil"/>
              <w:right w:val="nil"/>
            </w:tcBorders>
            <w:shd w:val="clear" w:color="auto" w:fill="auto"/>
          </w:tcPr>
          <w:p w14:paraId="4DBAEA2E"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9,</w:t>
            </w:r>
            <w:r w:rsidR="00B27D07" w:rsidRPr="00736D2F">
              <w:rPr>
                <w:szCs w:val="22"/>
                <w:lang w:val="lt-LT"/>
              </w:rPr>
              <w:t>9</w:t>
            </w:r>
          </w:p>
        </w:tc>
        <w:tc>
          <w:tcPr>
            <w:tcW w:w="3402" w:type="dxa"/>
            <w:tcBorders>
              <w:top w:val="nil"/>
              <w:left w:val="nil"/>
              <w:bottom w:val="nil"/>
              <w:right w:val="nil"/>
            </w:tcBorders>
            <w:shd w:val="clear" w:color="auto" w:fill="auto"/>
          </w:tcPr>
          <w:p w14:paraId="16B6C905"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13,</w:t>
            </w:r>
            <w:r w:rsidR="00B27D07" w:rsidRPr="00736D2F">
              <w:rPr>
                <w:szCs w:val="22"/>
                <w:lang w:val="lt-LT"/>
              </w:rPr>
              <w:t>7</w:t>
            </w:r>
          </w:p>
        </w:tc>
      </w:tr>
      <w:tr w:rsidR="00B27D07" w:rsidRPr="00736D2F" w14:paraId="187A1FC0" w14:textId="77777777" w:rsidTr="00DA1FE0">
        <w:tc>
          <w:tcPr>
            <w:tcW w:w="2943" w:type="dxa"/>
            <w:tcBorders>
              <w:top w:val="nil"/>
              <w:left w:val="nil"/>
              <w:bottom w:val="single" w:sz="4" w:space="0" w:color="auto"/>
              <w:right w:val="nil"/>
            </w:tcBorders>
            <w:shd w:val="clear" w:color="auto" w:fill="auto"/>
          </w:tcPr>
          <w:p w14:paraId="2EC1923A" w14:textId="77777777" w:rsidR="00B27D07" w:rsidRPr="00736D2F" w:rsidRDefault="00192288" w:rsidP="00DA1FE0">
            <w:pPr>
              <w:tabs>
                <w:tab w:val="center" w:pos="567"/>
              </w:tabs>
              <w:spacing w:line="240" w:lineRule="auto"/>
              <w:contextualSpacing/>
              <w:rPr>
                <w:szCs w:val="22"/>
                <w:lang w:val="lt-LT"/>
              </w:rPr>
            </w:pPr>
            <w:r w:rsidRPr="00736D2F">
              <w:rPr>
                <w:lang w:val="lt-LT"/>
              </w:rPr>
              <w:t>≥ 3 laipsnio trombocitopenija</w:t>
            </w:r>
          </w:p>
        </w:tc>
        <w:tc>
          <w:tcPr>
            <w:tcW w:w="3261" w:type="dxa"/>
            <w:tcBorders>
              <w:top w:val="nil"/>
              <w:left w:val="nil"/>
              <w:bottom w:val="single" w:sz="4" w:space="0" w:color="auto"/>
              <w:right w:val="nil"/>
            </w:tcBorders>
            <w:shd w:val="clear" w:color="auto" w:fill="auto"/>
          </w:tcPr>
          <w:p w14:paraId="53138D6A"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2,</w:t>
            </w:r>
            <w:r w:rsidR="00B27D07" w:rsidRPr="00736D2F">
              <w:rPr>
                <w:szCs w:val="22"/>
                <w:lang w:val="lt-LT"/>
              </w:rPr>
              <w:t>6</w:t>
            </w:r>
          </w:p>
        </w:tc>
        <w:tc>
          <w:tcPr>
            <w:tcW w:w="3402" w:type="dxa"/>
            <w:tcBorders>
              <w:top w:val="nil"/>
              <w:left w:val="nil"/>
              <w:bottom w:val="single" w:sz="4" w:space="0" w:color="auto"/>
              <w:right w:val="nil"/>
            </w:tcBorders>
            <w:shd w:val="clear" w:color="auto" w:fill="auto"/>
          </w:tcPr>
          <w:p w14:paraId="30250D40" w14:textId="77777777" w:rsidR="00B27D07" w:rsidRPr="00736D2F" w:rsidRDefault="00192288" w:rsidP="00DA1FE0">
            <w:pPr>
              <w:tabs>
                <w:tab w:val="center" w:pos="567"/>
              </w:tabs>
              <w:spacing w:line="240" w:lineRule="auto"/>
              <w:contextualSpacing/>
              <w:jc w:val="center"/>
              <w:rPr>
                <w:szCs w:val="22"/>
                <w:lang w:val="lt-LT"/>
              </w:rPr>
            </w:pPr>
            <w:r w:rsidRPr="00736D2F">
              <w:rPr>
                <w:szCs w:val="22"/>
                <w:lang w:val="lt-LT"/>
              </w:rPr>
              <w:t>4,</w:t>
            </w:r>
            <w:r w:rsidR="00B27D07" w:rsidRPr="00736D2F">
              <w:rPr>
                <w:szCs w:val="22"/>
                <w:lang w:val="lt-LT"/>
              </w:rPr>
              <w:t>2</w:t>
            </w:r>
          </w:p>
        </w:tc>
      </w:tr>
    </w:tbl>
    <w:p w14:paraId="2020D7E0" w14:textId="77777777" w:rsidR="00192288" w:rsidRPr="00736D2F" w:rsidRDefault="00192288" w:rsidP="00B27D07">
      <w:pPr>
        <w:tabs>
          <w:tab w:val="center" w:pos="567"/>
        </w:tabs>
        <w:spacing w:line="240" w:lineRule="auto"/>
        <w:contextualSpacing/>
        <w:rPr>
          <w:lang w:val="lt-LT"/>
        </w:rPr>
      </w:pPr>
      <w:r w:rsidRPr="00736D2F">
        <w:rPr>
          <w:lang w:val="lt-LT"/>
        </w:rPr>
        <w:t>CBZ20 = kabazitakselis 20 mg/m</w:t>
      </w:r>
      <w:r w:rsidRPr="00736D2F">
        <w:rPr>
          <w:vertAlign w:val="superscript"/>
          <w:lang w:val="lt-LT"/>
        </w:rPr>
        <w:t>2</w:t>
      </w:r>
      <w:r w:rsidRPr="00736D2F">
        <w:rPr>
          <w:lang w:val="lt-LT"/>
        </w:rPr>
        <w:t xml:space="preserve"> , CBZ25 = kabazitakselis 25 mg/m</w:t>
      </w:r>
      <w:r w:rsidRPr="00736D2F">
        <w:rPr>
          <w:vertAlign w:val="superscript"/>
          <w:lang w:val="lt-LT"/>
        </w:rPr>
        <w:t>2</w:t>
      </w:r>
      <w:r w:rsidRPr="00736D2F">
        <w:rPr>
          <w:lang w:val="lt-LT"/>
        </w:rPr>
        <w:t xml:space="preserve"> , PRED = prednizonas/prednizolonas </w:t>
      </w:r>
    </w:p>
    <w:p w14:paraId="27067F06" w14:textId="77777777" w:rsidR="00192288" w:rsidRPr="00736D2F" w:rsidRDefault="00192288" w:rsidP="00B27D07">
      <w:pPr>
        <w:tabs>
          <w:tab w:val="center" w:pos="567"/>
        </w:tabs>
        <w:spacing w:line="240" w:lineRule="auto"/>
        <w:contextualSpacing/>
        <w:rPr>
          <w:lang w:val="lt-LT"/>
        </w:rPr>
      </w:pPr>
      <w:r w:rsidRPr="00736D2F">
        <w:rPr>
          <w:vertAlign w:val="superscript"/>
          <w:lang w:val="lt-LT"/>
        </w:rPr>
        <w:t>a</w:t>
      </w:r>
      <w:r w:rsidRPr="00736D2F">
        <w:rPr>
          <w:lang w:val="lt-LT"/>
        </w:rPr>
        <w:t xml:space="preserve"> Visų laipsnių nepageidaujamos reakcijos, kurių dažnis buvo didesnis kaip 10 % </w:t>
      </w:r>
    </w:p>
    <w:p w14:paraId="3F43CA11" w14:textId="77777777" w:rsidR="00192288" w:rsidRPr="00736D2F" w:rsidRDefault="00192288" w:rsidP="00B27D07">
      <w:pPr>
        <w:tabs>
          <w:tab w:val="center" w:pos="567"/>
        </w:tabs>
        <w:spacing w:line="240" w:lineRule="auto"/>
        <w:contextualSpacing/>
        <w:rPr>
          <w:lang w:val="lt-LT"/>
        </w:rPr>
      </w:pPr>
      <w:r w:rsidRPr="00736D2F">
        <w:rPr>
          <w:vertAlign w:val="superscript"/>
          <w:lang w:val="lt-LT"/>
        </w:rPr>
        <w:t>b</w:t>
      </w:r>
      <w:r w:rsidRPr="00736D2F">
        <w:rPr>
          <w:lang w:val="lt-LT"/>
        </w:rPr>
        <w:t xml:space="preserve"> ≥ 3 laipsnio nepageidaujamos reakcijos, kurių dažnis buvo didesnis kaip 5 % </w:t>
      </w:r>
    </w:p>
    <w:p w14:paraId="26ABD38E" w14:textId="77777777" w:rsidR="00192288" w:rsidRPr="00736D2F" w:rsidRDefault="00192288" w:rsidP="00B27D07">
      <w:pPr>
        <w:tabs>
          <w:tab w:val="center" w:pos="567"/>
        </w:tabs>
        <w:spacing w:line="240" w:lineRule="auto"/>
        <w:contextualSpacing/>
        <w:rPr>
          <w:lang w:val="lt-LT"/>
        </w:rPr>
      </w:pPr>
      <w:r w:rsidRPr="00736D2F">
        <w:rPr>
          <w:vertAlign w:val="superscript"/>
          <w:lang w:val="lt-LT"/>
        </w:rPr>
        <w:t>c</w:t>
      </w:r>
      <w:r w:rsidRPr="00736D2F">
        <w:rPr>
          <w:lang w:val="lt-LT"/>
        </w:rPr>
        <w:t xml:space="preserve"> Remiantis laboratoriniais rodmenimis </w:t>
      </w:r>
    </w:p>
    <w:p w14:paraId="28DFBF36" w14:textId="77777777" w:rsidR="00192288" w:rsidRPr="00736D2F" w:rsidRDefault="00192288" w:rsidP="00B27D07">
      <w:pPr>
        <w:tabs>
          <w:tab w:val="center" w:pos="567"/>
        </w:tabs>
        <w:spacing w:line="240" w:lineRule="auto"/>
        <w:contextualSpacing/>
        <w:rPr>
          <w:lang w:val="lt-LT"/>
        </w:rPr>
      </w:pPr>
    </w:p>
    <w:p w14:paraId="2AB73F2E" w14:textId="77777777" w:rsidR="00192288" w:rsidRPr="00736D2F" w:rsidRDefault="00192288" w:rsidP="00B27D07">
      <w:pPr>
        <w:tabs>
          <w:tab w:val="center" w:pos="567"/>
        </w:tabs>
        <w:spacing w:line="240" w:lineRule="auto"/>
        <w:contextualSpacing/>
        <w:rPr>
          <w:u w:val="single"/>
          <w:lang w:val="lt-LT"/>
        </w:rPr>
      </w:pPr>
      <w:r w:rsidRPr="00736D2F">
        <w:rPr>
          <w:u w:val="single"/>
          <w:lang w:val="lt-LT"/>
        </w:rPr>
        <w:t>Vaikų populiacija</w:t>
      </w:r>
    </w:p>
    <w:p w14:paraId="52FF82E7" w14:textId="05DA2E5F" w:rsidR="00192288" w:rsidRPr="00736D2F" w:rsidRDefault="00192288" w:rsidP="00B27D07">
      <w:pPr>
        <w:tabs>
          <w:tab w:val="center" w:pos="567"/>
        </w:tabs>
        <w:spacing w:line="240" w:lineRule="auto"/>
        <w:contextualSpacing/>
        <w:rPr>
          <w:lang w:val="lt-LT"/>
        </w:rPr>
      </w:pPr>
      <w:r w:rsidRPr="00736D2F">
        <w:rPr>
          <w:lang w:val="lt-LT"/>
        </w:rPr>
        <w:t xml:space="preserve">Europos vaistų agentūra </w:t>
      </w:r>
      <w:r w:rsidR="00AF5F80">
        <w:rPr>
          <w:lang w:val="lt-LT"/>
        </w:rPr>
        <w:t>atleido nuo įsipareigojimo</w:t>
      </w:r>
      <w:r w:rsidRPr="00736D2F">
        <w:rPr>
          <w:lang w:val="lt-LT"/>
        </w:rPr>
        <w:t xml:space="preserve"> pateikti </w:t>
      </w:r>
      <w:r w:rsidR="006F1412">
        <w:rPr>
          <w:lang w:val="lt-LT"/>
        </w:rPr>
        <w:t>kabazitekselio</w:t>
      </w:r>
      <w:r w:rsidR="006F1412" w:rsidRPr="00736D2F">
        <w:rPr>
          <w:lang w:val="lt-LT"/>
        </w:rPr>
        <w:t xml:space="preserve"> </w:t>
      </w:r>
      <w:r w:rsidRPr="00736D2F">
        <w:rPr>
          <w:lang w:val="lt-LT"/>
        </w:rPr>
        <w:t>tyrimų</w:t>
      </w:r>
      <w:r w:rsidR="006F1412">
        <w:rPr>
          <w:lang w:val="lt-LT"/>
        </w:rPr>
        <w:t xml:space="preserve"> su</w:t>
      </w:r>
      <w:r w:rsidRPr="00736D2F">
        <w:rPr>
          <w:lang w:val="lt-LT"/>
        </w:rPr>
        <w:t xml:space="preserve"> vis</w:t>
      </w:r>
      <w:r w:rsidR="006F1412">
        <w:rPr>
          <w:lang w:val="lt-LT"/>
        </w:rPr>
        <w:t>ais</w:t>
      </w:r>
      <w:r w:rsidRPr="00736D2F">
        <w:rPr>
          <w:lang w:val="lt-LT"/>
        </w:rPr>
        <w:t xml:space="preserve"> vaikų </w:t>
      </w:r>
      <w:r w:rsidR="006F1412">
        <w:rPr>
          <w:lang w:val="lt-LT"/>
        </w:rPr>
        <w:t xml:space="preserve">populiacijos </w:t>
      </w:r>
      <w:r w:rsidRPr="00736D2F">
        <w:rPr>
          <w:lang w:val="lt-LT"/>
        </w:rPr>
        <w:t>pogrupi</w:t>
      </w:r>
      <w:r w:rsidR="006F1412">
        <w:rPr>
          <w:lang w:val="lt-LT"/>
        </w:rPr>
        <w:t>ais duomenis</w:t>
      </w:r>
      <w:r w:rsidRPr="00736D2F">
        <w:rPr>
          <w:lang w:val="lt-LT"/>
        </w:rPr>
        <w:t xml:space="preserve"> prostatos vėžio indikacijai (vartojim</w:t>
      </w:r>
      <w:r w:rsidR="006F1412">
        <w:rPr>
          <w:lang w:val="lt-LT"/>
        </w:rPr>
        <w:t>o</w:t>
      </w:r>
      <w:r w:rsidRPr="00736D2F">
        <w:rPr>
          <w:lang w:val="lt-LT"/>
        </w:rPr>
        <w:t xml:space="preserve"> vaikams </w:t>
      </w:r>
      <w:r w:rsidR="006F1412">
        <w:rPr>
          <w:lang w:val="lt-LT"/>
        </w:rPr>
        <w:t>informacija pateikiama</w:t>
      </w:r>
      <w:r w:rsidRPr="00736D2F">
        <w:rPr>
          <w:lang w:val="lt-LT"/>
        </w:rPr>
        <w:t xml:space="preserve">. 4.2 skyriuje). </w:t>
      </w:r>
    </w:p>
    <w:p w14:paraId="2F4DC4CA" w14:textId="77777777" w:rsidR="00192288" w:rsidRPr="00736D2F" w:rsidRDefault="00192288" w:rsidP="00B27D07">
      <w:pPr>
        <w:tabs>
          <w:tab w:val="center" w:pos="567"/>
        </w:tabs>
        <w:spacing w:line="240" w:lineRule="auto"/>
        <w:contextualSpacing/>
        <w:rPr>
          <w:lang w:val="lt-LT"/>
        </w:rPr>
      </w:pPr>
    </w:p>
    <w:p w14:paraId="5583504C" w14:textId="73F892B7" w:rsidR="00B27D07" w:rsidRPr="00736D2F" w:rsidRDefault="00192288" w:rsidP="00B27D07">
      <w:pPr>
        <w:tabs>
          <w:tab w:val="center" w:pos="567"/>
        </w:tabs>
        <w:spacing w:line="240" w:lineRule="auto"/>
        <w:contextualSpacing/>
        <w:rPr>
          <w:szCs w:val="22"/>
          <w:lang w:val="lt-LT"/>
        </w:rPr>
      </w:pPr>
      <w:r w:rsidRPr="00736D2F">
        <w:rPr>
          <w:lang w:val="lt-LT"/>
        </w:rPr>
        <w:t>Kabazitakselio poveikis buvo tirtas atviro, daugiacentrio 1/2 fazės tyrimo, kuriame iš viso dalyvavo 39</w:t>
      </w:r>
      <w:r w:rsidR="006F1412">
        <w:rPr>
          <w:lang w:val="lt-LT"/>
        </w:rPr>
        <w:t> </w:t>
      </w:r>
      <w:r w:rsidRPr="00736D2F">
        <w:rPr>
          <w:lang w:val="lt-LT"/>
        </w:rPr>
        <w:t>vaikai ir paaugliai (4-18 metų − 1 fazės tyrimo dalyje ir 3-16 metų − 2 fazės tyrimo dalyje), metu. 2</w:t>
      </w:r>
      <w:r w:rsidR="006F1412">
        <w:rPr>
          <w:lang w:val="lt-LT"/>
        </w:rPr>
        <w:t> </w:t>
      </w:r>
      <w:r w:rsidRPr="00736D2F">
        <w:rPr>
          <w:lang w:val="lt-LT"/>
        </w:rPr>
        <w:t xml:space="preserve">fazės dalies metu monoterapijai vartojamo kabazitakselio (30 mg/m² dozės) veiksmingumas gydant vaikus ir paauglius, sirgusius pasikartojančia ar į gydymą nereaguojančia difuzine vidine pontine glioma (angl. </w:t>
      </w:r>
      <w:r w:rsidRPr="00736D2F">
        <w:rPr>
          <w:i/>
          <w:lang w:val="lt-LT"/>
        </w:rPr>
        <w:t>diffuse intrinsic pontine glioma, DIPG</w:t>
      </w:r>
      <w:r w:rsidRPr="00736D2F">
        <w:rPr>
          <w:lang w:val="lt-LT"/>
        </w:rPr>
        <w:t xml:space="preserve">) ir didelio laipsnio glioma (angl. </w:t>
      </w:r>
      <w:r w:rsidRPr="00736D2F">
        <w:rPr>
          <w:i/>
          <w:lang w:val="lt-LT"/>
        </w:rPr>
        <w:t>high grade glioma, HGG</w:t>
      </w:r>
      <w:r w:rsidRPr="00736D2F">
        <w:rPr>
          <w:lang w:val="lt-LT"/>
        </w:rPr>
        <w:t>), patvirtintas nebuvo.</w:t>
      </w:r>
    </w:p>
    <w:p w14:paraId="29AC686D" w14:textId="77777777" w:rsidR="00B27D07" w:rsidRPr="00736D2F" w:rsidRDefault="00B27D07" w:rsidP="00C92AC0">
      <w:pPr>
        <w:tabs>
          <w:tab w:val="clear" w:pos="567"/>
        </w:tabs>
        <w:spacing w:line="240" w:lineRule="auto"/>
        <w:rPr>
          <w:lang w:val="lt-LT"/>
        </w:rPr>
      </w:pPr>
    </w:p>
    <w:p w14:paraId="562ED7E4" w14:textId="77777777" w:rsidR="00C92AC0" w:rsidRPr="00736D2F" w:rsidRDefault="00C92AC0" w:rsidP="00C92AC0">
      <w:pPr>
        <w:keepNext/>
        <w:jc w:val="both"/>
        <w:outlineLvl w:val="3"/>
        <w:rPr>
          <w:b/>
          <w:bCs/>
          <w:snapToGrid w:val="0"/>
          <w:szCs w:val="28"/>
          <w:lang w:val="lt-LT" w:eastAsia="x-none"/>
        </w:rPr>
      </w:pPr>
      <w:r w:rsidRPr="00736D2F">
        <w:rPr>
          <w:b/>
          <w:bCs/>
          <w:snapToGrid w:val="0"/>
          <w:szCs w:val="28"/>
          <w:lang w:val="lt-LT" w:eastAsia="x-none"/>
        </w:rPr>
        <w:t>5.2</w:t>
      </w:r>
      <w:r w:rsidRPr="00736D2F">
        <w:rPr>
          <w:b/>
          <w:bCs/>
          <w:snapToGrid w:val="0"/>
          <w:szCs w:val="28"/>
          <w:lang w:val="lt-LT" w:eastAsia="x-none"/>
        </w:rPr>
        <w:tab/>
        <w:t>Farmakokinetinės savybės</w:t>
      </w:r>
    </w:p>
    <w:p w14:paraId="5E1D2BCE" w14:textId="77777777" w:rsidR="00C92AC0" w:rsidRPr="00736D2F" w:rsidRDefault="00C92AC0" w:rsidP="00C92AC0">
      <w:pPr>
        <w:tabs>
          <w:tab w:val="clear" w:pos="567"/>
        </w:tabs>
        <w:spacing w:line="240" w:lineRule="auto"/>
        <w:rPr>
          <w:snapToGrid w:val="0"/>
          <w:szCs w:val="24"/>
          <w:lang w:val="lt-LT"/>
        </w:rPr>
      </w:pPr>
    </w:p>
    <w:p w14:paraId="20265FD8" w14:textId="222163A7" w:rsidR="003F1252" w:rsidRPr="00736D2F" w:rsidRDefault="00192288" w:rsidP="00C92AC0">
      <w:pPr>
        <w:ind w:right="-142"/>
        <w:rPr>
          <w:lang w:val="lt-LT"/>
        </w:rPr>
      </w:pPr>
      <w:r w:rsidRPr="00736D2F">
        <w:rPr>
          <w:lang w:val="lt-LT"/>
        </w:rPr>
        <w:t>Populiacinė farmakokinetikos analizė atlikta ištyrus 170 pacientų, įskaitant tuos, kuriems buvo progresavusių s</w:t>
      </w:r>
      <w:r w:rsidR="006F1412">
        <w:rPr>
          <w:lang w:val="lt-LT"/>
        </w:rPr>
        <w:t>olidinių</w:t>
      </w:r>
      <w:r w:rsidRPr="00736D2F">
        <w:rPr>
          <w:lang w:val="lt-LT"/>
        </w:rPr>
        <w:t xml:space="preserve"> navikų (n=69), metastazavęs krūties vėžys (n=34) ir metastazavęs prostatos vėžys (n=67), duomenis. Pacientams kas savaitę ar</w:t>
      </w:r>
      <w:r w:rsidR="003F1252" w:rsidRPr="00736D2F">
        <w:rPr>
          <w:lang w:val="lt-LT"/>
        </w:rPr>
        <w:t xml:space="preserve"> kas 3 savaites infuzuota 10-30 </w:t>
      </w:r>
      <w:r w:rsidRPr="00736D2F">
        <w:rPr>
          <w:lang w:val="lt-LT"/>
        </w:rPr>
        <w:t>mg/m</w:t>
      </w:r>
      <w:r w:rsidRPr="00736D2F">
        <w:rPr>
          <w:vertAlign w:val="superscript"/>
          <w:lang w:val="lt-LT"/>
        </w:rPr>
        <w:t>2</w:t>
      </w:r>
      <w:r w:rsidRPr="00736D2F">
        <w:rPr>
          <w:lang w:val="lt-LT"/>
        </w:rPr>
        <w:t xml:space="preserve"> kabazitakselio dozė. </w:t>
      </w:r>
    </w:p>
    <w:p w14:paraId="7B37AB6B" w14:textId="77777777" w:rsidR="003F1252" w:rsidRPr="00736D2F" w:rsidRDefault="003F1252" w:rsidP="00C92AC0">
      <w:pPr>
        <w:ind w:right="-142"/>
        <w:rPr>
          <w:lang w:val="lt-LT"/>
        </w:rPr>
      </w:pPr>
    </w:p>
    <w:p w14:paraId="21B832CA" w14:textId="77777777" w:rsidR="003F1252" w:rsidRPr="00736D2F" w:rsidRDefault="00192288" w:rsidP="00C92AC0">
      <w:pPr>
        <w:ind w:right="-142"/>
        <w:rPr>
          <w:u w:val="single"/>
          <w:lang w:val="lt-LT"/>
        </w:rPr>
      </w:pPr>
      <w:r w:rsidRPr="00736D2F">
        <w:rPr>
          <w:u w:val="single"/>
          <w:lang w:val="lt-LT"/>
        </w:rPr>
        <w:t xml:space="preserve">Absorbcija </w:t>
      </w:r>
    </w:p>
    <w:p w14:paraId="3281403B" w14:textId="54591B68" w:rsidR="003F1252" w:rsidRPr="00736D2F" w:rsidRDefault="003F1252" w:rsidP="00C92AC0">
      <w:pPr>
        <w:ind w:right="-142"/>
        <w:rPr>
          <w:lang w:val="lt-LT"/>
        </w:rPr>
      </w:pPr>
      <w:r w:rsidRPr="00736D2F">
        <w:rPr>
          <w:lang w:val="lt-LT"/>
        </w:rPr>
        <w:t>Po 1 valandos trukmės 25 </w:t>
      </w:r>
      <w:r w:rsidR="00192288" w:rsidRPr="00736D2F">
        <w:rPr>
          <w:lang w:val="lt-LT"/>
        </w:rPr>
        <w:t>mg/m</w:t>
      </w:r>
      <w:r w:rsidR="00192288" w:rsidRPr="00736D2F">
        <w:rPr>
          <w:vertAlign w:val="superscript"/>
          <w:lang w:val="lt-LT"/>
        </w:rPr>
        <w:t>2</w:t>
      </w:r>
      <w:r w:rsidR="00192288" w:rsidRPr="00736D2F">
        <w:rPr>
          <w:lang w:val="lt-LT"/>
        </w:rPr>
        <w:t xml:space="preserve"> kabazitakselio dozės infuzijos į veną pacientams, sirgusiems metastazavusiu prostatos vėžiu (n=67), C</w:t>
      </w:r>
      <w:r w:rsidR="00192288" w:rsidRPr="00736D2F">
        <w:rPr>
          <w:vertAlign w:val="subscript"/>
          <w:lang w:val="lt-LT"/>
        </w:rPr>
        <w:t>max</w:t>
      </w:r>
      <w:r w:rsidRPr="00736D2F">
        <w:rPr>
          <w:lang w:val="lt-LT"/>
        </w:rPr>
        <w:t xml:space="preserve"> buvo 226 </w:t>
      </w:r>
      <w:r w:rsidR="00192288" w:rsidRPr="00736D2F">
        <w:rPr>
          <w:lang w:val="lt-LT"/>
        </w:rPr>
        <w:t>ng/ml (variacijos koeficientas (V</w:t>
      </w:r>
      <w:r w:rsidR="006F1412">
        <w:rPr>
          <w:lang w:val="lt-LT"/>
        </w:rPr>
        <w:t>K</w:t>
      </w:r>
      <w:r w:rsidR="00192288" w:rsidRPr="00736D2F">
        <w:rPr>
          <w:lang w:val="lt-LT"/>
        </w:rPr>
        <w:t>) 107</w:t>
      </w:r>
      <w:r w:rsidRPr="00736D2F">
        <w:rPr>
          <w:lang w:val="lt-LT"/>
        </w:rPr>
        <w:t> </w:t>
      </w:r>
      <w:r w:rsidR="00192288" w:rsidRPr="00736D2F">
        <w:rPr>
          <w:lang w:val="lt-LT"/>
        </w:rPr>
        <w:t>%) ir buvo pasiekta 1 valandos trukmės infuzijos pabaigoje (T</w:t>
      </w:r>
      <w:r w:rsidR="00192288" w:rsidRPr="00736D2F">
        <w:rPr>
          <w:vertAlign w:val="subscript"/>
          <w:lang w:val="lt-LT"/>
        </w:rPr>
        <w:t>max</w:t>
      </w:r>
      <w:r w:rsidRPr="00736D2F">
        <w:rPr>
          <w:lang w:val="lt-LT"/>
        </w:rPr>
        <w:t>). Vidutinis AUC buvo 991 </w:t>
      </w:r>
      <w:r w:rsidR="00192288" w:rsidRPr="00736D2F">
        <w:rPr>
          <w:lang w:val="lt-LT"/>
        </w:rPr>
        <w:t>ng*val./ml (KV 34</w:t>
      </w:r>
      <w:r w:rsidRPr="00736D2F">
        <w:rPr>
          <w:lang w:val="lt-LT"/>
        </w:rPr>
        <w:t> </w:t>
      </w:r>
      <w:r w:rsidR="00192288" w:rsidRPr="00736D2F">
        <w:rPr>
          <w:lang w:val="lt-LT"/>
        </w:rPr>
        <w:t>%). Reikšmingo nukrypimo nuo do</w:t>
      </w:r>
      <w:r w:rsidRPr="00736D2F">
        <w:rPr>
          <w:lang w:val="lt-LT"/>
        </w:rPr>
        <w:t>zės proporcingumo nuo 10 iki 30 </w:t>
      </w:r>
      <w:r w:rsidR="00192288" w:rsidRPr="00736D2F">
        <w:rPr>
          <w:lang w:val="lt-LT"/>
        </w:rPr>
        <w:t xml:space="preserve">mg/m² dozes </w:t>
      </w:r>
      <w:r w:rsidR="006F1412">
        <w:rPr>
          <w:lang w:val="lt-LT"/>
        </w:rPr>
        <w:t>suleidžiant</w:t>
      </w:r>
      <w:r w:rsidR="006F1412" w:rsidRPr="00736D2F">
        <w:rPr>
          <w:lang w:val="lt-LT"/>
        </w:rPr>
        <w:t xml:space="preserve"> </w:t>
      </w:r>
      <w:r w:rsidR="00192288" w:rsidRPr="00736D2F">
        <w:rPr>
          <w:lang w:val="lt-LT"/>
        </w:rPr>
        <w:t>pacientams, kuriems buvo progresavęs s</w:t>
      </w:r>
      <w:r w:rsidR="006F1412">
        <w:rPr>
          <w:lang w:val="lt-LT"/>
        </w:rPr>
        <w:t>olidinis</w:t>
      </w:r>
      <w:r w:rsidR="00192288" w:rsidRPr="00736D2F">
        <w:rPr>
          <w:lang w:val="lt-LT"/>
        </w:rPr>
        <w:t xml:space="preserve"> navikas (n=126), nebuvo. </w:t>
      </w:r>
    </w:p>
    <w:p w14:paraId="2389F0E6" w14:textId="77777777" w:rsidR="003F1252" w:rsidRPr="00736D2F" w:rsidRDefault="003F1252" w:rsidP="00C92AC0">
      <w:pPr>
        <w:ind w:right="-142"/>
        <w:rPr>
          <w:lang w:val="lt-LT"/>
        </w:rPr>
      </w:pPr>
    </w:p>
    <w:p w14:paraId="7DEB7CBF" w14:textId="77777777" w:rsidR="003F1252" w:rsidRPr="00736D2F" w:rsidRDefault="00192288" w:rsidP="00C92AC0">
      <w:pPr>
        <w:ind w:right="-142"/>
        <w:rPr>
          <w:u w:val="single"/>
          <w:lang w:val="lt-LT"/>
        </w:rPr>
      </w:pPr>
      <w:r w:rsidRPr="00736D2F">
        <w:rPr>
          <w:u w:val="single"/>
          <w:lang w:val="lt-LT"/>
        </w:rPr>
        <w:t xml:space="preserve">Pasiskirstymas </w:t>
      </w:r>
    </w:p>
    <w:p w14:paraId="4E1D9962" w14:textId="797D3D0B" w:rsidR="003F1252" w:rsidRPr="00736D2F" w:rsidRDefault="00192288" w:rsidP="00C92AC0">
      <w:pPr>
        <w:ind w:right="-142"/>
        <w:rPr>
          <w:lang w:val="lt-LT"/>
        </w:rPr>
      </w:pPr>
      <w:r w:rsidRPr="00736D2F">
        <w:rPr>
          <w:lang w:val="lt-LT"/>
        </w:rPr>
        <w:t xml:space="preserve">Nusistovėjus pusiausvyrinei </w:t>
      </w:r>
      <w:r w:rsidR="00224E84">
        <w:rPr>
          <w:lang w:val="lt-LT"/>
        </w:rPr>
        <w:t>koncentracijai</w:t>
      </w:r>
      <w:r w:rsidRPr="00736D2F">
        <w:rPr>
          <w:lang w:val="lt-LT"/>
        </w:rPr>
        <w:t>, pasiskirstymo tūris (V</w:t>
      </w:r>
      <w:r w:rsidRPr="00736D2F">
        <w:rPr>
          <w:vertAlign w:val="subscript"/>
          <w:lang w:val="lt-LT"/>
        </w:rPr>
        <w:t>ss</w:t>
      </w:r>
      <w:r w:rsidRPr="00736D2F">
        <w:rPr>
          <w:lang w:val="lt-LT"/>
        </w:rPr>
        <w:t>) buvo 4870</w:t>
      </w:r>
      <w:r w:rsidR="003F1252" w:rsidRPr="00736D2F">
        <w:rPr>
          <w:lang w:val="lt-LT"/>
        </w:rPr>
        <w:t> l (2640 </w:t>
      </w:r>
      <w:r w:rsidRPr="00736D2F">
        <w:rPr>
          <w:lang w:val="lt-LT"/>
        </w:rPr>
        <w:t>l/m² pac</w:t>
      </w:r>
      <w:r w:rsidR="003F1252" w:rsidRPr="00736D2F">
        <w:rPr>
          <w:lang w:val="lt-LT"/>
        </w:rPr>
        <w:t>ientams, kurių KPP mediana 1,84 </w:t>
      </w:r>
      <w:r w:rsidRPr="00736D2F">
        <w:rPr>
          <w:lang w:val="lt-LT"/>
        </w:rPr>
        <w:t xml:space="preserve">m²). </w:t>
      </w:r>
      <w:r w:rsidRPr="00736D2F">
        <w:rPr>
          <w:i/>
          <w:lang w:val="lt-LT"/>
        </w:rPr>
        <w:t>In vitro</w:t>
      </w:r>
      <w:r w:rsidRPr="00736D2F">
        <w:rPr>
          <w:lang w:val="lt-LT"/>
        </w:rPr>
        <w:t xml:space="preserve"> prie žmogaus serumo baltymų jungėsi 89-92</w:t>
      </w:r>
      <w:r w:rsidR="003F1252" w:rsidRPr="00736D2F">
        <w:rPr>
          <w:lang w:val="lt-LT"/>
        </w:rPr>
        <w:t> </w:t>
      </w:r>
      <w:r w:rsidRPr="00736D2F">
        <w:rPr>
          <w:lang w:val="lt-LT"/>
        </w:rPr>
        <w:t>% kabazitakselio, proces</w:t>
      </w:r>
      <w:r w:rsidR="003F1252" w:rsidRPr="00736D2F">
        <w:rPr>
          <w:lang w:val="lt-LT"/>
        </w:rPr>
        <w:t>as nebuvo įsotinamas iki 50 000 </w:t>
      </w:r>
      <w:r w:rsidRPr="00736D2F">
        <w:rPr>
          <w:lang w:val="lt-LT"/>
        </w:rPr>
        <w:t>ng/ml koncentracijos, o tai apima maksimalią klinikinių tyrimų metu buvusią koncentraciją. Kabazitakselis daugiausia jungiasi prie žmogaus serumo albuminų (82,0</w:t>
      </w:r>
      <w:r w:rsidR="003F1252" w:rsidRPr="00736D2F">
        <w:rPr>
          <w:lang w:val="lt-LT"/>
        </w:rPr>
        <w:t> </w:t>
      </w:r>
      <w:r w:rsidRPr="00736D2F">
        <w:rPr>
          <w:lang w:val="lt-LT"/>
        </w:rPr>
        <w:t>%) ir lipoproteinų (87,9</w:t>
      </w:r>
      <w:r w:rsidR="003F1252" w:rsidRPr="00736D2F">
        <w:rPr>
          <w:lang w:val="lt-LT"/>
        </w:rPr>
        <w:t> </w:t>
      </w:r>
      <w:r w:rsidRPr="00736D2F">
        <w:rPr>
          <w:lang w:val="lt-LT"/>
        </w:rPr>
        <w:t>% prie DTL, 69,8</w:t>
      </w:r>
      <w:r w:rsidR="003F1252" w:rsidRPr="00736D2F">
        <w:rPr>
          <w:lang w:val="lt-LT"/>
        </w:rPr>
        <w:t> </w:t>
      </w:r>
      <w:r w:rsidRPr="00736D2F">
        <w:rPr>
          <w:lang w:val="lt-LT"/>
        </w:rPr>
        <w:t>% prie MTL ir 55,8</w:t>
      </w:r>
      <w:r w:rsidR="003F1252" w:rsidRPr="00736D2F">
        <w:rPr>
          <w:lang w:val="lt-LT"/>
        </w:rPr>
        <w:t> </w:t>
      </w:r>
      <w:r w:rsidRPr="00736D2F">
        <w:rPr>
          <w:lang w:val="lt-LT"/>
        </w:rPr>
        <w:t xml:space="preserve">% prie LMTL). Koncentracijos kraujyje ir plazmoje santykis </w:t>
      </w:r>
      <w:r w:rsidRPr="00736D2F">
        <w:rPr>
          <w:i/>
          <w:lang w:val="lt-LT"/>
        </w:rPr>
        <w:t xml:space="preserve">in vitro </w:t>
      </w:r>
      <w:r w:rsidRPr="00736D2F">
        <w:rPr>
          <w:lang w:val="lt-LT"/>
        </w:rPr>
        <w:t xml:space="preserve">tiriant žmogaus kraują svyruoja nuo 0,90 iki 0,99; tai rodo, kad kabazitakselis tarp kraujo ir plazmos pasiskirsto tolygiai. </w:t>
      </w:r>
    </w:p>
    <w:p w14:paraId="609210F4" w14:textId="77777777" w:rsidR="003F1252" w:rsidRPr="00736D2F" w:rsidRDefault="003F1252" w:rsidP="00C92AC0">
      <w:pPr>
        <w:ind w:right="-142"/>
        <w:rPr>
          <w:lang w:val="lt-LT"/>
        </w:rPr>
      </w:pPr>
    </w:p>
    <w:p w14:paraId="5EA13E00" w14:textId="77777777" w:rsidR="003F1252" w:rsidRPr="00736D2F" w:rsidRDefault="00192288" w:rsidP="00C92AC0">
      <w:pPr>
        <w:ind w:right="-142"/>
        <w:rPr>
          <w:u w:val="single"/>
          <w:lang w:val="lt-LT"/>
        </w:rPr>
      </w:pPr>
      <w:r w:rsidRPr="00736D2F">
        <w:rPr>
          <w:u w:val="single"/>
          <w:lang w:val="lt-LT"/>
        </w:rPr>
        <w:t xml:space="preserve">Biotransformacija </w:t>
      </w:r>
    </w:p>
    <w:p w14:paraId="6AD46C46" w14:textId="77777777" w:rsidR="003F1252" w:rsidRPr="00736D2F" w:rsidRDefault="00192288" w:rsidP="00C92AC0">
      <w:pPr>
        <w:ind w:right="-142"/>
        <w:rPr>
          <w:lang w:val="lt-LT"/>
        </w:rPr>
      </w:pPr>
      <w:r w:rsidRPr="00736D2F">
        <w:rPr>
          <w:lang w:val="lt-LT"/>
        </w:rPr>
        <w:t>Kabazitakselis ekstensyvi</w:t>
      </w:r>
      <w:r w:rsidR="003F1252" w:rsidRPr="00736D2F">
        <w:rPr>
          <w:lang w:val="lt-LT"/>
        </w:rPr>
        <w:t>ai metabolizuojamas kepenyse (&gt; </w:t>
      </w:r>
      <w:r w:rsidRPr="00736D2F">
        <w:rPr>
          <w:lang w:val="lt-LT"/>
        </w:rPr>
        <w:t>95</w:t>
      </w:r>
      <w:r w:rsidR="003F1252" w:rsidRPr="00736D2F">
        <w:rPr>
          <w:lang w:val="lt-LT"/>
        </w:rPr>
        <w:t> </w:t>
      </w:r>
      <w:r w:rsidRPr="00736D2F">
        <w:rPr>
          <w:lang w:val="lt-LT"/>
        </w:rPr>
        <w:t>%), daugiausia dalyvaujant CYP3A izofermentui (80-90</w:t>
      </w:r>
      <w:r w:rsidR="003F1252" w:rsidRPr="00736D2F">
        <w:rPr>
          <w:lang w:val="lt-LT"/>
        </w:rPr>
        <w:t> </w:t>
      </w:r>
      <w:r w:rsidRPr="00736D2F">
        <w:rPr>
          <w:lang w:val="lt-LT"/>
        </w:rPr>
        <w:t>%). Kabazitakselis yra pagrindinė kraujyje cirkuliuojanti medžiaga. Plazmoje nustatyti septyni metabolitai (įskaitant 3 aktyvius metabolitus, susidarančius vykstant O-demetilinimui), pagrindinis metabolitas sudaro 5</w:t>
      </w:r>
      <w:r w:rsidR="003F1252" w:rsidRPr="00736D2F">
        <w:rPr>
          <w:lang w:val="lt-LT"/>
        </w:rPr>
        <w:t> </w:t>
      </w:r>
      <w:r w:rsidRPr="00736D2F">
        <w:rPr>
          <w:lang w:val="lt-LT"/>
        </w:rPr>
        <w:t xml:space="preserve">% pirminės medžiagos ekspozicijos. Su žmogaus šlapimu ir išmatomis išsiskiria maždaug 20 kabazitakselio metabolitų. </w:t>
      </w:r>
    </w:p>
    <w:p w14:paraId="724AB74E" w14:textId="5A58F851" w:rsidR="00192288" w:rsidRPr="00736D2F" w:rsidRDefault="00192288" w:rsidP="00C92AC0">
      <w:pPr>
        <w:ind w:right="-142"/>
        <w:rPr>
          <w:lang w:val="lt-LT"/>
        </w:rPr>
      </w:pPr>
      <w:r w:rsidRPr="00736D2F">
        <w:rPr>
          <w:lang w:val="lt-LT"/>
        </w:rPr>
        <w:t xml:space="preserve">Remiantis </w:t>
      </w:r>
      <w:r w:rsidRPr="00736D2F">
        <w:rPr>
          <w:i/>
          <w:lang w:val="lt-LT"/>
        </w:rPr>
        <w:t>in vitro</w:t>
      </w:r>
      <w:r w:rsidRPr="00736D2F">
        <w:rPr>
          <w:lang w:val="lt-LT"/>
        </w:rPr>
        <w:t xml:space="preserve"> atliktais tyrimais, kabazitakselis, kai koncentracija kliniškai reikšminga, gali kliniškai reikšmingai slopinti vaistinių preparatų, kuriuos daugiausia metabolizuoja CYP3A, poveikį. Vis dėlto klinikinio tyrimo metu buvo nustatyta, kad kabazitakselis (vienkar</w:t>
      </w:r>
      <w:r w:rsidR="003F1252" w:rsidRPr="00736D2F">
        <w:rPr>
          <w:lang w:val="lt-LT"/>
        </w:rPr>
        <w:t xml:space="preserve">tinė per 1 valandą </w:t>
      </w:r>
      <w:r w:rsidR="00224E84">
        <w:rPr>
          <w:lang w:val="lt-LT"/>
        </w:rPr>
        <w:t>suleista</w:t>
      </w:r>
      <w:r w:rsidR="00224E84" w:rsidRPr="00736D2F">
        <w:rPr>
          <w:lang w:val="lt-LT"/>
        </w:rPr>
        <w:t xml:space="preserve"> </w:t>
      </w:r>
      <w:r w:rsidR="003F1252" w:rsidRPr="00736D2F">
        <w:rPr>
          <w:lang w:val="lt-LT"/>
        </w:rPr>
        <w:t>25 </w:t>
      </w:r>
      <w:r w:rsidRPr="00736D2F">
        <w:rPr>
          <w:lang w:val="lt-LT"/>
        </w:rPr>
        <w:t>mg/m</w:t>
      </w:r>
      <w:r w:rsidRPr="00736D2F">
        <w:rPr>
          <w:vertAlign w:val="superscript"/>
          <w:lang w:val="lt-LT"/>
        </w:rPr>
        <w:t>2</w:t>
      </w:r>
      <w:r w:rsidRPr="00736D2F">
        <w:rPr>
          <w:lang w:val="lt-LT"/>
        </w:rPr>
        <w:t xml:space="preserve"> dozė) neturėjo įtakos midazolamo (bandomojo CYP3A substrato) </w:t>
      </w:r>
      <w:r w:rsidR="00B635D5">
        <w:rPr>
          <w:lang w:val="lt-LT"/>
        </w:rPr>
        <w:t>koncentracijai</w:t>
      </w:r>
      <w:r w:rsidR="00B635D5" w:rsidRPr="00736D2F">
        <w:rPr>
          <w:lang w:val="lt-LT"/>
        </w:rPr>
        <w:t xml:space="preserve"> </w:t>
      </w:r>
      <w:r w:rsidRPr="00736D2F">
        <w:rPr>
          <w:lang w:val="lt-LT"/>
        </w:rPr>
        <w:t xml:space="preserve">plazmoje. Vadinasi, kartu vartojant gydomąsias CYP3A substratų ir kabazitakselio dozes, klinikinio poveikio pokytis nėra tikėtinas. Kabazitakselio sukeliamo vaistinių preparatų, kurie yra kitų CYP fermentų (1A2, 2B6, 2C9, 2C8, 2C19, 2E1 ir 2D6) substratai, poveikio slopinimo bei vaistinių preparatų, kurie yra CYP1A, CYP2C9 ir CYP3A substratai, poveikio stiprinimo rizikos nėra. Kabazitakselis </w:t>
      </w:r>
      <w:r w:rsidRPr="00736D2F">
        <w:rPr>
          <w:i/>
          <w:lang w:val="lt-LT"/>
        </w:rPr>
        <w:t>in vitro</w:t>
      </w:r>
      <w:r w:rsidRPr="00736D2F">
        <w:rPr>
          <w:lang w:val="lt-LT"/>
        </w:rPr>
        <w:t xml:space="preserve"> neslopina svarbiausio varfarino biotranformacijos į 7-hidroksivarfariną mechanizmo, kurį inicijuoja CYP2C9. Dėl šios priežasties farmakokinetinė kabazitakselio ir varfarino sąveika </w:t>
      </w:r>
      <w:r w:rsidRPr="00894A0A">
        <w:rPr>
          <w:i/>
          <w:lang w:val="lt-LT"/>
        </w:rPr>
        <w:t xml:space="preserve">in vivo </w:t>
      </w:r>
      <w:r w:rsidRPr="00736D2F">
        <w:rPr>
          <w:lang w:val="lt-LT"/>
        </w:rPr>
        <w:t xml:space="preserve">nėra tikėtina. </w:t>
      </w:r>
      <w:r w:rsidRPr="00736D2F">
        <w:rPr>
          <w:i/>
          <w:lang w:val="lt-LT"/>
        </w:rPr>
        <w:t>In vitro</w:t>
      </w:r>
      <w:r w:rsidRPr="00736D2F">
        <w:rPr>
          <w:lang w:val="lt-LT"/>
        </w:rPr>
        <w:t xml:space="preserve"> kabazitakselis neslopina atsparumo daugeliui vaistinių preparatų baltymų (</w:t>
      </w:r>
      <w:r w:rsidR="00224E84">
        <w:rPr>
          <w:lang w:val="lt-LT"/>
        </w:rPr>
        <w:t xml:space="preserve">angl. </w:t>
      </w:r>
      <w:r w:rsidRPr="00736D2F">
        <w:rPr>
          <w:i/>
          <w:lang w:val="lt-LT"/>
        </w:rPr>
        <w:t>Multidrug</w:t>
      </w:r>
      <w:r w:rsidR="00224E84">
        <w:rPr>
          <w:i/>
          <w:lang w:val="lt-LT"/>
        </w:rPr>
        <w:t>-</w:t>
      </w:r>
      <w:r w:rsidRPr="00736D2F">
        <w:rPr>
          <w:i/>
          <w:lang w:val="lt-LT"/>
        </w:rPr>
        <w:t>Resistant Proteins, MRP</w:t>
      </w:r>
      <w:r w:rsidRPr="00736D2F">
        <w:rPr>
          <w:lang w:val="lt-LT"/>
        </w:rPr>
        <w:t>): MRP1 ir MRP2 arba organinių katijonų pernašų (OKP1). Kabazitakselis slopina su P-glikoproteinu (PgP) (digoksino, vinblastino), krūties vėžio atspariu baltymu (</w:t>
      </w:r>
      <w:r w:rsidRPr="00736D2F">
        <w:rPr>
          <w:i/>
          <w:lang w:val="lt-LT"/>
        </w:rPr>
        <w:t>Breast-Cancer-Resistant-Proteins, BCRP</w:t>
      </w:r>
      <w:r w:rsidRPr="00736D2F">
        <w:rPr>
          <w:lang w:val="lt-LT"/>
        </w:rPr>
        <w:t>) (metotreksato) susijusią pernašą ir organinių anijonų pernašos polipeptidu OAPP1B3 (CCK8), kai koncentracija būna mažiausiai 15 kartų didesnė nei klinikinio vartojimo atveju ir kai jis slopina organinių anijonų pernašos polipeptidą (estradiol-17β</w:t>
      </w:r>
      <w:r w:rsidR="003F1252" w:rsidRPr="00736D2F">
        <w:rPr>
          <w:lang w:val="lt-LT"/>
        </w:rPr>
        <w:t>-</w:t>
      </w:r>
      <w:r w:rsidRPr="00736D2F">
        <w:rPr>
          <w:lang w:val="lt-LT"/>
        </w:rPr>
        <w:t xml:space="preserve">gliukuronidą), kai koncentracija 5 kartus didesnė nei klinikinio vartojimo atveju. Dėl šios priežasties </w:t>
      </w:r>
      <w:r w:rsidRPr="00736D2F">
        <w:rPr>
          <w:i/>
          <w:lang w:val="lt-LT"/>
        </w:rPr>
        <w:t>in vivo</w:t>
      </w:r>
      <w:r w:rsidRPr="00736D2F">
        <w:rPr>
          <w:lang w:val="lt-LT"/>
        </w:rPr>
        <w:t xml:space="preserve"> sąveika su MRP, OKP1, PgP, BCRP ir OAPP1B3 substratais, vartojant 25</w:t>
      </w:r>
      <w:r w:rsidR="003F1252" w:rsidRPr="00736D2F">
        <w:rPr>
          <w:lang w:val="lt-LT"/>
        </w:rPr>
        <w:t> </w:t>
      </w:r>
      <w:r w:rsidRPr="00736D2F">
        <w:rPr>
          <w:lang w:val="lt-LT"/>
        </w:rPr>
        <w:t>mg/m</w:t>
      </w:r>
      <w:r w:rsidRPr="00736D2F">
        <w:rPr>
          <w:vertAlign w:val="superscript"/>
          <w:lang w:val="lt-LT"/>
        </w:rPr>
        <w:t>2</w:t>
      </w:r>
      <w:r w:rsidRPr="00736D2F">
        <w:rPr>
          <w:lang w:val="lt-LT"/>
        </w:rPr>
        <w:t>, dozę nėra tikėtina. Sąveika su OAPP1B1 pern</w:t>
      </w:r>
      <w:r w:rsidR="00224E84">
        <w:rPr>
          <w:lang w:val="lt-LT"/>
        </w:rPr>
        <w:t>a</w:t>
      </w:r>
      <w:r w:rsidRPr="00736D2F">
        <w:rPr>
          <w:lang w:val="lt-LT"/>
        </w:rPr>
        <w:t>ša galima tik infuzijos metu (1 valandą) ir ne ilgiau kaip 20 minučių po jos pabaigos (žr. 4.5 skyrių).</w:t>
      </w:r>
    </w:p>
    <w:p w14:paraId="37673189" w14:textId="77777777" w:rsidR="00192288" w:rsidRPr="00736D2F" w:rsidRDefault="00192288" w:rsidP="00C92AC0">
      <w:pPr>
        <w:ind w:right="-142"/>
        <w:rPr>
          <w:lang w:val="lt-LT"/>
        </w:rPr>
      </w:pPr>
    </w:p>
    <w:p w14:paraId="0CE41489" w14:textId="77777777" w:rsidR="003F1252" w:rsidRPr="00736D2F" w:rsidRDefault="00192288" w:rsidP="00C92AC0">
      <w:pPr>
        <w:ind w:right="-142"/>
        <w:rPr>
          <w:u w:val="single"/>
          <w:lang w:val="lt-LT"/>
        </w:rPr>
      </w:pPr>
      <w:r w:rsidRPr="00736D2F">
        <w:rPr>
          <w:u w:val="single"/>
          <w:lang w:val="lt-LT"/>
        </w:rPr>
        <w:t xml:space="preserve">Eliminacija </w:t>
      </w:r>
    </w:p>
    <w:p w14:paraId="24F4955A" w14:textId="77777777" w:rsidR="003F1252" w:rsidRPr="00736D2F" w:rsidRDefault="00192288" w:rsidP="00C92AC0">
      <w:pPr>
        <w:ind w:right="-142"/>
        <w:rPr>
          <w:lang w:val="lt-LT"/>
        </w:rPr>
      </w:pPr>
      <w:r w:rsidRPr="00736D2F">
        <w:rPr>
          <w:lang w:val="lt-LT"/>
        </w:rPr>
        <w:t>Po 1 valandos trukmės int</w:t>
      </w:r>
      <w:r w:rsidR="003F1252" w:rsidRPr="00736D2F">
        <w:rPr>
          <w:lang w:val="lt-LT"/>
        </w:rPr>
        <w:t>raveninės [14C]-kabazitakso 25 </w:t>
      </w:r>
      <w:r w:rsidRPr="00736D2F">
        <w:rPr>
          <w:lang w:val="lt-LT"/>
        </w:rPr>
        <w:t>mg/m</w:t>
      </w:r>
      <w:r w:rsidRPr="00736D2F">
        <w:rPr>
          <w:vertAlign w:val="superscript"/>
          <w:lang w:val="lt-LT"/>
        </w:rPr>
        <w:t>2</w:t>
      </w:r>
      <w:r w:rsidRPr="00736D2F">
        <w:rPr>
          <w:lang w:val="lt-LT"/>
        </w:rPr>
        <w:t xml:space="preserve"> dozės infuzijos maždaug 80</w:t>
      </w:r>
      <w:r w:rsidR="003F1252" w:rsidRPr="00736D2F">
        <w:rPr>
          <w:lang w:val="lt-LT"/>
        </w:rPr>
        <w:t> </w:t>
      </w:r>
      <w:r w:rsidRPr="00736D2F">
        <w:rPr>
          <w:lang w:val="lt-LT"/>
        </w:rPr>
        <w:t>% suvartotos dozės pasišalino per 2 savaites. Kabazitakselis daugiausia šalinamas su išmatomis įvairių metabolitų pavidalu (76</w:t>
      </w:r>
      <w:r w:rsidR="003F1252" w:rsidRPr="00736D2F">
        <w:rPr>
          <w:lang w:val="lt-LT"/>
        </w:rPr>
        <w:t> </w:t>
      </w:r>
      <w:r w:rsidRPr="00736D2F">
        <w:rPr>
          <w:lang w:val="lt-LT"/>
        </w:rPr>
        <w:t>% dozės); pro inkstus kabazitakselio ir metabolitų pavidalu išsiskiria mažiau kaip 4</w:t>
      </w:r>
      <w:r w:rsidR="003F1252" w:rsidRPr="00736D2F">
        <w:rPr>
          <w:lang w:val="lt-LT"/>
        </w:rPr>
        <w:t> </w:t>
      </w:r>
      <w:r w:rsidRPr="00736D2F">
        <w:rPr>
          <w:lang w:val="lt-LT"/>
        </w:rPr>
        <w:t>% dozės (šlapime būna 2,3</w:t>
      </w:r>
      <w:r w:rsidR="003F1252" w:rsidRPr="00736D2F">
        <w:rPr>
          <w:lang w:val="lt-LT"/>
        </w:rPr>
        <w:t> </w:t>
      </w:r>
      <w:r w:rsidRPr="00736D2F">
        <w:rPr>
          <w:lang w:val="lt-LT"/>
        </w:rPr>
        <w:t xml:space="preserve">% nepakitusio vaistinio preparato). </w:t>
      </w:r>
    </w:p>
    <w:p w14:paraId="56125F68" w14:textId="77777777" w:rsidR="003F1252" w:rsidRPr="00736D2F" w:rsidRDefault="003F1252" w:rsidP="00C92AC0">
      <w:pPr>
        <w:ind w:right="-142"/>
        <w:rPr>
          <w:lang w:val="lt-LT"/>
        </w:rPr>
      </w:pPr>
    </w:p>
    <w:p w14:paraId="19E2FE16" w14:textId="77777777" w:rsidR="003F1252" w:rsidRPr="00736D2F" w:rsidRDefault="00192288" w:rsidP="00C92AC0">
      <w:pPr>
        <w:ind w:right="-142"/>
        <w:rPr>
          <w:lang w:val="lt-LT"/>
        </w:rPr>
      </w:pPr>
      <w:r w:rsidRPr="00736D2F">
        <w:rPr>
          <w:lang w:val="lt-LT"/>
        </w:rPr>
        <w:t>Kabazitakselio plazmos klirensas yra didelis, t. y. 48,5</w:t>
      </w:r>
      <w:r w:rsidR="003F1252" w:rsidRPr="00736D2F">
        <w:rPr>
          <w:lang w:val="lt-LT"/>
        </w:rPr>
        <w:t> l/val. (26,4 </w:t>
      </w:r>
      <w:r w:rsidRPr="00736D2F">
        <w:rPr>
          <w:lang w:val="lt-LT"/>
        </w:rPr>
        <w:t>l/val./m² pac</w:t>
      </w:r>
      <w:r w:rsidR="003F1252" w:rsidRPr="00736D2F">
        <w:rPr>
          <w:lang w:val="lt-LT"/>
        </w:rPr>
        <w:t>ientams, kurių KPP mediana 1,84 </w:t>
      </w:r>
      <w:r w:rsidRPr="00736D2F">
        <w:rPr>
          <w:lang w:val="lt-LT"/>
        </w:rPr>
        <w:t xml:space="preserve">m²), galutinės pusinės eliminacijos laikas ilgas, t. y. 95 valandos. </w:t>
      </w:r>
    </w:p>
    <w:p w14:paraId="343A5BA6" w14:textId="77777777" w:rsidR="003F1252" w:rsidRPr="00736D2F" w:rsidRDefault="003F1252" w:rsidP="00C92AC0">
      <w:pPr>
        <w:ind w:right="-142"/>
        <w:rPr>
          <w:lang w:val="lt-LT"/>
        </w:rPr>
      </w:pPr>
    </w:p>
    <w:p w14:paraId="3DDAB7FC" w14:textId="77777777" w:rsidR="00315848" w:rsidRPr="00736D2F" w:rsidRDefault="00315848" w:rsidP="00C92AC0">
      <w:pPr>
        <w:ind w:right="-142"/>
        <w:rPr>
          <w:lang w:val="lt-LT"/>
        </w:rPr>
      </w:pPr>
      <w:r w:rsidRPr="00736D2F">
        <w:rPr>
          <w:noProof/>
          <w:szCs w:val="22"/>
          <w:u w:val="single"/>
          <w:lang w:val="lt-LT"/>
        </w:rPr>
        <w:t>Ypatingos populiacijos</w:t>
      </w:r>
      <w:r w:rsidRPr="00736D2F">
        <w:rPr>
          <w:lang w:val="lt-LT"/>
        </w:rPr>
        <w:t xml:space="preserve"> </w:t>
      </w:r>
    </w:p>
    <w:p w14:paraId="0AD11FBC" w14:textId="77777777" w:rsidR="00315848" w:rsidRPr="00736D2F" w:rsidRDefault="00315848" w:rsidP="00C92AC0">
      <w:pPr>
        <w:ind w:right="-142"/>
        <w:rPr>
          <w:lang w:val="lt-LT"/>
        </w:rPr>
      </w:pPr>
    </w:p>
    <w:p w14:paraId="13BB12F7" w14:textId="77777777" w:rsidR="00315848" w:rsidRPr="00736D2F" w:rsidRDefault="00192288" w:rsidP="00C92AC0">
      <w:pPr>
        <w:ind w:right="-142"/>
        <w:rPr>
          <w:i/>
          <w:lang w:val="lt-LT"/>
        </w:rPr>
      </w:pPr>
      <w:r w:rsidRPr="00736D2F">
        <w:rPr>
          <w:i/>
          <w:lang w:val="lt-LT"/>
        </w:rPr>
        <w:t xml:space="preserve">Senyvi pacientai </w:t>
      </w:r>
    </w:p>
    <w:p w14:paraId="0AD352E5" w14:textId="77777777" w:rsidR="00315848" w:rsidRPr="00736D2F" w:rsidRDefault="00192288" w:rsidP="00C92AC0">
      <w:pPr>
        <w:ind w:right="-142"/>
        <w:rPr>
          <w:lang w:val="lt-LT"/>
        </w:rPr>
      </w:pPr>
      <w:r w:rsidRPr="00736D2F">
        <w:rPr>
          <w:lang w:val="lt-LT"/>
        </w:rPr>
        <w:t xml:space="preserve">Populiacinės farmakokinetikos analizės metu tirti 70 pacientų, kurie buvo 65 metų ar vyresni (57 pacientai 65-75 metų ir 13 pacientų vyresni kaip 75 metų). Amžius poveikio kabazitakselio farmakokinetikai nedarė. </w:t>
      </w:r>
    </w:p>
    <w:p w14:paraId="681FC167" w14:textId="77777777" w:rsidR="00315848" w:rsidRPr="00736D2F" w:rsidRDefault="00315848" w:rsidP="00C92AC0">
      <w:pPr>
        <w:ind w:right="-142"/>
        <w:rPr>
          <w:lang w:val="lt-LT"/>
        </w:rPr>
      </w:pPr>
    </w:p>
    <w:p w14:paraId="254B7EB0" w14:textId="77777777" w:rsidR="00315848" w:rsidRPr="00736D2F" w:rsidRDefault="00192288" w:rsidP="00C92AC0">
      <w:pPr>
        <w:ind w:right="-142"/>
        <w:rPr>
          <w:i/>
          <w:lang w:val="lt-LT"/>
        </w:rPr>
      </w:pPr>
      <w:r w:rsidRPr="00736D2F">
        <w:rPr>
          <w:i/>
          <w:lang w:val="lt-LT"/>
        </w:rPr>
        <w:t xml:space="preserve">Vaikų populiacija </w:t>
      </w:r>
    </w:p>
    <w:p w14:paraId="5C47D97D" w14:textId="77777777" w:rsidR="00315848" w:rsidRPr="00736D2F" w:rsidRDefault="00192288" w:rsidP="00C92AC0">
      <w:pPr>
        <w:ind w:right="-142"/>
        <w:rPr>
          <w:lang w:val="lt-LT"/>
        </w:rPr>
      </w:pPr>
      <w:r w:rsidRPr="00736D2F">
        <w:rPr>
          <w:lang w:val="lt-LT"/>
        </w:rPr>
        <w:t xml:space="preserve">Vaikų ir jaunesnių kaip 18 metų paauglių gydymo </w:t>
      </w:r>
      <w:r w:rsidR="00315848" w:rsidRPr="00736D2F">
        <w:rPr>
          <w:lang w:val="lt-LT"/>
        </w:rPr>
        <w:t>kabazitakselio</w:t>
      </w:r>
      <w:r w:rsidRPr="00736D2F">
        <w:rPr>
          <w:lang w:val="lt-LT"/>
        </w:rPr>
        <w:t xml:space="preserve"> saugumas ir efektyvumas nenustatyti. </w:t>
      </w:r>
    </w:p>
    <w:p w14:paraId="4B6F690D" w14:textId="77777777" w:rsidR="00315848" w:rsidRPr="00736D2F" w:rsidRDefault="00315848" w:rsidP="00C92AC0">
      <w:pPr>
        <w:ind w:right="-142"/>
        <w:rPr>
          <w:lang w:val="lt-LT"/>
        </w:rPr>
      </w:pPr>
    </w:p>
    <w:p w14:paraId="0C1DECFF" w14:textId="77777777" w:rsidR="00315848" w:rsidRPr="00736D2F" w:rsidRDefault="00315848" w:rsidP="00C92AC0">
      <w:pPr>
        <w:ind w:right="-142"/>
        <w:rPr>
          <w:i/>
          <w:lang w:val="lt-LT"/>
        </w:rPr>
      </w:pPr>
      <w:r w:rsidRPr="00736D2F">
        <w:rPr>
          <w:i/>
          <w:iCs/>
          <w:snapToGrid w:val="0"/>
          <w:color w:val="000000"/>
          <w:szCs w:val="22"/>
          <w:lang w:val="lt-LT"/>
        </w:rPr>
        <w:t>Sutrikusi kepenų funkcija</w:t>
      </w:r>
      <w:r w:rsidRPr="00736D2F">
        <w:rPr>
          <w:i/>
          <w:lang w:val="lt-LT"/>
        </w:rPr>
        <w:t xml:space="preserve"> </w:t>
      </w:r>
    </w:p>
    <w:p w14:paraId="73199ADF" w14:textId="77777777" w:rsidR="00315848" w:rsidRPr="00736D2F" w:rsidRDefault="00192288" w:rsidP="00C92AC0">
      <w:pPr>
        <w:ind w:right="-142"/>
        <w:rPr>
          <w:lang w:val="lt-LT"/>
        </w:rPr>
      </w:pPr>
      <w:r w:rsidRPr="00736D2F">
        <w:rPr>
          <w:lang w:val="lt-LT"/>
        </w:rPr>
        <w:t xml:space="preserve">Kabazitakselis daugiausia šalinamas vykstant metabolizmui kepenyse. </w:t>
      </w:r>
    </w:p>
    <w:p w14:paraId="38574B9B" w14:textId="5E2674F8" w:rsidR="00315848" w:rsidRPr="00736D2F" w:rsidRDefault="00192288" w:rsidP="00C92AC0">
      <w:pPr>
        <w:ind w:right="-142"/>
        <w:rPr>
          <w:lang w:val="lt-LT"/>
        </w:rPr>
      </w:pPr>
      <w:r w:rsidRPr="00736D2F">
        <w:rPr>
          <w:lang w:val="lt-LT"/>
        </w:rPr>
        <w:t>Tikslinio tyrimo, kuriame dalyvavo 43 vėžiu ir kepenų funkcijos sutrikimu sergantys pacientai, metu duomenų apie lengvo (</w:t>
      </w:r>
      <w:r w:rsidR="00315848" w:rsidRPr="00736D2F">
        <w:rPr>
          <w:lang w:val="lt-LT"/>
        </w:rPr>
        <w:t xml:space="preserve">bendra bilirubino </w:t>
      </w:r>
      <w:r w:rsidR="00B635D5">
        <w:rPr>
          <w:lang w:val="lt-LT"/>
        </w:rPr>
        <w:t>koncentracija</w:t>
      </w:r>
      <w:r w:rsidR="00B635D5" w:rsidRPr="00736D2F">
        <w:rPr>
          <w:lang w:val="lt-LT"/>
        </w:rPr>
        <w:t xml:space="preserve"> </w:t>
      </w:r>
      <w:r w:rsidR="00315848" w:rsidRPr="00736D2F">
        <w:rPr>
          <w:lang w:val="lt-LT"/>
        </w:rPr>
        <w:t xml:space="preserve">nuo &gt; 1 iki ≤ 1,5 x VNR arba AST </w:t>
      </w:r>
      <w:r w:rsidR="00224E84">
        <w:rPr>
          <w:lang w:val="lt-LT"/>
        </w:rPr>
        <w:t xml:space="preserve">aktyvumas </w:t>
      </w:r>
      <w:r w:rsidR="00315848" w:rsidRPr="00736D2F">
        <w:rPr>
          <w:lang w:val="lt-LT"/>
        </w:rPr>
        <w:t>&gt; 1,5 x </w:t>
      </w:r>
      <w:r w:rsidRPr="00736D2F">
        <w:rPr>
          <w:lang w:val="lt-LT"/>
        </w:rPr>
        <w:t>VNR) ar vidutinio sunkumo (</w:t>
      </w:r>
      <w:r w:rsidR="00315848" w:rsidRPr="00736D2F">
        <w:rPr>
          <w:lang w:val="lt-LT"/>
        </w:rPr>
        <w:t xml:space="preserve">bendra bilirubino </w:t>
      </w:r>
      <w:r w:rsidR="00B635D5">
        <w:rPr>
          <w:lang w:val="lt-LT"/>
        </w:rPr>
        <w:t>koncentracija</w:t>
      </w:r>
      <w:r w:rsidR="00315848" w:rsidRPr="00736D2F">
        <w:rPr>
          <w:lang w:val="lt-LT"/>
        </w:rPr>
        <w:t xml:space="preserve"> nuo &gt; 1,5 iki ≤ 3,0 x </w:t>
      </w:r>
      <w:r w:rsidRPr="00736D2F">
        <w:rPr>
          <w:lang w:val="lt-LT"/>
        </w:rPr>
        <w:t xml:space="preserve">VNR) kepenų </w:t>
      </w:r>
      <w:r w:rsidRPr="00736D2F">
        <w:rPr>
          <w:lang w:val="lt-LT"/>
        </w:rPr>
        <w:lastRenderedPageBreak/>
        <w:t>funkcijos sutrikimo poveikį kabazitakselio farmakokinetikai negauta. Kabazitakselio maksimali toleruojama</w:t>
      </w:r>
      <w:r w:rsidR="00315848" w:rsidRPr="00736D2F">
        <w:rPr>
          <w:lang w:val="lt-LT"/>
        </w:rPr>
        <w:t xml:space="preserve"> dozė (MTD) buvo atitinkamai 20 </w:t>
      </w:r>
      <w:r w:rsidRPr="00736D2F">
        <w:rPr>
          <w:lang w:val="lt-LT"/>
        </w:rPr>
        <w:t>mg/m</w:t>
      </w:r>
      <w:r w:rsidRPr="00736D2F">
        <w:rPr>
          <w:vertAlign w:val="superscript"/>
          <w:lang w:val="lt-LT"/>
        </w:rPr>
        <w:t>2</w:t>
      </w:r>
      <w:r w:rsidR="00315848" w:rsidRPr="00736D2F">
        <w:rPr>
          <w:lang w:val="lt-LT"/>
        </w:rPr>
        <w:t xml:space="preserve"> ir 15 </w:t>
      </w:r>
      <w:r w:rsidRPr="00736D2F">
        <w:rPr>
          <w:lang w:val="lt-LT"/>
        </w:rPr>
        <w:t>mg/m</w:t>
      </w:r>
      <w:r w:rsidRPr="00736D2F">
        <w:rPr>
          <w:vertAlign w:val="superscript"/>
          <w:lang w:val="lt-LT"/>
        </w:rPr>
        <w:t>2</w:t>
      </w:r>
      <w:r w:rsidRPr="00736D2F">
        <w:rPr>
          <w:lang w:val="lt-LT"/>
        </w:rPr>
        <w:t xml:space="preserve">. </w:t>
      </w:r>
    </w:p>
    <w:p w14:paraId="07FC570C" w14:textId="46913740" w:rsidR="00315848" w:rsidRPr="00736D2F" w:rsidRDefault="00192288" w:rsidP="00C92AC0">
      <w:pPr>
        <w:ind w:right="-142"/>
        <w:rPr>
          <w:lang w:val="lt-LT"/>
        </w:rPr>
      </w:pPr>
      <w:r w:rsidRPr="00736D2F">
        <w:rPr>
          <w:lang w:val="lt-LT"/>
        </w:rPr>
        <w:t>3 pacientams, kuriems buvo sunkus kepenų funkcijos sutrikim</w:t>
      </w:r>
      <w:r w:rsidR="00315848" w:rsidRPr="00736D2F">
        <w:rPr>
          <w:lang w:val="lt-LT"/>
        </w:rPr>
        <w:t xml:space="preserve">as (bendra bilirubino </w:t>
      </w:r>
      <w:r w:rsidR="00B635D5">
        <w:rPr>
          <w:lang w:val="lt-LT"/>
        </w:rPr>
        <w:t>koncentracija</w:t>
      </w:r>
      <w:r w:rsidR="00315848" w:rsidRPr="00736D2F">
        <w:rPr>
          <w:lang w:val="lt-LT"/>
        </w:rPr>
        <w:t xml:space="preserve"> &gt; 3 </w:t>
      </w:r>
      <w:r w:rsidRPr="00736D2F">
        <w:rPr>
          <w:lang w:val="lt-LT"/>
        </w:rPr>
        <w:t>VNR), buvo nustatytas klirenso sumažėjimas 39</w:t>
      </w:r>
      <w:r w:rsidR="00315848" w:rsidRPr="00736D2F">
        <w:rPr>
          <w:lang w:val="lt-LT"/>
        </w:rPr>
        <w:t> </w:t>
      </w:r>
      <w:r w:rsidRPr="00736D2F">
        <w:rPr>
          <w:lang w:val="lt-LT"/>
        </w:rPr>
        <w:t xml:space="preserve">%, palyginti su rodmeniu pacientų, kuriems buvo lengvas kepenų funkcijos sutrikimas, organizme, tai rodo, kad sunkus kepenų funkcijos sutrikimas sukelia tam tikrą poveikį kabazitakselio farmakokinetikai. Kabazitakselio MTD pacientams, kuriems yra sunkus kepenų funkcijos sutrikimas, nenustatyta. </w:t>
      </w:r>
    </w:p>
    <w:p w14:paraId="76A423C0" w14:textId="77777777" w:rsidR="00315848" w:rsidRPr="00736D2F" w:rsidRDefault="00192288" w:rsidP="00C92AC0">
      <w:pPr>
        <w:ind w:right="-142"/>
        <w:rPr>
          <w:lang w:val="lt-LT"/>
        </w:rPr>
      </w:pPr>
      <w:r w:rsidRPr="00736D2F">
        <w:rPr>
          <w:lang w:val="lt-LT"/>
        </w:rPr>
        <w:t>Remianti</w:t>
      </w:r>
      <w:r w:rsidR="00315848" w:rsidRPr="00736D2F">
        <w:rPr>
          <w:lang w:val="lt-LT"/>
        </w:rPr>
        <w:t>s</w:t>
      </w:r>
      <w:r w:rsidRPr="00736D2F">
        <w:rPr>
          <w:lang w:val="lt-LT"/>
        </w:rPr>
        <w:t xml:space="preserve"> saugumo ir toleravimo duomenimis, pacientams, kuriems yra lengvas kepenų funkcijos sutrikimas, kabazitakselio dozę reikia sumažinti (žr. 4.2 ir 4.4 skyrius). </w:t>
      </w:r>
      <w:r w:rsidR="00315848" w:rsidRPr="00736D2F">
        <w:rPr>
          <w:lang w:val="lt-LT"/>
        </w:rPr>
        <w:t>Cabazitaxel Teva</w:t>
      </w:r>
      <w:r w:rsidRPr="00736D2F">
        <w:rPr>
          <w:lang w:val="lt-LT"/>
        </w:rPr>
        <w:t xml:space="preserve"> negalima vartoti pacientams, kuriems yra sunkus kepenų funkcijos sutrikimas (žr. 4.3 skyrių). </w:t>
      </w:r>
    </w:p>
    <w:p w14:paraId="11FC6607" w14:textId="77777777" w:rsidR="00315848" w:rsidRPr="00736D2F" w:rsidRDefault="00315848" w:rsidP="00C92AC0">
      <w:pPr>
        <w:ind w:right="-142"/>
        <w:rPr>
          <w:lang w:val="lt-LT"/>
        </w:rPr>
      </w:pPr>
    </w:p>
    <w:p w14:paraId="1AE2D5F7" w14:textId="77777777" w:rsidR="00315848" w:rsidRPr="00736D2F" w:rsidRDefault="00315848" w:rsidP="00C92AC0">
      <w:pPr>
        <w:ind w:right="-142"/>
        <w:rPr>
          <w:i/>
          <w:lang w:val="lt-LT"/>
        </w:rPr>
      </w:pPr>
      <w:r w:rsidRPr="00736D2F">
        <w:rPr>
          <w:i/>
          <w:iCs/>
          <w:snapToGrid w:val="0"/>
          <w:color w:val="000000"/>
          <w:szCs w:val="22"/>
          <w:lang w:val="lt-LT"/>
        </w:rPr>
        <w:t>Sutrikusi inkstų funkcija</w:t>
      </w:r>
      <w:r w:rsidRPr="00736D2F">
        <w:rPr>
          <w:i/>
          <w:lang w:val="lt-LT"/>
        </w:rPr>
        <w:t xml:space="preserve"> </w:t>
      </w:r>
    </w:p>
    <w:p w14:paraId="0B3719C9" w14:textId="77777777" w:rsidR="00192288" w:rsidRPr="00736D2F" w:rsidRDefault="00192288" w:rsidP="00C92AC0">
      <w:pPr>
        <w:ind w:right="-142"/>
        <w:rPr>
          <w:lang w:val="lt-LT"/>
        </w:rPr>
      </w:pPr>
      <w:r w:rsidRPr="00736D2F">
        <w:rPr>
          <w:lang w:val="lt-LT"/>
        </w:rPr>
        <w:t>Pro inkstus kabazitakselio išskiriama labai mažai (2,3</w:t>
      </w:r>
      <w:r w:rsidR="00315848" w:rsidRPr="00736D2F">
        <w:rPr>
          <w:lang w:val="lt-LT"/>
        </w:rPr>
        <w:t> </w:t>
      </w:r>
      <w:r w:rsidRPr="00736D2F">
        <w:rPr>
          <w:lang w:val="lt-LT"/>
        </w:rPr>
        <w:t>% dozės). Į populiacinę farmakokinetinę analizę (iš viso išanalizuoti 170 pacientų duomenys) buvo įtraukti ir 14 pacientų, kuriems buvo vidutinio sunkumo inkstų funkcijos sutriki</w:t>
      </w:r>
      <w:r w:rsidR="00315848" w:rsidRPr="00736D2F">
        <w:rPr>
          <w:lang w:val="lt-LT"/>
        </w:rPr>
        <w:t>mas (kreatinino klirensas 30-50 </w:t>
      </w:r>
      <w:r w:rsidRPr="00736D2F">
        <w:rPr>
          <w:lang w:val="lt-LT"/>
        </w:rPr>
        <w:t>ml/min.), ir 59 pacientai, kuriems buvo lengvas inkstų funkcijos sutriki</w:t>
      </w:r>
      <w:r w:rsidR="00315848" w:rsidRPr="00736D2F">
        <w:rPr>
          <w:lang w:val="lt-LT"/>
        </w:rPr>
        <w:t>mas (kreatinino klirensas 50-80 </w:t>
      </w:r>
      <w:r w:rsidRPr="00736D2F">
        <w:rPr>
          <w:lang w:val="lt-LT"/>
        </w:rPr>
        <w:t>ml/min.). Nustatyta, kad lengvas ar vidutinio sunkumo inkstų funkcijos sutrikimas reikšmingo poveikio kabazitakselio farmakokinetikai nesukelia. Tai buvo patvirtinta atlikus tam skirtą palyginamąjį farmakokinetikos tyrimą, kuriame dalyvavusiems solidiniu vėžiu sergantiems pacientams, kurių inkstų funkcija buvo normali (8 pacientai) arba kuriems buvo vidutinio sunkumo (8 pacientai) ar sunkus (9 pacientai) inkstų funkcijos sutrikimas, buvo atlikti keli gydymo kaba</w:t>
      </w:r>
      <w:r w:rsidR="00315848" w:rsidRPr="00736D2F">
        <w:rPr>
          <w:lang w:val="lt-LT"/>
        </w:rPr>
        <w:t>zitakseliu (vienkartinės iki 25 </w:t>
      </w:r>
      <w:r w:rsidRPr="00736D2F">
        <w:rPr>
          <w:lang w:val="lt-LT"/>
        </w:rPr>
        <w:t>mg/m</w:t>
      </w:r>
      <w:r w:rsidRPr="00736D2F">
        <w:rPr>
          <w:vertAlign w:val="superscript"/>
          <w:lang w:val="lt-LT"/>
        </w:rPr>
        <w:t>2</w:t>
      </w:r>
      <w:r w:rsidRPr="00736D2F">
        <w:rPr>
          <w:lang w:val="lt-LT"/>
        </w:rPr>
        <w:t xml:space="preserve"> dozės infuzija į veną) ciklai.</w:t>
      </w:r>
    </w:p>
    <w:p w14:paraId="5BE4D835" w14:textId="77777777" w:rsidR="00C92AC0" w:rsidRPr="00736D2F" w:rsidRDefault="00C92AC0" w:rsidP="00C92AC0">
      <w:pPr>
        <w:keepNext/>
        <w:jc w:val="both"/>
        <w:outlineLvl w:val="3"/>
        <w:rPr>
          <w:snapToGrid w:val="0"/>
          <w:szCs w:val="22"/>
          <w:lang w:val="lt-LT"/>
        </w:rPr>
      </w:pPr>
    </w:p>
    <w:p w14:paraId="75475F30" w14:textId="77777777" w:rsidR="00C92AC0" w:rsidRPr="00736D2F" w:rsidRDefault="00C92AC0" w:rsidP="00C92AC0">
      <w:pPr>
        <w:keepNext/>
        <w:jc w:val="both"/>
        <w:outlineLvl w:val="3"/>
        <w:rPr>
          <w:b/>
          <w:bCs/>
          <w:snapToGrid w:val="0"/>
          <w:szCs w:val="28"/>
          <w:lang w:val="lt-LT" w:eastAsia="x-none"/>
        </w:rPr>
      </w:pPr>
      <w:r w:rsidRPr="00736D2F">
        <w:rPr>
          <w:b/>
          <w:bCs/>
          <w:snapToGrid w:val="0"/>
          <w:szCs w:val="28"/>
          <w:lang w:val="lt-LT" w:eastAsia="x-none"/>
        </w:rPr>
        <w:t>5.3</w:t>
      </w:r>
      <w:r w:rsidRPr="00736D2F">
        <w:rPr>
          <w:b/>
          <w:bCs/>
          <w:snapToGrid w:val="0"/>
          <w:szCs w:val="28"/>
          <w:lang w:val="lt-LT" w:eastAsia="x-none"/>
        </w:rPr>
        <w:tab/>
        <w:t>Ikiklinikinių saugumo tyrimų duomenys</w:t>
      </w:r>
    </w:p>
    <w:p w14:paraId="4E1BB0E5" w14:textId="77777777" w:rsidR="00C92AC0" w:rsidRPr="00736D2F" w:rsidRDefault="00C92AC0" w:rsidP="00C92AC0">
      <w:pPr>
        <w:tabs>
          <w:tab w:val="clear" w:pos="567"/>
        </w:tabs>
        <w:spacing w:line="240" w:lineRule="auto"/>
        <w:rPr>
          <w:snapToGrid w:val="0"/>
          <w:szCs w:val="24"/>
          <w:lang w:val="lt-LT"/>
        </w:rPr>
      </w:pPr>
    </w:p>
    <w:p w14:paraId="175E0FCB" w14:textId="77777777" w:rsidR="00315848" w:rsidRPr="00736D2F" w:rsidRDefault="00192288" w:rsidP="00C92AC0">
      <w:pPr>
        <w:tabs>
          <w:tab w:val="clear" w:pos="567"/>
        </w:tabs>
        <w:spacing w:line="240" w:lineRule="auto"/>
        <w:rPr>
          <w:lang w:val="lt-LT"/>
        </w:rPr>
      </w:pPr>
      <w:r w:rsidRPr="00736D2F">
        <w:rPr>
          <w:lang w:val="lt-LT"/>
        </w:rPr>
        <w:t xml:space="preserve">Nepageidaujamos reakcijos, nepastebėtos klinikinių tyrimų metu, tačiau pasireiškusios šunims po vienkartinės dozės, 5 dienų ir savaitės trukmės </w:t>
      </w:r>
      <w:r w:rsidR="00224E84">
        <w:rPr>
          <w:lang w:val="lt-LT"/>
        </w:rPr>
        <w:t xml:space="preserve">vaistinio </w:t>
      </w:r>
      <w:r w:rsidRPr="00736D2F">
        <w:rPr>
          <w:lang w:val="lt-LT"/>
        </w:rPr>
        <w:t xml:space="preserve">preparato vartojimo, kai ekspozicija buvo mažesnė nei klinikinio vartojimo atveju, ir galinčios turėti reikšmės klinikiniam vartojimui, buvo arteriolinė ar periarteriolinė kepenų nekrozė, tulžies latakų hiperplazija ir (arba) hepatoceliulinė nekrozė (žr. 4.2 skyrių). </w:t>
      </w:r>
    </w:p>
    <w:p w14:paraId="0E90A6FB" w14:textId="77777777" w:rsidR="00315848" w:rsidRPr="00736D2F" w:rsidRDefault="00315848" w:rsidP="00C92AC0">
      <w:pPr>
        <w:tabs>
          <w:tab w:val="clear" w:pos="567"/>
        </w:tabs>
        <w:spacing w:line="240" w:lineRule="auto"/>
        <w:rPr>
          <w:lang w:val="lt-LT"/>
        </w:rPr>
      </w:pPr>
    </w:p>
    <w:p w14:paraId="5E62A28E" w14:textId="77777777" w:rsidR="00315848" w:rsidRPr="00736D2F" w:rsidRDefault="00192288" w:rsidP="00C92AC0">
      <w:pPr>
        <w:tabs>
          <w:tab w:val="clear" w:pos="567"/>
        </w:tabs>
        <w:spacing w:line="240" w:lineRule="auto"/>
        <w:rPr>
          <w:lang w:val="lt-LT"/>
        </w:rPr>
      </w:pPr>
      <w:r w:rsidRPr="00736D2F">
        <w:rPr>
          <w:lang w:val="lt-LT"/>
        </w:rPr>
        <w:t xml:space="preserve">Nepageidaujamos reakcijos, nepastebėtos klinikinių tyrimų metu, tačiau pasireiškusios žiurkėms kartotinių dozių toksinio poveikio tyrimų metu, kai ekspozicija buvo didesnė nei klinikinio vartojimo atveju, ir galinčios turėti reikšmės klinikiniam vartojimui, buvo akių sutrikimai, pasireiškiantys subkapsuline lęšiuko skaidulų edema ir degeneracija. Toks poveikis iš dalies išnyko po 8 savaičių. </w:t>
      </w:r>
    </w:p>
    <w:p w14:paraId="09030458" w14:textId="77777777" w:rsidR="00315848" w:rsidRPr="00736D2F" w:rsidRDefault="00315848" w:rsidP="00C92AC0">
      <w:pPr>
        <w:tabs>
          <w:tab w:val="clear" w:pos="567"/>
        </w:tabs>
        <w:spacing w:line="240" w:lineRule="auto"/>
        <w:rPr>
          <w:lang w:val="lt-LT"/>
        </w:rPr>
      </w:pPr>
    </w:p>
    <w:p w14:paraId="53CA66E1" w14:textId="77777777" w:rsidR="00315848" w:rsidRPr="00736D2F" w:rsidRDefault="00192288" w:rsidP="00C92AC0">
      <w:pPr>
        <w:tabs>
          <w:tab w:val="clear" w:pos="567"/>
        </w:tabs>
        <w:spacing w:line="240" w:lineRule="auto"/>
        <w:rPr>
          <w:lang w:val="lt-LT"/>
        </w:rPr>
      </w:pPr>
      <w:r w:rsidRPr="00736D2F">
        <w:rPr>
          <w:lang w:val="lt-LT"/>
        </w:rPr>
        <w:t>Kancerogeninio poveikio tyrimų su kabazitakseliu neatlikta.</w:t>
      </w:r>
    </w:p>
    <w:p w14:paraId="36F994DC" w14:textId="77777777" w:rsidR="00315848" w:rsidRPr="00736D2F" w:rsidRDefault="00192288" w:rsidP="00C92AC0">
      <w:pPr>
        <w:tabs>
          <w:tab w:val="clear" w:pos="567"/>
        </w:tabs>
        <w:spacing w:line="240" w:lineRule="auto"/>
        <w:rPr>
          <w:lang w:val="lt-LT"/>
        </w:rPr>
      </w:pPr>
      <w:r w:rsidRPr="00736D2F">
        <w:rPr>
          <w:lang w:val="lt-LT"/>
        </w:rPr>
        <w:t xml:space="preserve">Kabazitakselis bakterijų reversinės mutacijos (Ames) testo metu mutacijų nesukėlė. Klastogeninio poveikio </w:t>
      </w:r>
      <w:r w:rsidRPr="00736D2F">
        <w:rPr>
          <w:i/>
          <w:lang w:val="lt-LT"/>
        </w:rPr>
        <w:t>in vitro</w:t>
      </w:r>
      <w:r w:rsidRPr="00736D2F">
        <w:rPr>
          <w:lang w:val="lt-LT"/>
        </w:rPr>
        <w:t xml:space="preserve"> tyrimų su žmogaus limfocitais metu neatsirado (struktūrinės chromosominės aberacijos nebuvo, tačiau padaugėjo poliploidinių ląstelių), o </w:t>
      </w:r>
      <w:r w:rsidRPr="00736D2F">
        <w:rPr>
          <w:i/>
          <w:lang w:val="lt-LT"/>
        </w:rPr>
        <w:t>in vivo</w:t>
      </w:r>
      <w:r w:rsidRPr="00736D2F">
        <w:rPr>
          <w:lang w:val="lt-LT"/>
        </w:rPr>
        <w:t xml:space="preserve"> tyrimų su žiurkėmis metu pastebėtas mikrobranduolių skaičiaus padidėjimas. Vis dėlto toks genotoksinis poveikis yra susijęs su farmakologiniu medžiagos aktyvumu (tubulino depolimerizacijos slopinimu) ir pasireiškia vartojant visų vaistinių preparatų, sukeliančių tokį farmakologinį poveikį. </w:t>
      </w:r>
    </w:p>
    <w:p w14:paraId="1FD08A99" w14:textId="77777777" w:rsidR="00315848" w:rsidRPr="00736D2F" w:rsidRDefault="00315848" w:rsidP="00C92AC0">
      <w:pPr>
        <w:tabs>
          <w:tab w:val="clear" w:pos="567"/>
        </w:tabs>
        <w:spacing w:line="240" w:lineRule="auto"/>
        <w:rPr>
          <w:lang w:val="lt-LT"/>
        </w:rPr>
      </w:pPr>
    </w:p>
    <w:p w14:paraId="1E61DEC9" w14:textId="77777777" w:rsidR="001A7D9D" w:rsidRPr="00736D2F" w:rsidRDefault="00192288" w:rsidP="00C92AC0">
      <w:pPr>
        <w:tabs>
          <w:tab w:val="clear" w:pos="567"/>
        </w:tabs>
        <w:spacing w:line="240" w:lineRule="auto"/>
        <w:rPr>
          <w:lang w:val="lt-LT"/>
        </w:rPr>
      </w:pPr>
      <w:r w:rsidRPr="00736D2F">
        <w:rPr>
          <w:lang w:val="lt-LT"/>
        </w:rPr>
        <w:t xml:space="preserve">Kabazitakselis neturėjo įtakos žiurkių patinų poravimuisi ar vaisingumui. Vis dėlto kartotinių dozių toksinio poveikio tyrimo metu pasireiškė žiurkių sėklidžių sėklinių pūslelių degeneracija ir sėklinių kanalėlių atrofija bei šunų sėklidžių degeneracija (minimali pavienių epitelinių ląstelių nekrozė sėklidžių prielipe). Ekspozicija gyvūnų organizme buvo panaši ar mažesnė nei būna žmonėms vartojant kliniškai reikšmingas kabazitakselio dozes. </w:t>
      </w:r>
    </w:p>
    <w:p w14:paraId="2BAC7846" w14:textId="77777777" w:rsidR="001A7D9D" w:rsidRPr="00736D2F" w:rsidRDefault="001A7D9D" w:rsidP="00C92AC0">
      <w:pPr>
        <w:tabs>
          <w:tab w:val="clear" w:pos="567"/>
        </w:tabs>
        <w:spacing w:line="240" w:lineRule="auto"/>
        <w:rPr>
          <w:lang w:val="lt-LT"/>
        </w:rPr>
      </w:pPr>
    </w:p>
    <w:p w14:paraId="128ED233" w14:textId="4C017FB8" w:rsidR="001A7D9D" w:rsidRPr="00736D2F" w:rsidRDefault="00192288" w:rsidP="00C92AC0">
      <w:pPr>
        <w:tabs>
          <w:tab w:val="clear" w:pos="567"/>
        </w:tabs>
        <w:spacing w:line="240" w:lineRule="auto"/>
        <w:rPr>
          <w:lang w:val="lt-LT"/>
        </w:rPr>
      </w:pPr>
      <w:r w:rsidRPr="00736D2F">
        <w:rPr>
          <w:lang w:val="lt-LT"/>
        </w:rPr>
        <w:t xml:space="preserve">Kabazitakselis sukėlė embriofetotoksinį poveikį žiurkių patelių, kurioms </w:t>
      </w:r>
      <w:r w:rsidR="00EE2D77">
        <w:rPr>
          <w:lang w:val="lt-LT"/>
        </w:rPr>
        <w:t xml:space="preserve">vaistinio </w:t>
      </w:r>
      <w:r w:rsidRPr="00736D2F">
        <w:rPr>
          <w:lang w:val="lt-LT"/>
        </w:rPr>
        <w:t xml:space="preserve">preparato </w:t>
      </w:r>
      <w:r w:rsidR="00444539">
        <w:rPr>
          <w:lang w:val="lt-LT"/>
        </w:rPr>
        <w:t>suleista</w:t>
      </w:r>
      <w:r w:rsidR="00444539" w:rsidRPr="00736D2F">
        <w:rPr>
          <w:lang w:val="lt-LT"/>
        </w:rPr>
        <w:t xml:space="preserve"> </w:t>
      </w:r>
      <w:r w:rsidRPr="00736D2F">
        <w:rPr>
          <w:lang w:val="lt-LT"/>
        </w:rPr>
        <w:t xml:space="preserve">į veną kartą per parą 6-17 vaikingumo dienomis, embrionams ir vaisiams (pasireiškė ir toksinis poveikis patelėms): daugiau vaisių žuvo bei sumažėjo vidutinis vaisiaus svoris (toks poveikis buvo susijęs su </w:t>
      </w:r>
      <w:r w:rsidRPr="00736D2F">
        <w:rPr>
          <w:lang w:val="lt-LT"/>
        </w:rPr>
        <w:lastRenderedPageBreak/>
        <w:t xml:space="preserve">griaučių kaulėjimo lėtėjimu). Ekspozicija gyvūnų organizme buvo mažesnė nei būna žmonėms vartojant kliniškai reikšmingas kabazitakselio dozes. Kabazitakselis prasiskverbė per žiurkių placentos barjerą. </w:t>
      </w:r>
    </w:p>
    <w:p w14:paraId="0C22ADEC" w14:textId="77777777" w:rsidR="001A7D9D" w:rsidRPr="00736D2F" w:rsidRDefault="001A7D9D" w:rsidP="00C92AC0">
      <w:pPr>
        <w:tabs>
          <w:tab w:val="clear" w:pos="567"/>
        </w:tabs>
        <w:spacing w:line="240" w:lineRule="auto"/>
        <w:rPr>
          <w:lang w:val="lt-LT"/>
        </w:rPr>
      </w:pPr>
    </w:p>
    <w:p w14:paraId="2976DD79" w14:textId="03F8C54A" w:rsidR="001A7D9D" w:rsidRPr="00736D2F" w:rsidRDefault="00192288" w:rsidP="00C92AC0">
      <w:pPr>
        <w:tabs>
          <w:tab w:val="clear" w:pos="567"/>
        </w:tabs>
        <w:spacing w:line="240" w:lineRule="auto"/>
        <w:rPr>
          <w:lang w:val="lt-LT"/>
        </w:rPr>
      </w:pPr>
      <w:r w:rsidRPr="00736D2F">
        <w:rPr>
          <w:lang w:val="lt-LT"/>
        </w:rPr>
        <w:t xml:space="preserve">Kabazitakselio ir jo metabolitų išsiskiria </w:t>
      </w:r>
      <w:r w:rsidR="00444539">
        <w:rPr>
          <w:lang w:val="lt-LT"/>
        </w:rPr>
        <w:t>į</w:t>
      </w:r>
      <w:r w:rsidRPr="00736D2F">
        <w:rPr>
          <w:lang w:val="lt-LT"/>
        </w:rPr>
        <w:t xml:space="preserve"> žiurkių pien</w:t>
      </w:r>
      <w:r w:rsidR="00444539">
        <w:rPr>
          <w:lang w:val="lt-LT"/>
        </w:rPr>
        <w:t>ą</w:t>
      </w:r>
      <w:r w:rsidRPr="00736D2F">
        <w:rPr>
          <w:lang w:val="lt-LT"/>
        </w:rPr>
        <w:t>: per 24 val. išsiskiria iki 1,5</w:t>
      </w:r>
      <w:r w:rsidR="001A7D9D" w:rsidRPr="00736D2F">
        <w:rPr>
          <w:lang w:val="lt-LT"/>
        </w:rPr>
        <w:t> </w:t>
      </w:r>
      <w:r w:rsidRPr="00736D2F">
        <w:rPr>
          <w:lang w:val="lt-LT"/>
        </w:rPr>
        <w:t>% su</w:t>
      </w:r>
      <w:r w:rsidR="001A7D9D" w:rsidRPr="00736D2F">
        <w:rPr>
          <w:lang w:val="lt-LT"/>
        </w:rPr>
        <w:t>maitintos</w:t>
      </w:r>
      <w:r w:rsidRPr="00736D2F">
        <w:rPr>
          <w:lang w:val="lt-LT"/>
        </w:rPr>
        <w:t xml:space="preserve"> dozės. </w:t>
      </w:r>
    </w:p>
    <w:p w14:paraId="501B4146" w14:textId="77777777" w:rsidR="001A7D9D" w:rsidRPr="00736D2F" w:rsidRDefault="001A7D9D" w:rsidP="00C92AC0">
      <w:pPr>
        <w:tabs>
          <w:tab w:val="clear" w:pos="567"/>
        </w:tabs>
        <w:spacing w:line="240" w:lineRule="auto"/>
        <w:rPr>
          <w:lang w:val="lt-LT"/>
        </w:rPr>
      </w:pPr>
    </w:p>
    <w:p w14:paraId="40A3FDDC" w14:textId="77777777" w:rsidR="001A7D9D" w:rsidRPr="00736D2F" w:rsidRDefault="00192288" w:rsidP="00C92AC0">
      <w:pPr>
        <w:tabs>
          <w:tab w:val="clear" w:pos="567"/>
        </w:tabs>
        <w:spacing w:line="240" w:lineRule="auto"/>
        <w:rPr>
          <w:u w:val="single"/>
          <w:lang w:val="lt-LT"/>
        </w:rPr>
      </w:pPr>
      <w:r w:rsidRPr="00736D2F">
        <w:rPr>
          <w:u w:val="single"/>
          <w:lang w:val="lt-LT"/>
        </w:rPr>
        <w:t xml:space="preserve">Pavojaus aplinkai įvertinimas (PAĮ) </w:t>
      </w:r>
    </w:p>
    <w:p w14:paraId="6E4EBC2F" w14:textId="77777777" w:rsidR="00192288" w:rsidRPr="00736D2F" w:rsidRDefault="00192288" w:rsidP="00C92AC0">
      <w:pPr>
        <w:tabs>
          <w:tab w:val="clear" w:pos="567"/>
        </w:tabs>
        <w:spacing w:line="240" w:lineRule="auto"/>
        <w:rPr>
          <w:noProof/>
          <w:snapToGrid w:val="0"/>
          <w:szCs w:val="24"/>
          <w:lang w:val="lt-LT"/>
        </w:rPr>
      </w:pPr>
      <w:r w:rsidRPr="00736D2F">
        <w:rPr>
          <w:lang w:val="lt-LT"/>
        </w:rPr>
        <w:t xml:space="preserve">Pavojaus aplinkai įvertinimo tyrimų rezultatai rodo, kad </w:t>
      </w:r>
      <w:r w:rsidR="001A7D9D" w:rsidRPr="00736D2F">
        <w:rPr>
          <w:lang w:val="lt-LT"/>
        </w:rPr>
        <w:t xml:space="preserve">kabazitakselio </w:t>
      </w:r>
      <w:r w:rsidRPr="00736D2F">
        <w:rPr>
          <w:lang w:val="lt-LT"/>
        </w:rPr>
        <w:t>vartojimas reikšmingo pavojaus vandens aplinkai nesukelia (kaip naikinti nesuvartotą</w:t>
      </w:r>
      <w:r w:rsidR="00EE2D77">
        <w:rPr>
          <w:lang w:val="lt-LT"/>
        </w:rPr>
        <w:t xml:space="preserve"> vaistinį</w:t>
      </w:r>
      <w:r w:rsidRPr="00736D2F">
        <w:rPr>
          <w:lang w:val="lt-LT"/>
        </w:rPr>
        <w:t xml:space="preserve"> preparatą, žr. 6.6 skyriuje).</w:t>
      </w:r>
    </w:p>
    <w:p w14:paraId="5D963A0E" w14:textId="77777777" w:rsidR="00C92AC0" w:rsidRPr="00736D2F" w:rsidRDefault="00C92AC0" w:rsidP="00C92AC0">
      <w:pPr>
        <w:tabs>
          <w:tab w:val="clear" w:pos="567"/>
        </w:tabs>
        <w:spacing w:line="240" w:lineRule="auto"/>
        <w:rPr>
          <w:snapToGrid w:val="0"/>
          <w:szCs w:val="24"/>
          <w:lang w:val="lt-LT"/>
        </w:rPr>
      </w:pPr>
    </w:p>
    <w:p w14:paraId="673E02FA" w14:textId="77777777" w:rsidR="00C92AC0" w:rsidRPr="00736D2F" w:rsidRDefault="00C92AC0" w:rsidP="00C92AC0">
      <w:pPr>
        <w:tabs>
          <w:tab w:val="clear" w:pos="567"/>
        </w:tabs>
        <w:spacing w:line="240" w:lineRule="auto"/>
        <w:rPr>
          <w:snapToGrid w:val="0"/>
          <w:szCs w:val="24"/>
          <w:lang w:val="lt-LT"/>
        </w:rPr>
      </w:pPr>
    </w:p>
    <w:p w14:paraId="51050D22" w14:textId="77777777" w:rsidR="00C92AC0" w:rsidRPr="00736D2F" w:rsidRDefault="00C92AC0" w:rsidP="00C92AC0">
      <w:pPr>
        <w:keepNext/>
        <w:keepLines/>
        <w:spacing w:line="240" w:lineRule="auto"/>
        <w:outlineLvl w:val="2"/>
        <w:rPr>
          <w:b/>
          <w:bCs/>
          <w:snapToGrid w:val="0"/>
          <w:szCs w:val="26"/>
          <w:lang w:val="lt-LT" w:eastAsia="x-none"/>
        </w:rPr>
      </w:pPr>
      <w:r w:rsidRPr="00736D2F">
        <w:rPr>
          <w:b/>
          <w:bCs/>
          <w:snapToGrid w:val="0"/>
          <w:szCs w:val="26"/>
          <w:lang w:val="lt-LT" w:eastAsia="x-none"/>
        </w:rPr>
        <w:t>6.</w:t>
      </w:r>
      <w:r w:rsidRPr="00736D2F">
        <w:rPr>
          <w:b/>
          <w:bCs/>
          <w:snapToGrid w:val="0"/>
          <w:szCs w:val="26"/>
          <w:lang w:val="lt-LT" w:eastAsia="x-none"/>
        </w:rPr>
        <w:tab/>
        <w:t>FARMACINĖ INFORMACIJA</w:t>
      </w:r>
    </w:p>
    <w:p w14:paraId="49D5A2CC" w14:textId="77777777" w:rsidR="00C92AC0" w:rsidRPr="00736D2F" w:rsidRDefault="00C92AC0" w:rsidP="00C92AC0">
      <w:pPr>
        <w:tabs>
          <w:tab w:val="clear" w:pos="567"/>
        </w:tabs>
        <w:spacing w:line="240" w:lineRule="auto"/>
        <w:rPr>
          <w:snapToGrid w:val="0"/>
          <w:szCs w:val="24"/>
          <w:lang w:val="lt-LT"/>
        </w:rPr>
      </w:pPr>
    </w:p>
    <w:p w14:paraId="23D356F6" w14:textId="77777777" w:rsidR="00C92AC0" w:rsidRPr="00736D2F" w:rsidRDefault="00C92AC0" w:rsidP="00C92AC0">
      <w:pPr>
        <w:keepNext/>
        <w:jc w:val="both"/>
        <w:outlineLvl w:val="3"/>
        <w:rPr>
          <w:b/>
          <w:bCs/>
          <w:snapToGrid w:val="0"/>
          <w:szCs w:val="28"/>
          <w:lang w:val="lt-LT" w:eastAsia="x-none"/>
        </w:rPr>
      </w:pPr>
      <w:r w:rsidRPr="00736D2F">
        <w:rPr>
          <w:b/>
          <w:bCs/>
          <w:snapToGrid w:val="0"/>
          <w:szCs w:val="28"/>
          <w:lang w:val="lt-LT" w:eastAsia="x-none"/>
        </w:rPr>
        <w:t>6.1</w:t>
      </w:r>
      <w:r w:rsidRPr="00736D2F">
        <w:rPr>
          <w:b/>
          <w:bCs/>
          <w:snapToGrid w:val="0"/>
          <w:szCs w:val="28"/>
          <w:lang w:val="lt-LT" w:eastAsia="x-none"/>
        </w:rPr>
        <w:tab/>
        <w:t>Pagalbinių medžiagų sąrašas</w:t>
      </w:r>
    </w:p>
    <w:p w14:paraId="7DBBCF97" w14:textId="77777777" w:rsidR="00C92AC0" w:rsidRPr="00736D2F" w:rsidRDefault="00C92AC0" w:rsidP="00C92AC0">
      <w:pPr>
        <w:tabs>
          <w:tab w:val="clear" w:pos="567"/>
        </w:tabs>
        <w:spacing w:line="240" w:lineRule="auto"/>
        <w:rPr>
          <w:snapToGrid w:val="0"/>
          <w:szCs w:val="24"/>
          <w:lang w:val="lt-LT"/>
        </w:rPr>
      </w:pPr>
    </w:p>
    <w:p w14:paraId="2917C4D9" w14:textId="77777777" w:rsidR="001A7D9D" w:rsidRPr="00736D2F" w:rsidRDefault="001A7D9D" w:rsidP="00C92AC0">
      <w:pPr>
        <w:tabs>
          <w:tab w:val="clear" w:pos="567"/>
        </w:tabs>
        <w:spacing w:line="240" w:lineRule="auto"/>
        <w:rPr>
          <w:noProof/>
          <w:snapToGrid w:val="0"/>
          <w:szCs w:val="24"/>
          <w:lang w:val="lt-LT"/>
        </w:rPr>
      </w:pPr>
      <w:r w:rsidRPr="00736D2F">
        <w:rPr>
          <w:noProof/>
          <w:snapToGrid w:val="0"/>
          <w:szCs w:val="24"/>
          <w:lang w:val="lt-LT"/>
        </w:rPr>
        <w:t>Citrinų rūgštis</w:t>
      </w:r>
    </w:p>
    <w:p w14:paraId="0FE78F61" w14:textId="3EFA1906" w:rsidR="001A7D9D" w:rsidRPr="00736D2F" w:rsidRDefault="005F1650" w:rsidP="00C92AC0">
      <w:pPr>
        <w:tabs>
          <w:tab w:val="clear" w:pos="567"/>
        </w:tabs>
        <w:spacing w:line="240" w:lineRule="auto"/>
        <w:rPr>
          <w:noProof/>
          <w:snapToGrid w:val="0"/>
          <w:szCs w:val="24"/>
          <w:lang w:val="lt-LT"/>
        </w:rPr>
      </w:pPr>
      <w:r>
        <w:rPr>
          <w:noProof/>
          <w:snapToGrid w:val="0"/>
          <w:szCs w:val="24"/>
          <w:lang w:val="lt-LT"/>
        </w:rPr>
        <w:t>Bevandenis e</w:t>
      </w:r>
      <w:r w:rsidR="001A7D9D" w:rsidRPr="00736D2F">
        <w:rPr>
          <w:noProof/>
          <w:snapToGrid w:val="0"/>
          <w:szCs w:val="24"/>
          <w:lang w:val="lt-LT"/>
        </w:rPr>
        <w:t>tanolis</w:t>
      </w:r>
    </w:p>
    <w:p w14:paraId="417427D9" w14:textId="77777777" w:rsidR="001A7D9D" w:rsidRPr="00736D2F" w:rsidRDefault="001A7D9D" w:rsidP="001A7D9D">
      <w:pPr>
        <w:spacing w:line="240" w:lineRule="auto"/>
        <w:rPr>
          <w:noProof/>
          <w:szCs w:val="22"/>
          <w:lang w:val="lt-LT"/>
        </w:rPr>
      </w:pPr>
      <w:r w:rsidRPr="00736D2F">
        <w:rPr>
          <w:noProof/>
          <w:szCs w:val="22"/>
          <w:lang w:val="lt-LT"/>
        </w:rPr>
        <w:t>Polisorbatas  80</w:t>
      </w:r>
    </w:p>
    <w:p w14:paraId="20297EBC" w14:textId="77777777" w:rsidR="001A7D9D" w:rsidRPr="00736D2F" w:rsidRDefault="001A7D9D" w:rsidP="001A7D9D">
      <w:pPr>
        <w:spacing w:line="240" w:lineRule="auto"/>
        <w:rPr>
          <w:noProof/>
          <w:szCs w:val="22"/>
          <w:lang w:val="lt-LT"/>
        </w:rPr>
      </w:pPr>
      <w:r w:rsidRPr="00736D2F">
        <w:rPr>
          <w:noProof/>
          <w:szCs w:val="22"/>
          <w:lang w:val="lt-LT"/>
        </w:rPr>
        <w:t>Makrogolis</w:t>
      </w:r>
    </w:p>
    <w:p w14:paraId="72EFB009" w14:textId="77777777" w:rsidR="00C92AC0" w:rsidRPr="00736D2F" w:rsidRDefault="00C92AC0" w:rsidP="00C92AC0">
      <w:pPr>
        <w:tabs>
          <w:tab w:val="clear" w:pos="567"/>
        </w:tabs>
        <w:spacing w:line="240" w:lineRule="auto"/>
        <w:rPr>
          <w:snapToGrid w:val="0"/>
          <w:szCs w:val="24"/>
          <w:lang w:val="lt-LT"/>
        </w:rPr>
      </w:pPr>
    </w:p>
    <w:p w14:paraId="70413CE2" w14:textId="77777777" w:rsidR="00C92AC0" w:rsidRPr="00736D2F" w:rsidRDefault="00C92AC0" w:rsidP="00C92AC0">
      <w:pPr>
        <w:keepNext/>
        <w:jc w:val="both"/>
        <w:outlineLvl w:val="3"/>
        <w:rPr>
          <w:b/>
          <w:bCs/>
          <w:snapToGrid w:val="0"/>
          <w:szCs w:val="28"/>
          <w:lang w:val="lt-LT" w:eastAsia="x-none"/>
        </w:rPr>
      </w:pPr>
      <w:r w:rsidRPr="00736D2F">
        <w:rPr>
          <w:b/>
          <w:bCs/>
          <w:snapToGrid w:val="0"/>
          <w:szCs w:val="28"/>
          <w:lang w:val="lt-LT" w:eastAsia="x-none"/>
        </w:rPr>
        <w:t>6.2</w:t>
      </w:r>
      <w:r w:rsidRPr="00736D2F">
        <w:rPr>
          <w:b/>
          <w:bCs/>
          <w:snapToGrid w:val="0"/>
          <w:szCs w:val="28"/>
          <w:lang w:val="lt-LT" w:eastAsia="x-none"/>
        </w:rPr>
        <w:tab/>
        <w:t>Nesuderinamumas</w:t>
      </w:r>
    </w:p>
    <w:p w14:paraId="11C98E6F" w14:textId="77777777" w:rsidR="00C92AC0" w:rsidRPr="00736D2F" w:rsidRDefault="00C92AC0" w:rsidP="00C92AC0">
      <w:pPr>
        <w:tabs>
          <w:tab w:val="clear" w:pos="567"/>
        </w:tabs>
        <w:spacing w:line="240" w:lineRule="auto"/>
        <w:rPr>
          <w:snapToGrid w:val="0"/>
          <w:szCs w:val="24"/>
          <w:lang w:val="lt-LT"/>
        </w:rPr>
      </w:pPr>
    </w:p>
    <w:p w14:paraId="7C69F430" w14:textId="77777777" w:rsidR="001A7D9D" w:rsidRPr="00736D2F" w:rsidRDefault="00FB4062" w:rsidP="00C92AC0">
      <w:pPr>
        <w:tabs>
          <w:tab w:val="clear" w:pos="567"/>
        </w:tabs>
        <w:spacing w:line="240" w:lineRule="auto"/>
        <w:rPr>
          <w:lang w:val="lt-LT"/>
        </w:rPr>
      </w:pPr>
      <w:r w:rsidRPr="00736D2F">
        <w:rPr>
          <w:lang w:val="lt-LT"/>
        </w:rPr>
        <w:t xml:space="preserve">Šio vaistinio preparato negalima maišyti su kitais, išskyrus nurodytus 6.6 skyriuje. </w:t>
      </w:r>
    </w:p>
    <w:p w14:paraId="07C9DAAA" w14:textId="77777777" w:rsidR="001A7D9D" w:rsidRPr="00736D2F" w:rsidRDefault="001A7D9D" w:rsidP="00C92AC0">
      <w:pPr>
        <w:tabs>
          <w:tab w:val="clear" w:pos="567"/>
        </w:tabs>
        <w:spacing w:line="240" w:lineRule="auto"/>
        <w:rPr>
          <w:lang w:val="lt-LT"/>
        </w:rPr>
      </w:pPr>
    </w:p>
    <w:p w14:paraId="65D65DBC" w14:textId="77777777" w:rsidR="001A7D9D" w:rsidRPr="00736D2F" w:rsidRDefault="00FB4062" w:rsidP="00C92AC0">
      <w:pPr>
        <w:tabs>
          <w:tab w:val="clear" w:pos="567"/>
        </w:tabs>
        <w:spacing w:line="240" w:lineRule="auto"/>
        <w:rPr>
          <w:lang w:val="lt-LT"/>
        </w:rPr>
      </w:pPr>
      <w:r w:rsidRPr="00736D2F">
        <w:rPr>
          <w:lang w:val="lt-LT"/>
        </w:rPr>
        <w:t>Infuziniam tirpalui ruošti ir infuzuoti negalima naudoti PVC infuzinių talpyklių arba poliuretano infuzinių rinkinių.</w:t>
      </w:r>
    </w:p>
    <w:p w14:paraId="6BD6D50E" w14:textId="77777777" w:rsidR="00C92AC0" w:rsidRPr="00736D2F" w:rsidRDefault="00C92AC0" w:rsidP="00C92AC0">
      <w:pPr>
        <w:tabs>
          <w:tab w:val="clear" w:pos="567"/>
        </w:tabs>
        <w:spacing w:line="240" w:lineRule="auto"/>
        <w:rPr>
          <w:snapToGrid w:val="0"/>
          <w:szCs w:val="24"/>
          <w:lang w:val="lt-LT"/>
        </w:rPr>
      </w:pPr>
    </w:p>
    <w:p w14:paraId="2BB8592C" w14:textId="77777777" w:rsidR="00C92AC0" w:rsidRPr="00736D2F" w:rsidRDefault="00C92AC0" w:rsidP="00C92AC0">
      <w:pPr>
        <w:keepNext/>
        <w:jc w:val="both"/>
        <w:outlineLvl w:val="3"/>
        <w:rPr>
          <w:b/>
          <w:bCs/>
          <w:snapToGrid w:val="0"/>
          <w:szCs w:val="28"/>
          <w:lang w:val="lt-LT" w:eastAsia="x-none"/>
        </w:rPr>
      </w:pPr>
      <w:r w:rsidRPr="00736D2F">
        <w:rPr>
          <w:b/>
          <w:bCs/>
          <w:snapToGrid w:val="0"/>
          <w:szCs w:val="28"/>
          <w:lang w:val="lt-LT" w:eastAsia="x-none"/>
        </w:rPr>
        <w:t>6.3</w:t>
      </w:r>
      <w:r w:rsidRPr="00736D2F">
        <w:rPr>
          <w:b/>
          <w:bCs/>
          <w:snapToGrid w:val="0"/>
          <w:szCs w:val="28"/>
          <w:lang w:val="lt-LT" w:eastAsia="x-none"/>
        </w:rPr>
        <w:tab/>
        <w:t>Tinkamumo laikas</w:t>
      </w:r>
    </w:p>
    <w:p w14:paraId="5A41B3CA" w14:textId="77777777" w:rsidR="00C92AC0" w:rsidRPr="00736D2F" w:rsidRDefault="00C92AC0" w:rsidP="00C92AC0">
      <w:pPr>
        <w:tabs>
          <w:tab w:val="clear" w:pos="567"/>
        </w:tabs>
        <w:spacing w:line="240" w:lineRule="auto"/>
        <w:rPr>
          <w:snapToGrid w:val="0"/>
          <w:szCs w:val="24"/>
          <w:lang w:val="lt-LT"/>
        </w:rPr>
      </w:pPr>
    </w:p>
    <w:p w14:paraId="259B3F2D" w14:textId="77777777" w:rsidR="001A7D9D" w:rsidRPr="00736D2F" w:rsidRDefault="00FB4062" w:rsidP="00C92AC0">
      <w:pPr>
        <w:tabs>
          <w:tab w:val="clear" w:pos="567"/>
        </w:tabs>
        <w:spacing w:line="240" w:lineRule="auto"/>
        <w:rPr>
          <w:u w:val="single"/>
          <w:lang w:val="lt-LT"/>
        </w:rPr>
      </w:pPr>
      <w:r w:rsidRPr="00736D2F">
        <w:rPr>
          <w:u w:val="single"/>
          <w:lang w:val="lt-LT"/>
        </w:rPr>
        <w:t>Neatidaryti flakonai</w:t>
      </w:r>
    </w:p>
    <w:p w14:paraId="4FD35F50" w14:textId="77777777" w:rsidR="001A7D9D" w:rsidRPr="00736D2F" w:rsidRDefault="00FB4062" w:rsidP="00C92AC0">
      <w:pPr>
        <w:tabs>
          <w:tab w:val="clear" w:pos="567"/>
        </w:tabs>
        <w:spacing w:line="240" w:lineRule="auto"/>
        <w:rPr>
          <w:lang w:val="lt-LT"/>
        </w:rPr>
      </w:pPr>
      <w:r w:rsidRPr="00736D2F">
        <w:rPr>
          <w:lang w:val="lt-LT"/>
        </w:rPr>
        <w:t>3 metai</w:t>
      </w:r>
      <w:r w:rsidR="001D3D4F" w:rsidRPr="00736D2F">
        <w:rPr>
          <w:lang w:val="lt-LT"/>
        </w:rPr>
        <w:t>.</w:t>
      </w:r>
      <w:r w:rsidRPr="00736D2F">
        <w:rPr>
          <w:lang w:val="lt-LT"/>
        </w:rPr>
        <w:t xml:space="preserve"> </w:t>
      </w:r>
    </w:p>
    <w:p w14:paraId="7AFC6237" w14:textId="77777777" w:rsidR="001A7D9D" w:rsidRPr="00736D2F" w:rsidRDefault="001A7D9D" w:rsidP="00C92AC0">
      <w:pPr>
        <w:tabs>
          <w:tab w:val="clear" w:pos="567"/>
        </w:tabs>
        <w:spacing w:line="240" w:lineRule="auto"/>
        <w:rPr>
          <w:lang w:val="lt-LT"/>
        </w:rPr>
      </w:pPr>
    </w:p>
    <w:p w14:paraId="3F50D63C" w14:textId="77777777" w:rsidR="001A7D9D" w:rsidRPr="00736D2F" w:rsidRDefault="00FB4062" w:rsidP="00C92AC0">
      <w:pPr>
        <w:tabs>
          <w:tab w:val="clear" w:pos="567"/>
        </w:tabs>
        <w:spacing w:line="240" w:lineRule="auto"/>
        <w:rPr>
          <w:u w:val="single"/>
          <w:lang w:val="lt-LT"/>
        </w:rPr>
      </w:pPr>
      <w:r w:rsidRPr="00736D2F">
        <w:rPr>
          <w:u w:val="single"/>
          <w:lang w:val="lt-LT"/>
        </w:rPr>
        <w:t xml:space="preserve">Po </w:t>
      </w:r>
      <w:r w:rsidR="001A7D9D" w:rsidRPr="00736D2F">
        <w:rPr>
          <w:u w:val="single"/>
          <w:lang w:val="lt-LT"/>
        </w:rPr>
        <w:t xml:space="preserve">pirmojo </w:t>
      </w:r>
      <w:r w:rsidRPr="00736D2F">
        <w:rPr>
          <w:u w:val="single"/>
          <w:lang w:val="lt-LT"/>
        </w:rPr>
        <w:t xml:space="preserve">atidarymo </w:t>
      </w:r>
    </w:p>
    <w:p w14:paraId="1B379830" w14:textId="1B9ECDD4" w:rsidR="001A7D9D" w:rsidRPr="00736D2F" w:rsidRDefault="00FB4062" w:rsidP="00C92AC0">
      <w:pPr>
        <w:tabs>
          <w:tab w:val="clear" w:pos="567"/>
        </w:tabs>
        <w:spacing w:line="240" w:lineRule="auto"/>
        <w:rPr>
          <w:lang w:val="lt-LT"/>
        </w:rPr>
      </w:pPr>
      <w:r w:rsidRPr="00736D2F">
        <w:rPr>
          <w:lang w:val="lt-LT"/>
        </w:rPr>
        <w:t>Koncentrat</w:t>
      </w:r>
      <w:r w:rsidR="005F1650">
        <w:rPr>
          <w:lang w:val="lt-LT"/>
        </w:rPr>
        <w:t xml:space="preserve">ą infuziniam tirpalui </w:t>
      </w:r>
      <w:r w:rsidRPr="00736D2F">
        <w:rPr>
          <w:lang w:val="lt-LT"/>
        </w:rPr>
        <w:t xml:space="preserve">būtina vartoti nedelsiant. Jei nevartojama nedelsiant, už laikymo trukmę ir sąlygas atsako vartotojas. </w:t>
      </w:r>
    </w:p>
    <w:p w14:paraId="3ED61B7D" w14:textId="77777777" w:rsidR="001A7D9D" w:rsidRPr="00736D2F" w:rsidRDefault="001A7D9D" w:rsidP="00C92AC0">
      <w:pPr>
        <w:tabs>
          <w:tab w:val="clear" w:pos="567"/>
        </w:tabs>
        <w:spacing w:line="240" w:lineRule="auto"/>
        <w:rPr>
          <w:lang w:val="lt-LT"/>
        </w:rPr>
      </w:pPr>
    </w:p>
    <w:p w14:paraId="36E97123" w14:textId="77777777" w:rsidR="001A7D9D" w:rsidRPr="00736D2F" w:rsidRDefault="00FB4062" w:rsidP="00C92AC0">
      <w:pPr>
        <w:tabs>
          <w:tab w:val="clear" w:pos="567"/>
        </w:tabs>
        <w:spacing w:line="240" w:lineRule="auto"/>
        <w:rPr>
          <w:u w:val="single"/>
          <w:lang w:val="lt-LT"/>
        </w:rPr>
      </w:pPr>
      <w:r w:rsidRPr="00736D2F">
        <w:rPr>
          <w:u w:val="single"/>
          <w:lang w:val="lt-LT"/>
        </w:rPr>
        <w:t xml:space="preserve">Po praskiedimo infuzijos maišelyje ar buteliuke </w:t>
      </w:r>
    </w:p>
    <w:p w14:paraId="34A626AE" w14:textId="364AFEE8" w:rsidR="006F7E11" w:rsidRPr="00736D2F" w:rsidRDefault="00FB4062" w:rsidP="00C92AC0">
      <w:pPr>
        <w:tabs>
          <w:tab w:val="clear" w:pos="567"/>
        </w:tabs>
        <w:spacing w:line="240" w:lineRule="auto"/>
        <w:rPr>
          <w:lang w:val="lt-LT"/>
        </w:rPr>
      </w:pPr>
      <w:r w:rsidRPr="00736D2F">
        <w:rPr>
          <w:lang w:val="lt-LT"/>
        </w:rPr>
        <w:t xml:space="preserve">Įrodyta, kad kambario temperatūroje cheminiu ir fizikiniu požiūriu infuzinis tirpalas išlieka stabilus </w:t>
      </w:r>
      <w:r w:rsidR="001A7D9D" w:rsidRPr="00736D2F">
        <w:rPr>
          <w:lang w:val="lt-LT"/>
        </w:rPr>
        <w:t>4</w:t>
      </w:r>
      <w:r w:rsidRPr="00736D2F">
        <w:rPr>
          <w:lang w:val="lt-LT"/>
        </w:rPr>
        <w:t xml:space="preserve">8 valandas </w:t>
      </w:r>
      <w:r w:rsidR="001A7D9D" w:rsidRPr="00736D2F">
        <w:rPr>
          <w:lang w:val="lt-LT"/>
        </w:rPr>
        <w:t xml:space="preserve">esant </w:t>
      </w:r>
      <w:r w:rsidR="001A7D9D" w:rsidRPr="00736D2F">
        <w:rPr>
          <w:noProof/>
          <w:szCs w:val="22"/>
          <w:lang w:val="lt-LT"/>
        </w:rPr>
        <w:t xml:space="preserve">25 °C </w:t>
      </w:r>
      <w:r w:rsidRPr="00736D2F">
        <w:rPr>
          <w:lang w:val="lt-LT"/>
        </w:rPr>
        <w:t>(įskaitant 1 valandos infuzijos laikotarpį)</w:t>
      </w:r>
      <w:r w:rsidR="005F1650">
        <w:rPr>
          <w:lang w:val="lt-LT"/>
        </w:rPr>
        <w:t xml:space="preserve"> ir</w:t>
      </w:r>
      <w:r w:rsidRPr="00736D2F">
        <w:rPr>
          <w:lang w:val="lt-LT"/>
        </w:rPr>
        <w:t xml:space="preserve"> </w:t>
      </w:r>
      <w:r w:rsidR="006F7E11" w:rsidRPr="00736D2F">
        <w:rPr>
          <w:lang w:val="lt-LT"/>
        </w:rPr>
        <w:t>72</w:t>
      </w:r>
      <w:r w:rsidRPr="00736D2F">
        <w:rPr>
          <w:lang w:val="lt-LT"/>
        </w:rPr>
        <w:t xml:space="preserve"> valandas</w:t>
      </w:r>
      <w:r w:rsidR="006F7E11" w:rsidRPr="00736D2F">
        <w:rPr>
          <w:lang w:val="lt-LT"/>
        </w:rPr>
        <w:t xml:space="preserve"> esant </w:t>
      </w:r>
      <w:r w:rsidR="006F7E11" w:rsidRPr="00736D2F">
        <w:rPr>
          <w:noProof/>
          <w:szCs w:val="22"/>
          <w:lang w:val="lt-LT"/>
        </w:rPr>
        <w:t>2 °C- 8 °C</w:t>
      </w:r>
      <w:r w:rsidRPr="00736D2F">
        <w:rPr>
          <w:lang w:val="lt-LT"/>
        </w:rPr>
        <w:t xml:space="preserve"> (įskaitant 1 valandos infuzijos laikotarpį). </w:t>
      </w:r>
    </w:p>
    <w:p w14:paraId="6526A851" w14:textId="0934393C" w:rsidR="006F7E11" w:rsidRPr="00736D2F" w:rsidRDefault="00FB4062" w:rsidP="00C92AC0">
      <w:pPr>
        <w:tabs>
          <w:tab w:val="clear" w:pos="567"/>
        </w:tabs>
        <w:spacing w:line="240" w:lineRule="auto"/>
        <w:rPr>
          <w:lang w:val="lt-LT"/>
        </w:rPr>
      </w:pPr>
      <w:r w:rsidRPr="00736D2F">
        <w:rPr>
          <w:lang w:val="lt-LT"/>
        </w:rPr>
        <w:t>Mikrobiologiniu požiūriu infuzinį tirpalą būtina vartoti nedelsiant. Jei jis tuoj pat nevartojamas, už laikymo trukmę ir sąlygas atsako vartotojas</w:t>
      </w:r>
      <w:r w:rsidR="006F7E11" w:rsidRPr="00736D2F">
        <w:rPr>
          <w:lang w:val="lt-LT"/>
        </w:rPr>
        <w:t xml:space="preserve"> ir p</w:t>
      </w:r>
      <w:r w:rsidRPr="00736D2F">
        <w:rPr>
          <w:lang w:val="lt-LT"/>
        </w:rPr>
        <w:t xml:space="preserve">aprastai </w:t>
      </w:r>
      <w:r w:rsidR="006F7E11" w:rsidRPr="00736D2F">
        <w:rPr>
          <w:lang w:val="lt-LT"/>
        </w:rPr>
        <w:t>infuzin</w:t>
      </w:r>
      <w:r w:rsidR="00F869FA">
        <w:rPr>
          <w:lang w:val="lt-LT"/>
        </w:rPr>
        <w:t>io</w:t>
      </w:r>
      <w:r w:rsidR="006F7E11" w:rsidRPr="00736D2F">
        <w:rPr>
          <w:lang w:val="lt-LT"/>
        </w:rPr>
        <w:t xml:space="preserve"> tirpal</w:t>
      </w:r>
      <w:r w:rsidR="00F869FA">
        <w:rPr>
          <w:lang w:val="lt-LT"/>
        </w:rPr>
        <w:t>o</w:t>
      </w:r>
      <w:r w:rsidR="006F7E11" w:rsidRPr="00736D2F">
        <w:rPr>
          <w:lang w:val="lt-LT"/>
        </w:rPr>
        <w:t xml:space="preserve"> ilgiau negu 24 </w:t>
      </w:r>
      <w:r w:rsidRPr="00736D2F">
        <w:rPr>
          <w:lang w:val="lt-LT"/>
        </w:rPr>
        <w:t>val. 2 °C – 8 °C temperatūroje laikyti negalima, nebent skiedimas buvo atliktas kontroliuojamomis ir patvirtintomis aseptinėmis sąlygomis.</w:t>
      </w:r>
    </w:p>
    <w:p w14:paraId="171413BB" w14:textId="77777777" w:rsidR="006F7E11" w:rsidRPr="00736D2F" w:rsidRDefault="006F7E11" w:rsidP="00C92AC0">
      <w:pPr>
        <w:tabs>
          <w:tab w:val="clear" w:pos="567"/>
        </w:tabs>
        <w:spacing w:line="240" w:lineRule="auto"/>
        <w:rPr>
          <w:lang w:val="lt-LT"/>
        </w:rPr>
      </w:pPr>
    </w:p>
    <w:p w14:paraId="78459A69" w14:textId="77777777" w:rsidR="00C92AC0" w:rsidRDefault="00C92AC0" w:rsidP="00C92AC0">
      <w:pPr>
        <w:keepNext/>
        <w:jc w:val="both"/>
        <w:outlineLvl w:val="3"/>
        <w:rPr>
          <w:b/>
          <w:bCs/>
          <w:snapToGrid w:val="0"/>
          <w:szCs w:val="28"/>
          <w:lang w:val="lt-LT" w:eastAsia="x-none"/>
        </w:rPr>
      </w:pPr>
      <w:r w:rsidRPr="00736D2F">
        <w:rPr>
          <w:b/>
          <w:bCs/>
          <w:snapToGrid w:val="0"/>
          <w:szCs w:val="28"/>
          <w:lang w:val="lt-LT" w:eastAsia="x-none"/>
        </w:rPr>
        <w:t>6.4</w:t>
      </w:r>
      <w:r w:rsidRPr="00736D2F">
        <w:rPr>
          <w:b/>
          <w:bCs/>
          <w:snapToGrid w:val="0"/>
          <w:szCs w:val="28"/>
          <w:lang w:val="lt-LT" w:eastAsia="x-none"/>
        </w:rPr>
        <w:tab/>
        <w:t>Specialios laikymo sąlygos</w:t>
      </w:r>
    </w:p>
    <w:p w14:paraId="2141B82A" w14:textId="77777777" w:rsidR="005F1650" w:rsidRPr="00894A0A" w:rsidRDefault="005F1650" w:rsidP="00C92AC0">
      <w:pPr>
        <w:keepNext/>
        <w:jc w:val="both"/>
        <w:outlineLvl w:val="3"/>
        <w:rPr>
          <w:bCs/>
          <w:snapToGrid w:val="0"/>
          <w:szCs w:val="28"/>
          <w:lang w:val="lt-LT" w:eastAsia="x-none"/>
        </w:rPr>
      </w:pPr>
    </w:p>
    <w:p w14:paraId="7142ED36" w14:textId="77777777" w:rsidR="005F1650" w:rsidRPr="00894A0A" w:rsidRDefault="005F1650" w:rsidP="00C92AC0">
      <w:pPr>
        <w:keepNext/>
        <w:jc w:val="both"/>
        <w:outlineLvl w:val="3"/>
        <w:rPr>
          <w:bCs/>
          <w:snapToGrid w:val="0"/>
          <w:szCs w:val="28"/>
          <w:lang w:val="lt-LT" w:eastAsia="x-none"/>
        </w:rPr>
      </w:pPr>
      <w:r w:rsidRPr="00894A0A">
        <w:rPr>
          <w:bCs/>
          <w:snapToGrid w:val="0"/>
          <w:szCs w:val="28"/>
          <w:lang w:val="lt-LT" w:eastAsia="x-none"/>
        </w:rPr>
        <w:t xml:space="preserve">Šiam vaistiniam preparatui specialių laikymo sąlygų nereikia. </w:t>
      </w:r>
    </w:p>
    <w:p w14:paraId="2F93152C" w14:textId="77777777" w:rsidR="00C92AC0" w:rsidRPr="00736D2F" w:rsidRDefault="00C92AC0" w:rsidP="00C92AC0">
      <w:pPr>
        <w:tabs>
          <w:tab w:val="clear" w:pos="567"/>
        </w:tabs>
        <w:spacing w:line="240" w:lineRule="auto"/>
        <w:rPr>
          <w:snapToGrid w:val="0"/>
          <w:szCs w:val="24"/>
          <w:lang w:val="lt-LT"/>
        </w:rPr>
      </w:pPr>
    </w:p>
    <w:p w14:paraId="38A009D5" w14:textId="77777777" w:rsidR="00C92AC0" w:rsidRPr="00736D2F" w:rsidRDefault="00C92AC0" w:rsidP="00C92AC0">
      <w:pPr>
        <w:tabs>
          <w:tab w:val="clear" w:pos="567"/>
        </w:tabs>
        <w:spacing w:line="240" w:lineRule="auto"/>
        <w:rPr>
          <w:snapToGrid w:val="0"/>
          <w:color w:val="0D0D0D"/>
          <w:szCs w:val="24"/>
          <w:lang w:val="lt-LT"/>
        </w:rPr>
      </w:pPr>
      <w:r w:rsidRPr="00736D2F">
        <w:rPr>
          <w:noProof/>
          <w:snapToGrid w:val="0"/>
          <w:color w:val="0D0D0D"/>
          <w:szCs w:val="24"/>
          <w:lang w:val="lt-LT"/>
        </w:rPr>
        <w:t>Pirmą kartą atidaryto</w:t>
      </w:r>
      <w:r w:rsidR="006F7E11" w:rsidRPr="00736D2F">
        <w:rPr>
          <w:noProof/>
          <w:snapToGrid w:val="0"/>
          <w:color w:val="0D0D0D"/>
          <w:szCs w:val="24"/>
          <w:lang w:val="lt-LT"/>
        </w:rPr>
        <w:t xml:space="preserve"> ir praskiesto</w:t>
      </w:r>
      <w:r w:rsidRPr="00736D2F">
        <w:rPr>
          <w:noProof/>
          <w:snapToGrid w:val="0"/>
          <w:color w:val="0D0D0D"/>
          <w:szCs w:val="24"/>
          <w:lang w:val="lt-LT"/>
        </w:rPr>
        <w:t xml:space="preserve"> vaistinio preparato laikymo są</w:t>
      </w:r>
      <w:r w:rsidR="006F7E11" w:rsidRPr="00736D2F">
        <w:rPr>
          <w:noProof/>
          <w:snapToGrid w:val="0"/>
          <w:color w:val="0D0D0D"/>
          <w:szCs w:val="24"/>
          <w:lang w:val="lt-LT"/>
        </w:rPr>
        <w:t>lygos pateikiamos 6.3 skyriuje.</w:t>
      </w:r>
    </w:p>
    <w:p w14:paraId="6EA609D7" w14:textId="77777777" w:rsidR="00C92AC0" w:rsidRPr="00736D2F" w:rsidRDefault="00C92AC0" w:rsidP="00C92AC0">
      <w:pPr>
        <w:tabs>
          <w:tab w:val="clear" w:pos="567"/>
        </w:tabs>
        <w:spacing w:line="240" w:lineRule="auto"/>
        <w:rPr>
          <w:snapToGrid w:val="0"/>
          <w:szCs w:val="24"/>
          <w:lang w:val="lt-LT"/>
        </w:rPr>
      </w:pPr>
    </w:p>
    <w:p w14:paraId="72D478A9" w14:textId="77777777" w:rsidR="00C92AC0" w:rsidRPr="00736D2F" w:rsidRDefault="00C92AC0" w:rsidP="00C92AC0">
      <w:pPr>
        <w:keepNext/>
        <w:jc w:val="both"/>
        <w:outlineLvl w:val="3"/>
        <w:rPr>
          <w:b/>
          <w:bCs/>
          <w:snapToGrid w:val="0"/>
          <w:szCs w:val="28"/>
          <w:lang w:val="lt-LT" w:eastAsia="x-none"/>
        </w:rPr>
      </w:pPr>
      <w:r w:rsidRPr="00736D2F">
        <w:rPr>
          <w:b/>
          <w:bCs/>
          <w:snapToGrid w:val="0"/>
          <w:szCs w:val="28"/>
          <w:lang w:val="lt-LT" w:eastAsia="x-none"/>
        </w:rPr>
        <w:t>6.5</w:t>
      </w:r>
      <w:r w:rsidRPr="00736D2F">
        <w:rPr>
          <w:b/>
          <w:bCs/>
          <w:snapToGrid w:val="0"/>
          <w:szCs w:val="28"/>
          <w:lang w:val="lt-LT" w:eastAsia="x-none"/>
        </w:rPr>
        <w:tab/>
        <w:t>Talpyklės pobūdis ir jos turinys</w:t>
      </w:r>
      <w:r w:rsidRPr="00736D2F">
        <w:rPr>
          <w:b/>
          <w:noProof/>
          <w:snapToGrid w:val="0"/>
          <w:szCs w:val="24"/>
          <w:lang w:val="lt-LT" w:eastAsia="x-none"/>
        </w:rPr>
        <w:t xml:space="preserve"> </w:t>
      </w:r>
    </w:p>
    <w:p w14:paraId="5C25D976" w14:textId="77777777" w:rsidR="00C92AC0" w:rsidRPr="00736D2F" w:rsidRDefault="00C92AC0" w:rsidP="00C92AC0">
      <w:pPr>
        <w:tabs>
          <w:tab w:val="clear" w:pos="567"/>
        </w:tabs>
        <w:spacing w:line="240" w:lineRule="auto"/>
        <w:rPr>
          <w:snapToGrid w:val="0"/>
          <w:szCs w:val="24"/>
          <w:lang w:val="lt-LT"/>
        </w:rPr>
      </w:pPr>
    </w:p>
    <w:p w14:paraId="33147DA0" w14:textId="4B535946" w:rsidR="006F7E11" w:rsidRPr="00736D2F" w:rsidRDefault="006F7E11" w:rsidP="00C92AC0">
      <w:pPr>
        <w:tabs>
          <w:tab w:val="clear" w:pos="567"/>
        </w:tabs>
        <w:spacing w:line="240" w:lineRule="auto"/>
        <w:rPr>
          <w:lang w:val="lt-LT"/>
        </w:rPr>
      </w:pPr>
      <w:r w:rsidRPr="00736D2F">
        <w:rPr>
          <w:lang w:val="lt-LT"/>
        </w:rPr>
        <w:lastRenderedPageBreak/>
        <w:t>S</w:t>
      </w:r>
      <w:r w:rsidR="00FB4062" w:rsidRPr="00736D2F">
        <w:rPr>
          <w:lang w:val="lt-LT"/>
        </w:rPr>
        <w:t xml:space="preserve">kaidraus (I tipo) stiklo </w:t>
      </w:r>
      <w:r w:rsidR="005F1650">
        <w:rPr>
          <w:lang w:val="lt-LT"/>
        </w:rPr>
        <w:t>flakonas</w:t>
      </w:r>
      <w:r w:rsidRPr="00736D2F">
        <w:rPr>
          <w:lang w:val="lt-LT"/>
        </w:rPr>
        <w:t>, užkimštas</w:t>
      </w:r>
      <w:r w:rsidR="00FB4062" w:rsidRPr="00736D2F">
        <w:rPr>
          <w:lang w:val="lt-LT"/>
        </w:rPr>
        <w:t xml:space="preserve"> </w:t>
      </w:r>
      <w:r w:rsidRPr="00736D2F">
        <w:rPr>
          <w:lang w:val="lt-LT"/>
        </w:rPr>
        <w:t>bromo</w:t>
      </w:r>
      <w:r w:rsidR="00FB4062" w:rsidRPr="00736D2F">
        <w:rPr>
          <w:lang w:val="lt-LT"/>
        </w:rPr>
        <w:t>butilo gumos uždoriu, uždengtu aliuminio dangteliu</w:t>
      </w:r>
      <w:r w:rsidRPr="00736D2F">
        <w:rPr>
          <w:lang w:val="lt-LT"/>
        </w:rPr>
        <w:t xml:space="preserve">, padengtu polipropileno </w:t>
      </w:r>
      <w:r w:rsidR="00FB4062" w:rsidRPr="00736D2F">
        <w:rPr>
          <w:lang w:val="lt-LT"/>
        </w:rPr>
        <w:t>dangteliu</w:t>
      </w:r>
      <w:r w:rsidRPr="00736D2F">
        <w:rPr>
          <w:lang w:val="lt-LT"/>
        </w:rPr>
        <w:t xml:space="preserve">, kuriame yra 6 ml koncentrato. </w:t>
      </w:r>
      <w:r w:rsidR="005F1650">
        <w:rPr>
          <w:lang w:val="lt-LT"/>
        </w:rPr>
        <w:t xml:space="preserve">Flakonai </w:t>
      </w:r>
      <w:r w:rsidRPr="00736D2F">
        <w:rPr>
          <w:lang w:val="lt-LT"/>
        </w:rPr>
        <w:t xml:space="preserve"> gali būti apdengti apsaugine </w:t>
      </w:r>
      <w:r w:rsidR="005F1650">
        <w:rPr>
          <w:lang w:val="lt-LT"/>
        </w:rPr>
        <w:t>mova</w:t>
      </w:r>
      <w:r w:rsidRPr="00736D2F">
        <w:rPr>
          <w:lang w:val="lt-LT"/>
        </w:rPr>
        <w:t xml:space="preserve"> (skaidri, bespalvė apsauginė plėvelė, uždengianti aplinkui </w:t>
      </w:r>
      <w:r w:rsidR="005F1650">
        <w:rPr>
          <w:lang w:val="lt-LT"/>
        </w:rPr>
        <w:t xml:space="preserve">flakoną </w:t>
      </w:r>
      <w:r w:rsidRPr="00736D2F">
        <w:rPr>
          <w:lang w:val="lt-LT"/>
        </w:rPr>
        <w:t>, siekiant papildomų saugos priemonių).</w:t>
      </w:r>
    </w:p>
    <w:p w14:paraId="34244355" w14:textId="77777777" w:rsidR="006F7E11" w:rsidRPr="00736D2F" w:rsidRDefault="006F7E11" w:rsidP="00C92AC0">
      <w:pPr>
        <w:tabs>
          <w:tab w:val="clear" w:pos="567"/>
        </w:tabs>
        <w:spacing w:line="240" w:lineRule="auto"/>
        <w:rPr>
          <w:lang w:val="lt-LT"/>
        </w:rPr>
      </w:pPr>
    </w:p>
    <w:p w14:paraId="6E37F668" w14:textId="7CFAEC3C" w:rsidR="006F7E11" w:rsidRPr="00736D2F" w:rsidRDefault="00FB4062" w:rsidP="00C92AC0">
      <w:pPr>
        <w:tabs>
          <w:tab w:val="clear" w:pos="567"/>
        </w:tabs>
        <w:spacing w:line="240" w:lineRule="auto"/>
        <w:rPr>
          <w:lang w:val="lt-LT"/>
        </w:rPr>
      </w:pPr>
      <w:r w:rsidRPr="00736D2F">
        <w:rPr>
          <w:lang w:val="lt-LT"/>
        </w:rPr>
        <w:t>Kiekvien</w:t>
      </w:r>
      <w:r w:rsidR="006F7E11" w:rsidRPr="00736D2F">
        <w:rPr>
          <w:lang w:val="lt-LT"/>
        </w:rPr>
        <w:t xml:space="preserve">oje pakuotėje yra </w:t>
      </w:r>
      <w:r w:rsidR="00CA2A4E">
        <w:rPr>
          <w:lang w:val="lt-LT"/>
        </w:rPr>
        <w:t>vienas</w:t>
      </w:r>
      <w:r w:rsidR="005F1650">
        <w:rPr>
          <w:lang w:val="lt-LT"/>
        </w:rPr>
        <w:t xml:space="preserve"> flakonas vienkartiniam vartojimui.</w:t>
      </w:r>
      <w:r w:rsidR="006F7E11" w:rsidRPr="00736D2F">
        <w:rPr>
          <w:lang w:val="lt-LT"/>
        </w:rPr>
        <w:t>.</w:t>
      </w:r>
    </w:p>
    <w:p w14:paraId="73F4EE83" w14:textId="77777777" w:rsidR="00C92AC0" w:rsidRPr="00736D2F" w:rsidRDefault="00C92AC0" w:rsidP="00C92AC0">
      <w:pPr>
        <w:tabs>
          <w:tab w:val="clear" w:pos="567"/>
        </w:tabs>
        <w:spacing w:line="240" w:lineRule="auto"/>
        <w:rPr>
          <w:snapToGrid w:val="0"/>
          <w:szCs w:val="24"/>
          <w:lang w:val="lt-LT"/>
        </w:rPr>
      </w:pPr>
    </w:p>
    <w:p w14:paraId="166F05D0" w14:textId="77777777" w:rsidR="00C92AC0" w:rsidRPr="00736D2F" w:rsidRDefault="00C92AC0" w:rsidP="00C92AC0">
      <w:pPr>
        <w:keepNext/>
        <w:jc w:val="both"/>
        <w:outlineLvl w:val="3"/>
        <w:rPr>
          <w:b/>
          <w:bCs/>
          <w:snapToGrid w:val="0"/>
          <w:szCs w:val="28"/>
          <w:lang w:val="lt-LT" w:eastAsia="x-none"/>
        </w:rPr>
      </w:pPr>
      <w:bookmarkStart w:id="1" w:name="OLE_LINK1"/>
      <w:r w:rsidRPr="00736D2F">
        <w:rPr>
          <w:b/>
          <w:bCs/>
          <w:snapToGrid w:val="0"/>
          <w:szCs w:val="28"/>
          <w:lang w:val="lt-LT" w:eastAsia="x-none"/>
        </w:rPr>
        <w:t>6.6</w:t>
      </w:r>
      <w:r w:rsidRPr="00736D2F">
        <w:rPr>
          <w:b/>
          <w:bCs/>
          <w:snapToGrid w:val="0"/>
          <w:szCs w:val="28"/>
          <w:lang w:val="lt-LT" w:eastAsia="x-none"/>
        </w:rPr>
        <w:tab/>
        <w:t>Specialūs reikalavimai atliekoms tvarkyti</w:t>
      </w:r>
      <w:r w:rsidR="000F14E0" w:rsidRPr="00736D2F">
        <w:rPr>
          <w:b/>
          <w:bCs/>
          <w:snapToGrid w:val="0"/>
          <w:szCs w:val="28"/>
          <w:lang w:val="lt-LT" w:eastAsia="x-none"/>
        </w:rPr>
        <w:t xml:space="preserve"> </w:t>
      </w:r>
      <w:r w:rsidR="000F14E0" w:rsidRPr="00736D2F">
        <w:rPr>
          <w:b/>
          <w:lang w:val="lt-LT"/>
        </w:rPr>
        <w:t>ir vaistiniam preparatui ruošti</w:t>
      </w:r>
      <w:r w:rsidRPr="00736D2F">
        <w:rPr>
          <w:b/>
          <w:bCs/>
          <w:snapToGrid w:val="0"/>
          <w:szCs w:val="28"/>
          <w:lang w:val="lt-LT" w:eastAsia="x-none"/>
        </w:rPr>
        <w:t xml:space="preserve"> </w:t>
      </w:r>
    </w:p>
    <w:bookmarkEnd w:id="1"/>
    <w:p w14:paraId="3C3EB788" w14:textId="77777777" w:rsidR="00C92AC0" w:rsidRPr="00736D2F" w:rsidRDefault="00C92AC0" w:rsidP="00C92AC0">
      <w:pPr>
        <w:tabs>
          <w:tab w:val="clear" w:pos="567"/>
        </w:tabs>
        <w:spacing w:line="240" w:lineRule="auto"/>
        <w:rPr>
          <w:snapToGrid w:val="0"/>
          <w:szCs w:val="24"/>
          <w:lang w:val="lt-LT"/>
        </w:rPr>
      </w:pPr>
    </w:p>
    <w:p w14:paraId="4D13B45F" w14:textId="4145C264" w:rsidR="00E1575A" w:rsidRPr="00736D2F" w:rsidRDefault="00E1575A" w:rsidP="00C92AC0">
      <w:pPr>
        <w:tabs>
          <w:tab w:val="clear" w:pos="567"/>
        </w:tabs>
        <w:spacing w:line="240" w:lineRule="auto"/>
        <w:rPr>
          <w:lang w:val="lt-LT"/>
        </w:rPr>
      </w:pPr>
      <w:r w:rsidRPr="00736D2F">
        <w:rPr>
          <w:lang w:val="lt-LT"/>
        </w:rPr>
        <w:t xml:space="preserve">Cabazitaxel Teva </w:t>
      </w:r>
      <w:r w:rsidR="00FB4062" w:rsidRPr="00736D2F">
        <w:rPr>
          <w:lang w:val="lt-LT"/>
        </w:rPr>
        <w:t xml:space="preserve">ruošti ir infuzuoti gali tik personalas, išmokytas dirbti su citotoksiniais </w:t>
      </w:r>
      <w:r w:rsidR="00F869FA">
        <w:rPr>
          <w:lang w:val="lt-LT"/>
        </w:rPr>
        <w:t xml:space="preserve">vaistiniais </w:t>
      </w:r>
      <w:r w:rsidR="00FB4062" w:rsidRPr="00736D2F">
        <w:rPr>
          <w:lang w:val="lt-LT"/>
        </w:rPr>
        <w:t xml:space="preserve">preparatais. Nėščioms moterims dirbti su šiuo </w:t>
      </w:r>
      <w:r w:rsidR="00F869FA">
        <w:rPr>
          <w:lang w:val="lt-LT"/>
        </w:rPr>
        <w:t xml:space="preserve">vaistiniu </w:t>
      </w:r>
      <w:r w:rsidR="00FB4062" w:rsidRPr="00736D2F">
        <w:rPr>
          <w:lang w:val="lt-LT"/>
        </w:rPr>
        <w:t xml:space="preserve">preparatu draudžiama. Dirbti su </w:t>
      </w:r>
      <w:r w:rsidRPr="00736D2F">
        <w:rPr>
          <w:lang w:val="lt-LT"/>
        </w:rPr>
        <w:t>Cabazitaxel Teva</w:t>
      </w:r>
      <w:r w:rsidR="00FB4062" w:rsidRPr="00736D2F">
        <w:rPr>
          <w:lang w:val="lt-LT"/>
        </w:rPr>
        <w:t xml:space="preserve">, kaip ir bet kokio kito antineoplastinio </w:t>
      </w:r>
      <w:r w:rsidR="005F1650">
        <w:rPr>
          <w:lang w:val="lt-LT"/>
        </w:rPr>
        <w:t xml:space="preserve">vaistinio </w:t>
      </w:r>
      <w:r w:rsidR="00FB4062" w:rsidRPr="00736D2F">
        <w:rPr>
          <w:lang w:val="lt-LT"/>
        </w:rPr>
        <w:t xml:space="preserve">preparato, tirpalubei jį ruošti reikia atsargiai, turint omenyje nuo kontaminacijos apsaugančių priemonių naudojimą, asmenines apsaugines priemones (pvz., pirštines) ir ruošimo procedūras. Jei bet kokiu darbo su </w:t>
      </w:r>
      <w:r w:rsidRPr="00736D2F">
        <w:rPr>
          <w:lang w:val="lt-LT"/>
        </w:rPr>
        <w:t>Cabazitaxel Teva</w:t>
      </w:r>
      <w:r w:rsidR="00FB4062" w:rsidRPr="00736D2F">
        <w:rPr>
          <w:lang w:val="lt-LT"/>
        </w:rPr>
        <w:t xml:space="preserve"> etapu </w:t>
      </w:r>
      <w:r w:rsidR="00937B84">
        <w:rPr>
          <w:lang w:val="lt-LT"/>
        </w:rPr>
        <w:t xml:space="preserve">vaistinio </w:t>
      </w:r>
      <w:r w:rsidR="00FB4062" w:rsidRPr="00736D2F">
        <w:rPr>
          <w:lang w:val="lt-LT"/>
        </w:rPr>
        <w:t xml:space="preserve">preparato patenka ant odos, ją reikia nedelsiant kruopščiai nuplauti muilu ir vandeniu. Jei </w:t>
      </w:r>
      <w:r w:rsidR="00F869FA">
        <w:rPr>
          <w:lang w:val="lt-LT"/>
        </w:rPr>
        <w:t xml:space="preserve">vaistinio </w:t>
      </w:r>
      <w:r w:rsidR="00FB4062" w:rsidRPr="00736D2F">
        <w:rPr>
          <w:lang w:val="lt-LT"/>
        </w:rPr>
        <w:t xml:space="preserve">preparato patenka ant gleivinės, ją reikia nedelsiant ir kruopščiai nuplauti vandeniu. </w:t>
      </w:r>
    </w:p>
    <w:p w14:paraId="07FB83CC" w14:textId="77777777" w:rsidR="00E1575A" w:rsidRPr="00736D2F" w:rsidRDefault="00E1575A" w:rsidP="00C92AC0">
      <w:pPr>
        <w:tabs>
          <w:tab w:val="clear" w:pos="567"/>
        </w:tabs>
        <w:spacing w:line="240" w:lineRule="auto"/>
        <w:rPr>
          <w:lang w:val="lt-LT"/>
        </w:rPr>
      </w:pPr>
    </w:p>
    <w:p w14:paraId="56FBD012" w14:textId="77777777" w:rsidR="00E1575A" w:rsidRPr="00736D2F" w:rsidRDefault="00FB4062" w:rsidP="00C92AC0">
      <w:pPr>
        <w:tabs>
          <w:tab w:val="clear" w:pos="567"/>
        </w:tabs>
        <w:spacing w:line="240" w:lineRule="auto"/>
        <w:rPr>
          <w:lang w:val="lt-LT"/>
        </w:rPr>
      </w:pPr>
      <w:r w:rsidRPr="00736D2F">
        <w:rPr>
          <w:lang w:val="lt-LT"/>
        </w:rPr>
        <w:t xml:space="preserve">Prieš vaistinio preparato maišymą ir skiedimą atidžiai perskaitykite </w:t>
      </w:r>
      <w:r w:rsidRPr="00736D2F">
        <w:rPr>
          <w:b/>
          <w:lang w:val="lt-LT"/>
        </w:rPr>
        <w:t xml:space="preserve">VISĄ </w:t>
      </w:r>
      <w:r w:rsidRPr="00736D2F">
        <w:rPr>
          <w:lang w:val="lt-LT"/>
        </w:rPr>
        <w:t xml:space="preserve">šį skyrių. </w:t>
      </w:r>
      <w:r w:rsidR="00E1575A" w:rsidRPr="00736D2F">
        <w:rPr>
          <w:lang w:val="lt-LT"/>
        </w:rPr>
        <w:t>Cabazitaxel Teva</w:t>
      </w:r>
      <w:r w:rsidRPr="00736D2F">
        <w:rPr>
          <w:lang w:val="lt-LT"/>
        </w:rPr>
        <w:t xml:space="preserve"> prieš vartojimą reikia praskiesti </w:t>
      </w:r>
      <w:r w:rsidR="00E1575A" w:rsidRPr="00736D2F">
        <w:rPr>
          <w:b/>
          <w:lang w:val="lt-LT"/>
        </w:rPr>
        <w:t>VIENĄ</w:t>
      </w:r>
      <w:r w:rsidR="00E1575A" w:rsidRPr="00736D2F">
        <w:rPr>
          <w:lang w:val="lt-LT"/>
        </w:rPr>
        <w:t xml:space="preserve"> kartą</w:t>
      </w:r>
      <w:r w:rsidRPr="00736D2F">
        <w:rPr>
          <w:lang w:val="lt-LT"/>
        </w:rPr>
        <w:t xml:space="preserve">. Laikykitės toliau pateikiamų ruošimo instrukcijų. </w:t>
      </w:r>
    </w:p>
    <w:p w14:paraId="156A2DC4" w14:textId="77777777" w:rsidR="00E1575A" w:rsidRPr="00736D2F" w:rsidRDefault="00E1575A" w:rsidP="00C92AC0">
      <w:pPr>
        <w:tabs>
          <w:tab w:val="clear" w:pos="567"/>
        </w:tabs>
        <w:spacing w:line="240" w:lineRule="auto"/>
        <w:rPr>
          <w:lang w:val="lt-LT"/>
        </w:rPr>
      </w:pPr>
    </w:p>
    <w:p w14:paraId="256A68E9" w14:textId="43835E33" w:rsidR="00E1575A" w:rsidRPr="00736D2F" w:rsidRDefault="00E1575A" w:rsidP="00C92AC0">
      <w:pPr>
        <w:tabs>
          <w:tab w:val="clear" w:pos="567"/>
        </w:tabs>
        <w:spacing w:line="240" w:lineRule="auto"/>
        <w:rPr>
          <w:lang w:val="lt-LT"/>
        </w:rPr>
      </w:pPr>
      <w:r w:rsidRPr="00736D2F">
        <w:rPr>
          <w:lang w:val="lt-LT"/>
        </w:rPr>
        <w:t>Toliau aprašytas skiedimo procesas paruošiant infuz</w:t>
      </w:r>
      <w:r w:rsidR="005F1650">
        <w:rPr>
          <w:lang w:val="lt-LT"/>
        </w:rPr>
        <w:t>iją</w:t>
      </w:r>
      <w:r w:rsidRPr="00736D2F">
        <w:rPr>
          <w:lang w:val="lt-LT"/>
        </w:rPr>
        <w:t xml:space="preserve"> turi vykti aseptinė</w:t>
      </w:r>
      <w:r w:rsidR="005F1650">
        <w:rPr>
          <w:lang w:val="lt-LT"/>
        </w:rPr>
        <w:t>mis</w:t>
      </w:r>
      <w:r w:rsidRPr="00736D2F">
        <w:rPr>
          <w:lang w:val="lt-LT"/>
        </w:rPr>
        <w:t xml:space="preserve"> sąlygo</w:t>
      </w:r>
      <w:r w:rsidR="005F1650">
        <w:rPr>
          <w:lang w:val="lt-LT"/>
        </w:rPr>
        <w:t>mis</w:t>
      </w:r>
      <w:r w:rsidRPr="00736D2F">
        <w:rPr>
          <w:lang w:val="lt-LT"/>
        </w:rPr>
        <w:t>.</w:t>
      </w:r>
    </w:p>
    <w:p w14:paraId="7E4768AA" w14:textId="77777777" w:rsidR="00E1575A" w:rsidRPr="00736D2F" w:rsidRDefault="00E1575A" w:rsidP="00C92AC0">
      <w:pPr>
        <w:tabs>
          <w:tab w:val="clear" w:pos="567"/>
        </w:tabs>
        <w:spacing w:line="240" w:lineRule="auto"/>
        <w:rPr>
          <w:lang w:val="lt-LT"/>
        </w:rPr>
      </w:pPr>
    </w:p>
    <w:p w14:paraId="1487408A" w14:textId="1EDF43E6" w:rsidR="00E1575A" w:rsidRPr="00736D2F" w:rsidRDefault="00E1575A" w:rsidP="00C92AC0">
      <w:pPr>
        <w:tabs>
          <w:tab w:val="clear" w:pos="567"/>
        </w:tabs>
        <w:spacing w:line="240" w:lineRule="auto"/>
        <w:rPr>
          <w:lang w:val="lt-LT"/>
        </w:rPr>
      </w:pPr>
      <w:r w:rsidRPr="00736D2F">
        <w:rPr>
          <w:lang w:val="lt-LT"/>
        </w:rPr>
        <w:t>Vartojant paskirtą doz</w:t>
      </w:r>
      <w:r w:rsidR="006853BF">
        <w:rPr>
          <w:lang w:val="lt-LT"/>
        </w:rPr>
        <w:t>ę</w:t>
      </w:r>
      <w:r w:rsidRPr="00736D2F">
        <w:rPr>
          <w:lang w:val="lt-LT"/>
        </w:rPr>
        <w:t xml:space="preserve"> gali r</w:t>
      </w:r>
      <w:r w:rsidR="000078CD" w:rsidRPr="00736D2F">
        <w:rPr>
          <w:lang w:val="lt-LT"/>
        </w:rPr>
        <w:t>eikėti daugiau nei vieno koncent</w:t>
      </w:r>
      <w:r w:rsidRPr="00736D2F">
        <w:rPr>
          <w:lang w:val="lt-LT"/>
        </w:rPr>
        <w:t>rato</w:t>
      </w:r>
      <w:r w:rsidR="006853BF">
        <w:rPr>
          <w:lang w:val="lt-LT"/>
        </w:rPr>
        <w:t xml:space="preserve"> flakono</w:t>
      </w:r>
      <w:r w:rsidRPr="00736D2F">
        <w:rPr>
          <w:lang w:val="lt-LT"/>
        </w:rPr>
        <w:t>.</w:t>
      </w:r>
    </w:p>
    <w:p w14:paraId="23C3AE80" w14:textId="77777777" w:rsidR="00E1575A" w:rsidRPr="00736D2F" w:rsidRDefault="00E1575A" w:rsidP="00C92AC0">
      <w:pPr>
        <w:tabs>
          <w:tab w:val="clear" w:pos="567"/>
        </w:tabs>
        <w:spacing w:line="240" w:lineRule="auto"/>
        <w:rPr>
          <w:lang w:val="lt-LT"/>
        </w:rPr>
      </w:pPr>
    </w:p>
    <w:p w14:paraId="250A191A" w14:textId="77777777" w:rsidR="00E1575A" w:rsidRPr="00736D2F" w:rsidRDefault="00E1575A" w:rsidP="00C92AC0">
      <w:pPr>
        <w:tabs>
          <w:tab w:val="clear" w:pos="567"/>
        </w:tabs>
        <w:spacing w:line="240" w:lineRule="auto"/>
        <w:rPr>
          <w:b/>
          <w:u w:val="single"/>
          <w:lang w:val="lt-LT"/>
        </w:rPr>
      </w:pPr>
      <w:r w:rsidRPr="00736D2F">
        <w:rPr>
          <w:b/>
          <w:u w:val="single"/>
          <w:lang w:val="lt-LT"/>
        </w:rPr>
        <w:t>Praskiedimas vartojimui</w:t>
      </w:r>
    </w:p>
    <w:p w14:paraId="0F71C18E" w14:textId="77777777" w:rsidR="00E1575A" w:rsidRPr="00736D2F" w:rsidRDefault="00E1575A" w:rsidP="00C92AC0">
      <w:pPr>
        <w:tabs>
          <w:tab w:val="clear" w:pos="567"/>
        </w:tabs>
        <w:spacing w:line="240" w:lineRule="auto"/>
        <w:rPr>
          <w:lang w:val="lt-LT"/>
        </w:rPr>
      </w:pPr>
    </w:p>
    <w:p w14:paraId="1A1B2687" w14:textId="77777777" w:rsidR="00E1575A" w:rsidRPr="00736D2F" w:rsidRDefault="00FB4062" w:rsidP="00FB4062">
      <w:pPr>
        <w:tabs>
          <w:tab w:val="clear" w:pos="567"/>
        </w:tabs>
        <w:spacing w:line="240" w:lineRule="auto"/>
        <w:rPr>
          <w:lang w:val="lt-LT"/>
        </w:rPr>
      </w:pPr>
      <w:r w:rsidRPr="00736D2F">
        <w:rPr>
          <w:b/>
          <w:lang w:val="lt-LT"/>
        </w:rPr>
        <w:t>1 etapas</w:t>
      </w:r>
      <w:r w:rsidRPr="00736D2F">
        <w:rPr>
          <w:lang w:val="lt-LT"/>
        </w:rPr>
        <w:t xml:space="preserve"> </w:t>
      </w:r>
    </w:p>
    <w:p w14:paraId="1EA1B687" w14:textId="77777777" w:rsidR="00282FDF" w:rsidRPr="00736D2F" w:rsidRDefault="00FB4062" w:rsidP="00C92AC0">
      <w:pPr>
        <w:tabs>
          <w:tab w:val="clear" w:pos="567"/>
        </w:tabs>
        <w:spacing w:line="240" w:lineRule="auto"/>
        <w:rPr>
          <w:lang w:val="lt-LT"/>
        </w:rPr>
      </w:pPr>
      <w:r w:rsidRPr="00736D2F">
        <w:rPr>
          <w:lang w:val="lt-LT"/>
        </w:rPr>
        <w:t>Graduotu švirkštu su prijungta adata aseptinėmis sąlygomis ištraukite reikiamą koncentrato (10</w:t>
      </w:r>
      <w:r w:rsidR="00282FDF" w:rsidRPr="00736D2F">
        <w:rPr>
          <w:lang w:val="lt-LT"/>
        </w:rPr>
        <w:t> </w:t>
      </w:r>
      <w:r w:rsidRPr="00736D2F">
        <w:rPr>
          <w:lang w:val="lt-LT"/>
        </w:rPr>
        <w:t>mg/ml kabaz</w:t>
      </w:r>
      <w:r w:rsidR="00282FDF" w:rsidRPr="00736D2F">
        <w:rPr>
          <w:lang w:val="lt-LT"/>
        </w:rPr>
        <w:t>itakselio) tūrį. Pavyzdžiui, 45 </w:t>
      </w:r>
      <w:r w:rsidRPr="00736D2F">
        <w:rPr>
          <w:lang w:val="lt-LT"/>
        </w:rPr>
        <w:t xml:space="preserve">mg </w:t>
      </w:r>
      <w:r w:rsidR="00282FDF" w:rsidRPr="00736D2F">
        <w:rPr>
          <w:lang w:val="lt-LT"/>
        </w:rPr>
        <w:t>Cabazitaxel Teva dozei reikia 4,5 </w:t>
      </w:r>
      <w:r w:rsidRPr="00736D2F">
        <w:rPr>
          <w:lang w:val="lt-LT"/>
        </w:rPr>
        <w:t>ml koncentrato</w:t>
      </w:r>
      <w:r w:rsidR="00282FDF" w:rsidRPr="00736D2F">
        <w:rPr>
          <w:lang w:val="lt-LT"/>
        </w:rPr>
        <w:t>.</w:t>
      </w:r>
    </w:p>
    <w:p w14:paraId="3CE41656" w14:textId="77777777" w:rsidR="00282FDF" w:rsidRPr="00736D2F" w:rsidRDefault="00282FDF" w:rsidP="00C92AC0">
      <w:pPr>
        <w:tabs>
          <w:tab w:val="clear" w:pos="567"/>
        </w:tabs>
        <w:spacing w:line="240" w:lineRule="auto"/>
        <w:rPr>
          <w:lang w:val="lt-LT"/>
        </w:rPr>
      </w:pPr>
    </w:p>
    <w:p w14:paraId="1539AB0D" w14:textId="77777777" w:rsidR="00282FDF" w:rsidRPr="00736D2F" w:rsidRDefault="00282FDF" w:rsidP="00282FDF">
      <w:pPr>
        <w:tabs>
          <w:tab w:val="clear" w:pos="567"/>
        </w:tabs>
        <w:spacing w:line="240" w:lineRule="auto"/>
        <w:rPr>
          <w:lang w:val="lt-LT"/>
        </w:rPr>
      </w:pPr>
      <w:r w:rsidRPr="00736D2F">
        <w:rPr>
          <w:b/>
          <w:lang w:val="lt-LT"/>
        </w:rPr>
        <w:t>2 etapas</w:t>
      </w:r>
      <w:r w:rsidRPr="00736D2F">
        <w:rPr>
          <w:lang w:val="lt-LT"/>
        </w:rPr>
        <w:t xml:space="preserve"> </w:t>
      </w:r>
    </w:p>
    <w:p w14:paraId="6063C1FA" w14:textId="0AFED6F4" w:rsidR="00FB4062" w:rsidRPr="00736D2F" w:rsidRDefault="006853BF" w:rsidP="00C92AC0">
      <w:pPr>
        <w:tabs>
          <w:tab w:val="clear" w:pos="567"/>
        </w:tabs>
        <w:spacing w:line="240" w:lineRule="auto"/>
        <w:rPr>
          <w:lang w:val="lt-LT"/>
        </w:rPr>
      </w:pPr>
      <w:r>
        <w:rPr>
          <w:lang w:val="lt-LT"/>
        </w:rPr>
        <w:t>S</w:t>
      </w:r>
      <w:r w:rsidR="00FB4062" w:rsidRPr="00736D2F">
        <w:rPr>
          <w:lang w:val="lt-LT"/>
        </w:rPr>
        <w:t xml:space="preserve">ušvirkškite į sterilią infuzinę talpyklę (jos sudėtyje </w:t>
      </w:r>
      <w:r w:rsidR="00282FDF" w:rsidRPr="00736D2F">
        <w:rPr>
          <w:lang w:val="lt-LT"/>
        </w:rPr>
        <w:t>negali būti PVC), kurioje yra 5 </w:t>
      </w:r>
      <w:r w:rsidR="00FB4062" w:rsidRPr="00736D2F">
        <w:rPr>
          <w:lang w:val="lt-LT"/>
        </w:rPr>
        <w:t>% gliukozės tirpalo arba 0,9</w:t>
      </w:r>
      <w:r w:rsidR="00282FDF" w:rsidRPr="00736D2F">
        <w:rPr>
          <w:lang w:val="lt-LT"/>
        </w:rPr>
        <w:t> %</w:t>
      </w:r>
      <w:r w:rsidR="00FB4062" w:rsidRPr="00736D2F">
        <w:rPr>
          <w:lang w:val="lt-LT"/>
        </w:rPr>
        <w:t xml:space="preserve"> natrio chlorido infuzinio tirpalo. Infuzinio tirpalo ko</w:t>
      </w:r>
      <w:r w:rsidR="00282FDF" w:rsidRPr="00736D2F">
        <w:rPr>
          <w:lang w:val="lt-LT"/>
        </w:rPr>
        <w:t>ncentracija turi būti 0,10-0,26 </w:t>
      </w:r>
      <w:r w:rsidR="00FB4062" w:rsidRPr="00736D2F">
        <w:rPr>
          <w:lang w:val="lt-LT"/>
        </w:rPr>
        <w:t>mg/ml.</w:t>
      </w:r>
    </w:p>
    <w:p w14:paraId="6E156CC2" w14:textId="77777777" w:rsidR="00FB4062" w:rsidRPr="00736D2F" w:rsidRDefault="00FB4062" w:rsidP="00C92AC0">
      <w:pPr>
        <w:tabs>
          <w:tab w:val="clear" w:pos="567"/>
        </w:tabs>
        <w:spacing w:line="240" w:lineRule="auto"/>
        <w:rPr>
          <w:lang w:val="lt-LT"/>
        </w:rPr>
      </w:pPr>
    </w:p>
    <w:p w14:paraId="46FA3F9E" w14:textId="77777777" w:rsidR="00282FDF" w:rsidRPr="00736D2F" w:rsidRDefault="00FB4062" w:rsidP="00C92AC0">
      <w:pPr>
        <w:tabs>
          <w:tab w:val="clear" w:pos="567"/>
        </w:tabs>
        <w:spacing w:line="240" w:lineRule="auto"/>
        <w:rPr>
          <w:b/>
          <w:lang w:val="lt-LT"/>
        </w:rPr>
      </w:pPr>
      <w:r w:rsidRPr="00736D2F">
        <w:rPr>
          <w:b/>
          <w:lang w:val="lt-LT"/>
        </w:rPr>
        <w:t xml:space="preserve">3 etapas </w:t>
      </w:r>
    </w:p>
    <w:p w14:paraId="09677508" w14:textId="77777777" w:rsidR="00FB4062" w:rsidRPr="00736D2F" w:rsidRDefault="00FB4062" w:rsidP="00C92AC0">
      <w:pPr>
        <w:tabs>
          <w:tab w:val="clear" w:pos="567"/>
        </w:tabs>
        <w:spacing w:line="240" w:lineRule="auto"/>
        <w:rPr>
          <w:lang w:val="lt-LT"/>
        </w:rPr>
      </w:pPr>
      <w:r w:rsidRPr="00736D2F">
        <w:rPr>
          <w:lang w:val="lt-LT"/>
        </w:rPr>
        <w:t>Nuimkite švirkštą ir infuzijos maišelio ar buteliuko turinį sumaišykite rankiniu būdu siūbuojančiais judesiais.</w:t>
      </w:r>
    </w:p>
    <w:p w14:paraId="61016535" w14:textId="77777777" w:rsidR="00282FDF" w:rsidRPr="00736D2F" w:rsidRDefault="00282FDF" w:rsidP="00C92AC0">
      <w:pPr>
        <w:tabs>
          <w:tab w:val="clear" w:pos="567"/>
        </w:tabs>
        <w:spacing w:line="240" w:lineRule="auto"/>
        <w:rPr>
          <w:lang w:val="lt-LT"/>
        </w:rPr>
      </w:pPr>
    </w:p>
    <w:p w14:paraId="0D949007" w14:textId="77777777" w:rsidR="00282FDF" w:rsidRPr="00736D2F" w:rsidRDefault="00FB4062" w:rsidP="00C92AC0">
      <w:pPr>
        <w:tabs>
          <w:tab w:val="clear" w:pos="567"/>
        </w:tabs>
        <w:spacing w:line="240" w:lineRule="auto"/>
        <w:rPr>
          <w:b/>
          <w:lang w:val="lt-LT"/>
        </w:rPr>
      </w:pPr>
      <w:r w:rsidRPr="00736D2F">
        <w:rPr>
          <w:b/>
          <w:lang w:val="lt-LT"/>
        </w:rPr>
        <w:t xml:space="preserve">4 etapas </w:t>
      </w:r>
    </w:p>
    <w:p w14:paraId="176613FE" w14:textId="77777777" w:rsidR="00282FDF" w:rsidRPr="00736D2F" w:rsidRDefault="00FB4062" w:rsidP="00C92AC0">
      <w:pPr>
        <w:tabs>
          <w:tab w:val="clear" w:pos="567"/>
        </w:tabs>
        <w:spacing w:line="240" w:lineRule="auto"/>
        <w:rPr>
          <w:lang w:val="lt-LT"/>
        </w:rPr>
      </w:pPr>
      <w:r w:rsidRPr="00736D2F">
        <w:rPr>
          <w:lang w:val="lt-LT"/>
        </w:rPr>
        <w:t xml:space="preserve">Gautą infuzinį tirpalą, kaip ir bet kokį parenterinį vaistinį preparatą, prieš vartojimą būtina apžiūrėti. Jeigu infuzinis tirpalas yra labai įsotintas, laikui bėgant jis gali kristalizuotis. Tokiu atveju tirpalo vartoti negalima, jį būtina sunaikinti </w:t>
      </w:r>
    </w:p>
    <w:p w14:paraId="4219BAA2" w14:textId="77777777" w:rsidR="00282FDF" w:rsidRPr="00736D2F" w:rsidRDefault="00282FDF" w:rsidP="00C92AC0">
      <w:pPr>
        <w:tabs>
          <w:tab w:val="clear" w:pos="567"/>
        </w:tabs>
        <w:spacing w:line="240" w:lineRule="auto"/>
        <w:rPr>
          <w:lang w:val="lt-LT"/>
        </w:rPr>
      </w:pPr>
    </w:p>
    <w:p w14:paraId="7019BE01" w14:textId="77777777" w:rsidR="00282FDF" w:rsidRPr="00736D2F" w:rsidRDefault="00FB4062" w:rsidP="00C92AC0">
      <w:pPr>
        <w:tabs>
          <w:tab w:val="clear" w:pos="567"/>
        </w:tabs>
        <w:spacing w:line="240" w:lineRule="auto"/>
        <w:rPr>
          <w:lang w:val="lt-LT"/>
        </w:rPr>
      </w:pPr>
      <w:r w:rsidRPr="00736D2F">
        <w:rPr>
          <w:lang w:val="lt-LT"/>
        </w:rPr>
        <w:t xml:space="preserve">Infuzinį tirpalą būtina vartoti nedelsiant. Vis dėlto specifinėmis 6.3 skyriuje nurodytomis sąlygomis paruoštą tirpalą galima laikyti ilgiau. </w:t>
      </w:r>
    </w:p>
    <w:p w14:paraId="269B0E72" w14:textId="77777777" w:rsidR="00282FDF" w:rsidRPr="00736D2F" w:rsidRDefault="00282FDF" w:rsidP="00C92AC0">
      <w:pPr>
        <w:tabs>
          <w:tab w:val="clear" w:pos="567"/>
        </w:tabs>
        <w:spacing w:line="240" w:lineRule="auto"/>
        <w:rPr>
          <w:lang w:val="lt-LT"/>
        </w:rPr>
      </w:pPr>
    </w:p>
    <w:p w14:paraId="2585FC6A" w14:textId="77777777" w:rsidR="00282FDF" w:rsidRPr="00736D2F" w:rsidRDefault="00FB4062" w:rsidP="00C92AC0">
      <w:pPr>
        <w:tabs>
          <w:tab w:val="clear" w:pos="567"/>
        </w:tabs>
        <w:spacing w:line="240" w:lineRule="auto"/>
        <w:rPr>
          <w:lang w:val="lt-LT"/>
        </w:rPr>
      </w:pPr>
      <w:r w:rsidRPr="00736D2F">
        <w:rPr>
          <w:lang w:val="lt-LT"/>
        </w:rPr>
        <w:t xml:space="preserve">Infuzavimo metu </w:t>
      </w:r>
      <w:r w:rsidR="00282FDF" w:rsidRPr="00736D2F">
        <w:rPr>
          <w:lang w:val="lt-LT"/>
        </w:rPr>
        <w:t>privaloma naudoti vidinį sistemos 0,22 mikrometro (dar vadinamą 0,2 </w:t>
      </w:r>
      <w:r w:rsidRPr="00736D2F">
        <w:rPr>
          <w:lang w:val="lt-LT"/>
        </w:rPr>
        <w:t xml:space="preserve">mikrometro) nominalaus porų dydžio filtrą. </w:t>
      </w:r>
    </w:p>
    <w:p w14:paraId="20312F8C" w14:textId="77777777" w:rsidR="00282FDF" w:rsidRPr="00736D2F" w:rsidRDefault="00282FDF" w:rsidP="00C92AC0">
      <w:pPr>
        <w:tabs>
          <w:tab w:val="clear" w:pos="567"/>
        </w:tabs>
        <w:spacing w:line="240" w:lineRule="auto"/>
        <w:rPr>
          <w:lang w:val="lt-LT"/>
        </w:rPr>
      </w:pPr>
    </w:p>
    <w:p w14:paraId="19F9DAD0" w14:textId="77777777" w:rsidR="00282FDF" w:rsidRPr="00736D2F" w:rsidRDefault="00FB4062" w:rsidP="00C92AC0">
      <w:pPr>
        <w:tabs>
          <w:tab w:val="clear" w:pos="567"/>
        </w:tabs>
        <w:spacing w:line="240" w:lineRule="auto"/>
        <w:rPr>
          <w:lang w:val="lt-LT"/>
        </w:rPr>
      </w:pPr>
      <w:r w:rsidRPr="00736D2F">
        <w:rPr>
          <w:lang w:val="lt-LT"/>
        </w:rPr>
        <w:t xml:space="preserve">Ruošiant ir infuzuojant </w:t>
      </w:r>
      <w:r w:rsidR="00282FDF" w:rsidRPr="00736D2F">
        <w:rPr>
          <w:lang w:val="lt-LT"/>
        </w:rPr>
        <w:t>Cabazitaxel Teva</w:t>
      </w:r>
      <w:r w:rsidRPr="00736D2F">
        <w:rPr>
          <w:lang w:val="lt-LT"/>
        </w:rPr>
        <w:t xml:space="preserve">, negalima naudoti PVC infuzinių talpyklių arba poliuretano infuzinių rinkinių. </w:t>
      </w:r>
    </w:p>
    <w:p w14:paraId="214C25F2" w14:textId="77777777" w:rsidR="00282FDF" w:rsidRPr="00736D2F" w:rsidRDefault="00282FDF" w:rsidP="00C92AC0">
      <w:pPr>
        <w:tabs>
          <w:tab w:val="clear" w:pos="567"/>
        </w:tabs>
        <w:spacing w:line="240" w:lineRule="auto"/>
        <w:rPr>
          <w:lang w:val="lt-LT"/>
        </w:rPr>
      </w:pPr>
    </w:p>
    <w:p w14:paraId="01587A3A" w14:textId="77777777" w:rsidR="00282FDF" w:rsidRPr="00736D2F" w:rsidRDefault="00282FDF" w:rsidP="00C92AC0">
      <w:pPr>
        <w:tabs>
          <w:tab w:val="clear" w:pos="567"/>
        </w:tabs>
        <w:spacing w:line="240" w:lineRule="auto"/>
        <w:rPr>
          <w:lang w:val="lt-LT"/>
        </w:rPr>
      </w:pPr>
      <w:r w:rsidRPr="00736D2F">
        <w:rPr>
          <w:lang w:val="lt-LT"/>
        </w:rPr>
        <w:t xml:space="preserve">Cabazitaxel Teva </w:t>
      </w:r>
      <w:r w:rsidR="00FB4062" w:rsidRPr="00736D2F">
        <w:rPr>
          <w:lang w:val="lt-LT"/>
        </w:rPr>
        <w:t xml:space="preserve">negalima maišyti su kitais vaistiniais preparatais, išskyrus išvardytus aukščiau. </w:t>
      </w:r>
    </w:p>
    <w:p w14:paraId="3A55B739" w14:textId="77777777" w:rsidR="00282FDF" w:rsidRPr="00736D2F" w:rsidRDefault="00282FDF" w:rsidP="00C92AC0">
      <w:pPr>
        <w:tabs>
          <w:tab w:val="clear" w:pos="567"/>
        </w:tabs>
        <w:spacing w:line="240" w:lineRule="auto"/>
        <w:rPr>
          <w:lang w:val="lt-LT"/>
        </w:rPr>
      </w:pPr>
    </w:p>
    <w:p w14:paraId="0562C95F" w14:textId="77777777" w:rsidR="00FB4062" w:rsidRPr="00736D2F" w:rsidRDefault="00FB4062" w:rsidP="00C92AC0">
      <w:pPr>
        <w:tabs>
          <w:tab w:val="clear" w:pos="567"/>
        </w:tabs>
        <w:spacing w:line="240" w:lineRule="auto"/>
        <w:rPr>
          <w:lang w:val="lt-LT"/>
        </w:rPr>
      </w:pPr>
      <w:r w:rsidRPr="00736D2F">
        <w:rPr>
          <w:lang w:val="lt-LT"/>
        </w:rPr>
        <w:t>Nesuvartotą vaistinį preparatą ar atliekas reikia tvarkyti laikantis vietinių reikalavimų</w:t>
      </w:r>
      <w:r w:rsidR="005E1DB5" w:rsidRPr="00736D2F">
        <w:rPr>
          <w:lang w:val="lt-LT"/>
        </w:rPr>
        <w:t>.</w:t>
      </w:r>
    </w:p>
    <w:p w14:paraId="39D40147" w14:textId="77777777" w:rsidR="00FB4062" w:rsidRPr="00736D2F" w:rsidRDefault="00FB4062" w:rsidP="00C92AC0">
      <w:pPr>
        <w:tabs>
          <w:tab w:val="clear" w:pos="567"/>
        </w:tabs>
        <w:spacing w:line="240" w:lineRule="auto"/>
        <w:rPr>
          <w:lang w:val="lt-LT"/>
        </w:rPr>
      </w:pPr>
    </w:p>
    <w:p w14:paraId="1541CA60" w14:textId="77777777" w:rsidR="00FB4062" w:rsidRPr="00736D2F" w:rsidRDefault="00FB4062" w:rsidP="00C92AC0">
      <w:pPr>
        <w:tabs>
          <w:tab w:val="clear" w:pos="567"/>
        </w:tabs>
        <w:spacing w:line="240" w:lineRule="auto"/>
        <w:rPr>
          <w:snapToGrid w:val="0"/>
          <w:szCs w:val="24"/>
          <w:lang w:val="lt-LT"/>
        </w:rPr>
      </w:pPr>
    </w:p>
    <w:p w14:paraId="17FD8697" w14:textId="77777777" w:rsidR="00C92AC0" w:rsidRPr="00736D2F" w:rsidRDefault="00C92AC0" w:rsidP="00C92AC0">
      <w:pPr>
        <w:keepNext/>
        <w:keepLines/>
        <w:spacing w:line="240" w:lineRule="auto"/>
        <w:outlineLvl w:val="2"/>
        <w:rPr>
          <w:b/>
          <w:bCs/>
          <w:snapToGrid w:val="0"/>
          <w:szCs w:val="26"/>
          <w:lang w:val="lt-LT" w:eastAsia="x-none"/>
        </w:rPr>
      </w:pPr>
      <w:r w:rsidRPr="00736D2F">
        <w:rPr>
          <w:b/>
          <w:bCs/>
          <w:snapToGrid w:val="0"/>
          <w:szCs w:val="26"/>
          <w:lang w:val="lt-LT" w:eastAsia="x-none"/>
        </w:rPr>
        <w:t>7.</w:t>
      </w:r>
      <w:r w:rsidRPr="00736D2F">
        <w:rPr>
          <w:b/>
          <w:bCs/>
          <w:snapToGrid w:val="0"/>
          <w:szCs w:val="26"/>
          <w:lang w:val="lt-LT" w:eastAsia="x-none"/>
        </w:rPr>
        <w:tab/>
        <w:t>REGISTRUOTOJAS</w:t>
      </w:r>
    </w:p>
    <w:p w14:paraId="74210DCB" w14:textId="77777777" w:rsidR="00C92AC0" w:rsidRPr="00736D2F" w:rsidRDefault="00C92AC0" w:rsidP="00C92AC0">
      <w:pPr>
        <w:tabs>
          <w:tab w:val="clear" w:pos="567"/>
        </w:tabs>
        <w:spacing w:line="240" w:lineRule="auto"/>
        <w:rPr>
          <w:snapToGrid w:val="0"/>
          <w:szCs w:val="24"/>
          <w:lang w:val="lt-LT"/>
        </w:rPr>
      </w:pPr>
    </w:p>
    <w:p w14:paraId="331B14C4" w14:textId="77777777" w:rsidR="00282FDF" w:rsidRPr="00736D2F" w:rsidRDefault="00282FDF" w:rsidP="00282FDF">
      <w:pPr>
        <w:shd w:val="clear" w:color="auto" w:fill="FFFFFF"/>
        <w:tabs>
          <w:tab w:val="clear" w:pos="567"/>
        </w:tabs>
        <w:spacing w:line="240" w:lineRule="auto"/>
        <w:rPr>
          <w:color w:val="222222"/>
          <w:szCs w:val="22"/>
          <w:lang w:val="lt-LT"/>
        </w:rPr>
      </w:pPr>
      <w:r w:rsidRPr="00736D2F">
        <w:rPr>
          <w:color w:val="222222"/>
          <w:szCs w:val="22"/>
          <w:lang w:val="lt-LT"/>
        </w:rPr>
        <w:t xml:space="preserve">Teva B.V., </w:t>
      </w:r>
    </w:p>
    <w:p w14:paraId="30F86BF6" w14:textId="77777777" w:rsidR="00667A9F" w:rsidRPr="00667A9F" w:rsidRDefault="00667A9F" w:rsidP="00667A9F">
      <w:pPr>
        <w:rPr>
          <w:rFonts w:eastAsia="Calibri"/>
          <w:szCs w:val="22"/>
          <w:lang w:val="lt-LT"/>
        </w:rPr>
      </w:pPr>
      <w:r w:rsidRPr="00667A9F">
        <w:rPr>
          <w:rFonts w:eastAsia="Calibri"/>
          <w:szCs w:val="22"/>
          <w:lang w:val="lt-LT"/>
        </w:rPr>
        <w:t>Swensweg 5</w:t>
      </w:r>
    </w:p>
    <w:p w14:paraId="45527E27" w14:textId="77777777" w:rsidR="00667A9F" w:rsidRPr="00667A9F" w:rsidRDefault="00667A9F" w:rsidP="00667A9F">
      <w:pPr>
        <w:rPr>
          <w:rFonts w:eastAsia="Calibri"/>
          <w:szCs w:val="22"/>
          <w:lang w:val="lt-LT"/>
        </w:rPr>
      </w:pPr>
      <w:r w:rsidRPr="00667A9F">
        <w:rPr>
          <w:rFonts w:eastAsia="Calibri"/>
          <w:szCs w:val="22"/>
          <w:lang w:val="lt-LT"/>
        </w:rPr>
        <w:t xml:space="preserve">2031 GA Haarlem </w:t>
      </w:r>
    </w:p>
    <w:p w14:paraId="08BE8A71" w14:textId="77777777" w:rsidR="00667A9F" w:rsidRPr="00667A9F" w:rsidRDefault="00667A9F" w:rsidP="00667A9F">
      <w:pPr>
        <w:rPr>
          <w:rFonts w:eastAsia="Calibri"/>
          <w:szCs w:val="22"/>
          <w:lang w:val="lt-LT"/>
        </w:rPr>
      </w:pPr>
      <w:r w:rsidRPr="00667A9F">
        <w:rPr>
          <w:rFonts w:eastAsia="Calibri"/>
          <w:szCs w:val="22"/>
          <w:lang w:val="lt-LT"/>
        </w:rPr>
        <w:t>Nyderlandai</w:t>
      </w:r>
    </w:p>
    <w:p w14:paraId="10D1D696" w14:textId="77777777" w:rsidR="00C92AC0" w:rsidRPr="00736D2F" w:rsidRDefault="00C92AC0" w:rsidP="00282FDF">
      <w:pPr>
        <w:shd w:val="clear" w:color="auto" w:fill="FFFFFF"/>
        <w:tabs>
          <w:tab w:val="clear" w:pos="567"/>
        </w:tabs>
        <w:spacing w:line="240" w:lineRule="auto"/>
        <w:rPr>
          <w:snapToGrid w:val="0"/>
          <w:szCs w:val="24"/>
          <w:lang w:val="lt-LT"/>
        </w:rPr>
      </w:pPr>
    </w:p>
    <w:p w14:paraId="5D22018C" w14:textId="77777777" w:rsidR="00C92AC0" w:rsidRPr="00736D2F" w:rsidRDefault="00C92AC0" w:rsidP="00C92AC0">
      <w:pPr>
        <w:tabs>
          <w:tab w:val="clear" w:pos="567"/>
        </w:tabs>
        <w:spacing w:line="240" w:lineRule="auto"/>
        <w:rPr>
          <w:snapToGrid w:val="0"/>
          <w:szCs w:val="24"/>
          <w:lang w:val="lt-LT"/>
        </w:rPr>
      </w:pPr>
    </w:p>
    <w:p w14:paraId="7CA23584" w14:textId="77777777" w:rsidR="00C92AC0" w:rsidRPr="00736D2F" w:rsidRDefault="00C92AC0" w:rsidP="00C92AC0">
      <w:pPr>
        <w:keepNext/>
        <w:keepLines/>
        <w:spacing w:line="240" w:lineRule="auto"/>
        <w:outlineLvl w:val="2"/>
        <w:rPr>
          <w:b/>
          <w:bCs/>
          <w:snapToGrid w:val="0"/>
          <w:szCs w:val="26"/>
          <w:lang w:val="lt-LT" w:eastAsia="x-none"/>
        </w:rPr>
      </w:pPr>
      <w:r w:rsidRPr="00736D2F">
        <w:rPr>
          <w:b/>
          <w:bCs/>
          <w:snapToGrid w:val="0"/>
          <w:szCs w:val="26"/>
          <w:lang w:val="lt-LT" w:eastAsia="x-none"/>
        </w:rPr>
        <w:t>8.</w:t>
      </w:r>
      <w:r w:rsidRPr="00736D2F">
        <w:rPr>
          <w:b/>
          <w:bCs/>
          <w:snapToGrid w:val="0"/>
          <w:szCs w:val="26"/>
          <w:lang w:val="lt-LT" w:eastAsia="x-none"/>
        </w:rPr>
        <w:tab/>
        <w:t xml:space="preserve">REGISTRACIJOS </w:t>
      </w:r>
      <w:r w:rsidRPr="00736D2F">
        <w:rPr>
          <w:b/>
          <w:bCs/>
          <w:noProof/>
          <w:snapToGrid w:val="0"/>
          <w:szCs w:val="22"/>
          <w:lang w:val="lt-LT" w:eastAsia="x-none"/>
        </w:rPr>
        <w:t>PAŽYMĖJIMO</w:t>
      </w:r>
      <w:r w:rsidRPr="00736D2F">
        <w:rPr>
          <w:b/>
          <w:bCs/>
          <w:snapToGrid w:val="0"/>
          <w:szCs w:val="26"/>
          <w:lang w:val="lt-LT" w:eastAsia="x-none"/>
        </w:rPr>
        <w:t xml:space="preserve"> NUMERIS (-IAI) </w:t>
      </w:r>
    </w:p>
    <w:p w14:paraId="75EC0B1A" w14:textId="77777777" w:rsidR="00C92AC0" w:rsidRPr="00736D2F" w:rsidRDefault="00C92AC0" w:rsidP="00C92AC0">
      <w:pPr>
        <w:tabs>
          <w:tab w:val="clear" w:pos="567"/>
        </w:tabs>
        <w:spacing w:line="240" w:lineRule="auto"/>
        <w:rPr>
          <w:snapToGrid w:val="0"/>
          <w:szCs w:val="24"/>
          <w:lang w:val="lt-LT"/>
        </w:rPr>
      </w:pPr>
    </w:p>
    <w:p w14:paraId="7B72D1EA" w14:textId="4CF3BAC3" w:rsidR="00C92AC0" w:rsidRDefault="003C5CC2" w:rsidP="00C92AC0">
      <w:pPr>
        <w:tabs>
          <w:tab w:val="clear" w:pos="567"/>
        </w:tabs>
        <w:spacing w:line="240" w:lineRule="auto"/>
        <w:rPr>
          <w:snapToGrid w:val="0"/>
          <w:szCs w:val="24"/>
          <w:lang w:val="lt-LT"/>
        </w:rPr>
      </w:pPr>
      <w:r w:rsidRPr="003C5CC2">
        <w:rPr>
          <w:snapToGrid w:val="0"/>
          <w:szCs w:val="24"/>
          <w:lang w:val="lt-LT"/>
        </w:rPr>
        <w:t>LT/1/20/4611/001</w:t>
      </w:r>
    </w:p>
    <w:p w14:paraId="3D5099D1" w14:textId="7E49D65C" w:rsidR="003C5CC2" w:rsidRDefault="003C5CC2" w:rsidP="00C92AC0">
      <w:pPr>
        <w:tabs>
          <w:tab w:val="clear" w:pos="567"/>
        </w:tabs>
        <w:spacing w:line="240" w:lineRule="auto"/>
        <w:rPr>
          <w:snapToGrid w:val="0"/>
          <w:szCs w:val="24"/>
          <w:lang w:val="lt-LT"/>
        </w:rPr>
      </w:pPr>
    </w:p>
    <w:p w14:paraId="71B173C4" w14:textId="77777777" w:rsidR="003C5CC2" w:rsidRPr="00736D2F" w:rsidRDefault="003C5CC2" w:rsidP="00C92AC0">
      <w:pPr>
        <w:tabs>
          <w:tab w:val="clear" w:pos="567"/>
        </w:tabs>
        <w:spacing w:line="240" w:lineRule="auto"/>
        <w:rPr>
          <w:snapToGrid w:val="0"/>
          <w:szCs w:val="24"/>
          <w:lang w:val="lt-LT"/>
        </w:rPr>
      </w:pPr>
    </w:p>
    <w:p w14:paraId="7EEBE661" w14:textId="77777777" w:rsidR="00C92AC0" w:rsidRPr="00736D2F" w:rsidRDefault="00C92AC0" w:rsidP="00C92AC0">
      <w:pPr>
        <w:keepNext/>
        <w:keepLines/>
        <w:spacing w:line="240" w:lineRule="auto"/>
        <w:outlineLvl w:val="2"/>
        <w:rPr>
          <w:b/>
          <w:bCs/>
          <w:snapToGrid w:val="0"/>
          <w:szCs w:val="26"/>
          <w:lang w:val="lt-LT" w:eastAsia="x-none"/>
        </w:rPr>
      </w:pPr>
      <w:r w:rsidRPr="00736D2F">
        <w:rPr>
          <w:b/>
          <w:bCs/>
          <w:snapToGrid w:val="0"/>
          <w:szCs w:val="26"/>
          <w:lang w:val="lt-LT" w:eastAsia="x-none"/>
        </w:rPr>
        <w:t>9.</w:t>
      </w:r>
      <w:r w:rsidRPr="00736D2F">
        <w:rPr>
          <w:b/>
          <w:bCs/>
          <w:snapToGrid w:val="0"/>
          <w:szCs w:val="26"/>
          <w:lang w:val="lt-LT" w:eastAsia="x-none"/>
        </w:rPr>
        <w:tab/>
        <w:t>REGISTRAVIMO / PERREGISTRAVIMO DATA</w:t>
      </w:r>
    </w:p>
    <w:p w14:paraId="3AF2187D" w14:textId="77777777" w:rsidR="00C92AC0" w:rsidRPr="00736D2F" w:rsidRDefault="00C92AC0" w:rsidP="00C92AC0">
      <w:pPr>
        <w:tabs>
          <w:tab w:val="clear" w:pos="567"/>
        </w:tabs>
        <w:spacing w:line="240" w:lineRule="auto"/>
        <w:rPr>
          <w:snapToGrid w:val="0"/>
          <w:szCs w:val="24"/>
          <w:lang w:val="lt-LT"/>
        </w:rPr>
      </w:pPr>
    </w:p>
    <w:p w14:paraId="74A259FC" w14:textId="4184E6B8" w:rsidR="00C92AC0" w:rsidRPr="00736D2F" w:rsidRDefault="00C92AC0" w:rsidP="00C92AC0">
      <w:pPr>
        <w:tabs>
          <w:tab w:val="clear" w:pos="567"/>
        </w:tabs>
        <w:spacing w:line="240" w:lineRule="auto"/>
        <w:rPr>
          <w:snapToGrid w:val="0"/>
          <w:szCs w:val="24"/>
          <w:lang w:val="lt-LT"/>
        </w:rPr>
      </w:pPr>
      <w:r w:rsidRPr="00736D2F">
        <w:rPr>
          <w:noProof/>
          <w:snapToGrid w:val="0"/>
          <w:szCs w:val="24"/>
          <w:lang w:val="lt-LT"/>
        </w:rPr>
        <w:t xml:space="preserve">Registravimo data </w:t>
      </w:r>
      <w:r w:rsidR="003C5CC2">
        <w:rPr>
          <w:noProof/>
          <w:snapToGrid w:val="0"/>
          <w:szCs w:val="24"/>
          <w:lang w:val="lt-LT"/>
        </w:rPr>
        <w:t>2020 m. rugsėjo 30 d.</w:t>
      </w:r>
    </w:p>
    <w:p w14:paraId="13630BF1" w14:textId="77777777" w:rsidR="00C92AC0" w:rsidRPr="00736D2F" w:rsidRDefault="00C92AC0" w:rsidP="00C92AC0">
      <w:pPr>
        <w:tabs>
          <w:tab w:val="clear" w:pos="567"/>
        </w:tabs>
        <w:spacing w:line="240" w:lineRule="auto"/>
        <w:rPr>
          <w:snapToGrid w:val="0"/>
          <w:szCs w:val="24"/>
          <w:lang w:val="lt-LT"/>
        </w:rPr>
      </w:pPr>
    </w:p>
    <w:p w14:paraId="59CDC589" w14:textId="77777777" w:rsidR="00161D54" w:rsidRPr="00736D2F" w:rsidRDefault="00161D54" w:rsidP="00C92AC0">
      <w:pPr>
        <w:tabs>
          <w:tab w:val="clear" w:pos="567"/>
        </w:tabs>
        <w:spacing w:line="240" w:lineRule="auto"/>
        <w:rPr>
          <w:snapToGrid w:val="0"/>
          <w:szCs w:val="24"/>
          <w:lang w:val="lt-LT"/>
        </w:rPr>
      </w:pPr>
    </w:p>
    <w:p w14:paraId="46200052" w14:textId="77777777" w:rsidR="00C92AC0" w:rsidRPr="00736D2F" w:rsidRDefault="00C92AC0" w:rsidP="00C92AC0">
      <w:pPr>
        <w:keepNext/>
        <w:keepLines/>
        <w:spacing w:line="240" w:lineRule="auto"/>
        <w:outlineLvl w:val="2"/>
        <w:rPr>
          <w:b/>
          <w:bCs/>
          <w:snapToGrid w:val="0"/>
          <w:szCs w:val="26"/>
          <w:lang w:val="lt-LT" w:eastAsia="x-none"/>
        </w:rPr>
      </w:pPr>
      <w:r w:rsidRPr="00736D2F">
        <w:rPr>
          <w:b/>
          <w:bCs/>
          <w:snapToGrid w:val="0"/>
          <w:szCs w:val="26"/>
          <w:lang w:val="lt-LT" w:eastAsia="x-none"/>
        </w:rPr>
        <w:t>10.</w:t>
      </w:r>
      <w:r w:rsidRPr="00736D2F">
        <w:rPr>
          <w:b/>
          <w:bCs/>
          <w:snapToGrid w:val="0"/>
          <w:szCs w:val="26"/>
          <w:lang w:val="lt-LT" w:eastAsia="x-none"/>
        </w:rPr>
        <w:tab/>
        <w:t>TEKSTO PERŽIŪROS DATA</w:t>
      </w:r>
    </w:p>
    <w:p w14:paraId="54B924AD" w14:textId="77777777" w:rsidR="00C92AC0" w:rsidRPr="00736D2F" w:rsidRDefault="00C92AC0" w:rsidP="00C92AC0">
      <w:pPr>
        <w:tabs>
          <w:tab w:val="clear" w:pos="567"/>
        </w:tabs>
        <w:spacing w:line="240" w:lineRule="auto"/>
        <w:rPr>
          <w:snapToGrid w:val="0"/>
          <w:szCs w:val="24"/>
          <w:lang w:val="lt-LT"/>
        </w:rPr>
      </w:pPr>
    </w:p>
    <w:p w14:paraId="5DC0E759" w14:textId="26C0F9BF" w:rsidR="00C92AC0" w:rsidRPr="00736D2F" w:rsidRDefault="003C5CC2" w:rsidP="00C92AC0">
      <w:pPr>
        <w:tabs>
          <w:tab w:val="clear" w:pos="567"/>
        </w:tabs>
        <w:spacing w:line="240" w:lineRule="auto"/>
        <w:rPr>
          <w:snapToGrid w:val="0"/>
          <w:szCs w:val="24"/>
          <w:lang w:val="lt-LT"/>
        </w:rPr>
      </w:pPr>
      <w:r>
        <w:rPr>
          <w:noProof/>
          <w:snapToGrid w:val="0"/>
          <w:szCs w:val="24"/>
          <w:lang w:val="lt-LT"/>
        </w:rPr>
        <w:t>2020 m. rugsėjo 30 d.</w:t>
      </w:r>
    </w:p>
    <w:p w14:paraId="4C782DC1" w14:textId="77777777" w:rsidR="00C92AC0" w:rsidRPr="00736D2F" w:rsidRDefault="00C92AC0" w:rsidP="00C92AC0">
      <w:pPr>
        <w:tabs>
          <w:tab w:val="clear" w:pos="567"/>
        </w:tabs>
        <w:spacing w:line="240" w:lineRule="auto"/>
        <w:rPr>
          <w:snapToGrid w:val="0"/>
          <w:szCs w:val="24"/>
          <w:lang w:val="lt-LT"/>
        </w:rPr>
      </w:pPr>
    </w:p>
    <w:p w14:paraId="39801896" w14:textId="77777777" w:rsidR="00C92AC0" w:rsidRPr="00736D2F" w:rsidRDefault="00C92AC0" w:rsidP="00C92AC0">
      <w:pPr>
        <w:tabs>
          <w:tab w:val="clear" w:pos="567"/>
        </w:tabs>
        <w:spacing w:line="240" w:lineRule="auto"/>
        <w:rPr>
          <w:snapToGrid w:val="0"/>
          <w:szCs w:val="24"/>
          <w:lang w:val="lt-LT"/>
        </w:rPr>
      </w:pPr>
    </w:p>
    <w:p w14:paraId="023BF34F" w14:textId="77777777" w:rsidR="00C92AC0" w:rsidRPr="00736D2F" w:rsidRDefault="00C92AC0" w:rsidP="00C92AC0">
      <w:pPr>
        <w:tabs>
          <w:tab w:val="clear" w:pos="567"/>
          <w:tab w:val="left" w:pos="5954"/>
          <w:tab w:val="left" w:pos="6237"/>
          <w:tab w:val="left" w:pos="6663"/>
          <w:tab w:val="left" w:pos="6946"/>
        </w:tabs>
        <w:spacing w:line="240" w:lineRule="auto"/>
        <w:rPr>
          <w:rFonts w:eastAsia="SimSun"/>
          <w:szCs w:val="22"/>
          <w:lang w:val="lt-LT"/>
        </w:rPr>
      </w:pPr>
      <w:r w:rsidRPr="00736D2F">
        <w:rPr>
          <w:rFonts w:eastAsia="SimSun"/>
          <w:noProof/>
          <w:szCs w:val="22"/>
          <w:lang w:val="lt-LT"/>
        </w:rPr>
        <w:t>Išsami informacija apie šį vaistinį preparatą pateikiama Valstybinės vaistų kontrolės tarnybos prie Lietuvos Respublikos sveikatos apsaugos ministerijos tinklalapyje</w:t>
      </w:r>
      <w:r w:rsidRPr="00736D2F">
        <w:rPr>
          <w:rFonts w:eastAsia="SimSun"/>
          <w:i/>
          <w:noProof/>
          <w:szCs w:val="22"/>
          <w:lang w:val="lt-LT"/>
        </w:rPr>
        <w:t xml:space="preserve"> </w:t>
      </w:r>
      <w:hyperlink r:id="rId11" w:history="1">
        <w:r w:rsidRPr="00736D2F">
          <w:rPr>
            <w:rFonts w:eastAsia="SimSun"/>
            <w:noProof/>
            <w:color w:val="0000FF"/>
            <w:szCs w:val="22"/>
            <w:u w:val="single"/>
            <w:lang w:val="lt-LT"/>
          </w:rPr>
          <w:t>http://www.</w:t>
        </w:r>
        <w:r w:rsidRPr="00736D2F">
          <w:rPr>
            <w:rFonts w:eastAsia="SimSun"/>
            <w:color w:val="0000FF"/>
            <w:szCs w:val="22"/>
            <w:u w:val="single"/>
            <w:lang w:val="lt-LT"/>
          </w:rPr>
          <w:t>vvkt.lt</w:t>
        </w:r>
      </w:hyperlink>
    </w:p>
    <w:p w14:paraId="50F1D5BF" w14:textId="77777777" w:rsidR="00937B84" w:rsidRDefault="00937B84">
      <w:pPr>
        <w:tabs>
          <w:tab w:val="clear" w:pos="567"/>
        </w:tabs>
        <w:spacing w:after="160" w:line="259" w:lineRule="auto"/>
        <w:rPr>
          <w:rFonts w:eastAsia="SimSun"/>
          <w:sz w:val="20"/>
          <w:lang w:val="lt-LT"/>
        </w:rPr>
      </w:pPr>
      <w:r>
        <w:rPr>
          <w:rFonts w:eastAsia="SimSun"/>
          <w:sz w:val="20"/>
          <w:lang w:val="lt-LT"/>
        </w:rPr>
        <w:br w:type="page"/>
      </w:r>
    </w:p>
    <w:p w14:paraId="270A0E26" w14:textId="77777777" w:rsidR="00C92AC0" w:rsidRPr="00736D2F" w:rsidRDefault="00C92AC0" w:rsidP="004D555B">
      <w:pPr>
        <w:tabs>
          <w:tab w:val="center" w:pos="567"/>
        </w:tabs>
        <w:spacing w:line="240" w:lineRule="auto"/>
        <w:contextualSpacing/>
        <w:rPr>
          <w:szCs w:val="22"/>
          <w:lang w:val="lt-LT"/>
        </w:rPr>
      </w:pPr>
    </w:p>
    <w:p w14:paraId="47CD7D61" w14:textId="77777777" w:rsidR="00F777F7" w:rsidRDefault="00F777F7" w:rsidP="00924A0B">
      <w:pPr>
        <w:spacing w:line="240" w:lineRule="auto"/>
        <w:rPr>
          <w:szCs w:val="22"/>
          <w:lang w:val="lt-LT"/>
        </w:rPr>
      </w:pPr>
    </w:p>
    <w:p w14:paraId="314FC735" w14:textId="77777777" w:rsidR="00667A9F" w:rsidRDefault="00667A9F" w:rsidP="00924A0B">
      <w:pPr>
        <w:spacing w:line="240" w:lineRule="auto"/>
        <w:rPr>
          <w:szCs w:val="22"/>
          <w:lang w:val="lt-LT"/>
        </w:rPr>
      </w:pPr>
    </w:p>
    <w:p w14:paraId="5C9A1558" w14:textId="77777777" w:rsidR="00667A9F" w:rsidRDefault="00667A9F" w:rsidP="00924A0B">
      <w:pPr>
        <w:spacing w:line="240" w:lineRule="auto"/>
        <w:rPr>
          <w:szCs w:val="22"/>
          <w:lang w:val="lt-LT"/>
        </w:rPr>
      </w:pPr>
    </w:p>
    <w:p w14:paraId="1E31A9B0" w14:textId="77777777" w:rsidR="0088184F" w:rsidRDefault="0088184F" w:rsidP="00924A0B">
      <w:pPr>
        <w:spacing w:line="240" w:lineRule="auto"/>
        <w:rPr>
          <w:szCs w:val="22"/>
          <w:lang w:val="lt-LT"/>
        </w:rPr>
      </w:pPr>
    </w:p>
    <w:p w14:paraId="72477ACF" w14:textId="77777777" w:rsidR="0088184F" w:rsidRDefault="0088184F" w:rsidP="00924A0B">
      <w:pPr>
        <w:spacing w:line="240" w:lineRule="auto"/>
        <w:rPr>
          <w:szCs w:val="22"/>
          <w:lang w:val="lt-LT"/>
        </w:rPr>
      </w:pPr>
    </w:p>
    <w:p w14:paraId="3B3F480B" w14:textId="77777777" w:rsidR="0088184F" w:rsidRDefault="0088184F" w:rsidP="00924A0B">
      <w:pPr>
        <w:spacing w:line="240" w:lineRule="auto"/>
        <w:rPr>
          <w:szCs w:val="22"/>
          <w:lang w:val="lt-LT"/>
        </w:rPr>
      </w:pPr>
    </w:p>
    <w:p w14:paraId="05BB96C1" w14:textId="77777777" w:rsidR="0088184F" w:rsidRDefault="0088184F" w:rsidP="00924A0B">
      <w:pPr>
        <w:spacing w:line="240" w:lineRule="auto"/>
        <w:rPr>
          <w:szCs w:val="22"/>
          <w:lang w:val="lt-LT"/>
        </w:rPr>
      </w:pPr>
    </w:p>
    <w:p w14:paraId="08932BE7" w14:textId="77777777" w:rsidR="0088184F" w:rsidRDefault="0088184F" w:rsidP="00924A0B">
      <w:pPr>
        <w:spacing w:line="240" w:lineRule="auto"/>
        <w:rPr>
          <w:szCs w:val="22"/>
          <w:lang w:val="lt-LT"/>
        </w:rPr>
      </w:pPr>
    </w:p>
    <w:p w14:paraId="110802D4" w14:textId="77777777" w:rsidR="0088184F" w:rsidRDefault="0088184F" w:rsidP="00924A0B">
      <w:pPr>
        <w:spacing w:line="240" w:lineRule="auto"/>
        <w:rPr>
          <w:szCs w:val="22"/>
          <w:lang w:val="lt-LT"/>
        </w:rPr>
      </w:pPr>
    </w:p>
    <w:p w14:paraId="7B61448C" w14:textId="77777777" w:rsidR="0088184F" w:rsidRDefault="0088184F" w:rsidP="00924A0B">
      <w:pPr>
        <w:spacing w:line="240" w:lineRule="auto"/>
        <w:rPr>
          <w:szCs w:val="22"/>
          <w:lang w:val="lt-LT"/>
        </w:rPr>
      </w:pPr>
    </w:p>
    <w:p w14:paraId="5D8F9E47" w14:textId="77777777" w:rsidR="0088184F" w:rsidRDefault="0088184F" w:rsidP="00924A0B">
      <w:pPr>
        <w:spacing w:line="240" w:lineRule="auto"/>
        <w:rPr>
          <w:szCs w:val="22"/>
          <w:lang w:val="lt-LT"/>
        </w:rPr>
      </w:pPr>
    </w:p>
    <w:p w14:paraId="69B7E787" w14:textId="77777777" w:rsidR="0088184F" w:rsidRDefault="0088184F" w:rsidP="00924A0B">
      <w:pPr>
        <w:spacing w:line="240" w:lineRule="auto"/>
        <w:rPr>
          <w:szCs w:val="22"/>
          <w:lang w:val="lt-LT"/>
        </w:rPr>
      </w:pPr>
    </w:p>
    <w:p w14:paraId="4F3A08CC" w14:textId="77777777" w:rsidR="0088184F" w:rsidRDefault="0088184F" w:rsidP="00924A0B">
      <w:pPr>
        <w:spacing w:line="240" w:lineRule="auto"/>
        <w:rPr>
          <w:szCs w:val="22"/>
          <w:lang w:val="lt-LT"/>
        </w:rPr>
      </w:pPr>
    </w:p>
    <w:p w14:paraId="00706363" w14:textId="77777777" w:rsidR="0088184F" w:rsidRDefault="0088184F" w:rsidP="00924A0B">
      <w:pPr>
        <w:spacing w:line="240" w:lineRule="auto"/>
        <w:rPr>
          <w:szCs w:val="22"/>
          <w:lang w:val="lt-LT"/>
        </w:rPr>
      </w:pPr>
    </w:p>
    <w:p w14:paraId="72A1884E" w14:textId="77777777" w:rsidR="0088184F" w:rsidRDefault="0088184F" w:rsidP="00924A0B">
      <w:pPr>
        <w:spacing w:line="240" w:lineRule="auto"/>
        <w:rPr>
          <w:szCs w:val="22"/>
          <w:lang w:val="lt-LT"/>
        </w:rPr>
      </w:pPr>
    </w:p>
    <w:p w14:paraId="39F71325" w14:textId="77777777" w:rsidR="0088184F" w:rsidRDefault="0088184F" w:rsidP="00924A0B">
      <w:pPr>
        <w:spacing w:line="240" w:lineRule="auto"/>
        <w:rPr>
          <w:szCs w:val="22"/>
          <w:lang w:val="lt-LT"/>
        </w:rPr>
      </w:pPr>
    </w:p>
    <w:p w14:paraId="56A64CBB" w14:textId="77777777" w:rsidR="0088184F" w:rsidRDefault="0088184F" w:rsidP="00924A0B">
      <w:pPr>
        <w:spacing w:line="240" w:lineRule="auto"/>
        <w:rPr>
          <w:szCs w:val="22"/>
          <w:lang w:val="lt-LT"/>
        </w:rPr>
      </w:pPr>
    </w:p>
    <w:p w14:paraId="44DA770D" w14:textId="77777777" w:rsidR="0088184F" w:rsidRDefault="0088184F" w:rsidP="00924A0B">
      <w:pPr>
        <w:spacing w:line="240" w:lineRule="auto"/>
        <w:rPr>
          <w:szCs w:val="22"/>
          <w:lang w:val="lt-LT"/>
        </w:rPr>
      </w:pPr>
    </w:p>
    <w:p w14:paraId="0C1614C1" w14:textId="77777777" w:rsidR="0088184F" w:rsidRDefault="0088184F" w:rsidP="00924A0B">
      <w:pPr>
        <w:spacing w:line="240" w:lineRule="auto"/>
        <w:rPr>
          <w:szCs w:val="22"/>
          <w:lang w:val="lt-LT"/>
        </w:rPr>
      </w:pPr>
    </w:p>
    <w:p w14:paraId="4626DA39" w14:textId="77777777" w:rsidR="0088184F" w:rsidRDefault="0088184F" w:rsidP="00924A0B">
      <w:pPr>
        <w:spacing w:line="240" w:lineRule="auto"/>
        <w:rPr>
          <w:szCs w:val="22"/>
          <w:lang w:val="lt-LT"/>
        </w:rPr>
      </w:pPr>
    </w:p>
    <w:p w14:paraId="5B8E99B1" w14:textId="77777777" w:rsidR="0088184F" w:rsidRDefault="0088184F" w:rsidP="00924A0B">
      <w:pPr>
        <w:spacing w:line="240" w:lineRule="auto"/>
        <w:rPr>
          <w:szCs w:val="22"/>
          <w:lang w:val="lt-LT"/>
        </w:rPr>
      </w:pPr>
    </w:p>
    <w:p w14:paraId="08AB051A" w14:textId="77777777" w:rsidR="00667A9F" w:rsidRPr="00667A9F" w:rsidRDefault="00667A9F" w:rsidP="00667A9F">
      <w:pPr>
        <w:tabs>
          <w:tab w:val="clear" w:pos="567"/>
        </w:tabs>
        <w:spacing w:line="240" w:lineRule="auto"/>
        <w:jc w:val="center"/>
        <w:rPr>
          <w:rFonts w:eastAsia="Calibri"/>
          <w:b/>
          <w:szCs w:val="22"/>
          <w:lang w:val="lt-LT"/>
        </w:rPr>
      </w:pPr>
      <w:r w:rsidRPr="00667A9F">
        <w:rPr>
          <w:rFonts w:eastAsia="Calibri"/>
          <w:b/>
          <w:szCs w:val="22"/>
          <w:lang w:val="lt-LT"/>
        </w:rPr>
        <w:t>II PRIEDAS</w:t>
      </w:r>
    </w:p>
    <w:p w14:paraId="23EF7C35" w14:textId="77777777" w:rsidR="00667A9F" w:rsidRPr="00667A9F" w:rsidRDefault="00667A9F" w:rsidP="00667A9F">
      <w:pPr>
        <w:tabs>
          <w:tab w:val="clear" w:pos="567"/>
        </w:tabs>
        <w:spacing w:line="240" w:lineRule="auto"/>
        <w:jc w:val="center"/>
        <w:rPr>
          <w:rFonts w:eastAsia="Calibri"/>
          <w:b/>
          <w:szCs w:val="22"/>
          <w:lang w:val="lt-LT"/>
        </w:rPr>
      </w:pPr>
    </w:p>
    <w:p w14:paraId="357CB4DA" w14:textId="77777777" w:rsidR="00667A9F" w:rsidRPr="00667A9F" w:rsidRDefault="00667A9F" w:rsidP="00667A9F">
      <w:pPr>
        <w:tabs>
          <w:tab w:val="clear" w:pos="567"/>
        </w:tabs>
        <w:spacing w:line="240" w:lineRule="auto"/>
        <w:jc w:val="center"/>
        <w:rPr>
          <w:rFonts w:eastAsia="Calibri"/>
          <w:szCs w:val="22"/>
          <w:lang w:val="lt-LT"/>
        </w:rPr>
      </w:pPr>
      <w:r w:rsidRPr="00667A9F">
        <w:rPr>
          <w:rFonts w:eastAsia="Calibri"/>
          <w:b/>
          <w:szCs w:val="22"/>
          <w:lang w:val="lt-LT"/>
        </w:rPr>
        <w:t>REGISTRACIJOS SĄLYGOS</w:t>
      </w:r>
    </w:p>
    <w:p w14:paraId="0C32E07F" w14:textId="77777777" w:rsidR="00667A9F" w:rsidRPr="00667A9F" w:rsidRDefault="00667A9F" w:rsidP="00667A9F">
      <w:pPr>
        <w:tabs>
          <w:tab w:val="clear" w:pos="567"/>
        </w:tabs>
        <w:spacing w:line="240" w:lineRule="auto"/>
        <w:ind w:left="1701" w:right="1416" w:hanging="567"/>
        <w:jc w:val="center"/>
        <w:rPr>
          <w:rFonts w:eastAsia="Calibri"/>
          <w:szCs w:val="22"/>
          <w:highlight w:val="yellow"/>
          <w:lang w:val="lt-LT"/>
        </w:rPr>
      </w:pPr>
    </w:p>
    <w:p w14:paraId="16DB1EB0" w14:textId="77777777" w:rsidR="00667A9F" w:rsidRPr="00667A9F" w:rsidRDefault="00667A9F" w:rsidP="001E0858">
      <w:pPr>
        <w:tabs>
          <w:tab w:val="clear" w:pos="567"/>
        </w:tabs>
        <w:spacing w:line="240" w:lineRule="auto"/>
        <w:ind w:left="1701" w:right="855" w:hanging="567"/>
        <w:rPr>
          <w:rFonts w:eastAsia="Calibri"/>
          <w:b/>
          <w:szCs w:val="22"/>
          <w:highlight w:val="yellow"/>
          <w:lang w:val="lt-LT"/>
        </w:rPr>
      </w:pPr>
      <w:r w:rsidRPr="00667A9F">
        <w:rPr>
          <w:rFonts w:eastAsia="Calibri"/>
          <w:b/>
          <w:szCs w:val="22"/>
          <w:lang w:val="lt-LT"/>
        </w:rPr>
        <w:t xml:space="preserve">A. </w:t>
      </w:r>
      <w:r w:rsidRPr="00667A9F">
        <w:rPr>
          <w:rFonts w:eastAsia="Calibri"/>
          <w:b/>
          <w:szCs w:val="24"/>
          <w:lang w:val="lt-LT"/>
        </w:rPr>
        <w:t>GAMINTOJAS (-AI),</w:t>
      </w:r>
      <w:r w:rsidRPr="00667A9F">
        <w:rPr>
          <w:rFonts w:eastAsia="Calibri"/>
          <w:b/>
          <w:szCs w:val="22"/>
          <w:lang w:val="lt-LT"/>
        </w:rPr>
        <w:t xml:space="preserve"> ATSAKINGAS (-I) UŽ SERIJŲ IŠLEIDIMĄ</w:t>
      </w:r>
    </w:p>
    <w:p w14:paraId="6F350267" w14:textId="77777777" w:rsidR="00667A9F" w:rsidRPr="00667A9F" w:rsidRDefault="00667A9F" w:rsidP="001E0858">
      <w:pPr>
        <w:tabs>
          <w:tab w:val="clear" w:pos="567"/>
        </w:tabs>
        <w:spacing w:line="240" w:lineRule="auto"/>
        <w:ind w:left="1701" w:hanging="567"/>
        <w:rPr>
          <w:rFonts w:eastAsia="Calibri"/>
          <w:szCs w:val="22"/>
          <w:highlight w:val="yellow"/>
          <w:lang w:val="lt-LT"/>
        </w:rPr>
      </w:pPr>
    </w:p>
    <w:p w14:paraId="5FAA19A9" w14:textId="77777777" w:rsidR="00667A9F" w:rsidRPr="00667A9F" w:rsidRDefault="00667A9F" w:rsidP="001E0858">
      <w:pPr>
        <w:tabs>
          <w:tab w:val="clear" w:pos="567"/>
        </w:tabs>
        <w:spacing w:line="240" w:lineRule="auto"/>
        <w:ind w:left="1701" w:right="855" w:hanging="567"/>
        <w:rPr>
          <w:rFonts w:eastAsia="Calibri"/>
          <w:b/>
          <w:szCs w:val="22"/>
          <w:lang w:val="lt-LT"/>
        </w:rPr>
      </w:pPr>
      <w:r w:rsidRPr="00667A9F">
        <w:rPr>
          <w:rFonts w:eastAsia="Calibri"/>
          <w:b/>
          <w:szCs w:val="22"/>
          <w:lang w:val="lt-LT"/>
        </w:rPr>
        <w:t>B.  TIEKIMO IR VARTOJIMO SĄLYGOS AR APRIBOJIMAI</w:t>
      </w:r>
    </w:p>
    <w:p w14:paraId="236BA051" w14:textId="77777777" w:rsidR="00667A9F" w:rsidRPr="00667A9F" w:rsidRDefault="00667A9F" w:rsidP="00667A9F">
      <w:pPr>
        <w:tabs>
          <w:tab w:val="clear" w:pos="567"/>
        </w:tabs>
        <w:spacing w:line="240" w:lineRule="auto"/>
        <w:ind w:left="567" w:hanging="567"/>
        <w:rPr>
          <w:rFonts w:eastAsia="Calibri"/>
          <w:szCs w:val="22"/>
          <w:lang w:val="lt-LT"/>
        </w:rPr>
      </w:pPr>
      <w:r w:rsidRPr="00667A9F">
        <w:rPr>
          <w:rFonts w:eastAsia="Calibri"/>
          <w:szCs w:val="22"/>
          <w:lang w:val="lt-LT"/>
        </w:rPr>
        <w:br w:type="page"/>
      </w:r>
    </w:p>
    <w:p w14:paraId="72F1F6E6" w14:textId="77777777" w:rsidR="00667A9F" w:rsidRPr="00667A9F" w:rsidRDefault="00667A9F" w:rsidP="00667A9F">
      <w:pPr>
        <w:tabs>
          <w:tab w:val="clear" w:pos="567"/>
        </w:tabs>
        <w:spacing w:line="240" w:lineRule="auto"/>
        <w:ind w:left="567" w:hanging="567"/>
        <w:rPr>
          <w:rFonts w:eastAsia="Calibri"/>
          <w:szCs w:val="22"/>
          <w:lang w:val="lt-LT"/>
        </w:rPr>
      </w:pPr>
      <w:r w:rsidRPr="00667A9F">
        <w:rPr>
          <w:rFonts w:eastAsia="Calibri"/>
          <w:b/>
          <w:szCs w:val="22"/>
          <w:lang w:val="lt-LT"/>
        </w:rPr>
        <w:lastRenderedPageBreak/>
        <w:t>A.</w:t>
      </w:r>
      <w:r w:rsidRPr="00667A9F">
        <w:rPr>
          <w:rFonts w:eastAsia="Calibri"/>
          <w:b/>
          <w:szCs w:val="22"/>
          <w:lang w:val="lt-LT"/>
        </w:rPr>
        <w:tab/>
        <w:t>GAMINTOJAS (-AI), ATSAKINGAS (-I) UŽ SERIJŲ IŠLEIDIMĄ</w:t>
      </w:r>
    </w:p>
    <w:p w14:paraId="4799CD97" w14:textId="77777777" w:rsidR="00667A9F" w:rsidRPr="00667A9F" w:rsidRDefault="00667A9F" w:rsidP="00667A9F">
      <w:pPr>
        <w:tabs>
          <w:tab w:val="clear" w:pos="567"/>
        </w:tabs>
        <w:spacing w:line="240" w:lineRule="auto"/>
        <w:rPr>
          <w:rFonts w:eastAsia="Calibri"/>
          <w:szCs w:val="22"/>
          <w:highlight w:val="yellow"/>
          <w:lang w:val="lt-LT"/>
        </w:rPr>
      </w:pPr>
    </w:p>
    <w:p w14:paraId="7270F364" w14:textId="77777777" w:rsidR="00667A9F" w:rsidRPr="00667A9F" w:rsidRDefault="00667A9F" w:rsidP="00667A9F">
      <w:pPr>
        <w:spacing w:line="240" w:lineRule="auto"/>
        <w:jc w:val="both"/>
        <w:rPr>
          <w:snapToGrid w:val="0"/>
          <w:szCs w:val="24"/>
          <w:lang w:val="lt-LT"/>
        </w:rPr>
      </w:pPr>
      <w:r w:rsidRPr="00667A9F">
        <w:rPr>
          <w:snapToGrid w:val="0"/>
          <w:szCs w:val="24"/>
          <w:u w:val="single"/>
          <w:lang w:val="lt-LT"/>
        </w:rPr>
        <w:t>Gamintojo (-ų), atsakingo (-ų) už serijų išleidimą, pavadinimas (-ai) ir adresas (-ai)</w:t>
      </w:r>
    </w:p>
    <w:p w14:paraId="46985686" w14:textId="77777777" w:rsidR="00C74681" w:rsidRPr="00C74681" w:rsidRDefault="00C74681" w:rsidP="00C74681">
      <w:pPr>
        <w:shd w:val="clear" w:color="auto" w:fill="FFFFFF"/>
        <w:tabs>
          <w:tab w:val="clear" w:pos="567"/>
        </w:tabs>
        <w:spacing w:line="240" w:lineRule="auto"/>
        <w:rPr>
          <w:bCs/>
          <w:szCs w:val="22"/>
          <w:lang w:val="lt-LT"/>
        </w:rPr>
      </w:pPr>
      <w:r w:rsidRPr="00C74681">
        <w:rPr>
          <w:bCs/>
          <w:szCs w:val="22"/>
          <w:lang w:val="lt-LT"/>
        </w:rPr>
        <w:t>PLIVA Croatia Ltd.</w:t>
      </w:r>
    </w:p>
    <w:p w14:paraId="5D3C2AF2" w14:textId="77777777" w:rsidR="00C74681" w:rsidRPr="00C74681" w:rsidRDefault="00C74681" w:rsidP="00C74681">
      <w:pPr>
        <w:shd w:val="clear" w:color="auto" w:fill="FFFFFF"/>
        <w:tabs>
          <w:tab w:val="clear" w:pos="567"/>
        </w:tabs>
        <w:spacing w:line="240" w:lineRule="auto"/>
        <w:rPr>
          <w:bCs/>
          <w:szCs w:val="22"/>
          <w:lang w:val="lt-LT"/>
        </w:rPr>
      </w:pPr>
      <w:r w:rsidRPr="00C74681">
        <w:rPr>
          <w:bCs/>
          <w:szCs w:val="22"/>
          <w:lang w:val="lt-LT"/>
        </w:rPr>
        <w:t>Prilaz baruna Filipovica 25.</w:t>
      </w:r>
    </w:p>
    <w:p w14:paraId="68486D17" w14:textId="77777777" w:rsidR="00C74681" w:rsidRPr="00C74681" w:rsidRDefault="00C74681" w:rsidP="00C74681">
      <w:pPr>
        <w:shd w:val="clear" w:color="auto" w:fill="FFFFFF"/>
        <w:tabs>
          <w:tab w:val="clear" w:pos="567"/>
        </w:tabs>
        <w:spacing w:line="240" w:lineRule="auto"/>
        <w:rPr>
          <w:bCs/>
          <w:szCs w:val="22"/>
          <w:lang w:val="lt-LT"/>
        </w:rPr>
      </w:pPr>
      <w:r w:rsidRPr="00C74681">
        <w:rPr>
          <w:bCs/>
          <w:szCs w:val="22"/>
          <w:lang w:val="lt-LT"/>
        </w:rPr>
        <w:t>Zagreb, 10000</w:t>
      </w:r>
    </w:p>
    <w:p w14:paraId="6B26479D" w14:textId="3FF1CD02" w:rsidR="003B5C78" w:rsidRPr="0084269B" w:rsidRDefault="00C74681" w:rsidP="003B5C78">
      <w:pPr>
        <w:shd w:val="clear" w:color="auto" w:fill="FFFFFF"/>
        <w:tabs>
          <w:tab w:val="clear" w:pos="567"/>
        </w:tabs>
        <w:spacing w:line="240" w:lineRule="auto"/>
        <w:rPr>
          <w:szCs w:val="22"/>
          <w:lang w:val="lt-LT"/>
        </w:rPr>
      </w:pPr>
      <w:r w:rsidRPr="00C74681">
        <w:rPr>
          <w:bCs/>
          <w:szCs w:val="22"/>
          <w:lang w:val="lt-LT"/>
        </w:rPr>
        <w:t>Kroatija</w:t>
      </w:r>
    </w:p>
    <w:p w14:paraId="369632B2" w14:textId="77777777" w:rsidR="003B5C78" w:rsidRPr="0084269B" w:rsidRDefault="003B5C78" w:rsidP="003B5C78">
      <w:pPr>
        <w:shd w:val="clear" w:color="auto" w:fill="FFFFFF"/>
        <w:tabs>
          <w:tab w:val="clear" w:pos="567"/>
        </w:tabs>
        <w:spacing w:line="240" w:lineRule="auto"/>
        <w:rPr>
          <w:szCs w:val="22"/>
          <w:lang w:val="lt-LT"/>
        </w:rPr>
      </w:pPr>
      <w:r w:rsidRPr="0084269B">
        <w:rPr>
          <w:szCs w:val="22"/>
          <w:lang w:val="lt-LT"/>
        </w:rPr>
        <w:t>arba</w:t>
      </w:r>
    </w:p>
    <w:p w14:paraId="3B23966E" w14:textId="77777777" w:rsidR="003B5C78" w:rsidRPr="0084269B" w:rsidRDefault="003B5C78" w:rsidP="003B5C78">
      <w:pPr>
        <w:shd w:val="clear" w:color="auto" w:fill="FFFFFF"/>
        <w:tabs>
          <w:tab w:val="clear" w:pos="567"/>
        </w:tabs>
        <w:spacing w:line="240" w:lineRule="auto"/>
        <w:rPr>
          <w:bCs/>
          <w:szCs w:val="22"/>
          <w:lang w:val="lt-LT"/>
        </w:rPr>
      </w:pPr>
    </w:p>
    <w:p w14:paraId="5F4EC38A" w14:textId="77777777" w:rsidR="003B5C78" w:rsidRPr="0084269B" w:rsidRDefault="003B5C78" w:rsidP="003B5C78">
      <w:pPr>
        <w:shd w:val="clear" w:color="auto" w:fill="FFFFFF"/>
        <w:tabs>
          <w:tab w:val="clear" w:pos="567"/>
        </w:tabs>
        <w:spacing w:line="240" w:lineRule="auto"/>
        <w:rPr>
          <w:bCs/>
          <w:szCs w:val="22"/>
          <w:lang w:val="lt-LT"/>
        </w:rPr>
      </w:pPr>
      <w:r w:rsidRPr="0084269B">
        <w:rPr>
          <w:bCs/>
          <w:szCs w:val="22"/>
          <w:lang w:val="lt-LT"/>
        </w:rPr>
        <w:t>Teva Nederland BV, </w:t>
      </w:r>
    </w:p>
    <w:p w14:paraId="6BB06D35" w14:textId="77777777" w:rsidR="003B5C78" w:rsidRPr="0084269B" w:rsidRDefault="003B5C78" w:rsidP="003B5C78">
      <w:pPr>
        <w:shd w:val="clear" w:color="auto" w:fill="FFFFFF"/>
        <w:tabs>
          <w:tab w:val="clear" w:pos="567"/>
        </w:tabs>
        <w:spacing w:line="240" w:lineRule="auto"/>
        <w:rPr>
          <w:szCs w:val="22"/>
          <w:lang w:val="lt-LT"/>
        </w:rPr>
      </w:pPr>
      <w:r w:rsidRPr="0084269B">
        <w:rPr>
          <w:szCs w:val="22"/>
          <w:lang w:val="lt-LT"/>
        </w:rPr>
        <w:t xml:space="preserve">Swensweg 5, 2031GA Haarlem, </w:t>
      </w:r>
    </w:p>
    <w:p w14:paraId="6A5A6F8E" w14:textId="77777777" w:rsidR="003B5C78" w:rsidRPr="0084269B" w:rsidRDefault="003B5C78" w:rsidP="003B5C78">
      <w:pPr>
        <w:shd w:val="clear" w:color="auto" w:fill="FFFFFF"/>
        <w:tabs>
          <w:tab w:val="clear" w:pos="567"/>
        </w:tabs>
        <w:spacing w:line="240" w:lineRule="auto"/>
        <w:rPr>
          <w:szCs w:val="22"/>
          <w:lang w:val="lt-LT"/>
        </w:rPr>
      </w:pPr>
      <w:r w:rsidRPr="0084269B">
        <w:rPr>
          <w:szCs w:val="22"/>
          <w:lang w:val="lt-LT"/>
        </w:rPr>
        <w:t>Nyderlandai</w:t>
      </w:r>
    </w:p>
    <w:p w14:paraId="2A768A9B" w14:textId="77777777" w:rsidR="00667A9F" w:rsidRPr="00667A9F" w:rsidRDefault="00667A9F" w:rsidP="00667A9F">
      <w:pPr>
        <w:tabs>
          <w:tab w:val="clear" w:pos="567"/>
        </w:tabs>
        <w:spacing w:line="240" w:lineRule="auto"/>
        <w:rPr>
          <w:rFonts w:eastAsia="Calibri"/>
          <w:szCs w:val="22"/>
          <w:highlight w:val="yellow"/>
          <w:lang w:val="lt-LT"/>
        </w:rPr>
      </w:pPr>
    </w:p>
    <w:p w14:paraId="20B024FE" w14:textId="77777777" w:rsidR="00667A9F" w:rsidRPr="00667A9F" w:rsidRDefault="00667A9F" w:rsidP="00667A9F">
      <w:pPr>
        <w:tabs>
          <w:tab w:val="clear" w:pos="567"/>
        </w:tabs>
        <w:spacing w:line="240" w:lineRule="auto"/>
        <w:rPr>
          <w:rFonts w:eastAsia="Calibri"/>
          <w:szCs w:val="22"/>
          <w:lang w:val="lt-LT"/>
        </w:rPr>
      </w:pPr>
    </w:p>
    <w:p w14:paraId="2087DF18" w14:textId="77777777" w:rsidR="00667A9F" w:rsidRPr="00667A9F" w:rsidRDefault="00667A9F" w:rsidP="00667A9F">
      <w:pPr>
        <w:tabs>
          <w:tab w:val="clear" w:pos="567"/>
        </w:tabs>
        <w:spacing w:line="240" w:lineRule="auto"/>
        <w:rPr>
          <w:rFonts w:eastAsia="Calibri"/>
          <w:szCs w:val="22"/>
          <w:lang w:val="lt-LT"/>
        </w:rPr>
      </w:pPr>
      <w:r w:rsidRPr="00667A9F">
        <w:rPr>
          <w:rFonts w:eastAsia="Calibri"/>
          <w:szCs w:val="22"/>
          <w:lang w:val="lt-LT"/>
        </w:rPr>
        <w:t>Su pakuote pateikiamame lapelyje nurodomas gamintojo, atsakingo už konkrečios serijos išleidimą, pavadinimas ir adresas.</w:t>
      </w:r>
    </w:p>
    <w:p w14:paraId="178665C0" w14:textId="77777777" w:rsidR="00667A9F" w:rsidRPr="00667A9F" w:rsidRDefault="00667A9F" w:rsidP="00667A9F">
      <w:pPr>
        <w:tabs>
          <w:tab w:val="clear" w:pos="567"/>
        </w:tabs>
        <w:spacing w:line="240" w:lineRule="auto"/>
        <w:rPr>
          <w:rFonts w:eastAsia="Calibri"/>
          <w:szCs w:val="22"/>
          <w:highlight w:val="yellow"/>
          <w:lang w:val="lt-LT"/>
        </w:rPr>
      </w:pPr>
    </w:p>
    <w:p w14:paraId="19FA3BE9" w14:textId="77777777" w:rsidR="00667A9F" w:rsidRPr="00667A9F" w:rsidRDefault="00667A9F" w:rsidP="00667A9F">
      <w:pPr>
        <w:tabs>
          <w:tab w:val="clear" w:pos="567"/>
        </w:tabs>
        <w:spacing w:line="240" w:lineRule="auto"/>
        <w:rPr>
          <w:rFonts w:eastAsia="Calibri"/>
          <w:szCs w:val="22"/>
          <w:highlight w:val="yellow"/>
          <w:lang w:val="lt-LT"/>
        </w:rPr>
      </w:pPr>
    </w:p>
    <w:p w14:paraId="2FD92639" w14:textId="77777777" w:rsidR="00667A9F" w:rsidRPr="00667A9F" w:rsidRDefault="00667A9F" w:rsidP="00667A9F">
      <w:pPr>
        <w:tabs>
          <w:tab w:val="clear" w:pos="567"/>
        </w:tabs>
        <w:spacing w:line="240" w:lineRule="auto"/>
        <w:ind w:left="567" w:hanging="567"/>
        <w:rPr>
          <w:rFonts w:eastAsia="Calibri"/>
          <w:b/>
          <w:szCs w:val="22"/>
          <w:lang w:val="lt-LT"/>
        </w:rPr>
      </w:pPr>
      <w:r w:rsidRPr="00667A9F">
        <w:rPr>
          <w:rFonts w:eastAsia="Calibri"/>
          <w:b/>
          <w:szCs w:val="22"/>
          <w:lang w:val="lt-LT"/>
        </w:rPr>
        <w:t>B.</w:t>
      </w:r>
      <w:r w:rsidRPr="00667A9F">
        <w:rPr>
          <w:rFonts w:eastAsia="Calibri"/>
          <w:b/>
          <w:szCs w:val="22"/>
          <w:lang w:val="lt-LT"/>
        </w:rPr>
        <w:tab/>
      </w:r>
      <w:r w:rsidRPr="00667A9F">
        <w:rPr>
          <w:rFonts w:eastAsia="Calibri"/>
          <w:b/>
          <w:szCs w:val="24"/>
          <w:lang w:val="lt-LT"/>
        </w:rPr>
        <w:t>TIEKIMO IR VARTOJIMO SĄLYGOS AR APRIBOJIMAI</w:t>
      </w:r>
    </w:p>
    <w:p w14:paraId="389C249C" w14:textId="77777777" w:rsidR="00667A9F" w:rsidRPr="00667A9F" w:rsidRDefault="00667A9F" w:rsidP="00667A9F">
      <w:pPr>
        <w:tabs>
          <w:tab w:val="clear" w:pos="567"/>
        </w:tabs>
        <w:spacing w:line="240" w:lineRule="auto"/>
        <w:rPr>
          <w:rFonts w:eastAsia="Calibri"/>
          <w:szCs w:val="22"/>
          <w:lang w:val="lt-LT"/>
        </w:rPr>
      </w:pPr>
    </w:p>
    <w:p w14:paraId="59354E96" w14:textId="77777777" w:rsidR="00667A9F" w:rsidRPr="00667A9F" w:rsidRDefault="00667A9F" w:rsidP="00667A9F">
      <w:pPr>
        <w:numPr>
          <w:ilvl w:val="12"/>
          <w:numId w:val="0"/>
        </w:numPr>
        <w:tabs>
          <w:tab w:val="clear" w:pos="567"/>
        </w:tabs>
        <w:spacing w:line="240" w:lineRule="auto"/>
        <w:jc w:val="both"/>
        <w:rPr>
          <w:rFonts w:eastAsia="Calibri"/>
          <w:szCs w:val="22"/>
          <w:lang w:val="lt-LT"/>
        </w:rPr>
      </w:pPr>
      <w:r w:rsidRPr="00667A9F">
        <w:rPr>
          <w:rFonts w:eastAsia="Calibri"/>
          <w:szCs w:val="22"/>
          <w:lang w:val="lt-LT"/>
        </w:rPr>
        <w:t>Receptinis vaistinis preparatas.</w:t>
      </w:r>
    </w:p>
    <w:p w14:paraId="6D14A921" w14:textId="77777777" w:rsidR="00667A9F" w:rsidRPr="00667A9F" w:rsidRDefault="00667A9F" w:rsidP="00667A9F">
      <w:pPr>
        <w:numPr>
          <w:ilvl w:val="12"/>
          <w:numId w:val="0"/>
        </w:numPr>
        <w:tabs>
          <w:tab w:val="clear" w:pos="567"/>
        </w:tabs>
        <w:spacing w:line="240" w:lineRule="auto"/>
        <w:rPr>
          <w:rFonts w:eastAsia="Calibri"/>
          <w:szCs w:val="22"/>
          <w:highlight w:val="yellow"/>
          <w:lang w:val="lt-LT"/>
        </w:rPr>
      </w:pPr>
    </w:p>
    <w:p w14:paraId="4CA9529F" w14:textId="77777777" w:rsidR="00667A9F" w:rsidRPr="00667A9F" w:rsidRDefault="00667A9F" w:rsidP="00667A9F">
      <w:pPr>
        <w:tabs>
          <w:tab w:val="clear" w:pos="567"/>
        </w:tabs>
        <w:spacing w:line="240" w:lineRule="auto"/>
        <w:ind w:right="-1"/>
        <w:rPr>
          <w:rFonts w:eastAsia="Calibri"/>
          <w:szCs w:val="22"/>
          <w:highlight w:val="yellow"/>
          <w:lang w:val="lt-LT"/>
        </w:rPr>
      </w:pPr>
    </w:p>
    <w:p w14:paraId="16D36C84" w14:textId="77777777" w:rsidR="00667A9F" w:rsidRPr="00667A9F" w:rsidRDefault="00667A9F" w:rsidP="00667A9F">
      <w:pPr>
        <w:tabs>
          <w:tab w:val="clear" w:pos="567"/>
        </w:tabs>
        <w:spacing w:line="240" w:lineRule="auto"/>
        <w:jc w:val="center"/>
        <w:outlineLvl w:val="0"/>
        <w:rPr>
          <w:rFonts w:eastAsia="Calibri"/>
          <w:b/>
          <w:szCs w:val="22"/>
          <w:lang w:val="lt-LT"/>
        </w:rPr>
      </w:pPr>
      <w:r w:rsidRPr="00667A9F">
        <w:rPr>
          <w:rFonts w:eastAsia="Calibri"/>
          <w:b/>
          <w:szCs w:val="22"/>
          <w:lang w:val="lt-LT"/>
        </w:rPr>
        <w:br w:type="page"/>
      </w:r>
    </w:p>
    <w:p w14:paraId="47F6B3C2" w14:textId="77777777" w:rsidR="00667A9F" w:rsidRPr="00667A9F" w:rsidRDefault="00667A9F" w:rsidP="00667A9F">
      <w:pPr>
        <w:tabs>
          <w:tab w:val="clear" w:pos="567"/>
        </w:tabs>
        <w:spacing w:line="240" w:lineRule="auto"/>
        <w:jc w:val="center"/>
        <w:outlineLvl w:val="0"/>
        <w:rPr>
          <w:rFonts w:eastAsia="Calibri"/>
          <w:b/>
          <w:szCs w:val="22"/>
          <w:lang w:val="lt-LT"/>
        </w:rPr>
      </w:pPr>
    </w:p>
    <w:p w14:paraId="5E5AEEF8"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18E8399" w14:textId="77777777" w:rsidR="00667A9F" w:rsidRPr="00667A9F" w:rsidRDefault="00667A9F" w:rsidP="00667A9F">
      <w:pPr>
        <w:tabs>
          <w:tab w:val="clear" w:pos="567"/>
        </w:tabs>
        <w:spacing w:line="240" w:lineRule="auto"/>
        <w:jc w:val="center"/>
        <w:outlineLvl w:val="0"/>
        <w:rPr>
          <w:rFonts w:eastAsia="Calibri"/>
          <w:b/>
          <w:szCs w:val="22"/>
          <w:lang w:val="lt-LT"/>
        </w:rPr>
      </w:pPr>
    </w:p>
    <w:p w14:paraId="335B66D0" w14:textId="77777777" w:rsidR="00667A9F" w:rsidRPr="00667A9F" w:rsidRDefault="00667A9F" w:rsidP="00667A9F">
      <w:pPr>
        <w:tabs>
          <w:tab w:val="clear" w:pos="567"/>
        </w:tabs>
        <w:spacing w:line="240" w:lineRule="auto"/>
        <w:jc w:val="center"/>
        <w:outlineLvl w:val="0"/>
        <w:rPr>
          <w:rFonts w:eastAsia="Calibri"/>
          <w:b/>
          <w:szCs w:val="22"/>
          <w:lang w:val="lt-LT"/>
        </w:rPr>
      </w:pPr>
    </w:p>
    <w:p w14:paraId="5484186C"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AA9BF6C" w14:textId="77777777" w:rsidR="00667A9F" w:rsidRPr="00667A9F" w:rsidRDefault="00667A9F" w:rsidP="00667A9F">
      <w:pPr>
        <w:tabs>
          <w:tab w:val="clear" w:pos="567"/>
        </w:tabs>
        <w:spacing w:line="240" w:lineRule="auto"/>
        <w:jc w:val="center"/>
        <w:outlineLvl w:val="0"/>
        <w:rPr>
          <w:rFonts w:eastAsia="Calibri"/>
          <w:b/>
          <w:szCs w:val="22"/>
          <w:lang w:val="lt-LT"/>
        </w:rPr>
      </w:pPr>
    </w:p>
    <w:p w14:paraId="0D218A6C" w14:textId="77777777" w:rsidR="00667A9F" w:rsidRPr="00667A9F" w:rsidRDefault="00667A9F" w:rsidP="00667A9F">
      <w:pPr>
        <w:tabs>
          <w:tab w:val="clear" w:pos="567"/>
        </w:tabs>
        <w:spacing w:line="240" w:lineRule="auto"/>
        <w:jc w:val="center"/>
        <w:outlineLvl w:val="0"/>
        <w:rPr>
          <w:rFonts w:eastAsia="Calibri"/>
          <w:b/>
          <w:szCs w:val="22"/>
          <w:lang w:val="lt-LT"/>
        </w:rPr>
      </w:pPr>
    </w:p>
    <w:p w14:paraId="5AC81232" w14:textId="77777777" w:rsidR="00667A9F" w:rsidRPr="00667A9F" w:rsidRDefault="00667A9F" w:rsidP="00667A9F">
      <w:pPr>
        <w:tabs>
          <w:tab w:val="clear" w:pos="567"/>
        </w:tabs>
        <w:spacing w:line="240" w:lineRule="auto"/>
        <w:jc w:val="center"/>
        <w:outlineLvl w:val="0"/>
        <w:rPr>
          <w:rFonts w:eastAsia="Calibri"/>
          <w:b/>
          <w:szCs w:val="22"/>
          <w:lang w:val="lt-LT"/>
        </w:rPr>
      </w:pPr>
    </w:p>
    <w:p w14:paraId="486EF483"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3A71217" w14:textId="77777777" w:rsidR="00667A9F" w:rsidRPr="00667A9F" w:rsidRDefault="00667A9F" w:rsidP="00667A9F">
      <w:pPr>
        <w:tabs>
          <w:tab w:val="clear" w:pos="567"/>
        </w:tabs>
        <w:spacing w:line="240" w:lineRule="auto"/>
        <w:jc w:val="center"/>
        <w:outlineLvl w:val="0"/>
        <w:rPr>
          <w:rFonts w:eastAsia="Calibri"/>
          <w:b/>
          <w:szCs w:val="22"/>
          <w:lang w:val="lt-LT"/>
        </w:rPr>
      </w:pPr>
    </w:p>
    <w:p w14:paraId="1B6DE7A8"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25CCFB4" w14:textId="77777777" w:rsidR="00667A9F" w:rsidRPr="00667A9F" w:rsidRDefault="00667A9F" w:rsidP="00667A9F">
      <w:pPr>
        <w:tabs>
          <w:tab w:val="clear" w:pos="567"/>
        </w:tabs>
        <w:spacing w:line="240" w:lineRule="auto"/>
        <w:jc w:val="center"/>
        <w:outlineLvl w:val="0"/>
        <w:rPr>
          <w:rFonts w:eastAsia="Calibri"/>
          <w:b/>
          <w:szCs w:val="22"/>
          <w:lang w:val="lt-LT"/>
        </w:rPr>
      </w:pPr>
    </w:p>
    <w:p w14:paraId="1D9904A9" w14:textId="77777777" w:rsidR="00667A9F" w:rsidRPr="00667A9F" w:rsidRDefault="00667A9F" w:rsidP="00667A9F">
      <w:pPr>
        <w:tabs>
          <w:tab w:val="clear" w:pos="567"/>
        </w:tabs>
        <w:spacing w:line="240" w:lineRule="auto"/>
        <w:jc w:val="center"/>
        <w:outlineLvl w:val="0"/>
        <w:rPr>
          <w:rFonts w:eastAsia="Calibri"/>
          <w:b/>
          <w:szCs w:val="22"/>
          <w:lang w:val="lt-LT"/>
        </w:rPr>
      </w:pPr>
    </w:p>
    <w:p w14:paraId="125479D3" w14:textId="77777777" w:rsidR="00667A9F" w:rsidRPr="00667A9F" w:rsidRDefault="00667A9F" w:rsidP="00667A9F">
      <w:pPr>
        <w:tabs>
          <w:tab w:val="clear" w:pos="567"/>
        </w:tabs>
        <w:spacing w:line="240" w:lineRule="auto"/>
        <w:jc w:val="center"/>
        <w:outlineLvl w:val="0"/>
        <w:rPr>
          <w:rFonts w:eastAsia="Calibri"/>
          <w:b/>
          <w:szCs w:val="22"/>
          <w:lang w:val="lt-LT"/>
        </w:rPr>
      </w:pPr>
    </w:p>
    <w:p w14:paraId="4DD2507E" w14:textId="77777777" w:rsidR="00667A9F" w:rsidRPr="00667A9F" w:rsidRDefault="00667A9F" w:rsidP="00667A9F">
      <w:pPr>
        <w:tabs>
          <w:tab w:val="clear" w:pos="567"/>
        </w:tabs>
        <w:spacing w:line="240" w:lineRule="auto"/>
        <w:jc w:val="center"/>
        <w:outlineLvl w:val="0"/>
        <w:rPr>
          <w:rFonts w:eastAsia="Calibri"/>
          <w:b/>
          <w:szCs w:val="22"/>
          <w:lang w:val="lt-LT"/>
        </w:rPr>
      </w:pPr>
    </w:p>
    <w:p w14:paraId="1866DE7F" w14:textId="77777777" w:rsidR="00667A9F" w:rsidRPr="00667A9F" w:rsidRDefault="00667A9F" w:rsidP="00667A9F">
      <w:pPr>
        <w:tabs>
          <w:tab w:val="clear" w:pos="567"/>
        </w:tabs>
        <w:spacing w:line="240" w:lineRule="auto"/>
        <w:jc w:val="center"/>
        <w:outlineLvl w:val="0"/>
        <w:rPr>
          <w:rFonts w:eastAsia="Calibri"/>
          <w:b/>
          <w:szCs w:val="22"/>
          <w:lang w:val="lt-LT"/>
        </w:rPr>
      </w:pPr>
    </w:p>
    <w:p w14:paraId="3D72771E"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B509097" w14:textId="77777777" w:rsidR="00667A9F" w:rsidRPr="00667A9F" w:rsidRDefault="00667A9F" w:rsidP="00667A9F">
      <w:pPr>
        <w:tabs>
          <w:tab w:val="clear" w:pos="567"/>
        </w:tabs>
        <w:spacing w:line="240" w:lineRule="auto"/>
        <w:jc w:val="center"/>
        <w:outlineLvl w:val="0"/>
        <w:rPr>
          <w:rFonts w:eastAsia="Calibri"/>
          <w:b/>
          <w:szCs w:val="22"/>
          <w:lang w:val="lt-LT"/>
        </w:rPr>
      </w:pPr>
    </w:p>
    <w:p w14:paraId="0CC7D0C4"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8A0B5DC" w14:textId="77777777" w:rsidR="00667A9F" w:rsidRPr="00667A9F" w:rsidRDefault="00667A9F" w:rsidP="00667A9F">
      <w:pPr>
        <w:tabs>
          <w:tab w:val="clear" w:pos="567"/>
        </w:tabs>
        <w:spacing w:line="240" w:lineRule="auto"/>
        <w:jc w:val="center"/>
        <w:outlineLvl w:val="0"/>
        <w:rPr>
          <w:rFonts w:eastAsia="Calibri"/>
          <w:b/>
          <w:szCs w:val="22"/>
          <w:lang w:val="lt-LT"/>
        </w:rPr>
      </w:pPr>
    </w:p>
    <w:p w14:paraId="786D9DC6"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A228CFB" w14:textId="77777777" w:rsidR="00667A9F" w:rsidRPr="00667A9F" w:rsidRDefault="00667A9F" w:rsidP="00894A0A">
      <w:pPr>
        <w:tabs>
          <w:tab w:val="clear" w:pos="567"/>
        </w:tabs>
        <w:spacing w:line="240" w:lineRule="auto"/>
        <w:outlineLvl w:val="0"/>
        <w:rPr>
          <w:rFonts w:eastAsia="Calibri"/>
          <w:b/>
          <w:szCs w:val="22"/>
          <w:lang w:val="lt-LT"/>
        </w:rPr>
      </w:pPr>
    </w:p>
    <w:p w14:paraId="4A875F16" w14:textId="77777777" w:rsidR="00667A9F" w:rsidRPr="00667A9F" w:rsidRDefault="00667A9F" w:rsidP="00667A9F">
      <w:pPr>
        <w:tabs>
          <w:tab w:val="clear" w:pos="567"/>
        </w:tabs>
        <w:spacing w:line="240" w:lineRule="auto"/>
        <w:jc w:val="center"/>
        <w:outlineLvl w:val="0"/>
        <w:rPr>
          <w:rFonts w:eastAsia="Calibri"/>
          <w:b/>
          <w:szCs w:val="22"/>
          <w:lang w:val="lt-LT"/>
        </w:rPr>
      </w:pPr>
      <w:r w:rsidRPr="00667A9F">
        <w:rPr>
          <w:rFonts w:eastAsia="Calibri"/>
          <w:b/>
          <w:szCs w:val="22"/>
          <w:lang w:val="lt-LT"/>
        </w:rPr>
        <w:t xml:space="preserve">III PRIEDAS </w:t>
      </w:r>
    </w:p>
    <w:p w14:paraId="4657AA08" w14:textId="77777777" w:rsidR="00667A9F" w:rsidRPr="00667A9F" w:rsidRDefault="00667A9F" w:rsidP="00667A9F">
      <w:pPr>
        <w:tabs>
          <w:tab w:val="clear" w:pos="567"/>
        </w:tabs>
        <w:spacing w:line="240" w:lineRule="auto"/>
        <w:jc w:val="center"/>
        <w:outlineLvl w:val="0"/>
        <w:rPr>
          <w:rFonts w:eastAsia="Calibri"/>
          <w:b/>
          <w:szCs w:val="22"/>
          <w:lang w:val="lt-LT"/>
        </w:rPr>
      </w:pPr>
    </w:p>
    <w:p w14:paraId="2C22C2FC" w14:textId="77777777" w:rsidR="00667A9F" w:rsidRPr="00667A9F" w:rsidRDefault="00667A9F" w:rsidP="00667A9F">
      <w:pPr>
        <w:tabs>
          <w:tab w:val="clear" w:pos="567"/>
        </w:tabs>
        <w:spacing w:line="240" w:lineRule="auto"/>
        <w:jc w:val="center"/>
        <w:outlineLvl w:val="0"/>
        <w:rPr>
          <w:rFonts w:eastAsia="Calibri"/>
          <w:b/>
          <w:szCs w:val="22"/>
          <w:lang w:val="lt-LT"/>
        </w:rPr>
      </w:pPr>
      <w:r w:rsidRPr="00667A9F">
        <w:rPr>
          <w:rFonts w:eastAsia="Calibri"/>
          <w:b/>
          <w:szCs w:val="22"/>
          <w:lang w:val="lt-LT"/>
        </w:rPr>
        <w:t xml:space="preserve">ŽENKLINIMAS IR PAKUOTĖS LAPELIS </w:t>
      </w:r>
    </w:p>
    <w:p w14:paraId="4C9EFB5D" w14:textId="77777777" w:rsidR="00667A9F" w:rsidRPr="00667A9F" w:rsidRDefault="00667A9F" w:rsidP="00667A9F">
      <w:pPr>
        <w:tabs>
          <w:tab w:val="clear" w:pos="567"/>
        </w:tabs>
        <w:spacing w:line="240" w:lineRule="auto"/>
        <w:jc w:val="center"/>
        <w:outlineLvl w:val="0"/>
        <w:rPr>
          <w:rFonts w:eastAsia="Calibri"/>
          <w:b/>
          <w:szCs w:val="22"/>
          <w:lang w:val="lt-LT"/>
        </w:rPr>
      </w:pPr>
    </w:p>
    <w:p w14:paraId="0A1DF302" w14:textId="77777777" w:rsidR="00667A9F" w:rsidRPr="00667A9F" w:rsidRDefault="00667A9F" w:rsidP="00667A9F">
      <w:pPr>
        <w:tabs>
          <w:tab w:val="clear" w:pos="567"/>
        </w:tabs>
        <w:spacing w:line="240" w:lineRule="auto"/>
        <w:jc w:val="center"/>
        <w:outlineLvl w:val="0"/>
        <w:rPr>
          <w:rFonts w:eastAsia="Calibri"/>
          <w:b/>
          <w:szCs w:val="22"/>
          <w:lang w:val="lt-LT"/>
        </w:rPr>
      </w:pPr>
      <w:r w:rsidRPr="00667A9F">
        <w:rPr>
          <w:rFonts w:eastAsia="Calibri"/>
          <w:b/>
          <w:szCs w:val="22"/>
          <w:lang w:val="lt-LT"/>
        </w:rPr>
        <w:br w:type="page"/>
      </w:r>
    </w:p>
    <w:p w14:paraId="3A004D7F" w14:textId="77777777" w:rsidR="00667A9F" w:rsidRPr="00667A9F" w:rsidRDefault="00667A9F" w:rsidP="00667A9F">
      <w:pPr>
        <w:tabs>
          <w:tab w:val="clear" w:pos="567"/>
        </w:tabs>
        <w:spacing w:line="240" w:lineRule="auto"/>
        <w:jc w:val="center"/>
        <w:outlineLvl w:val="0"/>
        <w:rPr>
          <w:rFonts w:eastAsia="Calibri"/>
          <w:b/>
          <w:szCs w:val="22"/>
          <w:lang w:val="lt-LT"/>
        </w:rPr>
      </w:pPr>
    </w:p>
    <w:p w14:paraId="38A9DCB3"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7849784"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4B590A5" w14:textId="77777777" w:rsidR="00667A9F" w:rsidRPr="00667A9F" w:rsidRDefault="00667A9F" w:rsidP="00667A9F">
      <w:pPr>
        <w:tabs>
          <w:tab w:val="clear" w:pos="567"/>
        </w:tabs>
        <w:spacing w:line="240" w:lineRule="auto"/>
        <w:jc w:val="center"/>
        <w:outlineLvl w:val="0"/>
        <w:rPr>
          <w:rFonts w:eastAsia="Calibri"/>
          <w:b/>
          <w:szCs w:val="22"/>
          <w:lang w:val="lt-LT"/>
        </w:rPr>
      </w:pPr>
    </w:p>
    <w:p w14:paraId="247B0726" w14:textId="77777777" w:rsidR="00667A9F" w:rsidRPr="00667A9F" w:rsidRDefault="00667A9F" w:rsidP="00667A9F">
      <w:pPr>
        <w:tabs>
          <w:tab w:val="clear" w:pos="567"/>
        </w:tabs>
        <w:spacing w:line="240" w:lineRule="auto"/>
        <w:jc w:val="center"/>
        <w:outlineLvl w:val="0"/>
        <w:rPr>
          <w:rFonts w:eastAsia="Calibri"/>
          <w:b/>
          <w:szCs w:val="22"/>
          <w:lang w:val="lt-LT"/>
        </w:rPr>
      </w:pPr>
    </w:p>
    <w:p w14:paraId="1ECE044A"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087494C" w14:textId="77777777" w:rsidR="00667A9F" w:rsidRPr="00667A9F" w:rsidRDefault="00667A9F" w:rsidP="00667A9F">
      <w:pPr>
        <w:tabs>
          <w:tab w:val="clear" w:pos="567"/>
        </w:tabs>
        <w:spacing w:line="240" w:lineRule="auto"/>
        <w:jc w:val="center"/>
        <w:outlineLvl w:val="0"/>
        <w:rPr>
          <w:rFonts w:eastAsia="Calibri"/>
          <w:b/>
          <w:szCs w:val="22"/>
          <w:lang w:val="lt-LT"/>
        </w:rPr>
      </w:pPr>
    </w:p>
    <w:p w14:paraId="4113CE36" w14:textId="77777777" w:rsidR="00667A9F" w:rsidRPr="00667A9F" w:rsidRDefault="00667A9F" w:rsidP="00667A9F">
      <w:pPr>
        <w:tabs>
          <w:tab w:val="clear" w:pos="567"/>
        </w:tabs>
        <w:spacing w:line="240" w:lineRule="auto"/>
        <w:jc w:val="center"/>
        <w:outlineLvl w:val="0"/>
        <w:rPr>
          <w:rFonts w:eastAsia="Calibri"/>
          <w:b/>
          <w:szCs w:val="22"/>
          <w:lang w:val="lt-LT"/>
        </w:rPr>
      </w:pPr>
    </w:p>
    <w:p w14:paraId="2FDAD325" w14:textId="77777777" w:rsidR="00667A9F" w:rsidRPr="00667A9F" w:rsidRDefault="00667A9F" w:rsidP="00667A9F">
      <w:pPr>
        <w:tabs>
          <w:tab w:val="clear" w:pos="567"/>
        </w:tabs>
        <w:spacing w:line="240" w:lineRule="auto"/>
        <w:jc w:val="center"/>
        <w:outlineLvl w:val="0"/>
        <w:rPr>
          <w:rFonts w:eastAsia="Calibri"/>
          <w:b/>
          <w:szCs w:val="22"/>
          <w:lang w:val="lt-LT"/>
        </w:rPr>
      </w:pPr>
    </w:p>
    <w:p w14:paraId="78E310FF" w14:textId="77777777" w:rsidR="00667A9F" w:rsidRPr="00667A9F" w:rsidRDefault="00667A9F" w:rsidP="00667A9F">
      <w:pPr>
        <w:tabs>
          <w:tab w:val="clear" w:pos="567"/>
        </w:tabs>
        <w:spacing w:line="240" w:lineRule="auto"/>
        <w:jc w:val="center"/>
        <w:outlineLvl w:val="0"/>
        <w:rPr>
          <w:rFonts w:eastAsia="Calibri"/>
          <w:b/>
          <w:szCs w:val="22"/>
          <w:lang w:val="lt-LT"/>
        </w:rPr>
      </w:pPr>
    </w:p>
    <w:p w14:paraId="3A100FAE" w14:textId="77777777" w:rsidR="00667A9F" w:rsidRPr="00667A9F" w:rsidRDefault="00667A9F" w:rsidP="00667A9F">
      <w:pPr>
        <w:tabs>
          <w:tab w:val="clear" w:pos="567"/>
        </w:tabs>
        <w:spacing w:line="240" w:lineRule="auto"/>
        <w:jc w:val="center"/>
        <w:outlineLvl w:val="0"/>
        <w:rPr>
          <w:rFonts w:eastAsia="Calibri"/>
          <w:b/>
          <w:szCs w:val="22"/>
          <w:lang w:val="lt-LT"/>
        </w:rPr>
      </w:pPr>
    </w:p>
    <w:p w14:paraId="15366898"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35755A6" w14:textId="77777777" w:rsidR="00667A9F" w:rsidRPr="00667A9F" w:rsidRDefault="00667A9F" w:rsidP="00667A9F">
      <w:pPr>
        <w:tabs>
          <w:tab w:val="clear" w:pos="567"/>
        </w:tabs>
        <w:spacing w:line="240" w:lineRule="auto"/>
        <w:jc w:val="center"/>
        <w:outlineLvl w:val="0"/>
        <w:rPr>
          <w:rFonts w:eastAsia="Calibri"/>
          <w:b/>
          <w:szCs w:val="22"/>
          <w:lang w:val="lt-LT"/>
        </w:rPr>
      </w:pPr>
    </w:p>
    <w:p w14:paraId="287DB79E" w14:textId="77777777" w:rsidR="00667A9F" w:rsidRPr="00667A9F" w:rsidRDefault="00667A9F" w:rsidP="00667A9F">
      <w:pPr>
        <w:tabs>
          <w:tab w:val="clear" w:pos="567"/>
        </w:tabs>
        <w:spacing w:line="240" w:lineRule="auto"/>
        <w:jc w:val="center"/>
        <w:outlineLvl w:val="0"/>
        <w:rPr>
          <w:rFonts w:eastAsia="Calibri"/>
          <w:b/>
          <w:szCs w:val="22"/>
          <w:lang w:val="lt-LT"/>
        </w:rPr>
      </w:pPr>
    </w:p>
    <w:p w14:paraId="79F9FAF7" w14:textId="77777777" w:rsidR="00667A9F" w:rsidRPr="00667A9F" w:rsidRDefault="00667A9F" w:rsidP="00667A9F">
      <w:pPr>
        <w:tabs>
          <w:tab w:val="clear" w:pos="567"/>
        </w:tabs>
        <w:spacing w:line="240" w:lineRule="auto"/>
        <w:jc w:val="center"/>
        <w:outlineLvl w:val="0"/>
        <w:rPr>
          <w:rFonts w:eastAsia="Calibri"/>
          <w:b/>
          <w:szCs w:val="22"/>
          <w:lang w:val="lt-LT"/>
        </w:rPr>
      </w:pPr>
    </w:p>
    <w:p w14:paraId="061DDC61" w14:textId="77777777" w:rsidR="00667A9F" w:rsidRPr="00667A9F" w:rsidRDefault="00667A9F" w:rsidP="00667A9F">
      <w:pPr>
        <w:tabs>
          <w:tab w:val="clear" w:pos="567"/>
        </w:tabs>
        <w:spacing w:line="240" w:lineRule="auto"/>
        <w:jc w:val="center"/>
        <w:outlineLvl w:val="0"/>
        <w:rPr>
          <w:rFonts w:eastAsia="Calibri"/>
          <w:b/>
          <w:szCs w:val="22"/>
          <w:lang w:val="lt-LT"/>
        </w:rPr>
      </w:pPr>
    </w:p>
    <w:p w14:paraId="429C3873" w14:textId="77777777" w:rsidR="00667A9F" w:rsidRPr="00667A9F" w:rsidRDefault="00667A9F" w:rsidP="00667A9F">
      <w:pPr>
        <w:tabs>
          <w:tab w:val="clear" w:pos="567"/>
        </w:tabs>
        <w:spacing w:line="240" w:lineRule="auto"/>
        <w:jc w:val="center"/>
        <w:outlineLvl w:val="0"/>
        <w:rPr>
          <w:rFonts w:eastAsia="Calibri"/>
          <w:b/>
          <w:szCs w:val="22"/>
          <w:lang w:val="lt-LT"/>
        </w:rPr>
      </w:pPr>
    </w:p>
    <w:p w14:paraId="7E2E6AFE" w14:textId="77777777" w:rsidR="00667A9F" w:rsidRPr="00667A9F" w:rsidRDefault="00667A9F" w:rsidP="00667A9F">
      <w:pPr>
        <w:tabs>
          <w:tab w:val="clear" w:pos="567"/>
        </w:tabs>
        <w:spacing w:line="240" w:lineRule="auto"/>
        <w:jc w:val="center"/>
        <w:outlineLvl w:val="0"/>
        <w:rPr>
          <w:rFonts w:eastAsia="Calibri"/>
          <w:b/>
          <w:szCs w:val="22"/>
          <w:lang w:val="lt-LT"/>
        </w:rPr>
      </w:pPr>
    </w:p>
    <w:p w14:paraId="55CB7C98" w14:textId="77777777" w:rsidR="00667A9F" w:rsidRPr="00667A9F" w:rsidRDefault="00667A9F" w:rsidP="00667A9F">
      <w:pPr>
        <w:tabs>
          <w:tab w:val="clear" w:pos="567"/>
        </w:tabs>
        <w:spacing w:line="240" w:lineRule="auto"/>
        <w:jc w:val="center"/>
        <w:outlineLvl w:val="0"/>
        <w:rPr>
          <w:rFonts w:eastAsia="Calibri"/>
          <w:b/>
          <w:szCs w:val="22"/>
          <w:lang w:val="lt-LT"/>
        </w:rPr>
      </w:pPr>
    </w:p>
    <w:p w14:paraId="7A77C9D4" w14:textId="77777777" w:rsidR="00667A9F" w:rsidRPr="00667A9F" w:rsidRDefault="00667A9F" w:rsidP="00667A9F">
      <w:pPr>
        <w:tabs>
          <w:tab w:val="clear" w:pos="567"/>
        </w:tabs>
        <w:spacing w:line="240" w:lineRule="auto"/>
        <w:jc w:val="center"/>
        <w:outlineLvl w:val="0"/>
        <w:rPr>
          <w:rFonts w:eastAsia="Calibri"/>
          <w:b/>
          <w:szCs w:val="22"/>
          <w:lang w:val="lt-LT"/>
        </w:rPr>
      </w:pPr>
    </w:p>
    <w:p w14:paraId="6086B875" w14:textId="77777777" w:rsidR="00667A9F" w:rsidRPr="00667A9F" w:rsidRDefault="00667A9F" w:rsidP="00667A9F">
      <w:pPr>
        <w:tabs>
          <w:tab w:val="clear" w:pos="567"/>
        </w:tabs>
        <w:spacing w:line="240" w:lineRule="auto"/>
        <w:jc w:val="center"/>
        <w:outlineLvl w:val="0"/>
        <w:rPr>
          <w:rFonts w:eastAsia="Calibri"/>
          <w:b/>
          <w:szCs w:val="22"/>
          <w:lang w:val="lt-LT"/>
        </w:rPr>
      </w:pPr>
    </w:p>
    <w:p w14:paraId="2B5F56D1" w14:textId="77777777" w:rsidR="00667A9F" w:rsidRPr="00667A9F" w:rsidRDefault="00667A9F" w:rsidP="00667A9F">
      <w:pPr>
        <w:tabs>
          <w:tab w:val="clear" w:pos="567"/>
        </w:tabs>
        <w:spacing w:line="240" w:lineRule="auto"/>
        <w:jc w:val="center"/>
        <w:outlineLvl w:val="0"/>
        <w:rPr>
          <w:rFonts w:eastAsia="Calibri"/>
          <w:b/>
          <w:szCs w:val="22"/>
          <w:lang w:val="lt-LT"/>
        </w:rPr>
      </w:pPr>
    </w:p>
    <w:p w14:paraId="03926280" w14:textId="77777777" w:rsidR="00667A9F" w:rsidRPr="00667A9F" w:rsidRDefault="00667A9F" w:rsidP="00667A9F">
      <w:pPr>
        <w:tabs>
          <w:tab w:val="clear" w:pos="567"/>
        </w:tabs>
        <w:spacing w:line="240" w:lineRule="auto"/>
        <w:jc w:val="center"/>
        <w:outlineLvl w:val="0"/>
        <w:rPr>
          <w:rFonts w:eastAsia="Calibri"/>
          <w:b/>
          <w:szCs w:val="22"/>
          <w:lang w:val="lt-LT"/>
        </w:rPr>
      </w:pPr>
    </w:p>
    <w:p w14:paraId="21D9826C" w14:textId="77777777" w:rsidR="00667A9F" w:rsidRPr="00667A9F" w:rsidRDefault="00667A9F" w:rsidP="00667A9F">
      <w:pPr>
        <w:tabs>
          <w:tab w:val="clear" w:pos="567"/>
        </w:tabs>
        <w:spacing w:line="240" w:lineRule="auto"/>
        <w:jc w:val="center"/>
        <w:outlineLvl w:val="0"/>
        <w:rPr>
          <w:rFonts w:eastAsia="Calibri"/>
          <w:szCs w:val="22"/>
          <w:lang w:val="lt-LT"/>
        </w:rPr>
      </w:pPr>
      <w:r w:rsidRPr="00667A9F">
        <w:rPr>
          <w:rFonts w:eastAsia="Calibri"/>
          <w:b/>
          <w:szCs w:val="22"/>
          <w:lang w:val="lt-LT"/>
        </w:rPr>
        <w:t>A. ŽENKLINIMAS</w:t>
      </w:r>
    </w:p>
    <w:p w14:paraId="306D2C5F" w14:textId="77777777" w:rsidR="00667A9F" w:rsidRPr="00667A9F" w:rsidRDefault="00667A9F" w:rsidP="00667A9F">
      <w:pPr>
        <w:shd w:val="clear" w:color="auto" w:fill="FFFFFF"/>
        <w:tabs>
          <w:tab w:val="clear" w:pos="567"/>
        </w:tabs>
        <w:spacing w:line="240" w:lineRule="auto"/>
        <w:rPr>
          <w:rFonts w:eastAsia="Calibri"/>
          <w:szCs w:val="22"/>
          <w:lang w:val="lt-LT"/>
        </w:rPr>
      </w:pPr>
      <w:r w:rsidRPr="00667A9F">
        <w:rPr>
          <w:rFonts w:eastAsia="Calibri"/>
          <w:szCs w:val="22"/>
          <w:lang w:val="lt-LT"/>
        </w:rPr>
        <w:br w:type="page"/>
      </w:r>
    </w:p>
    <w:p w14:paraId="674C08C2"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szCs w:val="22"/>
          <w:lang w:val="lt-LT"/>
        </w:rPr>
      </w:pPr>
      <w:r w:rsidRPr="00667A9F">
        <w:rPr>
          <w:rFonts w:eastAsia="Calibri"/>
          <w:b/>
          <w:szCs w:val="22"/>
          <w:lang w:val="lt-LT"/>
        </w:rPr>
        <w:lastRenderedPageBreak/>
        <w:t>INFORMACIJA ANT IŠORINĖS PAKUOTĖS</w:t>
      </w:r>
    </w:p>
    <w:p w14:paraId="6AF8E8EB"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Calibri"/>
          <w:szCs w:val="22"/>
          <w:lang w:val="lt-LT"/>
        </w:rPr>
      </w:pPr>
    </w:p>
    <w:p w14:paraId="6A0C7588"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rPr>
          <w:rFonts w:eastAsia="Calibri"/>
          <w:szCs w:val="22"/>
          <w:lang w:val="lt-LT"/>
        </w:rPr>
      </w:pPr>
      <w:r w:rsidRPr="00667A9F">
        <w:rPr>
          <w:rFonts w:eastAsia="Calibri"/>
          <w:b/>
          <w:szCs w:val="22"/>
          <w:lang w:val="lt-LT"/>
        </w:rPr>
        <w:t>KARTONO DĖŽUTĖ</w:t>
      </w:r>
    </w:p>
    <w:p w14:paraId="7B05CD7A" w14:textId="77777777" w:rsidR="00667A9F" w:rsidRPr="00667A9F" w:rsidRDefault="00667A9F" w:rsidP="00667A9F">
      <w:pPr>
        <w:tabs>
          <w:tab w:val="clear" w:pos="567"/>
        </w:tabs>
        <w:spacing w:line="240" w:lineRule="auto"/>
        <w:rPr>
          <w:rFonts w:eastAsia="Calibri"/>
          <w:szCs w:val="22"/>
          <w:lang w:val="lt-LT"/>
        </w:rPr>
      </w:pPr>
    </w:p>
    <w:p w14:paraId="28A8B0D1" w14:textId="77777777" w:rsidR="00667A9F" w:rsidRPr="00667A9F" w:rsidRDefault="00667A9F" w:rsidP="00667A9F">
      <w:pPr>
        <w:tabs>
          <w:tab w:val="clear" w:pos="567"/>
        </w:tabs>
        <w:spacing w:line="240" w:lineRule="auto"/>
        <w:rPr>
          <w:rFonts w:eastAsia="Calibri"/>
          <w:szCs w:val="22"/>
          <w:lang w:val="lt-LT"/>
        </w:rPr>
      </w:pPr>
    </w:p>
    <w:p w14:paraId="6A940030"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lang w:val="lt-LT"/>
        </w:rPr>
      </w:pPr>
      <w:r w:rsidRPr="00667A9F">
        <w:rPr>
          <w:rFonts w:eastAsia="Calibri"/>
          <w:b/>
          <w:szCs w:val="22"/>
          <w:lang w:val="lt-LT"/>
        </w:rPr>
        <w:t>1.</w:t>
      </w:r>
      <w:r w:rsidRPr="00667A9F">
        <w:rPr>
          <w:rFonts w:eastAsia="Calibri"/>
          <w:b/>
          <w:szCs w:val="22"/>
          <w:lang w:val="lt-LT"/>
        </w:rPr>
        <w:tab/>
        <w:t>VAISTINIO PREPARATO PAVADINIMAS</w:t>
      </w:r>
    </w:p>
    <w:p w14:paraId="4AD82F77" w14:textId="77777777" w:rsidR="00667A9F" w:rsidRPr="00667A9F" w:rsidRDefault="00667A9F" w:rsidP="00667A9F">
      <w:pPr>
        <w:tabs>
          <w:tab w:val="clear" w:pos="567"/>
        </w:tabs>
        <w:spacing w:line="240" w:lineRule="auto"/>
        <w:rPr>
          <w:rFonts w:eastAsia="Calibri"/>
          <w:szCs w:val="22"/>
          <w:lang w:val="lt-LT"/>
        </w:rPr>
      </w:pPr>
    </w:p>
    <w:p w14:paraId="62A1D600" w14:textId="77777777" w:rsidR="00667A9F" w:rsidRPr="00736D2F" w:rsidRDefault="00667A9F" w:rsidP="00667A9F">
      <w:pPr>
        <w:shd w:val="clear" w:color="auto" w:fill="FFFFFF"/>
        <w:tabs>
          <w:tab w:val="clear" w:pos="567"/>
        </w:tabs>
        <w:spacing w:line="240" w:lineRule="auto"/>
        <w:rPr>
          <w:color w:val="222222"/>
          <w:szCs w:val="22"/>
          <w:lang w:val="lt-LT"/>
        </w:rPr>
      </w:pPr>
      <w:r w:rsidRPr="00736D2F">
        <w:rPr>
          <w:szCs w:val="22"/>
          <w:lang w:val="lt-LT"/>
        </w:rPr>
        <w:t xml:space="preserve">Cabazitaxel Teva </w:t>
      </w:r>
      <w:r w:rsidRPr="00736D2F">
        <w:rPr>
          <w:color w:val="222222"/>
          <w:szCs w:val="22"/>
          <w:lang w:val="lt-LT"/>
        </w:rPr>
        <w:t>10 mg/ml koncentratas infuziniam tirpalui</w:t>
      </w:r>
    </w:p>
    <w:p w14:paraId="759B9BCF" w14:textId="77777777" w:rsidR="004B7C84" w:rsidRPr="00667A9F" w:rsidRDefault="004B7C84" w:rsidP="004B7C84">
      <w:pPr>
        <w:tabs>
          <w:tab w:val="clear" w:pos="567"/>
        </w:tabs>
        <w:spacing w:line="240" w:lineRule="auto"/>
        <w:rPr>
          <w:rFonts w:eastAsia="Calibri"/>
          <w:szCs w:val="22"/>
          <w:lang w:val="lt-LT"/>
        </w:rPr>
      </w:pPr>
      <w:r>
        <w:rPr>
          <w:rFonts w:eastAsia="Calibri"/>
          <w:szCs w:val="22"/>
          <w:lang w:val="lt-LT"/>
        </w:rPr>
        <w:t>kabazitakselis</w:t>
      </w:r>
    </w:p>
    <w:p w14:paraId="6DB53DEC" w14:textId="77777777" w:rsidR="00667A9F" w:rsidRPr="00667A9F" w:rsidRDefault="00667A9F" w:rsidP="00667A9F">
      <w:pPr>
        <w:tabs>
          <w:tab w:val="clear" w:pos="567"/>
        </w:tabs>
        <w:spacing w:line="240" w:lineRule="auto"/>
        <w:rPr>
          <w:rFonts w:eastAsia="Calibri"/>
          <w:szCs w:val="22"/>
          <w:lang w:val="lt-LT"/>
        </w:rPr>
      </w:pPr>
    </w:p>
    <w:p w14:paraId="5D156BF6" w14:textId="77777777" w:rsidR="00667A9F" w:rsidRPr="00667A9F" w:rsidRDefault="00667A9F" w:rsidP="00667A9F">
      <w:pPr>
        <w:tabs>
          <w:tab w:val="clear" w:pos="567"/>
        </w:tabs>
        <w:spacing w:line="240" w:lineRule="auto"/>
        <w:rPr>
          <w:rFonts w:eastAsia="Calibri"/>
          <w:szCs w:val="22"/>
          <w:lang w:val="lt-LT"/>
        </w:rPr>
      </w:pPr>
    </w:p>
    <w:p w14:paraId="19DBA57F"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b/>
          <w:szCs w:val="22"/>
          <w:lang w:val="lt-LT"/>
        </w:rPr>
      </w:pPr>
      <w:r w:rsidRPr="00667A9F">
        <w:rPr>
          <w:rFonts w:eastAsia="Calibri"/>
          <w:b/>
          <w:szCs w:val="22"/>
          <w:lang w:val="lt-LT"/>
        </w:rPr>
        <w:t>2.</w:t>
      </w:r>
      <w:r w:rsidRPr="00667A9F">
        <w:rPr>
          <w:rFonts w:eastAsia="Calibri"/>
          <w:b/>
          <w:szCs w:val="22"/>
          <w:lang w:val="lt-LT"/>
        </w:rPr>
        <w:tab/>
        <w:t>VEIKLIOJI</w:t>
      </w:r>
      <w:r w:rsidR="001E0858">
        <w:rPr>
          <w:rFonts w:eastAsia="Calibri"/>
          <w:b/>
          <w:szCs w:val="22"/>
          <w:lang w:val="lt-LT"/>
        </w:rPr>
        <w:t xml:space="preserve"> (-IOS)</w:t>
      </w:r>
      <w:r w:rsidRPr="00667A9F">
        <w:rPr>
          <w:rFonts w:eastAsia="Calibri"/>
          <w:b/>
          <w:szCs w:val="22"/>
          <w:lang w:val="lt-LT"/>
        </w:rPr>
        <w:t xml:space="preserve"> MEDŽIAGA</w:t>
      </w:r>
      <w:r w:rsidR="001E0858">
        <w:rPr>
          <w:rFonts w:eastAsia="Calibri"/>
          <w:b/>
          <w:szCs w:val="22"/>
          <w:lang w:val="lt-LT"/>
        </w:rPr>
        <w:t xml:space="preserve"> (-OS)</w:t>
      </w:r>
      <w:r w:rsidRPr="00667A9F">
        <w:rPr>
          <w:rFonts w:eastAsia="Calibri"/>
          <w:b/>
          <w:szCs w:val="22"/>
          <w:lang w:val="lt-LT"/>
        </w:rPr>
        <w:t xml:space="preserve"> IR JOS</w:t>
      </w:r>
      <w:r w:rsidR="001E0858">
        <w:rPr>
          <w:rFonts w:eastAsia="Calibri"/>
          <w:b/>
          <w:szCs w:val="22"/>
          <w:lang w:val="lt-LT"/>
        </w:rPr>
        <w:t xml:space="preserve"> (-Ų)</w:t>
      </w:r>
      <w:r w:rsidRPr="00667A9F">
        <w:rPr>
          <w:rFonts w:eastAsia="Calibri"/>
          <w:b/>
          <w:szCs w:val="22"/>
          <w:lang w:val="lt-LT"/>
        </w:rPr>
        <w:t xml:space="preserve"> KIEKIS</w:t>
      </w:r>
      <w:r w:rsidR="001E0858">
        <w:rPr>
          <w:rFonts w:eastAsia="Calibri"/>
          <w:b/>
          <w:szCs w:val="22"/>
          <w:lang w:val="lt-LT"/>
        </w:rPr>
        <w:t xml:space="preserve"> (-IAI)</w:t>
      </w:r>
    </w:p>
    <w:p w14:paraId="1A68A68C" w14:textId="77777777" w:rsidR="00667A9F" w:rsidRPr="00667A9F" w:rsidRDefault="00667A9F" w:rsidP="00667A9F">
      <w:pPr>
        <w:tabs>
          <w:tab w:val="clear" w:pos="567"/>
        </w:tabs>
        <w:spacing w:line="240" w:lineRule="auto"/>
        <w:rPr>
          <w:rFonts w:eastAsia="Calibri"/>
          <w:szCs w:val="22"/>
          <w:lang w:val="lt-LT"/>
        </w:rPr>
      </w:pPr>
    </w:p>
    <w:p w14:paraId="3BC9FF2F" w14:textId="4B58CD56" w:rsidR="00667A9F" w:rsidRDefault="001E0858" w:rsidP="00667A9F">
      <w:pPr>
        <w:tabs>
          <w:tab w:val="clear" w:pos="567"/>
        </w:tabs>
        <w:spacing w:line="240" w:lineRule="auto"/>
        <w:rPr>
          <w:rFonts w:eastAsia="Calibri"/>
          <w:szCs w:val="22"/>
          <w:lang w:val="lt-LT"/>
        </w:rPr>
      </w:pPr>
      <w:r>
        <w:rPr>
          <w:rFonts w:eastAsia="Calibri"/>
          <w:szCs w:val="22"/>
          <w:lang w:val="lt-LT"/>
        </w:rPr>
        <w:t>Kiekviename</w:t>
      </w:r>
      <w:r w:rsidR="00667A9F">
        <w:rPr>
          <w:rFonts w:eastAsia="Calibri"/>
          <w:szCs w:val="22"/>
          <w:lang w:val="lt-LT"/>
        </w:rPr>
        <w:t xml:space="preserve"> ml koncentrato yra </w:t>
      </w:r>
      <w:r w:rsidR="005E0BAB" w:rsidRPr="00736D2F">
        <w:rPr>
          <w:szCs w:val="22"/>
          <w:lang w:val="lt-LT"/>
        </w:rPr>
        <w:t>kabazitakselio etilacetato</w:t>
      </w:r>
      <w:r w:rsidR="00381201">
        <w:rPr>
          <w:szCs w:val="22"/>
          <w:lang w:val="lt-LT"/>
        </w:rPr>
        <w:t>,</w:t>
      </w:r>
      <w:r w:rsidR="005E0BAB" w:rsidRPr="00736D2F">
        <w:rPr>
          <w:szCs w:val="22"/>
          <w:lang w:val="lt-LT"/>
        </w:rPr>
        <w:t xml:space="preserve"> atitinkančio 10 mg kabazitakselio.</w:t>
      </w:r>
    </w:p>
    <w:p w14:paraId="4F4F7C00" w14:textId="3BBEF309" w:rsidR="00667A9F" w:rsidRPr="00667A9F" w:rsidRDefault="001E0858" w:rsidP="00667A9F">
      <w:pPr>
        <w:tabs>
          <w:tab w:val="clear" w:pos="567"/>
        </w:tabs>
        <w:spacing w:line="240" w:lineRule="auto"/>
        <w:rPr>
          <w:rFonts w:eastAsia="Calibri"/>
          <w:szCs w:val="22"/>
          <w:shd w:val="clear" w:color="auto" w:fill="CCCCCC"/>
          <w:lang w:val="lt-LT"/>
        </w:rPr>
      </w:pPr>
      <w:r>
        <w:rPr>
          <w:rFonts w:eastAsia="Calibri"/>
          <w:szCs w:val="22"/>
          <w:lang w:val="lt-LT"/>
        </w:rPr>
        <w:t>Kiekv</w:t>
      </w:r>
      <w:r w:rsidR="00667A9F">
        <w:rPr>
          <w:rFonts w:eastAsia="Calibri"/>
          <w:szCs w:val="22"/>
          <w:lang w:val="lt-LT"/>
        </w:rPr>
        <w:t xml:space="preserve">iename 6 ml </w:t>
      </w:r>
      <w:r w:rsidR="006360C0">
        <w:rPr>
          <w:rFonts w:eastAsia="Calibri"/>
          <w:szCs w:val="22"/>
          <w:lang w:val="lt-LT"/>
        </w:rPr>
        <w:t xml:space="preserve">flakone </w:t>
      </w:r>
      <w:r w:rsidR="00667A9F">
        <w:rPr>
          <w:rFonts w:eastAsia="Calibri"/>
          <w:szCs w:val="22"/>
          <w:lang w:val="lt-LT"/>
        </w:rPr>
        <w:t xml:space="preserve"> yra </w:t>
      </w:r>
      <w:r w:rsidR="005E0BAB" w:rsidRPr="00736D2F">
        <w:rPr>
          <w:szCs w:val="22"/>
          <w:lang w:val="lt-LT"/>
        </w:rPr>
        <w:t>kabazitakselio etilacetato</w:t>
      </w:r>
      <w:r w:rsidR="00381201">
        <w:rPr>
          <w:szCs w:val="22"/>
          <w:lang w:val="lt-LT"/>
        </w:rPr>
        <w:t>,</w:t>
      </w:r>
      <w:r w:rsidR="005E0BAB" w:rsidRPr="00736D2F">
        <w:rPr>
          <w:szCs w:val="22"/>
          <w:lang w:val="lt-LT"/>
        </w:rPr>
        <w:t xml:space="preserve"> atitinkančio </w:t>
      </w:r>
      <w:r w:rsidR="00667A9F">
        <w:rPr>
          <w:rFonts w:eastAsia="Calibri"/>
          <w:szCs w:val="22"/>
          <w:lang w:val="lt-LT"/>
        </w:rPr>
        <w:t>60 mg kabazitakselio.</w:t>
      </w:r>
    </w:p>
    <w:p w14:paraId="3754E23E" w14:textId="77777777" w:rsidR="00667A9F" w:rsidRPr="00667A9F" w:rsidRDefault="00667A9F" w:rsidP="00667A9F">
      <w:pPr>
        <w:tabs>
          <w:tab w:val="clear" w:pos="567"/>
        </w:tabs>
        <w:spacing w:line="240" w:lineRule="auto"/>
        <w:rPr>
          <w:rFonts w:eastAsia="Calibri"/>
          <w:szCs w:val="22"/>
          <w:lang w:val="lt-LT"/>
        </w:rPr>
      </w:pPr>
    </w:p>
    <w:p w14:paraId="4E7840FC" w14:textId="77777777" w:rsidR="00667A9F" w:rsidRPr="00667A9F" w:rsidRDefault="00667A9F" w:rsidP="00667A9F">
      <w:pPr>
        <w:tabs>
          <w:tab w:val="clear" w:pos="567"/>
        </w:tabs>
        <w:spacing w:line="240" w:lineRule="auto"/>
        <w:rPr>
          <w:rFonts w:eastAsia="Calibri"/>
          <w:szCs w:val="22"/>
          <w:lang w:val="lt-LT"/>
        </w:rPr>
      </w:pPr>
    </w:p>
    <w:p w14:paraId="7661E2ED"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highlight w:val="lightGray"/>
          <w:lang w:val="lt-LT"/>
        </w:rPr>
      </w:pPr>
      <w:r w:rsidRPr="00667A9F">
        <w:rPr>
          <w:rFonts w:eastAsia="Calibri"/>
          <w:b/>
          <w:szCs w:val="22"/>
          <w:lang w:val="lt-LT"/>
        </w:rPr>
        <w:t>3.</w:t>
      </w:r>
      <w:r w:rsidRPr="00667A9F">
        <w:rPr>
          <w:rFonts w:eastAsia="Calibri"/>
          <w:b/>
          <w:szCs w:val="22"/>
          <w:lang w:val="lt-LT"/>
        </w:rPr>
        <w:tab/>
        <w:t>PAGALBINIŲ MEDŽIAGŲ SĄRAŠAS</w:t>
      </w:r>
    </w:p>
    <w:p w14:paraId="244BA712" w14:textId="77777777" w:rsidR="00667A9F" w:rsidRPr="00667A9F" w:rsidRDefault="00667A9F" w:rsidP="00667A9F">
      <w:pPr>
        <w:tabs>
          <w:tab w:val="clear" w:pos="567"/>
        </w:tabs>
        <w:spacing w:line="240" w:lineRule="auto"/>
        <w:rPr>
          <w:rFonts w:eastAsia="Calibri"/>
          <w:szCs w:val="22"/>
          <w:lang w:val="lt-LT"/>
        </w:rPr>
      </w:pPr>
    </w:p>
    <w:p w14:paraId="05551284" w14:textId="79A1D576" w:rsidR="00AA42E6" w:rsidRPr="00736D2F" w:rsidRDefault="00667A9F" w:rsidP="00AA42E6">
      <w:pPr>
        <w:tabs>
          <w:tab w:val="clear" w:pos="567"/>
        </w:tabs>
        <w:spacing w:line="240" w:lineRule="auto"/>
        <w:rPr>
          <w:noProof/>
          <w:szCs w:val="22"/>
          <w:lang w:val="lt-LT"/>
        </w:rPr>
      </w:pPr>
      <w:r>
        <w:rPr>
          <w:rFonts w:eastAsia="Calibri"/>
          <w:szCs w:val="22"/>
          <w:lang w:val="lt-LT"/>
        </w:rPr>
        <w:t xml:space="preserve">Pagalbinės medžiagos: </w:t>
      </w:r>
      <w:r w:rsidR="00AA42E6">
        <w:rPr>
          <w:noProof/>
          <w:snapToGrid w:val="0"/>
          <w:szCs w:val="24"/>
          <w:lang w:val="lt-LT"/>
        </w:rPr>
        <w:t>c</w:t>
      </w:r>
      <w:r w:rsidR="00AA42E6" w:rsidRPr="00736D2F">
        <w:rPr>
          <w:noProof/>
          <w:snapToGrid w:val="0"/>
          <w:szCs w:val="24"/>
          <w:lang w:val="lt-LT"/>
        </w:rPr>
        <w:t>itrinų rūgštis</w:t>
      </w:r>
      <w:r w:rsidR="004B7C84">
        <w:rPr>
          <w:noProof/>
          <w:snapToGrid w:val="0"/>
          <w:szCs w:val="24"/>
          <w:lang w:val="lt-LT"/>
        </w:rPr>
        <w:t xml:space="preserve">, </w:t>
      </w:r>
      <w:r w:rsidR="00AA42E6" w:rsidRPr="00736D2F">
        <w:rPr>
          <w:noProof/>
          <w:snapToGrid w:val="0"/>
          <w:szCs w:val="24"/>
          <w:lang w:val="lt-LT"/>
        </w:rPr>
        <w:t>bevandenis</w:t>
      </w:r>
      <w:r w:rsidR="006360C0">
        <w:rPr>
          <w:noProof/>
          <w:snapToGrid w:val="0"/>
          <w:szCs w:val="24"/>
          <w:lang w:val="lt-LT"/>
        </w:rPr>
        <w:t xml:space="preserve"> etanolis</w:t>
      </w:r>
      <w:r w:rsidR="00AA42E6">
        <w:rPr>
          <w:noProof/>
          <w:snapToGrid w:val="0"/>
          <w:szCs w:val="24"/>
          <w:lang w:val="lt-LT"/>
        </w:rPr>
        <w:t>, p</w:t>
      </w:r>
      <w:r w:rsidR="00AA42E6" w:rsidRPr="00736D2F">
        <w:rPr>
          <w:noProof/>
          <w:szCs w:val="22"/>
          <w:lang w:val="lt-LT"/>
        </w:rPr>
        <w:t>olisorbatas 80</w:t>
      </w:r>
      <w:r w:rsidR="00AA42E6">
        <w:rPr>
          <w:noProof/>
          <w:szCs w:val="22"/>
          <w:lang w:val="lt-LT"/>
        </w:rPr>
        <w:t>, m</w:t>
      </w:r>
      <w:r w:rsidR="00AA42E6" w:rsidRPr="00736D2F">
        <w:rPr>
          <w:noProof/>
          <w:szCs w:val="22"/>
          <w:lang w:val="lt-LT"/>
        </w:rPr>
        <w:t>akrogolis</w:t>
      </w:r>
      <w:r w:rsidR="00AA42E6">
        <w:rPr>
          <w:noProof/>
          <w:szCs w:val="22"/>
          <w:lang w:val="lt-LT"/>
        </w:rPr>
        <w:t xml:space="preserve"> 400.</w:t>
      </w:r>
    </w:p>
    <w:p w14:paraId="2BB4158A" w14:textId="77777777" w:rsidR="00667A9F" w:rsidRPr="00667A9F" w:rsidRDefault="00667A9F" w:rsidP="00667A9F">
      <w:pPr>
        <w:tabs>
          <w:tab w:val="clear" w:pos="567"/>
        </w:tabs>
        <w:spacing w:line="240" w:lineRule="auto"/>
        <w:rPr>
          <w:rFonts w:eastAsia="Calibri"/>
          <w:szCs w:val="22"/>
          <w:lang w:val="lt-LT"/>
        </w:rPr>
      </w:pPr>
    </w:p>
    <w:p w14:paraId="36AB22D4" w14:textId="77777777" w:rsidR="00667A9F" w:rsidRPr="00667A9F" w:rsidRDefault="00667A9F" w:rsidP="00667A9F">
      <w:pPr>
        <w:tabs>
          <w:tab w:val="clear" w:pos="567"/>
        </w:tabs>
        <w:spacing w:line="240" w:lineRule="auto"/>
        <w:rPr>
          <w:rFonts w:eastAsia="Calibri"/>
          <w:szCs w:val="22"/>
          <w:lang w:val="lt-LT"/>
        </w:rPr>
      </w:pPr>
      <w:r w:rsidRPr="00667A9F">
        <w:rPr>
          <w:rFonts w:eastAsia="Calibri"/>
          <w:szCs w:val="22"/>
          <w:lang w:val="lt-LT"/>
        </w:rPr>
        <w:t>Daugiau informacijos yra pateikta pakuotės lapelyje.</w:t>
      </w:r>
    </w:p>
    <w:p w14:paraId="5E63F4BB" w14:textId="77777777" w:rsidR="00667A9F" w:rsidRPr="00667A9F" w:rsidRDefault="00667A9F" w:rsidP="00667A9F">
      <w:pPr>
        <w:tabs>
          <w:tab w:val="clear" w:pos="567"/>
        </w:tabs>
        <w:spacing w:line="240" w:lineRule="auto"/>
        <w:rPr>
          <w:rFonts w:eastAsia="Calibri"/>
          <w:szCs w:val="22"/>
          <w:lang w:val="lt-LT"/>
        </w:rPr>
      </w:pPr>
    </w:p>
    <w:p w14:paraId="3BB0A258" w14:textId="77777777" w:rsidR="00667A9F" w:rsidRPr="00667A9F" w:rsidRDefault="00667A9F" w:rsidP="00667A9F">
      <w:pPr>
        <w:tabs>
          <w:tab w:val="clear" w:pos="567"/>
        </w:tabs>
        <w:spacing w:line="240" w:lineRule="auto"/>
        <w:rPr>
          <w:rFonts w:eastAsia="Calibri"/>
          <w:szCs w:val="22"/>
          <w:lang w:val="lt-LT"/>
        </w:rPr>
      </w:pPr>
    </w:p>
    <w:p w14:paraId="0250DFD7"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lang w:val="lt-LT"/>
        </w:rPr>
      </w:pPr>
      <w:r w:rsidRPr="00667A9F">
        <w:rPr>
          <w:rFonts w:eastAsia="Calibri"/>
          <w:b/>
          <w:szCs w:val="22"/>
          <w:lang w:val="lt-LT"/>
        </w:rPr>
        <w:t>4.</w:t>
      </w:r>
      <w:r w:rsidRPr="00667A9F">
        <w:rPr>
          <w:rFonts w:eastAsia="Calibri"/>
          <w:b/>
          <w:szCs w:val="22"/>
          <w:lang w:val="lt-LT"/>
        </w:rPr>
        <w:tab/>
        <w:t>FARMACINĖ FORMA IR KIEKIS PAKUOTĖJE</w:t>
      </w:r>
    </w:p>
    <w:p w14:paraId="73A7F4B9" w14:textId="77777777" w:rsidR="00667A9F" w:rsidRPr="00667A9F" w:rsidRDefault="00667A9F" w:rsidP="00667A9F">
      <w:pPr>
        <w:tabs>
          <w:tab w:val="clear" w:pos="567"/>
        </w:tabs>
        <w:spacing w:line="240" w:lineRule="auto"/>
        <w:rPr>
          <w:rFonts w:eastAsia="Calibri"/>
          <w:szCs w:val="22"/>
          <w:lang w:val="lt-LT"/>
        </w:rPr>
      </w:pPr>
    </w:p>
    <w:p w14:paraId="0D645134" w14:textId="77777777" w:rsidR="00667A9F" w:rsidRPr="00667A9F" w:rsidRDefault="00AA42E6" w:rsidP="00667A9F">
      <w:pPr>
        <w:tabs>
          <w:tab w:val="clear" w:pos="567"/>
        </w:tabs>
        <w:spacing w:line="240" w:lineRule="auto"/>
        <w:rPr>
          <w:rFonts w:eastAsia="Calibri"/>
          <w:szCs w:val="22"/>
          <w:lang w:val="lt-LT"/>
        </w:rPr>
      </w:pPr>
      <w:r w:rsidRPr="00AA42E6">
        <w:rPr>
          <w:rFonts w:eastAsia="Calibri"/>
          <w:szCs w:val="22"/>
          <w:highlight w:val="lightGray"/>
          <w:lang w:val="lt-LT"/>
        </w:rPr>
        <w:t>Koncentratas infuziniam tirpalui.</w:t>
      </w:r>
    </w:p>
    <w:p w14:paraId="5C8BE2F9" w14:textId="77777777" w:rsidR="00667A9F" w:rsidRPr="00667A9F" w:rsidRDefault="00667A9F" w:rsidP="00667A9F">
      <w:pPr>
        <w:tabs>
          <w:tab w:val="clear" w:pos="567"/>
        </w:tabs>
        <w:spacing w:line="240" w:lineRule="auto"/>
        <w:rPr>
          <w:rFonts w:eastAsia="Calibri"/>
          <w:szCs w:val="22"/>
          <w:lang w:val="lt-LT"/>
        </w:rPr>
      </w:pPr>
    </w:p>
    <w:p w14:paraId="7D8F554D" w14:textId="66165004" w:rsidR="00667A9F" w:rsidRPr="00667A9F" w:rsidRDefault="00AA42E6" w:rsidP="00667A9F">
      <w:pPr>
        <w:tabs>
          <w:tab w:val="clear" w:pos="567"/>
        </w:tabs>
        <w:spacing w:line="240" w:lineRule="auto"/>
        <w:rPr>
          <w:rFonts w:eastAsia="Calibri"/>
          <w:szCs w:val="22"/>
          <w:lang w:val="lt-LT"/>
        </w:rPr>
      </w:pPr>
      <w:r>
        <w:rPr>
          <w:rFonts w:eastAsia="Calibri"/>
          <w:szCs w:val="22"/>
          <w:lang w:val="lt-LT"/>
        </w:rPr>
        <w:t xml:space="preserve">1 </w:t>
      </w:r>
      <w:r w:rsidR="006360C0">
        <w:rPr>
          <w:rFonts w:eastAsia="Calibri"/>
          <w:szCs w:val="22"/>
          <w:lang w:val="lt-LT"/>
        </w:rPr>
        <w:t xml:space="preserve">flakonas </w:t>
      </w:r>
    </w:p>
    <w:p w14:paraId="7EC86BEC" w14:textId="77777777" w:rsidR="00667A9F" w:rsidRPr="00667A9F" w:rsidRDefault="005E0BAB" w:rsidP="00667A9F">
      <w:pPr>
        <w:tabs>
          <w:tab w:val="clear" w:pos="567"/>
        </w:tabs>
        <w:spacing w:line="240" w:lineRule="auto"/>
        <w:rPr>
          <w:rFonts w:eastAsia="Calibri"/>
          <w:szCs w:val="22"/>
          <w:lang w:val="lt-LT"/>
        </w:rPr>
      </w:pPr>
      <w:r w:rsidRPr="005E0BAB">
        <w:rPr>
          <w:rFonts w:eastAsia="Calibri"/>
          <w:szCs w:val="22"/>
          <w:highlight w:val="lightGray"/>
          <w:lang w:val="lt-LT"/>
        </w:rPr>
        <w:t>60 mg / 6 ml</w:t>
      </w:r>
    </w:p>
    <w:p w14:paraId="69E12DCD" w14:textId="77777777" w:rsidR="00667A9F" w:rsidRPr="00667A9F" w:rsidRDefault="00667A9F" w:rsidP="00667A9F">
      <w:pPr>
        <w:tabs>
          <w:tab w:val="clear" w:pos="567"/>
        </w:tabs>
        <w:spacing w:line="240" w:lineRule="auto"/>
        <w:rPr>
          <w:rFonts w:eastAsia="Calibri"/>
          <w:szCs w:val="22"/>
          <w:lang w:val="lt-LT"/>
        </w:rPr>
      </w:pPr>
    </w:p>
    <w:p w14:paraId="7EA6EF0E"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highlight w:val="lightGray"/>
          <w:lang w:val="lt-LT"/>
        </w:rPr>
      </w:pPr>
      <w:r w:rsidRPr="00667A9F">
        <w:rPr>
          <w:rFonts w:eastAsia="Calibri"/>
          <w:b/>
          <w:szCs w:val="22"/>
          <w:lang w:val="lt-LT"/>
        </w:rPr>
        <w:t>5.</w:t>
      </w:r>
      <w:r w:rsidRPr="00667A9F">
        <w:rPr>
          <w:rFonts w:eastAsia="Calibri"/>
          <w:b/>
          <w:szCs w:val="22"/>
          <w:lang w:val="lt-LT"/>
        </w:rPr>
        <w:tab/>
        <w:t>VARTOJIMO METODAS IR BŪDAS (-AI)</w:t>
      </w:r>
    </w:p>
    <w:p w14:paraId="652DE744" w14:textId="77777777" w:rsidR="00667A9F" w:rsidRPr="00667A9F" w:rsidRDefault="00667A9F" w:rsidP="00667A9F">
      <w:pPr>
        <w:tabs>
          <w:tab w:val="clear" w:pos="567"/>
        </w:tabs>
        <w:spacing w:line="240" w:lineRule="auto"/>
        <w:rPr>
          <w:rFonts w:eastAsia="Calibri"/>
          <w:i/>
          <w:szCs w:val="22"/>
          <w:lang w:val="lt-LT"/>
        </w:rPr>
      </w:pPr>
    </w:p>
    <w:p w14:paraId="2D0E0D39" w14:textId="77777777" w:rsidR="00667A9F" w:rsidRDefault="00667A9F" w:rsidP="00667A9F">
      <w:pPr>
        <w:tabs>
          <w:tab w:val="clear" w:pos="567"/>
        </w:tabs>
        <w:spacing w:line="240" w:lineRule="auto"/>
        <w:rPr>
          <w:rFonts w:eastAsia="Calibri"/>
          <w:szCs w:val="22"/>
          <w:lang w:val="lt-LT"/>
        </w:rPr>
      </w:pPr>
      <w:r w:rsidRPr="00667A9F">
        <w:rPr>
          <w:rFonts w:eastAsia="Calibri"/>
          <w:szCs w:val="22"/>
          <w:lang w:val="lt-LT"/>
        </w:rPr>
        <w:t>Prieš vartojimą perskaitykite pakuotės lapelį.</w:t>
      </w:r>
    </w:p>
    <w:p w14:paraId="0F1DFE4E" w14:textId="77777777" w:rsidR="00AA42E6" w:rsidRDefault="00AA42E6" w:rsidP="00667A9F">
      <w:pPr>
        <w:tabs>
          <w:tab w:val="clear" w:pos="567"/>
        </w:tabs>
        <w:spacing w:line="240" w:lineRule="auto"/>
        <w:rPr>
          <w:rFonts w:eastAsia="Calibri"/>
          <w:szCs w:val="22"/>
          <w:lang w:val="lt-LT"/>
        </w:rPr>
      </w:pPr>
    </w:p>
    <w:p w14:paraId="0CB1AB77" w14:textId="77777777" w:rsidR="00AA42E6" w:rsidRPr="00AA42E6" w:rsidRDefault="005E0BAB" w:rsidP="00AA42E6">
      <w:pPr>
        <w:tabs>
          <w:tab w:val="clear" w:pos="567"/>
        </w:tabs>
        <w:spacing w:line="240" w:lineRule="auto"/>
        <w:rPr>
          <w:noProof/>
        </w:rPr>
      </w:pPr>
      <w:r>
        <w:rPr>
          <w:b/>
          <w:noProof/>
        </w:rPr>
        <w:t>PRASKIEDUS</w:t>
      </w:r>
      <w:r w:rsidR="00AA42E6" w:rsidRPr="005E0BAB">
        <w:rPr>
          <w:b/>
          <w:noProof/>
        </w:rPr>
        <w:t xml:space="preserve"> </w:t>
      </w:r>
      <w:r w:rsidR="00AA42E6">
        <w:rPr>
          <w:noProof/>
        </w:rPr>
        <w:t>vartoti į veną.</w:t>
      </w:r>
    </w:p>
    <w:p w14:paraId="170B9F64" w14:textId="77777777" w:rsidR="00AA42E6" w:rsidRDefault="00AA42E6" w:rsidP="00667A9F">
      <w:pPr>
        <w:tabs>
          <w:tab w:val="clear" w:pos="567"/>
        </w:tabs>
        <w:spacing w:line="240" w:lineRule="auto"/>
        <w:rPr>
          <w:rFonts w:eastAsia="Calibri"/>
          <w:szCs w:val="22"/>
          <w:lang w:val="lt-LT"/>
        </w:rPr>
      </w:pPr>
    </w:p>
    <w:p w14:paraId="33EE8AC8" w14:textId="77777777" w:rsidR="00AA42E6" w:rsidRPr="00667A9F" w:rsidRDefault="00AA42E6" w:rsidP="00667A9F">
      <w:pPr>
        <w:tabs>
          <w:tab w:val="clear" w:pos="567"/>
        </w:tabs>
        <w:spacing w:line="240" w:lineRule="auto"/>
        <w:rPr>
          <w:rFonts w:eastAsia="Calibri"/>
          <w:szCs w:val="22"/>
          <w:lang w:val="lt-LT"/>
        </w:rPr>
      </w:pPr>
      <w:r>
        <w:rPr>
          <w:rFonts w:eastAsia="Calibri"/>
          <w:szCs w:val="22"/>
          <w:lang w:val="lt-LT"/>
        </w:rPr>
        <w:t>Tik vienkartiniam vartojimui</w:t>
      </w:r>
      <w:r w:rsidR="005E0BAB">
        <w:rPr>
          <w:rFonts w:eastAsia="Calibri"/>
          <w:szCs w:val="22"/>
          <w:lang w:val="lt-LT"/>
        </w:rPr>
        <w:t>.</w:t>
      </w:r>
    </w:p>
    <w:p w14:paraId="614EF11F" w14:textId="77777777" w:rsidR="00667A9F" w:rsidRPr="00667A9F" w:rsidRDefault="00667A9F" w:rsidP="00667A9F">
      <w:pPr>
        <w:tabs>
          <w:tab w:val="clear" w:pos="567"/>
        </w:tabs>
        <w:spacing w:line="240" w:lineRule="auto"/>
        <w:rPr>
          <w:rFonts w:eastAsia="Calibri"/>
          <w:szCs w:val="22"/>
          <w:lang w:val="lt-LT"/>
        </w:rPr>
      </w:pPr>
    </w:p>
    <w:p w14:paraId="2C8523A1" w14:textId="77777777" w:rsidR="00667A9F" w:rsidRPr="00667A9F" w:rsidRDefault="00667A9F" w:rsidP="00667A9F">
      <w:pPr>
        <w:tabs>
          <w:tab w:val="clear" w:pos="567"/>
        </w:tabs>
        <w:spacing w:line="240" w:lineRule="auto"/>
        <w:rPr>
          <w:rFonts w:eastAsia="Calibri"/>
          <w:szCs w:val="22"/>
          <w:lang w:val="lt-LT"/>
        </w:rPr>
      </w:pPr>
    </w:p>
    <w:p w14:paraId="0AB4AA83" w14:textId="77777777" w:rsidR="00667A9F" w:rsidRPr="00667A9F" w:rsidRDefault="00667A9F" w:rsidP="00667A9F">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lang w:val="lt-LT"/>
        </w:rPr>
      </w:pPr>
      <w:r w:rsidRPr="00667A9F">
        <w:rPr>
          <w:rFonts w:eastAsia="Calibri"/>
          <w:b/>
          <w:szCs w:val="22"/>
          <w:lang w:val="lt-LT"/>
        </w:rPr>
        <w:t>6.</w:t>
      </w:r>
      <w:r w:rsidRPr="00667A9F">
        <w:rPr>
          <w:rFonts w:eastAsia="Calibri"/>
          <w:b/>
          <w:szCs w:val="22"/>
          <w:lang w:val="lt-LT"/>
        </w:rPr>
        <w:tab/>
        <w:t>SPECIALUS ĮSPĖJIMAS, KAD VAISTINĮ PREPARATĄ BŪTINA LAIKYTI VAIKAMS NEPASTEBIMOJE IR NEPASIEKIAMOJE VIETOJE</w:t>
      </w:r>
    </w:p>
    <w:p w14:paraId="4FFE20F5" w14:textId="77777777" w:rsidR="00667A9F" w:rsidRPr="00667A9F" w:rsidRDefault="00667A9F" w:rsidP="00667A9F">
      <w:pPr>
        <w:tabs>
          <w:tab w:val="clear" w:pos="567"/>
        </w:tabs>
        <w:spacing w:line="240" w:lineRule="auto"/>
        <w:rPr>
          <w:rFonts w:eastAsia="Calibri"/>
          <w:szCs w:val="22"/>
          <w:lang w:val="lt-LT"/>
        </w:rPr>
      </w:pPr>
    </w:p>
    <w:p w14:paraId="634327C6" w14:textId="77777777" w:rsidR="00667A9F" w:rsidRPr="00667A9F" w:rsidRDefault="00667A9F" w:rsidP="00667A9F">
      <w:pPr>
        <w:rPr>
          <w:rFonts w:eastAsia="Calibri"/>
          <w:szCs w:val="22"/>
          <w:lang w:val="lt-LT"/>
        </w:rPr>
      </w:pPr>
      <w:r w:rsidRPr="00667A9F">
        <w:rPr>
          <w:rFonts w:eastAsia="Calibri"/>
          <w:szCs w:val="22"/>
          <w:lang w:val="lt-LT"/>
        </w:rPr>
        <w:t>Laikyti vaikams nepastebimoje ir nepasiekiamoje vietoje.</w:t>
      </w:r>
    </w:p>
    <w:p w14:paraId="2259CFCB" w14:textId="77777777" w:rsidR="00667A9F" w:rsidRPr="00667A9F" w:rsidRDefault="00667A9F" w:rsidP="00667A9F">
      <w:pPr>
        <w:tabs>
          <w:tab w:val="clear" w:pos="567"/>
        </w:tabs>
        <w:spacing w:line="240" w:lineRule="auto"/>
        <w:rPr>
          <w:rFonts w:eastAsia="Calibri"/>
          <w:szCs w:val="22"/>
          <w:lang w:val="lt-LT"/>
        </w:rPr>
      </w:pPr>
    </w:p>
    <w:p w14:paraId="6A8551B2" w14:textId="77777777" w:rsidR="00667A9F" w:rsidRPr="00667A9F" w:rsidRDefault="00667A9F" w:rsidP="00667A9F">
      <w:pPr>
        <w:tabs>
          <w:tab w:val="clear" w:pos="567"/>
        </w:tabs>
        <w:spacing w:line="240" w:lineRule="auto"/>
        <w:rPr>
          <w:rFonts w:eastAsia="Calibri"/>
          <w:szCs w:val="22"/>
          <w:lang w:val="lt-LT"/>
        </w:rPr>
      </w:pPr>
    </w:p>
    <w:p w14:paraId="179C0749"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highlight w:val="lightGray"/>
          <w:lang w:val="lt-LT"/>
        </w:rPr>
      </w:pPr>
      <w:r w:rsidRPr="00667A9F">
        <w:rPr>
          <w:rFonts w:eastAsia="Calibri"/>
          <w:b/>
          <w:szCs w:val="22"/>
          <w:lang w:val="lt-LT"/>
        </w:rPr>
        <w:t>7.</w:t>
      </w:r>
      <w:r w:rsidRPr="00667A9F">
        <w:rPr>
          <w:rFonts w:eastAsia="Calibri"/>
          <w:b/>
          <w:szCs w:val="22"/>
          <w:lang w:val="lt-LT"/>
        </w:rPr>
        <w:tab/>
        <w:t>KITAS (-I) SPECIALUS (-ŪS) ĮSPĖJIMAS (-AI) (JEI REIKIA)</w:t>
      </w:r>
    </w:p>
    <w:p w14:paraId="57D04B64" w14:textId="77777777" w:rsidR="00667A9F" w:rsidRDefault="00667A9F" w:rsidP="00667A9F">
      <w:pPr>
        <w:tabs>
          <w:tab w:val="clear" w:pos="567"/>
        </w:tabs>
        <w:spacing w:line="240" w:lineRule="auto"/>
        <w:rPr>
          <w:rFonts w:eastAsia="Calibri"/>
          <w:szCs w:val="22"/>
          <w:lang w:val="lt-LT"/>
        </w:rPr>
      </w:pPr>
    </w:p>
    <w:p w14:paraId="6CE92D4B" w14:textId="3F1D405B" w:rsidR="00AA42E6" w:rsidRDefault="00AA42E6" w:rsidP="00667A9F">
      <w:pPr>
        <w:tabs>
          <w:tab w:val="clear" w:pos="567"/>
        </w:tabs>
        <w:spacing w:line="240" w:lineRule="auto"/>
        <w:rPr>
          <w:rFonts w:eastAsia="Calibri"/>
          <w:b/>
          <w:szCs w:val="22"/>
          <w:lang w:val="lt-LT"/>
        </w:rPr>
      </w:pPr>
      <w:r w:rsidRPr="005E0BAB">
        <w:rPr>
          <w:rFonts w:eastAsia="Calibri"/>
          <w:b/>
          <w:szCs w:val="22"/>
          <w:lang w:val="lt-LT"/>
        </w:rPr>
        <w:t>Citotoksinis</w:t>
      </w:r>
      <w:r w:rsidR="00E77F66" w:rsidRPr="005E0BAB">
        <w:rPr>
          <w:rFonts w:eastAsia="Calibri"/>
          <w:b/>
          <w:szCs w:val="22"/>
          <w:lang w:val="lt-LT"/>
        </w:rPr>
        <w:t xml:space="preserve"> </w:t>
      </w:r>
    </w:p>
    <w:p w14:paraId="487B7AA6" w14:textId="77777777" w:rsidR="006360C0" w:rsidRDefault="006360C0" w:rsidP="00667A9F">
      <w:pPr>
        <w:tabs>
          <w:tab w:val="clear" w:pos="567"/>
        </w:tabs>
        <w:spacing w:line="240" w:lineRule="auto"/>
        <w:rPr>
          <w:rFonts w:eastAsia="Calibri"/>
          <w:b/>
          <w:szCs w:val="22"/>
          <w:lang w:val="lt-LT"/>
        </w:rPr>
      </w:pPr>
      <w:r>
        <w:rPr>
          <w:rFonts w:eastAsia="Calibri"/>
          <w:b/>
          <w:szCs w:val="22"/>
          <w:lang w:val="lt-LT"/>
        </w:rPr>
        <w:t>Būtina p</w:t>
      </w:r>
      <w:r w:rsidR="002E1A49">
        <w:rPr>
          <w:rFonts w:eastAsia="Calibri"/>
          <w:b/>
          <w:szCs w:val="22"/>
          <w:lang w:val="lt-LT"/>
        </w:rPr>
        <w:t>r</w:t>
      </w:r>
      <w:r>
        <w:rPr>
          <w:rFonts w:eastAsia="Calibri"/>
          <w:b/>
          <w:szCs w:val="22"/>
          <w:lang w:val="lt-LT"/>
        </w:rPr>
        <w:t xml:space="preserve">askiesti vieną kartą. </w:t>
      </w:r>
    </w:p>
    <w:p w14:paraId="441D1B6E" w14:textId="77777777" w:rsidR="005E0BAB" w:rsidRPr="0084269B" w:rsidRDefault="005E0BAB" w:rsidP="005E0BAB">
      <w:pPr>
        <w:tabs>
          <w:tab w:val="clear" w:pos="567"/>
          <w:tab w:val="left" w:pos="720"/>
        </w:tabs>
        <w:spacing w:line="240" w:lineRule="auto"/>
        <w:rPr>
          <w:lang w:val="lt-LT" w:eastAsia="lt-LT" w:bidi="lt-LT"/>
        </w:rPr>
      </w:pPr>
      <w:r w:rsidRPr="0084269B">
        <w:rPr>
          <w:lang w:val="lt-LT" w:eastAsia="lt-LT" w:bidi="lt-LT"/>
        </w:rPr>
        <w:t xml:space="preserve">Ruošiant ir infuzuojant negalima naudoti PVC infuzinių talpyklių arba poliuretano infuzinių rinkinių. </w:t>
      </w:r>
    </w:p>
    <w:p w14:paraId="2BB21EBB" w14:textId="77777777" w:rsidR="005E0BAB" w:rsidRPr="0084269B" w:rsidRDefault="005E0BAB" w:rsidP="005E0BAB">
      <w:pPr>
        <w:tabs>
          <w:tab w:val="clear" w:pos="567"/>
          <w:tab w:val="left" w:pos="720"/>
        </w:tabs>
        <w:spacing w:line="240" w:lineRule="auto"/>
        <w:rPr>
          <w:lang w:val="lt-LT" w:eastAsia="lt-LT" w:bidi="lt-LT"/>
        </w:rPr>
      </w:pPr>
      <w:r w:rsidRPr="0084269B">
        <w:rPr>
          <w:lang w:val="lt-LT" w:eastAsia="lt-LT" w:bidi="lt-LT"/>
        </w:rPr>
        <w:lastRenderedPageBreak/>
        <w:t xml:space="preserve">Infuzavimo metu privaloma naudoti vidinį sistemos 0,22 mikrometro (dar vadinamą 0,2 mikrometro) nominalaus porų dydžio filtrą. </w:t>
      </w:r>
    </w:p>
    <w:p w14:paraId="6B51C89E" w14:textId="77777777" w:rsidR="005E0BAB" w:rsidRDefault="005E0BAB" w:rsidP="00667A9F">
      <w:pPr>
        <w:tabs>
          <w:tab w:val="clear" w:pos="567"/>
        </w:tabs>
        <w:spacing w:line="240" w:lineRule="auto"/>
        <w:rPr>
          <w:rFonts w:eastAsia="Calibri"/>
          <w:b/>
          <w:szCs w:val="22"/>
          <w:lang w:val="lt-LT"/>
        </w:rPr>
      </w:pPr>
    </w:p>
    <w:p w14:paraId="3B8A49B0" w14:textId="77777777" w:rsidR="00667A9F" w:rsidRPr="00667A9F" w:rsidRDefault="00667A9F" w:rsidP="00667A9F">
      <w:pPr>
        <w:tabs>
          <w:tab w:val="clear" w:pos="567"/>
        </w:tabs>
        <w:spacing w:line="240" w:lineRule="auto"/>
        <w:rPr>
          <w:rFonts w:eastAsia="Calibri"/>
          <w:szCs w:val="22"/>
          <w:lang w:val="lt-LT"/>
        </w:rPr>
      </w:pPr>
    </w:p>
    <w:p w14:paraId="4339BB2E"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highlight w:val="lightGray"/>
          <w:lang w:val="lt-LT"/>
        </w:rPr>
      </w:pPr>
      <w:r w:rsidRPr="00667A9F">
        <w:rPr>
          <w:rFonts w:eastAsia="Calibri"/>
          <w:b/>
          <w:szCs w:val="22"/>
          <w:lang w:val="lt-LT"/>
        </w:rPr>
        <w:t>8.</w:t>
      </w:r>
      <w:r w:rsidRPr="00667A9F">
        <w:rPr>
          <w:rFonts w:eastAsia="Calibri"/>
          <w:b/>
          <w:szCs w:val="22"/>
          <w:lang w:val="lt-LT"/>
        </w:rPr>
        <w:tab/>
        <w:t>TINKAMUMO LAIKAS</w:t>
      </w:r>
    </w:p>
    <w:p w14:paraId="18CEB02D" w14:textId="77777777" w:rsidR="00667A9F" w:rsidRPr="00667A9F" w:rsidRDefault="00667A9F" w:rsidP="00667A9F">
      <w:pPr>
        <w:tabs>
          <w:tab w:val="clear" w:pos="567"/>
        </w:tabs>
        <w:spacing w:line="240" w:lineRule="auto"/>
        <w:ind w:left="567" w:hanging="567"/>
        <w:outlineLvl w:val="0"/>
        <w:rPr>
          <w:rFonts w:eastAsia="Calibri"/>
          <w:szCs w:val="22"/>
          <w:lang w:val="lt-LT"/>
        </w:rPr>
      </w:pPr>
    </w:p>
    <w:p w14:paraId="4C49675E" w14:textId="77777777" w:rsidR="00667A9F" w:rsidRPr="00667A9F" w:rsidRDefault="00667A9F" w:rsidP="00667A9F">
      <w:pPr>
        <w:tabs>
          <w:tab w:val="clear" w:pos="567"/>
        </w:tabs>
        <w:spacing w:line="240" w:lineRule="auto"/>
        <w:ind w:left="567" w:hanging="567"/>
        <w:outlineLvl w:val="0"/>
        <w:rPr>
          <w:rFonts w:eastAsia="Calibri"/>
          <w:szCs w:val="22"/>
          <w:lang w:val="lt-LT"/>
        </w:rPr>
      </w:pPr>
      <w:r w:rsidRPr="00667A9F">
        <w:rPr>
          <w:rFonts w:eastAsia="Calibri"/>
          <w:szCs w:val="22"/>
          <w:lang w:val="lt-LT"/>
        </w:rPr>
        <w:t>EXP</w:t>
      </w:r>
      <w:r w:rsidR="001A08B9" w:rsidRPr="005B61CD">
        <w:rPr>
          <w:rFonts w:eastAsia="Calibri"/>
          <w:szCs w:val="22"/>
          <w:lang w:val="lt-LT"/>
        </w:rPr>
        <w:t>{mm/MMMM}</w:t>
      </w:r>
    </w:p>
    <w:p w14:paraId="370F63C1" w14:textId="77777777" w:rsidR="00667A9F" w:rsidRPr="00667A9F" w:rsidRDefault="00667A9F" w:rsidP="00667A9F">
      <w:pPr>
        <w:tabs>
          <w:tab w:val="clear" w:pos="567"/>
        </w:tabs>
        <w:spacing w:line="240" w:lineRule="auto"/>
        <w:ind w:left="567" w:hanging="567"/>
        <w:outlineLvl w:val="0"/>
        <w:rPr>
          <w:rFonts w:eastAsia="Calibri"/>
          <w:szCs w:val="22"/>
          <w:lang w:val="lt-LT"/>
        </w:rPr>
      </w:pPr>
      <w:r w:rsidRPr="00667A9F">
        <w:rPr>
          <w:rFonts w:eastAsia="Calibri"/>
          <w:szCs w:val="22"/>
          <w:highlight w:val="lightGray"/>
          <w:lang w:val="lt-LT"/>
        </w:rPr>
        <w:t>Tinka iki</w:t>
      </w:r>
      <w:r w:rsidRPr="00667A9F">
        <w:rPr>
          <w:rFonts w:eastAsia="Calibri"/>
          <w:szCs w:val="22"/>
          <w:lang w:val="lt-LT"/>
        </w:rPr>
        <w:t xml:space="preserve"> </w:t>
      </w:r>
      <w:r w:rsidRPr="00894A0A">
        <w:rPr>
          <w:rFonts w:eastAsia="Calibri"/>
          <w:szCs w:val="22"/>
          <w:lang w:val="lt-LT"/>
        </w:rPr>
        <w:t>{mm/MMMM}</w:t>
      </w:r>
    </w:p>
    <w:p w14:paraId="6472BE73" w14:textId="77777777" w:rsidR="00667A9F" w:rsidRPr="00667A9F" w:rsidRDefault="00667A9F" w:rsidP="00667A9F">
      <w:pPr>
        <w:tabs>
          <w:tab w:val="clear" w:pos="567"/>
        </w:tabs>
        <w:spacing w:line="240" w:lineRule="auto"/>
        <w:rPr>
          <w:rFonts w:eastAsia="Calibri"/>
          <w:szCs w:val="22"/>
          <w:lang w:val="lt-LT"/>
        </w:rPr>
      </w:pPr>
    </w:p>
    <w:p w14:paraId="21012BBA" w14:textId="1AB6A503" w:rsidR="00AA42E6" w:rsidRPr="00AA42E6" w:rsidRDefault="00AA42E6" w:rsidP="00AA42E6">
      <w:pPr>
        <w:tabs>
          <w:tab w:val="clear" w:pos="567"/>
        </w:tabs>
        <w:spacing w:line="240" w:lineRule="auto"/>
        <w:rPr>
          <w:noProof/>
        </w:rPr>
      </w:pPr>
      <w:r>
        <w:rPr>
          <w:noProof/>
        </w:rPr>
        <w:t xml:space="preserve">Praskiesto tirpalo tinkamumo laiką </w:t>
      </w:r>
      <w:r w:rsidR="001E0858">
        <w:rPr>
          <w:noProof/>
        </w:rPr>
        <w:t xml:space="preserve">žr. </w:t>
      </w:r>
      <w:r>
        <w:rPr>
          <w:noProof/>
        </w:rPr>
        <w:t>pakuotės lapelyje.</w:t>
      </w:r>
    </w:p>
    <w:p w14:paraId="44F75244" w14:textId="77777777" w:rsidR="00667A9F" w:rsidRPr="00667A9F" w:rsidRDefault="00667A9F" w:rsidP="00667A9F">
      <w:pPr>
        <w:tabs>
          <w:tab w:val="clear" w:pos="567"/>
        </w:tabs>
        <w:spacing w:line="240" w:lineRule="auto"/>
        <w:rPr>
          <w:rFonts w:eastAsia="Calibri"/>
          <w:szCs w:val="22"/>
          <w:lang w:val="lt-LT"/>
        </w:rPr>
      </w:pPr>
    </w:p>
    <w:p w14:paraId="5F1BD06B"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Calibri"/>
          <w:szCs w:val="22"/>
          <w:lang w:val="lt-LT"/>
        </w:rPr>
      </w:pPr>
      <w:r w:rsidRPr="00667A9F">
        <w:rPr>
          <w:rFonts w:eastAsia="Calibri"/>
          <w:b/>
          <w:szCs w:val="22"/>
          <w:lang w:val="lt-LT"/>
        </w:rPr>
        <w:t>9.</w:t>
      </w:r>
      <w:r w:rsidRPr="00667A9F">
        <w:rPr>
          <w:rFonts w:eastAsia="Calibri"/>
          <w:b/>
          <w:szCs w:val="22"/>
          <w:lang w:val="lt-LT"/>
        </w:rPr>
        <w:tab/>
      </w:r>
      <w:r w:rsidRPr="00667A9F">
        <w:rPr>
          <w:rFonts w:eastAsia="Calibri"/>
          <w:b/>
          <w:caps/>
          <w:szCs w:val="22"/>
          <w:lang w:val="lt-LT"/>
        </w:rPr>
        <w:t>SPECIALIOS laikymo sąlygos</w:t>
      </w:r>
    </w:p>
    <w:p w14:paraId="49179148" w14:textId="77777777" w:rsidR="00667A9F" w:rsidRDefault="00667A9F" w:rsidP="00667A9F">
      <w:pPr>
        <w:tabs>
          <w:tab w:val="clear" w:pos="567"/>
        </w:tabs>
        <w:spacing w:line="240" w:lineRule="auto"/>
        <w:rPr>
          <w:rFonts w:eastAsia="Calibri"/>
          <w:i/>
          <w:szCs w:val="22"/>
          <w:lang w:val="lt-LT"/>
        </w:rPr>
      </w:pPr>
    </w:p>
    <w:p w14:paraId="6CF0BF29" w14:textId="77777777" w:rsidR="00667A9F" w:rsidRPr="00667A9F" w:rsidRDefault="00667A9F" w:rsidP="00667A9F">
      <w:pPr>
        <w:tabs>
          <w:tab w:val="clear" w:pos="567"/>
        </w:tabs>
        <w:spacing w:line="240" w:lineRule="auto"/>
        <w:rPr>
          <w:rFonts w:eastAsia="Calibri"/>
          <w:szCs w:val="22"/>
          <w:lang w:val="lt-LT"/>
        </w:rPr>
      </w:pPr>
    </w:p>
    <w:p w14:paraId="6AE27BE2"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720" w:hanging="720"/>
        <w:outlineLvl w:val="0"/>
        <w:rPr>
          <w:rFonts w:eastAsia="Calibri"/>
          <w:b/>
          <w:szCs w:val="22"/>
          <w:lang w:val="lt-LT"/>
        </w:rPr>
      </w:pPr>
      <w:r w:rsidRPr="00667A9F">
        <w:rPr>
          <w:rFonts w:eastAsia="Calibri"/>
          <w:b/>
          <w:szCs w:val="22"/>
          <w:lang w:val="lt-LT"/>
        </w:rPr>
        <w:t>10.</w:t>
      </w:r>
      <w:r w:rsidRPr="00667A9F">
        <w:rPr>
          <w:rFonts w:eastAsia="Calibri"/>
          <w:b/>
          <w:szCs w:val="22"/>
          <w:lang w:val="lt-LT"/>
        </w:rPr>
        <w:tab/>
      </w:r>
      <w:r w:rsidRPr="00667A9F">
        <w:rPr>
          <w:rFonts w:eastAsia="Calibri"/>
          <w:b/>
          <w:caps/>
          <w:szCs w:val="22"/>
          <w:lang w:val="lt-LT"/>
        </w:rPr>
        <w:t>specialios atsargumo priemonės</w:t>
      </w:r>
      <w:r w:rsidRPr="00667A9F">
        <w:rPr>
          <w:rFonts w:eastAsia="Calibri"/>
          <w:b/>
          <w:szCs w:val="22"/>
          <w:lang w:val="lt-LT"/>
        </w:rPr>
        <w:t xml:space="preserve"> DĖL NESUVARTOTO</w:t>
      </w:r>
      <w:r w:rsidRPr="00667A9F">
        <w:rPr>
          <w:rFonts w:eastAsia="Calibri"/>
          <w:b/>
          <w:caps/>
          <w:szCs w:val="22"/>
          <w:lang w:val="lt-LT"/>
        </w:rPr>
        <w:t xml:space="preserve"> VAISTINIO PREPARATO AR JO ATLIEKŲ TVARKYMO</w:t>
      </w:r>
      <w:r w:rsidRPr="00667A9F">
        <w:rPr>
          <w:rFonts w:eastAsia="Calibri"/>
          <w:caps/>
          <w:szCs w:val="22"/>
          <w:lang w:val="lt-LT"/>
        </w:rPr>
        <w:t xml:space="preserve"> </w:t>
      </w:r>
      <w:r w:rsidRPr="00667A9F">
        <w:rPr>
          <w:rFonts w:eastAsia="Calibri"/>
          <w:b/>
          <w:caps/>
          <w:szCs w:val="22"/>
          <w:lang w:val="lt-LT"/>
        </w:rPr>
        <w:t>(jei reikia)</w:t>
      </w:r>
    </w:p>
    <w:p w14:paraId="0DB76DD6" w14:textId="77777777" w:rsidR="00667A9F" w:rsidRDefault="00667A9F" w:rsidP="00667A9F">
      <w:pPr>
        <w:tabs>
          <w:tab w:val="clear" w:pos="567"/>
        </w:tabs>
        <w:spacing w:line="240" w:lineRule="auto"/>
        <w:rPr>
          <w:rFonts w:eastAsia="Calibri"/>
          <w:szCs w:val="22"/>
          <w:lang w:val="lt-LT"/>
        </w:rPr>
      </w:pPr>
    </w:p>
    <w:p w14:paraId="50FD7166" w14:textId="77777777" w:rsidR="006360C0" w:rsidRPr="00667A9F" w:rsidRDefault="006360C0" w:rsidP="00667A9F">
      <w:pPr>
        <w:tabs>
          <w:tab w:val="clear" w:pos="567"/>
        </w:tabs>
        <w:spacing w:line="240" w:lineRule="auto"/>
        <w:rPr>
          <w:rFonts w:eastAsia="Calibri"/>
          <w:szCs w:val="22"/>
          <w:lang w:val="lt-LT"/>
        </w:rPr>
      </w:pPr>
      <w:r>
        <w:rPr>
          <w:rFonts w:eastAsia="Calibri"/>
          <w:szCs w:val="22"/>
          <w:lang w:val="lt-LT"/>
        </w:rPr>
        <w:t xml:space="preserve">Nesuvartotą vaistą ar atliekas reikia tvarkyti laikantis vietinių reikalavimų. </w:t>
      </w:r>
    </w:p>
    <w:p w14:paraId="25F43AE9" w14:textId="77777777" w:rsidR="00667A9F" w:rsidRPr="00667A9F" w:rsidRDefault="00667A9F" w:rsidP="00667A9F">
      <w:pPr>
        <w:tabs>
          <w:tab w:val="clear" w:pos="567"/>
        </w:tabs>
        <w:spacing w:line="240" w:lineRule="auto"/>
        <w:rPr>
          <w:rFonts w:eastAsia="Calibri"/>
          <w:szCs w:val="22"/>
          <w:lang w:val="lt-LT"/>
        </w:rPr>
      </w:pPr>
    </w:p>
    <w:p w14:paraId="2584C2DB"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rFonts w:eastAsia="Calibri"/>
          <w:b/>
          <w:szCs w:val="22"/>
          <w:lang w:val="lt-LT"/>
        </w:rPr>
      </w:pPr>
      <w:r w:rsidRPr="00667A9F">
        <w:rPr>
          <w:rFonts w:eastAsia="Calibri"/>
          <w:b/>
          <w:szCs w:val="22"/>
          <w:lang w:val="lt-LT"/>
        </w:rPr>
        <w:t>11.</w:t>
      </w:r>
      <w:r w:rsidRPr="00667A9F">
        <w:rPr>
          <w:rFonts w:eastAsia="Calibri"/>
          <w:b/>
          <w:szCs w:val="22"/>
          <w:lang w:val="lt-LT"/>
        </w:rPr>
        <w:tab/>
      </w:r>
      <w:r w:rsidRPr="00667A9F">
        <w:rPr>
          <w:rFonts w:eastAsia="Calibri"/>
          <w:b/>
          <w:caps/>
          <w:szCs w:val="22"/>
          <w:lang w:val="lt-LT"/>
        </w:rPr>
        <w:t>REGISTRUOTOJO pavadinimas ir adresas</w:t>
      </w:r>
    </w:p>
    <w:p w14:paraId="71340699" w14:textId="77777777" w:rsidR="00667A9F" w:rsidRPr="00667A9F" w:rsidRDefault="00667A9F" w:rsidP="00667A9F">
      <w:pPr>
        <w:tabs>
          <w:tab w:val="clear" w:pos="567"/>
        </w:tabs>
        <w:spacing w:line="240" w:lineRule="auto"/>
        <w:rPr>
          <w:rFonts w:eastAsia="Calibri"/>
          <w:szCs w:val="22"/>
          <w:lang w:val="lt-LT"/>
        </w:rPr>
      </w:pPr>
    </w:p>
    <w:p w14:paraId="73EE20E0" w14:textId="77777777" w:rsidR="00667A9F" w:rsidRPr="00667A9F" w:rsidRDefault="00667A9F" w:rsidP="00667A9F">
      <w:pPr>
        <w:tabs>
          <w:tab w:val="clear" w:pos="567"/>
        </w:tabs>
        <w:spacing w:line="240" w:lineRule="auto"/>
        <w:rPr>
          <w:rFonts w:eastAsia="Calibri"/>
          <w:szCs w:val="22"/>
          <w:lang w:val="lt-LT"/>
        </w:rPr>
      </w:pPr>
      <w:r w:rsidRPr="00667A9F">
        <w:rPr>
          <w:rFonts w:eastAsia="Calibri"/>
          <w:szCs w:val="22"/>
          <w:lang w:val="lt-LT"/>
        </w:rPr>
        <w:t>Teva B.V.</w:t>
      </w:r>
    </w:p>
    <w:p w14:paraId="117036FA" w14:textId="77777777" w:rsidR="00667A9F" w:rsidRPr="00667A9F" w:rsidRDefault="00667A9F" w:rsidP="00667A9F">
      <w:pPr>
        <w:rPr>
          <w:rFonts w:eastAsia="Calibri"/>
          <w:szCs w:val="22"/>
          <w:lang w:val="lt-LT"/>
        </w:rPr>
      </w:pPr>
      <w:r w:rsidRPr="00667A9F">
        <w:rPr>
          <w:rFonts w:eastAsia="Calibri"/>
          <w:szCs w:val="22"/>
          <w:lang w:val="lt-LT"/>
        </w:rPr>
        <w:t>Swensweg 5</w:t>
      </w:r>
    </w:p>
    <w:p w14:paraId="18F9C334" w14:textId="77777777" w:rsidR="00667A9F" w:rsidRPr="00667A9F" w:rsidRDefault="00667A9F" w:rsidP="00667A9F">
      <w:pPr>
        <w:tabs>
          <w:tab w:val="clear" w:pos="567"/>
        </w:tabs>
        <w:spacing w:line="240" w:lineRule="auto"/>
        <w:rPr>
          <w:rFonts w:eastAsia="Calibri"/>
          <w:szCs w:val="22"/>
          <w:lang w:val="lt-LT"/>
        </w:rPr>
      </w:pPr>
      <w:r w:rsidRPr="00667A9F">
        <w:rPr>
          <w:rFonts w:eastAsia="Calibri"/>
          <w:szCs w:val="22"/>
          <w:lang w:val="lt-LT"/>
        </w:rPr>
        <w:t>2031 GA Haarlem</w:t>
      </w:r>
    </w:p>
    <w:p w14:paraId="40C26613" w14:textId="77777777" w:rsidR="00667A9F" w:rsidRPr="00667A9F" w:rsidRDefault="00667A9F" w:rsidP="00667A9F">
      <w:pPr>
        <w:tabs>
          <w:tab w:val="clear" w:pos="567"/>
        </w:tabs>
        <w:spacing w:line="240" w:lineRule="auto"/>
        <w:rPr>
          <w:rFonts w:eastAsia="Calibri"/>
          <w:szCs w:val="22"/>
          <w:lang w:val="lt-LT"/>
        </w:rPr>
      </w:pPr>
      <w:r w:rsidRPr="00667A9F">
        <w:rPr>
          <w:rFonts w:eastAsia="Calibri"/>
          <w:szCs w:val="22"/>
          <w:lang w:val="lt-LT"/>
        </w:rPr>
        <w:t>Nyderlandai</w:t>
      </w:r>
    </w:p>
    <w:p w14:paraId="7CD2CBFA" w14:textId="77777777" w:rsidR="00667A9F" w:rsidRPr="00667A9F" w:rsidRDefault="00667A9F" w:rsidP="00667A9F">
      <w:pPr>
        <w:rPr>
          <w:rFonts w:eastAsia="Calibri"/>
          <w:szCs w:val="22"/>
          <w:lang w:val="lt-LT"/>
        </w:rPr>
      </w:pPr>
    </w:p>
    <w:p w14:paraId="3DE8374C" w14:textId="77777777" w:rsidR="00667A9F" w:rsidRPr="00667A9F" w:rsidRDefault="00667A9F" w:rsidP="00667A9F">
      <w:pPr>
        <w:tabs>
          <w:tab w:val="clear" w:pos="567"/>
        </w:tabs>
        <w:spacing w:line="240" w:lineRule="auto"/>
        <w:rPr>
          <w:rFonts w:eastAsia="Calibri"/>
          <w:szCs w:val="22"/>
          <w:lang w:val="lt-LT"/>
        </w:rPr>
      </w:pPr>
    </w:p>
    <w:p w14:paraId="109E33A8"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rFonts w:eastAsia="Calibri"/>
          <w:szCs w:val="22"/>
          <w:lang w:val="lt-LT"/>
        </w:rPr>
      </w:pPr>
      <w:r w:rsidRPr="00667A9F">
        <w:rPr>
          <w:rFonts w:eastAsia="Calibri"/>
          <w:b/>
          <w:szCs w:val="22"/>
          <w:lang w:val="lt-LT"/>
        </w:rPr>
        <w:t>12.</w:t>
      </w:r>
      <w:r w:rsidRPr="00667A9F">
        <w:rPr>
          <w:rFonts w:eastAsia="Calibri"/>
          <w:b/>
          <w:szCs w:val="22"/>
          <w:lang w:val="lt-LT"/>
        </w:rPr>
        <w:tab/>
      </w:r>
      <w:r w:rsidRPr="00667A9F">
        <w:rPr>
          <w:rFonts w:eastAsia="Calibri"/>
          <w:b/>
          <w:caps/>
          <w:szCs w:val="22"/>
          <w:lang w:val="lt-LT"/>
        </w:rPr>
        <w:t>REGISTRACIJOS PAŽYMĖJIMO numeris (-IAI)</w:t>
      </w:r>
      <w:r w:rsidRPr="00667A9F">
        <w:rPr>
          <w:rFonts w:eastAsia="Calibri"/>
          <w:b/>
          <w:szCs w:val="22"/>
          <w:lang w:val="lt-LT"/>
        </w:rPr>
        <w:t xml:space="preserve"> </w:t>
      </w:r>
    </w:p>
    <w:p w14:paraId="20306DBA" w14:textId="77777777" w:rsidR="00667A9F" w:rsidRPr="00667A9F" w:rsidRDefault="00667A9F" w:rsidP="00667A9F">
      <w:pPr>
        <w:tabs>
          <w:tab w:val="clear" w:pos="567"/>
        </w:tabs>
        <w:spacing w:line="240" w:lineRule="auto"/>
        <w:ind w:left="567" w:hanging="567"/>
        <w:rPr>
          <w:rFonts w:eastAsia="Calibri"/>
          <w:szCs w:val="22"/>
          <w:lang w:val="lt-LT"/>
        </w:rPr>
      </w:pPr>
    </w:p>
    <w:p w14:paraId="7CEE4D29" w14:textId="5983BB93" w:rsidR="00667A9F" w:rsidRDefault="007401C2" w:rsidP="00667A9F">
      <w:pPr>
        <w:tabs>
          <w:tab w:val="clear" w:pos="567"/>
        </w:tabs>
        <w:spacing w:line="240" w:lineRule="auto"/>
        <w:rPr>
          <w:rFonts w:eastAsia="Calibri"/>
          <w:szCs w:val="22"/>
          <w:lang w:val="lt-LT"/>
        </w:rPr>
      </w:pPr>
      <w:r w:rsidRPr="007401C2">
        <w:rPr>
          <w:rFonts w:eastAsia="Calibri"/>
          <w:szCs w:val="22"/>
          <w:lang w:val="lt-LT"/>
        </w:rPr>
        <w:t>LT/1/20/4611/001</w:t>
      </w:r>
    </w:p>
    <w:p w14:paraId="2DBFD989" w14:textId="77777777" w:rsidR="007401C2" w:rsidRPr="00667A9F" w:rsidRDefault="007401C2" w:rsidP="00667A9F">
      <w:pPr>
        <w:tabs>
          <w:tab w:val="clear" w:pos="567"/>
        </w:tabs>
        <w:spacing w:line="240" w:lineRule="auto"/>
        <w:rPr>
          <w:rFonts w:eastAsia="Calibri"/>
          <w:szCs w:val="22"/>
          <w:lang w:val="lt-LT"/>
        </w:rPr>
      </w:pPr>
    </w:p>
    <w:p w14:paraId="5D1320DE" w14:textId="77777777" w:rsidR="00667A9F" w:rsidRPr="00667A9F" w:rsidRDefault="00667A9F" w:rsidP="00667A9F">
      <w:pPr>
        <w:tabs>
          <w:tab w:val="clear" w:pos="567"/>
        </w:tabs>
        <w:spacing w:line="240" w:lineRule="auto"/>
        <w:rPr>
          <w:rFonts w:eastAsia="Calibri"/>
          <w:szCs w:val="22"/>
          <w:lang w:val="lt-LT"/>
        </w:rPr>
      </w:pPr>
    </w:p>
    <w:p w14:paraId="41E0D1F8"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rFonts w:eastAsia="Calibri"/>
          <w:szCs w:val="22"/>
          <w:lang w:val="lt-LT"/>
        </w:rPr>
      </w:pPr>
      <w:r w:rsidRPr="00667A9F">
        <w:rPr>
          <w:rFonts w:eastAsia="Calibri"/>
          <w:b/>
          <w:szCs w:val="22"/>
          <w:lang w:val="lt-LT"/>
        </w:rPr>
        <w:t>13.</w:t>
      </w:r>
      <w:r w:rsidRPr="00667A9F">
        <w:rPr>
          <w:rFonts w:eastAsia="Calibri"/>
          <w:b/>
          <w:szCs w:val="22"/>
          <w:lang w:val="lt-LT"/>
        </w:rPr>
        <w:tab/>
        <w:t>SERIJOS NUMERIS</w:t>
      </w:r>
    </w:p>
    <w:p w14:paraId="68E3F175" w14:textId="77777777" w:rsidR="00667A9F" w:rsidRPr="00667A9F" w:rsidRDefault="00667A9F" w:rsidP="00667A9F">
      <w:pPr>
        <w:tabs>
          <w:tab w:val="clear" w:pos="567"/>
        </w:tabs>
        <w:spacing w:line="240" w:lineRule="auto"/>
        <w:ind w:left="567" w:hanging="567"/>
        <w:rPr>
          <w:rFonts w:eastAsia="Calibri"/>
          <w:szCs w:val="22"/>
          <w:lang w:val="lt-LT"/>
        </w:rPr>
      </w:pPr>
    </w:p>
    <w:p w14:paraId="0BB2F198" w14:textId="77777777" w:rsidR="00667A9F" w:rsidRPr="00667A9F" w:rsidRDefault="00667A9F" w:rsidP="00667A9F">
      <w:pPr>
        <w:tabs>
          <w:tab w:val="clear" w:pos="567"/>
        </w:tabs>
        <w:spacing w:line="240" w:lineRule="auto"/>
        <w:ind w:left="567" w:hanging="567"/>
        <w:rPr>
          <w:rFonts w:eastAsia="Calibri"/>
          <w:szCs w:val="22"/>
          <w:lang w:val="lt-LT"/>
        </w:rPr>
      </w:pPr>
      <w:r w:rsidRPr="00667A9F">
        <w:rPr>
          <w:rFonts w:eastAsia="Calibri"/>
          <w:szCs w:val="22"/>
          <w:lang w:val="lt-LT"/>
        </w:rPr>
        <w:t>Lot</w:t>
      </w:r>
    </w:p>
    <w:p w14:paraId="6AEB10C2" w14:textId="77777777" w:rsidR="00667A9F" w:rsidRPr="00667A9F" w:rsidRDefault="00667A9F" w:rsidP="00667A9F">
      <w:pPr>
        <w:tabs>
          <w:tab w:val="clear" w:pos="567"/>
        </w:tabs>
        <w:spacing w:line="240" w:lineRule="auto"/>
        <w:rPr>
          <w:rFonts w:eastAsia="Calibri"/>
          <w:szCs w:val="22"/>
          <w:lang w:val="lt-LT"/>
        </w:rPr>
      </w:pPr>
    </w:p>
    <w:p w14:paraId="56EED9B0" w14:textId="77777777" w:rsidR="00667A9F" w:rsidRPr="00667A9F" w:rsidRDefault="00667A9F" w:rsidP="00667A9F">
      <w:pPr>
        <w:tabs>
          <w:tab w:val="clear" w:pos="567"/>
        </w:tabs>
        <w:spacing w:line="240" w:lineRule="auto"/>
        <w:rPr>
          <w:rFonts w:eastAsia="Calibri"/>
          <w:szCs w:val="22"/>
          <w:lang w:val="lt-LT"/>
        </w:rPr>
      </w:pPr>
    </w:p>
    <w:p w14:paraId="24220E7B"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rFonts w:eastAsia="Calibri"/>
          <w:szCs w:val="22"/>
          <w:lang w:val="lt-LT"/>
        </w:rPr>
      </w:pPr>
      <w:r w:rsidRPr="00667A9F">
        <w:rPr>
          <w:rFonts w:eastAsia="Calibri"/>
          <w:b/>
          <w:szCs w:val="22"/>
          <w:lang w:val="lt-LT"/>
        </w:rPr>
        <w:t>14.</w:t>
      </w:r>
      <w:r w:rsidRPr="00667A9F">
        <w:rPr>
          <w:rFonts w:eastAsia="Calibri"/>
          <w:b/>
          <w:szCs w:val="22"/>
          <w:lang w:val="lt-LT"/>
        </w:rPr>
        <w:tab/>
        <w:t>PARDAVIMO (IŠDAVIMO)</w:t>
      </w:r>
      <w:r w:rsidRPr="00667A9F">
        <w:rPr>
          <w:rFonts w:eastAsia="Calibri"/>
          <w:b/>
          <w:caps/>
          <w:szCs w:val="22"/>
          <w:lang w:val="lt-LT"/>
        </w:rPr>
        <w:t xml:space="preserve"> tvarka</w:t>
      </w:r>
    </w:p>
    <w:p w14:paraId="49923A7B" w14:textId="77777777" w:rsidR="00667A9F" w:rsidRPr="00667A9F" w:rsidRDefault="00667A9F" w:rsidP="00667A9F">
      <w:pPr>
        <w:tabs>
          <w:tab w:val="clear" w:pos="567"/>
        </w:tabs>
        <w:spacing w:line="240" w:lineRule="auto"/>
        <w:rPr>
          <w:rFonts w:eastAsia="Calibri"/>
          <w:szCs w:val="22"/>
          <w:lang w:val="lt-LT"/>
        </w:rPr>
      </w:pPr>
    </w:p>
    <w:p w14:paraId="09DA6A90" w14:textId="77777777" w:rsidR="00667A9F" w:rsidRPr="00667A9F" w:rsidRDefault="00667A9F" w:rsidP="00667A9F">
      <w:pPr>
        <w:tabs>
          <w:tab w:val="clear" w:pos="567"/>
        </w:tabs>
        <w:spacing w:line="240" w:lineRule="auto"/>
        <w:ind w:left="567" w:hanging="567"/>
        <w:rPr>
          <w:rFonts w:eastAsia="Calibri"/>
          <w:szCs w:val="22"/>
          <w:lang w:val="lt-LT"/>
        </w:rPr>
      </w:pPr>
      <w:r w:rsidRPr="00667A9F">
        <w:rPr>
          <w:rFonts w:eastAsia="Calibri"/>
          <w:szCs w:val="22"/>
          <w:lang w:val="lt-LT"/>
        </w:rPr>
        <w:t>Receptinis vaistas.</w:t>
      </w:r>
    </w:p>
    <w:p w14:paraId="1B36BCAE" w14:textId="77777777" w:rsidR="00667A9F" w:rsidRPr="00667A9F" w:rsidRDefault="00667A9F" w:rsidP="00667A9F">
      <w:pPr>
        <w:tabs>
          <w:tab w:val="clear" w:pos="567"/>
        </w:tabs>
        <w:spacing w:line="240" w:lineRule="auto"/>
        <w:rPr>
          <w:rFonts w:eastAsia="Calibri"/>
          <w:szCs w:val="22"/>
          <w:lang w:val="lt-LT"/>
        </w:rPr>
      </w:pPr>
    </w:p>
    <w:p w14:paraId="1DF112B0" w14:textId="77777777" w:rsidR="00667A9F" w:rsidRPr="00667A9F" w:rsidRDefault="00667A9F" w:rsidP="00667A9F">
      <w:pPr>
        <w:tabs>
          <w:tab w:val="clear" w:pos="567"/>
        </w:tabs>
        <w:spacing w:line="240" w:lineRule="auto"/>
        <w:rPr>
          <w:rFonts w:eastAsia="Calibri"/>
          <w:szCs w:val="22"/>
          <w:lang w:val="lt-LT"/>
        </w:rPr>
      </w:pPr>
    </w:p>
    <w:p w14:paraId="4466BB9C"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rFonts w:eastAsia="Calibri"/>
          <w:szCs w:val="22"/>
          <w:lang w:val="lt-LT"/>
        </w:rPr>
      </w:pPr>
      <w:r w:rsidRPr="00667A9F">
        <w:rPr>
          <w:rFonts w:eastAsia="Calibri"/>
          <w:b/>
          <w:szCs w:val="22"/>
          <w:lang w:val="lt-LT"/>
        </w:rPr>
        <w:t>15.</w:t>
      </w:r>
      <w:r w:rsidRPr="00667A9F">
        <w:rPr>
          <w:rFonts w:eastAsia="Calibri"/>
          <w:b/>
          <w:szCs w:val="22"/>
          <w:lang w:val="lt-LT"/>
        </w:rPr>
        <w:tab/>
      </w:r>
      <w:r w:rsidRPr="00667A9F">
        <w:rPr>
          <w:rFonts w:eastAsia="Calibri"/>
          <w:b/>
          <w:caps/>
          <w:szCs w:val="22"/>
          <w:lang w:val="lt-LT"/>
        </w:rPr>
        <w:t>vartojimo instrukcijA</w:t>
      </w:r>
    </w:p>
    <w:p w14:paraId="34382910" w14:textId="77777777" w:rsidR="00667A9F" w:rsidRPr="00667A9F" w:rsidRDefault="00667A9F" w:rsidP="00667A9F">
      <w:pPr>
        <w:tabs>
          <w:tab w:val="clear" w:pos="567"/>
        </w:tabs>
        <w:spacing w:line="240" w:lineRule="auto"/>
        <w:rPr>
          <w:rFonts w:eastAsia="Calibri"/>
          <w:szCs w:val="22"/>
          <w:lang w:val="lt-LT"/>
        </w:rPr>
      </w:pPr>
    </w:p>
    <w:p w14:paraId="698C1909" w14:textId="77777777" w:rsidR="00667A9F" w:rsidRPr="00667A9F" w:rsidRDefault="00667A9F" w:rsidP="00667A9F">
      <w:pPr>
        <w:tabs>
          <w:tab w:val="clear" w:pos="567"/>
        </w:tabs>
        <w:spacing w:line="240" w:lineRule="auto"/>
        <w:rPr>
          <w:rFonts w:eastAsia="Calibri"/>
          <w:szCs w:val="22"/>
          <w:lang w:val="lt-LT"/>
        </w:rPr>
      </w:pPr>
    </w:p>
    <w:p w14:paraId="3EA96063" w14:textId="77777777" w:rsidR="00667A9F" w:rsidRPr="00667A9F" w:rsidRDefault="00667A9F" w:rsidP="00667A9F">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rFonts w:eastAsia="Calibri"/>
          <w:szCs w:val="22"/>
          <w:lang w:val="lt-LT"/>
        </w:rPr>
      </w:pPr>
      <w:r w:rsidRPr="00667A9F">
        <w:rPr>
          <w:rFonts w:eastAsia="Calibri"/>
          <w:b/>
          <w:szCs w:val="22"/>
          <w:lang w:val="lt-LT"/>
        </w:rPr>
        <w:t>16.</w:t>
      </w:r>
      <w:r w:rsidRPr="00667A9F">
        <w:rPr>
          <w:rFonts w:eastAsia="Calibri"/>
          <w:b/>
          <w:szCs w:val="22"/>
          <w:lang w:val="lt-LT"/>
        </w:rPr>
        <w:tab/>
        <w:t>INFORMACIJA BRAILIO RAŠTU</w:t>
      </w:r>
    </w:p>
    <w:p w14:paraId="02E381F2" w14:textId="77777777" w:rsidR="00667A9F" w:rsidRPr="00667A9F" w:rsidRDefault="00667A9F" w:rsidP="00667A9F">
      <w:pPr>
        <w:tabs>
          <w:tab w:val="clear" w:pos="567"/>
        </w:tabs>
        <w:spacing w:line="240" w:lineRule="auto"/>
        <w:rPr>
          <w:rFonts w:eastAsia="Calibri"/>
          <w:szCs w:val="22"/>
          <w:lang w:val="lt-LT"/>
        </w:rPr>
      </w:pPr>
    </w:p>
    <w:p w14:paraId="6CFCDB6E" w14:textId="77777777" w:rsidR="00E77F66" w:rsidRPr="00E77F66" w:rsidRDefault="00E77F66" w:rsidP="00E77F66">
      <w:pPr>
        <w:spacing w:line="240" w:lineRule="auto"/>
        <w:rPr>
          <w:noProof/>
          <w:szCs w:val="22"/>
          <w:shd w:val="clear" w:color="auto" w:fill="CCCCCC"/>
          <w:lang w:val="lt-LT" w:eastAsia="lt-LT" w:bidi="lt-LT"/>
        </w:rPr>
      </w:pPr>
      <w:r w:rsidRPr="00E77F66">
        <w:rPr>
          <w:highlight w:val="lightGray"/>
          <w:lang w:val="lt-LT" w:eastAsia="lt-LT" w:bidi="lt-LT"/>
        </w:rPr>
        <w:t>Priimtas pagrindimas informacijos Brailio raštu nepateikti.</w:t>
      </w:r>
    </w:p>
    <w:p w14:paraId="3B7B05D9" w14:textId="77777777" w:rsidR="00E77F66" w:rsidRDefault="00E77F66" w:rsidP="00667A9F">
      <w:pPr>
        <w:spacing w:line="240" w:lineRule="auto"/>
        <w:rPr>
          <w:szCs w:val="22"/>
          <w:shd w:val="clear" w:color="auto" w:fill="CCCCCC"/>
          <w:lang w:val="lt-LT" w:eastAsia="lt-LT" w:bidi="lt-LT"/>
        </w:rPr>
      </w:pPr>
    </w:p>
    <w:p w14:paraId="799C1C30" w14:textId="77777777" w:rsidR="00E77F66" w:rsidRPr="00667A9F" w:rsidRDefault="00E77F66" w:rsidP="00667A9F">
      <w:pPr>
        <w:spacing w:line="240" w:lineRule="auto"/>
        <w:rPr>
          <w:szCs w:val="22"/>
          <w:shd w:val="clear" w:color="auto" w:fill="CCCCCC"/>
          <w:lang w:val="lt-LT" w:eastAsia="lt-LT" w:bidi="lt-LT"/>
        </w:rPr>
      </w:pPr>
    </w:p>
    <w:p w14:paraId="74F24CC7" w14:textId="77777777" w:rsidR="00667A9F" w:rsidRPr="00667A9F" w:rsidRDefault="00667A9F" w:rsidP="001E0858">
      <w:pPr>
        <w:keepNext/>
        <w:numPr>
          <w:ilvl w:val="0"/>
          <w:numId w:val="11"/>
        </w:numPr>
        <w:pBdr>
          <w:top w:val="single" w:sz="4" w:space="1" w:color="auto"/>
          <w:left w:val="single" w:sz="4" w:space="4" w:color="auto"/>
          <w:bottom w:val="single" w:sz="4" w:space="1" w:color="auto"/>
          <w:right w:val="single" w:sz="4" w:space="4" w:color="auto"/>
        </w:pBdr>
        <w:tabs>
          <w:tab w:val="clear" w:pos="567"/>
        </w:tabs>
        <w:spacing w:after="160" w:line="240" w:lineRule="auto"/>
        <w:ind w:left="0" w:firstLine="0"/>
        <w:contextualSpacing/>
        <w:outlineLvl w:val="0"/>
        <w:rPr>
          <w:i/>
          <w:lang w:val="lt-LT" w:eastAsia="lt-LT" w:bidi="lt-LT"/>
        </w:rPr>
      </w:pPr>
      <w:r w:rsidRPr="00667A9F">
        <w:rPr>
          <w:b/>
          <w:lang w:val="lt-LT" w:eastAsia="lt-LT" w:bidi="lt-LT"/>
        </w:rPr>
        <w:lastRenderedPageBreak/>
        <w:t>UNIKALUS IDENTIFIKATORIUS – 2D BRŪKŠNINIS KODAS</w:t>
      </w:r>
    </w:p>
    <w:p w14:paraId="0E786B80" w14:textId="77777777" w:rsidR="00667A9F" w:rsidRPr="00667A9F" w:rsidRDefault="00667A9F" w:rsidP="00667A9F">
      <w:pPr>
        <w:tabs>
          <w:tab w:val="clear" w:pos="567"/>
        </w:tabs>
        <w:spacing w:line="240" w:lineRule="auto"/>
        <w:rPr>
          <w:lang w:val="lt-LT" w:eastAsia="lt-LT" w:bidi="lt-LT"/>
        </w:rPr>
      </w:pPr>
    </w:p>
    <w:p w14:paraId="3CC0D50F" w14:textId="77777777" w:rsidR="00667A9F" w:rsidRPr="00667A9F" w:rsidRDefault="00667A9F" w:rsidP="00667A9F">
      <w:pPr>
        <w:spacing w:line="240" w:lineRule="auto"/>
        <w:rPr>
          <w:szCs w:val="22"/>
          <w:shd w:val="clear" w:color="auto" w:fill="CCCCCC"/>
          <w:lang w:val="lt-LT" w:eastAsia="lt-LT" w:bidi="lt-LT"/>
        </w:rPr>
      </w:pPr>
      <w:r w:rsidRPr="00667A9F">
        <w:rPr>
          <w:highlight w:val="lightGray"/>
          <w:lang w:val="lt-LT" w:eastAsia="lt-LT" w:bidi="lt-LT"/>
        </w:rPr>
        <w:t>2D brūkšninis kodas su nurodytu unikaliu identifikatoriumi.</w:t>
      </w:r>
    </w:p>
    <w:p w14:paraId="4CBA65D5" w14:textId="77777777" w:rsidR="00667A9F" w:rsidRPr="00667A9F" w:rsidRDefault="00667A9F" w:rsidP="00667A9F">
      <w:pPr>
        <w:spacing w:line="240" w:lineRule="auto"/>
        <w:rPr>
          <w:szCs w:val="22"/>
          <w:shd w:val="clear" w:color="auto" w:fill="CCCCCC"/>
          <w:lang w:val="lt-LT" w:eastAsia="lt-LT" w:bidi="lt-LT"/>
        </w:rPr>
      </w:pPr>
    </w:p>
    <w:p w14:paraId="25E17DDD" w14:textId="77777777" w:rsidR="00667A9F" w:rsidRPr="00667A9F" w:rsidRDefault="00667A9F" w:rsidP="00667A9F">
      <w:pPr>
        <w:tabs>
          <w:tab w:val="clear" w:pos="567"/>
        </w:tabs>
        <w:spacing w:line="240" w:lineRule="auto"/>
        <w:rPr>
          <w:lang w:val="lt-LT" w:eastAsia="lt-LT" w:bidi="lt-LT"/>
        </w:rPr>
      </w:pPr>
    </w:p>
    <w:p w14:paraId="56A646D3" w14:textId="77777777" w:rsidR="00667A9F" w:rsidRPr="00667A9F" w:rsidRDefault="00667A9F" w:rsidP="001E0858">
      <w:pPr>
        <w:keepNext/>
        <w:numPr>
          <w:ilvl w:val="0"/>
          <w:numId w:val="11"/>
        </w:numPr>
        <w:pBdr>
          <w:top w:val="single" w:sz="4" w:space="1" w:color="auto"/>
          <w:left w:val="single" w:sz="4" w:space="4" w:color="auto"/>
          <w:bottom w:val="single" w:sz="4" w:space="1" w:color="auto"/>
          <w:right w:val="single" w:sz="4" w:space="4" w:color="auto"/>
        </w:pBdr>
        <w:tabs>
          <w:tab w:val="clear" w:pos="567"/>
        </w:tabs>
        <w:spacing w:after="160" w:line="240" w:lineRule="auto"/>
        <w:ind w:left="0" w:firstLine="0"/>
        <w:contextualSpacing/>
        <w:outlineLvl w:val="0"/>
        <w:rPr>
          <w:i/>
          <w:lang w:val="lt-LT" w:eastAsia="lt-LT" w:bidi="lt-LT"/>
        </w:rPr>
      </w:pPr>
      <w:r w:rsidRPr="00667A9F">
        <w:rPr>
          <w:b/>
          <w:lang w:val="lt-LT" w:eastAsia="lt-LT" w:bidi="lt-LT"/>
        </w:rPr>
        <w:t>UNIKALUS IDENTIFIKATORIUS – ŽMONĖMS SUPRANTAMI DUOMENYS</w:t>
      </w:r>
    </w:p>
    <w:p w14:paraId="43F7E7B1" w14:textId="77777777" w:rsidR="00667A9F" w:rsidRPr="00667A9F" w:rsidRDefault="00667A9F" w:rsidP="00667A9F">
      <w:pPr>
        <w:tabs>
          <w:tab w:val="clear" w:pos="567"/>
        </w:tabs>
        <w:spacing w:line="240" w:lineRule="auto"/>
        <w:rPr>
          <w:lang w:val="lt-LT" w:eastAsia="lt-LT" w:bidi="lt-LT"/>
        </w:rPr>
      </w:pPr>
    </w:p>
    <w:p w14:paraId="18803F61" w14:textId="77777777" w:rsidR="00667A9F" w:rsidRPr="00667A9F" w:rsidRDefault="00667A9F" w:rsidP="00667A9F">
      <w:pPr>
        <w:rPr>
          <w:color w:val="008000"/>
          <w:szCs w:val="22"/>
          <w:lang w:val="lt-LT" w:eastAsia="lt-LT" w:bidi="lt-LT"/>
        </w:rPr>
      </w:pPr>
      <w:r w:rsidRPr="00667A9F">
        <w:rPr>
          <w:lang w:val="lt-LT" w:eastAsia="lt-LT" w:bidi="lt-LT"/>
        </w:rPr>
        <w:t>PC:</w:t>
      </w:r>
    </w:p>
    <w:p w14:paraId="0B0C2A0F" w14:textId="77777777" w:rsidR="00667A9F" w:rsidRPr="00667A9F" w:rsidRDefault="00667A9F" w:rsidP="00667A9F">
      <w:pPr>
        <w:rPr>
          <w:szCs w:val="22"/>
          <w:lang w:val="lt-LT" w:eastAsia="lt-LT" w:bidi="lt-LT"/>
        </w:rPr>
      </w:pPr>
      <w:r w:rsidRPr="00667A9F">
        <w:rPr>
          <w:lang w:val="lt-LT" w:eastAsia="lt-LT" w:bidi="lt-LT"/>
        </w:rPr>
        <w:t xml:space="preserve">SN: </w:t>
      </w:r>
    </w:p>
    <w:p w14:paraId="6CB62F4E" w14:textId="77777777" w:rsidR="00667A9F" w:rsidRPr="00667A9F" w:rsidRDefault="00667A9F" w:rsidP="00667A9F">
      <w:pPr>
        <w:rPr>
          <w:szCs w:val="22"/>
          <w:lang w:val="lt-LT" w:eastAsia="lt-LT" w:bidi="lt-LT"/>
        </w:rPr>
      </w:pPr>
      <w:r w:rsidRPr="00667A9F">
        <w:rPr>
          <w:lang w:val="lt-LT" w:eastAsia="lt-LT" w:bidi="lt-LT"/>
        </w:rPr>
        <w:t xml:space="preserve">NN: </w:t>
      </w:r>
    </w:p>
    <w:p w14:paraId="2441A379" w14:textId="77777777" w:rsidR="00667A9F" w:rsidRPr="00667A9F" w:rsidRDefault="00667A9F" w:rsidP="00667A9F">
      <w:pPr>
        <w:tabs>
          <w:tab w:val="clear" w:pos="567"/>
        </w:tabs>
        <w:spacing w:line="240" w:lineRule="auto"/>
        <w:rPr>
          <w:rFonts w:eastAsia="Calibri"/>
          <w:szCs w:val="22"/>
          <w:lang w:val="lt-LT"/>
        </w:rPr>
      </w:pPr>
    </w:p>
    <w:p w14:paraId="05290E3C" w14:textId="77777777" w:rsidR="00667A9F" w:rsidRPr="00667A9F" w:rsidRDefault="00667A9F" w:rsidP="00667A9F">
      <w:pPr>
        <w:tabs>
          <w:tab w:val="clear" w:pos="567"/>
        </w:tabs>
        <w:spacing w:line="240" w:lineRule="auto"/>
        <w:rPr>
          <w:rFonts w:eastAsia="Calibri"/>
          <w:b/>
          <w:szCs w:val="22"/>
          <w:lang w:val="lt-LT"/>
        </w:rPr>
      </w:pPr>
      <w:r w:rsidRPr="00667A9F">
        <w:rPr>
          <w:rFonts w:eastAsia="Calibri"/>
          <w:b/>
          <w:szCs w:val="22"/>
          <w:lang w:val="lt-LT"/>
        </w:rPr>
        <w:br w:type="page"/>
      </w:r>
    </w:p>
    <w:p w14:paraId="1313CCE5"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sidRPr="00E77F66">
        <w:rPr>
          <w:b/>
          <w:caps/>
          <w:noProof/>
          <w:lang w:val="lt-LT"/>
        </w:rPr>
        <w:lastRenderedPageBreak/>
        <w:t xml:space="preserve">Minimali informacija ant mažų </w:t>
      </w:r>
      <w:r w:rsidRPr="00E77F66">
        <w:rPr>
          <w:b/>
          <w:noProof/>
          <w:lang w:val="lt-LT"/>
        </w:rPr>
        <w:t>VIDINIŲ</w:t>
      </w:r>
      <w:r w:rsidRPr="00E77F66">
        <w:rPr>
          <w:bCs/>
          <w:noProof/>
          <w:lang w:val="lt-LT"/>
        </w:rPr>
        <w:t xml:space="preserve"> </w:t>
      </w:r>
      <w:r w:rsidRPr="00E77F66">
        <w:rPr>
          <w:b/>
          <w:caps/>
          <w:noProof/>
          <w:lang w:val="lt-LT"/>
        </w:rPr>
        <w:t>pakuočių</w:t>
      </w:r>
    </w:p>
    <w:p w14:paraId="79A83066"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p>
    <w:p w14:paraId="4455B6A2" w14:textId="4F64003C" w:rsidR="00E77F66" w:rsidRPr="00E77F66" w:rsidRDefault="006360C0" w:rsidP="00E77F66">
      <w:pPr>
        <w:pBdr>
          <w:top w:val="single" w:sz="4" w:space="1" w:color="auto"/>
          <w:left w:val="single" w:sz="4" w:space="4" w:color="auto"/>
          <w:bottom w:val="single" w:sz="4" w:space="1" w:color="auto"/>
          <w:right w:val="single" w:sz="4" w:space="4" w:color="auto"/>
        </w:pBdr>
        <w:tabs>
          <w:tab w:val="clear" w:pos="567"/>
        </w:tabs>
        <w:spacing w:line="240" w:lineRule="auto"/>
        <w:rPr>
          <w:b/>
          <w:noProof/>
          <w:lang w:val="lt-LT"/>
        </w:rPr>
      </w:pPr>
      <w:r>
        <w:rPr>
          <w:b/>
          <w:noProof/>
          <w:lang w:val="lt-LT"/>
        </w:rPr>
        <w:t>FLAKONO</w:t>
      </w:r>
      <w:r w:rsidR="00E77F66" w:rsidRPr="00E77F66">
        <w:rPr>
          <w:b/>
          <w:noProof/>
          <w:lang w:val="lt-LT"/>
        </w:rPr>
        <w:t xml:space="preserve"> ETIKETĖ </w:t>
      </w:r>
    </w:p>
    <w:p w14:paraId="274C4F2D" w14:textId="77777777" w:rsidR="00E77F66" w:rsidRPr="00E77F66" w:rsidRDefault="00E77F66" w:rsidP="00E77F66">
      <w:pPr>
        <w:tabs>
          <w:tab w:val="clear" w:pos="567"/>
        </w:tabs>
        <w:spacing w:line="240" w:lineRule="auto"/>
        <w:rPr>
          <w:noProof/>
          <w:lang w:val="lt-LT"/>
        </w:rPr>
      </w:pPr>
    </w:p>
    <w:p w14:paraId="35864186" w14:textId="77777777" w:rsidR="00E77F66" w:rsidRPr="00E77F66" w:rsidRDefault="00E77F66" w:rsidP="00E77F66">
      <w:pPr>
        <w:tabs>
          <w:tab w:val="clear" w:pos="567"/>
        </w:tabs>
        <w:spacing w:line="240" w:lineRule="auto"/>
        <w:rPr>
          <w:noProof/>
          <w:lang w:val="lt-LT"/>
        </w:rPr>
      </w:pPr>
    </w:p>
    <w:p w14:paraId="7A8C72CA"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E77F66">
        <w:rPr>
          <w:b/>
          <w:noProof/>
          <w:lang w:val="lt-LT"/>
        </w:rPr>
        <w:t>1.</w:t>
      </w:r>
      <w:r w:rsidRPr="00E77F66">
        <w:rPr>
          <w:b/>
          <w:noProof/>
          <w:lang w:val="lt-LT"/>
        </w:rPr>
        <w:tab/>
      </w:r>
      <w:r w:rsidRPr="00E77F66">
        <w:rPr>
          <w:b/>
          <w:caps/>
          <w:noProof/>
          <w:lang w:val="lt-LT"/>
        </w:rPr>
        <w:t>Vaistinio preparato pavadinimas ir vartojimo būdas (-ai)</w:t>
      </w:r>
    </w:p>
    <w:p w14:paraId="791CA9AA" w14:textId="77777777" w:rsidR="00E77F66" w:rsidRPr="00E77F66" w:rsidRDefault="00E77F66" w:rsidP="00E77F66">
      <w:pPr>
        <w:tabs>
          <w:tab w:val="clear" w:pos="567"/>
        </w:tabs>
        <w:spacing w:line="240" w:lineRule="auto"/>
        <w:ind w:left="567" w:hanging="567"/>
        <w:rPr>
          <w:noProof/>
          <w:lang w:val="lt-LT"/>
        </w:rPr>
      </w:pPr>
    </w:p>
    <w:p w14:paraId="5BA5C961" w14:textId="77777777" w:rsidR="00E77F66" w:rsidRPr="00736D2F" w:rsidRDefault="00E77F66" w:rsidP="00E77F66">
      <w:pPr>
        <w:shd w:val="clear" w:color="auto" w:fill="FFFFFF"/>
        <w:tabs>
          <w:tab w:val="clear" w:pos="567"/>
        </w:tabs>
        <w:spacing w:line="240" w:lineRule="auto"/>
        <w:rPr>
          <w:color w:val="222222"/>
          <w:szCs w:val="22"/>
          <w:lang w:val="lt-LT"/>
        </w:rPr>
      </w:pPr>
      <w:r w:rsidRPr="00736D2F">
        <w:rPr>
          <w:szCs w:val="22"/>
          <w:lang w:val="lt-LT"/>
        </w:rPr>
        <w:t xml:space="preserve">Cabazitaxel Teva </w:t>
      </w:r>
      <w:r w:rsidRPr="00736D2F">
        <w:rPr>
          <w:color w:val="222222"/>
          <w:szCs w:val="22"/>
          <w:lang w:val="lt-LT"/>
        </w:rPr>
        <w:t>10 mg/ml koncentratas infuziniam tirpalui</w:t>
      </w:r>
    </w:p>
    <w:p w14:paraId="022B7A5D" w14:textId="77777777" w:rsidR="00E77F66" w:rsidRPr="00667A9F" w:rsidRDefault="004B7C84" w:rsidP="00E77F66">
      <w:pPr>
        <w:tabs>
          <w:tab w:val="clear" w:pos="567"/>
        </w:tabs>
        <w:spacing w:line="240" w:lineRule="auto"/>
        <w:rPr>
          <w:rFonts w:eastAsia="Calibri"/>
          <w:szCs w:val="22"/>
          <w:lang w:val="lt-LT"/>
        </w:rPr>
      </w:pPr>
      <w:r>
        <w:rPr>
          <w:rFonts w:eastAsia="Calibri"/>
          <w:szCs w:val="22"/>
          <w:lang w:val="lt-LT"/>
        </w:rPr>
        <w:t>kabazitakselis</w:t>
      </w:r>
    </w:p>
    <w:p w14:paraId="5901F961" w14:textId="77777777" w:rsidR="004B7C84" w:rsidRPr="004B7C84" w:rsidRDefault="004B7C84" w:rsidP="004B7C84">
      <w:pPr>
        <w:spacing w:line="240" w:lineRule="auto"/>
        <w:rPr>
          <w:lang w:val="et-EE" w:eastAsia="et-EE" w:bidi="et-EE"/>
        </w:rPr>
      </w:pPr>
      <w:r w:rsidRPr="004B7C84">
        <w:rPr>
          <w:lang w:val="et-EE" w:eastAsia="et-EE" w:bidi="et-EE"/>
        </w:rPr>
        <w:t>i.v.</w:t>
      </w:r>
    </w:p>
    <w:p w14:paraId="3BC8F5E7" w14:textId="77777777" w:rsidR="00E77F66" w:rsidRPr="00E77F66" w:rsidRDefault="00E77F66" w:rsidP="00E77F66">
      <w:pPr>
        <w:tabs>
          <w:tab w:val="clear" w:pos="567"/>
        </w:tabs>
        <w:spacing w:line="240" w:lineRule="auto"/>
        <w:rPr>
          <w:noProof/>
          <w:lang w:val="lt-LT"/>
        </w:rPr>
      </w:pPr>
    </w:p>
    <w:p w14:paraId="278E6C78" w14:textId="77777777" w:rsidR="00E77F66" w:rsidRPr="00E77F66" w:rsidRDefault="00E77F66" w:rsidP="00E77F66">
      <w:pPr>
        <w:tabs>
          <w:tab w:val="clear" w:pos="567"/>
        </w:tabs>
        <w:spacing w:line="240" w:lineRule="auto"/>
        <w:rPr>
          <w:noProof/>
          <w:lang w:val="lt-LT"/>
        </w:rPr>
      </w:pPr>
    </w:p>
    <w:p w14:paraId="1DE4115C"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lt-LT"/>
        </w:rPr>
      </w:pPr>
      <w:r w:rsidRPr="00E77F66">
        <w:rPr>
          <w:b/>
          <w:noProof/>
          <w:lang w:val="lt-LT"/>
        </w:rPr>
        <w:t>2.</w:t>
      </w:r>
      <w:r w:rsidRPr="00E77F66">
        <w:rPr>
          <w:b/>
          <w:noProof/>
          <w:lang w:val="lt-LT"/>
        </w:rPr>
        <w:tab/>
      </w:r>
      <w:r w:rsidRPr="00E77F66">
        <w:rPr>
          <w:b/>
          <w:caps/>
          <w:noProof/>
          <w:lang w:val="lt-LT"/>
        </w:rPr>
        <w:t>vartojimo metodas</w:t>
      </w:r>
    </w:p>
    <w:p w14:paraId="517AC120" w14:textId="77777777" w:rsidR="00E77F66" w:rsidRPr="00E77F66" w:rsidRDefault="00E77F66" w:rsidP="00E77F66">
      <w:pPr>
        <w:tabs>
          <w:tab w:val="clear" w:pos="567"/>
        </w:tabs>
        <w:spacing w:line="240" w:lineRule="auto"/>
        <w:rPr>
          <w:noProof/>
          <w:lang w:val="lt-LT"/>
        </w:rPr>
      </w:pPr>
    </w:p>
    <w:p w14:paraId="6D4FC622" w14:textId="77777777" w:rsidR="00E77F66" w:rsidRPr="00E77F66" w:rsidRDefault="00E77F66" w:rsidP="00E77F66">
      <w:pPr>
        <w:tabs>
          <w:tab w:val="clear" w:pos="567"/>
        </w:tabs>
        <w:spacing w:line="240" w:lineRule="auto"/>
        <w:rPr>
          <w:noProof/>
          <w:lang w:val="lt-LT"/>
        </w:rPr>
      </w:pPr>
      <w:r>
        <w:rPr>
          <w:noProof/>
          <w:lang w:val="lt-LT"/>
        </w:rPr>
        <w:t>Prieš vartojimą praskiesti.</w:t>
      </w:r>
    </w:p>
    <w:p w14:paraId="2870FA91" w14:textId="77777777" w:rsidR="00E77F66" w:rsidRPr="00E77F66" w:rsidRDefault="00E77F66" w:rsidP="00E77F66">
      <w:pPr>
        <w:tabs>
          <w:tab w:val="clear" w:pos="567"/>
        </w:tabs>
        <w:spacing w:line="240" w:lineRule="auto"/>
        <w:rPr>
          <w:noProof/>
          <w:lang w:val="lt-LT"/>
        </w:rPr>
      </w:pPr>
    </w:p>
    <w:p w14:paraId="11495C07"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lt-LT"/>
        </w:rPr>
      </w:pPr>
      <w:r w:rsidRPr="00E77F66">
        <w:rPr>
          <w:b/>
          <w:noProof/>
          <w:lang w:val="lt-LT"/>
        </w:rPr>
        <w:t>3.</w:t>
      </w:r>
      <w:r w:rsidRPr="00E77F66">
        <w:rPr>
          <w:b/>
          <w:noProof/>
          <w:lang w:val="lt-LT"/>
        </w:rPr>
        <w:tab/>
      </w:r>
      <w:r w:rsidRPr="00E77F66">
        <w:rPr>
          <w:b/>
          <w:caps/>
          <w:noProof/>
          <w:lang w:val="lt-LT"/>
        </w:rPr>
        <w:t>tinkamumo laikas</w:t>
      </w:r>
    </w:p>
    <w:p w14:paraId="465C39BB" w14:textId="77777777" w:rsidR="00E77F66" w:rsidRPr="00E77F66" w:rsidRDefault="00E77F66" w:rsidP="00E77F66">
      <w:pPr>
        <w:tabs>
          <w:tab w:val="clear" w:pos="567"/>
        </w:tabs>
        <w:spacing w:line="240" w:lineRule="auto"/>
        <w:rPr>
          <w:noProof/>
          <w:lang w:val="lt-LT"/>
        </w:rPr>
      </w:pPr>
    </w:p>
    <w:p w14:paraId="5B1F95D2" w14:textId="77777777" w:rsidR="00E77F66" w:rsidRPr="00E77F66" w:rsidRDefault="00E77F66" w:rsidP="00E77F66">
      <w:pPr>
        <w:tabs>
          <w:tab w:val="clear" w:pos="567"/>
        </w:tabs>
        <w:spacing w:line="240" w:lineRule="auto"/>
        <w:rPr>
          <w:noProof/>
          <w:lang w:val="lt-LT"/>
        </w:rPr>
      </w:pPr>
      <w:r w:rsidRPr="00E77F66">
        <w:rPr>
          <w:noProof/>
          <w:lang w:val="lt-LT"/>
        </w:rPr>
        <w:t>EXP</w:t>
      </w:r>
      <w:r w:rsidR="00C3383F">
        <w:rPr>
          <w:noProof/>
          <w:lang w:val="lt-LT"/>
        </w:rPr>
        <w:t xml:space="preserve"> mm/MMMM</w:t>
      </w:r>
    </w:p>
    <w:p w14:paraId="65C37FCA" w14:textId="77777777" w:rsidR="00E77F66" w:rsidRPr="00E77F66" w:rsidRDefault="00E77F66" w:rsidP="00E77F66">
      <w:pPr>
        <w:tabs>
          <w:tab w:val="clear" w:pos="567"/>
        </w:tabs>
        <w:spacing w:line="240" w:lineRule="auto"/>
        <w:rPr>
          <w:noProof/>
          <w:lang w:val="lt-LT"/>
        </w:rPr>
      </w:pPr>
    </w:p>
    <w:p w14:paraId="180A54CF" w14:textId="77777777" w:rsidR="00E77F66" w:rsidRPr="00E77F66" w:rsidRDefault="00E77F66" w:rsidP="00E77F66">
      <w:pPr>
        <w:tabs>
          <w:tab w:val="clear" w:pos="567"/>
        </w:tabs>
        <w:spacing w:line="240" w:lineRule="auto"/>
        <w:rPr>
          <w:noProof/>
          <w:lang w:val="lt-LT"/>
        </w:rPr>
      </w:pPr>
    </w:p>
    <w:p w14:paraId="5F64364E"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lt-LT"/>
        </w:rPr>
      </w:pPr>
      <w:r w:rsidRPr="00E77F66">
        <w:rPr>
          <w:b/>
          <w:noProof/>
          <w:lang w:val="lt-LT"/>
        </w:rPr>
        <w:t>4.</w:t>
      </w:r>
      <w:r w:rsidRPr="00E77F66">
        <w:rPr>
          <w:b/>
          <w:noProof/>
          <w:lang w:val="lt-LT"/>
        </w:rPr>
        <w:tab/>
      </w:r>
      <w:r w:rsidRPr="00E77F66">
        <w:rPr>
          <w:b/>
          <w:caps/>
          <w:noProof/>
          <w:lang w:val="lt-LT"/>
        </w:rPr>
        <w:t>serijos numeris</w:t>
      </w:r>
    </w:p>
    <w:p w14:paraId="22843584" w14:textId="77777777" w:rsidR="00E77F66" w:rsidRPr="00E77F66" w:rsidRDefault="00E77F66" w:rsidP="00E77F66">
      <w:pPr>
        <w:tabs>
          <w:tab w:val="clear" w:pos="567"/>
        </w:tabs>
        <w:spacing w:line="240" w:lineRule="auto"/>
        <w:ind w:right="113"/>
        <w:rPr>
          <w:noProof/>
          <w:lang w:val="lt-LT"/>
        </w:rPr>
      </w:pPr>
    </w:p>
    <w:p w14:paraId="4505C100" w14:textId="77777777" w:rsidR="00E77F66" w:rsidRPr="00E77F66" w:rsidRDefault="00E77F66" w:rsidP="00E77F66">
      <w:pPr>
        <w:tabs>
          <w:tab w:val="clear" w:pos="567"/>
        </w:tabs>
        <w:spacing w:line="240" w:lineRule="auto"/>
        <w:ind w:right="113"/>
        <w:rPr>
          <w:noProof/>
          <w:lang w:val="lt-LT"/>
        </w:rPr>
      </w:pPr>
      <w:r w:rsidRPr="00E77F66">
        <w:rPr>
          <w:noProof/>
          <w:lang w:val="lt-LT"/>
        </w:rPr>
        <w:t>Lot</w:t>
      </w:r>
    </w:p>
    <w:p w14:paraId="08C9F1BF" w14:textId="77777777" w:rsidR="00E77F66" w:rsidRPr="00E77F66" w:rsidRDefault="00E77F66" w:rsidP="00E77F66">
      <w:pPr>
        <w:tabs>
          <w:tab w:val="clear" w:pos="567"/>
        </w:tabs>
        <w:spacing w:line="240" w:lineRule="auto"/>
        <w:ind w:right="113"/>
        <w:rPr>
          <w:noProof/>
          <w:lang w:val="lt-LT"/>
        </w:rPr>
      </w:pPr>
    </w:p>
    <w:p w14:paraId="464BF092" w14:textId="77777777" w:rsidR="00E77F66" w:rsidRPr="00E77F66" w:rsidRDefault="00E77F66" w:rsidP="00E77F66">
      <w:pPr>
        <w:tabs>
          <w:tab w:val="clear" w:pos="567"/>
        </w:tabs>
        <w:spacing w:line="240" w:lineRule="auto"/>
        <w:ind w:right="113"/>
        <w:rPr>
          <w:noProof/>
          <w:lang w:val="lt-LT"/>
        </w:rPr>
      </w:pPr>
    </w:p>
    <w:p w14:paraId="6A58F61D"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lt-LT"/>
        </w:rPr>
      </w:pPr>
      <w:r w:rsidRPr="00E77F66">
        <w:rPr>
          <w:b/>
          <w:noProof/>
          <w:lang w:val="lt-LT"/>
        </w:rPr>
        <w:t>5.</w:t>
      </w:r>
      <w:r w:rsidRPr="00E77F66">
        <w:rPr>
          <w:b/>
          <w:noProof/>
          <w:lang w:val="lt-LT"/>
        </w:rPr>
        <w:tab/>
      </w:r>
      <w:r w:rsidRPr="00E77F66">
        <w:rPr>
          <w:b/>
          <w:caps/>
          <w:noProof/>
          <w:lang w:val="lt-LT"/>
        </w:rPr>
        <w:t>kiekis</w:t>
      </w:r>
      <w:r w:rsidRPr="00E77F66">
        <w:rPr>
          <w:b/>
          <w:noProof/>
          <w:lang w:val="lt-LT"/>
        </w:rPr>
        <w:t xml:space="preserve"> (MASĖ, TŪRIS ARBA VIENETAI)</w:t>
      </w:r>
    </w:p>
    <w:p w14:paraId="71E6B802" w14:textId="77777777" w:rsidR="00E77F66" w:rsidRPr="00E77F66" w:rsidRDefault="00E77F66" w:rsidP="00E77F66">
      <w:pPr>
        <w:tabs>
          <w:tab w:val="clear" w:pos="567"/>
        </w:tabs>
        <w:spacing w:line="240" w:lineRule="auto"/>
        <w:ind w:right="113"/>
        <w:rPr>
          <w:noProof/>
          <w:lang w:val="lt-LT"/>
        </w:rPr>
      </w:pPr>
    </w:p>
    <w:p w14:paraId="3B2E2022" w14:textId="77777777" w:rsidR="00E77F66" w:rsidRPr="00E77F66" w:rsidRDefault="0084269B" w:rsidP="00E77F66">
      <w:pPr>
        <w:tabs>
          <w:tab w:val="clear" w:pos="567"/>
        </w:tabs>
        <w:spacing w:line="240" w:lineRule="auto"/>
        <w:ind w:right="113"/>
        <w:rPr>
          <w:noProof/>
          <w:lang w:val="lt-LT"/>
        </w:rPr>
      </w:pPr>
      <w:r>
        <w:rPr>
          <w:noProof/>
          <w:lang w:val="lt-LT"/>
        </w:rPr>
        <w:t>60 mg / 6 ml</w:t>
      </w:r>
    </w:p>
    <w:p w14:paraId="7393987B" w14:textId="77777777" w:rsidR="00E77F66" w:rsidRPr="00E77F66" w:rsidRDefault="00E77F66" w:rsidP="00E77F66">
      <w:pPr>
        <w:tabs>
          <w:tab w:val="clear" w:pos="567"/>
        </w:tabs>
        <w:spacing w:line="240" w:lineRule="auto"/>
        <w:ind w:right="113"/>
        <w:rPr>
          <w:noProof/>
          <w:lang w:val="lt-LT"/>
        </w:rPr>
      </w:pPr>
    </w:p>
    <w:p w14:paraId="004DA89D" w14:textId="77777777" w:rsidR="00E77F66" w:rsidRPr="00E77F66" w:rsidRDefault="00E77F66" w:rsidP="00E77F66">
      <w:pPr>
        <w:tabs>
          <w:tab w:val="clear" w:pos="567"/>
        </w:tabs>
        <w:spacing w:line="240" w:lineRule="auto"/>
        <w:ind w:right="113"/>
        <w:rPr>
          <w:noProof/>
          <w:lang w:val="lt-LT"/>
        </w:rPr>
      </w:pPr>
    </w:p>
    <w:p w14:paraId="3E4A4150" w14:textId="77777777" w:rsidR="00E77F66" w:rsidRPr="00E77F66" w:rsidRDefault="00E77F66" w:rsidP="00E77F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lang w:val="lt-LT"/>
        </w:rPr>
      </w:pPr>
      <w:r w:rsidRPr="00E77F66">
        <w:rPr>
          <w:b/>
          <w:noProof/>
          <w:lang w:val="lt-LT"/>
        </w:rPr>
        <w:t>6.</w:t>
      </w:r>
      <w:r w:rsidRPr="00E77F66">
        <w:rPr>
          <w:b/>
          <w:noProof/>
          <w:lang w:val="lt-LT"/>
        </w:rPr>
        <w:tab/>
        <w:t>KITA</w:t>
      </w:r>
    </w:p>
    <w:p w14:paraId="41B86F55" w14:textId="77777777" w:rsidR="00E77F66" w:rsidRPr="00E77F66" w:rsidRDefault="00E77F66" w:rsidP="00E77F66">
      <w:pPr>
        <w:tabs>
          <w:tab w:val="clear" w:pos="567"/>
        </w:tabs>
        <w:spacing w:line="240" w:lineRule="auto"/>
        <w:rPr>
          <w:noProof/>
          <w:lang w:val="lt-LT"/>
        </w:rPr>
      </w:pPr>
    </w:p>
    <w:p w14:paraId="5B93ECDD" w14:textId="77777777" w:rsidR="00667A9F" w:rsidRPr="0093594E" w:rsidRDefault="0093594E" w:rsidP="00667A9F">
      <w:pPr>
        <w:tabs>
          <w:tab w:val="clear" w:pos="567"/>
        </w:tabs>
        <w:spacing w:line="240" w:lineRule="auto"/>
        <w:rPr>
          <w:rFonts w:eastAsia="Calibri"/>
          <w:szCs w:val="22"/>
          <w:lang w:val="lt-LT"/>
        </w:rPr>
      </w:pPr>
      <w:r w:rsidRPr="0093594E">
        <w:rPr>
          <w:noProof/>
          <w:lang w:val="lt-LT"/>
        </w:rPr>
        <w:t>Citotoksinis</w:t>
      </w:r>
      <w:r w:rsidR="00E77F66" w:rsidRPr="0093594E">
        <w:rPr>
          <w:noProof/>
          <w:lang w:val="lt-LT"/>
        </w:rPr>
        <w:br w:type="page"/>
      </w:r>
    </w:p>
    <w:p w14:paraId="54F2C415" w14:textId="77777777" w:rsidR="00667A9F" w:rsidRPr="00667A9F" w:rsidRDefault="00667A9F" w:rsidP="00667A9F">
      <w:pPr>
        <w:tabs>
          <w:tab w:val="clear" w:pos="567"/>
        </w:tabs>
        <w:spacing w:line="240" w:lineRule="auto"/>
        <w:rPr>
          <w:rFonts w:eastAsia="Calibri"/>
          <w:szCs w:val="22"/>
          <w:lang w:val="lt-LT"/>
        </w:rPr>
      </w:pPr>
    </w:p>
    <w:p w14:paraId="005945C1" w14:textId="77777777" w:rsidR="00667A9F" w:rsidRPr="00667A9F" w:rsidRDefault="00667A9F" w:rsidP="00667A9F">
      <w:pPr>
        <w:tabs>
          <w:tab w:val="clear" w:pos="567"/>
        </w:tabs>
        <w:spacing w:line="240" w:lineRule="auto"/>
        <w:rPr>
          <w:rFonts w:eastAsia="Calibri"/>
          <w:szCs w:val="22"/>
          <w:lang w:val="lt-LT"/>
        </w:rPr>
      </w:pPr>
    </w:p>
    <w:p w14:paraId="7BD5B4B5" w14:textId="77777777" w:rsidR="00667A9F" w:rsidRPr="00667A9F" w:rsidRDefault="00667A9F" w:rsidP="00667A9F">
      <w:pPr>
        <w:spacing w:line="240" w:lineRule="auto"/>
        <w:ind w:left="357" w:hanging="357"/>
        <w:jc w:val="center"/>
        <w:outlineLvl w:val="0"/>
        <w:rPr>
          <w:rFonts w:eastAsia="Calibri"/>
          <w:b/>
          <w:caps/>
          <w:szCs w:val="22"/>
          <w:lang w:val="lt-LT"/>
        </w:rPr>
      </w:pPr>
    </w:p>
    <w:p w14:paraId="50827B6A" w14:textId="77777777" w:rsidR="00667A9F" w:rsidRPr="00667A9F" w:rsidRDefault="00667A9F" w:rsidP="00667A9F">
      <w:pPr>
        <w:spacing w:line="240" w:lineRule="auto"/>
        <w:ind w:left="357" w:hanging="357"/>
        <w:jc w:val="center"/>
        <w:outlineLvl w:val="0"/>
        <w:rPr>
          <w:rFonts w:eastAsia="Calibri"/>
          <w:b/>
          <w:caps/>
          <w:szCs w:val="22"/>
          <w:lang w:val="lt-LT"/>
        </w:rPr>
      </w:pPr>
    </w:p>
    <w:p w14:paraId="38C57CE1" w14:textId="77777777" w:rsidR="00667A9F" w:rsidRPr="00667A9F" w:rsidRDefault="00667A9F" w:rsidP="00667A9F">
      <w:pPr>
        <w:spacing w:line="240" w:lineRule="auto"/>
        <w:ind w:left="357" w:hanging="357"/>
        <w:jc w:val="center"/>
        <w:outlineLvl w:val="0"/>
        <w:rPr>
          <w:rFonts w:eastAsia="Calibri"/>
          <w:b/>
          <w:caps/>
          <w:szCs w:val="22"/>
          <w:lang w:val="lt-LT"/>
        </w:rPr>
      </w:pPr>
    </w:p>
    <w:p w14:paraId="0B54A8BF" w14:textId="77777777" w:rsidR="00667A9F" w:rsidRPr="00667A9F" w:rsidRDefault="00667A9F" w:rsidP="00667A9F">
      <w:pPr>
        <w:spacing w:line="240" w:lineRule="auto"/>
        <w:ind w:left="357" w:hanging="357"/>
        <w:jc w:val="center"/>
        <w:outlineLvl w:val="0"/>
        <w:rPr>
          <w:rFonts w:eastAsia="Calibri"/>
          <w:b/>
          <w:caps/>
          <w:szCs w:val="22"/>
          <w:lang w:val="lt-LT"/>
        </w:rPr>
      </w:pPr>
    </w:p>
    <w:p w14:paraId="49DA552B" w14:textId="77777777" w:rsidR="00667A9F" w:rsidRPr="00667A9F" w:rsidRDefault="00667A9F" w:rsidP="00667A9F">
      <w:pPr>
        <w:spacing w:line="240" w:lineRule="auto"/>
        <w:ind w:left="357" w:hanging="357"/>
        <w:jc w:val="center"/>
        <w:outlineLvl w:val="0"/>
        <w:rPr>
          <w:rFonts w:eastAsia="Calibri"/>
          <w:b/>
          <w:caps/>
          <w:szCs w:val="22"/>
          <w:lang w:val="lt-LT"/>
        </w:rPr>
      </w:pPr>
    </w:p>
    <w:p w14:paraId="58022BC9" w14:textId="77777777" w:rsidR="00667A9F" w:rsidRPr="00667A9F" w:rsidRDefault="00667A9F" w:rsidP="00667A9F">
      <w:pPr>
        <w:spacing w:line="240" w:lineRule="auto"/>
        <w:ind w:left="357" w:hanging="357"/>
        <w:jc w:val="center"/>
        <w:outlineLvl w:val="0"/>
        <w:rPr>
          <w:rFonts w:eastAsia="Calibri"/>
          <w:b/>
          <w:caps/>
          <w:szCs w:val="22"/>
          <w:lang w:val="lt-LT"/>
        </w:rPr>
      </w:pPr>
    </w:p>
    <w:p w14:paraId="66569DB3" w14:textId="77777777" w:rsidR="00667A9F" w:rsidRPr="00667A9F" w:rsidRDefault="00667A9F" w:rsidP="00667A9F">
      <w:pPr>
        <w:spacing w:line="240" w:lineRule="auto"/>
        <w:ind w:left="357" w:hanging="357"/>
        <w:jc w:val="center"/>
        <w:outlineLvl w:val="0"/>
        <w:rPr>
          <w:rFonts w:eastAsia="Calibri"/>
          <w:b/>
          <w:caps/>
          <w:szCs w:val="22"/>
          <w:lang w:val="lt-LT"/>
        </w:rPr>
      </w:pPr>
    </w:p>
    <w:p w14:paraId="23ECDA82" w14:textId="77777777" w:rsidR="00667A9F" w:rsidRPr="00667A9F" w:rsidRDefault="00667A9F" w:rsidP="00667A9F">
      <w:pPr>
        <w:spacing w:line="240" w:lineRule="auto"/>
        <w:ind w:left="357" w:hanging="357"/>
        <w:jc w:val="center"/>
        <w:outlineLvl w:val="0"/>
        <w:rPr>
          <w:rFonts w:eastAsia="Calibri"/>
          <w:b/>
          <w:caps/>
          <w:szCs w:val="22"/>
          <w:lang w:val="lt-LT"/>
        </w:rPr>
      </w:pPr>
    </w:p>
    <w:p w14:paraId="50877814" w14:textId="77777777" w:rsidR="00667A9F" w:rsidRPr="00667A9F" w:rsidRDefault="00667A9F" w:rsidP="00667A9F">
      <w:pPr>
        <w:spacing w:line="240" w:lineRule="auto"/>
        <w:ind w:left="357" w:hanging="357"/>
        <w:jc w:val="center"/>
        <w:outlineLvl w:val="0"/>
        <w:rPr>
          <w:rFonts w:eastAsia="Calibri"/>
          <w:b/>
          <w:caps/>
          <w:szCs w:val="22"/>
          <w:lang w:val="lt-LT"/>
        </w:rPr>
      </w:pPr>
    </w:p>
    <w:p w14:paraId="781682B6" w14:textId="77777777" w:rsidR="00667A9F" w:rsidRPr="00667A9F" w:rsidRDefault="00667A9F" w:rsidP="00667A9F">
      <w:pPr>
        <w:spacing w:line="240" w:lineRule="auto"/>
        <w:ind w:left="357" w:hanging="357"/>
        <w:jc w:val="center"/>
        <w:outlineLvl w:val="0"/>
        <w:rPr>
          <w:rFonts w:eastAsia="Calibri"/>
          <w:b/>
          <w:caps/>
          <w:szCs w:val="22"/>
          <w:lang w:val="lt-LT"/>
        </w:rPr>
      </w:pPr>
    </w:p>
    <w:p w14:paraId="12A16C18" w14:textId="77777777" w:rsidR="00667A9F" w:rsidRPr="00667A9F" w:rsidRDefault="00667A9F" w:rsidP="00667A9F">
      <w:pPr>
        <w:spacing w:line="240" w:lineRule="auto"/>
        <w:ind w:left="357" w:hanging="357"/>
        <w:jc w:val="center"/>
        <w:outlineLvl w:val="0"/>
        <w:rPr>
          <w:rFonts w:eastAsia="Calibri"/>
          <w:b/>
          <w:caps/>
          <w:szCs w:val="22"/>
          <w:lang w:val="lt-LT"/>
        </w:rPr>
      </w:pPr>
    </w:p>
    <w:p w14:paraId="55BC7E74" w14:textId="77777777" w:rsidR="00667A9F" w:rsidRPr="00667A9F" w:rsidRDefault="00667A9F" w:rsidP="00667A9F">
      <w:pPr>
        <w:spacing w:line="240" w:lineRule="auto"/>
        <w:ind w:left="357" w:hanging="357"/>
        <w:jc w:val="center"/>
        <w:outlineLvl w:val="0"/>
        <w:rPr>
          <w:rFonts w:eastAsia="Calibri"/>
          <w:b/>
          <w:caps/>
          <w:szCs w:val="22"/>
          <w:lang w:val="lt-LT"/>
        </w:rPr>
      </w:pPr>
    </w:p>
    <w:p w14:paraId="3B4C08A6" w14:textId="77777777" w:rsidR="00667A9F" w:rsidRPr="00667A9F" w:rsidRDefault="00667A9F" w:rsidP="00667A9F">
      <w:pPr>
        <w:spacing w:line="240" w:lineRule="auto"/>
        <w:ind w:left="357" w:hanging="357"/>
        <w:jc w:val="center"/>
        <w:outlineLvl w:val="0"/>
        <w:rPr>
          <w:rFonts w:eastAsia="Calibri"/>
          <w:b/>
          <w:caps/>
          <w:szCs w:val="22"/>
          <w:lang w:val="lt-LT"/>
        </w:rPr>
      </w:pPr>
    </w:p>
    <w:p w14:paraId="6EF4A058" w14:textId="77777777" w:rsidR="00667A9F" w:rsidRPr="00667A9F" w:rsidRDefault="00667A9F" w:rsidP="00667A9F">
      <w:pPr>
        <w:spacing w:line="240" w:lineRule="auto"/>
        <w:ind w:left="357" w:hanging="357"/>
        <w:jc w:val="center"/>
        <w:outlineLvl w:val="0"/>
        <w:rPr>
          <w:rFonts w:eastAsia="Calibri"/>
          <w:b/>
          <w:caps/>
          <w:szCs w:val="22"/>
          <w:lang w:val="lt-LT"/>
        </w:rPr>
      </w:pPr>
    </w:p>
    <w:p w14:paraId="39B83A38" w14:textId="77777777" w:rsidR="00667A9F" w:rsidRPr="00667A9F" w:rsidRDefault="00667A9F" w:rsidP="00667A9F">
      <w:pPr>
        <w:spacing w:line="240" w:lineRule="auto"/>
        <w:ind w:left="357" w:hanging="357"/>
        <w:jc w:val="center"/>
        <w:outlineLvl w:val="0"/>
        <w:rPr>
          <w:rFonts w:eastAsia="Calibri"/>
          <w:b/>
          <w:caps/>
          <w:szCs w:val="22"/>
          <w:lang w:val="lt-LT"/>
        </w:rPr>
      </w:pPr>
    </w:p>
    <w:p w14:paraId="6B9E3FB2" w14:textId="77777777" w:rsidR="00667A9F" w:rsidRPr="00667A9F" w:rsidRDefault="00667A9F" w:rsidP="00667A9F">
      <w:pPr>
        <w:spacing w:line="240" w:lineRule="auto"/>
        <w:ind w:left="357" w:hanging="357"/>
        <w:jc w:val="center"/>
        <w:outlineLvl w:val="0"/>
        <w:rPr>
          <w:rFonts w:eastAsia="Calibri"/>
          <w:b/>
          <w:caps/>
          <w:szCs w:val="22"/>
          <w:lang w:val="lt-LT"/>
        </w:rPr>
      </w:pPr>
    </w:p>
    <w:p w14:paraId="30FE8933" w14:textId="77777777" w:rsidR="00667A9F" w:rsidRPr="00667A9F" w:rsidRDefault="00667A9F" w:rsidP="00667A9F">
      <w:pPr>
        <w:spacing w:line="240" w:lineRule="auto"/>
        <w:ind w:left="357" w:hanging="357"/>
        <w:jc w:val="center"/>
        <w:outlineLvl w:val="0"/>
        <w:rPr>
          <w:rFonts w:eastAsia="Calibri"/>
          <w:b/>
          <w:caps/>
          <w:szCs w:val="22"/>
          <w:lang w:val="lt-LT"/>
        </w:rPr>
      </w:pPr>
    </w:p>
    <w:p w14:paraId="2FE234FB" w14:textId="77777777" w:rsidR="00667A9F" w:rsidRPr="00667A9F" w:rsidRDefault="00667A9F" w:rsidP="00667A9F">
      <w:pPr>
        <w:spacing w:line="240" w:lineRule="auto"/>
        <w:ind w:left="357" w:hanging="357"/>
        <w:jc w:val="center"/>
        <w:outlineLvl w:val="0"/>
        <w:rPr>
          <w:rFonts w:eastAsia="Calibri"/>
          <w:b/>
          <w:caps/>
          <w:szCs w:val="22"/>
          <w:lang w:val="lt-LT"/>
        </w:rPr>
      </w:pPr>
    </w:p>
    <w:p w14:paraId="141757A7" w14:textId="77777777" w:rsidR="00667A9F" w:rsidRPr="00667A9F" w:rsidRDefault="00667A9F" w:rsidP="00667A9F">
      <w:pPr>
        <w:spacing w:line="240" w:lineRule="auto"/>
        <w:ind w:left="357" w:hanging="357"/>
        <w:jc w:val="center"/>
        <w:outlineLvl w:val="0"/>
        <w:rPr>
          <w:rFonts w:eastAsia="Calibri"/>
          <w:b/>
          <w:caps/>
          <w:szCs w:val="22"/>
          <w:lang w:val="lt-LT"/>
        </w:rPr>
      </w:pPr>
    </w:p>
    <w:p w14:paraId="5E8A6CAB" w14:textId="77777777" w:rsidR="00667A9F" w:rsidRPr="00667A9F" w:rsidRDefault="00667A9F" w:rsidP="00667A9F">
      <w:pPr>
        <w:spacing w:line="240" w:lineRule="auto"/>
        <w:ind w:left="357" w:hanging="357"/>
        <w:jc w:val="center"/>
        <w:outlineLvl w:val="0"/>
        <w:rPr>
          <w:rFonts w:eastAsia="Calibri"/>
          <w:b/>
          <w:caps/>
          <w:szCs w:val="22"/>
          <w:lang w:val="lt-LT"/>
        </w:rPr>
      </w:pPr>
    </w:p>
    <w:p w14:paraId="7F77D580" w14:textId="77777777" w:rsidR="00667A9F" w:rsidRPr="00667A9F" w:rsidRDefault="00667A9F" w:rsidP="00667A9F">
      <w:pPr>
        <w:spacing w:line="240" w:lineRule="auto"/>
        <w:ind w:left="357" w:hanging="357"/>
        <w:jc w:val="center"/>
        <w:outlineLvl w:val="0"/>
        <w:rPr>
          <w:rFonts w:eastAsia="Calibri"/>
          <w:b/>
          <w:caps/>
          <w:szCs w:val="22"/>
          <w:lang w:val="lt-LT"/>
        </w:rPr>
      </w:pPr>
    </w:p>
    <w:p w14:paraId="33469998" w14:textId="77777777" w:rsidR="00667A9F" w:rsidRPr="00667A9F" w:rsidRDefault="00667A9F" w:rsidP="00667A9F">
      <w:pPr>
        <w:spacing w:line="240" w:lineRule="auto"/>
        <w:ind w:left="357" w:hanging="357"/>
        <w:jc w:val="center"/>
        <w:outlineLvl w:val="0"/>
        <w:rPr>
          <w:rFonts w:eastAsia="Calibri"/>
          <w:b/>
          <w:caps/>
          <w:szCs w:val="22"/>
          <w:lang w:val="lt-LT"/>
        </w:rPr>
      </w:pPr>
      <w:r w:rsidRPr="00667A9F">
        <w:rPr>
          <w:rFonts w:eastAsia="Calibri"/>
          <w:b/>
          <w:caps/>
          <w:szCs w:val="22"/>
          <w:lang w:val="lt-LT"/>
        </w:rPr>
        <w:t>B. PAKUOTĖS LAPELIS</w:t>
      </w:r>
    </w:p>
    <w:p w14:paraId="367F2D11" w14:textId="77777777" w:rsidR="00667A9F" w:rsidRPr="00736D2F" w:rsidRDefault="00667A9F" w:rsidP="00667A9F">
      <w:pPr>
        <w:spacing w:line="240" w:lineRule="auto"/>
        <w:rPr>
          <w:szCs w:val="22"/>
          <w:lang w:val="lt-LT"/>
        </w:rPr>
      </w:pPr>
      <w:r w:rsidRPr="00667A9F">
        <w:rPr>
          <w:rFonts w:eastAsia="Calibri"/>
          <w:b/>
          <w:caps/>
          <w:sz w:val="26"/>
          <w:szCs w:val="22"/>
          <w:lang w:val="lt-LT"/>
        </w:rPr>
        <w:br w:type="page"/>
      </w:r>
    </w:p>
    <w:p w14:paraId="47F0BEA4" w14:textId="77777777" w:rsidR="0084269B" w:rsidRPr="0084269B" w:rsidRDefault="0084269B" w:rsidP="0084269B">
      <w:pPr>
        <w:tabs>
          <w:tab w:val="clear" w:pos="567"/>
          <w:tab w:val="left" w:pos="720"/>
        </w:tabs>
        <w:spacing w:line="240" w:lineRule="auto"/>
        <w:ind w:right="-22"/>
        <w:jc w:val="center"/>
        <w:outlineLvl w:val="0"/>
        <w:rPr>
          <w:noProof/>
          <w:lang w:val="lt-LT" w:eastAsia="lt-LT" w:bidi="lt-LT"/>
        </w:rPr>
      </w:pPr>
      <w:r w:rsidRPr="0084269B">
        <w:rPr>
          <w:b/>
          <w:noProof/>
          <w:lang w:val="lt-LT" w:eastAsia="lt-LT" w:bidi="lt-LT"/>
        </w:rPr>
        <w:lastRenderedPageBreak/>
        <w:t>Pakuotės lapelis: informacija pacientui</w:t>
      </w:r>
    </w:p>
    <w:p w14:paraId="79CE6EC5" w14:textId="77777777" w:rsidR="0084269B" w:rsidRPr="0084269B" w:rsidRDefault="0084269B" w:rsidP="0084269B">
      <w:pPr>
        <w:numPr>
          <w:ilvl w:val="12"/>
          <w:numId w:val="0"/>
        </w:numPr>
        <w:shd w:val="clear" w:color="auto" w:fill="FFFFFF"/>
        <w:tabs>
          <w:tab w:val="clear" w:pos="567"/>
          <w:tab w:val="left" w:pos="720"/>
        </w:tabs>
        <w:spacing w:line="240" w:lineRule="auto"/>
        <w:ind w:right="-22"/>
        <w:jc w:val="center"/>
        <w:rPr>
          <w:noProof/>
          <w:lang w:val="lt-LT" w:eastAsia="lt-LT" w:bidi="lt-LT"/>
        </w:rPr>
      </w:pPr>
    </w:p>
    <w:p w14:paraId="7F7C698F" w14:textId="77777777" w:rsidR="0084269B" w:rsidRPr="0084269B" w:rsidRDefault="0084269B" w:rsidP="0084269B">
      <w:pPr>
        <w:shd w:val="clear" w:color="auto" w:fill="FFFFFF"/>
        <w:tabs>
          <w:tab w:val="clear" w:pos="567"/>
          <w:tab w:val="left" w:pos="720"/>
        </w:tabs>
        <w:spacing w:line="240" w:lineRule="auto"/>
        <w:ind w:right="-22"/>
        <w:jc w:val="center"/>
        <w:rPr>
          <w:b/>
          <w:color w:val="222222"/>
          <w:szCs w:val="22"/>
          <w:lang w:val="lt-LT"/>
        </w:rPr>
      </w:pPr>
      <w:r w:rsidRPr="0084269B">
        <w:rPr>
          <w:b/>
          <w:szCs w:val="22"/>
          <w:lang w:val="lt-LT" w:eastAsia="lt-LT" w:bidi="lt-LT"/>
        </w:rPr>
        <w:t xml:space="preserve">Cabazitaxel Teva </w:t>
      </w:r>
      <w:r w:rsidRPr="0084269B">
        <w:rPr>
          <w:b/>
          <w:color w:val="222222"/>
          <w:szCs w:val="22"/>
          <w:lang w:val="lt-LT" w:eastAsia="lt-LT" w:bidi="lt-LT"/>
        </w:rPr>
        <w:t>10 mg/ml koncentratas infuziniam tirpalui</w:t>
      </w:r>
    </w:p>
    <w:p w14:paraId="62EA85AA" w14:textId="77777777" w:rsidR="0084269B" w:rsidRPr="0084269B" w:rsidRDefault="0084269B" w:rsidP="0084269B">
      <w:pPr>
        <w:numPr>
          <w:ilvl w:val="12"/>
          <w:numId w:val="0"/>
        </w:numPr>
        <w:tabs>
          <w:tab w:val="clear" w:pos="567"/>
          <w:tab w:val="left" w:pos="720"/>
        </w:tabs>
        <w:spacing w:line="240" w:lineRule="auto"/>
        <w:ind w:right="-22"/>
        <w:jc w:val="center"/>
        <w:rPr>
          <w:noProof/>
          <w:lang w:val="lt-LT" w:eastAsia="lt-LT" w:bidi="lt-LT"/>
        </w:rPr>
      </w:pPr>
      <w:r w:rsidRPr="0084269B">
        <w:rPr>
          <w:lang w:val="lt-LT" w:eastAsia="lt-LT" w:bidi="lt-LT"/>
        </w:rPr>
        <w:t>Kabazitakselis</w:t>
      </w:r>
    </w:p>
    <w:p w14:paraId="5A16A831" w14:textId="77777777" w:rsidR="0084269B" w:rsidRPr="0084269B" w:rsidRDefault="0084269B" w:rsidP="0084269B">
      <w:pPr>
        <w:tabs>
          <w:tab w:val="clear" w:pos="567"/>
          <w:tab w:val="left" w:pos="720"/>
        </w:tabs>
        <w:spacing w:line="240" w:lineRule="auto"/>
        <w:ind w:right="-22"/>
        <w:rPr>
          <w:lang w:val="lt-LT" w:eastAsia="lt-LT" w:bidi="lt-LT"/>
        </w:rPr>
      </w:pPr>
    </w:p>
    <w:p w14:paraId="323F4D0C" w14:textId="77777777" w:rsidR="0084269B" w:rsidRPr="0084269B" w:rsidRDefault="0084269B" w:rsidP="0084269B">
      <w:pPr>
        <w:tabs>
          <w:tab w:val="clear" w:pos="567"/>
          <w:tab w:val="left" w:pos="720"/>
        </w:tabs>
        <w:spacing w:line="240" w:lineRule="auto"/>
        <w:ind w:right="-22"/>
        <w:rPr>
          <w:lang w:val="lt-LT" w:eastAsia="lt-LT" w:bidi="lt-LT"/>
        </w:rPr>
      </w:pPr>
      <w:r w:rsidRPr="0084269B">
        <w:rPr>
          <w:lang w:val="lt-LT" w:eastAsia="lt-LT" w:bidi="lt-LT"/>
        </w:rPr>
        <w:t xml:space="preserve">Atidžiai perskaitykite visą šį lapelį, prieš pradėdami vartoti vaistą, nes jame pateikiama Jums svarbi informacija. </w:t>
      </w:r>
    </w:p>
    <w:p w14:paraId="417B98C1" w14:textId="77777777" w:rsidR="0084269B" w:rsidRPr="0084269B" w:rsidRDefault="0084269B" w:rsidP="0084269B">
      <w:pPr>
        <w:numPr>
          <w:ilvl w:val="0"/>
          <w:numId w:val="15"/>
        </w:numPr>
        <w:spacing w:line="240" w:lineRule="auto"/>
        <w:ind w:left="567" w:right="-22" w:hanging="567"/>
        <w:contextualSpacing/>
        <w:rPr>
          <w:lang w:val="lt-LT" w:eastAsia="lt-LT" w:bidi="lt-LT"/>
        </w:rPr>
      </w:pPr>
      <w:r w:rsidRPr="0084269B">
        <w:rPr>
          <w:lang w:val="lt-LT" w:eastAsia="lt-LT" w:bidi="lt-LT"/>
        </w:rPr>
        <w:t xml:space="preserve">Neišmeskite šio lapelio, nes vėl gali prireikti jį perskaityti. </w:t>
      </w:r>
    </w:p>
    <w:p w14:paraId="3DA00452" w14:textId="77777777" w:rsidR="0084269B" w:rsidRPr="0084269B" w:rsidRDefault="0084269B" w:rsidP="0084269B">
      <w:pPr>
        <w:numPr>
          <w:ilvl w:val="0"/>
          <w:numId w:val="15"/>
        </w:numPr>
        <w:spacing w:line="240" w:lineRule="auto"/>
        <w:ind w:left="567" w:right="-22" w:hanging="567"/>
        <w:contextualSpacing/>
        <w:rPr>
          <w:lang w:val="lt-LT" w:eastAsia="lt-LT" w:bidi="lt-LT"/>
        </w:rPr>
      </w:pPr>
      <w:r w:rsidRPr="0084269B">
        <w:rPr>
          <w:lang w:val="lt-LT" w:eastAsia="lt-LT" w:bidi="lt-LT"/>
        </w:rPr>
        <w:t>Jeigu kiltų daugiau klausimų, kreipkitės į gydytoją, vaistininką arba slaugytoją.</w:t>
      </w:r>
    </w:p>
    <w:p w14:paraId="3ED2A052" w14:textId="77777777" w:rsidR="0084269B" w:rsidRPr="0084269B" w:rsidRDefault="0084269B" w:rsidP="0084269B">
      <w:pPr>
        <w:numPr>
          <w:ilvl w:val="0"/>
          <w:numId w:val="15"/>
        </w:numPr>
        <w:spacing w:line="240" w:lineRule="auto"/>
        <w:ind w:left="567" w:right="-22" w:hanging="567"/>
        <w:contextualSpacing/>
        <w:rPr>
          <w:noProof/>
          <w:lang w:val="lt-LT" w:eastAsia="lt-LT" w:bidi="lt-LT"/>
        </w:rPr>
      </w:pPr>
      <w:r w:rsidRPr="0084269B">
        <w:rPr>
          <w:lang w:val="lt-LT" w:eastAsia="lt-LT" w:bidi="lt-LT"/>
        </w:rPr>
        <w:t>Jeigu pasireiškė šalutinis poveikis (net jeigu jis šiame lapelyje nenurodytas), kreipkitės į gydytoją, vaistininką arba slaugytoją. Žr. 4 skyrių</w:t>
      </w:r>
    </w:p>
    <w:p w14:paraId="315D3E29" w14:textId="77777777" w:rsidR="0084269B" w:rsidRPr="0084269B" w:rsidRDefault="0084269B" w:rsidP="0084269B">
      <w:pPr>
        <w:keepNext/>
        <w:numPr>
          <w:ilvl w:val="12"/>
          <w:numId w:val="0"/>
        </w:numPr>
        <w:spacing w:line="240" w:lineRule="auto"/>
        <w:ind w:left="567" w:right="-22" w:hanging="567"/>
        <w:outlineLvl w:val="0"/>
        <w:rPr>
          <w:b/>
          <w:lang w:val="lt-LT" w:eastAsia="lt-LT" w:bidi="lt-LT"/>
        </w:rPr>
      </w:pPr>
    </w:p>
    <w:p w14:paraId="61267299" w14:textId="77777777" w:rsidR="0084269B" w:rsidRPr="0084269B" w:rsidRDefault="0084269B" w:rsidP="0084269B">
      <w:pPr>
        <w:keepNext/>
        <w:numPr>
          <w:ilvl w:val="12"/>
          <w:numId w:val="0"/>
        </w:numPr>
        <w:tabs>
          <w:tab w:val="clear" w:pos="567"/>
          <w:tab w:val="left" w:pos="720"/>
        </w:tabs>
        <w:spacing w:line="240" w:lineRule="auto"/>
        <w:ind w:right="-22"/>
        <w:outlineLvl w:val="0"/>
        <w:rPr>
          <w:noProof/>
          <w:lang w:val="lt-LT" w:eastAsia="lt-LT" w:bidi="lt-LT"/>
        </w:rPr>
      </w:pPr>
      <w:r w:rsidRPr="0084269B">
        <w:rPr>
          <w:b/>
          <w:lang w:val="lt-LT" w:eastAsia="lt-LT" w:bidi="lt-LT"/>
        </w:rPr>
        <w:t>Apie ką rašoma šiame lapelyje?</w:t>
      </w:r>
    </w:p>
    <w:p w14:paraId="1B075145" w14:textId="77777777" w:rsidR="0084269B" w:rsidRPr="0084269B" w:rsidRDefault="0084269B" w:rsidP="0084269B">
      <w:pPr>
        <w:keepNext/>
        <w:numPr>
          <w:ilvl w:val="12"/>
          <w:numId w:val="0"/>
        </w:numPr>
        <w:tabs>
          <w:tab w:val="clear" w:pos="567"/>
          <w:tab w:val="left" w:pos="720"/>
        </w:tabs>
        <w:spacing w:line="240" w:lineRule="auto"/>
        <w:ind w:right="-22"/>
        <w:outlineLvl w:val="0"/>
        <w:rPr>
          <w:noProof/>
          <w:lang w:val="lt-LT" w:eastAsia="lt-LT" w:bidi="lt-LT"/>
        </w:rPr>
      </w:pPr>
    </w:p>
    <w:p w14:paraId="02C576F2" w14:textId="77777777" w:rsidR="0084269B" w:rsidRPr="0084269B" w:rsidRDefault="0084269B" w:rsidP="0084269B">
      <w:pPr>
        <w:numPr>
          <w:ilvl w:val="0"/>
          <w:numId w:val="12"/>
        </w:numPr>
        <w:tabs>
          <w:tab w:val="left" w:pos="426"/>
        </w:tabs>
        <w:spacing w:line="240" w:lineRule="auto"/>
        <w:ind w:left="426" w:right="-22"/>
        <w:contextualSpacing/>
        <w:rPr>
          <w:noProof/>
          <w:lang w:val="lt-LT" w:eastAsia="lt-LT" w:bidi="lt-LT"/>
        </w:rPr>
      </w:pPr>
      <w:r w:rsidRPr="0084269B">
        <w:rPr>
          <w:lang w:val="lt-LT" w:eastAsia="lt-LT" w:bidi="lt-LT"/>
        </w:rPr>
        <w:t xml:space="preserve">Kas yra Cabazitaxel Teva ir kam jis vartojamas </w:t>
      </w:r>
    </w:p>
    <w:p w14:paraId="6C70E233" w14:textId="77777777" w:rsidR="0084269B" w:rsidRPr="0084269B" w:rsidRDefault="0084269B" w:rsidP="0084269B">
      <w:pPr>
        <w:numPr>
          <w:ilvl w:val="0"/>
          <w:numId w:val="12"/>
        </w:numPr>
        <w:tabs>
          <w:tab w:val="left" w:pos="426"/>
        </w:tabs>
        <w:spacing w:line="240" w:lineRule="auto"/>
        <w:ind w:left="426" w:right="-22"/>
        <w:contextualSpacing/>
        <w:rPr>
          <w:noProof/>
          <w:lang w:val="lt-LT" w:eastAsia="lt-LT" w:bidi="lt-LT"/>
        </w:rPr>
      </w:pPr>
      <w:r w:rsidRPr="0084269B">
        <w:rPr>
          <w:lang w:val="lt-LT" w:eastAsia="lt-LT" w:bidi="lt-LT"/>
        </w:rPr>
        <w:t xml:space="preserve">Kas žinotina prieš vartojant Cabazitaxel Teva </w:t>
      </w:r>
    </w:p>
    <w:p w14:paraId="41A2B8E3" w14:textId="77777777" w:rsidR="0084269B" w:rsidRPr="0084269B" w:rsidRDefault="0084269B" w:rsidP="0084269B">
      <w:pPr>
        <w:numPr>
          <w:ilvl w:val="0"/>
          <w:numId w:val="12"/>
        </w:numPr>
        <w:tabs>
          <w:tab w:val="left" w:pos="426"/>
        </w:tabs>
        <w:spacing w:line="240" w:lineRule="auto"/>
        <w:ind w:left="426" w:right="-22"/>
        <w:contextualSpacing/>
        <w:rPr>
          <w:noProof/>
          <w:lang w:val="lt-LT" w:eastAsia="lt-LT" w:bidi="lt-LT"/>
        </w:rPr>
      </w:pPr>
      <w:r w:rsidRPr="0084269B">
        <w:rPr>
          <w:lang w:val="lt-LT" w:eastAsia="lt-LT" w:bidi="lt-LT"/>
        </w:rPr>
        <w:t>Kaip vartoti Cabazitaxel Teva</w:t>
      </w:r>
    </w:p>
    <w:p w14:paraId="1A9BBEB3" w14:textId="77777777" w:rsidR="0084269B" w:rsidRPr="0084269B" w:rsidRDefault="0084269B" w:rsidP="0084269B">
      <w:pPr>
        <w:numPr>
          <w:ilvl w:val="0"/>
          <w:numId w:val="12"/>
        </w:numPr>
        <w:tabs>
          <w:tab w:val="left" w:pos="426"/>
        </w:tabs>
        <w:spacing w:line="240" w:lineRule="auto"/>
        <w:ind w:left="426" w:right="-22"/>
        <w:contextualSpacing/>
        <w:rPr>
          <w:noProof/>
          <w:lang w:val="lt-LT" w:eastAsia="lt-LT" w:bidi="lt-LT"/>
        </w:rPr>
      </w:pPr>
      <w:r w:rsidRPr="0084269B">
        <w:rPr>
          <w:lang w:val="lt-LT" w:eastAsia="lt-LT" w:bidi="lt-LT"/>
        </w:rPr>
        <w:t xml:space="preserve">Galimas šalutinis poveikis </w:t>
      </w:r>
    </w:p>
    <w:p w14:paraId="63EF9185" w14:textId="77777777" w:rsidR="0084269B" w:rsidRPr="0084269B" w:rsidRDefault="0084269B" w:rsidP="0084269B">
      <w:pPr>
        <w:numPr>
          <w:ilvl w:val="0"/>
          <w:numId w:val="12"/>
        </w:numPr>
        <w:tabs>
          <w:tab w:val="left" w:pos="426"/>
        </w:tabs>
        <w:spacing w:line="240" w:lineRule="auto"/>
        <w:ind w:left="426" w:right="-22"/>
        <w:contextualSpacing/>
        <w:rPr>
          <w:noProof/>
          <w:lang w:val="lt-LT" w:eastAsia="lt-LT" w:bidi="lt-LT"/>
        </w:rPr>
      </w:pPr>
      <w:r w:rsidRPr="0084269B">
        <w:rPr>
          <w:lang w:val="lt-LT" w:eastAsia="lt-LT" w:bidi="lt-LT"/>
        </w:rPr>
        <w:t>Kaip laikyti Cabazitaxel Teva</w:t>
      </w:r>
    </w:p>
    <w:p w14:paraId="78AE99DE" w14:textId="77777777" w:rsidR="0084269B" w:rsidRPr="0084269B" w:rsidRDefault="0084269B" w:rsidP="0084269B">
      <w:pPr>
        <w:numPr>
          <w:ilvl w:val="0"/>
          <w:numId w:val="12"/>
        </w:numPr>
        <w:tabs>
          <w:tab w:val="left" w:pos="426"/>
        </w:tabs>
        <w:spacing w:line="240" w:lineRule="auto"/>
        <w:ind w:left="426" w:right="-22"/>
        <w:contextualSpacing/>
        <w:rPr>
          <w:noProof/>
          <w:lang w:val="lt-LT" w:eastAsia="lt-LT" w:bidi="lt-LT"/>
        </w:rPr>
      </w:pPr>
      <w:r w:rsidRPr="0084269B">
        <w:rPr>
          <w:lang w:val="lt-LT" w:eastAsia="lt-LT" w:bidi="lt-LT"/>
        </w:rPr>
        <w:t>Pakuotės turinys ir kita informacija</w:t>
      </w:r>
    </w:p>
    <w:p w14:paraId="5D51D1D5" w14:textId="77777777" w:rsidR="0084269B" w:rsidRPr="0084269B" w:rsidRDefault="0084269B" w:rsidP="0084269B">
      <w:pPr>
        <w:tabs>
          <w:tab w:val="clear" w:pos="567"/>
          <w:tab w:val="left" w:pos="720"/>
        </w:tabs>
        <w:spacing w:line="240" w:lineRule="auto"/>
        <w:ind w:right="-22"/>
        <w:rPr>
          <w:noProof/>
          <w:lang w:val="lt-LT" w:eastAsia="lt-LT" w:bidi="lt-LT"/>
        </w:rPr>
      </w:pPr>
    </w:p>
    <w:p w14:paraId="26EBBFB5"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p>
    <w:p w14:paraId="3D2648BD" w14:textId="77777777" w:rsidR="0084269B" w:rsidRPr="0084269B" w:rsidRDefault="0084269B" w:rsidP="0084269B">
      <w:pPr>
        <w:keepNext/>
        <w:numPr>
          <w:ilvl w:val="0"/>
          <w:numId w:val="13"/>
        </w:numPr>
        <w:spacing w:line="240" w:lineRule="auto"/>
        <w:ind w:left="567" w:right="-22"/>
        <w:rPr>
          <w:b/>
          <w:noProof/>
          <w:szCs w:val="22"/>
          <w:lang w:val="lt-LT" w:eastAsia="lt-LT" w:bidi="lt-LT"/>
        </w:rPr>
      </w:pPr>
      <w:r w:rsidRPr="0084269B">
        <w:rPr>
          <w:b/>
          <w:noProof/>
          <w:lang w:val="lt-LT" w:eastAsia="lt-LT" w:bidi="lt-LT"/>
        </w:rPr>
        <w:t xml:space="preserve">Kas yra </w:t>
      </w:r>
      <w:r w:rsidRPr="0084269B">
        <w:rPr>
          <w:b/>
          <w:lang w:val="lt-LT" w:eastAsia="lt-LT" w:bidi="lt-LT"/>
        </w:rPr>
        <w:t>Cabazitaxel Teva</w:t>
      </w:r>
      <w:r w:rsidRPr="0084269B">
        <w:rPr>
          <w:b/>
          <w:noProof/>
          <w:lang w:val="lt-LT" w:eastAsia="lt-LT" w:bidi="lt-LT"/>
        </w:rPr>
        <w:t xml:space="preserve"> ir kam jis vartojamas</w:t>
      </w:r>
    </w:p>
    <w:p w14:paraId="00C1472B" w14:textId="77777777" w:rsidR="0084269B" w:rsidRPr="0084269B" w:rsidRDefault="0084269B" w:rsidP="0084269B">
      <w:pPr>
        <w:tabs>
          <w:tab w:val="clear" w:pos="567"/>
          <w:tab w:val="left" w:pos="720"/>
        </w:tabs>
        <w:spacing w:line="240" w:lineRule="auto"/>
        <w:ind w:right="-22"/>
        <w:rPr>
          <w:noProof/>
          <w:szCs w:val="22"/>
          <w:lang w:val="lt-LT" w:eastAsia="lt-LT" w:bidi="lt-LT"/>
        </w:rPr>
      </w:pPr>
    </w:p>
    <w:p w14:paraId="11D3DB32" w14:textId="77777777" w:rsidR="0084269B" w:rsidRPr="0084269B" w:rsidRDefault="0084269B" w:rsidP="0084269B">
      <w:pPr>
        <w:tabs>
          <w:tab w:val="clear" w:pos="567"/>
          <w:tab w:val="left" w:pos="720"/>
        </w:tabs>
        <w:spacing w:line="240" w:lineRule="auto"/>
        <w:ind w:right="-22"/>
        <w:rPr>
          <w:lang w:val="lt-LT" w:eastAsia="lt-LT" w:bidi="lt-LT"/>
        </w:rPr>
      </w:pPr>
      <w:r w:rsidRPr="0084269B">
        <w:rPr>
          <w:lang w:val="lt-LT" w:eastAsia="lt-LT" w:bidi="lt-LT"/>
        </w:rPr>
        <w:t>Jūsų vaisto pavadinimas yra Cabazitaxel Teva. Jo veiklioji medžiaga yra kabazitakselis. Jis priklauso vėžiui gydyti vartojamų vaistų, vadinamų taksanais, grupei.</w:t>
      </w:r>
    </w:p>
    <w:p w14:paraId="078CC4D7" w14:textId="77777777" w:rsidR="0084269B" w:rsidRPr="0084269B" w:rsidRDefault="0084269B" w:rsidP="0084269B">
      <w:pPr>
        <w:tabs>
          <w:tab w:val="clear" w:pos="567"/>
          <w:tab w:val="left" w:pos="720"/>
        </w:tabs>
        <w:spacing w:line="240" w:lineRule="auto"/>
        <w:ind w:right="-22"/>
        <w:rPr>
          <w:lang w:val="lt-LT" w:eastAsia="lt-LT" w:bidi="lt-LT"/>
        </w:rPr>
      </w:pPr>
    </w:p>
    <w:p w14:paraId="3E682982" w14:textId="59FB1474" w:rsidR="0084269B" w:rsidRPr="0084269B" w:rsidRDefault="0084269B" w:rsidP="0084269B">
      <w:pPr>
        <w:tabs>
          <w:tab w:val="clear" w:pos="567"/>
          <w:tab w:val="left" w:pos="720"/>
        </w:tabs>
        <w:spacing w:line="240" w:lineRule="auto"/>
        <w:ind w:right="-22"/>
        <w:rPr>
          <w:lang w:val="lt-LT" w:eastAsia="lt-LT" w:bidi="lt-LT"/>
        </w:rPr>
      </w:pPr>
      <w:r w:rsidRPr="0084269B">
        <w:rPr>
          <w:lang w:val="lt-LT" w:eastAsia="lt-LT" w:bidi="lt-LT"/>
        </w:rPr>
        <w:t>Cabazitaxel Teva vartojama prostatos vėži</w:t>
      </w:r>
      <w:r w:rsidR="00B276C3">
        <w:rPr>
          <w:lang w:val="lt-LT" w:eastAsia="lt-LT" w:bidi="lt-LT"/>
        </w:rPr>
        <w:t>o</w:t>
      </w:r>
      <w:r w:rsidRPr="0084269B">
        <w:rPr>
          <w:lang w:val="lt-LT" w:eastAsia="lt-LT" w:bidi="lt-LT"/>
        </w:rPr>
        <w:t>, kuris po kitokios chemoterapijos progresavo, gydy</w:t>
      </w:r>
      <w:r w:rsidR="00B276C3">
        <w:rPr>
          <w:lang w:val="lt-LT" w:eastAsia="lt-LT" w:bidi="lt-LT"/>
        </w:rPr>
        <w:t>mui</w:t>
      </w:r>
      <w:r w:rsidRPr="0084269B">
        <w:rPr>
          <w:lang w:val="lt-LT" w:eastAsia="lt-LT" w:bidi="lt-LT"/>
        </w:rPr>
        <w:t xml:space="preserve">. Šis vaistas veikia neleisdamas ląstelėms augti ir daugintis. </w:t>
      </w:r>
    </w:p>
    <w:p w14:paraId="3D0D47AA" w14:textId="77777777" w:rsidR="0084269B" w:rsidRPr="0084269B" w:rsidRDefault="0084269B" w:rsidP="0084269B">
      <w:pPr>
        <w:tabs>
          <w:tab w:val="clear" w:pos="567"/>
          <w:tab w:val="left" w:pos="720"/>
        </w:tabs>
        <w:spacing w:line="240" w:lineRule="auto"/>
        <w:ind w:right="-22"/>
        <w:rPr>
          <w:lang w:val="lt-LT" w:eastAsia="lt-LT" w:bidi="lt-LT"/>
        </w:rPr>
      </w:pPr>
    </w:p>
    <w:p w14:paraId="4183286A" w14:textId="104C9244" w:rsidR="0084269B" w:rsidRPr="0084269B" w:rsidRDefault="0084269B" w:rsidP="0084269B">
      <w:pPr>
        <w:tabs>
          <w:tab w:val="clear" w:pos="567"/>
          <w:tab w:val="left" w:pos="720"/>
        </w:tabs>
        <w:spacing w:line="240" w:lineRule="auto"/>
        <w:ind w:right="-22"/>
        <w:rPr>
          <w:noProof/>
          <w:szCs w:val="22"/>
          <w:lang w:val="lt-LT" w:eastAsia="lt-LT" w:bidi="lt-LT"/>
        </w:rPr>
      </w:pPr>
      <w:r w:rsidRPr="0084269B">
        <w:rPr>
          <w:lang w:val="lt-LT" w:eastAsia="lt-LT" w:bidi="lt-LT"/>
        </w:rPr>
        <w:t>Be to, gydymo metu Jūs kasdien vartosite per burną kortikosteroid</w:t>
      </w:r>
      <w:r w:rsidR="00B276C3">
        <w:rPr>
          <w:lang w:val="lt-LT" w:eastAsia="lt-LT" w:bidi="lt-LT"/>
        </w:rPr>
        <w:t>ini</w:t>
      </w:r>
      <w:r w:rsidRPr="0084269B">
        <w:rPr>
          <w:lang w:val="lt-LT" w:eastAsia="lt-LT" w:bidi="lt-LT"/>
        </w:rPr>
        <w:t xml:space="preserve">ų </w:t>
      </w:r>
      <w:r w:rsidR="00B276C3">
        <w:rPr>
          <w:lang w:val="lt-LT" w:eastAsia="lt-LT" w:bidi="lt-LT"/>
        </w:rPr>
        <w:t>vaistų</w:t>
      </w:r>
      <w:r w:rsidRPr="0084269B">
        <w:rPr>
          <w:lang w:val="lt-LT" w:eastAsia="lt-LT" w:bidi="lt-LT"/>
        </w:rPr>
        <w:t xml:space="preserve"> (prednizono ar prednizolono). Informacijos apie šį kitą vaistą klauskite gydytojo.</w:t>
      </w:r>
    </w:p>
    <w:p w14:paraId="5FB23450" w14:textId="77777777" w:rsidR="0084269B" w:rsidRPr="0084269B" w:rsidRDefault="0084269B" w:rsidP="0084269B">
      <w:pPr>
        <w:tabs>
          <w:tab w:val="clear" w:pos="567"/>
          <w:tab w:val="left" w:pos="720"/>
        </w:tabs>
        <w:spacing w:line="240" w:lineRule="auto"/>
        <w:ind w:right="-22"/>
        <w:rPr>
          <w:noProof/>
          <w:szCs w:val="22"/>
          <w:lang w:val="lt-LT" w:eastAsia="lt-LT" w:bidi="lt-LT"/>
        </w:rPr>
      </w:pPr>
    </w:p>
    <w:p w14:paraId="528DB7AE" w14:textId="77777777" w:rsidR="0084269B" w:rsidRPr="0084269B" w:rsidRDefault="0084269B" w:rsidP="0084269B">
      <w:pPr>
        <w:keepNext/>
        <w:numPr>
          <w:ilvl w:val="0"/>
          <w:numId w:val="13"/>
        </w:numPr>
        <w:spacing w:line="240" w:lineRule="auto"/>
        <w:ind w:left="567" w:right="-22"/>
        <w:rPr>
          <w:b/>
          <w:noProof/>
          <w:szCs w:val="22"/>
          <w:lang w:val="lt-LT" w:eastAsia="lt-LT" w:bidi="lt-LT"/>
        </w:rPr>
      </w:pPr>
      <w:r w:rsidRPr="0084269B">
        <w:rPr>
          <w:b/>
          <w:noProof/>
          <w:lang w:val="lt-LT" w:eastAsia="lt-LT" w:bidi="lt-LT"/>
        </w:rPr>
        <w:t xml:space="preserve">Kas žinotina prieš vartojant </w:t>
      </w:r>
      <w:r w:rsidRPr="0084269B">
        <w:rPr>
          <w:b/>
          <w:lang w:val="lt-LT" w:eastAsia="lt-LT" w:bidi="lt-LT"/>
        </w:rPr>
        <w:t>Cabazitaxel Teva</w:t>
      </w:r>
      <w:r w:rsidRPr="0084269B">
        <w:rPr>
          <w:lang w:val="lt-LT" w:eastAsia="lt-LT" w:bidi="lt-LT"/>
        </w:rPr>
        <w:t xml:space="preserve"> </w:t>
      </w:r>
    </w:p>
    <w:p w14:paraId="21CC6727" w14:textId="77777777" w:rsidR="0084269B" w:rsidRPr="0084269B" w:rsidRDefault="0084269B" w:rsidP="0084269B">
      <w:pPr>
        <w:keepNext/>
        <w:tabs>
          <w:tab w:val="clear" w:pos="567"/>
          <w:tab w:val="left" w:pos="720"/>
        </w:tabs>
        <w:spacing w:line="240" w:lineRule="auto"/>
        <w:ind w:right="-22"/>
        <w:outlineLvl w:val="0"/>
        <w:rPr>
          <w:i/>
          <w:noProof/>
          <w:szCs w:val="22"/>
          <w:lang w:val="lt-LT" w:eastAsia="lt-LT" w:bidi="lt-LT"/>
        </w:rPr>
      </w:pPr>
    </w:p>
    <w:p w14:paraId="399E0DF2" w14:textId="77777777" w:rsidR="0084269B" w:rsidRPr="0084269B" w:rsidRDefault="0084269B" w:rsidP="0084269B">
      <w:pPr>
        <w:keepNext/>
        <w:numPr>
          <w:ilvl w:val="12"/>
          <w:numId w:val="0"/>
        </w:numPr>
        <w:tabs>
          <w:tab w:val="clear" w:pos="567"/>
          <w:tab w:val="left" w:pos="720"/>
        </w:tabs>
        <w:spacing w:line="240" w:lineRule="auto"/>
        <w:ind w:right="-22"/>
        <w:outlineLvl w:val="0"/>
        <w:rPr>
          <w:noProof/>
          <w:szCs w:val="22"/>
          <w:lang w:val="lt-LT" w:eastAsia="lt-LT" w:bidi="lt-LT"/>
        </w:rPr>
      </w:pPr>
      <w:r w:rsidRPr="0084269B">
        <w:rPr>
          <w:b/>
          <w:lang w:val="lt-LT" w:eastAsia="lt-LT" w:bidi="lt-LT"/>
        </w:rPr>
        <w:t>Cabazitaxel Teva</w:t>
      </w:r>
      <w:r w:rsidRPr="0084269B">
        <w:rPr>
          <w:b/>
          <w:noProof/>
          <w:lang w:val="lt-LT" w:eastAsia="lt-LT" w:bidi="lt-LT"/>
        </w:rPr>
        <w:t xml:space="preserve"> vartoti negalima:</w:t>
      </w:r>
    </w:p>
    <w:p w14:paraId="7F89E164" w14:textId="77777777" w:rsidR="0084269B" w:rsidRPr="0084269B" w:rsidRDefault="0084269B" w:rsidP="0084269B">
      <w:pPr>
        <w:numPr>
          <w:ilvl w:val="1"/>
          <w:numId w:val="16"/>
        </w:numPr>
        <w:spacing w:line="240" w:lineRule="auto"/>
        <w:ind w:left="567" w:right="-22" w:hanging="567"/>
        <w:contextualSpacing/>
        <w:rPr>
          <w:lang w:val="lt-LT" w:eastAsia="lt-LT" w:bidi="lt-LT"/>
        </w:rPr>
      </w:pPr>
      <w:r w:rsidRPr="0084269B">
        <w:rPr>
          <w:lang w:val="lt-LT" w:eastAsia="lt-LT" w:bidi="lt-LT"/>
        </w:rPr>
        <w:t xml:space="preserve">jeigu yra alergija (padidėjęs jautrumas) kabazitakseliui, kitiems taksanams arba polisorbatui 80, arba bet kuriai pagalbinei šio vaisto medžiagai (jos išvardytos 6 skyriuje); </w:t>
      </w:r>
    </w:p>
    <w:p w14:paraId="6798A96B" w14:textId="6493F24C" w:rsidR="0084269B" w:rsidRPr="0084269B" w:rsidRDefault="0084269B" w:rsidP="0084269B">
      <w:pPr>
        <w:numPr>
          <w:ilvl w:val="1"/>
          <w:numId w:val="16"/>
        </w:numPr>
        <w:spacing w:line="240" w:lineRule="auto"/>
        <w:ind w:left="567" w:right="-22" w:hanging="567"/>
        <w:contextualSpacing/>
        <w:rPr>
          <w:lang w:val="lt-LT" w:eastAsia="lt-LT" w:bidi="lt-LT"/>
        </w:rPr>
      </w:pPr>
      <w:r w:rsidRPr="0084269B">
        <w:rPr>
          <w:lang w:val="lt-LT" w:eastAsia="lt-LT" w:bidi="lt-LT"/>
        </w:rPr>
        <w:t xml:space="preserve">jeigu baltųjų kraujo ląstelių </w:t>
      </w:r>
      <w:r w:rsidR="00B635D5">
        <w:rPr>
          <w:lang w:val="lt-LT" w:eastAsia="lt-LT" w:bidi="lt-LT"/>
        </w:rPr>
        <w:t>skaičius</w:t>
      </w:r>
      <w:r w:rsidR="00B635D5" w:rsidRPr="0084269B">
        <w:rPr>
          <w:lang w:val="lt-LT" w:eastAsia="lt-LT" w:bidi="lt-LT"/>
        </w:rPr>
        <w:t xml:space="preserve"> </w:t>
      </w:r>
      <w:r w:rsidRPr="0084269B">
        <w:rPr>
          <w:lang w:val="lt-LT" w:eastAsia="lt-LT" w:bidi="lt-LT"/>
        </w:rPr>
        <w:t>per mažas (neutrofilų yra 1500 /mm</w:t>
      </w:r>
      <w:r w:rsidRPr="0084269B">
        <w:rPr>
          <w:vertAlign w:val="superscript"/>
          <w:lang w:val="lt-LT" w:eastAsia="lt-LT" w:bidi="lt-LT"/>
        </w:rPr>
        <w:t>3</w:t>
      </w:r>
      <w:r w:rsidRPr="0084269B">
        <w:rPr>
          <w:lang w:val="lt-LT" w:eastAsia="lt-LT" w:bidi="lt-LT"/>
        </w:rPr>
        <w:t xml:space="preserve"> arba mažiau); </w:t>
      </w:r>
    </w:p>
    <w:p w14:paraId="66A863E2" w14:textId="77777777" w:rsidR="0084269B" w:rsidRPr="0084269B" w:rsidRDefault="0084269B" w:rsidP="0084269B">
      <w:pPr>
        <w:numPr>
          <w:ilvl w:val="1"/>
          <w:numId w:val="16"/>
        </w:numPr>
        <w:spacing w:line="240" w:lineRule="auto"/>
        <w:ind w:left="567" w:right="-22" w:hanging="567"/>
        <w:contextualSpacing/>
        <w:rPr>
          <w:lang w:val="lt-LT" w:eastAsia="lt-LT" w:bidi="lt-LT"/>
        </w:rPr>
      </w:pPr>
      <w:r w:rsidRPr="0084269B">
        <w:rPr>
          <w:lang w:val="lt-LT" w:eastAsia="lt-LT" w:bidi="lt-LT"/>
        </w:rPr>
        <w:t xml:space="preserve">jeigu yra sunkus kepenų funkcijos sutrikimas; </w:t>
      </w:r>
    </w:p>
    <w:p w14:paraId="650CB229" w14:textId="77777777" w:rsidR="0084269B" w:rsidRPr="0084269B" w:rsidRDefault="0084269B" w:rsidP="0084269B">
      <w:pPr>
        <w:numPr>
          <w:ilvl w:val="1"/>
          <w:numId w:val="16"/>
        </w:numPr>
        <w:spacing w:line="240" w:lineRule="auto"/>
        <w:ind w:left="567" w:right="-22" w:hanging="567"/>
        <w:contextualSpacing/>
        <w:rPr>
          <w:lang w:val="lt-LT" w:eastAsia="lt-LT" w:bidi="lt-LT"/>
        </w:rPr>
      </w:pPr>
      <w:r w:rsidRPr="0084269B">
        <w:rPr>
          <w:lang w:val="lt-LT" w:eastAsia="lt-LT" w:bidi="lt-LT"/>
        </w:rPr>
        <w:t xml:space="preserve">jeigu neseniai buvote ar būsite skiepijamas vakcina nuo geltonosios karštinės. </w:t>
      </w:r>
    </w:p>
    <w:p w14:paraId="331BBFAA" w14:textId="77777777" w:rsidR="0084269B" w:rsidRPr="0084269B" w:rsidRDefault="0084269B" w:rsidP="0084269B">
      <w:pPr>
        <w:spacing w:line="240" w:lineRule="auto"/>
        <w:ind w:right="-22"/>
        <w:rPr>
          <w:lang w:val="lt-LT" w:eastAsia="lt-LT" w:bidi="lt-LT"/>
        </w:rPr>
      </w:pPr>
    </w:p>
    <w:p w14:paraId="4A949E65" w14:textId="1AC34546" w:rsidR="0084269B" w:rsidRPr="0084269B" w:rsidRDefault="0084269B" w:rsidP="0084269B">
      <w:pPr>
        <w:spacing w:line="240" w:lineRule="auto"/>
        <w:ind w:right="-22"/>
        <w:rPr>
          <w:lang w:val="lt-LT" w:eastAsia="lt-LT" w:bidi="lt-LT"/>
        </w:rPr>
      </w:pPr>
      <w:r w:rsidRPr="0084269B">
        <w:rPr>
          <w:lang w:val="lt-LT" w:eastAsia="lt-LT" w:bidi="lt-LT"/>
        </w:rPr>
        <w:t xml:space="preserve">Jeigu bet kuri paminėta būklė Jums tinka, Cabazitaxel Teva vartoti negalite. Jeigu abejojate, prieš Cabazitaxel Teva vartojimą pasitarkite su gydytoju. </w:t>
      </w:r>
    </w:p>
    <w:p w14:paraId="428D6707" w14:textId="77777777" w:rsidR="0084269B" w:rsidRPr="0084269B" w:rsidRDefault="0084269B" w:rsidP="0084269B">
      <w:pPr>
        <w:spacing w:line="240" w:lineRule="auto"/>
        <w:ind w:right="-22"/>
        <w:rPr>
          <w:lang w:val="lt-LT" w:eastAsia="lt-LT" w:bidi="lt-LT"/>
        </w:rPr>
      </w:pPr>
    </w:p>
    <w:p w14:paraId="45B64552" w14:textId="77777777" w:rsidR="0084269B" w:rsidRPr="0084269B" w:rsidRDefault="0084269B" w:rsidP="0084269B">
      <w:pPr>
        <w:numPr>
          <w:ilvl w:val="12"/>
          <w:numId w:val="0"/>
        </w:numPr>
        <w:tabs>
          <w:tab w:val="clear" w:pos="567"/>
          <w:tab w:val="left" w:pos="720"/>
        </w:tabs>
        <w:spacing w:line="240" w:lineRule="auto"/>
        <w:ind w:right="-22"/>
        <w:outlineLvl w:val="0"/>
        <w:rPr>
          <w:b/>
          <w:noProof/>
          <w:szCs w:val="22"/>
          <w:lang w:val="lt-LT" w:eastAsia="lt-LT" w:bidi="lt-LT"/>
        </w:rPr>
      </w:pPr>
      <w:r w:rsidRPr="0084269B">
        <w:rPr>
          <w:b/>
          <w:noProof/>
          <w:lang w:val="lt-LT" w:eastAsia="lt-LT" w:bidi="lt-LT"/>
        </w:rPr>
        <w:t xml:space="preserve">Įspėjimai ir atsargumo priemonės </w:t>
      </w:r>
    </w:p>
    <w:p w14:paraId="7C8E2317" w14:textId="3C759D72" w:rsidR="0084269B" w:rsidRPr="0084269B" w:rsidRDefault="0084269B" w:rsidP="0084269B">
      <w:pPr>
        <w:spacing w:line="240" w:lineRule="auto"/>
        <w:ind w:right="-22"/>
        <w:rPr>
          <w:lang w:val="lt-LT" w:eastAsia="lt-LT" w:bidi="lt-LT"/>
        </w:rPr>
      </w:pPr>
      <w:r w:rsidRPr="0084269B">
        <w:rPr>
          <w:lang w:val="lt-LT" w:eastAsia="lt-LT" w:bidi="lt-LT"/>
        </w:rPr>
        <w:t xml:space="preserve">Prieš kiekvieną gydymo Cabazitaxel Teva kursą </w:t>
      </w:r>
      <w:r w:rsidR="002B407D">
        <w:rPr>
          <w:lang w:val="lt-LT" w:eastAsia="lt-LT" w:bidi="lt-LT"/>
        </w:rPr>
        <w:t xml:space="preserve">Jums </w:t>
      </w:r>
      <w:r w:rsidRPr="0084269B">
        <w:rPr>
          <w:lang w:val="lt-LT" w:eastAsia="lt-LT" w:bidi="lt-LT"/>
        </w:rPr>
        <w:t xml:space="preserve">bus </w:t>
      </w:r>
      <w:r w:rsidR="002B407D">
        <w:rPr>
          <w:lang w:val="lt-LT" w:eastAsia="lt-LT" w:bidi="lt-LT"/>
        </w:rPr>
        <w:t>atliktas</w:t>
      </w:r>
      <w:r w:rsidRPr="0084269B">
        <w:rPr>
          <w:lang w:val="lt-LT" w:eastAsia="lt-LT" w:bidi="lt-LT"/>
        </w:rPr>
        <w:t xml:space="preserve"> krauj</w:t>
      </w:r>
      <w:r w:rsidR="002B407D">
        <w:rPr>
          <w:lang w:val="lt-LT" w:eastAsia="lt-LT" w:bidi="lt-LT"/>
        </w:rPr>
        <w:t>o tyrimas</w:t>
      </w:r>
      <w:r w:rsidRPr="0084269B">
        <w:rPr>
          <w:lang w:val="lt-LT" w:eastAsia="lt-LT" w:bidi="lt-LT"/>
        </w:rPr>
        <w:t xml:space="preserve">, siekiant nustatyti, ar Jūsų kraujo ląstelių </w:t>
      </w:r>
      <w:r w:rsidR="00B635D5">
        <w:rPr>
          <w:lang w:val="lt-LT" w:eastAsia="lt-LT" w:bidi="lt-LT"/>
        </w:rPr>
        <w:t>skaičius</w:t>
      </w:r>
      <w:r w:rsidR="00B635D5" w:rsidRPr="0084269B">
        <w:rPr>
          <w:lang w:val="lt-LT" w:eastAsia="lt-LT" w:bidi="lt-LT"/>
        </w:rPr>
        <w:t xml:space="preserve"> </w:t>
      </w:r>
      <w:r w:rsidRPr="0084269B">
        <w:rPr>
          <w:lang w:val="lt-LT" w:eastAsia="lt-LT" w:bidi="lt-LT"/>
        </w:rPr>
        <w:t xml:space="preserve">pakankamas, ar kepenų bei inkstų </w:t>
      </w:r>
      <w:r w:rsidR="00B635D5">
        <w:rPr>
          <w:lang w:val="lt-LT" w:eastAsia="lt-LT" w:bidi="lt-LT"/>
        </w:rPr>
        <w:t>funkcija</w:t>
      </w:r>
      <w:r w:rsidR="00B635D5" w:rsidRPr="0084269B">
        <w:rPr>
          <w:lang w:val="lt-LT" w:eastAsia="lt-LT" w:bidi="lt-LT"/>
        </w:rPr>
        <w:t xml:space="preserve"> </w:t>
      </w:r>
      <w:r w:rsidRPr="0084269B">
        <w:rPr>
          <w:lang w:val="lt-LT" w:eastAsia="lt-LT" w:bidi="lt-LT"/>
        </w:rPr>
        <w:t xml:space="preserve">pakankama, kad galėtumėte būti gydomas Cabazitaxel Teva. </w:t>
      </w:r>
    </w:p>
    <w:p w14:paraId="73E5346B" w14:textId="77777777" w:rsidR="0084269B" w:rsidRPr="0084269B" w:rsidRDefault="0084269B" w:rsidP="0084269B">
      <w:pPr>
        <w:numPr>
          <w:ilvl w:val="12"/>
          <w:numId w:val="0"/>
        </w:numPr>
        <w:tabs>
          <w:tab w:val="clear" w:pos="567"/>
          <w:tab w:val="left" w:pos="720"/>
        </w:tabs>
        <w:spacing w:line="240" w:lineRule="auto"/>
        <w:ind w:right="-22"/>
        <w:rPr>
          <w:noProof/>
          <w:lang w:val="lt-LT" w:eastAsia="lt-LT" w:bidi="lt-LT"/>
        </w:rPr>
      </w:pPr>
    </w:p>
    <w:p w14:paraId="3B18F1DF" w14:textId="0725F33D"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Nedelsdamas pasakykite gydytojui, jeigu:</w:t>
      </w:r>
    </w:p>
    <w:p w14:paraId="4703BB5F" w14:textId="4793CC3F" w:rsidR="0084269B" w:rsidRPr="0084269B" w:rsidRDefault="0084269B" w:rsidP="0084269B">
      <w:pPr>
        <w:numPr>
          <w:ilvl w:val="0"/>
          <w:numId w:val="18"/>
        </w:numPr>
        <w:spacing w:line="240" w:lineRule="auto"/>
        <w:ind w:left="567" w:right="-22" w:hanging="567"/>
        <w:contextualSpacing/>
        <w:rPr>
          <w:lang w:val="lt-LT" w:eastAsia="lt-LT" w:bidi="lt-LT"/>
        </w:rPr>
      </w:pPr>
      <w:r w:rsidRPr="0084269B">
        <w:rPr>
          <w:lang w:val="lt-LT" w:eastAsia="lt-LT" w:bidi="lt-LT"/>
        </w:rPr>
        <w:t xml:space="preserve">Jūs karščiuojate. Gydymo Cabazitaxel Teva metu yra didesnė baltųjų kraujo ląstelių </w:t>
      </w:r>
      <w:r w:rsidR="00B635D5">
        <w:rPr>
          <w:lang w:val="lt-LT" w:eastAsia="lt-LT" w:bidi="lt-LT"/>
        </w:rPr>
        <w:t>skaičiaus</w:t>
      </w:r>
      <w:r w:rsidR="00B635D5" w:rsidRPr="0084269B">
        <w:rPr>
          <w:lang w:val="lt-LT" w:eastAsia="lt-LT" w:bidi="lt-LT"/>
        </w:rPr>
        <w:t xml:space="preserve"> </w:t>
      </w:r>
      <w:r w:rsidRPr="0084269B">
        <w:rPr>
          <w:lang w:val="lt-LT" w:eastAsia="lt-LT" w:bidi="lt-LT"/>
        </w:rPr>
        <w:t xml:space="preserve">sumažėjimo tikimybė. Gydytojas </w:t>
      </w:r>
      <w:r w:rsidR="002B407D">
        <w:rPr>
          <w:lang w:val="lt-LT" w:eastAsia="lt-LT" w:bidi="lt-LT"/>
        </w:rPr>
        <w:t>atliks</w:t>
      </w:r>
      <w:r w:rsidRPr="0084269B">
        <w:rPr>
          <w:lang w:val="lt-LT" w:eastAsia="lt-LT" w:bidi="lt-LT"/>
        </w:rPr>
        <w:t xml:space="preserve"> J</w:t>
      </w:r>
      <w:r w:rsidR="002B407D">
        <w:rPr>
          <w:lang w:val="lt-LT" w:eastAsia="lt-LT" w:bidi="lt-LT"/>
        </w:rPr>
        <w:t>ums</w:t>
      </w:r>
      <w:r w:rsidRPr="0084269B">
        <w:rPr>
          <w:lang w:val="lt-LT" w:eastAsia="lt-LT" w:bidi="lt-LT"/>
        </w:rPr>
        <w:t xml:space="preserve"> krauj</w:t>
      </w:r>
      <w:r w:rsidR="002B407D">
        <w:rPr>
          <w:lang w:val="lt-LT" w:eastAsia="lt-LT" w:bidi="lt-LT"/>
        </w:rPr>
        <w:t>o tyrimą</w:t>
      </w:r>
      <w:r w:rsidRPr="0084269B">
        <w:rPr>
          <w:lang w:val="lt-LT" w:eastAsia="lt-LT" w:bidi="lt-LT"/>
        </w:rPr>
        <w:t xml:space="preserve"> ir </w:t>
      </w:r>
      <w:r w:rsidR="002B407D">
        <w:rPr>
          <w:lang w:val="lt-LT" w:eastAsia="lt-LT" w:bidi="lt-LT"/>
        </w:rPr>
        <w:t xml:space="preserve">įvertins </w:t>
      </w:r>
      <w:r w:rsidRPr="0084269B">
        <w:rPr>
          <w:lang w:val="lt-LT" w:eastAsia="lt-LT" w:bidi="lt-LT"/>
        </w:rPr>
        <w:t xml:space="preserve">bendrąją būklę, kad galėtų </w:t>
      </w:r>
      <w:r w:rsidRPr="0084269B">
        <w:rPr>
          <w:lang w:val="lt-LT" w:eastAsia="lt-LT" w:bidi="lt-LT"/>
        </w:rPr>
        <w:lastRenderedPageBreak/>
        <w:t xml:space="preserve">nustatyti, ar nėra infekcijos požymių. Jis/ji gali Jums skirti kitokio vaisto, kad būtų palaikomas reikiamas kraujo ląstelių </w:t>
      </w:r>
      <w:r w:rsidR="00B635D5">
        <w:rPr>
          <w:lang w:val="lt-LT" w:eastAsia="lt-LT" w:bidi="lt-LT"/>
        </w:rPr>
        <w:t>skaičius</w:t>
      </w:r>
      <w:r w:rsidRPr="0084269B">
        <w:rPr>
          <w:lang w:val="lt-LT" w:eastAsia="lt-LT" w:bidi="lt-LT"/>
        </w:rPr>
        <w:t xml:space="preserve">. Žmonėms, kurių kraujo ląstelių </w:t>
      </w:r>
      <w:r w:rsidR="00B635D5">
        <w:rPr>
          <w:lang w:val="lt-LT" w:eastAsia="lt-LT" w:bidi="lt-LT"/>
        </w:rPr>
        <w:t>skaičius</w:t>
      </w:r>
      <w:r w:rsidR="00B635D5" w:rsidRPr="0084269B">
        <w:rPr>
          <w:lang w:val="lt-LT" w:eastAsia="lt-LT" w:bidi="lt-LT"/>
        </w:rPr>
        <w:t xml:space="preserve"> </w:t>
      </w:r>
      <w:r w:rsidRPr="0084269B">
        <w:rPr>
          <w:lang w:val="lt-LT" w:eastAsia="lt-LT" w:bidi="lt-LT"/>
        </w:rPr>
        <w:t xml:space="preserve">mažas, gali pasireikšti gyvybei pavojinga infekcija. Anksčiausias infekcijos požymis gali būti karščiavimas, todėl, jei pradėjote karščiuoti, nedelsdamas kreipkitės į gydytoją; </w:t>
      </w:r>
    </w:p>
    <w:p w14:paraId="753810A9" w14:textId="77777777"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yra buvusi bet kokia alergija. Gydymo Cabazitaxel Teva metu gali atsirasti sunkių alerginių reakcijų; </w:t>
      </w:r>
    </w:p>
    <w:p w14:paraId="02E42BD8" w14:textId="77777777"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sunkiai ar ilgai viduriuojate, jaučiate pykinimą (šleikštulį) ar vemiate. Bet kuris iš minėtų sutrikimų gali labai sumažinti skysčio kiekį organizme. Gydytojas gali nuspręsti tokią būklę gydyti; </w:t>
      </w:r>
    </w:p>
    <w:p w14:paraId="0672A81B" w14:textId="77777777"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plaštakose ar pėdose jaučiate tirpimą, dilgčiojimą, deginimą ar jautrumo sumažėjimą; </w:t>
      </w:r>
    </w:p>
    <w:p w14:paraId="77A7D4D8" w14:textId="0C0F57E5"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yra bet kokių problemų dėl kraujavimo iš žarnyno, pasikeitė išmatų spalva arba pradėjo skaudėti pilvą. Jeigu kraujavimas ar skausmas yra stiprus, gydytojas nutrauks gydymą Cabazitaxel Teva, nes Cabazitaxel Teva gali didinti kraujavimo arba žarnų sienelių prakiurimo pavojų; </w:t>
      </w:r>
    </w:p>
    <w:p w14:paraId="7C9D6CC6" w14:textId="43AB98D9"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yra inkstų </w:t>
      </w:r>
      <w:r w:rsidR="002B407D">
        <w:rPr>
          <w:lang w:val="lt-LT" w:eastAsia="lt-LT" w:bidi="lt-LT"/>
        </w:rPr>
        <w:t>funkcijos</w:t>
      </w:r>
      <w:r w:rsidR="002B407D" w:rsidRPr="0084269B">
        <w:rPr>
          <w:lang w:val="lt-LT" w:eastAsia="lt-LT" w:bidi="lt-LT"/>
        </w:rPr>
        <w:t xml:space="preserve"> </w:t>
      </w:r>
      <w:r w:rsidRPr="0084269B">
        <w:rPr>
          <w:lang w:val="lt-LT" w:eastAsia="lt-LT" w:bidi="lt-LT"/>
        </w:rPr>
        <w:t xml:space="preserve">sutrikimų; </w:t>
      </w:r>
    </w:p>
    <w:p w14:paraId="3E62E4D6" w14:textId="2913A090"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gydymo metu atsirado kepenų </w:t>
      </w:r>
      <w:r w:rsidR="002B407D">
        <w:rPr>
          <w:lang w:val="lt-LT" w:eastAsia="lt-LT" w:bidi="lt-LT"/>
        </w:rPr>
        <w:t>funkcijos</w:t>
      </w:r>
      <w:r w:rsidR="002B407D" w:rsidRPr="0084269B">
        <w:rPr>
          <w:lang w:val="lt-LT" w:eastAsia="lt-LT" w:bidi="lt-LT"/>
        </w:rPr>
        <w:t xml:space="preserve"> </w:t>
      </w:r>
      <w:r w:rsidRPr="0084269B">
        <w:rPr>
          <w:lang w:val="lt-LT" w:eastAsia="lt-LT" w:bidi="lt-LT"/>
        </w:rPr>
        <w:t xml:space="preserve">sutrikimų; </w:t>
      </w:r>
    </w:p>
    <w:p w14:paraId="72F1B7C9" w14:textId="77777777" w:rsidR="0084269B" w:rsidRPr="0084269B" w:rsidRDefault="0084269B" w:rsidP="0084269B">
      <w:pPr>
        <w:numPr>
          <w:ilvl w:val="0"/>
          <w:numId w:val="17"/>
        </w:numPr>
        <w:spacing w:line="240" w:lineRule="auto"/>
        <w:ind w:left="567" w:right="-22" w:hanging="567"/>
        <w:contextualSpacing/>
        <w:rPr>
          <w:lang w:val="lt-LT" w:eastAsia="lt-LT" w:bidi="lt-LT"/>
        </w:rPr>
      </w:pPr>
      <w:r w:rsidRPr="0084269B">
        <w:rPr>
          <w:lang w:val="lt-LT" w:eastAsia="lt-LT" w:bidi="lt-LT"/>
        </w:rPr>
        <w:t xml:space="preserve">reikšmingai padidėjo ar sumažėjo paros šlapimo kiekis; </w:t>
      </w:r>
    </w:p>
    <w:p w14:paraId="3E249640" w14:textId="77777777" w:rsidR="0084269B" w:rsidRPr="0084269B" w:rsidRDefault="0084269B" w:rsidP="0084269B">
      <w:pPr>
        <w:numPr>
          <w:ilvl w:val="0"/>
          <w:numId w:val="17"/>
        </w:numPr>
        <w:spacing w:line="240" w:lineRule="auto"/>
        <w:ind w:left="567" w:right="-22" w:hanging="567"/>
        <w:contextualSpacing/>
        <w:rPr>
          <w:noProof/>
          <w:szCs w:val="22"/>
          <w:lang w:val="lt-LT" w:eastAsia="lt-LT" w:bidi="lt-LT"/>
        </w:rPr>
      </w:pPr>
      <w:r w:rsidRPr="0084269B">
        <w:rPr>
          <w:lang w:val="lt-LT" w:eastAsia="lt-LT" w:bidi="lt-LT"/>
        </w:rPr>
        <w:t xml:space="preserve">šlapime yra kraujo. </w:t>
      </w:r>
    </w:p>
    <w:p w14:paraId="1CA4F563" w14:textId="77777777" w:rsidR="0084269B" w:rsidRPr="0084269B" w:rsidRDefault="0084269B" w:rsidP="0084269B">
      <w:pPr>
        <w:spacing w:line="240" w:lineRule="auto"/>
        <w:ind w:left="567" w:right="-22"/>
        <w:contextualSpacing/>
        <w:rPr>
          <w:lang w:val="lt-LT" w:eastAsia="lt-LT" w:bidi="lt-LT"/>
        </w:rPr>
      </w:pPr>
    </w:p>
    <w:p w14:paraId="7F668C29" w14:textId="77777777" w:rsidR="0084269B" w:rsidRPr="0084269B" w:rsidRDefault="0084269B" w:rsidP="0084269B">
      <w:pPr>
        <w:tabs>
          <w:tab w:val="clear" w:pos="567"/>
          <w:tab w:val="left" w:pos="0"/>
        </w:tabs>
        <w:spacing w:line="240" w:lineRule="auto"/>
        <w:ind w:right="-22"/>
        <w:contextualSpacing/>
        <w:rPr>
          <w:noProof/>
          <w:szCs w:val="22"/>
          <w:lang w:val="lt-LT" w:eastAsia="lt-LT" w:bidi="lt-LT"/>
        </w:rPr>
      </w:pPr>
      <w:r w:rsidRPr="0084269B">
        <w:rPr>
          <w:lang w:val="lt-LT" w:eastAsia="lt-LT" w:bidi="lt-LT"/>
        </w:rPr>
        <w:t>Jeigu bet kuri paminėta būklė Jums tinka, nedelsdamas pasakykite gydytojui. Jis gali sumažinti Cabazitaxel Teva dozę ar sustabdyti gydymą</w:t>
      </w:r>
    </w:p>
    <w:p w14:paraId="1C1BFFC0" w14:textId="77777777" w:rsidR="0084269B" w:rsidRPr="0084269B" w:rsidRDefault="0084269B" w:rsidP="0084269B">
      <w:pPr>
        <w:keepNext/>
        <w:spacing w:line="240" w:lineRule="auto"/>
        <w:ind w:left="567" w:right="-22" w:hanging="567"/>
        <w:rPr>
          <w:b/>
          <w:noProof/>
          <w:lang w:val="lt-LT" w:eastAsia="lt-LT" w:bidi="lt-LT"/>
        </w:rPr>
      </w:pPr>
    </w:p>
    <w:p w14:paraId="792F3027" w14:textId="77777777" w:rsidR="0084269B" w:rsidRPr="0084269B" w:rsidRDefault="0084269B" w:rsidP="0084269B">
      <w:pPr>
        <w:keepNext/>
        <w:numPr>
          <w:ilvl w:val="12"/>
          <w:numId w:val="0"/>
        </w:numPr>
        <w:tabs>
          <w:tab w:val="clear" w:pos="567"/>
          <w:tab w:val="left" w:pos="720"/>
        </w:tabs>
        <w:spacing w:line="240" w:lineRule="auto"/>
        <w:ind w:right="-22"/>
        <w:rPr>
          <w:lang w:val="lt-LT" w:eastAsia="lt-LT" w:bidi="lt-LT"/>
        </w:rPr>
      </w:pPr>
      <w:r w:rsidRPr="0084269B">
        <w:rPr>
          <w:b/>
          <w:lang w:val="lt-LT" w:eastAsia="lt-LT" w:bidi="lt-LT"/>
        </w:rPr>
        <w:t>Kiti vaistai ir Cabazitaxel Teva</w:t>
      </w:r>
    </w:p>
    <w:p w14:paraId="22574C58"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Jeigu vartojate arba neseniai vartojote kitų vaistų, įskaitant įsigytus be recepto, pasakykite gydytojui, vaistininkui arba slaugytojui. Kai kurie vaistai gali keisti Cabazitaxel Teva, o Cabazitaxel Teva – kitų vaistų poveikį. Tokie vaistai yra: </w:t>
      </w:r>
    </w:p>
    <w:p w14:paraId="0A188F55" w14:textId="77777777" w:rsidR="0084269B" w:rsidRPr="0084269B" w:rsidRDefault="0084269B" w:rsidP="0084269B">
      <w:pPr>
        <w:numPr>
          <w:ilvl w:val="0"/>
          <w:numId w:val="19"/>
        </w:numPr>
        <w:spacing w:line="240" w:lineRule="auto"/>
        <w:ind w:left="567" w:right="-22" w:hanging="567"/>
        <w:contextualSpacing/>
        <w:rPr>
          <w:lang w:val="lt-LT" w:eastAsia="lt-LT" w:bidi="lt-LT"/>
        </w:rPr>
      </w:pPr>
      <w:r w:rsidRPr="0084269B">
        <w:rPr>
          <w:lang w:val="lt-LT" w:eastAsia="lt-LT" w:bidi="lt-LT"/>
        </w:rPr>
        <w:t xml:space="preserve">ketokonazolas, rifampicinas (jais gydomos infekcinės ligos); </w:t>
      </w:r>
    </w:p>
    <w:p w14:paraId="6B3F6EAB" w14:textId="77777777" w:rsidR="0084269B" w:rsidRPr="0084269B" w:rsidRDefault="0084269B" w:rsidP="0084269B">
      <w:pPr>
        <w:numPr>
          <w:ilvl w:val="0"/>
          <w:numId w:val="19"/>
        </w:numPr>
        <w:spacing w:line="240" w:lineRule="auto"/>
        <w:ind w:left="567" w:right="-22" w:hanging="567"/>
        <w:contextualSpacing/>
        <w:rPr>
          <w:lang w:val="lt-LT" w:eastAsia="lt-LT" w:bidi="lt-LT"/>
        </w:rPr>
      </w:pPr>
      <w:r w:rsidRPr="0084269B">
        <w:rPr>
          <w:lang w:val="lt-LT" w:eastAsia="lt-LT" w:bidi="lt-LT"/>
        </w:rPr>
        <w:t xml:space="preserve">karbamazepinas, fenobarbitalis ar fenitoinas (vaistai nuo traukulių); </w:t>
      </w:r>
    </w:p>
    <w:p w14:paraId="7B857833" w14:textId="2F156F7D" w:rsidR="0084269B" w:rsidRPr="0084269B" w:rsidRDefault="0084269B" w:rsidP="0084269B">
      <w:pPr>
        <w:numPr>
          <w:ilvl w:val="0"/>
          <w:numId w:val="19"/>
        </w:numPr>
        <w:spacing w:line="240" w:lineRule="auto"/>
        <w:ind w:left="567" w:right="-22" w:hanging="567"/>
        <w:contextualSpacing/>
        <w:rPr>
          <w:lang w:val="lt-LT" w:eastAsia="lt-LT" w:bidi="lt-LT"/>
        </w:rPr>
      </w:pPr>
      <w:r w:rsidRPr="0084269B">
        <w:rPr>
          <w:lang w:val="lt-LT" w:eastAsia="lt-LT" w:bidi="lt-LT"/>
        </w:rPr>
        <w:t>paprast</w:t>
      </w:r>
      <w:r w:rsidR="002B407D">
        <w:rPr>
          <w:lang w:val="lt-LT" w:eastAsia="lt-LT" w:bidi="lt-LT"/>
        </w:rPr>
        <w:t>osios</w:t>
      </w:r>
      <w:r w:rsidRPr="0084269B">
        <w:rPr>
          <w:lang w:val="lt-LT" w:eastAsia="lt-LT" w:bidi="lt-LT"/>
        </w:rPr>
        <w:t xml:space="preserve"> jonažol</w:t>
      </w:r>
      <w:r w:rsidR="002B407D">
        <w:rPr>
          <w:lang w:val="lt-LT" w:eastAsia="lt-LT" w:bidi="lt-LT"/>
        </w:rPr>
        <w:t>ės</w:t>
      </w:r>
      <w:r w:rsidRPr="0084269B">
        <w:rPr>
          <w:lang w:val="lt-LT" w:eastAsia="lt-LT" w:bidi="lt-LT"/>
        </w:rPr>
        <w:t xml:space="preserve"> (</w:t>
      </w:r>
      <w:r w:rsidRPr="0084269B">
        <w:rPr>
          <w:i/>
          <w:lang w:val="lt-LT" w:eastAsia="lt-LT" w:bidi="lt-LT"/>
        </w:rPr>
        <w:t>Hypericum perforatum</w:t>
      </w:r>
      <w:r w:rsidRPr="0084269B">
        <w:rPr>
          <w:lang w:val="lt-LT" w:eastAsia="lt-LT" w:bidi="lt-LT"/>
        </w:rPr>
        <w:t xml:space="preserve">) preparatai (žoliniai preparatai nuo depresijos ir kitų sutrikimų); </w:t>
      </w:r>
    </w:p>
    <w:p w14:paraId="4A6133E3" w14:textId="6462E7CC" w:rsidR="0084269B" w:rsidRPr="0084269B" w:rsidRDefault="0084269B" w:rsidP="0084269B">
      <w:pPr>
        <w:numPr>
          <w:ilvl w:val="0"/>
          <w:numId w:val="19"/>
        </w:numPr>
        <w:spacing w:line="240" w:lineRule="auto"/>
        <w:ind w:left="567" w:right="-22" w:hanging="567"/>
        <w:contextualSpacing/>
        <w:rPr>
          <w:lang w:val="lt-LT" w:eastAsia="lt-LT" w:bidi="lt-LT"/>
        </w:rPr>
      </w:pPr>
      <w:r w:rsidRPr="0084269B">
        <w:rPr>
          <w:lang w:val="lt-LT" w:eastAsia="lt-LT" w:bidi="lt-LT"/>
        </w:rPr>
        <w:t xml:space="preserve">statinai (tokie kaip simvastatinas, lovastatinas, atorvastatinas, rozuvastatinas ar pravastatinas) (vartojami cholesterolio </w:t>
      </w:r>
      <w:r w:rsidR="00B635D5">
        <w:rPr>
          <w:lang w:val="lt-LT" w:eastAsia="lt-LT" w:bidi="lt-LT"/>
        </w:rPr>
        <w:t>koncentracijai</w:t>
      </w:r>
      <w:r w:rsidR="00B635D5" w:rsidRPr="0084269B">
        <w:rPr>
          <w:lang w:val="lt-LT" w:eastAsia="lt-LT" w:bidi="lt-LT"/>
        </w:rPr>
        <w:t xml:space="preserve"> </w:t>
      </w:r>
      <w:r w:rsidRPr="0084269B">
        <w:rPr>
          <w:lang w:val="lt-LT" w:eastAsia="lt-LT" w:bidi="lt-LT"/>
        </w:rPr>
        <w:t xml:space="preserve">kraujyje mažinti); </w:t>
      </w:r>
    </w:p>
    <w:p w14:paraId="0E1072F2" w14:textId="77777777" w:rsidR="0084269B" w:rsidRPr="0084269B" w:rsidRDefault="0084269B" w:rsidP="0084269B">
      <w:pPr>
        <w:numPr>
          <w:ilvl w:val="0"/>
          <w:numId w:val="19"/>
        </w:numPr>
        <w:spacing w:line="240" w:lineRule="auto"/>
        <w:ind w:left="567" w:right="-22" w:hanging="567"/>
        <w:contextualSpacing/>
        <w:rPr>
          <w:lang w:val="lt-LT" w:eastAsia="lt-LT" w:bidi="lt-LT"/>
        </w:rPr>
      </w:pPr>
      <w:r w:rsidRPr="0084269B">
        <w:rPr>
          <w:lang w:val="lt-LT" w:eastAsia="lt-LT" w:bidi="lt-LT"/>
        </w:rPr>
        <w:t xml:space="preserve">valsartanas (vartojamas esant padidėjusiam kraujospūdžiui); </w:t>
      </w:r>
    </w:p>
    <w:p w14:paraId="28165B79" w14:textId="77777777" w:rsidR="0084269B" w:rsidRPr="0084269B" w:rsidRDefault="0084269B" w:rsidP="0084269B">
      <w:pPr>
        <w:numPr>
          <w:ilvl w:val="0"/>
          <w:numId w:val="19"/>
        </w:numPr>
        <w:spacing w:line="240" w:lineRule="auto"/>
        <w:ind w:left="567" w:right="-22" w:hanging="567"/>
        <w:contextualSpacing/>
        <w:rPr>
          <w:noProof/>
          <w:szCs w:val="22"/>
          <w:lang w:val="lt-LT" w:eastAsia="lt-LT" w:bidi="lt-LT"/>
        </w:rPr>
      </w:pPr>
      <w:r w:rsidRPr="0084269B">
        <w:rPr>
          <w:lang w:val="lt-LT" w:eastAsia="lt-LT" w:bidi="lt-LT"/>
        </w:rPr>
        <w:t xml:space="preserve">repaglinidas (vartojamas </w:t>
      </w:r>
      <w:r w:rsidR="002B407D">
        <w:rPr>
          <w:lang w:val="lt-LT" w:eastAsia="lt-LT" w:bidi="lt-LT"/>
        </w:rPr>
        <w:t xml:space="preserve">cukriniam </w:t>
      </w:r>
      <w:r w:rsidRPr="0084269B">
        <w:rPr>
          <w:lang w:val="lt-LT" w:eastAsia="lt-LT" w:bidi="lt-LT"/>
        </w:rPr>
        <w:t xml:space="preserve">diabetui gydyti). </w:t>
      </w:r>
    </w:p>
    <w:p w14:paraId="7CBFF537" w14:textId="77777777" w:rsidR="0084269B" w:rsidRPr="0084269B" w:rsidRDefault="0084269B" w:rsidP="0084269B">
      <w:pPr>
        <w:spacing w:line="240" w:lineRule="auto"/>
        <w:ind w:right="-22"/>
        <w:rPr>
          <w:lang w:val="lt-LT" w:eastAsia="lt-LT" w:bidi="lt-LT"/>
        </w:rPr>
      </w:pPr>
    </w:p>
    <w:p w14:paraId="6B2F2B06" w14:textId="77777777" w:rsidR="0084269B" w:rsidRPr="0084269B" w:rsidRDefault="0084269B" w:rsidP="0084269B">
      <w:pPr>
        <w:spacing w:line="240" w:lineRule="auto"/>
        <w:ind w:right="-22"/>
        <w:rPr>
          <w:noProof/>
          <w:szCs w:val="22"/>
          <w:lang w:val="lt-LT" w:eastAsia="lt-LT" w:bidi="lt-LT"/>
        </w:rPr>
      </w:pPr>
      <w:r w:rsidRPr="0084269B">
        <w:rPr>
          <w:lang w:val="lt-LT" w:eastAsia="lt-LT" w:bidi="lt-LT"/>
        </w:rPr>
        <w:t>Jei gydymo Cabazitaxel Teva metu Jums reikės skiepytis, prieš tai pasitarkite su gydytoju.</w:t>
      </w:r>
    </w:p>
    <w:p w14:paraId="0B9282B0" w14:textId="77777777" w:rsidR="0084269B" w:rsidRPr="0084269B" w:rsidRDefault="0084269B" w:rsidP="0084269B">
      <w:pPr>
        <w:numPr>
          <w:ilvl w:val="12"/>
          <w:numId w:val="0"/>
        </w:numPr>
        <w:tabs>
          <w:tab w:val="clear" w:pos="567"/>
          <w:tab w:val="left" w:pos="720"/>
        </w:tabs>
        <w:spacing w:line="240" w:lineRule="auto"/>
        <w:ind w:right="-22"/>
        <w:rPr>
          <w:b/>
          <w:lang w:val="lt-LT" w:eastAsia="lt-LT" w:bidi="lt-LT"/>
        </w:rPr>
      </w:pPr>
    </w:p>
    <w:p w14:paraId="0EAC5702" w14:textId="77777777" w:rsidR="0084269B" w:rsidRPr="0084269B" w:rsidRDefault="0084269B" w:rsidP="0084269B">
      <w:pPr>
        <w:numPr>
          <w:ilvl w:val="12"/>
          <w:numId w:val="0"/>
        </w:numPr>
        <w:tabs>
          <w:tab w:val="clear" w:pos="567"/>
          <w:tab w:val="left" w:pos="720"/>
        </w:tabs>
        <w:spacing w:line="240" w:lineRule="auto"/>
        <w:ind w:right="-22"/>
        <w:outlineLvl w:val="0"/>
        <w:rPr>
          <w:b/>
          <w:noProof/>
          <w:szCs w:val="22"/>
          <w:lang w:val="lt-LT" w:eastAsia="lt-LT" w:bidi="lt-LT"/>
        </w:rPr>
      </w:pPr>
      <w:r w:rsidRPr="0084269B">
        <w:rPr>
          <w:b/>
          <w:noProof/>
          <w:lang w:val="lt-LT" w:eastAsia="lt-LT" w:bidi="lt-LT"/>
        </w:rPr>
        <w:t>Nėštumas, žindymo laikotarpis ir vaisingumas</w:t>
      </w:r>
    </w:p>
    <w:p w14:paraId="04929CA1" w14:textId="416371B3"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Cabazitaxel Teva  negalima vartoti nėštumo metu ir vaisingo</w:t>
      </w:r>
      <w:r w:rsidR="002B407D">
        <w:rPr>
          <w:lang w:val="lt-LT" w:eastAsia="lt-LT" w:bidi="lt-LT"/>
        </w:rPr>
        <w:t>ms</w:t>
      </w:r>
      <w:r w:rsidRPr="0084269B">
        <w:rPr>
          <w:lang w:val="lt-LT" w:eastAsia="lt-LT" w:bidi="lt-LT"/>
        </w:rPr>
        <w:t xml:space="preserve"> moterims, kurios nenaudoja kontracepcijos. </w:t>
      </w:r>
    </w:p>
    <w:p w14:paraId="078F891C"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288BA8A0" w14:textId="1F0DABC8"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Cabazitaxel Teva žindymo laikotarpiu vartoti negalima.</w:t>
      </w:r>
    </w:p>
    <w:p w14:paraId="10D0D779"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p>
    <w:p w14:paraId="36E6EC2A" w14:textId="77777777" w:rsidR="0084269B" w:rsidRPr="0084269B" w:rsidRDefault="0084269B" w:rsidP="0084269B">
      <w:pPr>
        <w:numPr>
          <w:ilvl w:val="12"/>
          <w:numId w:val="0"/>
        </w:numPr>
        <w:tabs>
          <w:tab w:val="clear" w:pos="567"/>
          <w:tab w:val="left" w:pos="720"/>
        </w:tabs>
        <w:spacing w:line="240" w:lineRule="auto"/>
        <w:ind w:right="-22"/>
        <w:outlineLvl w:val="0"/>
        <w:rPr>
          <w:b/>
          <w:noProof/>
          <w:lang w:val="lt-LT" w:eastAsia="lt-LT" w:bidi="lt-LT"/>
        </w:rPr>
      </w:pPr>
      <w:r w:rsidRPr="0084269B">
        <w:rPr>
          <w:lang w:val="lt-LT" w:eastAsia="lt-LT" w:bidi="lt-LT"/>
        </w:rPr>
        <w:t>Jeigu Jūsų partnerė yra nėščia arba gali pastoti, lytinių santykių metu naudokite prezervatyvą. Cabazitaxel Teva gali būti Jūsų sėkloje ir gali paveikti vaisių. Gydymo metu ir 6 mėnesius po to rekomenduojama neapvaisinti partnerės, be to, rekomenduojama pasikonsultuoti dėl spermos užšaldymo prieš gydymą, kadangi Cabazitaxel Teva gali veikti vyro vaisingumą.</w:t>
      </w:r>
    </w:p>
    <w:p w14:paraId="53FECB5E" w14:textId="77777777" w:rsidR="0084269B" w:rsidRPr="0084269B" w:rsidRDefault="0084269B" w:rsidP="0084269B">
      <w:pPr>
        <w:numPr>
          <w:ilvl w:val="12"/>
          <w:numId w:val="0"/>
        </w:numPr>
        <w:tabs>
          <w:tab w:val="clear" w:pos="567"/>
          <w:tab w:val="left" w:pos="720"/>
        </w:tabs>
        <w:spacing w:line="240" w:lineRule="auto"/>
        <w:ind w:right="-22"/>
        <w:outlineLvl w:val="0"/>
        <w:rPr>
          <w:b/>
          <w:noProof/>
          <w:lang w:val="lt-LT" w:eastAsia="lt-LT" w:bidi="lt-LT"/>
        </w:rPr>
      </w:pPr>
    </w:p>
    <w:p w14:paraId="70CCB341" w14:textId="77777777" w:rsidR="0084269B" w:rsidRPr="0084269B" w:rsidRDefault="0084269B" w:rsidP="0084269B">
      <w:pPr>
        <w:numPr>
          <w:ilvl w:val="12"/>
          <w:numId w:val="0"/>
        </w:numPr>
        <w:tabs>
          <w:tab w:val="clear" w:pos="567"/>
          <w:tab w:val="left" w:pos="720"/>
        </w:tabs>
        <w:spacing w:line="240" w:lineRule="auto"/>
        <w:ind w:right="-22"/>
        <w:outlineLvl w:val="0"/>
        <w:rPr>
          <w:noProof/>
          <w:szCs w:val="22"/>
          <w:lang w:val="lt-LT" w:eastAsia="lt-LT" w:bidi="lt-LT"/>
        </w:rPr>
      </w:pPr>
      <w:r w:rsidRPr="0084269B">
        <w:rPr>
          <w:b/>
          <w:noProof/>
          <w:lang w:val="lt-LT" w:eastAsia="lt-LT" w:bidi="lt-LT"/>
        </w:rPr>
        <w:t>Vairavimas ir mechanizmų valdymas</w:t>
      </w:r>
    </w:p>
    <w:p w14:paraId="7805CA35" w14:textId="6A83E3A2"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r w:rsidRPr="0084269B">
        <w:rPr>
          <w:lang w:val="lt-LT" w:eastAsia="lt-LT" w:bidi="lt-LT"/>
        </w:rPr>
        <w:t xml:space="preserve">Gydymo šiuo vaistu metu gali atsirasti </w:t>
      </w:r>
      <w:r w:rsidR="002B407D">
        <w:rPr>
          <w:lang w:val="lt-LT" w:eastAsia="lt-LT" w:bidi="lt-LT"/>
        </w:rPr>
        <w:t>svaigulys</w:t>
      </w:r>
      <w:r w:rsidRPr="0084269B">
        <w:rPr>
          <w:lang w:val="lt-LT" w:eastAsia="lt-LT" w:bidi="lt-LT"/>
        </w:rPr>
        <w:t xml:space="preserve"> ar nuovargis. Tokiu atveju nevairuokite ir nevaldykite mechanizmų tol, kol nepasijusite geriau.</w:t>
      </w:r>
    </w:p>
    <w:p w14:paraId="112B4E5D" w14:textId="77777777" w:rsidR="0084269B" w:rsidRPr="0084269B" w:rsidRDefault="0084269B" w:rsidP="0084269B">
      <w:pPr>
        <w:numPr>
          <w:ilvl w:val="12"/>
          <w:numId w:val="0"/>
        </w:numPr>
        <w:tabs>
          <w:tab w:val="clear" w:pos="567"/>
          <w:tab w:val="left" w:pos="720"/>
        </w:tabs>
        <w:spacing w:line="240" w:lineRule="auto"/>
        <w:ind w:right="-22"/>
        <w:outlineLvl w:val="0"/>
        <w:rPr>
          <w:b/>
          <w:noProof/>
          <w:lang w:val="lt-LT" w:eastAsia="lt-LT" w:bidi="lt-LT"/>
        </w:rPr>
      </w:pPr>
    </w:p>
    <w:p w14:paraId="456A0A0B" w14:textId="77777777" w:rsidR="0084269B" w:rsidRDefault="0084269B" w:rsidP="0084269B">
      <w:pPr>
        <w:numPr>
          <w:ilvl w:val="12"/>
          <w:numId w:val="0"/>
        </w:numPr>
        <w:tabs>
          <w:tab w:val="clear" w:pos="567"/>
          <w:tab w:val="left" w:pos="720"/>
        </w:tabs>
        <w:spacing w:line="240" w:lineRule="auto"/>
        <w:ind w:right="-22"/>
        <w:outlineLvl w:val="0"/>
        <w:rPr>
          <w:b/>
          <w:noProof/>
          <w:lang w:val="lt-LT" w:eastAsia="lt-LT" w:bidi="lt-LT"/>
        </w:rPr>
      </w:pPr>
      <w:r w:rsidRPr="0084269B">
        <w:rPr>
          <w:b/>
          <w:lang w:val="lt-LT" w:eastAsia="lt-LT" w:bidi="lt-LT"/>
        </w:rPr>
        <w:t>Cabazitaxel Teva</w:t>
      </w:r>
      <w:r w:rsidRPr="0084269B">
        <w:rPr>
          <w:b/>
          <w:noProof/>
          <w:lang w:val="lt-LT" w:eastAsia="lt-LT" w:bidi="lt-LT"/>
        </w:rPr>
        <w:t xml:space="preserve"> sudėtyje yra alkoholio</w:t>
      </w:r>
    </w:p>
    <w:p w14:paraId="1010340C" w14:textId="77777777" w:rsidR="001E0858" w:rsidRPr="00894A0A" w:rsidRDefault="001E0858" w:rsidP="0084269B">
      <w:pPr>
        <w:numPr>
          <w:ilvl w:val="12"/>
          <w:numId w:val="0"/>
        </w:numPr>
        <w:tabs>
          <w:tab w:val="clear" w:pos="567"/>
          <w:tab w:val="left" w:pos="720"/>
        </w:tabs>
        <w:spacing w:line="240" w:lineRule="auto"/>
        <w:ind w:right="-22"/>
        <w:outlineLvl w:val="0"/>
        <w:rPr>
          <w:noProof/>
          <w:szCs w:val="22"/>
          <w:lang w:val="lt-LT" w:eastAsia="lt-LT" w:bidi="lt-LT"/>
        </w:rPr>
      </w:pPr>
      <w:r w:rsidRPr="00894A0A">
        <w:rPr>
          <w:noProof/>
          <w:lang w:val="lt-LT" w:eastAsia="lt-LT" w:bidi="lt-LT"/>
        </w:rPr>
        <w:t>Kiekviename šio vaisto 6</w:t>
      </w:r>
      <w:r w:rsidRPr="001E0858">
        <w:rPr>
          <w:lang w:val="lt-LT" w:eastAsia="lt-LT" w:bidi="lt-LT"/>
        </w:rPr>
        <w:t> </w:t>
      </w:r>
      <w:r w:rsidRPr="00894A0A">
        <w:rPr>
          <w:noProof/>
          <w:lang w:val="lt-LT" w:eastAsia="lt-LT" w:bidi="lt-LT"/>
        </w:rPr>
        <w:t>ml</w:t>
      </w:r>
      <w:r w:rsidR="006360C0" w:rsidRPr="006360C0">
        <w:rPr>
          <w:noProof/>
          <w:lang w:val="lt-LT" w:eastAsia="lt-LT" w:bidi="lt-LT"/>
        </w:rPr>
        <w:t xml:space="preserve"> koncentrato flakone</w:t>
      </w:r>
      <w:r w:rsidRPr="00894A0A">
        <w:rPr>
          <w:noProof/>
          <w:lang w:val="lt-LT" w:eastAsia="lt-LT" w:bidi="lt-LT"/>
        </w:rPr>
        <w:t xml:space="preserve"> yra 1092</w:t>
      </w:r>
      <w:r w:rsidRPr="001E0858">
        <w:rPr>
          <w:lang w:val="lt-LT" w:eastAsia="lt-LT" w:bidi="lt-LT"/>
        </w:rPr>
        <w:t> </w:t>
      </w:r>
      <w:r w:rsidRPr="00894A0A">
        <w:rPr>
          <w:noProof/>
          <w:lang w:val="lt-LT" w:eastAsia="lt-LT" w:bidi="lt-LT"/>
        </w:rPr>
        <w:t>mg alkoholio (etanolio), atitinkančio 23</w:t>
      </w:r>
      <w:r w:rsidRPr="001E0858">
        <w:rPr>
          <w:lang w:val="lt-LT" w:eastAsia="lt-LT" w:bidi="lt-LT"/>
        </w:rPr>
        <w:t> </w:t>
      </w:r>
      <w:r w:rsidRPr="00894A0A">
        <w:rPr>
          <w:noProof/>
          <w:lang w:val="lt-LT" w:eastAsia="lt-LT" w:bidi="lt-LT"/>
        </w:rPr>
        <w:t>% tūrio</w:t>
      </w:r>
      <w:r>
        <w:rPr>
          <w:noProof/>
          <w:lang w:val="lt-LT" w:eastAsia="lt-LT" w:bidi="lt-LT"/>
        </w:rPr>
        <w:t>.</w:t>
      </w:r>
    </w:p>
    <w:p w14:paraId="58A960FD" w14:textId="589666D1"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szCs w:val="22"/>
          <w:lang w:val="lt-LT" w:eastAsia="lt-LT" w:bidi="lt-LT"/>
        </w:rPr>
        <w:lastRenderedPageBreak/>
        <w:t>Šio vaisto 6 </w:t>
      </w:r>
      <w:r w:rsidRPr="0084269B">
        <w:rPr>
          <w:lang w:val="lt-LT" w:eastAsia="lt-LT" w:bidi="lt-LT"/>
        </w:rPr>
        <w:t xml:space="preserve">ml atitinka 27,6 ml alaus arba 11,04 ml vyno. </w:t>
      </w:r>
    </w:p>
    <w:p w14:paraId="74FA9F53"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4DBF360D"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Šiame vaiste esantis alkoholis gali turėti įtakos kitų vaistų poveikiui. Jeigu vartojate kitus vaistus, pasitarkite su gydytoju arba vaistininku.</w:t>
      </w:r>
    </w:p>
    <w:p w14:paraId="3B897726"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23ACD242"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Jeigu Jūs sergate priklausomybe alkoholiui, prieš šio vaisto vartojimą pasitarkite su gydytoju arba vaistininku.</w:t>
      </w:r>
    </w:p>
    <w:p w14:paraId="380B0592"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p>
    <w:p w14:paraId="19E1727B" w14:textId="77777777" w:rsidR="0084269B" w:rsidRPr="0084269B" w:rsidRDefault="0084269B" w:rsidP="0084269B">
      <w:pPr>
        <w:keepNext/>
        <w:numPr>
          <w:ilvl w:val="0"/>
          <w:numId w:val="13"/>
        </w:numPr>
        <w:spacing w:line="240" w:lineRule="auto"/>
        <w:ind w:left="567" w:right="-22"/>
        <w:rPr>
          <w:b/>
          <w:noProof/>
          <w:szCs w:val="22"/>
          <w:lang w:val="lt-LT" w:eastAsia="lt-LT" w:bidi="lt-LT"/>
        </w:rPr>
      </w:pPr>
      <w:r w:rsidRPr="0084269B">
        <w:rPr>
          <w:b/>
          <w:noProof/>
          <w:lang w:val="lt-LT" w:eastAsia="lt-LT" w:bidi="lt-LT"/>
        </w:rPr>
        <w:t xml:space="preserve">Kaip vartoti </w:t>
      </w:r>
      <w:r w:rsidRPr="0084269B">
        <w:rPr>
          <w:b/>
          <w:lang w:val="lt-LT" w:eastAsia="lt-LT" w:bidi="lt-LT"/>
        </w:rPr>
        <w:t>Cabazitaxel Teva</w:t>
      </w:r>
    </w:p>
    <w:p w14:paraId="78F19440" w14:textId="77777777" w:rsidR="0084269B" w:rsidRPr="0084269B" w:rsidRDefault="0084269B" w:rsidP="0084269B">
      <w:pPr>
        <w:keepNext/>
        <w:tabs>
          <w:tab w:val="clear" w:pos="567"/>
          <w:tab w:val="left" w:pos="720"/>
        </w:tabs>
        <w:spacing w:line="240" w:lineRule="auto"/>
        <w:ind w:right="-22"/>
        <w:rPr>
          <w:noProof/>
          <w:szCs w:val="22"/>
          <w:lang w:val="lt-LT" w:eastAsia="lt-LT" w:bidi="lt-LT"/>
        </w:rPr>
      </w:pPr>
    </w:p>
    <w:p w14:paraId="66D14499" w14:textId="77777777" w:rsidR="0084269B" w:rsidRPr="0084269B" w:rsidRDefault="0084269B" w:rsidP="0084269B">
      <w:pPr>
        <w:numPr>
          <w:ilvl w:val="12"/>
          <w:numId w:val="0"/>
        </w:numPr>
        <w:tabs>
          <w:tab w:val="clear" w:pos="567"/>
          <w:tab w:val="left" w:pos="720"/>
        </w:tabs>
        <w:spacing w:line="240" w:lineRule="auto"/>
        <w:ind w:right="-22"/>
        <w:rPr>
          <w:i/>
          <w:lang w:val="lt-LT" w:eastAsia="lt-LT" w:bidi="lt-LT"/>
        </w:rPr>
      </w:pPr>
      <w:r w:rsidRPr="0084269B">
        <w:rPr>
          <w:i/>
          <w:lang w:val="lt-LT" w:eastAsia="lt-LT" w:bidi="lt-LT"/>
        </w:rPr>
        <w:t xml:space="preserve">Vartojimo instrukcijos </w:t>
      </w:r>
    </w:p>
    <w:p w14:paraId="05418A69"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Siekiant sumažinti alerginių reakcijų riziką, prieš Cabazitaxel Teva vartojimą Jums bus skirta vaistų nuo alergijos. </w:t>
      </w:r>
    </w:p>
    <w:p w14:paraId="3E67960B" w14:textId="1CF33592" w:rsidR="0084269B" w:rsidRPr="0084269B" w:rsidRDefault="0084269B" w:rsidP="0084269B">
      <w:pPr>
        <w:numPr>
          <w:ilvl w:val="0"/>
          <w:numId w:val="20"/>
        </w:numPr>
        <w:spacing w:line="240" w:lineRule="auto"/>
        <w:ind w:left="567" w:right="-22" w:hanging="567"/>
        <w:contextualSpacing/>
        <w:rPr>
          <w:lang w:val="lt-LT" w:eastAsia="lt-LT" w:bidi="lt-LT"/>
        </w:rPr>
      </w:pPr>
      <w:r w:rsidRPr="0084269B">
        <w:rPr>
          <w:lang w:val="lt-LT" w:eastAsia="lt-LT" w:bidi="lt-LT"/>
        </w:rPr>
        <w:t>Cabazitaxel Teva Jums sul</w:t>
      </w:r>
      <w:r w:rsidR="002B407D">
        <w:rPr>
          <w:lang w:val="lt-LT" w:eastAsia="lt-LT" w:bidi="lt-LT"/>
        </w:rPr>
        <w:t>eis</w:t>
      </w:r>
      <w:r w:rsidRPr="0084269B">
        <w:rPr>
          <w:lang w:val="lt-LT" w:eastAsia="lt-LT" w:bidi="lt-LT"/>
        </w:rPr>
        <w:t xml:space="preserve"> gydytojas arba slaugytojas. </w:t>
      </w:r>
    </w:p>
    <w:p w14:paraId="26F3EACE" w14:textId="77777777" w:rsidR="0084269B" w:rsidRPr="0084269B" w:rsidRDefault="0084269B" w:rsidP="0084269B">
      <w:pPr>
        <w:numPr>
          <w:ilvl w:val="0"/>
          <w:numId w:val="20"/>
        </w:numPr>
        <w:spacing w:line="240" w:lineRule="auto"/>
        <w:ind w:left="567" w:right="-22" w:hanging="567"/>
        <w:contextualSpacing/>
        <w:rPr>
          <w:lang w:val="lt-LT" w:eastAsia="lt-LT" w:bidi="lt-LT"/>
        </w:rPr>
      </w:pPr>
      <w:r w:rsidRPr="0084269B">
        <w:rPr>
          <w:lang w:val="lt-LT" w:eastAsia="lt-LT" w:bidi="lt-LT"/>
        </w:rPr>
        <w:t xml:space="preserve">Cabazitaxel Teva prieš vartojimą būtina paruošti (praskiesti). Šiame lapelyje pateikta gydytojams, slaugytojams ir vaistininkams skirtos praktinės informacijos apie Cabazitaxel Teva ruošimą ir vartojimą. </w:t>
      </w:r>
    </w:p>
    <w:p w14:paraId="7683AD43" w14:textId="395AED1E" w:rsidR="0084269B" w:rsidRPr="0084269B" w:rsidRDefault="0084269B" w:rsidP="0084269B">
      <w:pPr>
        <w:numPr>
          <w:ilvl w:val="0"/>
          <w:numId w:val="20"/>
        </w:numPr>
        <w:spacing w:line="240" w:lineRule="auto"/>
        <w:ind w:left="567" w:right="-22" w:hanging="567"/>
        <w:contextualSpacing/>
        <w:rPr>
          <w:lang w:val="lt-LT" w:eastAsia="lt-LT" w:bidi="lt-LT"/>
        </w:rPr>
      </w:pPr>
      <w:r w:rsidRPr="0084269B">
        <w:rPr>
          <w:lang w:val="lt-LT" w:eastAsia="lt-LT" w:bidi="lt-LT"/>
        </w:rPr>
        <w:t xml:space="preserve">Cabazitaxel Teva Jums ligoninėje bus </w:t>
      </w:r>
      <w:r w:rsidR="002B407D" w:rsidRPr="0084269B">
        <w:rPr>
          <w:lang w:val="lt-LT" w:eastAsia="lt-LT" w:bidi="lt-LT"/>
        </w:rPr>
        <w:t>sul</w:t>
      </w:r>
      <w:r w:rsidR="002B407D">
        <w:rPr>
          <w:lang w:val="lt-LT" w:eastAsia="lt-LT" w:bidi="lt-LT"/>
        </w:rPr>
        <w:t>eidžiama</w:t>
      </w:r>
      <w:r w:rsidR="002B407D" w:rsidRPr="0084269B">
        <w:rPr>
          <w:lang w:val="lt-LT" w:eastAsia="lt-LT" w:bidi="lt-LT"/>
        </w:rPr>
        <w:t xml:space="preserve"> </w:t>
      </w:r>
      <w:r w:rsidRPr="0084269B">
        <w:rPr>
          <w:lang w:val="lt-LT" w:eastAsia="lt-LT" w:bidi="lt-LT"/>
        </w:rPr>
        <w:t xml:space="preserve">(infuzuojama) į vieną iš venų maždaug per valandą. </w:t>
      </w:r>
    </w:p>
    <w:p w14:paraId="349AC7AB" w14:textId="704771E2" w:rsidR="0084269B" w:rsidRPr="0084269B" w:rsidRDefault="0084269B" w:rsidP="0084269B">
      <w:pPr>
        <w:numPr>
          <w:ilvl w:val="0"/>
          <w:numId w:val="20"/>
        </w:numPr>
        <w:spacing w:line="240" w:lineRule="auto"/>
        <w:ind w:left="567" w:right="-22" w:hanging="567"/>
        <w:contextualSpacing/>
        <w:rPr>
          <w:lang w:val="lt-LT" w:eastAsia="lt-LT" w:bidi="lt-LT"/>
        </w:rPr>
      </w:pPr>
      <w:r w:rsidRPr="0084269B">
        <w:rPr>
          <w:lang w:val="lt-LT" w:eastAsia="lt-LT" w:bidi="lt-LT"/>
        </w:rPr>
        <w:t>Be to, gydymo metu kasdien gersite kortikosteroid</w:t>
      </w:r>
      <w:r w:rsidR="002B407D">
        <w:rPr>
          <w:lang w:val="lt-LT" w:eastAsia="lt-LT" w:bidi="lt-LT"/>
        </w:rPr>
        <w:t>ini</w:t>
      </w:r>
      <w:r w:rsidRPr="0084269B">
        <w:rPr>
          <w:lang w:val="lt-LT" w:eastAsia="lt-LT" w:bidi="lt-LT"/>
        </w:rPr>
        <w:t>ų</w:t>
      </w:r>
      <w:r w:rsidR="002B407D">
        <w:rPr>
          <w:lang w:val="lt-LT" w:eastAsia="lt-LT" w:bidi="lt-LT"/>
        </w:rPr>
        <w:t xml:space="preserve"> vaistų</w:t>
      </w:r>
      <w:r w:rsidRPr="0084269B">
        <w:rPr>
          <w:lang w:val="lt-LT" w:eastAsia="lt-LT" w:bidi="lt-LT"/>
        </w:rPr>
        <w:t xml:space="preserve"> (prednizono ar prednizolono). </w:t>
      </w:r>
    </w:p>
    <w:p w14:paraId="30EACD5A" w14:textId="77777777" w:rsidR="0084269B" w:rsidRPr="0084269B" w:rsidRDefault="0084269B" w:rsidP="0084269B">
      <w:pPr>
        <w:spacing w:line="240" w:lineRule="auto"/>
        <w:ind w:right="-22"/>
        <w:rPr>
          <w:lang w:val="lt-LT" w:eastAsia="lt-LT" w:bidi="lt-LT"/>
        </w:rPr>
      </w:pPr>
    </w:p>
    <w:p w14:paraId="3AD4D48E" w14:textId="77777777" w:rsidR="0084269B" w:rsidRPr="0084269B" w:rsidRDefault="0084269B" w:rsidP="0084269B">
      <w:pPr>
        <w:spacing w:line="240" w:lineRule="auto"/>
        <w:ind w:right="-22"/>
        <w:rPr>
          <w:i/>
          <w:lang w:val="lt-LT" w:eastAsia="lt-LT" w:bidi="lt-LT"/>
        </w:rPr>
      </w:pPr>
      <w:r w:rsidRPr="0084269B">
        <w:rPr>
          <w:i/>
          <w:lang w:val="lt-LT" w:eastAsia="lt-LT" w:bidi="lt-LT"/>
        </w:rPr>
        <w:t xml:space="preserve">Kiek ir kaip dažnai vaisto bus vartojama </w:t>
      </w:r>
    </w:p>
    <w:p w14:paraId="11EB23C8" w14:textId="77777777" w:rsidR="0084269B" w:rsidRPr="0084269B" w:rsidRDefault="0084269B" w:rsidP="0084269B">
      <w:pPr>
        <w:numPr>
          <w:ilvl w:val="0"/>
          <w:numId w:val="20"/>
        </w:numPr>
        <w:spacing w:line="240" w:lineRule="auto"/>
        <w:ind w:left="567" w:right="-22" w:hanging="567"/>
        <w:contextualSpacing/>
        <w:rPr>
          <w:lang w:val="lt-LT" w:eastAsia="lt-LT" w:bidi="lt-LT"/>
        </w:rPr>
      </w:pPr>
      <w:r w:rsidRPr="0084269B">
        <w:rPr>
          <w:lang w:val="lt-LT" w:eastAsia="lt-LT" w:bidi="lt-LT"/>
        </w:rPr>
        <w:t xml:space="preserve">Įprasta dozė priklauso nuo Jūsų kūno paviršiaus ploto. Gydytojas apskaičiuos Jūsų kūno paviršiaus plotą kvadratiniais metrais (m²) ir nuspręs, kokios dozės Jums reikia. </w:t>
      </w:r>
    </w:p>
    <w:p w14:paraId="04C85B1E" w14:textId="77777777" w:rsidR="0084269B" w:rsidRPr="0084269B" w:rsidRDefault="0084269B" w:rsidP="0084269B">
      <w:pPr>
        <w:numPr>
          <w:ilvl w:val="0"/>
          <w:numId w:val="20"/>
        </w:numPr>
        <w:spacing w:line="240" w:lineRule="auto"/>
        <w:ind w:left="567" w:right="-22" w:hanging="567"/>
        <w:contextualSpacing/>
        <w:rPr>
          <w:lang w:val="lt-LT" w:eastAsia="lt-LT" w:bidi="lt-LT"/>
        </w:rPr>
      </w:pPr>
      <w:r w:rsidRPr="0084269B">
        <w:rPr>
          <w:lang w:val="lt-LT" w:eastAsia="lt-LT" w:bidi="lt-LT"/>
        </w:rPr>
        <w:t xml:space="preserve">Paprastai kas 3 savaites Jums bus atliekama viena infuzija. </w:t>
      </w:r>
    </w:p>
    <w:p w14:paraId="155C4EDD" w14:textId="77777777" w:rsidR="0084269B" w:rsidRPr="0084269B" w:rsidRDefault="0084269B" w:rsidP="0084269B">
      <w:pPr>
        <w:spacing w:line="240" w:lineRule="auto"/>
        <w:ind w:right="-22"/>
        <w:rPr>
          <w:lang w:val="lt-LT" w:eastAsia="lt-LT" w:bidi="lt-LT"/>
        </w:rPr>
      </w:pPr>
    </w:p>
    <w:p w14:paraId="114A3A45" w14:textId="77777777" w:rsidR="0084269B" w:rsidRPr="0084269B" w:rsidRDefault="0084269B" w:rsidP="0084269B">
      <w:pPr>
        <w:spacing w:line="240" w:lineRule="auto"/>
        <w:ind w:right="-22"/>
        <w:rPr>
          <w:lang w:val="lt-LT" w:eastAsia="lt-LT" w:bidi="lt-LT"/>
        </w:rPr>
      </w:pPr>
      <w:r w:rsidRPr="0084269B">
        <w:rPr>
          <w:lang w:val="lt-LT" w:eastAsia="lt-LT" w:bidi="lt-LT"/>
        </w:rPr>
        <w:t>Jeigu kiltų daugiau klausimų dėl šio vaisto vartojimo, kreipkitės į gydytoją, vaistininką arba slaugytoją.</w:t>
      </w:r>
    </w:p>
    <w:p w14:paraId="67AA3591" w14:textId="77777777" w:rsidR="0084269B" w:rsidRPr="0084269B" w:rsidRDefault="0084269B" w:rsidP="0084269B">
      <w:pPr>
        <w:autoSpaceDE w:val="0"/>
        <w:autoSpaceDN w:val="0"/>
        <w:adjustRightInd w:val="0"/>
        <w:spacing w:line="240" w:lineRule="auto"/>
        <w:ind w:left="567" w:right="-22" w:hanging="567"/>
        <w:rPr>
          <w:b/>
          <w:lang w:val="lt-LT" w:eastAsia="lt-LT" w:bidi="lt-LT"/>
        </w:rPr>
      </w:pPr>
    </w:p>
    <w:p w14:paraId="07D5E6FA"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340ABC7E" w14:textId="77777777" w:rsidR="0084269B" w:rsidRPr="0084269B" w:rsidRDefault="0084269B" w:rsidP="0084269B">
      <w:pPr>
        <w:keepNext/>
        <w:numPr>
          <w:ilvl w:val="0"/>
          <w:numId w:val="13"/>
        </w:numPr>
        <w:spacing w:line="240" w:lineRule="auto"/>
        <w:ind w:left="567" w:right="-22"/>
        <w:rPr>
          <w:lang w:val="lt-LT" w:eastAsia="lt-LT" w:bidi="lt-LT"/>
        </w:rPr>
      </w:pPr>
      <w:r w:rsidRPr="0084269B">
        <w:rPr>
          <w:b/>
          <w:lang w:val="lt-LT" w:eastAsia="lt-LT" w:bidi="lt-LT"/>
        </w:rPr>
        <w:t>Galimas šalutinis poveikis</w:t>
      </w:r>
    </w:p>
    <w:p w14:paraId="1AEE060B" w14:textId="77777777" w:rsidR="0084269B" w:rsidRPr="0084269B" w:rsidRDefault="0084269B" w:rsidP="0084269B">
      <w:pPr>
        <w:keepNext/>
        <w:tabs>
          <w:tab w:val="clear" w:pos="567"/>
          <w:tab w:val="left" w:pos="720"/>
        </w:tabs>
        <w:spacing w:line="240" w:lineRule="auto"/>
        <w:ind w:right="-22"/>
        <w:rPr>
          <w:lang w:val="lt-LT" w:eastAsia="lt-LT" w:bidi="lt-LT"/>
        </w:rPr>
      </w:pPr>
    </w:p>
    <w:p w14:paraId="386A866C"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Šis vaistas, kaip ir kiti vaistai, gali sukelti šalutinį poveikį, nors jis pasireiškia ne visiems žmonėms. Gydytojas aptars su Jumis galimą šalutinį poveikį ir paaiškins galimą gydymo riziką ir naudą. </w:t>
      </w:r>
    </w:p>
    <w:p w14:paraId="69B3C070"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2FEA7569" w14:textId="77777777" w:rsidR="0084269B" w:rsidRPr="0084269B" w:rsidRDefault="0084269B" w:rsidP="0084269B">
      <w:pPr>
        <w:tabs>
          <w:tab w:val="clear" w:pos="567"/>
          <w:tab w:val="left" w:pos="720"/>
        </w:tabs>
        <w:spacing w:line="240" w:lineRule="auto"/>
        <w:ind w:right="-22"/>
        <w:rPr>
          <w:lang w:val="lt-LT" w:eastAsia="lt-LT" w:bidi="lt-LT"/>
        </w:rPr>
      </w:pPr>
      <w:r w:rsidRPr="0084269B">
        <w:rPr>
          <w:b/>
          <w:lang w:val="lt-LT" w:eastAsia="lt-LT" w:bidi="lt-LT"/>
        </w:rPr>
        <w:t>Jei pasireikš bet kuris iš toliau išvardintų šalutinių poveikių, nedelsdamas kreipkitės į gydytoją</w:t>
      </w:r>
      <w:r w:rsidRPr="0084269B">
        <w:rPr>
          <w:lang w:val="lt-LT" w:eastAsia="lt-LT" w:bidi="lt-LT"/>
        </w:rPr>
        <w:t xml:space="preserve">: </w:t>
      </w:r>
    </w:p>
    <w:p w14:paraId="50A70620" w14:textId="7FE8F112" w:rsidR="0084269B" w:rsidRPr="0084269B" w:rsidRDefault="0084269B" w:rsidP="0084269B">
      <w:pPr>
        <w:numPr>
          <w:ilvl w:val="0"/>
          <w:numId w:val="21"/>
        </w:numPr>
        <w:spacing w:line="240" w:lineRule="auto"/>
        <w:ind w:left="567" w:right="-22" w:hanging="567"/>
        <w:contextualSpacing/>
        <w:rPr>
          <w:lang w:val="lt-LT" w:eastAsia="lt-LT" w:bidi="lt-LT"/>
        </w:rPr>
      </w:pPr>
      <w:r w:rsidRPr="0084269B">
        <w:rPr>
          <w:lang w:val="lt-LT" w:eastAsia="lt-LT" w:bidi="lt-LT"/>
        </w:rPr>
        <w:t>karščiavimas (</w:t>
      </w:r>
      <w:r w:rsidR="00F66002">
        <w:rPr>
          <w:lang w:val="lt-LT" w:eastAsia="lt-LT" w:bidi="lt-LT"/>
        </w:rPr>
        <w:t>aukšta</w:t>
      </w:r>
      <w:r w:rsidRPr="0084269B">
        <w:rPr>
          <w:lang w:val="lt-LT" w:eastAsia="lt-LT" w:bidi="lt-LT"/>
        </w:rPr>
        <w:t xml:space="preserve"> temperatūra). Toks poveikis yra labai dažnas (gali atsirasti dažniau kaip 1 asmeniui iš 10); </w:t>
      </w:r>
    </w:p>
    <w:p w14:paraId="32A2D051" w14:textId="79CDBCC5" w:rsidR="0084269B" w:rsidRPr="0084269B" w:rsidRDefault="0084269B" w:rsidP="0084269B">
      <w:pPr>
        <w:numPr>
          <w:ilvl w:val="0"/>
          <w:numId w:val="21"/>
        </w:numPr>
        <w:spacing w:line="240" w:lineRule="auto"/>
        <w:ind w:left="567" w:right="-22" w:hanging="567"/>
        <w:contextualSpacing/>
        <w:rPr>
          <w:lang w:val="lt-LT" w:eastAsia="lt-LT" w:bidi="lt-LT"/>
        </w:rPr>
      </w:pPr>
      <w:r w:rsidRPr="0084269B">
        <w:rPr>
          <w:lang w:val="lt-LT" w:eastAsia="lt-LT" w:bidi="lt-LT"/>
        </w:rPr>
        <w:t xml:space="preserve">sunkus organizmo skysčių netekimas (dehidratacija). Toks poveikis yra dažnas (gali atsirasti </w:t>
      </w:r>
      <w:r w:rsidR="00F66002">
        <w:rPr>
          <w:lang w:val="lt-LT" w:eastAsia="lt-LT" w:bidi="lt-LT"/>
        </w:rPr>
        <w:t>rečiau</w:t>
      </w:r>
      <w:r w:rsidR="00F66002" w:rsidRPr="0084269B">
        <w:rPr>
          <w:lang w:val="lt-LT" w:eastAsia="lt-LT" w:bidi="lt-LT"/>
        </w:rPr>
        <w:t xml:space="preserve"> </w:t>
      </w:r>
      <w:r w:rsidRPr="0084269B">
        <w:rPr>
          <w:lang w:val="lt-LT" w:eastAsia="lt-LT" w:bidi="lt-LT"/>
        </w:rPr>
        <w:t xml:space="preserve">kaip 1 asmeniui iš 10). Toks poveikis gali pasireikšti, jei sunkiai ar ilgai viduriuojate, karščiuojate ar vemiate; </w:t>
      </w:r>
    </w:p>
    <w:p w14:paraId="2B1E9356" w14:textId="77777777" w:rsidR="0084269B" w:rsidRPr="0084269B" w:rsidRDefault="0084269B" w:rsidP="0084269B">
      <w:pPr>
        <w:numPr>
          <w:ilvl w:val="0"/>
          <w:numId w:val="21"/>
        </w:numPr>
        <w:spacing w:line="240" w:lineRule="auto"/>
        <w:ind w:left="567" w:right="-22" w:hanging="567"/>
        <w:contextualSpacing/>
        <w:rPr>
          <w:lang w:val="lt-LT" w:eastAsia="lt-LT" w:bidi="lt-LT"/>
        </w:rPr>
      </w:pPr>
      <w:r w:rsidRPr="0084269B">
        <w:rPr>
          <w:lang w:val="lt-LT" w:eastAsia="lt-LT" w:bidi="lt-LT"/>
        </w:rPr>
        <w:t xml:space="preserve">stiprus arba nuolatinis pilvo skausmas. Jis gali pasireikšti, jeigu Jūsų skrandyje, stemplėje, žarnoje arba žarnyne yra kiaurymė (virškinimo trakto prakiurimas). Tai gali baigtis mirtimi. </w:t>
      </w:r>
    </w:p>
    <w:p w14:paraId="4F0710E6" w14:textId="77777777" w:rsidR="0084269B" w:rsidRPr="0084269B" w:rsidRDefault="0084269B" w:rsidP="0084269B">
      <w:pPr>
        <w:spacing w:line="240" w:lineRule="auto"/>
        <w:ind w:right="-22"/>
        <w:rPr>
          <w:lang w:val="lt-LT" w:eastAsia="lt-LT" w:bidi="lt-LT"/>
        </w:rPr>
      </w:pPr>
    </w:p>
    <w:p w14:paraId="5D202C68" w14:textId="77777777" w:rsidR="0084269B" w:rsidRPr="0084269B" w:rsidRDefault="0084269B" w:rsidP="0084269B">
      <w:pPr>
        <w:spacing w:line="240" w:lineRule="auto"/>
        <w:ind w:right="-22"/>
        <w:rPr>
          <w:lang w:val="lt-LT" w:eastAsia="lt-LT" w:bidi="lt-LT"/>
        </w:rPr>
      </w:pPr>
      <w:r w:rsidRPr="0084269B">
        <w:rPr>
          <w:lang w:val="lt-LT" w:eastAsia="lt-LT" w:bidi="lt-LT"/>
        </w:rPr>
        <w:t xml:space="preserve">Jeigu bet kuri paminėta būklė Jums tinka, nedelsdamas pasakykite gydytojui. </w:t>
      </w:r>
    </w:p>
    <w:p w14:paraId="36547E5A" w14:textId="77777777" w:rsidR="0084269B" w:rsidRPr="0084269B" w:rsidRDefault="0084269B" w:rsidP="0084269B">
      <w:pPr>
        <w:numPr>
          <w:ilvl w:val="12"/>
          <w:numId w:val="0"/>
        </w:numPr>
        <w:tabs>
          <w:tab w:val="clear" w:pos="567"/>
          <w:tab w:val="left" w:pos="720"/>
        </w:tabs>
        <w:spacing w:line="240" w:lineRule="auto"/>
        <w:ind w:right="-22"/>
        <w:rPr>
          <w:b/>
          <w:lang w:val="lt-LT" w:eastAsia="lt-LT" w:bidi="lt-LT"/>
        </w:rPr>
      </w:pPr>
    </w:p>
    <w:p w14:paraId="6280241A" w14:textId="77777777" w:rsidR="0084269B" w:rsidRPr="0084269B" w:rsidRDefault="0084269B" w:rsidP="0084269B">
      <w:pPr>
        <w:numPr>
          <w:ilvl w:val="12"/>
          <w:numId w:val="0"/>
        </w:numPr>
        <w:tabs>
          <w:tab w:val="clear" w:pos="567"/>
          <w:tab w:val="left" w:pos="720"/>
        </w:tabs>
        <w:spacing w:line="240" w:lineRule="auto"/>
        <w:ind w:right="-22"/>
        <w:rPr>
          <w:b/>
          <w:lang w:val="lt-LT" w:eastAsia="lt-LT" w:bidi="lt-LT"/>
        </w:rPr>
      </w:pPr>
      <w:r w:rsidRPr="0084269B">
        <w:rPr>
          <w:b/>
          <w:lang w:val="lt-LT" w:eastAsia="lt-LT" w:bidi="lt-LT"/>
        </w:rPr>
        <w:t xml:space="preserve">Kitoks šalutinis poveikis </w:t>
      </w:r>
    </w:p>
    <w:p w14:paraId="68F5D861"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3A7AE066"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b/>
          <w:lang w:val="lt-LT" w:eastAsia="lt-LT" w:bidi="lt-LT"/>
        </w:rPr>
        <w:t>Labai dažnas</w:t>
      </w:r>
      <w:r w:rsidRPr="0084269B">
        <w:rPr>
          <w:lang w:val="lt-LT" w:eastAsia="lt-LT" w:bidi="lt-LT"/>
        </w:rPr>
        <w:t xml:space="preserve"> (gali atsirasti dažniau kaip 1 asmeniui iš 10): </w:t>
      </w:r>
    </w:p>
    <w:p w14:paraId="16FF76C2" w14:textId="118FFCD5"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raudonųjų kraujo ląstelių </w:t>
      </w:r>
      <w:r w:rsidR="00022E22">
        <w:rPr>
          <w:lang w:val="lt-LT" w:eastAsia="lt-LT" w:bidi="lt-LT"/>
        </w:rPr>
        <w:t>skaičiaus</w:t>
      </w:r>
      <w:r w:rsidR="00022E22" w:rsidRPr="0084269B">
        <w:rPr>
          <w:lang w:val="lt-LT" w:eastAsia="lt-LT" w:bidi="lt-LT"/>
        </w:rPr>
        <w:t xml:space="preserve"> </w:t>
      </w:r>
      <w:r w:rsidRPr="0084269B">
        <w:rPr>
          <w:lang w:val="lt-LT" w:eastAsia="lt-LT" w:bidi="lt-LT"/>
        </w:rPr>
        <w:t xml:space="preserve">sumažėjimas (mažakraujystė), baltųjų kraujo ląstelių </w:t>
      </w:r>
      <w:r w:rsidR="00022E22">
        <w:rPr>
          <w:lang w:val="lt-LT" w:eastAsia="lt-LT" w:bidi="lt-LT"/>
        </w:rPr>
        <w:t>skaičiaus</w:t>
      </w:r>
      <w:r w:rsidR="00022E22" w:rsidRPr="0084269B">
        <w:rPr>
          <w:lang w:val="lt-LT" w:eastAsia="lt-LT" w:bidi="lt-LT"/>
        </w:rPr>
        <w:t xml:space="preserve"> </w:t>
      </w:r>
      <w:r w:rsidRPr="0084269B">
        <w:rPr>
          <w:lang w:val="lt-LT" w:eastAsia="lt-LT" w:bidi="lt-LT"/>
        </w:rPr>
        <w:t xml:space="preserve">sumažėjimas (šios ląstelės svarbios kovojant su infekcija); </w:t>
      </w:r>
    </w:p>
    <w:p w14:paraId="617BB1D0" w14:textId="5BE343F4"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trombocitų </w:t>
      </w:r>
      <w:r w:rsidR="00022E22">
        <w:rPr>
          <w:lang w:val="lt-LT" w:eastAsia="lt-LT" w:bidi="lt-LT"/>
        </w:rPr>
        <w:t>skaičiaus</w:t>
      </w:r>
      <w:r w:rsidR="00022E22" w:rsidRPr="0084269B">
        <w:rPr>
          <w:lang w:val="lt-LT" w:eastAsia="lt-LT" w:bidi="lt-LT"/>
        </w:rPr>
        <w:t xml:space="preserve"> </w:t>
      </w:r>
      <w:r w:rsidRPr="0084269B">
        <w:rPr>
          <w:lang w:val="lt-LT" w:eastAsia="lt-LT" w:bidi="lt-LT"/>
        </w:rPr>
        <w:t>sumažėjimas (dėl to padidėja kraujavimo pavojus);</w:t>
      </w:r>
    </w:p>
    <w:p w14:paraId="61616163"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apetito netekimas (anoreksija); </w:t>
      </w:r>
    </w:p>
    <w:p w14:paraId="6FE1F139"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skonio pojūčio pokytis; </w:t>
      </w:r>
    </w:p>
    <w:p w14:paraId="49F004E1"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lastRenderedPageBreak/>
        <w:t xml:space="preserve">dusulys; </w:t>
      </w:r>
    </w:p>
    <w:p w14:paraId="17F7F83E"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kosulys; </w:t>
      </w:r>
    </w:p>
    <w:p w14:paraId="1EFB2776"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virškinimo trakto sutrikimas, įskaitant pykinimą, vėmimą, viduriavimą ar vidurių užkietėjimą; </w:t>
      </w:r>
    </w:p>
    <w:p w14:paraId="2425918A"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pilvo skausmas; </w:t>
      </w:r>
    </w:p>
    <w:p w14:paraId="504D3366"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trumpalaikis plaukų netekimas (dažniausiai plaukai vėl pradeda augti normaliai); </w:t>
      </w:r>
    </w:p>
    <w:p w14:paraId="3CB9A8D8"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nugaros skausmas; </w:t>
      </w:r>
    </w:p>
    <w:p w14:paraId="398F49AD"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sąnarių skausmas; </w:t>
      </w:r>
    </w:p>
    <w:p w14:paraId="490A3835"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kraujas šlapime; </w:t>
      </w:r>
    </w:p>
    <w:p w14:paraId="281B123C" w14:textId="77777777" w:rsidR="0084269B" w:rsidRPr="0084269B" w:rsidRDefault="0084269B" w:rsidP="0084269B">
      <w:pPr>
        <w:numPr>
          <w:ilvl w:val="0"/>
          <w:numId w:val="22"/>
        </w:numPr>
        <w:spacing w:line="240" w:lineRule="auto"/>
        <w:ind w:left="567" w:right="-22" w:hanging="567"/>
        <w:contextualSpacing/>
        <w:rPr>
          <w:lang w:val="lt-LT" w:eastAsia="lt-LT" w:bidi="lt-LT"/>
        </w:rPr>
      </w:pPr>
      <w:r w:rsidRPr="0084269B">
        <w:rPr>
          <w:lang w:val="lt-LT" w:eastAsia="lt-LT" w:bidi="lt-LT"/>
        </w:rPr>
        <w:t xml:space="preserve">jaučiamas nuovargis, silpnumas ar energijos stoka. </w:t>
      </w:r>
    </w:p>
    <w:p w14:paraId="31975E7D"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1710C152" w14:textId="38B2D9E8"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b/>
          <w:lang w:val="lt-LT" w:eastAsia="lt-LT" w:bidi="lt-LT"/>
        </w:rPr>
        <w:t>Dažnas</w:t>
      </w:r>
      <w:r w:rsidRPr="0084269B">
        <w:rPr>
          <w:lang w:val="lt-LT" w:eastAsia="lt-LT" w:bidi="lt-LT"/>
        </w:rPr>
        <w:t xml:space="preserve"> (gali atsirasti </w:t>
      </w:r>
      <w:r w:rsidR="00F66002">
        <w:rPr>
          <w:lang w:val="lt-LT" w:eastAsia="lt-LT" w:bidi="lt-LT"/>
        </w:rPr>
        <w:t>rečiau</w:t>
      </w:r>
      <w:r w:rsidRPr="0084269B">
        <w:rPr>
          <w:lang w:val="lt-LT" w:eastAsia="lt-LT" w:bidi="lt-LT"/>
        </w:rPr>
        <w:t xml:space="preserve"> kaip 1 asmeniui iš 10):</w:t>
      </w:r>
    </w:p>
    <w:p w14:paraId="78D52D71"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šlapimo takų infekcija; </w:t>
      </w:r>
    </w:p>
    <w:p w14:paraId="253D5345"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baltųjų kraujo ląstelių stoka, susijusi su karščiavimu ir infekcija; </w:t>
      </w:r>
    </w:p>
    <w:p w14:paraId="3CB0446D"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delnų ir pėdų tirpimo, dilgčiojimo, deginimo pojūtis ar sumažėjęs jautrumas; </w:t>
      </w:r>
    </w:p>
    <w:p w14:paraId="513DD294"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svaigulys; </w:t>
      </w:r>
    </w:p>
    <w:p w14:paraId="4BC44E75"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galvos skausmas; </w:t>
      </w:r>
    </w:p>
    <w:p w14:paraId="4502BE6A"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kraujospūdžio sumažėjimas ar padidėjimas; </w:t>
      </w:r>
    </w:p>
    <w:p w14:paraId="154FAF2B"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nemalonus pojūtis skrandyje, rėmuo ar raugulys; </w:t>
      </w:r>
    </w:p>
    <w:p w14:paraId="2CFFC31D"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skrandžio skausmas; </w:t>
      </w:r>
    </w:p>
    <w:p w14:paraId="6AECF5BE"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hemorojus; </w:t>
      </w:r>
    </w:p>
    <w:p w14:paraId="1F9C5B6F"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raumenų spazmai; </w:t>
      </w:r>
    </w:p>
    <w:p w14:paraId="4C6C69E5"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skausmingas ar dažnas šlapinimasis; </w:t>
      </w:r>
    </w:p>
    <w:p w14:paraId="76275559"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šlapimo nelaikymas; </w:t>
      </w:r>
    </w:p>
    <w:p w14:paraId="5E022B65"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inkstų ligos ar sutrikimai; </w:t>
      </w:r>
    </w:p>
    <w:p w14:paraId="1447A978"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burnos ar lūpų skausmas; </w:t>
      </w:r>
    </w:p>
    <w:p w14:paraId="1C3D2A07"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infekcija ar jos rizika; </w:t>
      </w:r>
    </w:p>
    <w:p w14:paraId="71820251"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didelis cukraus kiekis kraujyje; </w:t>
      </w:r>
    </w:p>
    <w:p w14:paraId="239FCAF9"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mažas kalio kiekis kraujyje; </w:t>
      </w:r>
    </w:p>
    <w:p w14:paraId="443A7B83"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psichinis sumišimas;</w:t>
      </w:r>
    </w:p>
    <w:p w14:paraId="12A12E41"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nerimo pojūtis; </w:t>
      </w:r>
    </w:p>
    <w:p w14:paraId="4C782909"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nenormalus delnų ir pėdų pojūtis arba pojūčių netekimas ar skausmas;</w:t>
      </w:r>
    </w:p>
    <w:p w14:paraId="38CB2BAA"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spengimas ausyse</w:t>
      </w:r>
      <w:r w:rsidR="00F66002">
        <w:rPr>
          <w:lang w:val="lt-LT" w:eastAsia="lt-LT" w:bidi="lt-LT"/>
        </w:rPr>
        <w:t xml:space="preserve"> (ūžesys [</w:t>
      </w:r>
      <w:r w:rsidR="00F66002">
        <w:rPr>
          <w:i/>
          <w:lang w:val="lt-LT" w:eastAsia="lt-LT" w:bidi="lt-LT"/>
        </w:rPr>
        <w:t>tinnitus</w:t>
      </w:r>
      <w:r w:rsidR="00F66002">
        <w:rPr>
          <w:lang w:val="lt-LT" w:eastAsia="lt-LT" w:bidi="lt-LT"/>
        </w:rPr>
        <w:t>])</w:t>
      </w:r>
      <w:r w:rsidRPr="0084269B">
        <w:rPr>
          <w:lang w:val="lt-LT" w:eastAsia="lt-LT" w:bidi="lt-LT"/>
        </w:rPr>
        <w:t>;</w:t>
      </w:r>
    </w:p>
    <w:p w14:paraId="6556FA16" w14:textId="77777777" w:rsidR="0084269B" w:rsidRPr="0084269B" w:rsidRDefault="0084269B" w:rsidP="0084269B">
      <w:pPr>
        <w:numPr>
          <w:ilvl w:val="0"/>
          <w:numId w:val="23"/>
        </w:numPr>
        <w:spacing w:line="240" w:lineRule="auto"/>
        <w:ind w:left="567" w:right="-22" w:hanging="567"/>
        <w:contextualSpacing/>
        <w:rPr>
          <w:noProof/>
          <w:szCs w:val="22"/>
          <w:lang w:val="lt-LT" w:eastAsia="lt-LT" w:bidi="lt-LT"/>
        </w:rPr>
      </w:pPr>
      <w:r w:rsidRPr="0084269B">
        <w:rPr>
          <w:lang w:val="lt-LT" w:eastAsia="lt-LT" w:bidi="lt-LT"/>
        </w:rPr>
        <w:t>pusiausvyros sutrikimas;</w:t>
      </w:r>
    </w:p>
    <w:p w14:paraId="54C51C52"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greitas ar nereguliarus širdies plakimas;</w:t>
      </w:r>
    </w:p>
    <w:p w14:paraId="28DC5912"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kraujo krešulių susidarymas kojose;</w:t>
      </w:r>
    </w:p>
    <w:p w14:paraId="2851D4DE"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karščio ar paraudimo pojūtis odoje;</w:t>
      </w:r>
    </w:p>
    <w:p w14:paraId="66600D81"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burnos ar gerklės skausmas;</w:t>
      </w:r>
    </w:p>
    <w:p w14:paraId="0DF30B4C"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kraujavimas iš tiesiosios žarnos; </w:t>
      </w:r>
    </w:p>
    <w:p w14:paraId="400518A2"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odos paraudimas; </w:t>
      </w:r>
    </w:p>
    <w:p w14:paraId="1E8ED745"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nemalonus raumenų pojūtis, raumenų maudimas ar skausmas; </w:t>
      </w:r>
    </w:p>
    <w:p w14:paraId="68E5326D"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 xml:space="preserve">pėdų ar kojų patinimas; </w:t>
      </w:r>
    </w:p>
    <w:p w14:paraId="3BCC80ED" w14:textId="77777777" w:rsidR="0084269B" w:rsidRPr="0084269B" w:rsidRDefault="0084269B" w:rsidP="0084269B">
      <w:pPr>
        <w:numPr>
          <w:ilvl w:val="0"/>
          <w:numId w:val="23"/>
        </w:numPr>
        <w:spacing w:line="240" w:lineRule="auto"/>
        <w:ind w:left="567" w:right="-22" w:hanging="567"/>
        <w:contextualSpacing/>
        <w:rPr>
          <w:lang w:val="lt-LT" w:eastAsia="lt-LT" w:bidi="lt-LT"/>
        </w:rPr>
      </w:pPr>
      <w:r w:rsidRPr="0084269B">
        <w:rPr>
          <w:lang w:val="lt-LT" w:eastAsia="lt-LT" w:bidi="lt-LT"/>
        </w:rPr>
        <w:t>šaltkrėtis.</w:t>
      </w:r>
    </w:p>
    <w:p w14:paraId="2F7ACB35" w14:textId="77777777" w:rsidR="0084269B" w:rsidRPr="0084269B" w:rsidRDefault="0084269B" w:rsidP="0084269B">
      <w:pPr>
        <w:spacing w:line="240" w:lineRule="auto"/>
        <w:ind w:right="-22"/>
        <w:rPr>
          <w:lang w:val="lt-LT" w:eastAsia="lt-LT" w:bidi="lt-LT"/>
        </w:rPr>
      </w:pPr>
    </w:p>
    <w:p w14:paraId="14D27232" w14:textId="405E7332"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b/>
          <w:lang w:val="lt-LT" w:eastAsia="lt-LT" w:bidi="lt-LT"/>
        </w:rPr>
        <w:t>Nedažnas</w:t>
      </w:r>
      <w:r w:rsidRPr="0084269B">
        <w:rPr>
          <w:lang w:val="lt-LT" w:eastAsia="lt-LT" w:bidi="lt-LT"/>
        </w:rPr>
        <w:t xml:space="preserve"> (gali atsirasti </w:t>
      </w:r>
      <w:r w:rsidR="00F66002">
        <w:rPr>
          <w:lang w:val="lt-LT" w:eastAsia="lt-LT" w:bidi="lt-LT"/>
        </w:rPr>
        <w:t>rečiau</w:t>
      </w:r>
      <w:r w:rsidRPr="0084269B">
        <w:rPr>
          <w:lang w:val="lt-LT" w:eastAsia="lt-LT" w:bidi="lt-LT"/>
        </w:rPr>
        <w:t xml:space="preserve"> kaip 1 asmeniui iš 100):</w:t>
      </w:r>
    </w:p>
    <w:p w14:paraId="687395A5" w14:textId="77777777" w:rsidR="0084269B" w:rsidRPr="0084269B" w:rsidRDefault="0084269B" w:rsidP="0084269B">
      <w:pPr>
        <w:numPr>
          <w:ilvl w:val="0"/>
          <w:numId w:val="24"/>
        </w:numPr>
        <w:spacing w:line="240" w:lineRule="auto"/>
        <w:ind w:left="567" w:right="-22" w:hanging="567"/>
        <w:contextualSpacing/>
        <w:rPr>
          <w:lang w:val="lt-LT" w:eastAsia="lt-LT" w:bidi="lt-LT"/>
        </w:rPr>
      </w:pPr>
      <w:r w:rsidRPr="0084269B">
        <w:rPr>
          <w:lang w:val="lt-LT" w:eastAsia="lt-LT" w:bidi="lt-LT"/>
        </w:rPr>
        <w:t xml:space="preserve">šlapimo pūslės uždegimas, galintis pasireikšti, jeigu anksčiau buvo taikytas šlapimo pūslės spindulinis gydymas (spindulinio gydymo sukeltų reakcijų atsinaujinimo reiškinio sukeltas cistitas). </w:t>
      </w:r>
    </w:p>
    <w:p w14:paraId="3540BE99"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0FDCBD64"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b/>
          <w:lang w:val="lt-LT" w:eastAsia="lt-LT" w:bidi="lt-LT"/>
        </w:rPr>
        <w:t>Dažnis nežinomas</w:t>
      </w:r>
      <w:r w:rsidRPr="0084269B">
        <w:rPr>
          <w:lang w:val="lt-LT" w:eastAsia="lt-LT" w:bidi="lt-LT"/>
        </w:rPr>
        <w:t xml:space="preserve"> (negali būti apskaičiuotas pagal turimus duomenis): </w:t>
      </w:r>
    </w:p>
    <w:p w14:paraId="225A5596" w14:textId="77777777" w:rsidR="0084269B" w:rsidRPr="0084269B" w:rsidRDefault="0084269B" w:rsidP="0084269B">
      <w:pPr>
        <w:numPr>
          <w:ilvl w:val="0"/>
          <w:numId w:val="24"/>
        </w:numPr>
        <w:spacing w:line="240" w:lineRule="auto"/>
        <w:ind w:left="567" w:right="-22" w:hanging="567"/>
        <w:contextualSpacing/>
        <w:rPr>
          <w:lang w:val="lt-LT" w:eastAsia="lt-LT" w:bidi="lt-LT"/>
        </w:rPr>
      </w:pPr>
      <w:r w:rsidRPr="0084269B">
        <w:rPr>
          <w:lang w:val="lt-LT" w:eastAsia="lt-LT" w:bidi="lt-LT"/>
        </w:rPr>
        <w:t>intersticinė plaučių liga (kosulį ir kvėpavimo pasunkėjimą sukeliantis plaučių uždegimas).</w:t>
      </w:r>
    </w:p>
    <w:p w14:paraId="7E920E11" w14:textId="77777777" w:rsidR="0084269B" w:rsidRPr="0084269B" w:rsidRDefault="0084269B" w:rsidP="0084269B">
      <w:pPr>
        <w:numPr>
          <w:ilvl w:val="12"/>
          <w:numId w:val="0"/>
        </w:numPr>
        <w:tabs>
          <w:tab w:val="clear" w:pos="567"/>
          <w:tab w:val="left" w:pos="720"/>
        </w:tabs>
        <w:spacing w:line="240" w:lineRule="auto"/>
        <w:ind w:right="-22"/>
        <w:rPr>
          <w:rFonts w:ascii="TimesNewRoman" w:hAnsi="TimesNewRoman" w:cs="TimesNewRoman"/>
          <w:b/>
          <w:lang w:val="lt-LT" w:eastAsia="lt-LT" w:bidi="lt-LT"/>
        </w:rPr>
      </w:pPr>
    </w:p>
    <w:p w14:paraId="44329351" w14:textId="77777777" w:rsidR="0084269B" w:rsidRPr="0084269B" w:rsidRDefault="0084269B" w:rsidP="0084269B">
      <w:pPr>
        <w:numPr>
          <w:ilvl w:val="12"/>
          <w:numId w:val="0"/>
        </w:numPr>
        <w:spacing w:line="240" w:lineRule="auto"/>
        <w:ind w:right="-22"/>
        <w:outlineLvl w:val="0"/>
        <w:rPr>
          <w:b/>
          <w:noProof/>
          <w:szCs w:val="22"/>
          <w:lang w:val="lt-LT" w:eastAsia="lt-LT" w:bidi="lt-LT"/>
        </w:rPr>
      </w:pPr>
      <w:r w:rsidRPr="0084269B">
        <w:rPr>
          <w:b/>
          <w:noProof/>
          <w:lang w:val="lt-LT" w:eastAsia="lt-LT" w:bidi="lt-LT"/>
        </w:rPr>
        <w:t>Pranešimas apie šalutinį poveikį</w:t>
      </w:r>
    </w:p>
    <w:p w14:paraId="634A6F0D" w14:textId="77777777" w:rsidR="0084269B" w:rsidRPr="0084269B" w:rsidRDefault="0084269B" w:rsidP="0084269B">
      <w:pPr>
        <w:autoSpaceDE w:val="0"/>
        <w:autoSpaceDN w:val="0"/>
        <w:adjustRightInd w:val="0"/>
        <w:jc w:val="both"/>
        <w:rPr>
          <w:noProof/>
          <w:snapToGrid w:val="0"/>
          <w:szCs w:val="24"/>
          <w:lang w:val="lt-LT"/>
        </w:rPr>
      </w:pPr>
      <w:r w:rsidRPr="0084269B">
        <w:rPr>
          <w:noProof/>
          <w:snapToGrid w:val="0"/>
          <w:szCs w:val="24"/>
          <w:lang w:val="lt-LT"/>
        </w:rPr>
        <w:t>Svarbu pranešti apie įtariamas nepageidaujamas reakcijas, pastebėtas po vaistinio preparato registracijos, nes tai leidžia nuolat stebėti vaistinio preparato naudos ir rizikos santykį.</w:t>
      </w:r>
      <w:r w:rsidRPr="0084269B">
        <w:rPr>
          <w:snapToGrid w:val="0"/>
          <w:szCs w:val="24"/>
          <w:lang w:val="lt-LT"/>
        </w:rPr>
        <w:t xml:space="preserve"> </w:t>
      </w:r>
      <w:r w:rsidRPr="0084269B">
        <w:rPr>
          <w:noProof/>
          <w:snapToGrid w:val="0"/>
          <w:szCs w:val="24"/>
          <w:lang w:val="lt-LT"/>
        </w:rPr>
        <w:t xml:space="preserve">Sveikatos priežiūros specialistai </w:t>
      </w:r>
      <w:r w:rsidRPr="0084269B">
        <w:rPr>
          <w:noProof/>
          <w:snapToGrid w:val="0"/>
          <w:szCs w:val="24"/>
          <w:lang w:val="lt-LT"/>
        </w:rPr>
        <w:lastRenderedPageBreak/>
        <w:t>turi pranešti apie bet kokias įtariamas nepageidaujamas reakcijas, užpildę interneto svetainėje http://</w:t>
      </w:r>
      <w:hyperlink r:id="rId12" w:history="1">
        <w:r w:rsidRPr="0084269B">
          <w:rPr>
            <w:rFonts w:eastAsia="SimSun"/>
            <w:noProof/>
            <w:snapToGrid w:val="0"/>
            <w:color w:val="0000FF"/>
            <w:szCs w:val="24"/>
            <w:u w:val="single"/>
            <w:lang w:val="lt-LT"/>
          </w:rPr>
          <w:t>www.vvkt.lt</w:t>
        </w:r>
      </w:hyperlink>
      <w:r w:rsidRPr="0084269B">
        <w:rPr>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84269B">
          <w:rPr>
            <w:rFonts w:eastAsia="SimSun"/>
            <w:noProof/>
            <w:snapToGrid w:val="0"/>
            <w:color w:val="0000FF"/>
            <w:szCs w:val="24"/>
            <w:u w:val="single"/>
            <w:lang w:val="lt-LT"/>
          </w:rPr>
          <w:t>NepageidaujamaR@vvkt.lt</w:t>
        </w:r>
      </w:hyperlink>
      <w:r w:rsidRPr="0084269B">
        <w:rPr>
          <w:noProof/>
          <w:snapToGrid w:val="0"/>
          <w:szCs w:val="24"/>
          <w:lang w:val="lt-LT"/>
        </w:rPr>
        <w:t xml:space="preserve">), per interneto svetainę (adresu </w:t>
      </w:r>
      <w:r w:rsidRPr="00894A0A">
        <w:rPr>
          <w:rFonts w:eastAsia="SimSun"/>
          <w:noProof/>
          <w:snapToGrid w:val="0"/>
          <w:color w:val="0000FF"/>
          <w:szCs w:val="24"/>
          <w:u w:val="single"/>
          <w:lang w:val="lt-LT"/>
        </w:rPr>
        <w:t>http://www.vvkt.lt</w:t>
      </w:r>
      <w:r w:rsidRPr="0084269B">
        <w:rPr>
          <w:noProof/>
          <w:snapToGrid w:val="0"/>
          <w:szCs w:val="24"/>
          <w:lang w:val="lt-LT"/>
        </w:rPr>
        <w:t>).</w:t>
      </w:r>
    </w:p>
    <w:p w14:paraId="399343C1" w14:textId="77777777" w:rsidR="0084269B" w:rsidRPr="0084269B" w:rsidRDefault="0084269B" w:rsidP="0084269B">
      <w:pPr>
        <w:autoSpaceDE w:val="0"/>
        <w:autoSpaceDN w:val="0"/>
        <w:adjustRightInd w:val="0"/>
        <w:spacing w:line="240" w:lineRule="auto"/>
        <w:ind w:right="-22"/>
        <w:rPr>
          <w:szCs w:val="22"/>
          <w:lang w:val="lt-LT" w:eastAsia="lt-LT" w:bidi="lt-LT"/>
        </w:rPr>
      </w:pPr>
    </w:p>
    <w:p w14:paraId="619B0A85" w14:textId="77777777" w:rsidR="0084269B" w:rsidRPr="0084269B" w:rsidRDefault="0084269B" w:rsidP="0084269B">
      <w:pPr>
        <w:keepNext/>
        <w:numPr>
          <w:ilvl w:val="0"/>
          <w:numId w:val="13"/>
        </w:numPr>
        <w:spacing w:line="240" w:lineRule="auto"/>
        <w:ind w:left="567" w:right="-22"/>
        <w:rPr>
          <w:b/>
          <w:noProof/>
          <w:szCs w:val="22"/>
          <w:lang w:val="lt-LT" w:eastAsia="lt-LT" w:bidi="lt-LT"/>
        </w:rPr>
      </w:pPr>
      <w:r w:rsidRPr="0084269B">
        <w:rPr>
          <w:b/>
          <w:noProof/>
          <w:lang w:val="lt-LT" w:eastAsia="lt-LT" w:bidi="lt-LT"/>
        </w:rPr>
        <w:t xml:space="preserve">Kaip laikyti </w:t>
      </w:r>
      <w:r w:rsidRPr="0084269B">
        <w:rPr>
          <w:b/>
          <w:lang w:val="lt-LT" w:eastAsia="lt-LT" w:bidi="lt-LT"/>
        </w:rPr>
        <w:t>Cabazitaxel Teva</w:t>
      </w:r>
    </w:p>
    <w:p w14:paraId="13EF6E21" w14:textId="77777777" w:rsidR="0084269B" w:rsidRPr="0084269B" w:rsidRDefault="0084269B" w:rsidP="0084269B">
      <w:pPr>
        <w:keepNext/>
        <w:tabs>
          <w:tab w:val="clear" w:pos="567"/>
          <w:tab w:val="left" w:pos="720"/>
        </w:tabs>
        <w:spacing w:line="240" w:lineRule="auto"/>
        <w:ind w:right="-22"/>
        <w:rPr>
          <w:noProof/>
          <w:szCs w:val="22"/>
          <w:lang w:val="lt-LT" w:eastAsia="lt-LT" w:bidi="lt-LT"/>
        </w:rPr>
      </w:pPr>
    </w:p>
    <w:p w14:paraId="6360AB59"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Šį vaistą laikykite vaikams nepastebimoje ir nepasiekiamoje vietoje. </w:t>
      </w:r>
    </w:p>
    <w:p w14:paraId="0E9A5A7D"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528E2921"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Ant išorinės dėžutės ir </w:t>
      </w:r>
      <w:r w:rsidRPr="006360C0">
        <w:rPr>
          <w:lang w:val="lt-LT" w:eastAsia="lt-LT" w:bidi="lt-LT"/>
        </w:rPr>
        <w:t>flakono</w:t>
      </w:r>
      <w:r w:rsidRPr="0084269B">
        <w:rPr>
          <w:lang w:val="lt-LT" w:eastAsia="lt-LT" w:bidi="lt-LT"/>
        </w:rPr>
        <w:t xml:space="preserve"> etiketės po „Tinka iki“</w:t>
      </w:r>
      <w:r w:rsidR="001E0858">
        <w:rPr>
          <w:lang w:val="lt-LT" w:eastAsia="lt-LT" w:bidi="lt-LT"/>
        </w:rPr>
        <w:t xml:space="preserve"> ir „EXP“</w:t>
      </w:r>
      <w:r w:rsidRPr="0084269B">
        <w:rPr>
          <w:lang w:val="lt-LT" w:eastAsia="lt-LT" w:bidi="lt-LT"/>
        </w:rPr>
        <w:t xml:space="preserve"> nurodytam tinkamumo laikui pasibaigus, šio vaisto vartoti negalima. Vaistas tinkamas vartoti iki paskutinės nurodyto mėnesio dienos. </w:t>
      </w:r>
    </w:p>
    <w:p w14:paraId="32CCA7E9"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70527613" w14:textId="02761DCF" w:rsidR="0084269B" w:rsidRPr="0084269B" w:rsidRDefault="0084269B" w:rsidP="0084269B">
      <w:pPr>
        <w:tabs>
          <w:tab w:val="clear" w:pos="567"/>
        </w:tabs>
        <w:spacing w:line="240" w:lineRule="auto"/>
        <w:rPr>
          <w:rFonts w:eastAsia="SimSun"/>
          <w:noProof/>
          <w:szCs w:val="22"/>
          <w:lang w:val="lt-LT" w:eastAsia="x-none"/>
        </w:rPr>
      </w:pPr>
      <w:r w:rsidRPr="0084269B">
        <w:rPr>
          <w:rFonts w:eastAsia="SimSun"/>
          <w:noProof/>
          <w:szCs w:val="22"/>
          <w:lang w:val="lt-LT" w:eastAsia="x-none"/>
        </w:rPr>
        <w:t xml:space="preserve">Šiam </w:t>
      </w:r>
      <w:r w:rsidR="001E0858">
        <w:rPr>
          <w:rFonts w:eastAsia="SimSun"/>
          <w:noProof/>
          <w:szCs w:val="22"/>
          <w:lang w:val="lt-LT" w:eastAsia="x-none"/>
        </w:rPr>
        <w:t>vaistui</w:t>
      </w:r>
      <w:r w:rsidRPr="0084269B">
        <w:rPr>
          <w:rFonts w:eastAsia="SimSun"/>
          <w:noProof/>
          <w:szCs w:val="22"/>
          <w:lang w:val="lt-LT" w:eastAsia="x-none"/>
        </w:rPr>
        <w:t xml:space="preserve"> specialių laikymo sąlygų nereikia.</w:t>
      </w:r>
    </w:p>
    <w:p w14:paraId="2688AE57"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649507C2"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Informacija apie praskiesto ir vartoti paruošto Cabazitaxel Teva laikymo sąlygas ir tinkamumo laiką pateikta skyriuje „MEDICINOS AR SVEIKATOS PRIEŽIŪROS SPECIALISTAMS SKIRTA PRAKTINĖ INFORMACIJA APIE CABAZITAXEL TEVA RUOŠIMĄ, VARTOJIMĄ IR DARBĄ SU VAISTINIU PREPARATU“. </w:t>
      </w:r>
    </w:p>
    <w:p w14:paraId="44579A9B"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6FD3132F" w14:textId="3BCF0369"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r w:rsidRPr="0084269B">
        <w:rPr>
          <w:lang w:val="lt-LT" w:eastAsia="lt-LT" w:bidi="lt-LT"/>
        </w:rPr>
        <w:t xml:space="preserve">Nesuvartotą </w:t>
      </w:r>
      <w:r w:rsidR="001E0858">
        <w:rPr>
          <w:lang w:val="lt-LT" w:eastAsia="lt-LT" w:bidi="lt-LT"/>
        </w:rPr>
        <w:t xml:space="preserve">vaistą </w:t>
      </w:r>
      <w:r w:rsidRPr="0084269B">
        <w:rPr>
          <w:lang w:val="lt-LT" w:eastAsia="lt-LT" w:bidi="lt-LT"/>
        </w:rPr>
        <w:t xml:space="preserve"> ar atliekas reikia tvarkyti laikantis vietinių reikalavimų. Šios priemonės padės apsaugoti aplinką. </w:t>
      </w:r>
    </w:p>
    <w:p w14:paraId="0F93DAFA"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p>
    <w:p w14:paraId="364467B0"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p>
    <w:p w14:paraId="794A8D9F" w14:textId="77777777" w:rsidR="0084269B" w:rsidRPr="0084269B" w:rsidRDefault="0084269B" w:rsidP="0084269B">
      <w:pPr>
        <w:keepNext/>
        <w:numPr>
          <w:ilvl w:val="0"/>
          <w:numId w:val="13"/>
        </w:numPr>
        <w:spacing w:line="240" w:lineRule="auto"/>
        <w:ind w:left="567" w:right="-22"/>
        <w:rPr>
          <w:b/>
          <w:lang w:val="lt-LT" w:eastAsia="lt-LT" w:bidi="lt-LT"/>
        </w:rPr>
      </w:pPr>
      <w:r w:rsidRPr="0084269B">
        <w:rPr>
          <w:b/>
          <w:lang w:val="lt-LT" w:eastAsia="lt-LT" w:bidi="lt-LT"/>
        </w:rPr>
        <w:t>Pakuotės turinys ir kita informacija</w:t>
      </w:r>
    </w:p>
    <w:p w14:paraId="3C27FFED" w14:textId="77777777" w:rsidR="0084269B" w:rsidRPr="0084269B" w:rsidRDefault="0084269B" w:rsidP="0084269B">
      <w:pPr>
        <w:keepNext/>
        <w:tabs>
          <w:tab w:val="clear" w:pos="567"/>
          <w:tab w:val="left" w:pos="720"/>
        </w:tabs>
        <w:spacing w:line="240" w:lineRule="auto"/>
        <w:ind w:right="-22"/>
        <w:rPr>
          <w:lang w:val="lt-LT" w:eastAsia="lt-LT" w:bidi="lt-LT"/>
        </w:rPr>
      </w:pPr>
    </w:p>
    <w:p w14:paraId="659207FA" w14:textId="77777777" w:rsidR="0084269B" w:rsidRPr="0084269B" w:rsidRDefault="0084269B" w:rsidP="0084269B">
      <w:pPr>
        <w:numPr>
          <w:ilvl w:val="12"/>
          <w:numId w:val="0"/>
        </w:numPr>
        <w:tabs>
          <w:tab w:val="clear" w:pos="567"/>
          <w:tab w:val="left" w:pos="720"/>
        </w:tabs>
        <w:spacing w:line="240" w:lineRule="auto"/>
        <w:ind w:right="-22"/>
        <w:rPr>
          <w:b/>
          <w:lang w:val="lt-LT" w:eastAsia="lt-LT" w:bidi="lt-LT"/>
        </w:rPr>
      </w:pPr>
      <w:r w:rsidRPr="0084269B">
        <w:rPr>
          <w:b/>
          <w:lang w:val="lt-LT" w:eastAsia="lt-LT" w:bidi="lt-LT"/>
        </w:rPr>
        <w:t xml:space="preserve">Cabazitaxel Teva sudėtis </w:t>
      </w:r>
    </w:p>
    <w:p w14:paraId="2E48FCB4" w14:textId="3B41ABE5" w:rsidR="0084269B" w:rsidRPr="0084269B" w:rsidRDefault="0084269B" w:rsidP="0084269B">
      <w:pPr>
        <w:numPr>
          <w:ilvl w:val="0"/>
          <w:numId w:val="24"/>
        </w:numPr>
        <w:ind w:left="567" w:hanging="567"/>
        <w:contextualSpacing/>
        <w:rPr>
          <w:szCs w:val="22"/>
          <w:lang w:val="lt-LT" w:eastAsia="lt-LT" w:bidi="lt-LT"/>
        </w:rPr>
      </w:pPr>
      <w:r w:rsidRPr="0084269B">
        <w:rPr>
          <w:lang w:val="lt-LT" w:eastAsia="lt-LT" w:bidi="lt-LT"/>
        </w:rPr>
        <w:t xml:space="preserve">Veiklioji medžiaga yra kabazitakselis. </w:t>
      </w:r>
      <w:r w:rsidR="001E0858">
        <w:rPr>
          <w:szCs w:val="22"/>
          <w:lang w:val="lt-LT" w:eastAsia="lt-LT" w:bidi="lt-LT"/>
        </w:rPr>
        <w:t>Kiekv</w:t>
      </w:r>
      <w:r w:rsidRPr="0084269B">
        <w:rPr>
          <w:szCs w:val="22"/>
          <w:lang w:val="lt-LT" w:eastAsia="lt-LT" w:bidi="lt-LT"/>
        </w:rPr>
        <w:t xml:space="preserve">iename koncentrato infuziniam tirpalui mililitre yra kabazitakselio etilacetato atitinkančio 10 mg kabazitakselio. Kiekviename 6 ml koncentrato infuziniam tirpalui </w:t>
      </w:r>
      <w:r w:rsidR="0095489C">
        <w:rPr>
          <w:szCs w:val="22"/>
          <w:lang w:val="lt-LT" w:eastAsia="lt-LT" w:bidi="lt-LT"/>
        </w:rPr>
        <w:t xml:space="preserve">flakone </w:t>
      </w:r>
      <w:r w:rsidRPr="0084269B">
        <w:rPr>
          <w:szCs w:val="22"/>
          <w:lang w:val="lt-LT" w:eastAsia="lt-LT" w:bidi="lt-LT"/>
        </w:rPr>
        <w:t xml:space="preserve"> yra kabazitakselio etilacetato atitinkančio 60 mg kabazitakselio. </w:t>
      </w:r>
    </w:p>
    <w:p w14:paraId="41135B09" w14:textId="77777777" w:rsidR="0084269B" w:rsidRPr="0084269B" w:rsidRDefault="0084269B" w:rsidP="0084269B">
      <w:pPr>
        <w:keepNext/>
        <w:numPr>
          <w:ilvl w:val="0"/>
          <w:numId w:val="14"/>
        </w:numPr>
        <w:spacing w:line="240" w:lineRule="auto"/>
        <w:ind w:left="567" w:right="-22" w:hanging="567"/>
        <w:rPr>
          <w:noProof/>
          <w:szCs w:val="22"/>
          <w:lang w:val="lt-LT" w:eastAsia="lt-LT" w:bidi="lt-LT"/>
        </w:rPr>
      </w:pPr>
      <w:r w:rsidRPr="0084269B">
        <w:rPr>
          <w:lang w:val="lt-LT" w:eastAsia="lt-LT" w:bidi="lt-LT"/>
        </w:rPr>
        <w:t>Pagalbinės medžiagos yra citrinų rūgštis, bevandenis etanolis, polisorbatas 80 ir makrogolis (žr. 2 skyrių „Cabazitaxel Teva sudėtyje yra etanolio (alkoholio)“).</w:t>
      </w:r>
    </w:p>
    <w:p w14:paraId="1E98335A" w14:textId="77777777" w:rsidR="0084269B" w:rsidRPr="0084269B" w:rsidRDefault="0084269B" w:rsidP="0084269B">
      <w:pPr>
        <w:keepNext/>
        <w:tabs>
          <w:tab w:val="clear" w:pos="567"/>
          <w:tab w:val="left" w:pos="720"/>
        </w:tabs>
        <w:spacing w:line="240" w:lineRule="auto"/>
        <w:ind w:right="-22"/>
        <w:rPr>
          <w:noProof/>
          <w:szCs w:val="22"/>
          <w:lang w:val="lt-LT" w:eastAsia="lt-LT" w:bidi="lt-LT"/>
        </w:rPr>
      </w:pPr>
    </w:p>
    <w:p w14:paraId="4FF6B752" w14:textId="77777777" w:rsidR="0084269B" w:rsidRPr="0084269B" w:rsidRDefault="0084269B" w:rsidP="0084269B">
      <w:pPr>
        <w:numPr>
          <w:ilvl w:val="12"/>
          <w:numId w:val="0"/>
        </w:numPr>
        <w:tabs>
          <w:tab w:val="clear" w:pos="567"/>
          <w:tab w:val="left" w:pos="720"/>
        </w:tabs>
        <w:spacing w:line="240" w:lineRule="auto"/>
        <w:ind w:right="-22"/>
        <w:rPr>
          <w:b/>
          <w:lang w:val="lt-LT" w:eastAsia="lt-LT" w:bidi="lt-LT"/>
        </w:rPr>
      </w:pPr>
      <w:r w:rsidRPr="0084269B">
        <w:rPr>
          <w:b/>
          <w:lang w:val="lt-LT" w:eastAsia="lt-LT" w:bidi="lt-LT"/>
        </w:rPr>
        <w:t>Cabazitaxel Teva išvaizda ir kiekis pakuotėje</w:t>
      </w:r>
    </w:p>
    <w:p w14:paraId="46E3A466" w14:textId="77777777" w:rsidR="0084269B" w:rsidRPr="0084269B" w:rsidRDefault="0084269B" w:rsidP="0084269B">
      <w:pPr>
        <w:tabs>
          <w:tab w:val="center" w:pos="567"/>
        </w:tabs>
        <w:spacing w:line="240" w:lineRule="auto"/>
        <w:rPr>
          <w:szCs w:val="22"/>
          <w:lang w:val="lt-LT"/>
        </w:rPr>
      </w:pPr>
      <w:r w:rsidRPr="0084269B">
        <w:rPr>
          <w:lang w:val="lt-LT" w:eastAsia="lt-LT" w:bidi="lt-LT"/>
        </w:rPr>
        <w:t xml:space="preserve">Cabazitaxel Teva </w:t>
      </w:r>
      <w:r w:rsidRPr="0084269B">
        <w:rPr>
          <w:szCs w:val="22"/>
          <w:lang w:val="lt-LT" w:eastAsia="lt-LT" w:bidi="lt-LT"/>
        </w:rPr>
        <w:t>koncentratas infuziniam tirpalui (sterilus koncentratas) yra skaidrus</w:t>
      </w:r>
      <w:r w:rsidR="001E0858">
        <w:rPr>
          <w:szCs w:val="22"/>
          <w:lang w:val="lt-LT" w:eastAsia="lt-LT" w:bidi="lt-LT"/>
        </w:rPr>
        <w:t>,</w:t>
      </w:r>
      <w:r w:rsidRPr="0084269B">
        <w:rPr>
          <w:szCs w:val="22"/>
          <w:lang w:val="lt-LT" w:eastAsia="lt-LT" w:bidi="lt-LT"/>
        </w:rPr>
        <w:t xml:space="preserve"> šviesiai geltonas aliejinis tirpalas. </w:t>
      </w:r>
    </w:p>
    <w:p w14:paraId="2626AE34"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34F5CFDE" w14:textId="0C20E271" w:rsidR="0084269B" w:rsidRPr="0084269B" w:rsidRDefault="0084269B" w:rsidP="0084269B">
      <w:pPr>
        <w:tabs>
          <w:tab w:val="clear" w:pos="567"/>
          <w:tab w:val="left" w:pos="720"/>
        </w:tabs>
        <w:spacing w:line="240" w:lineRule="auto"/>
        <w:rPr>
          <w:lang w:val="lt-LT"/>
        </w:rPr>
      </w:pPr>
      <w:r w:rsidRPr="0084269B">
        <w:rPr>
          <w:lang w:val="lt-LT" w:eastAsia="lt-LT" w:bidi="lt-LT"/>
        </w:rPr>
        <w:t xml:space="preserve">Cabazitaxel Teva tiekiamas skaidriame (I tipo) stiklo </w:t>
      </w:r>
      <w:r w:rsidR="0095489C">
        <w:rPr>
          <w:lang w:val="lt-LT" w:eastAsia="lt-LT" w:bidi="lt-LT"/>
        </w:rPr>
        <w:t>flakone</w:t>
      </w:r>
      <w:r w:rsidRPr="0084269B">
        <w:rPr>
          <w:lang w:val="lt-LT" w:eastAsia="lt-LT" w:bidi="lt-LT"/>
        </w:rPr>
        <w:t xml:space="preserve">, užkimštame bromobutilo gumos uždoriu, uždengtame aliuminio dangteliu, padengtame polipropileno dangteliu, kuriame yra 6 ml koncentrato. </w:t>
      </w:r>
      <w:r w:rsidR="0095489C">
        <w:rPr>
          <w:lang w:val="lt-LT" w:eastAsia="lt-LT" w:bidi="lt-LT"/>
        </w:rPr>
        <w:t xml:space="preserve">Flakonai </w:t>
      </w:r>
      <w:r w:rsidRPr="0084269B">
        <w:rPr>
          <w:lang w:val="lt-LT" w:eastAsia="lt-LT" w:bidi="lt-LT"/>
        </w:rPr>
        <w:t xml:space="preserve"> gali būti apdengti apsaugine </w:t>
      </w:r>
      <w:r w:rsidR="0095489C">
        <w:rPr>
          <w:lang w:val="lt-LT" w:eastAsia="lt-LT" w:bidi="lt-LT"/>
        </w:rPr>
        <w:t>mova</w:t>
      </w:r>
      <w:r w:rsidRPr="0084269B">
        <w:rPr>
          <w:lang w:val="lt-LT" w:eastAsia="lt-LT" w:bidi="lt-LT"/>
        </w:rPr>
        <w:t xml:space="preserve"> (skaidri, bespalvė apsauginė plėvelė, uždengianti aplinkui </w:t>
      </w:r>
      <w:r w:rsidR="0095489C">
        <w:rPr>
          <w:lang w:val="lt-LT" w:eastAsia="lt-LT" w:bidi="lt-LT"/>
        </w:rPr>
        <w:t>flakoną</w:t>
      </w:r>
      <w:r w:rsidRPr="0084269B">
        <w:rPr>
          <w:lang w:val="lt-LT" w:eastAsia="lt-LT" w:bidi="lt-LT"/>
        </w:rPr>
        <w:t>, siekiant papildomų saugos priemonių).</w:t>
      </w:r>
    </w:p>
    <w:p w14:paraId="55343C5B"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4FFC5E8D" w14:textId="649BC6DD" w:rsidR="0084269B" w:rsidRPr="0084269B" w:rsidRDefault="0084269B" w:rsidP="0084269B">
      <w:pPr>
        <w:numPr>
          <w:ilvl w:val="12"/>
          <w:numId w:val="0"/>
        </w:numPr>
        <w:tabs>
          <w:tab w:val="clear" w:pos="567"/>
          <w:tab w:val="left" w:pos="720"/>
        </w:tabs>
        <w:spacing w:line="240" w:lineRule="auto"/>
        <w:ind w:right="-22"/>
        <w:rPr>
          <w:lang w:val="lt-LT" w:eastAsia="lt-LT" w:bidi="lt-LT"/>
        </w:rPr>
      </w:pPr>
      <w:r w:rsidRPr="0084269B">
        <w:rPr>
          <w:lang w:val="lt-LT" w:eastAsia="lt-LT" w:bidi="lt-LT"/>
        </w:rPr>
        <w:t>Pakuotėje yra 1</w:t>
      </w:r>
      <w:r w:rsidR="0095489C">
        <w:rPr>
          <w:lang w:val="lt-LT" w:eastAsia="lt-LT" w:bidi="lt-LT"/>
        </w:rPr>
        <w:t xml:space="preserve"> flakonas vienkartiniam vartojimui.</w:t>
      </w:r>
      <w:r w:rsidRPr="0084269B">
        <w:rPr>
          <w:lang w:val="lt-LT" w:eastAsia="lt-LT" w:bidi="lt-LT"/>
        </w:rPr>
        <w:t xml:space="preserve"> .</w:t>
      </w:r>
    </w:p>
    <w:p w14:paraId="1FC42BDB" w14:textId="77777777" w:rsidR="0084269B" w:rsidRPr="0084269B" w:rsidRDefault="0084269B" w:rsidP="0084269B">
      <w:pPr>
        <w:numPr>
          <w:ilvl w:val="12"/>
          <w:numId w:val="0"/>
        </w:numPr>
        <w:tabs>
          <w:tab w:val="clear" w:pos="567"/>
          <w:tab w:val="left" w:pos="720"/>
        </w:tabs>
        <w:spacing w:line="240" w:lineRule="auto"/>
        <w:ind w:right="-22"/>
        <w:rPr>
          <w:lang w:val="lt-LT" w:eastAsia="lt-LT" w:bidi="lt-LT"/>
        </w:rPr>
      </w:pPr>
    </w:p>
    <w:p w14:paraId="43D321DD" w14:textId="77777777" w:rsidR="0084269B" w:rsidRPr="0084269B" w:rsidRDefault="0084269B" w:rsidP="0084269B">
      <w:pPr>
        <w:keepNext/>
        <w:numPr>
          <w:ilvl w:val="12"/>
          <w:numId w:val="0"/>
        </w:numPr>
        <w:tabs>
          <w:tab w:val="clear" w:pos="567"/>
          <w:tab w:val="left" w:pos="720"/>
        </w:tabs>
        <w:spacing w:line="240" w:lineRule="auto"/>
        <w:ind w:right="-22"/>
        <w:rPr>
          <w:b/>
          <w:lang w:val="lt-LT" w:eastAsia="lt-LT" w:bidi="lt-LT"/>
        </w:rPr>
      </w:pPr>
      <w:r w:rsidRPr="0084269B">
        <w:rPr>
          <w:b/>
          <w:lang w:val="lt-LT" w:eastAsia="lt-LT" w:bidi="lt-LT"/>
        </w:rPr>
        <w:t>Registruotojas ir gamintojas</w:t>
      </w:r>
    </w:p>
    <w:p w14:paraId="15C6E2B2" w14:textId="77777777" w:rsidR="0084269B" w:rsidRPr="0084269B" w:rsidRDefault="0084269B" w:rsidP="0084269B">
      <w:pPr>
        <w:shd w:val="clear" w:color="auto" w:fill="FFFFFF"/>
        <w:spacing w:line="240" w:lineRule="auto"/>
        <w:rPr>
          <w:szCs w:val="22"/>
          <w:lang w:val="lt-LT" w:eastAsia="lt-LT" w:bidi="lt-LT"/>
        </w:rPr>
      </w:pPr>
      <w:r w:rsidRPr="0084269B">
        <w:rPr>
          <w:szCs w:val="22"/>
          <w:lang w:val="lt-LT" w:eastAsia="lt-LT" w:bidi="lt-LT"/>
        </w:rPr>
        <w:t>Registruotojas</w:t>
      </w:r>
    </w:p>
    <w:p w14:paraId="09F37E1D" w14:textId="77777777" w:rsidR="0084269B" w:rsidRDefault="0084269B" w:rsidP="0084269B">
      <w:pPr>
        <w:shd w:val="clear" w:color="auto" w:fill="FFFFFF"/>
        <w:spacing w:line="240" w:lineRule="auto"/>
        <w:rPr>
          <w:szCs w:val="22"/>
          <w:lang w:val="lt-LT" w:eastAsia="lt-LT" w:bidi="lt-LT"/>
        </w:rPr>
      </w:pPr>
      <w:r w:rsidRPr="0084269B">
        <w:rPr>
          <w:szCs w:val="22"/>
          <w:lang w:val="lt-LT" w:eastAsia="lt-LT" w:bidi="lt-LT"/>
        </w:rPr>
        <w:t xml:space="preserve">Teva B.V., </w:t>
      </w:r>
    </w:p>
    <w:p w14:paraId="5D39E1E5" w14:textId="77777777" w:rsidR="0084269B" w:rsidRPr="00667A9F" w:rsidRDefault="0084269B" w:rsidP="0084269B">
      <w:pPr>
        <w:rPr>
          <w:rFonts w:eastAsia="Calibri"/>
          <w:szCs w:val="22"/>
          <w:lang w:val="lt-LT"/>
        </w:rPr>
      </w:pPr>
      <w:r w:rsidRPr="00667A9F">
        <w:rPr>
          <w:rFonts w:eastAsia="Calibri"/>
          <w:szCs w:val="22"/>
          <w:lang w:val="lt-LT"/>
        </w:rPr>
        <w:t>Swensweg 5</w:t>
      </w:r>
    </w:p>
    <w:p w14:paraId="109BF359" w14:textId="77777777" w:rsidR="0084269B" w:rsidRPr="00667A9F" w:rsidRDefault="0084269B" w:rsidP="0084269B">
      <w:pPr>
        <w:tabs>
          <w:tab w:val="clear" w:pos="567"/>
        </w:tabs>
        <w:spacing w:line="240" w:lineRule="auto"/>
        <w:rPr>
          <w:rFonts w:eastAsia="Calibri"/>
          <w:szCs w:val="22"/>
          <w:lang w:val="lt-LT"/>
        </w:rPr>
      </w:pPr>
      <w:r w:rsidRPr="00667A9F">
        <w:rPr>
          <w:rFonts w:eastAsia="Calibri"/>
          <w:szCs w:val="22"/>
          <w:lang w:val="lt-LT"/>
        </w:rPr>
        <w:t>2031 GA Haarlem</w:t>
      </w:r>
    </w:p>
    <w:p w14:paraId="49D3590D" w14:textId="77777777" w:rsidR="0084269B" w:rsidRPr="00667A9F" w:rsidRDefault="0084269B" w:rsidP="0084269B">
      <w:pPr>
        <w:tabs>
          <w:tab w:val="clear" w:pos="567"/>
        </w:tabs>
        <w:spacing w:line="240" w:lineRule="auto"/>
        <w:rPr>
          <w:rFonts w:eastAsia="Calibri"/>
          <w:szCs w:val="22"/>
          <w:lang w:val="lt-LT"/>
        </w:rPr>
      </w:pPr>
      <w:r w:rsidRPr="00667A9F">
        <w:rPr>
          <w:rFonts w:eastAsia="Calibri"/>
          <w:szCs w:val="22"/>
          <w:lang w:val="lt-LT"/>
        </w:rPr>
        <w:t>Nyderlandai</w:t>
      </w:r>
    </w:p>
    <w:p w14:paraId="4C0C18A5"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p>
    <w:p w14:paraId="071A5261"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r w:rsidRPr="0084269B">
        <w:rPr>
          <w:noProof/>
          <w:szCs w:val="22"/>
          <w:lang w:val="lt-LT" w:eastAsia="lt-LT" w:bidi="lt-LT"/>
        </w:rPr>
        <w:t>Gamintojai</w:t>
      </w:r>
    </w:p>
    <w:p w14:paraId="6D71FD00" w14:textId="4DE9A78B" w:rsidR="0084269B" w:rsidRDefault="0084269B" w:rsidP="0084269B">
      <w:pPr>
        <w:shd w:val="clear" w:color="auto" w:fill="FFFFFF"/>
        <w:tabs>
          <w:tab w:val="clear" w:pos="567"/>
        </w:tabs>
        <w:spacing w:line="240" w:lineRule="auto"/>
        <w:rPr>
          <w:szCs w:val="22"/>
          <w:lang w:val="lt-LT"/>
        </w:rPr>
      </w:pPr>
    </w:p>
    <w:p w14:paraId="02F59A3F" w14:textId="77777777" w:rsidR="00D6769C" w:rsidRPr="00C74681" w:rsidRDefault="00D6769C" w:rsidP="00D6769C">
      <w:pPr>
        <w:tabs>
          <w:tab w:val="clear" w:pos="567"/>
        </w:tabs>
        <w:autoSpaceDE w:val="0"/>
        <w:autoSpaceDN w:val="0"/>
        <w:adjustRightInd w:val="0"/>
        <w:spacing w:line="240" w:lineRule="auto"/>
        <w:rPr>
          <w:szCs w:val="22"/>
          <w:lang w:val="lt-LT"/>
        </w:rPr>
      </w:pPr>
      <w:r w:rsidRPr="00C74681">
        <w:rPr>
          <w:szCs w:val="22"/>
          <w:lang w:val="lt-LT"/>
        </w:rPr>
        <w:lastRenderedPageBreak/>
        <w:t>PLIVA Croatia Ltd.</w:t>
      </w:r>
    </w:p>
    <w:p w14:paraId="232B10AC" w14:textId="77777777" w:rsidR="00D6769C" w:rsidRPr="00C74681" w:rsidRDefault="00D6769C" w:rsidP="00D6769C">
      <w:pPr>
        <w:tabs>
          <w:tab w:val="clear" w:pos="567"/>
        </w:tabs>
        <w:autoSpaceDE w:val="0"/>
        <w:autoSpaceDN w:val="0"/>
        <w:adjustRightInd w:val="0"/>
        <w:spacing w:line="240" w:lineRule="auto"/>
        <w:rPr>
          <w:szCs w:val="22"/>
          <w:lang w:val="lt-LT"/>
        </w:rPr>
      </w:pPr>
      <w:r w:rsidRPr="00C74681">
        <w:rPr>
          <w:szCs w:val="22"/>
          <w:lang w:val="lt-LT"/>
        </w:rPr>
        <w:t>Prilaz baruna Filipovica 25.</w:t>
      </w:r>
    </w:p>
    <w:p w14:paraId="462B494A" w14:textId="77777777" w:rsidR="00D6769C" w:rsidRPr="00C74681" w:rsidRDefault="00D6769C" w:rsidP="00D6769C">
      <w:pPr>
        <w:tabs>
          <w:tab w:val="clear" w:pos="567"/>
        </w:tabs>
        <w:autoSpaceDE w:val="0"/>
        <w:autoSpaceDN w:val="0"/>
        <w:adjustRightInd w:val="0"/>
        <w:spacing w:line="240" w:lineRule="auto"/>
        <w:rPr>
          <w:szCs w:val="22"/>
          <w:lang w:val="lt-LT"/>
        </w:rPr>
      </w:pPr>
      <w:r w:rsidRPr="00C74681">
        <w:rPr>
          <w:szCs w:val="22"/>
          <w:lang w:val="lt-LT"/>
        </w:rPr>
        <w:t>Zagreb, 10000</w:t>
      </w:r>
    </w:p>
    <w:p w14:paraId="17CD65B3" w14:textId="3FDFB766" w:rsidR="00D6769C" w:rsidRDefault="00D6769C" w:rsidP="00D6769C">
      <w:pPr>
        <w:shd w:val="clear" w:color="auto" w:fill="FFFFFF"/>
        <w:tabs>
          <w:tab w:val="clear" w:pos="567"/>
        </w:tabs>
        <w:spacing w:line="240" w:lineRule="auto"/>
        <w:rPr>
          <w:szCs w:val="22"/>
          <w:lang w:val="lt-LT"/>
        </w:rPr>
      </w:pPr>
      <w:r w:rsidRPr="00C74681">
        <w:rPr>
          <w:szCs w:val="22"/>
          <w:lang w:val="lt-LT"/>
        </w:rPr>
        <w:t>Kroatija</w:t>
      </w:r>
    </w:p>
    <w:p w14:paraId="1323BBCE" w14:textId="77777777" w:rsidR="00D6769C" w:rsidRPr="0084269B" w:rsidRDefault="00D6769C" w:rsidP="0084269B">
      <w:pPr>
        <w:shd w:val="clear" w:color="auto" w:fill="FFFFFF"/>
        <w:tabs>
          <w:tab w:val="clear" w:pos="567"/>
        </w:tabs>
        <w:spacing w:line="240" w:lineRule="auto"/>
        <w:rPr>
          <w:szCs w:val="22"/>
          <w:lang w:val="lt-LT"/>
        </w:rPr>
      </w:pPr>
    </w:p>
    <w:p w14:paraId="4903DC3D" w14:textId="77777777" w:rsidR="0084269B" w:rsidRPr="0084269B" w:rsidRDefault="0084269B" w:rsidP="0084269B">
      <w:pPr>
        <w:shd w:val="clear" w:color="auto" w:fill="FFFFFF"/>
        <w:tabs>
          <w:tab w:val="clear" w:pos="567"/>
        </w:tabs>
        <w:spacing w:line="240" w:lineRule="auto"/>
        <w:rPr>
          <w:szCs w:val="22"/>
          <w:lang w:val="lt-LT"/>
        </w:rPr>
      </w:pPr>
      <w:r w:rsidRPr="0084269B">
        <w:rPr>
          <w:szCs w:val="22"/>
          <w:lang w:val="lt-LT"/>
        </w:rPr>
        <w:t>arba</w:t>
      </w:r>
    </w:p>
    <w:p w14:paraId="3424F816" w14:textId="77777777" w:rsidR="0084269B" w:rsidRPr="0084269B" w:rsidRDefault="0084269B" w:rsidP="0084269B">
      <w:pPr>
        <w:shd w:val="clear" w:color="auto" w:fill="FFFFFF"/>
        <w:tabs>
          <w:tab w:val="clear" w:pos="567"/>
        </w:tabs>
        <w:spacing w:line="240" w:lineRule="auto"/>
        <w:rPr>
          <w:bCs/>
          <w:szCs w:val="22"/>
          <w:lang w:val="lt-LT"/>
        </w:rPr>
      </w:pPr>
    </w:p>
    <w:p w14:paraId="094E3B5D" w14:textId="77777777" w:rsidR="0084269B" w:rsidRPr="0084269B" w:rsidRDefault="0084269B" w:rsidP="0084269B">
      <w:pPr>
        <w:shd w:val="clear" w:color="auto" w:fill="FFFFFF"/>
        <w:tabs>
          <w:tab w:val="clear" w:pos="567"/>
        </w:tabs>
        <w:spacing w:line="240" w:lineRule="auto"/>
        <w:rPr>
          <w:bCs/>
          <w:szCs w:val="22"/>
          <w:lang w:val="lt-LT"/>
        </w:rPr>
      </w:pPr>
      <w:r w:rsidRPr="0084269B">
        <w:rPr>
          <w:bCs/>
          <w:szCs w:val="22"/>
          <w:lang w:val="lt-LT"/>
        </w:rPr>
        <w:t>Teva Nederland BV, </w:t>
      </w:r>
    </w:p>
    <w:p w14:paraId="19480A52" w14:textId="77777777" w:rsidR="0084269B" w:rsidRPr="0084269B" w:rsidRDefault="0084269B" w:rsidP="0084269B">
      <w:pPr>
        <w:shd w:val="clear" w:color="auto" w:fill="FFFFFF"/>
        <w:tabs>
          <w:tab w:val="clear" w:pos="567"/>
        </w:tabs>
        <w:spacing w:line="240" w:lineRule="auto"/>
        <w:rPr>
          <w:szCs w:val="22"/>
          <w:lang w:val="lt-LT"/>
        </w:rPr>
      </w:pPr>
      <w:r w:rsidRPr="0084269B">
        <w:rPr>
          <w:szCs w:val="22"/>
          <w:lang w:val="lt-LT"/>
        </w:rPr>
        <w:t xml:space="preserve">Swensweg 5, 2031GA Haarlem, </w:t>
      </w:r>
    </w:p>
    <w:p w14:paraId="7BC0B3B8" w14:textId="77777777" w:rsidR="0084269B" w:rsidRPr="0084269B" w:rsidRDefault="0084269B" w:rsidP="0084269B">
      <w:pPr>
        <w:shd w:val="clear" w:color="auto" w:fill="FFFFFF"/>
        <w:tabs>
          <w:tab w:val="clear" w:pos="567"/>
        </w:tabs>
        <w:spacing w:line="240" w:lineRule="auto"/>
        <w:rPr>
          <w:szCs w:val="22"/>
          <w:lang w:val="lt-LT"/>
        </w:rPr>
      </w:pPr>
      <w:r w:rsidRPr="0084269B">
        <w:rPr>
          <w:szCs w:val="22"/>
          <w:lang w:val="lt-LT"/>
        </w:rPr>
        <w:t>Nyderlandai</w:t>
      </w:r>
    </w:p>
    <w:p w14:paraId="2ABB8212" w14:textId="77777777" w:rsidR="0084269B" w:rsidRPr="0084269B" w:rsidRDefault="0084269B" w:rsidP="00A25747">
      <w:pPr>
        <w:shd w:val="clear" w:color="auto" w:fill="FFFFFF"/>
        <w:tabs>
          <w:tab w:val="clear" w:pos="567"/>
        </w:tabs>
        <w:spacing w:line="240" w:lineRule="auto"/>
        <w:rPr>
          <w:noProof/>
          <w:szCs w:val="22"/>
          <w:lang w:val="lt-LT" w:eastAsia="lt-LT" w:bidi="lt-LT"/>
        </w:rPr>
      </w:pPr>
      <w:r w:rsidRPr="0084269B">
        <w:rPr>
          <w:rFonts w:ascii="Arial" w:hAnsi="Arial" w:cs="Arial"/>
          <w:color w:val="222222"/>
          <w:sz w:val="24"/>
          <w:szCs w:val="24"/>
          <w:lang w:val="lt-LT"/>
        </w:rPr>
        <w:t> </w:t>
      </w:r>
    </w:p>
    <w:p w14:paraId="7679B97D" w14:textId="77777777" w:rsidR="0084269B" w:rsidRPr="0084269B" w:rsidRDefault="0084269B" w:rsidP="0084269B">
      <w:pPr>
        <w:numPr>
          <w:ilvl w:val="12"/>
          <w:numId w:val="0"/>
        </w:numPr>
        <w:tabs>
          <w:tab w:val="clear" w:pos="567"/>
          <w:tab w:val="left" w:pos="720"/>
        </w:tabs>
        <w:spacing w:line="240" w:lineRule="auto"/>
        <w:ind w:right="-22"/>
        <w:rPr>
          <w:noProof/>
          <w:szCs w:val="22"/>
          <w:lang w:val="lt-LT" w:eastAsia="lt-LT" w:bidi="lt-LT"/>
        </w:rPr>
      </w:pPr>
      <w:r w:rsidRPr="0084269B">
        <w:rPr>
          <w:lang w:val="lt-LT" w:eastAsia="lt-LT" w:bidi="lt-LT"/>
        </w:rPr>
        <w:t>Jeigu apie šį vaistą norite sužinoti daugiau, kreipkitės į vietinį registruotojo atstovą:</w:t>
      </w:r>
    </w:p>
    <w:p w14:paraId="36CDDF28" w14:textId="77777777" w:rsidR="00A25747" w:rsidRPr="00A25747" w:rsidRDefault="00A25747" w:rsidP="00A25747">
      <w:pPr>
        <w:tabs>
          <w:tab w:val="clear" w:pos="567"/>
        </w:tabs>
        <w:spacing w:line="240" w:lineRule="auto"/>
        <w:rPr>
          <w:rFonts w:eastAsia="Calibri"/>
          <w:szCs w:val="22"/>
          <w:lang w:val="lt-LT"/>
        </w:rPr>
      </w:pPr>
      <w:r w:rsidRPr="00A25747">
        <w:rPr>
          <w:rFonts w:eastAsia="Calibri"/>
          <w:szCs w:val="22"/>
          <w:lang w:val="lt-LT"/>
        </w:rPr>
        <w:t xml:space="preserve">UAB Teva Baltics </w:t>
      </w:r>
    </w:p>
    <w:p w14:paraId="12F6C6FE" w14:textId="77777777" w:rsidR="00A25747" w:rsidRPr="00A25747" w:rsidRDefault="00A25747" w:rsidP="00A25747">
      <w:pPr>
        <w:tabs>
          <w:tab w:val="clear" w:pos="567"/>
        </w:tabs>
        <w:spacing w:line="240" w:lineRule="auto"/>
        <w:rPr>
          <w:rFonts w:eastAsia="Calibri"/>
          <w:szCs w:val="22"/>
          <w:lang w:val="lt-LT"/>
        </w:rPr>
      </w:pPr>
      <w:r w:rsidRPr="00A25747">
        <w:rPr>
          <w:rFonts w:eastAsia="Calibri"/>
          <w:szCs w:val="22"/>
          <w:lang w:val="lt-LT"/>
        </w:rPr>
        <w:t>Molėtų pl. 5,</w:t>
      </w:r>
    </w:p>
    <w:p w14:paraId="203CC05D" w14:textId="77777777" w:rsidR="00A25747" w:rsidRPr="00A25747" w:rsidRDefault="00A25747" w:rsidP="00A25747">
      <w:pPr>
        <w:tabs>
          <w:tab w:val="clear" w:pos="567"/>
        </w:tabs>
        <w:spacing w:line="240" w:lineRule="auto"/>
        <w:rPr>
          <w:rFonts w:eastAsia="Calibri"/>
          <w:szCs w:val="22"/>
          <w:lang w:val="lt-LT"/>
        </w:rPr>
      </w:pPr>
      <w:r w:rsidRPr="00A25747">
        <w:rPr>
          <w:rFonts w:eastAsia="Calibri"/>
          <w:szCs w:val="22"/>
          <w:lang w:val="lt-LT"/>
        </w:rPr>
        <w:t xml:space="preserve">LT-09320 Vilnius </w:t>
      </w:r>
    </w:p>
    <w:p w14:paraId="55AC6B34" w14:textId="77777777" w:rsidR="0084269B" w:rsidRDefault="00A25747" w:rsidP="00A25747">
      <w:pPr>
        <w:spacing w:line="240" w:lineRule="auto"/>
        <w:ind w:right="-22"/>
        <w:rPr>
          <w:rFonts w:eastAsia="Calibri"/>
          <w:szCs w:val="22"/>
          <w:lang w:val="lt-LT"/>
        </w:rPr>
      </w:pPr>
      <w:r w:rsidRPr="00A25747">
        <w:rPr>
          <w:rFonts w:eastAsia="Calibri"/>
          <w:szCs w:val="22"/>
          <w:lang w:val="lt-LT"/>
        </w:rPr>
        <w:t>Tel:+370 5 266 02 03</w:t>
      </w:r>
    </w:p>
    <w:p w14:paraId="5299854D" w14:textId="77777777" w:rsidR="001E0858" w:rsidRDefault="001E0858" w:rsidP="00A25747">
      <w:pPr>
        <w:spacing w:line="240" w:lineRule="auto"/>
        <w:ind w:right="-22"/>
        <w:rPr>
          <w:rFonts w:eastAsia="Calibri"/>
          <w:szCs w:val="22"/>
          <w:lang w:val="lt-LT"/>
        </w:rPr>
      </w:pPr>
    </w:p>
    <w:p w14:paraId="669BCBE3" w14:textId="77777777" w:rsidR="001E0858" w:rsidRPr="00894A0A" w:rsidRDefault="0026109A" w:rsidP="00894A0A">
      <w:pPr>
        <w:numPr>
          <w:ilvl w:val="12"/>
          <w:numId w:val="0"/>
        </w:numPr>
        <w:ind w:right="-2"/>
        <w:rPr>
          <w:snapToGrid w:val="0"/>
          <w:szCs w:val="22"/>
        </w:rPr>
      </w:pPr>
      <w:r w:rsidRPr="00894A0A">
        <w:rPr>
          <w:b/>
          <w:snapToGrid w:val="0"/>
          <w:szCs w:val="22"/>
        </w:rPr>
        <w:t>Šis vaistas EEE valstybėse narėse registruotas tokiais pavadinimais</w:t>
      </w:r>
      <w:r w:rsidRPr="00894A0A">
        <w:rPr>
          <w:snapToGrid w:val="0"/>
          <w:szCs w:val="22"/>
        </w:rPr>
        <w:t>:</w:t>
      </w:r>
    </w:p>
    <w:p w14:paraId="7E7A7A82" w14:textId="472906DE" w:rsidR="00C3383F" w:rsidRPr="00894A0A" w:rsidRDefault="00C3383F" w:rsidP="00894A0A">
      <w:pPr>
        <w:tabs>
          <w:tab w:val="clear" w:pos="567"/>
        </w:tabs>
        <w:autoSpaceDE w:val="0"/>
        <w:autoSpaceDN w:val="0"/>
        <w:adjustRightInd w:val="0"/>
        <w:spacing w:line="240" w:lineRule="auto"/>
        <w:rPr>
          <w:b/>
          <w:snapToGrid w:val="0"/>
          <w:szCs w:val="22"/>
          <w:lang w:val="lt-LT"/>
        </w:rPr>
      </w:pPr>
      <w:r w:rsidRPr="00894A0A">
        <w:rPr>
          <w:b/>
          <w:noProof/>
          <w:szCs w:val="22"/>
          <w:lang w:val="lt-LT" w:eastAsia="lt-LT" w:bidi="lt-LT"/>
        </w:rPr>
        <w:t>Austrija:</w:t>
      </w:r>
      <w:r w:rsidRPr="00894A0A">
        <w:rPr>
          <w:noProof/>
          <w:szCs w:val="22"/>
          <w:lang w:val="lt-LT" w:eastAsia="lt-LT" w:bidi="lt-LT"/>
        </w:rPr>
        <w:t xml:space="preserve"> </w:t>
      </w:r>
      <w:r w:rsidRPr="00894A0A">
        <w:rPr>
          <w:rFonts w:eastAsiaTheme="minorHAnsi"/>
          <w:szCs w:val="22"/>
          <w:lang w:val="lt-LT"/>
        </w:rPr>
        <w:t xml:space="preserve">Cabazitaxel ratiopharm 10 mg/ml Konzentrat zur Herstellung einer Infusionslösung; </w:t>
      </w:r>
      <w:r w:rsidRPr="00894A0A">
        <w:rPr>
          <w:rFonts w:eastAsiaTheme="minorHAnsi"/>
          <w:b/>
          <w:szCs w:val="22"/>
          <w:lang w:val="lt-LT"/>
        </w:rPr>
        <w:t>Belgija:</w:t>
      </w:r>
      <w:r w:rsidRPr="00894A0A">
        <w:rPr>
          <w:b/>
          <w:snapToGrid w:val="0"/>
          <w:szCs w:val="22"/>
          <w:lang w:val="lt-LT"/>
        </w:rPr>
        <w:t xml:space="preserve"> </w:t>
      </w:r>
    </w:p>
    <w:p w14:paraId="3BBAC21E" w14:textId="77777777" w:rsidR="00C3383F" w:rsidRPr="00894A0A" w:rsidRDefault="00C3383F" w:rsidP="00894A0A">
      <w:pPr>
        <w:tabs>
          <w:tab w:val="clear" w:pos="567"/>
        </w:tabs>
        <w:autoSpaceDE w:val="0"/>
        <w:autoSpaceDN w:val="0"/>
        <w:adjustRightInd w:val="0"/>
        <w:spacing w:line="240" w:lineRule="auto"/>
        <w:rPr>
          <w:rFonts w:eastAsiaTheme="minorHAnsi"/>
          <w:szCs w:val="22"/>
          <w:lang w:val="lt-LT"/>
        </w:rPr>
      </w:pPr>
      <w:r w:rsidRPr="00894A0A">
        <w:rPr>
          <w:rFonts w:eastAsiaTheme="minorHAnsi"/>
          <w:szCs w:val="22"/>
          <w:lang w:val="lt-LT"/>
        </w:rPr>
        <w:t xml:space="preserve">Cabazitaxel Teva 10 mg/ml concentraat voor oplossing voor infusie / solution à diluer pour perfusion /Konzentrat zur Herstellung einer Infusionslösung; </w:t>
      </w:r>
      <w:r w:rsidRPr="00894A0A">
        <w:rPr>
          <w:rFonts w:eastAsiaTheme="minorHAnsi"/>
          <w:b/>
          <w:szCs w:val="22"/>
          <w:lang w:val="lt-LT"/>
        </w:rPr>
        <w:t xml:space="preserve">Bulgarija: </w:t>
      </w:r>
      <w:r w:rsidRPr="00894A0A">
        <w:rPr>
          <w:rFonts w:eastAsiaTheme="minorHAnsi"/>
          <w:szCs w:val="22"/>
          <w:lang w:val="lt-LT"/>
        </w:rPr>
        <w:t xml:space="preserve">Кабазитаксел Тева 10 mg/ml концентрат за инфузионен разтвор; </w:t>
      </w:r>
      <w:r w:rsidRPr="00894A0A">
        <w:rPr>
          <w:rFonts w:eastAsiaTheme="minorHAnsi"/>
          <w:b/>
          <w:szCs w:val="22"/>
          <w:lang w:val="lt-LT"/>
        </w:rPr>
        <w:t>Čekija:</w:t>
      </w:r>
      <w:r w:rsidRPr="00894A0A">
        <w:rPr>
          <w:rFonts w:eastAsiaTheme="minorHAnsi"/>
          <w:szCs w:val="22"/>
          <w:lang w:val="lt-LT"/>
        </w:rPr>
        <w:t xml:space="preserve"> Cabazitaxel Teva; </w:t>
      </w:r>
      <w:r w:rsidRPr="00894A0A">
        <w:rPr>
          <w:rFonts w:eastAsiaTheme="minorHAnsi"/>
          <w:b/>
          <w:szCs w:val="22"/>
          <w:lang w:val="lt-LT"/>
        </w:rPr>
        <w:t>Vokietija:</w:t>
      </w:r>
      <w:r w:rsidRPr="00894A0A">
        <w:rPr>
          <w:rFonts w:eastAsiaTheme="minorHAnsi"/>
          <w:szCs w:val="22"/>
          <w:lang w:val="lt-LT"/>
        </w:rPr>
        <w:t xml:space="preserve"> Cabazitaxel-ratiopharm 10 mg/ml Konzentrat zur Herstellung einer Infusionslösung; </w:t>
      </w:r>
      <w:r w:rsidRPr="00894A0A">
        <w:rPr>
          <w:rFonts w:eastAsiaTheme="minorHAnsi"/>
          <w:b/>
          <w:szCs w:val="22"/>
          <w:lang w:val="lt-LT"/>
        </w:rPr>
        <w:t>Danija:</w:t>
      </w:r>
      <w:r w:rsidRPr="00894A0A">
        <w:rPr>
          <w:rFonts w:eastAsiaTheme="minorHAnsi"/>
          <w:szCs w:val="22"/>
          <w:lang w:val="lt-LT"/>
        </w:rPr>
        <w:t xml:space="preserve"> Cabazitaxel Teva B.V.; </w:t>
      </w:r>
      <w:r w:rsidRPr="00894A0A">
        <w:rPr>
          <w:rFonts w:eastAsiaTheme="minorHAnsi"/>
          <w:b/>
          <w:szCs w:val="22"/>
          <w:lang w:val="lt-LT"/>
        </w:rPr>
        <w:t>Estija:</w:t>
      </w:r>
      <w:r w:rsidRPr="00894A0A">
        <w:rPr>
          <w:rFonts w:eastAsiaTheme="minorHAnsi"/>
          <w:szCs w:val="22"/>
          <w:lang w:val="lt-LT"/>
        </w:rPr>
        <w:t xml:space="preserve"> Cabazitaxel Teva; </w:t>
      </w:r>
      <w:r w:rsidRPr="00894A0A">
        <w:rPr>
          <w:rFonts w:eastAsiaTheme="minorHAnsi"/>
          <w:b/>
          <w:szCs w:val="22"/>
          <w:lang w:val="lt-LT"/>
        </w:rPr>
        <w:t>Ispanija:</w:t>
      </w:r>
      <w:r w:rsidRPr="00894A0A">
        <w:rPr>
          <w:rFonts w:eastAsiaTheme="minorHAnsi"/>
          <w:szCs w:val="22"/>
          <w:lang w:val="lt-LT"/>
        </w:rPr>
        <w:t xml:space="preserve"> Cabazitaxel Teva 10 mg/ml Concentrado para solución para perfusión; </w:t>
      </w:r>
      <w:r w:rsidRPr="00894A0A">
        <w:rPr>
          <w:rFonts w:eastAsiaTheme="minorHAnsi"/>
          <w:b/>
          <w:szCs w:val="22"/>
          <w:lang w:val="lt-LT"/>
        </w:rPr>
        <w:t>Suomija:</w:t>
      </w:r>
      <w:r w:rsidRPr="00894A0A">
        <w:rPr>
          <w:rFonts w:eastAsiaTheme="minorHAnsi"/>
          <w:szCs w:val="22"/>
          <w:lang w:val="lt-LT"/>
        </w:rPr>
        <w:t xml:space="preserve"> Cabazitaxel Teva B.V. 10 mg/ml infuusiokonsentraatti, liuosta varten; </w:t>
      </w:r>
      <w:r w:rsidRPr="00894A0A">
        <w:rPr>
          <w:rFonts w:eastAsiaTheme="minorHAnsi"/>
          <w:b/>
          <w:szCs w:val="22"/>
          <w:lang w:val="lt-LT"/>
        </w:rPr>
        <w:t xml:space="preserve">Prancūzija: </w:t>
      </w:r>
      <w:r w:rsidRPr="00894A0A">
        <w:rPr>
          <w:rFonts w:eastAsiaTheme="minorHAnsi"/>
          <w:szCs w:val="22"/>
          <w:lang w:val="lt-LT"/>
        </w:rPr>
        <w:t xml:space="preserve">ABAZITAXEL TEVA SANTE 10 mg/mL, solution à diluer pour perfusion; </w:t>
      </w:r>
      <w:r w:rsidRPr="00894A0A">
        <w:rPr>
          <w:rFonts w:eastAsiaTheme="minorHAnsi"/>
          <w:b/>
          <w:szCs w:val="22"/>
          <w:lang w:val="lt-LT"/>
        </w:rPr>
        <w:t xml:space="preserve">Kroatija: </w:t>
      </w:r>
      <w:r w:rsidRPr="00894A0A">
        <w:rPr>
          <w:rFonts w:eastAsiaTheme="minorHAnsi"/>
          <w:szCs w:val="22"/>
          <w:lang w:val="lt-LT"/>
        </w:rPr>
        <w:t xml:space="preserve">Kabazitaksel Teva 10 mg/ml koncentrat za otopinu za infuziju; </w:t>
      </w:r>
      <w:r w:rsidRPr="00894A0A">
        <w:rPr>
          <w:rFonts w:eastAsiaTheme="minorHAnsi"/>
          <w:b/>
          <w:szCs w:val="22"/>
          <w:lang w:val="lt-LT"/>
        </w:rPr>
        <w:t>Vengrija:</w:t>
      </w:r>
      <w:r w:rsidR="003B4264" w:rsidRPr="00894A0A">
        <w:rPr>
          <w:rFonts w:eastAsiaTheme="minorHAnsi"/>
          <w:b/>
          <w:szCs w:val="22"/>
          <w:lang w:val="lt-LT"/>
        </w:rPr>
        <w:t xml:space="preserve"> </w:t>
      </w:r>
      <w:r w:rsidR="003B4264" w:rsidRPr="00894A0A">
        <w:rPr>
          <w:rFonts w:eastAsiaTheme="minorHAnsi"/>
          <w:szCs w:val="22"/>
          <w:lang w:val="lt-LT"/>
        </w:rPr>
        <w:t xml:space="preserve">Cabazitaxel Teva 10mg/ml koncentrátum oldatos infúzióhoz; </w:t>
      </w:r>
      <w:r w:rsidR="003B4264" w:rsidRPr="00894A0A">
        <w:rPr>
          <w:rFonts w:eastAsiaTheme="minorHAnsi"/>
          <w:b/>
          <w:szCs w:val="22"/>
          <w:lang w:val="lt-LT"/>
        </w:rPr>
        <w:t>Airija:</w:t>
      </w:r>
      <w:r w:rsidR="003B4264" w:rsidRPr="00894A0A">
        <w:rPr>
          <w:rFonts w:eastAsiaTheme="minorHAnsi"/>
          <w:szCs w:val="22"/>
          <w:lang w:val="lt-LT"/>
        </w:rPr>
        <w:t xml:space="preserve"> Cabazitaxel Teva 10 mg/ml Concentrate for solution for infusion; </w:t>
      </w:r>
      <w:r w:rsidR="003B4264" w:rsidRPr="00894A0A">
        <w:rPr>
          <w:rFonts w:eastAsiaTheme="minorHAnsi"/>
          <w:b/>
          <w:szCs w:val="22"/>
          <w:lang w:val="lt-LT"/>
        </w:rPr>
        <w:t>Italija:</w:t>
      </w:r>
      <w:r w:rsidR="003B4264" w:rsidRPr="00894A0A">
        <w:rPr>
          <w:rFonts w:eastAsiaTheme="minorHAnsi"/>
          <w:szCs w:val="22"/>
          <w:lang w:val="lt-LT"/>
        </w:rPr>
        <w:t xml:space="preserve"> Cabazitaxel Teva; </w:t>
      </w:r>
      <w:r w:rsidR="003B4264" w:rsidRPr="00894A0A">
        <w:rPr>
          <w:rFonts w:eastAsiaTheme="minorHAnsi"/>
          <w:b/>
          <w:szCs w:val="22"/>
          <w:lang w:val="lt-LT"/>
        </w:rPr>
        <w:t>Liuksemburgas:</w:t>
      </w:r>
      <w:r w:rsidR="003B4264" w:rsidRPr="00894A0A">
        <w:rPr>
          <w:rFonts w:eastAsiaTheme="minorHAnsi"/>
          <w:szCs w:val="22"/>
          <w:lang w:val="lt-LT"/>
        </w:rPr>
        <w:t xml:space="preserve"> Cabazitaxel Teva 10 mg/ml olution à diluer pour perfusion; </w:t>
      </w:r>
      <w:r w:rsidR="003B4264" w:rsidRPr="00894A0A">
        <w:rPr>
          <w:rFonts w:eastAsiaTheme="minorHAnsi"/>
          <w:b/>
          <w:szCs w:val="22"/>
          <w:lang w:val="lt-LT"/>
        </w:rPr>
        <w:t>Nyderlandai:</w:t>
      </w:r>
      <w:r w:rsidR="003B4264" w:rsidRPr="00894A0A">
        <w:rPr>
          <w:rFonts w:eastAsiaTheme="minorHAnsi"/>
          <w:szCs w:val="22"/>
          <w:lang w:val="lt-LT"/>
        </w:rPr>
        <w:t xml:space="preserve"> Cabazitaxel Teva 10 mg/ml, concentraat voor oplossing voor infusie; </w:t>
      </w:r>
      <w:r w:rsidR="003B4264" w:rsidRPr="00894A0A">
        <w:rPr>
          <w:rFonts w:eastAsiaTheme="minorHAnsi"/>
          <w:b/>
          <w:szCs w:val="22"/>
          <w:lang w:val="lt-LT"/>
        </w:rPr>
        <w:t>Norvegija:</w:t>
      </w:r>
      <w:r w:rsidR="003B4264" w:rsidRPr="00894A0A">
        <w:rPr>
          <w:rFonts w:eastAsiaTheme="minorHAnsi"/>
          <w:szCs w:val="22"/>
          <w:lang w:val="lt-LT"/>
        </w:rPr>
        <w:t xml:space="preserve"> Cabazitaxel Teva B.V.; </w:t>
      </w:r>
      <w:r w:rsidR="003B4264" w:rsidRPr="00894A0A">
        <w:rPr>
          <w:rFonts w:eastAsiaTheme="minorHAnsi"/>
          <w:b/>
          <w:szCs w:val="22"/>
          <w:lang w:val="lt-LT"/>
        </w:rPr>
        <w:t xml:space="preserve">Portugalija: </w:t>
      </w:r>
      <w:r w:rsidR="003B4264" w:rsidRPr="00894A0A">
        <w:rPr>
          <w:rFonts w:eastAsiaTheme="minorHAnsi"/>
          <w:szCs w:val="22"/>
          <w:lang w:val="lt-LT"/>
        </w:rPr>
        <w:t xml:space="preserve">Cabazitaxel Teva; </w:t>
      </w:r>
      <w:r w:rsidR="003B4264" w:rsidRPr="00894A0A">
        <w:rPr>
          <w:rFonts w:eastAsiaTheme="minorHAnsi"/>
          <w:b/>
          <w:szCs w:val="22"/>
          <w:lang w:val="lt-LT"/>
        </w:rPr>
        <w:t>Švedija:</w:t>
      </w:r>
      <w:r w:rsidR="00783012" w:rsidRPr="00894A0A">
        <w:rPr>
          <w:rFonts w:eastAsiaTheme="minorHAnsi"/>
          <w:szCs w:val="22"/>
          <w:lang w:val="lt-LT"/>
        </w:rPr>
        <w:t xml:space="preserve"> Cabazitaxel Teva B.V.; </w:t>
      </w:r>
      <w:r w:rsidR="00783012" w:rsidRPr="00894A0A">
        <w:rPr>
          <w:rFonts w:eastAsiaTheme="minorHAnsi"/>
          <w:b/>
          <w:szCs w:val="22"/>
          <w:lang w:val="lt-LT"/>
        </w:rPr>
        <w:t xml:space="preserve">Slovėnija: </w:t>
      </w:r>
      <w:r w:rsidR="00783012" w:rsidRPr="00894A0A">
        <w:rPr>
          <w:rFonts w:eastAsiaTheme="minorHAnsi"/>
          <w:szCs w:val="22"/>
          <w:lang w:val="lt-LT"/>
        </w:rPr>
        <w:t xml:space="preserve">Kabazitaksel Teva 10 mg/ml koncentrat za raztopino za infundiranje; </w:t>
      </w:r>
      <w:r w:rsidR="00783012" w:rsidRPr="00894A0A">
        <w:rPr>
          <w:rFonts w:eastAsiaTheme="minorHAnsi"/>
          <w:b/>
          <w:szCs w:val="22"/>
          <w:lang w:val="lt-LT"/>
        </w:rPr>
        <w:t>Didžioji Britanija:</w:t>
      </w:r>
      <w:r w:rsidR="00783012" w:rsidRPr="00894A0A">
        <w:rPr>
          <w:rFonts w:eastAsiaTheme="minorHAnsi"/>
          <w:szCs w:val="22"/>
          <w:lang w:val="lt-LT"/>
        </w:rPr>
        <w:t xml:space="preserve"> Cabazitaxel Teva 10 mg/ml Concentrate for solution for infusion</w:t>
      </w:r>
    </w:p>
    <w:p w14:paraId="06B5D13E" w14:textId="77777777" w:rsidR="00C3383F" w:rsidRDefault="00C3383F" w:rsidP="0084269B">
      <w:pPr>
        <w:numPr>
          <w:ilvl w:val="12"/>
          <w:numId w:val="0"/>
        </w:numPr>
        <w:tabs>
          <w:tab w:val="clear" w:pos="567"/>
        </w:tabs>
        <w:spacing w:line="240" w:lineRule="auto"/>
        <w:ind w:right="-2"/>
        <w:rPr>
          <w:b/>
          <w:snapToGrid w:val="0"/>
          <w:lang w:val="lt-LT"/>
        </w:rPr>
      </w:pPr>
    </w:p>
    <w:p w14:paraId="0828F0EC" w14:textId="6861A6C4" w:rsidR="0084269B" w:rsidRPr="0084269B" w:rsidRDefault="0084269B" w:rsidP="0084269B">
      <w:pPr>
        <w:numPr>
          <w:ilvl w:val="12"/>
          <w:numId w:val="0"/>
        </w:numPr>
        <w:tabs>
          <w:tab w:val="clear" w:pos="567"/>
        </w:tabs>
        <w:spacing w:line="240" w:lineRule="auto"/>
        <w:ind w:right="-2"/>
        <w:rPr>
          <w:b/>
          <w:snapToGrid w:val="0"/>
          <w:lang w:val="lt-LT"/>
        </w:rPr>
      </w:pPr>
      <w:r w:rsidRPr="0084269B">
        <w:rPr>
          <w:b/>
          <w:snapToGrid w:val="0"/>
          <w:lang w:val="lt-LT"/>
        </w:rPr>
        <w:t xml:space="preserve">Šis pakuotės lapelis paskutinį kartą peržiūrėtas </w:t>
      </w:r>
      <w:r w:rsidR="00022F48">
        <w:rPr>
          <w:b/>
          <w:snapToGrid w:val="0"/>
          <w:lang w:val="lt-LT"/>
        </w:rPr>
        <w:t>2021-03-06.</w:t>
      </w:r>
    </w:p>
    <w:p w14:paraId="25AF4675" w14:textId="77777777" w:rsidR="0084269B" w:rsidRPr="0084269B" w:rsidRDefault="0084269B" w:rsidP="0084269B">
      <w:pPr>
        <w:numPr>
          <w:ilvl w:val="12"/>
          <w:numId w:val="0"/>
        </w:numPr>
        <w:tabs>
          <w:tab w:val="clear" w:pos="567"/>
        </w:tabs>
        <w:spacing w:line="240" w:lineRule="auto"/>
        <w:ind w:right="-2"/>
        <w:rPr>
          <w:b/>
          <w:snapToGrid w:val="0"/>
          <w:lang w:val="lt-LT"/>
        </w:rPr>
      </w:pPr>
    </w:p>
    <w:p w14:paraId="502EBD3C" w14:textId="77777777" w:rsidR="0084269B" w:rsidRPr="0084269B" w:rsidRDefault="0084269B" w:rsidP="0084269B">
      <w:pPr>
        <w:numPr>
          <w:ilvl w:val="12"/>
          <w:numId w:val="0"/>
        </w:numPr>
        <w:spacing w:line="240" w:lineRule="auto"/>
        <w:ind w:right="-2"/>
        <w:rPr>
          <w:lang w:val="lt-LT" w:eastAsia="lt-LT" w:bidi="lt-LT"/>
        </w:rPr>
      </w:pPr>
      <w:r w:rsidRPr="0084269B">
        <w:rPr>
          <w:lang w:val="lt-LT" w:eastAsia="lt-LT" w:bidi="lt-LT"/>
        </w:rPr>
        <w:t xml:space="preserve">Išsami informacija apie šį </w:t>
      </w:r>
      <w:r w:rsidRPr="0084269B">
        <w:rPr>
          <w:szCs w:val="24"/>
          <w:lang w:val="lt-LT" w:eastAsia="lt-LT" w:bidi="lt-LT"/>
        </w:rPr>
        <w:t>vaistą</w:t>
      </w:r>
      <w:r w:rsidRPr="0084269B">
        <w:rPr>
          <w:lang w:val="lt-LT" w:eastAsia="lt-LT" w:bidi="lt-LT"/>
        </w:rPr>
        <w:t xml:space="preserve"> pateikiama Valstybinės vaistų kontrolės tarnybos prie Lietuvos Respublikos sveikatos apsaugos ministerijos tinklalapyje</w:t>
      </w:r>
      <w:r w:rsidRPr="0084269B">
        <w:rPr>
          <w:i/>
          <w:szCs w:val="24"/>
          <w:lang w:val="lt-LT" w:eastAsia="lt-LT" w:bidi="lt-LT"/>
        </w:rPr>
        <w:t xml:space="preserve"> </w:t>
      </w:r>
      <w:hyperlink r:id="rId14" w:history="1">
        <w:r w:rsidRPr="0084269B">
          <w:rPr>
            <w:rFonts w:eastAsia="SimSun"/>
            <w:color w:val="0000FF"/>
            <w:u w:val="single"/>
            <w:lang w:val="lt-LT" w:eastAsia="lt-LT" w:bidi="lt-LT"/>
          </w:rPr>
          <w:t>http://www.vvkt.lt/</w:t>
        </w:r>
      </w:hyperlink>
      <w:r w:rsidRPr="0084269B">
        <w:rPr>
          <w:lang w:val="lt-LT" w:eastAsia="lt-LT" w:bidi="lt-LT"/>
        </w:rPr>
        <w:t>.</w:t>
      </w:r>
    </w:p>
    <w:p w14:paraId="2C1E929F" w14:textId="77777777" w:rsidR="0084269B" w:rsidRPr="0084269B" w:rsidRDefault="0084269B" w:rsidP="0084269B">
      <w:pPr>
        <w:numPr>
          <w:ilvl w:val="12"/>
          <w:numId w:val="0"/>
        </w:numPr>
        <w:spacing w:line="240" w:lineRule="auto"/>
        <w:ind w:right="-2"/>
        <w:rPr>
          <w:szCs w:val="24"/>
          <w:lang w:val="lt-LT" w:eastAsia="lt-LT" w:bidi="lt-LT"/>
        </w:rPr>
      </w:pPr>
    </w:p>
    <w:p w14:paraId="2BEB9FDA" w14:textId="77777777" w:rsidR="0084269B" w:rsidRPr="0084269B" w:rsidRDefault="0084269B" w:rsidP="0084269B">
      <w:pPr>
        <w:numPr>
          <w:ilvl w:val="12"/>
          <w:numId w:val="0"/>
        </w:numPr>
        <w:tabs>
          <w:tab w:val="clear" w:pos="567"/>
        </w:tabs>
        <w:spacing w:line="240" w:lineRule="auto"/>
        <w:ind w:right="-2"/>
        <w:rPr>
          <w:szCs w:val="24"/>
          <w:lang w:val="lt-LT" w:eastAsia="lt-LT" w:bidi="lt-LT"/>
        </w:rPr>
      </w:pPr>
      <w:r w:rsidRPr="0084269B">
        <w:rPr>
          <w:szCs w:val="24"/>
          <w:lang w:val="lt-LT" w:eastAsia="lt-LT" w:bidi="lt-LT"/>
        </w:rPr>
        <w:t>---------------------------------------------------------------------------------------------------------------------------</w:t>
      </w:r>
    </w:p>
    <w:p w14:paraId="0960299E" w14:textId="77777777" w:rsidR="0084269B" w:rsidRPr="0084269B" w:rsidRDefault="0084269B" w:rsidP="0084269B">
      <w:pPr>
        <w:numPr>
          <w:ilvl w:val="12"/>
          <w:numId w:val="0"/>
        </w:numPr>
        <w:tabs>
          <w:tab w:val="left" w:pos="2657"/>
        </w:tabs>
        <w:spacing w:line="240" w:lineRule="auto"/>
        <w:ind w:right="-28"/>
        <w:rPr>
          <w:szCs w:val="24"/>
          <w:lang w:val="lt-LT" w:eastAsia="lt-LT" w:bidi="lt-LT"/>
        </w:rPr>
      </w:pPr>
    </w:p>
    <w:p w14:paraId="49294773" w14:textId="77777777" w:rsidR="0084269B" w:rsidRPr="0084269B" w:rsidRDefault="0084269B" w:rsidP="0084269B">
      <w:pPr>
        <w:tabs>
          <w:tab w:val="clear" w:pos="567"/>
        </w:tabs>
        <w:spacing w:line="240" w:lineRule="auto"/>
        <w:rPr>
          <w:b/>
          <w:i/>
          <w:color w:val="008000"/>
          <w:u w:val="single"/>
          <w:lang w:val="lt-LT" w:eastAsia="lt-LT" w:bidi="lt-LT"/>
        </w:rPr>
      </w:pPr>
      <w:r w:rsidRPr="0084269B">
        <w:rPr>
          <w:b/>
          <w:u w:val="single"/>
          <w:lang w:val="lt-LT" w:eastAsia="lt-LT" w:bidi="lt-LT"/>
        </w:rPr>
        <w:t>Toliau pateikta informacija skirta tik sveikatos priežiūros specialistams</w:t>
      </w:r>
    </w:p>
    <w:p w14:paraId="4FA6D155" w14:textId="77777777" w:rsidR="0084269B" w:rsidRPr="0084269B" w:rsidRDefault="0084269B" w:rsidP="0084269B">
      <w:pPr>
        <w:ind w:right="-22"/>
        <w:rPr>
          <w:lang w:val="lt-LT" w:eastAsia="lt-LT" w:bidi="lt-LT"/>
        </w:rPr>
      </w:pPr>
      <w:r w:rsidRPr="0084269B">
        <w:rPr>
          <w:b/>
          <w:lang w:val="lt-LT" w:eastAsia="lt-LT" w:bidi="lt-LT"/>
        </w:rPr>
        <w:t>MEDICINOS AR SVEIKATOS PRIEŽIŪROS SPECIALISTAMS SKIRTA PRAKTINĖ INFORMACIJA APIE CABAZITAXEL TEVA RUOŠIMĄ, VARTOJIMĄ IR DARBĄ SU VAISTINIU PREPARATU</w:t>
      </w:r>
    </w:p>
    <w:p w14:paraId="4DB97974" w14:textId="77777777" w:rsidR="0084269B" w:rsidRPr="0084269B" w:rsidRDefault="0084269B" w:rsidP="0084269B">
      <w:pPr>
        <w:ind w:right="-22"/>
        <w:rPr>
          <w:lang w:val="lt-LT" w:eastAsia="lt-LT" w:bidi="lt-LT"/>
        </w:rPr>
      </w:pPr>
    </w:p>
    <w:p w14:paraId="5F752D3B" w14:textId="77777777" w:rsidR="0084269B" w:rsidRPr="0084269B" w:rsidRDefault="0084269B" w:rsidP="0084269B">
      <w:pPr>
        <w:ind w:right="-22"/>
        <w:rPr>
          <w:lang w:val="lt-LT" w:eastAsia="lt-LT" w:bidi="lt-LT"/>
        </w:rPr>
      </w:pPr>
      <w:r w:rsidRPr="0084269B">
        <w:rPr>
          <w:lang w:val="lt-LT" w:eastAsia="lt-LT" w:bidi="lt-LT"/>
        </w:rPr>
        <w:t xml:space="preserve">Ši informacija papildo 3 ir 5 informacijos vartotojui skyrius. </w:t>
      </w:r>
    </w:p>
    <w:p w14:paraId="2D552553" w14:textId="77777777" w:rsidR="0084269B" w:rsidRPr="0084269B" w:rsidRDefault="0084269B" w:rsidP="0084269B">
      <w:pPr>
        <w:ind w:right="-22"/>
        <w:rPr>
          <w:lang w:val="lt-LT" w:eastAsia="lt-LT" w:bidi="lt-LT"/>
        </w:rPr>
      </w:pPr>
      <w:r w:rsidRPr="0084269B">
        <w:rPr>
          <w:lang w:val="lt-LT" w:eastAsia="lt-LT" w:bidi="lt-LT"/>
        </w:rPr>
        <w:t xml:space="preserve">Svarbu, kad prieš infuzinio tirpalo paruošimą perskaitytumėte visą informaciją apie šią procedūrą. </w:t>
      </w:r>
    </w:p>
    <w:p w14:paraId="3685A26A" w14:textId="77777777" w:rsidR="0084269B" w:rsidRPr="0084269B" w:rsidRDefault="0084269B" w:rsidP="0084269B">
      <w:pPr>
        <w:ind w:right="-22"/>
        <w:rPr>
          <w:lang w:val="lt-LT" w:eastAsia="lt-LT" w:bidi="lt-LT"/>
        </w:rPr>
      </w:pPr>
    </w:p>
    <w:p w14:paraId="3FB49E5D" w14:textId="77777777" w:rsidR="0084269B" w:rsidRPr="0084269B" w:rsidRDefault="0084269B" w:rsidP="0084269B">
      <w:pPr>
        <w:ind w:right="-22"/>
        <w:rPr>
          <w:lang w:val="lt-LT" w:eastAsia="lt-LT" w:bidi="lt-LT"/>
        </w:rPr>
      </w:pPr>
      <w:r w:rsidRPr="0084269B">
        <w:rPr>
          <w:b/>
          <w:lang w:val="lt-LT" w:eastAsia="lt-LT" w:bidi="lt-LT"/>
        </w:rPr>
        <w:t xml:space="preserve">Nesuderinamumas </w:t>
      </w:r>
    </w:p>
    <w:p w14:paraId="0F2C382B" w14:textId="77777777" w:rsidR="0084269B" w:rsidRPr="0084269B" w:rsidRDefault="0084269B" w:rsidP="0084269B">
      <w:pPr>
        <w:ind w:right="-22"/>
        <w:rPr>
          <w:lang w:val="lt-LT" w:eastAsia="lt-LT" w:bidi="lt-LT"/>
        </w:rPr>
      </w:pPr>
    </w:p>
    <w:p w14:paraId="2E73900E" w14:textId="77777777" w:rsidR="0084269B" w:rsidRPr="0084269B" w:rsidRDefault="0084269B" w:rsidP="0084269B">
      <w:pPr>
        <w:ind w:right="-22"/>
        <w:rPr>
          <w:lang w:val="lt-LT" w:eastAsia="lt-LT" w:bidi="lt-LT"/>
        </w:rPr>
      </w:pPr>
      <w:r w:rsidRPr="0084269B">
        <w:rPr>
          <w:lang w:val="lt-LT" w:eastAsia="lt-LT" w:bidi="lt-LT"/>
        </w:rPr>
        <w:t xml:space="preserve">Šio vaistinio preparato negalima maišyti su kitais, išskyrus naudojamus praskiedimui. </w:t>
      </w:r>
    </w:p>
    <w:p w14:paraId="226A3909" w14:textId="77777777" w:rsidR="0084269B" w:rsidRPr="0084269B" w:rsidRDefault="0084269B" w:rsidP="0084269B">
      <w:pPr>
        <w:ind w:right="-22"/>
        <w:rPr>
          <w:b/>
          <w:lang w:val="lt-LT" w:eastAsia="lt-LT" w:bidi="lt-LT"/>
        </w:rPr>
      </w:pPr>
    </w:p>
    <w:p w14:paraId="601AE0D7" w14:textId="77777777" w:rsidR="0084269B" w:rsidRPr="0084269B" w:rsidRDefault="0084269B" w:rsidP="0084269B">
      <w:pPr>
        <w:ind w:right="-22"/>
        <w:rPr>
          <w:lang w:val="lt-LT" w:eastAsia="lt-LT" w:bidi="lt-LT"/>
        </w:rPr>
      </w:pPr>
      <w:r w:rsidRPr="0084269B">
        <w:rPr>
          <w:b/>
          <w:lang w:val="lt-LT" w:eastAsia="lt-LT" w:bidi="lt-LT"/>
        </w:rPr>
        <w:t>Tinkamumo laikas ir specialios laikymo sąlygos</w:t>
      </w:r>
      <w:r w:rsidRPr="0084269B">
        <w:rPr>
          <w:lang w:val="lt-LT" w:eastAsia="lt-LT" w:bidi="lt-LT"/>
        </w:rPr>
        <w:t xml:space="preserve"> </w:t>
      </w:r>
    </w:p>
    <w:p w14:paraId="02307864" w14:textId="77777777" w:rsidR="0084269B" w:rsidRPr="0084269B" w:rsidRDefault="0084269B" w:rsidP="0084269B">
      <w:pPr>
        <w:tabs>
          <w:tab w:val="clear" w:pos="567"/>
          <w:tab w:val="left" w:pos="720"/>
        </w:tabs>
        <w:spacing w:line="240" w:lineRule="auto"/>
        <w:rPr>
          <w:u w:val="single"/>
          <w:lang w:val="lt-LT" w:eastAsia="lt-LT" w:bidi="lt-LT"/>
        </w:rPr>
      </w:pPr>
    </w:p>
    <w:p w14:paraId="18875777" w14:textId="76E99E37" w:rsidR="0084269B" w:rsidRPr="0084269B" w:rsidRDefault="0084269B" w:rsidP="0084269B">
      <w:pPr>
        <w:tabs>
          <w:tab w:val="clear" w:pos="567"/>
          <w:tab w:val="left" w:pos="720"/>
        </w:tabs>
        <w:spacing w:line="240" w:lineRule="auto"/>
        <w:rPr>
          <w:u w:val="single"/>
          <w:lang w:val="lt-LT" w:eastAsia="lt-LT" w:bidi="lt-LT"/>
        </w:rPr>
      </w:pPr>
      <w:r w:rsidRPr="0084269B">
        <w:rPr>
          <w:u w:val="single"/>
          <w:lang w:val="lt-LT" w:eastAsia="lt-LT" w:bidi="lt-LT"/>
        </w:rPr>
        <w:t>Neatidar</w:t>
      </w:r>
      <w:r w:rsidR="0095489C">
        <w:rPr>
          <w:u w:val="single"/>
          <w:lang w:val="lt-LT" w:eastAsia="lt-LT" w:bidi="lt-LT"/>
        </w:rPr>
        <w:t xml:space="preserve">ytas </w:t>
      </w:r>
      <w:r w:rsidRPr="0084269B">
        <w:rPr>
          <w:u w:val="single"/>
          <w:lang w:val="lt-LT" w:eastAsia="lt-LT" w:bidi="lt-LT"/>
        </w:rPr>
        <w:t xml:space="preserve"> </w:t>
      </w:r>
      <w:r w:rsidR="0095489C">
        <w:rPr>
          <w:u w:val="single"/>
          <w:lang w:val="lt-LT" w:eastAsia="lt-LT" w:bidi="lt-LT"/>
        </w:rPr>
        <w:t xml:space="preserve">flakonas </w:t>
      </w:r>
    </w:p>
    <w:p w14:paraId="1B33407C" w14:textId="77777777" w:rsidR="0084269B" w:rsidRPr="0084269B" w:rsidRDefault="0084269B" w:rsidP="0084269B">
      <w:pPr>
        <w:tabs>
          <w:tab w:val="clear" w:pos="567"/>
        </w:tabs>
        <w:spacing w:line="240" w:lineRule="auto"/>
        <w:rPr>
          <w:rFonts w:eastAsia="SimSun"/>
          <w:noProof/>
          <w:szCs w:val="22"/>
          <w:lang w:val="lt-LT" w:eastAsia="x-none"/>
        </w:rPr>
      </w:pPr>
      <w:r w:rsidRPr="0084269B">
        <w:rPr>
          <w:rFonts w:eastAsia="SimSun"/>
          <w:noProof/>
          <w:szCs w:val="22"/>
          <w:lang w:val="lt-LT" w:eastAsia="x-none"/>
        </w:rPr>
        <w:t>Šiam vaistiniam preparatui specialių laikymo sąlygų nereikia.</w:t>
      </w:r>
    </w:p>
    <w:p w14:paraId="183D8DC5" w14:textId="77777777" w:rsidR="0084269B" w:rsidRPr="0084269B" w:rsidRDefault="0084269B" w:rsidP="0084269B">
      <w:pPr>
        <w:tabs>
          <w:tab w:val="clear" w:pos="567"/>
          <w:tab w:val="left" w:pos="720"/>
        </w:tabs>
        <w:spacing w:line="240" w:lineRule="auto"/>
        <w:rPr>
          <w:lang w:val="lt-LT" w:eastAsia="lt-LT" w:bidi="lt-LT"/>
        </w:rPr>
      </w:pPr>
    </w:p>
    <w:p w14:paraId="0C74854D" w14:textId="77777777" w:rsidR="0084269B" w:rsidRPr="0084269B" w:rsidRDefault="0084269B" w:rsidP="0084269B">
      <w:pPr>
        <w:tabs>
          <w:tab w:val="clear" w:pos="567"/>
          <w:tab w:val="left" w:pos="720"/>
        </w:tabs>
        <w:spacing w:line="240" w:lineRule="auto"/>
        <w:rPr>
          <w:u w:val="single"/>
          <w:lang w:val="lt-LT" w:eastAsia="lt-LT" w:bidi="lt-LT"/>
        </w:rPr>
      </w:pPr>
      <w:r w:rsidRPr="0084269B">
        <w:rPr>
          <w:u w:val="single"/>
          <w:lang w:val="lt-LT" w:eastAsia="lt-LT" w:bidi="lt-LT"/>
        </w:rPr>
        <w:t xml:space="preserve">Po pirmojo atidarymo </w:t>
      </w:r>
    </w:p>
    <w:p w14:paraId="6D2AA06E" w14:textId="77777777" w:rsidR="0084269B" w:rsidRPr="0084269B" w:rsidRDefault="0084269B" w:rsidP="0084269B">
      <w:pPr>
        <w:ind w:right="-22"/>
        <w:rPr>
          <w:lang w:val="lt-LT" w:eastAsia="lt-LT" w:bidi="lt-LT"/>
        </w:rPr>
      </w:pPr>
      <w:r w:rsidRPr="0084269B">
        <w:rPr>
          <w:lang w:val="lt-LT" w:eastAsia="lt-LT" w:bidi="lt-LT"/>
        </w:rPr>
        <w:t>Koncentrato infuziniam tirpalui turinį būtina vartoti nedelsiant. Jei nevartojama nedelsiant, už laikymo trukmę ir sąlygas atsako vartotojas. Mikrobiologiniu požiūriu skiedimas turi būti atliekamas kontroliuojamomis ir aseptinėmis sąlygomis (žr. žemiau esantį poskyrį „Paruošimo ir vartojimo atsargumo priemonės“).</w:t>
      </w:r>
    </w:p>
    <w:p w14:paraId="1759846A" w14:textId="77777777" w:rsidR="0084269B" w:rsidRPr="0084269B" w:rsidRDefault="0084269B" w:rsidP="0084269B">
      <w:pPr>
        <w:tabs>
          <w:tab w:val="clear" w:pos="567"/>
          <w:tab w:val="left" w:pos="720"/>
        </w:tabs>
        <w:spacing w:line="240" w:lineRule="auto"/>
        <w:rPr>
          <w:lang w:val="lt-LT" w:eastAsia="lt-LT" w:bidi="lt-LT"/>
        </w:rPr>
      </w:pPr>
    </w:p>
    <w:p w14:paraId="60399213" w14:textId="77777777" w:rsidR="0084269B" w:rsidRPr="0084269B" w:rsidRDefault="0084269B" w:rsidP="0084269B">
      <w:pPr>
        <w:tabs>
          <w:tab w:val="clear" w:pos="567"/>
        </w:tabs>
        <w:spacing w:line="240" w:lineRule="auto"/>
        <w:rPr>
          <w:b/>
          <w:lang w:val="lt-LT"/>
        </w:rPr>
      </w:pPr>
      <w:r w:rsidRPr="0084269B">
        <w:rPr>
          <w:b/>
          <w:lang w:val="lt-LT"/>
        </w:rPr>
        <w:t xml:space="preserve">Po praskiedimo infuzijos maišelyje ar buteliuke </w:t>
      </w:r>
    </w:p>
    <w:p w14:paraId="1BA5CC41" w14:textId="77777777" w:rsidR="0084269B" w:rsidRPr="0084269B" w:rsidRDefault="0084269B" w:rsidP="0084269B">
      <w:pPr>
        <w:tabs>
          <w:tab w:val="clear" w:pos="567"/>
        </w:tabs>
        <w:spacing w:line="240" w:lineRule="auto"/>
        <w:rPr>
          <w:lang w:val="lt-LT"/>
        </w:rPr>
      </w:pPr>
      <w:r w:rsidRPr="0084269B">
        <w:rPr>
          <w:lang w:val="lt-LT"/>
        </w:rPr>
        <w:t xml:space="preserve">Cheminiu ir fizikiniu požiūriu infuzinis tirpalas išlieka stabilus 48 valandas esant </w:t>
      </w:r>
      <w:r w:rsidRPr="0084269B">
        <w:rPr>
          <w:noProof/>
          <w:szCs w:val="22"/>
          <w:lang w:val="lt-LT"/>
        </w:rPr>
        <w:t xml:space="preserve">25 °C </w:t>
      </w:r>
      <w:r w:rsidRPr="0084269B">
        <w:rPr>
          <w:lang w:val="lt-LT"/>
        </w:rPr>
        <w:t xml:space="preserve">(įskaitant 1 valandos infuzijos laikotarpį), 72 valandas esant </w:t>
      </w:r>
      <w:r w:rsidRPr="0084269B">
        <w:rPr>
          <w:noProof/>
          <w:szCs w:val="22"/>
          <w:lang w:val="lt-LT"/>
        </w:rPr>
        <w:t>2 °C- 8 °C</w:t>
      </w:r>
      <w:r w:rsidRPr="0084269B">
        <w:rPr>
          <w:lang w:val="lt-LT"/>
        </w:rPr>
        <w:t xml:space="preserve"> (įskaitant 1 valandos infuzijos laikotarpį). </w:t>
      </w:r>
    </w:p>
    <w:p w14:paraId="42999BED" w14:textId="77777777" w:rsidR="0084269B" w:rsidRPr="0084269B" w:rsidRDefault="0084269B" w:rsidP="0084269B">
      <w:pPr>
        <w:tabs>
          <w:tab w:val="clear" w:pos="567"/>
        </w:tabs>
        <w:spacing w:line="240" w:lineRule="auto"/>
        <w:rPr>
          <w:lang w:val="lt-LT"/>
        </w:rPr>
      </w:pPr>
      <w:r w:rsidRPr="0084269B">
        <w:rPr>
          <w:lang w:val="lt-LT"/>
        </w:rPr>
        <w:t>Mikrobiologiniu požiūriu infuzinį tirpalą būtina vartoti nedelsiant. Jeigu jis tuoj pat nevartojamas, už laikymo trukmę ir sąlygas atsako vartotojas ir paprastai infuzinį tirpalą ilgiau negu 24  val. 2 °C – 8 °C temperatūroje laikyti negalima, nebent skiedimas buvo atliktas kontroliuojamomis ir patvirtintomis aseptinėmis sąlygomis.</w:t>
      </w:r>
    </w:p>
    <w:p w14:paraId="19FFA36C" w14:textId="77777777" w:rsidR="0084269B" w:rsidRPr="0084269B" w:rsidRDefault="0084269B" w:rsidP="0084269B">
      <w:pPr>
        <w:tabs>
          <w:tab w:val="clear" w:pos="567"/>
          <w:tab w:val="left" w:pos="720"/>
        </w:tabs>
        <w:spacing w:line="240" w:lineRule="auto"/>
        <w:rPr>
          <w:lang w:val="lt-LT" w:eastAsia="lt-LT" w:bidi="lt-LT"/>
        </w:rPr>
      </w:pPr>
    </w:p>
    <w:p w14:paraId="7F2D3548" w14:textId="77777777" w:rsidR="0084269B" w:rsidRPr="0084269B" w:rsidRDefault="0084269B" w:rsidP="0084269B">
      <w:pPr>
        <w:tabs>
          <w:tab w:val="clear" w:pos="567"/>
          <w:tab w:val="left" w:pos="720"/>
        </w:tabs>
        <w:spacing w:line="240" w:lineRule="auto"/>
        <w:rPr>
          <w:b/>
          <w:lang w:val="lt-LT" w:eastAsia="lt-LT" w:bidi="lt-LT"/>
        </w:rPr>
      </w:pPr>
      <w:r w:rsidRPr="0084269B">
        <w:rPr>
          <w:b/>
          <w:lang w:val="lt-LT" w:eastAsia="lt-LT" w:bidi="lt-LT"/>
        </w:rPr>
        <w:t>Paruošimo ir vartojimo atsargumo priemonės</w:t>
      </w:r>
    </w:p>
    <w:p w14:paraId="0461FD33" w14:textId="77777777" w:rsidR="0084269B" w:rsidRPr="0084269B" w:rsidRDefault="0084269B" w:rsidP="0084269B">
      <w:pPr>
        <w:tabs>
          <w:tab w:val="clear" w:pos="567"/>
        </w:tabs>
        <w:spacing w:line="240" w:lineRule="auto"/>
        <w:rPr>
          <w:lang w:val="lt-LT"/>
        </w:rPr>
      </w:pPr>
    </w:p>
    <w:p w14:paraId="3E3B52B0" w14:textId="77777777" w:rsidR="0084269B" w:rsidRPr="0084269B" w:rsidRDefault="0084269B" w:rsidP="0084269B">
      <w:pPr>
        <w:tabs>
          <w:tab w:val="clear" w:pos="567"/>
        </w:tabs>
        <w:spacing w:line="240" w:lineRule="auto"/>
        <w:rPr>
          <w:lang w:val="lt-LT"/>
        </w:rPr>
      </w:pPr>
      <w:r w:rsidRPr="0084269B">
        <w:rPr>
          <w:lang w:val="lt-LT"/>
        </w:rPr>
        <w:t xml:space="preserve">Cabazitaxel Teva ruošti ir infuzuoti gali tik personalas, išmokytas dirbti su citotoksiniais </w:t>
      </w:r>
      <w:r w:rsidR="00D57572">
        <w:rPr>
          <w:lang w:val="lt-LT"/>
        </w:rPr>
        <w:t xml:space="preserve">vaistiniais </w:t>
      </w:r>
      <w:r w:rsidRPr="0084269B">
        <w:rPr>
          <w:lang w:val="lt-LT"/>
        </w:rPr>
        <w:t xml:space="preserve">preparatais. Nėščioms moterims dirbti su šiuo </w:t>
      </w:r>
      <w:r w:rsidR="00D57572">
        <w:rPr>
          <w:lang w:val="lt-LT"/>
        </w:rPr>
        <w:t xml:space="preserve">vaistiniu </w:t>
      </w:r>
      <w:r w:rsidRPr="0084269B">
        <w:rPr>
          <w:lang w:val="lt-LT"/>
        </w:rPr>
        <w:t xml:space="preserve">preparatu draudžiama. </w:t>
      </w:r>
    </w:p>
    <w:p w14:paraId="04DFF685" w14:textId="77777777" w:rsidR="0084269B" w:rsidRPr="0084269B" w:rsidRDefault="0084269B" w:rsidP="0084269B">
      <w:pPr>
        <w:tabs>
          <w:tab w:val="clear" w:pos="567"/>
        </w:tabs>
        <w:spacing w:line="240" w:lineRule="auto"/>
        <w:rPr>
          <w:lang w:val="lt-LT"/>
        </w:rPr>
      </w:pPr>
    </w:p>
    <w:p w14:paraId="1F00F1DC" w14:textId="77777777" w:rsidR="0084269B" w:rsidRPr="0084269B" w:rsidRDefault="0084269B" w:rsidP="0084269B">
      <w:pPr>
        <w:tabs>
          <w:tab w:val="clear" w:pos="567"/>
        </w:tabs>
        <w:spacing w:line="240" w:lineRule="auto"/>
        <w:rPr>
          <w:lang w:val="lt-LT"/>
        </w:rPr>
      </w:pPr>
      <w:r w:rsidRPr="0084269B">
        <w:rPr>
          <w:lang w:val="lt-LT"/>
        </w:rPr>
        <w:t xml:space="preserve">Dirbti su Cabazitaxel Teva, kaip ir bet kokio kito antineoplastinio </w:t>
      </w:r>
      <w:r w:rsidR="00D57572">
        <w:rPr>
          <w:lang w:val="lt-LT"/>
        </w:rPr>
        <w:t xml:space="preserve">vaistinio </w:t>
      </w:r>
      <w:r w:rsidRPr="0084269B">
        <w:rPr>
          <w:lang w:val="lt-LT"/>
        </w:rPr>
        <w:t xml:space="preserve">preparato, tirpalu bei jį ruošti reikia atsargiai, turint omenyje nuo kontaminacijos apsaugančių priemonių naudojimą, asmenines apsaugines priemones (pvz., pirštines) ir ruošimo procedūras. </w:t>
      </w:r>
    </w:p>
    <w:p w14:paraId="024B387A" w14:textId="77777777" w:rsidR="0084269B" w:rsidRPr="0084269B" w:rsidRDefault="0084269B" w:rsidP="0084269B">
      <w:pPr>
        <w:tabs>
          <w:tab w:val="clear" w:pos="567"/>
        </w:tabs>
        <w:spacing w:line="240" w:lineRule="auto"/>
      </w:pPr>
      <w:r w:rsidRPr="0084269B">
        <w:rPr>
          <w:lang w:val="lt-LT"/>
        </w:rPr>
        <w:t xml:space="preserve">Jei bet kokiu darbo su Cabazitaxel Teva etapu </w:t>
      </w:r>
      <w:r w:rsidR="00D57572">
        <w:rPr>
          <w:lang w:val="lt-LT"/>
        </w:rPr>
        <w:t xml:space="preserve">vaistinio </w:t>
      </w:r>
      <w:r w:rsidRPr="0084269B">
        <w:rPr>
          <w:lang w:val="lt-LT"/>
        </w:rPr>
        <w:t>preparato patenka ant odos, ją reikia nedelsiant kruopščiai nuplauti muilu ir vandeniu. Jei vaistinio preparato patenka ant gleivinės, ją reikia nedelsiant ir kruopščiai nuplauti vandeniu.</w:t>
      </w:r>
      <w:r w:rsidRPr="0084269B">
        <w:t xml:space="preserve"> </w:t>
      </w:r>
    </w:p>
    <w:p w14:paraId="1AC2529A" w14:textId="77777777" w:rsidR="0084269B" w:rsidRPr="0084269B" w:rsidRDefault="0084269B" w:rsidP="0084269B">
      <w:pPr>
        <w:tabs>
          <w:tab w:val="clear" w:pos="567"/>
          <w:tab w:val="left" w:pos="720"/>
        </w:tabs>
        <w:spacing w:line="240" w:lineRule="auto"/>
        <w:rPr>
          <w:lang w:val="lt-LT" w:eastAsia="lt-LT" w:bidi="lt-LT"/>
        </w:rPr>
      </w:pPr>
    </w:p>
    <w:p w14:paraId="2BE78CDB" w14:textId="77777777" w:rsidR="0084269B" w:rsidRPr="0084269B" w:rsidRDefault="0084269B" w:rsidP="0084269B">
      <w:pPr>
        <w:tabs>
          <w:tab w:val="clear" w:pos="567"/>
          <w:tab w:val="left" w:pos="720"/>
        </w:tabs>
        <w:spacing w:line="240" w:lineRule="auto"/>
        <w:rPr>
          <w:b/>
          <w:lang w:val="lt-LT" w:eastAsia="lt-LT" w:bidi="lt-LT"/>
        </w:rPr>
      </w:pPr>
      <w:r w:rsidRPr="0084269B">
        <w:rPr>
          <w:b/>
          <w:lang w:val="lt-LT" w:eastAsia="lt-LT" w:bidi="lt-LT"/>
        </w:rPr>
        <w:t>Paruošimo etapai</w:t>
      </w:r>
    </w:p>
    <w:p w14:paraId="6D136CCC" w14:textId="77777777" w:rsidR="0084269B" w:rsidRPr="0084269B" w:rsidRDefault="0084269B" w:rsidP="0084269B">
      <w:pPr>
        <w:tabs>
          <w:tab w:val="clear" w:pos="567"/>
        </w:tabs>
        <w:spacing w:line="240" w:lineRule="auto"/>
        <w:rPr>
          <w:lang w:val="lt-LT"/>
        </w:rPr>
      </w:pPr>
    </w:p>
    <w:p w14:paraId="1D41B3A4" w14:textId="77777777" w:rsidR="0084269B" w:rsidRPr="0084269B" w:rsidRDefault="0084269B" w:rsidP="0084269B">
      <w:pPr>
        <w:tabs>
          <w:tab w:val="clear" w:pos="567"/>
        </w:tabs>
        <w:spacing w:line="240" w:lineRule="auto"/>
        <w:rPr>
          <w:lang w:val="lt-LT"/>
        </w:rPr>
      </w:pPr>
      <w:r w:rsidRPr="0084269B">
        <w:rPr>
          <w:lang w:val="lt-LT"/>
        </w:rPr>
        <w:t xml:space="preserve">Prieš vaistinio preparato maišymą ir skiedimą atidžiai perskaitykite </w:t>
      </w:r>
      <w:r w:rsidRPr="0084269B">
        <w:rPr>
          <w:b/>
          <w:lang w:val="lt-LT"/>
        </w:rPr>
        <w:t xml:space="preserve">VISĄ </w:t>
      </w:r>
      <w:r w:rsidRPr="0084269B">
        <w:rPr>
          <w:lang w:val="lt-LT"/>
        </w:rPr>
        <w:t xml:space="preserve">šį skyrių. Cabazitaxel Teva prieš vartojimą reikia praskiesti </w:t>
      </w:r>
      <w:r w:rsidRPr="0084269B">
        <w:rPr>
          <w:b/>
          <w:lang w:val="lt-LT"/>
        </w:rPr>
        <w:t>VIENĄ</w:t>
      </w:r>
      <w:r w:rsidRPr="0084269B">
        <w:rPr>
          <w:lang w:val="lt-LT"/>
        </w:rPr>
        <w:t xml:space="preserve"> kartą. Laikykitės toliau pateikiamų ruošimo instrukcijų. </w:t>
      </w:r>
    </w:p>
    <w:p w14:paraId="7C9552D9" w14:textId="77777777" w:rsidR="0084269B" w:rsidRPr="0084269B" w:rsidRDefault="0084269B" w:rsidP="0084269B">
      <w:pPr>
        <w:tabs>
          <w:tab w:val="clear" w:pos="567"/>
        </w:tabs>
        <w:spacing w:line="240" w:lineRule="auto"/>
        <w:rPr>
          <w:lang w:val="lt-LT"/>
        </w:rPr>
      </w:pPr>
    </w:p>
    <w:p w14:paraId="0798387C" w14:textId="678B96B0" w:rsidR="0084269B" w:rsidRPr="0084269B" w:rsidRDefault="0084269B" w:rsidP="0084269B">
      <w:pPr>
        <w:tabs>
          <w:tab w:val="clear" w:pos="567"/>
        </w:tabs>
        <w:spacing w:line="240" w:lineRule="auto"/>
        <w:rPr>
          <w:lang w:val="lt-LT"/>
        </w:rPr>
      </w:pPr>
      <w:r w:rsidRPr="0084269B">
        <w:rPr>
          <w:lang w:val="lt-LT"/>
        </w:rPr>
        <w:t>Toliau aprašytas skiedimo procesas paruošiant infuz</w:t>
      </w:r>
      <w:r w:rsidR="0095489C">
        <w:rPr>
          <w:lang w:val="lt-LT"/>
        </w:rPr>
        <w:t xml:space="preserve">iją </w:t>
      </w:r>
      <w:r w:rsidRPr="0084269B">
        <w:rPr>
          <w:lang w:val="lt-LT"/>
        </w:rPr>
        <w:t xml:space="preserve"> turi vykti aseptinė</w:t>
      </w:r>
      <w:r w:rsidR="0095489C">
        <w:rPr>
          <w:lang w:val="lt-LT"/>
        </w:rPr>
        <w:t>mis</w:t>
      </w:r>
      <w:r w:rsidRPr="0084269B">
        <w:rPr>
          <w:lang w:val="lt-LT"/>
        </w:rPr>
        <w:t xml:space="preserve"> sąlygo</w:t>
      </w:r>
      <w:r w:rsidR="0095489C">
        <w:rPr>
          <w:lang w:val="lt-LT"/>
        </w:rPr>
        <w:t>mis</w:t>
      </w:r>
      <w:r w:rsidRPr="0084269B">
        <w:rPr>
          <w:lang w:val="lt-LT"/>
        </w:rPr>
        <w:t>.</w:t>
      </w:r>
    </w:p>
    <w:p w14:paraId="75BBA504" w14:textId="77777777" w:rsidR="0084269B" w:rsidRPr="0084269B" w:rsidRDefault="0084269B" w:rsidP="0084269B">
      <w:pPr>
        <w:tabs>
          <w:tab w:val="clear" w:pos="567"/>
        </w:tabs>
        <w:spacing w:line="240" w:lineRule="auto"/>
        <w:rPr>
          <w:lang w:val="lt-LT"/>
        </w:rPr>
      </w:pPr>
    </w:p>
    <w:p w14:paraId="3AB67E98" w14:textId="12A3D786" w:rsidR="0084269B" w:rsidRPr="0084269B" w:rsidRDefault="0084269B" w:rsidP="0084269B">
      <w:pPr>
        <w:tabs>
          <w:tab w:val="clear" w:pos="567"/>
        </w:tabs>
        <w:spacing w:line="240" w:lineRule="auto"/>
        <w:rPr>
          <w:lang w:val="lt-LT"/>
        </w:rPr>
      </w:pPr>
      <w:r w:rsidRPr="0084269B">
        <w:rPr>
          <w:lang w:val="lt-LT"/>
        </w:rPr>
        <w:t>Vartojant paskirtą doz</w:t>
      </w:r>
      <w:r w:rsidR="0095489C">
        <w:rPr>
          <w:lang w:val="lt-LT"/>
        </w:rPr>
        <w:t>ę</w:t>
      </w:r>
      <w:r w:rsidRPr="0084269B">
        <w:rPr>
          <w:lang w:val="lt-LT"/>
        </w:rPr>
        <w:t xml:space="preserve"> gali reikėti daugiau nei vieno koncentrato </w:t>
      </w:r>
      <w:r w:rsidR="0095489C">
        <w:rPr>
          <w:lang w:val="lt-LT"/>
        </w:rPr>
        <w:t>flakono</w:t>
      </w:r>
      <w:r w:rsidRPr="0084269B">
        <w:rPr>
          <w:lang w:val="lt-LT"/>
        </w:rPr>
        <w:t>.</w:t>
      </w:r>
    </w:p>
    <w:p w14:paraId="062355AE" w14:textId="77777777" w:rsidR="0084269B" w:rsidRPr="0084269B" w:rsidRDefault="0084269B" w:rsidP="0084269B">
      <w:pPr>
        <w:tabs>
          <w:tab w:val="clear" w:pos="567"/>
        </w:tabs>
        <w:spacing w:line="240" w:lineRule="auto"/>
        <w:rPr>
          <w:lang w:val="lt-LT"/>
        </w:rPr>
      </w:pPr>
    </w:p>
    <w:p w14:paraId="149A9A21" w14:textId="77777777" w:rsidR="0084269B" w:rsidRPr="0084269B" w:rsidRDefault="0084269B" w:rsidP="0084269B">
      <w:pPr>
        <w:tabs>
          <w:tab w:val="clear" w:pos="567"/>
        </w:tabs>
        <w:spacing w:line="240" w:lineRule="auto"/>
        <w:rPr>
          <w:b/>
          <w:u w:val="single"/>
          <w:lang w:val="lt-LT"/>
        </w:rPr>
      </w:pPr>
      <w:r w:rsidRPr="0084269B">
        <w:rPr>
          <w:b/>
          <w:u w:val="single"/>
          <w:lang w:val="lt-LT"/>
        </w:rPr>
        <w:t>Praskiedimas vartojimui</w:t>
      </w:r>
    </w:p>
    <w:p w14:paraId="0A179405" w14:textId="77777777" w:rsidR="0084269B" w:rsidRPr="0084269B" w:rsidRDefault="0084269B" w:rsidP="0084269B">
      <w:pPr>
        <w:tabs>
          <w:tab w:val="clear" w:pos="567"/>
        </w:tabs>
        <w:spacing w:line="240" w:lineRule="auto"/>
        <w:rPr>
          <w:lang w:val="lt-LT"/>
        </w:rPr>
      </w:pPr>
    </w:p>
    <w:p w14:paraId="459647DA" w14:textId="77777777" w:rsidR="0084269B" w:rsidRPr="0084269B" w:rsidRDefault="0084269B" w:rsidP="0084269B">
      <w:pPr>
        <w:tabs>
          <w:tab w:val="clear" w:pos="567"/>
        </w:tabs>
        <w:spacing w:line="240" w:lineRule="auto"/>
        <w:rPr>
          <w:lang w:val="lt-LT"/>
        </w:rPr>
      </w:pPr>
      <w:r w:rsidRPr="0084269B">
        <w:rPr>
          <w:b/>
          <w:lang w:val="lt-LT"/>
        </w:rPr>
        <w:t>1 etapas</w:t>
      </w:r>
      <w:r w:rsidRPr="0084269B">
        <w:rPr>
          <w:lang w:val="lt-LT"/>
        </w:rPr>
        <w:t xml:space="preserve"> </w:t>
      </w:r>
    </w:p>
    <w:p w14:paraId="314F4D57" w14:textId="77777777" w:rsidR="0084269B" w:rsidRPr="0084269B" w:rsidRDefault="0084269B" w:rsidP="0084269B">
      <w:pPr>
        <w:tabs>
          <w:tab w:val="clear" w:pos="567"/>
        </w:tabs>
        <w:spacing w:line="240" w:lineRule="auto"/>
        <w:rPr>
          <w:lang w:val="lt-LT"/>
        </w:rPr>
      </w:pPr>
      <w:r w:rsidRPr="0084269B">
        <w:rPr>
          <w:lang w:val="lt-LT"/>
        </w:rPr>
        <w:t>Graduotu švirkštu su prijungta adata aseptinėmis sąlygomis ištraukite reikiamą koncentrato (10 mg/ml kabazitakselio) tūrį. Pavyzdžiui, 45 mg Cabazitaxel Teva dozei reikia 4,5 ml koncentrato.</w:t>
      </w:r>
    </w:p>
    <w:p w14:paraId="4A56BF99" w14:textId="77777777" w:rsidR="0084269B" w:rsidRPr="0084269B" w:rsidRDefault="0084269B" w:rsidP="0084269B">
      <w:pPr>
        <w:tabs>
          <w:tab w:val="clear" w:pos="567"/>
        </w:tabs>
        <w:spacing w:line="240" w:lineRule="auto"/>
        <w:rPr>
          <w:lang w:val="lt-LT"/>
        </w:rPr>
      </w:pPr>
    </w:p>
    <w:p w14:paraId="7D0124DF" w14:textId="77777777" w:rsidR="0084269B" w:rsidRPr="0084269B" w:rsidRDefault="0084269B" w:rsidP="0084269B">
      <w:pPr>
        <w:tabs>
          <w:tab w:val="clear" w:pos="567"/>
        </w:tabs>
        <w:spacing w:line="240" w:lineRule="auto"/>
        <w:rPr>
          <w:lang w:val="lt-LT"/>
        </w:rPr>
      </w:pPr>
      <w:r w:rsidRPr="0084269B">
        <w:rPr>
          <w:b/>
          <w:lang w:val="lt-LT"/>
        </w:rPr>
        <w:t>2 etapas</w:t>
      </w:r>
      <w:r w:rsidRPr="0084269B">
        <w:rPr>
          <w:lang w:val="lt-LT"/>
        </w:rPr>
        <w:t xml:space="preserve"> </w:t>
      </w:r>
    </w:p>
    <w:p w14:paraId="2FF08C7A" w14:textId="5657B833" w:rsidR="0084269B" w:rsidRPr="0084269B" w:rsidRDefault="0095489C" w:rsidP="0084269B">
      <w:pPr>
        <w:tabs>
          <w:tab w:val="clear" w:pos="567"/>
        </w:tabs>
        <w:spacing w:line="240" w:lineRule="auto"/>
        <w:rPr>
          <w:lang w:val="lt-LT"/>
        </w:rPr>
      </w:pPr>
      <w:r>
        <w:rPr>
          <w:lang w:val="lt-LT"/>
        </w:rPr>
        <w:t>S</w:t>
      </w:r>
      <w:r w:rsidR="0084269B" w:rsidRPr="0084269B">
        <w:rPr>
          <w:lang w:val="lt-LT"/>
        </w:rPr>
        <w:t>ušvirkškite į sterilią infuzinę talpyklę (jos sudėtyje negali būti PVC), kurioje yra 5 % gliukozės tirpalo arba 0,9 % natrio chlorido infuzinio tirpalo. Infuzinio tirpalo koncentracija turi būti 0,10-0,26 mg/ml.</w:t>
      </w:r>
    </w:p>
    <w:p w14:paraId="3A49FBC3" w14:textId="77777777" w:rsidR="0084269B" w:rsidRPr="0084269B" w:rsidRDefault="0084269B" w:rsidP="0084269B">
      <w:pPr>
        <w:tabs>
          <w:tab w:val="clear" w:pos="567"/>
        </w:tabs>
        <w:spacing w:line="240" w:lineRule="auto"/>
        <w:rPr>
          <w:lang w:val="lt-LT"/>
        </w:rPr>
      </w:pPr>
    </w:p>
    <w:p w14:paraId="434C40B4" w14:textId="77777777" w:rsidR="0084269B" w:rsidRPr="0084269B" w:rsidRDefault="0084269B" w:rsidP="0084269B">
      <w:pPr>
        <w:tabs>
          <w:tab w:val="clear" w:pos="567"/>
        </w:tabs>
        <w:spacing w:line="240" w:lineRule="auto"/>
        <w:rPr>
          <w:b/>
          <w:lang w:val="lt-LT"/>
        </w:rPr>
      </w:pPr>
      <w:r w:rsidRPr="0084269B">
        <w:rPr>
          <w:b/>
          <w:lang w:val="lt-LT"/>
        </w:rPr>
        <w:t xml:space="preserve">3 etapas </w:t>
      </w:r>
    </w:p>
    <w:p w14:paraId="5F5B2390" w14:textId="77777777" w:rsidR="0084269B" w:rsidRPr="0084269B" w:rsidRDefault="0084269B" w:rsidP="0084269B">
      <w:pPr>
        <w:tabs>
          <w:tab w:val="clear" w:pos="567"/>
        </w:tabs>
        <w:spacing w:line="240" w:lineRule="auto"/>
        <w:rPr>
          <w:lang w:val="lt-LT"/>
        </w:rPr>
      </w:pPr>
      <w:r w:rsidRPr="0084269B">
        <w:rPr>
          <w:lang w:val="lt-LT"/>
        </w:rPr>
        <w:lastRenderedPageBreak/>
        <w:t>Nuimkite švirkštą ir infuzijos maišelio ar buteliuko turinį sumaišykite rankiniu būdu siūbuojančiais judesiais.</w:t>
      </w:r>
    </w:p>
    <w:p w14:paraId="467033EA" w14:textId="77777777" w:rsidR="0084269B" w:rsidRPr="0084269B" w:rsidRDefault="0084269B" w:rsidP="0084269B">
      <w:pPr>
        <w:tabs>
          <w:tab w:val="clear" w:pos="567"/>
        </w:tabs>
        <w:spacing w:line="240" w:lineRule="auto"/>
        <w:rPr>
          <w:lang w:val="lt-LT"/>
        </w:rPr>
      </w:pPr>
    </w:p>
    <w:p w14:paraId="5984615D" w14:textId="77777777" w:rsidR="0084269B" w:rsidRPr="0084269B" w:rsidRDefault="0084269B" w:rsidP="0084269B">
      <w:pPr>
        <w:tabs>
          <w:tab w:val="clear" w:pos="567"/>
        </w:tabs>
        <w:spacing w:line="240" w:lineRule="auto"/>
        <w:rPr>
          <w:b/>
          <w:lang w:val="lt-LT"/>
        </w:rPr>
      </w:pPr>
      <w:r w:rsidRPr="0084269B">
        <w:rPr>
          <w:b/>
          <w:lang w:val="lt-LT"/>
        </w:rPr>
        <w:t xml:space="preserve">4 etapas </w:t>
      </w:r>
    </w:p>
    <w:p w14:paraId="4697FFF5" w14:textId="77777777" w:rsidR="0084269B" w:rsidRPr="0084269B" w:rsidRDefault="0084269B" w:rsidP="0084269B">
      <w:pPr>
        <w:tabs>
          <w:tab w:val="clear" w:pos="567"/>
        </w:tabs>
        <w:spacing w:line="240" w:lineRule="auto"/>
        <w:rPr>
          <w:lang w:val="lt-LT"/>
        </w:rPr>
      </w:pPr>
      <w:r w:rsidRPr="0084269B">
        <w:rPr>
          <w:lang w:val="lt-LT"/>
        </w:rPr>
        <w:t xml:space="preserve">Gautą infuzinį tirpalą, kaip ir bet kokį parenterinį vaistinį preparatą, prieš vartojimą būtina apžiūrėti. Jeigu infuzinis tirpalas yra labai įsotintas, laikui bėgant jis gali kristalizuotis. Tokiu atveju tirpalo vartoti negalima, jį būtina sunaikinti </w:t>
      </w:r>
    </w:p>
    <w:p w14:paraId="5043254E" w14:textId="77777777" w:rsidR="0084269B" w:rsidRPr="0084269B" w:rsidRDefault="0084269B" w:rsidP="0084269B">
      <w:pPr>
        <w:tabs>
          <w:tab w:val="clear" w:pos="567"/>
        </w:tabs>
        <w:spacing w:line="240" w:lineRule="auto"/>
        <w:rPr>
          <w:lang w:val="lt-LT"/>
        </w:rPr>
      </w:pPr>
    </w:p>
    <w:p w14:paraId="3AFB103B" w14:textId="550042E7" w:rsidR="0095489C" w:rsidRPr="00736D2F" w:rsidRDefault="0084269B" w:rsidP="0095489C">
      <w:pPr>
        <w:tabs>
          <w:tab w:val="clear" w:pos="567"/>
        </w:tabs>
        <w:spacing w:line="240" w:lineRule="auto"/>
        <w:rPr>
          <w:lang w:val="lt-LT"/>
        </w:rPr>
      </w:pPr>
      <w:r w:rsidRPr="0084269B">
        <w:rPr>
          <w:lang w:val="lt-LT"/>
        </w:rPr>
        <w:t xml:space="preserve">Infuzinį tirpalą būtina vartoti nedelsiant. Vis dėlto specifinėmis skyriuje </w:t>
      </w:r>
      <w:r w:rsidR="0095489C">
        <w:rPr>
          <w:lang w:val="lt-LT"/>
        </w:rPr>
        <w:t>„</w:t>
      </w:r>
      <w:r w:rsidRPr="0084269B">
        <w:rPr>
          <w:b/>
          <w:lang w:val="lt-LT" w:eastAsia="lt-LT" w:bidi="lt-LT"/>
        </w:rPr>
        <w:t>Tinkamumo laikas ir specialios laikymo sąlygos</w:t>
      </w:r>
      <w:r w:rsidR="0095489C" w:rsidRPr="00894A0A">
        <w:rPr>
          <w:lang w:val="lt-LT" w:eastAsia="lt-LT" w:bidi="lt-LT"/>
        </w:rPr>
        <w:t>“ nurodytomis sąlygomis paruoštą tirpalą galima laikyti ilgiau.</w:t>
      </w:r>
    </w:p>
    <w:p w14:paraId="4CAA7AAE" w14:textId="77777777" w:rsidR="0084269B" w:rsidRPr="0084269B" w:rsidRDefault="0084269B" w:rsidP="0084269B">
      <w:pPr>
        <w:ind w:right="-22"/>
        <w:rPr>
          <w:b/>
          <w:bCs/>
          <w:snapToGrid w:val="0"/>
          <w:szCs w:val="28"/>
          <w:lang w:val="lt-LT" w:eastAsia="x-none"/>
        </w:rPr>
      </w:pPr>
    </w:p>
    <w:p w14:paraId="4331377B" w14:textId="77777777" w:rsidR="0084269B" w:rsidRPr="0084269B" w:rsidRDefault="0084269B" w:rsidP="0084269B">
      <w:pPr>
        <w:tabs>
          <w:tab w:val="clear" w:pos="567"/>
          <w:tab w:val="left" w:pos="720"/>
        </w:tabs>
        <w:spacing w:line="240" w:lineRule="auto"/>
        <w:rPr>
          <w:snapToGrid w:val="0"/>
          <w:szCs w:val="24"/>
          <w:lang w:val="lt-LT" w:bidi="lt-LT"/>
        </w:rPr>
      </w:pPr>
    </w:p>
    <w:p w14:paraId="522A5475" w14:textId="77777777" w:rsidR="0084269B" w:rsidRPr="0084269B" w:rsidRDefault="0084269B" w:rsidP="0084269B">
      <w:pPr>
        <w:tabs>
          <w:tab w:val="clear" w:pos="567"/>
        </w:tabs>
        <w:spacing w:line="240" w:lineRule="auto"/>
        <w:rPr>
          <w:lang w:val="lt-LT"/>
        </w:rPr>
      </w:pPr>
      <w:r w:rsidRPr="0084269B">
        <w:rPr>
          <w:lang w:val="lt-LT"/>
        </w:rPr>
        <w:t>Nesuvartotą vaistinį preparatą ar atliekas reikia tvarkyti laikantis vietinių reikalavimų.</w:t>
      </w:r>
    </w:p>
    <w:p w14:paraId="3CF6E020" w14:textId="77777777" w:rsidR="0084269B" w:rsidRPr="0084269B" w:rsidRDefault="0084269B" w:rsidP="0084269B">
      <w:pPr>
        <w:tabs>
          <w:tab w:val="clear" w:pos="567"/>
        </w:tabs>
        <w:spacing w:line="240" w:lineRule="auto"/>
        <w:rPr>
          <w:lang w:val="lt-LT"/>
        </w:rPr>
      </w:pPr>
    </w:p>
    <w:p w14:paraId="6600FA5F" w14:textId="77777777" w:rsidR="0084269B" w:rsidRPr="0084269B" w:rsidRDefault="0084269B" w:rsidP="0084269B">
      <w:pPr>
        <w:tabs>
          <w:tab w:val="clear" w:pos="567"/>
          <w:tab w:val="left" w:pos="720"/>
        </w:tabs>
        <w:spacing w:line="240" w:lineRule="auto"/>
        <w:rPr>
          <w:b/>
          <w:lang w:val="lt-LT" w:eastAsia="lt-LT" w:bidi="lt-LT"/>
        </w:rPr>
      </w:pPr>
      <w:r w:rsidRPr="0084269B">
        <w:rPr>
          <w:b/>
          <w:lang w:val="lt-LT" w:eastAsia="lt-LT" w:bidi="lt-LT"/>
        </w:rPr>
        <w:t>Vartojimo metodas</w:t>
      </w:r>
    </w:p>
    <w:p w14:paraId="4E920B0B" w14:textId="77777777" w:rsidR="0084269B" w:rsidRPr="0084269B" w:rsidRDefault="0084269B" w:rsidP="0084269B">
      <w:pPr>
        <w:tabs>
          <w:tab w:val="clear" w:pos="567"/>
          <w:tab w:val="left" w:pos="720"/>
        </w:tabs>
        <w:spacing w:line="240" w:lineRule="auto"/>
        <w:rPr>
          <w:lang w:val="lt-LT" w:eastAsia="lt-LT" w:bidi="lt-LT"/>
        </w:rPr>
      </w:pPr>
      <w:r w:rsidRPr="0084269B">
        <w:rPr>
          <w:lang w:val="lt-LT" w:eastAsia="lt-LT" w:bidi="lt-LT"/>
        </w:rPr>
        <w:t>Cabazitaxel Teva tirpalo infuzijos trukmė yra 1 valanda.</w:t>
      </w:r>
    </w:p>
    <w:p w14:paraId="53BE7A7D" w14:textId="77777777" w:rsidR="0084269B" w:rsidRPr="0084269B" w:rsidRDefault="0084269B" w:rsidP="0084269B">
      <w:pPr>
        <w:tabs>
          <w:tab w:val="clear" w:pos="567"/>
          <w:tab w:val="left" w:pos="720"/>
        </w:tabs>
        <w:spacing w:line="240" w:lineRule="auto"/>
        <w:rPr>
          <w:lang w:val="lt-LT" w:eastAsia="lt-LT" w:bidi="lt-LT"/>
        </w:rPr>
      </w:pPr>
      <w:r w:rsidRPr="0084269B">
        <w:rPr>
          <w:lang w:val="lt-LT" w:eastAsia="lt-LT" w:bidi="lt-LT"/>
        </w:rPr>
        <w:t xml:space="preserve">Infuzavimo metu privaloma naudoti vidinį sistemos 0,22 mikrometro (dar vadinamą 0,2 mikrometro) nominalaus porų dydžio filtrą. </w:t>
      </w:r>
    </w:p>
    <w:p w14:paraId="4D6DF0EA" w14:textId="77777777" w:rsidR="0084269B" w:rsidRPr="0084269B" w:rsidRDefault="0084269B" w:rsidP="0084269B">
      <w:pPr>
        <w:tabs>
          <w:tab w:val="clear" w:pos="567"/>
          <w:tab w:val="left" w:pos="720"/>
        </w:tabs>
        <w:spacing w:line="240" w:lineRule="auto"/>
        <w:rPr>
          <w:lang w:val="lt-LT" w:eastAsia="lt-LT" w:bidi="lt-LT"/>
        </w:rPr>
      </w:pPr>
      <w:r w:rsidRPr="0084269B">
        <w:rPr>
          <w:lang w:val="lt-LT" w:eastAsia="lt-LT" w:bidi="lt-LT"/>
        </w:rPr>
        <w:t xml:space="preserve">Ruošiant ir infuzuojant negalima naudoti PVC infuzinių talpyklių arba poliuretano infuzinių rinkinių. </w:t>
      </w:r>
    </w:p>
    <w:p w14:paraId="0DC0233E" w14:textId="77777777" w:rsidR="0084269B" w:rsidRPr="0084269B" w:rsidRDefault="0084269B" w:rsidP="0084269B">
      <w:pPr>
        <w:tabs>
          <w:tab w:val="clear" w:pos="567"/>
          <w:tab w:val="left" w:pos="720"/>
        </w:tabs>
        <w:spacing w:line="240" w:lineRule="auto"/>
        <w:rPr>
          <w:lang w:val="lt-LT" w:eastAsia="lt-LT" w:bidi="lt-LT"/>
        </w:rPr>
      </w:pPr>
    </w:p>
    <w:p w14:paraId="1F14BA06" w14:textId="77777777" w:rsidR="0084269B" w:rsidRPr="0084269B" w:rsidRDefault="0084269B" w:rsidP="0084269B">
      <w:pPr>
        <w:tabs>
          <w:tab w:val="clear" w:pos="567"/>
          <w:tab w:val="left" w:pos="720"/>
        </w:tabs>
        <w:spacing w:line="240" w:lineRule="auto"/>
        <w:rPr>
          <w:lang w:val="lt-LT" w:eastAsia="lt-LT" w:bidi="lt-LT"/>
        </w:rPr>
      </w:pPr>
    </w:p>
    <w:p w14:paraId="79312A01" w14:textId="77777777" w:rsidR="00F777F7" w:rsidRPr="00736D2F" w:rsidRDefault="00F777F7">
      <w:pPr>
        <w:rPr>
          <w:szCs w:val="22"/>
          <w:lang w:val="lt-LT"/>
        </w:rPr>
      </w:pPr>
    </w:p>
    <w:sectPr w:rsidR="00F777F7" w:rsidRPr="00736D2F" w:rsidSect="003C5CC2">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3063C" w14:textId="77777777" w:rsidR="00C74681" w:rsidRDefault="00C74681" w:rsidP="00D70739">
      <w:pPr>
        <w:spacing w:line="240" w:lineRule="auto"/>
      </w:pPr>
      <w:r>
        <w:separator/>
      </w:r>
    </w:p>
  </w:endnote>
  <w:endnote w:type="continuationSeparator" w:id="0">
    <w:p w14:paraId="1302310E" w14:textId="77777777" w:rsidR="00C74681" w:rsidRDefault="00C74681" w:rsidP="00D70739">
      <w:pPr>
        <w:spacing w:line="240" w:lineRule="auto"/>
      </w:pPr>
      <w:r>
        <w:continuationSeparator/>
      </w:r>
    </w:p>
  </w:endnote>
  <w:endnote w:type="continuationNotice" w:id="1">
    <w:p w14:paraId="4FA39CEA" w14:textId="77777777" w:rsidR="00C74681" w:rsidRDefault="00C74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A1"/>
    <w:family w:val="auto"/>
    <w:notTrueType/>
    <w:pitch w:val="default"/>
    <w:sig w:usb0="00000081" w:usb1="00000000" w:usb2="00000000" w:usb3="00000000" w:csb0="00000008"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762307"/>
      <w:docPartObj>
        <w:docPartGallery w:val="Page Numbers (Bottom of Page)"/>
        <w:docPartUnique/>
      </w:docPartObj>
    </w:sdtPr>
    <w:sdtEndPr>
      <w:rPr>
        <w:noProof/>
      </w:rPr>
    </w:sdtEndPr>
    <w:sdtContent>
      <w:p w14:paraId="3FEABDED" w14:textId="73E588E3" w:rsidR="00381201" w:rsidRDefault="00381201">
        <w:pPr>
          <w:pStyle w:val="Porat"/>
          <w:jc w:val="right"/>
        </w:pPr>
        <w:r>
          <w:fldChar w:fldCharType="begin"/>
        </w:r>
        <w:r>
          <w:instrText xml:space="preserve"> PAGE   \* MERGEFORMAT </w:instrText>
        </w:r>
        <w:r>
          <w:fldChar w:fldCharType="separate"/>
        </w:r>
        <w:r w:rsidR="00722C53">
          <w:rPr>
            <w:noProof/>
          </w:rPr>
          <w:t>23</w:t>
        </w:r>
        <w:r>
          <w:rPr>
            <w:noProof/>
          </w:rPr>
          <w:fldChar w:fldCharType="end"/>
        </w:r>
      </w:p>
    </w:sdtContent>
  </w:sdt>
  <w:p w14:paraId="2B850524" w14:textId="77777777" w:rsidR="00381201" w:rsidRDefault="003812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9E22" w14:textId="77777777" w:rsidR="00C74681" w:rsidRDefault="00C74681" w:rsidP="00D70739">
      <w:pPr>
        <w:spacing w:line="240" w:lineRule="auto"/>
      </w:pPr>
      <w:r>
        <w:separator/>
      </w:r>
    </w:p>
  </w:footnote>
  <w:footnote w:type="continuationSeparator" w:id="0">
    <w:p w14:paraId="2246D9EB" w14:textId="77777777" w:rsidR="00C74681" w:rsidRDefault="00C74681" w:rsidP="00D70739">
      <w:pPr>
        <w:spacing w:line="240" w:lineRule="auto"/>
      </w:pPr>
      <w:r>
        <w:continuationSeparator/>
      </w:r>
    </w:p>
  </w:footnote>
  <w:footnote w:type="continuationNotice" w:id="1">
    <w:p w14:paraId="30623955" w14:textId="77777777" w:rsidR="00C74681" w:rsidRDefault="00C746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83E11"/>
    <w:multiLevelType w:val="hybridMultilevel"/>
    <w:tmpl w:val="98EC073A"/>
    <w:lvl w:ilvl="0" w:tplc="C2C0E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4B5C"/>
    <w:multiLevelType w:val="hybridMultilevel"/>
    <w:tmpl w:val="B2AA958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80803"/>
    <w:multiLevelType w:val="hybridMultilevel"/>
    <w:tmpl w:val="36E20B8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22DBD"/>
    <w:multiLevelType w:val="hybridMultilevel"/>
    <w:tmpl w:val="21E24FE0"/>
    <w:lvl w:ilvl="0" w:tplc="1BD0663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8" w15:restartNumberingAfterBreak="0">
    <w:nsid w:val="33B84F81"/>
    <w:multiLevelType w:val="hybridMultilevel"/>
    <w:tmpl w:val="B666F1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E140A"/>
    <w:multiLevelType w:val="hybridMultilevel"/>
    <w:tmpl w:val="D800FDDC"/>
    <w:lvl w:ilvl="0" w:tplc="67BE8460">
      <w:numFmt w:val="bullet"/>
      <w:lvlText w:val="˗"/>
      <w:lvlJc w:val="left"/>
      <w:pPr>
        <w:ind w:left="706" w:hanging="360"/>
      </w:pPr>
      <w:rPr>
        <w:rFonts w:ascii="Times New Roman" w:hAnsi="Times New Roman" w:cs="Times New Roman" w:hint="default"/>
        <w:sz w:val="22"/>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0" w15:restartNumberingAfterBreak="0">
    <w:nsid w:val="4F997029"/>
    <w:multiLevelType w:val="hybridMultilevel"/>
    <w:tmpl w:val="F72ACF18"/>
    <w:lvl w:ilvl="0" w:tplc="1812E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230BB"/>
    <w:multiLevelType w:val="hybridMultilevel"/>
    <w:tmpl w:val="5D3ADFC0"/>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623179"/>
    <w:multiLevelType w:val="hybridMultilevel"/>
    <w:tmpl w:val="4260B1F0"/>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F0207"/>
    <w:multiLevelType w:val="hybridMultilevel"/>
    <w:tmpl w:val="963C2B36"/>
    <w:lvl w:ilvl="0" w:tplc="67BE8460">
      <w:numFmt w:val="bullet"/>
      <w:lvlText w:val="˗"/>
      <w:lvlJc w:val="left"/>
      <w:pPr>
        <w:ind w:left="777" w:hanging="360"/>
      </w:pPr>
      <w:rPr>
        <w:rFonts w:ascii="Times New Roman" w:hAnsi="Times New Roman" w:cs="Times New Roman" w:hint="default"/>
        <w:sz w:val="22"/>
      </w:rPr>
    </w:lvl>
    <w:lvl w:ilvl="1" w:tplc="2C24DE96">
      <w:numFmt w:val="bullet"/>
      <w:lvlText w:val="-"/>
      <w:lvlJc w:val="left"/>
      <w:pPr>
        <w:ind w:left="1497" w:hanging="360"/>
      </w:pPr>
      <w:rPr>
        <w:rFonts w:ascii="Times New Roman" w:eastAsia="Times New Roman" w:hAnsi="Times New Roman" w:cs="Times New Roman"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706A6E92"/>
    <w:multiLevelType w:val="hybridMultilevel"/>
    <w:tmpl w:val="4F2A4E86"/>
    <w:lvl w:ilvl="0" w:tplc="67BE8460">
      <w:numFmt w:val="bullet"/>
      <w:lvlText w:val="˗"/>
      <w:lvlJc w:val="left"/>
      <w:pPr>
        <w:ind w:left="1080" w:hanging="360"/>
      </w:pPr>
      <w:rPr>
        <w:rFonts w:ascii="Times New Roman" w:hAnsi="Times New Roman" w:cs="Times New Roman" w:hint="default"/>
        <w:sz w:val="22"/>
      </w:rPr>
    </w:lvl>
    <w:lvl w:ilvl="1" w:tplc="67BE8460">
      <w:numFmt w:val="bullet"/>
      <w:lvlText w:val="˗"/>
      <w:lvlJc w:val="left"/>
      <w:pPr>
        <w:ind w:left="1800" w:hanging="360"/>
      </w:pPr>
      <w:rPr>
        <w:rFonts w:ascii="Times New Roman" w:hAnsi="Times New Roman" w:cs="Times New Roman"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451872"/>
    <w:multiLevelType w:val="hybridMultilevel"/>
    <w:tmpl w:val="E1D415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13C83"/>
    <w:multiLevelType w:val="hybridMultilevel"/>
    <w:tmpl w:val="3F96B2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B086A"/>
    <w:multiLevelType w:val="hybridMultilevel"/>
    <w:tmpl w:val="7C52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375A9"/>
    <w:multiLevelType w:val="hybridMultilevel"/>
    <w:tmpl w:val="64B4BE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75021"/>
    <w:multiLevelType w:val="hybridMultilevel"/>
    <w:tmpl w:val="7916AB06"/>
    <w:lvl w:ilvl="0" w:tplc="67BE8460">
      <w:numFmt w:val="bullet"/>
      <w:lvlText w:val="˗"/>
      <w:lvlJc w:val="left"/>
      <w:pPr>
        <w:ind w:left="720" w:hanging="360"/>
      </w:pPr>
      <w:rPr>
        <w:rFonts w:ascii="Times New Roman" w:hAnsi="Times New Roman" w:cs="Times New Roman" w:hint="default"/>
        <w:sz w:val="22"/>
      </w:rPr>
    </w:lvl>
    <w:lvl w:ilvl="1" w:tplc="A24E3B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3"/>
  </w:num>
  <w:num w:numId="4">
    <w:abstractNumId w:val="0"/>
    <w:lvlOverride w:ilvl="0">
      <w:lvl w:ilvl="0">
        <w:start w:val="1"/>
        <w:numFmt w:val="bullet"/>
        <w:lvlText w:val="-"/>
        <w:lvlJc w:val="left"/>
        <w:pPr>
          <w:ind w:left="360" w:hanging="360"/>
        </w:pPr>
      </w:lvl>
    </w:lvlOverride>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0"/>
    <w:lvlOverride w:ilvl="0">
      <w:lvl w:ilvl="0">
        <w:start w:val="1"/>
        <w:numFmt w:val="bullet"/>
        <w:lvlText w:val="-"/>
        <w:lvlJc w:val="left"/>
        <w:pPr>
          <w:ind w:left="360" w:hanging="360"/>
        </w:pPr>
      </w:lvl>
    </w:lvlOverride>
  </w:num>
  <w:num w:numId="7">
    <w:abstractNumId w:val="16"/>
  </w:num>
  <w:num w:numId="8">
    <w:abstractNumId w:val="10"/>
  </w:num>
  <w:num w:numId="9">
    <w:abstractNumId w:val="8"/>
  </w:num>
  <w:num w:numId="10">
    <w:abstractNumId w:val="2"/>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360"/>
        <w:lvlJc w:val="left"/>
        <w:pPr>
          <w:ind w:left="360" w:hanging="360"/>
        </w:pPr>
      </w:lvl>
    </w:lvlOverride>
  </w:num>
  <w:num w:numId="15">
    <w:abstractNumId w:val="20"/>
  </w:num>
  <w:num w:numId="16">
    <w:abstractNumId w:val="15"/>
  </w:num>
  <w:num w:numId="17">
    <w:abstractNumId w:val="4"/>
  </w:num>
  <w:num w:numId="18">
    <w:abstractNumId w:val="14"/>
  </w:num>
  <w:num w:numId="19">
    <w:abstractNumId w:val="11"/>
  </w:num>
  <w:num w:numId="20">
    <w:abstractNumId w:val="3"/>
  </w:num>
  <w:num w:numId="21">
    <w:abstractNumId w:val="9"/>
  </w:num>
  <w:num w:numId="22">
    <w:abstractNumId w:val="12"/>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5B"/>
    <w:rsid w:val="000078CD"/>
    <w:rsid w:val="00022E22"/>
    <w:rsid w:val="00022F48"/>
    <w:rsid w:val="00026922"/>
    <w:rsid w:val="000B0702"/>
    <w:rsid w:val="000F14E0"/>
    <w:rsid w:val="00137ECC"/>
    <w:rsid w:val="00160C8F"/>
    <w:rsid w:val="00161D54"/>
    <w:rsid w:val="00163693"/>
    <w:rsid w:val="00166DAD"/>
    <w:rsid w:val="001902AB"/>
    <w:rsid w:val="00192288"/>
    <w:rsid w:val="00194184"/>
    <w:rsid w:val="001A08B9"/>
    <w:rsid w:val="001A7D9D"/>
    <w:rsid w:val="001C3EA5"/>
    <w:rsid w:val="001C6DCF"/>
    <w:rsid w:val="001D3D4F"/>
    <w:rsid w:val="001E0858"/>
    <w:rsid w:val="001F322F"/>
    <w:rsid w:val="00201EC4"/>
    <w:rsid w:val="0021244B"/>
    <w:rsid w:val="00224E84"/>
    <w:rsid w:val="0026109A"/>
    <w:rsid w:val="002612AE"/>
    <w:rsid w:val="00262E68"/>
    <w:rsid w:val="00266A4D"/>
    <w:rsid w:val="00282FDF"/>
    <w:rsid w:val="002B407D"/>
    <w:rsid w:val="002C3D96"/>
    <w:rsid w:val="002D2E9B"/>
    <w:rsid w:val="002E1A49"/>
    <w:rsid w:val="002F488D"/>
    <w:rsid w:val="00311FA3"/>
    <w:rsid w:val="00315848"/>
    <w:rsid w:val="003163AE"/>
    <w:rsid w:val="003216C5"/>
    <w:rsid w:val="003520B2"/>
    <w:rsid w:val="00381201"/>
    <w:rsid w:val="003B4264"/>
    <w:rsid w:val="003B5C78"/>
    <w:rsid w:val="003C5CC2"/>
    <w:rsid w:val="003E761C"/>
    <w:rsid w:val="003F1252"/>
    <w:rsid w:val="003F23C9"/>
    <w:rsid w:val="0040036C"/>
    <w:rsid w:val="00444539"/>
    <w:rsid w:val="00444590"/>
    <w:rsid w:val="00447A78"/>
    <w:rsid w:val="0046710D"/>
    <w:rsid w:val="004678FE"/>
    <w:rsid w:val="004B7C84"/>
    <w:rsid w:val="004B7DB7"/>
    <w:rsid w:val="004C0079"/>
    <w:rsid w:val="004C2671"/>
    <w:rsid w:val="004D555B"/>
    <w:rsid w:val="004D6C39"/>
    <w:rsid w:val="00501998"/>
    <w:rsid w:val="00521A6F"/>
    <w:rsid w:val="0054129F"/>
    <w:rsid w:val="00580681"/>
    <w:rsid w:val="005E0BAB"/>
    <w:rsid w:val="005E1DB5"/>
    <w:rsid w:val="005F1650"/>
    <w:rsid w:val="005F682C"/>
    <w:rsid w:val="00631F11"/>
    <w:rsid w:val="006360C0"/>
    <w:rsid w:val="00667A9F"/>
    <w:rsid w:val="006853BF"/>
    <w:rsid w:val="00692424"/>
    <w:rsid w:val="006B145E"/>
    <w:rsid w:val="006C3026"/>
    <w:rsid w:val="006F1412"/>
    <w:rsid w:val="006F6D9B"/>
    <w:rsid w:val="006F7E11"/>
    <w:rsid w:val="00722C53"/>
    <w:rsid w:val="00736D2F"/>
    <w:rsid w:val="007401C2"/>
    <w:rsid w:val="00783012"/>
    <w:rsid w:val="00785C77"/>
    <w:rsid w:val="00786E8D"/>
    <w:rsid w:val="00790F1C"/>
    <w:rsid w:val="007A5D47"/>
    <w:rsid w:val="007B5505"/>
    <w:rsid w:val="007D7505"/>
    <w:rsid w:val="007E1BE8"/>
    <w:rsid w:val="008021BD"/>
    <w:rsid w:val="0084269B"/>
    <w:rsid w:val="00866DB4"/>
    <w:rsid w:val="0088184F"/>
    <w:rsid w:val="00894A0A"/>
    <w:rsid w:val="008D3DCC"/>
    <w:rsid w:val="008E6793"/>
    <w:rsid w:val="00924A0B"/>
    <w:rsid w:val="0093594E"/>
    <w:rsid w:val="00937B84"/>
    <w:rsid w:val="0095489C"/>
    <w:rsid w:val="009A2CEF"/>
    <w:rsid w:val="009B566E"/>
    <w:rsid w:val="009B66AD"/>
    <w:rsid w:val="009F52C9"/>
    <w:rsid w:val="00A25747"/>
    <w:rsid w:val="00A340AD"/>
    <w:rsid w:val="00A57306"/>
    <w:rsid w:val="00AA42E6"/>
    <w:rsid w:val="00AB4777"/>
    <w:rsid w:val="00AB4978"/>
    <w:rsid w:val="00AD2E3A"/>
    <w:rsid w:val="00AF5F80"/>
    <w:rsid w:val="00B0039C"/>
    <w:rsid w:val="00B276C3"/>
    <w:rsid w:val="00B27D07"/>
    <w:rsid w:val="00B359D0"/>
    <w:rsid w:val="00B635D5"/>
    <w:rsid w:val="00B64F4C"/>
    <w:rsid w:val="00C3383F"/>
    <w:rsid w:val="00C55514"/>
    <w:rsid w:val="00C63347"/>
    <w:rsid w:val="00C74681"/>
    <w:rsid w:val="00C911E2"/>
    <w:rsid w:val="00C92AC0"/>
    <w:rsid w:val="00CA2A4E"/>
    <w:rsid w:val="00CB090C"/>
    <w:rsid w:val="00D57572"/>
    <w:rsid w:val="00D6769C"/>
    <w:rsid w:val="00D70739"/>
    <w:rsid w:val="00DA1FE0"/>
    <w:rsid w:val="00E1575A"/>
    <w:rsid w:val="00E277AD"/>
    <w:rsid w:val="00E32E08"/>
    <w:rsid w:val="00E77F66"/>
    <w:rsid w:val="00EE2D77"/>
    <w:rsid w:val="00EE789A"/>
    <w:rsid w:val="00F24039"/>
    <w:rsid w:val="00F32A27"/>
    <w:rsid w:val="00F66002"/>
    <w:rsid w:val="00F777F7"/>
    <w:rsid w:val="00F869FA"/>
    <w:rsid w:val="00FB4062"/>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57C7"/>
  <w15:docId w15:val="{3B502D3B-F272-419A-84CC-DCEC2DF7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FDF"/>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F24039"/>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F24039"/>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rsid w:val="00F24039"/>
    <w:pPr>
      <w:keepNext/>
      <w:keepLines/>
      <w:spacing w:before="120" w:after="80"/>
      <w:outlineLvl w:val="2"/>
    </w:pPr>
    <w:rPr>
      <w:rFonts w:ascii="Cambria" w:hAnsi="Cambria"/>
      <w:b/>
      <w:bCs/>
      <w:snapToGrid w:val="0"/>
      <w:sz w:val="26"/>
      <w:szCs w:val="26"/>
      <w:lang w:eastAsia="x-none"/>
    </w:rPr>
  </w:style>
  <w:style w:type="paragraph" w:styleId="Antrat4">
    <w:name w:val="heading 4"/>
    <w:basedOn w:val="prastasis"/>
    <w:next w:val="prastasis"/>
    <w:link w:val="Antrat4Diagrama"/>
    <w:uiPriority w:val="99"/>
    <w:qFormat/>
    <w:rsid w:val="00F24039"/>
    <w:pPr>
      <w:keepNext/>
      <w:jc w:val="both"/>
      <w:outlineLvl w:val="3"/>
    </w:pPr>
    <w:rPr>
      <w:rFonts w:ascii="Calibri" w:hAnsi="Calibri"/>
      <w:b/>
      <w:bCs/>
      <w:snapToGrid w:val="0"/>
      <w:sz w:val="28"/>
      <w:szCs w:val="28"/>
      <w:lang w:eastAsia="x-none"/>
    </w:rPr>
  </w:style>
  <w:style w:type="paragraph" w:styleId="Antrat5">
    <w:name w:val="heading 5"/>
    <w:basedOn w:val="prastasis"/>
    <w:next w:val="prastasis"/>
    <w:link w:val="Antrat5Diagrama"/>
    <w:uiPriority w:val="99"/>
    <w:qFormat/>
    <w:rsid w:val="00F24039"/>
    <w:pPr>
      <w:keepNext/>
      <w:jc w:val="both"/>
      <w:outlineLvl w:val="4"/>
    </w:pPr>
    <w:rPr>
      <w:rFonts w:eastAsia="SimSun"/>
      <w:noProof/>
    </w:rPr>
  </w:style>
  <w:style w:type="paragraph" w:styleId="Antrat6">
    <w:name w:val="heading 6"/>
    <w:basedOn w:val="prastasis"/>
    <w:next w:val="prastasis"/>
    <w:link w:val="Antrat6Diagrama"/>
    <w:uiPriority w:val="99"/>
    <w:qFormat/>
    <w:rsid w:val="00F24039"/>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rsid w:val="00F24039"/>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rsid w:val="00F24039"/>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rsid w:val="00F24039"/>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2671"/>
    <w:pPr>
      <w:ind w:left="720"/>
      <w:contextualSpacing/>
    </w:pPr>
  </w:style>
  <w:style w:type="character" w:customStyle="1" w:styleId="Antrat1Diagrama">
    <w:name w:val="Antraštė 1 Diagrama"/>
    <w:basedOn w:val="Numatytasispastraiposriftas"/>
    <w:link w:val="Antrat1"/>
    <w:uiPriority w:val="99"/>
    <w:rsid w:val="00F2403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F2403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2403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2403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2403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F2403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F2403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F2403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24039"/>
    <w:rPr>
      <w:rFonts w:ascii="Times New Roman" w:eastAsia="SimSun" w:hAnsi="Times New Roman" w:cs="Times New Roman"/>
      <w:b/>
      <w:i/>
      <w:szCs w:val="20"/>
      <w:lang w:val="en-GB"/>
    </w:rPr>
  </w:style>
  <w:style w:type="paragraph" w:styleId="Porat">
    <w:name w:val="footer"/>
    <w:basedOn w:val="prastasis"/>
    <w:link w:val="PoratDiagrama"/>
    <w:uiPriority w:val="99"/>
    <w:rsid w:val="00F24039"/>
    <w:pPr>
      <w:tabs>
        <w:tab w:val="center" w:pos="4536"/>
        <w:tab w:val="right" w:pos="8306"/>
      </w:tabs>
    </w:pPr>
    <w:rPr>
      <w:snapToGrid w:val="0"/>
      <w:lang w:eastAsia="x-none"/>
    </w:rPr>
  </w:style>
  <w:style w:type="character" w:customStyle="1" w:styleId="PoratDiagrama">
    <w:name w:val="Poraštė Diagrama"/>
    <w:basedOn w:val="Numatytasispastraiposriftas"/>
    <w:link w:val="Porat"/>
    <w:uiPriority w:val="99"/>
    <w:rsid w:val="00F24039"/>
    <w:rPr>
      <w:rFonts w:ascii="Times New Roman" w:eastAsia="Times New Roman" w:hAnsi="Times New Roman" w:cs="Times New Roman"/>
      <w:snapToGrid w:val="0"/>
      <w:szCs w:val="20"/>
      <w:lang w:val="en-GB" w:eastAsia="x-none"/>
    </w:rPr>
  </w:style>
  <w:style w:type="character" w:customStyle="1" w:styleId="HeaderChar">
    <w:name w:val="Header Char"/>
    <w:rsid w:val="00F24039"/>
    <w:rPr>
      <w:snapToGrid w:val="0"/>
      <w:sz w:val="22"/>
      <w:lang w:val="en-GB" w:eastAsia="en-US"/>
    </w:rPr>
  </w:style>
  <w:style w:type="character" w:styleId="Puslapionumeris">
    <w:name w:val="page number"/>
    <w:uiPriority w:val="99"/>
    <w:rsid w:val="00F24039"/>
    <w:rPr>
      <w:rFonts w:cs="Times New Roman"/>
    </w:rPr>
  </w:style>
  <w:style w:type="character" w:styleId="Hipersaitas">
    <w:name w:val="Hyperlink"/>
    <w:uiPriority w:val="99"/>
    <w:rsid w:val="00F24039"/>
    <w:rPr>
      <w:color w:val="0000FF"/>
      <w:u w:val="single"/>
    </w:rPr>
  </w:style>
  <w:style w:type="paragraph" w:customStyle="1" w:styleId="BodytextAgency">
    <w:name w:val="Body text (Agency)"/>
    <w:basedOn w:val="prastasis"/>
    <w:link w:val="BodytextAgencyChar"/>
    <w:uiPriority w:val="99"/>
    <w:rsid w:val="00F24039"/>
    <w:pPr>
      <w:tabs>
        <w:tab w:val="clear" w:pos="567"/>
      </w:tabs>
      <w:spacing w:after="140" w:line="280" w:lineRule="atLeast"/>
    </w:pPr>
    <w:rPr>
      <w:rFonts w:ascii="Verdana" w:hAnsi="Verdana"/>
      <w:snapToGrid w:val="0"/>
      <w:sz w:val="18"/>
      <w:lang w:eastAsia="x-none"/>
    </w:rPr>
  </w:style>
  <w:style w:type="paragraph" w:customStyle="1" w:styleId="NormalAgency">
    <w:name w:val="Normal (Agency)"/>
    <w:link w:val="NormalAgencyChar"/>
    <w:uiPriority w:val="99"/>
    <w:rsid w:val="00F2403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24039"/>
    <w:pPr>
      <w:tabs>
        <w:tab w:val="clear" w:pos="567"/>
      </w:tabs>
      <w:spacing w:line="280" w:lineRule="exact"/>
    </w:pPr>
    <w:rPr>
      <w:rFonts w:ascii="Verdana" w:hAnsi="Verdana"/>
      <w:snapToGrid w:val="0"/>
      <w:sz w:val="18"/>
    </w:rPr>
  </w:style>
  <w:style w:type="character" w:customStyle="1" w:styleId="tw4winError">
    <w:name w:val="tw4winError"/>
    <w:uiPriority w:val="99"/>
    <w:rsid w:val="00F24039"/>
    <w:rPr>
      <w:rFonts w:ascii="Courier New" w:hAnsi="Courier New"/>
      <w:color w:val="00FF00"/>
      <w:sz w:val="40"/>
    </w:rPr>
  </w:style>
  <w:style w:type="character" w:customStyle="1" w:styleId="tw4winTerm">
    <w:name w:val="tw4winTerm"/>
    <w:uiPriority w:val="99"/>
    <w:rsid w:val="00F24039"/>
    <w:rPr>
      <w:color w:val="0000FF"/>
    </w:rPr>
  </w:style>
  <w:style w:type="character" w:customStyle="1" w:styleId="tw4winPopup">
    <w:name w:val="tw4winPopup"/>
    <w:uiPriority w:val="99"/>
    <w:rsid w:val="00F24039"/>
    <w:rPr>
      <w:rFonts w:ascii="Courier New" w:hAnsi="Courier New"/>
      <w:noProof/>
      <w:color w:val="008000"/>
    </w:rPr>
  </w:style>
  <w:style w:type="character" w:customStyle="1" w:styleId="tw4winJump">
    <w:name w:val="tw4winJump"/>
    <w:uiPriority w:val="99"/>
    <w:rsid w:val="00F24039"/>
    <w:rPr>
      <w:rFonts w:ascii="Courier New" w:hAnsi="Courier New"/>
      <w:noProof/>
      <w:color w:val="008080"/>
    </w:rPr>
  </w:style>
  <w:style w:type="character" w:customStyle="1" w:styleId="tw4winExternal">
    <w:name w:val="tw4winExternal"/>
    <w:uiPriority w:val="99"/>
    <w:rsid w:val="00F24039"/>
    <w:rPr>
      <w:rFonts w:ascii="Courier New" w:hAnsi="Courier New"/>
      <w:noProof/>
      <w:color w:val="808080"/>
    </w:rPr>
  </w:style>
  <w:style w:type="character" w:customStyle="1" w:styleId="tw4winInternal">
    <w:name w:val="tw4winInternal"/>
    <w:uiPriority w:val="99"/>
    <w:rsid w:val="00F24039"/>
    <w:rPr>
      <w:rFonts w:ascii="Courier New" w:hAnsi="Courier New"/>
      <w:noProof/>
      <w:color w:val="FF0000"/>
    </w:rPr>
  </w:style>
  <w:style w:type="character" w:customStyle="1" w:styleId="DONOTTRANSLATE">
    <w:name w:val="DO_NOT_TRANSLATE"/>
    <w:uiPriority w:val="99"/>
    <w:rsid w:val="00F24039"/>
    <w:rPr>
      <w:rFonts w:ascii="Courier New" w:hAnsi="Courier New"/>
      <w:noProof/>
      <w:color w:val="800000"/>
    </w:rPr>
  </w:style>
  <w:style w:type="paragraph" w:styleId="Debesliotekstas">
    <w:name w:val="Balloon Text"/>
    <w:basedOn w:val="prastasis"/>
    <w:link w:val="DebesliotekstasDiagrama"/>
    <w:uiPriority w:val="99"/>
    <w:rsid w:val="00F24039"/>
    <w:pPr>
      <w:spacing w:line="240" w:lineRule="auto"/>
    </w:pPr>
    <w:rPr>
      <w:rFonts w:ascii="Tahoma" w:hAnsi="Tahoma"/>
      <w:snapToGrid w:val="0"/>
      <w:sz w:val="16"/>
      <w:szCs w:val="16"/>
      <w:lang w:eastAsia="x-none"/>
    </w:rPr>
  </w:style>
  <w:style w:type="character" w:customStyle="1" w:styleId="DebesliotekstasDiagrama">
    <w:name w:val="Debesėlio tekstas Diagrama"/>
    <w:basedOn w:val="Numatytasispastraiposriftas"/>
    <w:link w:val="Debesliotekstas"/>
    <w:uiPriority w:val="99"/>
    <w:rsid w:val="00F24039"/>
    <w:rPr>
      <w:rFonts w:ascii="Tahoma" w:eastAsia="Times New Roman" w:hAnsi="Tahoma" w:cs="Times New Roman"/>
      <w:snapToGrid w:val="0"/>
      <w:sz w:val="16"/>
      <w:szCs w:val="16"/>
      <w:lang w:val="en-GB" w:eastAsia="x-none"/>
    </w:rPr>
  </w:style>
  <w:style w:type="character" w:styleId="Komentaronuoroda">
    <w:name w:val="annotation reference"/>
    <w:uiPriority w:val="99"/>
    <w:rsid w:val="00F24039"/>
    <w:rPr>
      <w:sz w:val="16"/>
      <w:szCs w:val="16"/>
    </w:rPr>
  </w:style>
  <w:style w:type="paragraph" w:styleId="Komentarotekstas">
    <w:name w:val="annotation text"/>
    <w:basedOn w:val="prastasis"/>
    <w:link w:val="KomentarotekstasDiagrama"/>
    <w:uiPriority w:val="99"/>
    <w:rsid w:val="00F24039"/>
    <w:rPr>
      <w:snapToGrid w:val="0"/>
      <w:sz w:val="20"/>
    </w:rPr>
  </w:style>
  <w:style w:type="character" w:customStyle="1" w:styleId="KomentarotekstasDiagrama">
    <w:name w:val="Komentaro tekstas Diagrama"/>
    <w:basedOn w:val="Numatytasispastraiposriftas"/>
    <w:link w:val="Komentarotekstas"/>
    <w:uiPriority w:val="99"/>
    <w:rsid w:val="00F2403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24039"/>
    <w:rPr>
      <w:b/>
      <w:bCs/>
    </w:rPr>
  </w:style>
  <w:style w:type="character" w:customStyle="1" w:styleId="KomentarotemaDiagrama">
    <w:name w:val="Komentaro tema Diagrama"/>
    <w:basedOn w:val="KomentarotekstasDiagrama"/>
    <w:link w:val="Komentarotema"/>
    <w:uiPriority w:val="99"/>
    <w:rsid w:val="00F2403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2403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F24039"/>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F24039"/>
    <w:rPr>
      <w:rFonts w:ascii="Courier New" w:hAnsi="Courier New"/>
      <w:vanish/>
      <w:color w:val="800080"/>
      <w:sz w:val="24"/>
      <w:vertAlign w:val="subscript"/>
    </w:rPr>
  </w:style>
  <w:style w:type="paragraph" w:styleId="Antrats">
    <w:name w:val="header"/>
    <w:basedOn w:val="prastasis"/>
    <w:link w:val="AntratsDiagrama"/>
    <w:uiPriority w:val="99"/>
    <w:rsid w:val="00F24039"/>
    <w:pPr>
      <w:tabs>
        <w:tab w:val="clear" w:pos="567"/>
        <w:tab w:val="center" w:pos="4320"/>
        <w:tab w:val="right" w:pos="8640"/>
      </w:tabs>
    </w:pPr>
    <w:rPr>
      <w:rFonts w:eastAsia="SimSun"/>
      <w:lang w:eastAsia="zh-CN"/>
    </w:rPr>
  </w:style>
  <w:style w:type="character" w:customStyle="1" w:styleId="AntratsDiagrama">
    <w:name w:val="Antraštės Diagrama"/>
    <w:basedOn w:val="Numatytasispastraiposriftas"/>
    <w:link w:val="Antrats"/>
    <w:uiPriority w:val="99"/>
    <w:rsid w:val="00F2403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24039"/>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sid w:val="00F2403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24039"/>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sid w:val="00F2403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24039"/>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sid w:val="00F2403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2403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sid w:val="00F2403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24039"/>
    <w:pPr>
      <w:tabs>
        <w:tab w:val="clear" w:pos="567"/>
      </w:tabs>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rsid w:val="00F2403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2403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sid w:val="00F2403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24039"/>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F24039"/>
    <w:pPr>
      <w:tabs>
        <w:tab w:val="clear" w:pos="720"/>
        <w:tab w:val="num" w:pos="360"/>
      </w:tabs>
      <w:ind w:left="709" w:hanging="425"/>
    </w:pPr>
    <w:rPr>
      <w:sz w:val="22"/>
    </w:rPr>
  </w:style>
  <w:style w:type="paragraph" w:customStyle="1" w:styleId="AHeader3">
    <w:name w:val="AHeader 3"/>
    <w:basedOn w:val="AHeader2"/>
    <w:uiPriority w:val="99"/>
    <w:rsid w:val="00F24039"/>
    <w:pPr>
      <w:ind w:left="1276" w:hanging="567"/>
    </w:pPr>
  </w:style>
  <w:style w:type="paragraph" w:customStyle="1" w:styleId="AHeader2abc">
    <w:name w:val="AHeader 2 abc"/>
    <w:basedOn w:val="AHeader3"/>
    <w:uiPriority w:val="99"/>
    <w:rsid w:val="00F24039"/>
    <w:pPr>
      <w:jc w:val="both"/>
    </w:pPr>
    <w:rPr>
      <w:b w:val="0"/>
      <w:bCs w:val="0"/>
    </w:rPr>
  </w:style>
  <w:style w:type="paragraph" w:customStyle="1" w:styleId="AHeader3abc">
    <w:name w:val="AHeader 3 abc"/>
    <w:basedOn w:val="AHeader2abc"/>
    <w:uiPriority w:val="99"/>
    <w:rsid w:val="00F24039"/>
    <w:pPr>
      <w:ind w:left="1701" w:hanging="425"/>
    </w:pPr>
  </w:style>
  <w:style w:type="paragraph" w:styleId="Pagrindiniotekstotrauka3">
    <w:name w:val="Body Text Indent 3"/>
    <w:basedOn w:val="prastasis"/>
    <w:link w:val="Pagrindiniotekstotrauka3Diagrama"/>
    <w:uiPriority w:val="99"/>
    <w:rsid w:val="00F24039"/>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sid w:val="00F24039"/>
    <w:rPr>
      <w:rFonts w:ascii="Times New Roman" w:eastAsia="SimSun" w:hAnsi="Times New Roman" w:cs="Times New Roman"/>
      <w:szCs w:val="21"/>
      <w:lang w:val="en-GB"/>
    </w:rPr>
  </w:style>
  <w:style w:type="character" w:styleId="Perirtashipersaitas">
    <w:name w:val="FollowedHyperlink"/>
    <w:uiPriority w:val="99"/>
    <w:rsid w:val="00F24039"/>
    <w:rPr>
      <w:rFonts w:cs="Times New Roman"/>
      <w:color w:val="800080"/>
      <w:u w:val="single"/>
    </w:rPr>
  </w:style>
  <w:style w:type="character" w:styleId="Grietas">
    <w:name w:val="Strong"/>
    <w:uiPriority w:val="99"/>
    <w:qFormat/>
    <w:rsid w:val="00F24039"/>
    <w:rPr>
      <w:rFonts w:cs="Times New Roman"/>
      <w:b/>
      <w:bCs/>
    </w:rPr>
  </w:style>
  <w:style w:type="character" w:customStyle="1" w:styleId="BodytextAgencyChar">
    <w:name w:val="Body text (Agency) Char"/>
    <w:link w:val="BodytextAgency"/>
    <w:uiPriority w:val="99"/>
    <w:locked/>
    <w:rsid w:val="00F2403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2403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24039"/>
    <w:pPr>
      <w:keepNext/>
    </w:pPr>
    <w:rPr>
      <w:rFonts w:eastAsia="SimSun" w:cs="Verdana"/>
      <w:b/>
      <w:snapToGrid/>
      <w:szCs w:val="18"/>
      <w:lang w:eastAsia="en-GB"/>
    </w:rPr>
  </w:style>
  <w:style w:type="character" w:customStyle="1" w:styleId="NormalAgencyChar">
    <w:name w:val="Normal (Agency) Char"/>
    <w:link w:val="NormalAgency"/>
    <w:uiPriority w:val="99"/>
    <w:locked/>
    <w:rsid w:val="00F2403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2403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F24039"/>
    <w:rPr>
      <w:rFonts w:ascii="Courier New" w:eastAsia="SimSun" w:hAnsi="Courier New" w:cs="Times New Roman"/>
      <w:sz w:val="20"/>
      <w:szCs w:val="20"/>
    </w:rPr>
  </w:style>
  <w:style w:type="paragraph" w:customStyle="1" w:styleId="Default">
    <w:name w:val="Default"/>
    <w:rsid w:val="00F2403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F24039"/>
    <w:pPr>
      <w:tabs>
        <w:tab w:val="clear" w:pos="567"/>
      </w:tabs>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F2403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24039"/>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sid w:val="00F2403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24039"/>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sid w:val="00F24039"/>
    <w:rPr>
      <w:rFonts w:ascii="Times New Roman" w:eastAsia="SimSun" w:hAnsi="Times New Roman" w:cs="Times New Roman"/>
      <w:noProof/>
      <w:sz w:val="20"/>
      <w:szCs w:val="20"/>
      <w:lang w:val="x-none" w:eastAsia="x-none"/>
    </w:rPr>
  </w:style>
  <w:style w:type="character" w:customStyle="1" w:styleId="CharChar12">
    <w:name w:val="Char Char12"/>
    <w:locked/>
    <w:rsid w:val="00F24039"/>
    <w:rPr>
      <w:snapToGrid w:val="0"/>
      <w:lang w:val="en-GB" w:eastAsia="en-US" w:bidi="ar-SA"/>
    </w:rPr>
  </w:style>
  <w:style w:type="paragraph" w:styleId="HTMLiankstoformatuotas">
    <w:name w:val="HTML Preformatted"/>
    <w:basedOn w:val="prastasis"/>
    <w:link w:val="HTMLiankstoformatuotasDiagrama"/>
    <w:uiPriority w:val="99"/>
    <w:semiHidden/>
    <w:unhideWhenUsed/>
    <w:rsid w:val="006F7E11"/>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6F7E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986">
      <w:bodyDiv w:val="1"/>
      <w:marLeft w:val="0"/>
      <w:marRight w:val="0"/>
      <w:marTop w:val="0"/>
      <w:marBottom w:val="0"/>
      <w:divBdr>
        <w:top w:val="none" w:sz="0" w:space="0" w:color="auto"/>
        <w:left w:val="none" w:sz="0" w:space="0" w:color="auto"/>
        <w:bottom w:val="none" w:sz="0" w:space="0" w:color="auto"/>
        <w:right w:val="none" w:sz="0" w:space="0" w:color="auto"/>
      </w:divBdr>
    </w:div>
    <w:div w:id="822543952">
      <w:bodyDiv w:val="1"/>
      <w:marLeft w:val="0"/>
      <w:marRight w:val="0"/>
      <w:marTop w:val="0"/>
      <w:marBottom w:val="0"/>
      <w:divBdr>
        <w:top w:val="none" w:sz="0" w:space="0" w:color="auto"/>
        <w:left w:val="none" w:sz="0" w:space="0" w:color="auto"/>
        <w:bottom w:val="none" w:sz="0" w:space="0" w:color="auto"/>
        <w:right w:val="none" w:sz="0" w:space="0" w:color="auto"/>
      </w:divBdr>
    </w:div>
    <w:div w:id="1186794572">
      <w:bodyDiv w:val="1"/>
      <w:marLeft w:val="0"/>
      <w:marRight w:val="0"/>
      <w:marTop w:val="0"/>
      <w:marBottom w:val="0"/>
      <w:divBdr>
        <w:top w:val="none" w:sz="0" w:space="0" w:color="auto"/>
        <w:left w:val="none" w:sz="0" w:space="0" w:color="auto"/>
        <w:bottom w:val="none" w:sz="0" w:space="0" w:color="auto"/>
        <w:right w:val="none" w:sz="0" w:space="0" w:color="auto"/>
      </w:divBdr>
    </w:div>
    <w:div w:id="1415319038">
      <w:bodyDiv w:val="1"/>
      <w:marLeft w:val="0"/>
      <w:marRight w:val="0"/>
      <w:marTop w:val="0"/>
      <w:marBottom w:val="0"/>
      <w:divBdr>
        <w:top w:val="none" w:sz="0" w:space="0" w:color="auto"/>
        <w:left w:val="none" w:sz="0" w:space="0" w:color="auto"/>
        <w:bottom w:val="none" w:sz="0" w:space="0" w:color="auto"/>
        <w:right w:val="none" w:sz="0" w:space="0" w:color="auto"/>
      </w:divBdr>
      <w:divsChild>
        <w:div w:id="2121601321">
          <w:marLeft w:val="0"/>
          <w:marRight w:val="0"/>
          <w:marTop w:val="0"/>
          <w:marBottom w:val="0"/>
          <w:divBdr>
            <w:top w:val="none" w:sz="0" w:space="0" w:color="auto"/>
            <w:left w:val="none" w:sz="0" w:space="0" w:color="auto"/>
            <w:bottom w:val="none" w:sz="0" w:space="0" w:color="auto"/>
            <w:right w:val="none" w:sz="0" w:space="0" w:color="auto"/>
          </w:divBdr>
          <w:divsChild>
            <w:div w:id="6317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50054</Words>
  <Characters>28531</Characters>
  <Application>Microsoft Office Word</Application>
  <DocSecurity>4</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Albina Burkauskaitė</cp:lastModifiedBy>
  <cp:revision>2</cp:revision>
  <dcterms:created xsi:type="dcterms:W3CDTF">2021-03-19T11:28:00Z</dcterms:created>
  <dcterms:modified xsi:type="dcterms:W3CDTF">2021-03-19T11:28:00Z</dcterms:modified>
</cp:coreProperties>
</file>