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B4A" w:rsidRPr="000E6B4A" w:rsidRDefault="000E6B4A" w:rsidP="000E6B4A">
      <w:pPr>
        <w:pStyle w:val="Pavadinimas"/>
        <w:jc w:val="center"/>
        <w:rPr>
          <w:b/>
          <w:i/>
        </w:rPr>
      </w:pPr>
      <w:r w:rsidRPr="000E6B4A">
        <w:rPr>
          <w:b/>
        </w:rPr>
        <w:t>Pakuotės lapelis: informacija vartotojui</w:t>
      </w:r>
    </w:p>
    <w:p w:rsidR="000E6B4A" w:rsidRPr="000E6B4A" w:rsidRDefault="000E6B4A" w:rsidP="000E6B4A">
      <w:pPr>
        <w:pStyle w:val="Pavadinimas"/>
        <w:jc w:val="center"/>
        <w:rPr>
          <w:b/>
        </w:rPr>
      </w:pPr>
    </w:p>
    <w:p w:rsidR="000E6B4A" w:rsidRPr="000E6B4A" w:rsidRDefault="000E6B4A" w:rsidP="000E6B4A">
      <w:pPr>
        <w:pStyle w:val="Pavadinimas"/>
        <w:jc w:val="center"/>
        <w:rPr>
          <w:b/>
        </w:rPr>
      </w:pPr>
      <w:proofErr w:type="spellStart"/>
      <w:r w:rsidRPr="000E6B4A">
        <w:rPr>
          <w:b/>
        </w:rPr>
        <w:t>Atenativ</w:t>
      </w:r>
      <w:proofErr w:type="spellEnd"/>
      <w:r w:rsidRPr="000E6B4A">
        <w:rPr>
          <w:b/>
        </w:rPr>
        <w:t xml:space="preserve"> 50 TV/ml milteliai ir tirpiklis infuziniam tirpalui</w:t>
      </w:r>
    </w:p>
    <w:p w:rsidR="000E6B4A" w:rsidRPr="00963E81" w:rsidRDefault="000E6B4A" w:rsidP="000E6B4A">
      <w:pPr>
        <w:pStyle w:val="Pagrindinistekstas"/>
        <w:jc w:val="center"/>
        <w:rPr>
          <w:lang w:val="lt-LT"/>
        </w:rPr>
      </w:pPr>
      <w:r w:rsidRPr="00963E81">
        <w:rPr>
          <w:lang w:val="lt-LT"/>
        </w:rPr>
        <w:t xml:space="preserve">Žmogaus </w:t>
      </w:r>
      <w:proofErr w:type="spellStart"/>
      <w:r w:rsidRPr="00963E81">
        <w:rPr>
          <w:lang w:val="lt-LT"/>
        </w:rPr>
        <w:t>antitrombinas</w:t>
      </w:r>
      <w:proofErr w:type="spellEnd"/>
      <w:r w:rsidRPr="00963E81">
        <w:rPr>
          <w:lang w:val="lt-LT"/>
        </w:rPr>
        <w:t> III</w:t>
      </w:r>
    </w:p>
    <w:p w:rsidR="000E6B4A" w:rsidRPr="00963E81" w:rsidRDefault="000E6B4A" w:rsidP="000E6B4A">
      <w:pPr>
        <w:pStyle w:val="Pagrindinistekstas"/>
        <w:jc w:val="center"/>
        <w:rPr>
          <w:lang w:val="lt-LT"/>
        </w:rPr>
      </w:pPr>
    </w:p>
    <w:p w:rsidR="000E6B4A" w:rsidRPr="000B5584" w:rsidRDefault="000E6B4A" w:rsidP="000E6B4A">
      <w:pPr>
        <w:rPr>
          <w:bCs/>
          <w:i/>
        </w:rPr>
      </w:pPr>
      <w:r w:rsidRPr="00CB6F14">
        <w:rPr>
          <w:b/>
          <w:bCs/>
        </w:rPr>
        <w:t>Atidžiai perskaitykite visą šį lapelį, prieš pradėdami vartoti vaistą, nes jame pateikiama Jums svarbi informacija.</w:t>
      </w:r>
    </w:p>
    <w:p w:rsidR="000E6B4A" w:rsidRPr="00963E81" w:rsidRDefault="000E6B4A" w:rsidP="000E6B4A">
      <w:pPr>
        <w:pStyle w:val="Sraopastraipa"/>
        <w:numPr>
          <w:ilvl w:val="0"/>
          <w:numId w:val="2"/>
        </w:numPr>
        <w:tabs>
          <w:tab w:val="left" w:pos="567"/>
        </w:tabs>
        <w:rPr>
          <w:lang w:val="lt-LT"/>
        </w:rPr>
      </w:pPr>
      <w:r w:rsidRPr="00963E81">
        <w:rPr>
          <w:lang w:val="lt-LT"/>
        </w:rPr>
        <w:t>Neišmeskite šio lapelio, nes vėl gali prireikti jį perskaityti.</w:t>
      </w:r>
    </w:p>
    <w:p w:rsidR="000E6B4A" w:rsidRPr="00963E81" w:rsidRDefault="000E6B4A" w:rsidP="000E6B4A">
      <w:pPr>
        <w:pStyle w:val="Sraopastraipa"/>
        <w:numPr>
          <w:ilvl w:val="0"/>
          <w:numId w:val="2"/>
        </w:numPr>
        <w:tabs>
          <w:tab w:val="left" w:pos="567"/>
        </w:tabs>
        <w:rPr>
          <w:lang w:val="lt-LT"/>
        </w:rPr>
      </w:pPr>
      <w:r w:rsidRPr="00963E81">
        <w:rPr>
          <w:lang w:val="lt-LT"/>
        </w:rPr>
        <w:t>Jeigu kiltų daugiau klausimų, kreipkitės į gydytoją, vaistininką arba slaugytoją.</w:t>
      </w:r>
    </w:p>
    <w:p w:rsidR="000E6B4A" w:rsidRPr="00963E81" w:rsidRDefault="000E6B4A" w:rsidP="000E6B4A">
      <w:pPr>
        <w:pStyle w:val="Sraopastraipa"/>
        <w:numPr>
          <w:ilvl w:val="0"/>
          <w:numId w:val="2"/>
        </w:numPr>
        <w:tabs>
          <w:tab w:val="left" w:pos="567"/>
        </w:tabs>
        <w:rPr>
          <w:lang w:val="lt-LT"/>
        </w:rPr>
      </w:pPr>
      <w:r w:rsidRPr="00963E81">
        <w:rPr>
          <w:lang w:val="lt-LT"/>
        </w:rPr>
        <w:t>Šis vaistas skirtas tik Jums, todėl kitiems žmonėms jo duoti negalima. Vaistas gali jiems pakenkti (net tiems, kurių ligos požymiai yra tokie patys kaip Jūsų).</w:t>
      </w:r>
    </w:p>
    <w:p w:rsidR="000E6B4A" w:rsidRPr="00963E81" w:rsidRDefault="000E6B4A" w:rsidP="000E6B4A">
      <w:pPr>
        <w:pStyle w:val="Sraopastraipa"/>
        <w:numPr>
          <w:ilvl w:val="0"/>
          <w:numId w:val="2"/>
        </w:numPr>
        <w:tabs>
          <w:tab w:val="left" w:pos="567"/>
        </w:tabs>
        <w:rPr>
          <w:lang w:val="lt-LT"/>
        </w:rPr>
      </w:pPr>
      <w:r w:rsidRPr="00963E81">
        <w:rPr>
          <w:lang w:val="lt-LT"/>
        </w:rPr>
        <w:t>Jeigu pasireiškė šalutinis poveikis (net jeigu jis šiame lapelyje nenurodytas), kreipkitės į gydytoją, vaistininką arba slaugytoją. Žr. 4 skyrių.</w:t>
      </w:r>
    </w:p>
    <w:p w:rsidR="000E6B4A" w:rsidRPr="00963E81" w:rsidRDefault="000E6B4A" w:rsidP="000E6B4A">
      <w:pPr>
        <w:pStyle w:val="Pagrindinistekstas"/>
        <w:rPr>
          <w:lang w:val="lt-LT"/>
        </w:rPr>
      </w:pPr>
    </w:p>
    <w:p w:rsidR="000E6B4A" w:rsidRPr="00963E81" w:rsidRDefault="000E6B4A" w:rsidP="000E6B4A">
      <w:pPr>
        <w:rPr>
          <w:rFonts w:eastAsia="Times New Roman"/>
          <w:b/>
          <w:bCs/>
          <w:iCs/>
        </w:rPr>
      </w:pPr>
      <w:r w:rsidRPr="00963E81">
        <w:rPr>
          <w:rFonts w:eastAsia="Times New Roman"/>
          <w:b/>
          <w:bCs/>
          <w:iCs/>
        </w:rPr>
        <w:t>Apie ką rašoma šiame lapelyje</w:t>
      </w:r>
    </w:p>
    <w:p w:rsidR="000E6B4A" w:rsidRPr="00963E81" w:rsidRDefault="000E6B4A" w:rsidP="000E6B4A">
      <w:pPr>
        <w:pStyle w:val="Sraopastraipa"/>
        <w:numPr>
          <w:ilvl w:val="0"/>
          <w:numId w:val="3"/>
        </w:numPr>
        <w:rPr>
          <w:lang w:val="lt-LT"/>
        </w:rPr>
      </w:pPr>
      <w:r w:rsidRPr="00963E81">
        <w:rPr>
          <w:lang w:val="lt-LT"/>
        </w:rPr>
        <w:t xml:space="preserve">Kas yra </w:t>
      </w:r>
      <w:proofErr w:type="spellStart"/>
      <w:r w:rsidRPr="00963E81">
        <w:rPr>
          <w:lang w:val="lt-LT"/>
        </w:rPr>
        <w:t>Atenativ</w:t>
      </w:r>
      <w:proofErr w:type="spellEnd"/>
      <w:r w:rsidRPr="00963E81">
        <w:rPr>
          <w:lang w:val="lt-LT"/>
        </w:rPr>
        <w:t xml:space="preserve"> ir kam jis vartojamas</w:t>
      </w:r>
    </w:p>
    <w:p w:rsidR="000E6B4A" w:rsidRPr="00963E81" w:rsidRDefault="000E6B4A" w:rsidP="000E6B4A">
      <w:pPr>
        <w:pStyle w:val="Sraopastraipa"/>
        <w:numPr>
          <w:ilvl w:val="0"/>
          <w:numId w:val="3"/>
        </w:numPr>
        <w:rPr>
          <w:lang w:val="lt-LT"/>
        </w:rPr>
      </w:pPr>
      <w:r w:rsidRPr="00963E81">
        <w:rPr>
          <w:lang w:val="lt-LT"/>
        </w:rPr>
        <w:t xml:space="preserve">Kas žinotina prieš vartojant </w:t>
      </w:r>
      <w:proofErr w:type="spellStart"/>
      <w:r w:rsidRPr="00963E81">
        <w:rPr>
          <w:lang w:val="lt-LT"/>
        </w:rPr>
        <w:t>Atenativ</w:t>
      </w:r>
      <w:proofErr w:type="spellEnd"/>
    </w:p>
    <w:p w:rsidR="000E6B4A" w:rsidRPr="00963E81" w:rsidRDefault="000E6B4A" w:rsidP="000E6B4A">
      <w:pPr>
        <w:pStyle w:val="Sraopastraipa"/>
        <w:numPr>
          <w:ilvl w:val="0"/>
          <w:numId w:val="3"/>
        </w:numPr>
        <w:rPr>
          <w:lang w:val="lt-LT"/>
        </w:rPr>
      </w:pPr>
      <w:r w:rsidRPr="00963E81">
        <w:rPr>
          <w:lang w:val="lt-LT"/>
        </w:rPr>
        <w:t xml:space="preserve">Kaip vartoti </w:t>
      </w:r>
      <w:proofErr w:type="spellStart"/>
      <w:r w:rsidRPr="00963E81">
        <w:rPr>
          <w:lang w:val="lt-LT"/>
        </w:rPr>
        <w:t>Atenativ</w:t>
      </w:r>
      <w:proofErr w:type="spellEnd"/>
    </w:p>
    <w:p w:rsidR="000E6B4A" w:rsidRPr="00963E81" w:rsidRDefault="000E6B4A" w:rsidP="000E6B4A">
      <w:pPr>
        <w:pStyle w:val="Sraopastraipa"/>
        <w:numPr>
          <w:ilvl w:val="0"/>
          <w:numId w:val="3"/>
        </w:numPr>
        <w:rPr>
          <w:lang w:val="lt-LT"/>
        </w:rPr>
      </w:pPr>
      <w:r w:rsidRPr="00963E81">
        <w:rPr>
          <w:lang w:val="lt-LT"/>
        </w:rPr>
        <w:t>Galimas šalutinis poveikis</w:t>
      </w:r>
    </w:p>
    <w:p w:rsidR="000E6B4A" w:rsidRPr="00963E81" w:rsidRDefault="000E6B4A" w:rsidP="000E6B4A">
      <w:pPr>
        <w:pStyle w:val="Sraopastraipa"/>
        <w:numPr>
          <w:ilvl w:val="0"/>
          <w:numId w:val="3"/>
        </w:numPr>
        <w:rPr>
          <w:lang w:val="lt-LT"/>
        </w:rPr>
      </w:pPr>
      <w:r w:rsidRPr="00963E81">
        <w:rPr>
          <w:lang w:val="lt-LT"/>
        </w:rPr>
        <w:t xml:space="preserve">Kaip laikyti </w:t>
      </w:r>
      <w:proofErr w:type="spellStart"/>
      <w:r w:rsidRPr="00963E81">
        <w:rPr>
          <w:lang w:val="lt-LT"/>
        </w:rPr>
        <w:t>Atenativ</w:t>
      </w:r>
      <w:proofErr w:type="spellEnd"/>
    </w:p>
    <w:p w:rsidR="000E6B4A" w:rsidRPr="00963E81" w:rsidRDefault="000E6B4A" w:rsidP="000E6B4A">
      <w:pPr>
        <w:pStyle w:val="Sraopastraipa"/>
        <w:numPr>
          <w:ilvl w:val="0"/>
          <w:numId w:val="3"/>
        </w:numPr>
        <w:rPr>
          <w:lang w:val="lt-LT"/>
        </w:rPr>
      </w:pPr>
      <w:r w:rsidRPr="00963E81">
        <w:rPr>
          <w:lang w:val="lt-LT"/>
        </w:rPr>
        <w:t>Pakuotės turinys ir kita informacija</w:t>
      </w:r>
    </w:p>
    <w:p w:rsidR="000E6B4A" w:rsidRPr="00963E81" w:rsidRDefault="000E6B4A" w:rsidP="000E6B4A"/>
    <w:p w:rsidR="000E6B4A" w:rsidRPr="00963E81" w:rsidRDefault="000E6B4A" w:rsidP="000E6B4A"/>
    <w:p w:rsidR="000E6B4A" w:rsidRPr="00963E81" w:rsidRDefault="000E6B4A" w:rsidP="000E6B4A">
      <w:pPr>
        <w:pStyle w:val="Antrat1"/>
      </w:pPr>
      <w:r w:rsidRPr="00963E81">
        <w:t>1.</w:t>
      </w:r>
      <w:r w:rsidRPr="00963E81">
        <w:tab/>
        <w:t xml:space="preserve">Kas yra </w:t>
      </w:r>
      <w:proofErr w:type="spellStart"/>
      <w:r w:rsidRPr="00963E81">
        <w:t>Atenativ</w:t>
      </w:r>
      <w:proofErr w:type="spellEnd"/>
      <w:r w:rsidRPr="00963E81">
        <w:t xml:space="preserve"> ir kam jis vartojamas</w:t>
      </w:r>
    </w:p>
    <w:p w:rsidR="000E6B4A" w:rsidRPr="00963E81" w:rsidRDefault="000E6B4A" w:rsidP="000E6B4A">
      <w:pPr>
        <w:numPr>
          <w:ilvl w:val="12"/>
          <w:numId w:val="0"/>
        </w:numPr>
      </w:pPr>
    </w:p>
    <w:p w:rsidR="000E6B4A" w:rsidRPr="00963E81" w:rsidRDefault="000E6B4A" w:rsidP="000E6B4A">
      <w:pPr>
        <w:pStyle w:val="Pagrindinistekstas"/>
        <w:rPr>
          <w:lang w:val="lt-LT"/>
        </w:rPr>
      </w:pPr>
      <w:proofErr w:type="spellStart"/>
      <w:r w:rsidRPr="00963E81">
        <w:rPr>
          <w:lang w:val="lt-LT"/>
        </w:rPr>
        <w:t>Atenativ</w:t>
      </w:r>
      <w:proofErr w:type="spellEnd"/>
      <w:r w:rsidRPr="00963E81">
        <w:rPr>
          <w:lang w:val="lt-LT"/>
        </w:rPr>
        <w:t xml:space="preserve"> yra vadinamasis </w:t>
      </w:r>
      <w:proofErr w:type="spellStart"/>
      <w:r w:rsidRPr="00963E81">
        <w:rPr>
          <w:lang w:val="lt-LT"/>
        </w:rPr>
        <w:t>antitrombozinis</w:t>
      </w:r>
      <w:proofErr w:type="spellEnd"/>
      <w:r w:rsidRPr="00963E81">
        <w:rPr>
          <w:lang w:val="lt-LT"/>
        </w:rPr>
        <w:t xml:space="preserve"> (kraują skystinantis) vaistas, kurio sudėtyje yra iš žmogaus plazmos išskirto </w:t>
      </w:r>
      <w:proofErr w:type="spellStart"/>
      <w:r w:rsidRPr="00963E81">
        <w:rPr>
          <w:lang w:val="lt-LT"/>
        </w:rPr>
        <w:t>antitrombino</w:t>
      </w:r>
      <w:proofErr w:type="spellEnd"/>
      <w:r w:rsidRPr="00963E81">
        <w:rPr>
          <w:lang w:val="lt-LT"/>
        </w:rPr>
        <w:t xml:space="preserve">. </w:t>
      </w:r>
      <w:proofErr w:type="spellStart"/>
      <w:r w:rsidRPr="00963E81">
        <w:rPr>
          <w:lang w:val="lt-LT"/>
        </w:rPr>
        <w:t>Antitrombinas</w:t>
      </w:r>
      <w:proofErr w:type="spellEnd"/>
      <w:r w:rsidRPr="00963E81">
        <w:rPr>
          <w:lang w:val="lt-LT"/>
        </w:rPr>
        <w:t xml:space="preserve"> – tai įprastinė žmogaus plazmos sudedamoji dalis ir svarbus kraujo krešėjimo slopintojas. </w:t>
      </w:r>
    </w:p>
    <w:p w:rsidR="000E6B4A" w:rsidRPr="00963E81" w:rsidRDefault="000E6B4A" w:rsidP="000E6B4A">
      <w:pPr>
        <w:pStyle w:val="Pagrindinistekstas"/>
        <w:rPr>
          <w:lang w:val="lt-LT"/>
        </w:rPr>
      </w:pPr>
      <w:proofErr w:type="spellStart"/>
      <w:r w:rsidRPr="00963E81">
        <w:rPr>
          <w:lang w:val="lt-LT"/>
        </w:rPr>
        <w:t>Atenativ</w:t>
      </w:r>
      <w:proofErr w:type="spellEnd"/>
      <w:r w:rsidRPr="00963E81">
        <w:rPr>
          <w:lang w:val="lt-LT"/>
        </w:rPr>
        <w:t xml:space="preserve"> vartojamas suaugusiųjų gydymui, kuriems yra įgimta </w:t>
      </w:r>
      <w:proofErr w:type="spellStart"/>
      <w:r w:rsidRPr="00963E81">
        <w:rPr>
          <w:lang w:val="lt-LT"/>
        </w:rPr>
        <w:t>antitrombino</w:t>
      </w:r>
      <w:proofErr w:type="spellEnd"/>
      <w:r w:rsidRPr="00963E81">
        <w:rPr>
          <w:lang w:val="lt-LT"/>
        </w:rPr>
        <w:t xml:space="preserve"> stoka, ypač siekiant išvengti kraujo krešulių susidarymo ir išsivystymo giliosiose venose bei embolijos klinikinės rizikos situacijose (pavyzdžiui, operacijų ar gimdymo metu). </w:t>
      </w:r>
      <w:proofErr w:type="spellStart"/>
      <w:r w:rsidRPr="00CB6F14">
        <w:rPr>
          <w:rFonts w:eastAsia="Times New Roman"/>
          <w:szCs w:val="20"/>
          <w:lang w:val="lt-LT"/>
        </w:rPr>
        <w:t>Atenativ</w:t>
      </w:r>
      <w:proofErr w:type="spellEnd"/>
      <w:r w:rsidRPr="00CB6F14">
        <w:rPr>
          <w:rFonts w:eastAsia="Times New Roman"/>
          <w:szCs w:val="20"/>
          <w:lang w:val="lt-LT"/>
        </w:rPr>
        <w:t xml:space="preserve"> taip pat vartojamas įgytos </w:t>
      </w:r>
      <w:proofErr w:type="spellStart"/>
      <w:r w:rsidRPr="00CB6F14">
        <w:rPr>
          <w:rFonts w:eastAsia="Times New Roman"/>
          <w:szCs w:val="20"/>
          <w:lang w:val="lt-LT"/>
        </w:rPr>
        <w:t>antitrombino</w:t>
      </w:r>
      <w:proofErr w:type="spellEnd"/>
      <w:r w:rsidRPr="00CB6F14">
        <w:rPr>
          <w:rFonts w:eastAsia="Times New Roman"/>
          <w:szCs w:val="20"/>
          <w:lang w:val="lt-LT"/>
        </w:rPr>
        <w:t xml:space="preserve"> stokos gydymui.</w:t>
      </w:r>
    </w:p>
    <w:p w:rsidR="000E6B4A" w:rsidRPr="00963E81" w:rsidRDefault="000E6B4A" w:rsidP="000E6B4A"/>
    <w:p w:rsidR="000E6B4A" w:rsidRPr="00963E81" w:rsidRDefault="000E6B4A" w:rsidP="000E6B4A"/>
    <w:p w:rsidR="000E6B4A" w:rsidRPr="00963E81" w:rsidRDefault="000E6B4A" w:rsidP="000E6B4A">
      <w:pPr>
        <w:pStyle w:val="Antrat1"/>
      </w:pPr>
      <w:r w:rsidRPr="00963E81">
        <w:t>2.</w:t>
      </w:r>
      <w:r w:rsidRPr="00963E81">
        <w:tab/>
        <w:t xml:space="preserve">Kas žinotina prieš vartojant </w:t>
      </w:r>
      <w:proofErr w:type="spellStart"/>
      <w:r w:rsidRPr="00963E81">
        <w:t>Atenativ</w:t>
      </w:r>
      <w:proofErr w:type="spellEnd"/>
    </w:p>
    <w:p w:rsidR="000E6B4A" w:rsidRPr="00963E81" w:rsidRDefault="000E6B4A" w:rsidP="000E6B4A">
      <w:pPr>
        <w:pStyle w:val="Antrat2"/>
      </w:pPr>
    </w:p>
    <w:p w:rsidR="000E6B4A" w:rsidRPr="00963E81" w:rsidRDefault="000E6B4A" w:rsidP="000E6B4A">
      <w:pPr>
        <w:pStyle w:val="Antrat2"/>
        <w:rPr>
          <w:i/>
        </w:rPr>
      </w:pPr>
      <w:proofErr w:type="spellStart"/>
      <w:r w:rsidRPr="00963E81">
        <w:t>Atenativ</w:t>
      </w:r>
      <w:proofErr w:type="spellEnd"/>
      <w:r w:rsidRPr="00963E81">
        <w:t xml:space="preserve"> vartoti negalima</w:t>
      </w:r>
    </w:p>
    <w:p w:rsidR="000E6B4A" w:rsidRPr="00963E81" w:rsidRDefault="000E6B4A" w:rsidP="000E6B4A">
      <w:pPr>
        <w:pStyle w:val="Sraopastraipa"/>
        <w:numPr>
          <w:ilvl w:val="0"/>
          <w:numId w:val="1"/>
        </w:numPr>
        <w:tabs>
          <w:tab w:val="left" w:pos="541"/>
        </w:tabs>
        <w:ind w:left="567" w:hanging="567"/>
        <w:rPr>
          <w:lang w:val="lt-LT"/>
        </w:rPr>
      </w:pPr>
      <w:r w:rsidRPr="00963E81">
        <w:rPr>
          <w:lang w:val="lt-LT"/>
        </w:rPr>
        <w:t xml:space="preserve">jeigu yra alergija  žmogaus </w:t>
      </w:r>
      <w:proofErr w:type="spellStart"/>
      <w:r w:rsidRPr="00963E81">
        <w:rPr>
          <w:lang w:val="lt-LT"/>
        </w:rPr>
        <w:t>antitrombinui</w:t>
      </w:r>
      <w:proofErr w:type="spellEnd"/>
      <w:r w:rsidRPr="00963E81" w:rsidDel="00777D42">
        <w:rPr>
          <w:lang w:val="lt-LT"/>
        </w:rPr>
        <w:t xml:space="preserve"> </w:t>
      </w:r>
      <w:r w:rsidRPr="00963E81">
        <w:rPr>
          <w:lang w:val="lt-LT"/>
        </w:rPr>
        <w:t>arba bet kuriai pagalbinei šio vaisto medžiagai (jos išvardytos 6 skyriuje).</w:t>
      </w:r>
    </w:p>
    <w:p w:rsidR="000E6B4A" w:rsidRPr="00963E81" w:rsidRDefault="000E6B4A" w:rsidP="000E6B4A"/>
    <w:p w:rsidR="000E6B4A" w:rsidRPr="00963E81" w:rsidRDefault="000E6B4A" w:rsidP="000E6B4A">
      <w:pPr>
        <w:pStyle w:val="Antrat2"/>
        <w:rPr>
          <w:i/>
        </w:rPr>
      </w:pPr>
      <w:r w:rsidRPr="00963E81">
        <w:t>Įspėjimai ir atsargumo priemonės</w:t>
      </w:r>
    </w:p>
    <w:p w:rsidR="000E6B4A" w:rsidRPr="00963E81" w:rsidRDefault="000E6B4A" w:rsidP="000E6B4A">
      <w:pPr>
        <w:pStyle w:val="Pagrindinistekstas"/>
        <w:rPr>
          <w:lang w:val="lt-LT"/>
        </w:rPr>
      </w:pPr>
      <w:r w:rsidRPr="00963E81">
        <w:rPr>
          <w:lang w:val="lt-LT"/>
        </w:rPr>
        <w:t>Pasitarkite su gydytoju, jei sergate kokiomis nors kitomis ligomis.</w:t>
      </w:r>
    </w:p>
    <w:p w:rsidR="000E6B4A" w:rsidRPr="00963E81" w:rsidRDefault="000E6B4A" w:rsidP="000E6B4A">
      <w:pPr>
        <w:pStyle w:val="Pagrindinistekstas"/>
        <w:rPr>
          <w:lang w:val="lt-LT"/>
        </w:rPr>
      </w:pPr>
      <w:r w:rsidRPr="00963E81">
        <w:rPr>
          <w:lang w:val="lt-LT"/>
        </w:rPr>
        <w:t xml:space="preserve">Pasitarkite su gydytoju, prieš pradėdami vartoti </w:t>
      </w:r>
      <w:proofErr w:type="spellStart"/>
      <w:r w:rsidRPr="00963E81">
        <w:rPr>
          <w:lang w:val="lt-LT"/>
        </w:rPr>
        <w:t>Atenativ</w:t>
      </w:r>
      <w:proofErr w:type="spellEnd"/>
      <w:r w:rsidRPr="00963E81">
        <w:rPr>
          <w:lang w:val="lt-LT"/>
        </w:rPr>
        <w:t>.</w:t>
      </w:r>
    </w:p>
    <w:p w:rsidR="000E6B4A" w:rsidRPr="00963E81" w:rsidRDefault="000E6B4A" w:rsidP="000E6B4A"/>
    <w:p w:rsidR="000E6B4A" w:rsidRPr="00963E81" w:rsidRDefault="000E6B4A" w:rsidP="000E6B4A">
      <w:pPr>
        <w:pStyle w:val="Antrat2"/>
        <w:rPr>
          <w:i/>
        </w:rPr>
      </w:pPr>
      <w:r w:rsidRPr="00963E81">
        <w:t>Apsauga nuo virusų</w:t>
      </w:r>
    </w:p>
    <w:p w:rsidR="000E6B4A" w:rsidRPr="00963E81" w:rsidRDefault="000E6B4A" w:rsidP="000E6B4A">
      <w:pPr>
        <w:pStyle w:val="Pagrindinistekstas"/>
        <w:rPr>
          <w:lang w:val="lt-LT"/>
        </w:rPr>
      </w:pPr>
      <w:r w:rsidRPr="00963E81">
        <w:rPr>
          <w:lang w:val="lt-LT"/>
        </w:rPr>
        <w:t>Kai vaistai gaminami iš žmogaus kraujo arba plazmos, imamasi tam tikrų priemonių, kad infekcinės ligos nebūtų perduotos pacientams. Šios priemonės yra: kruopšti kraujo ir plazmos donorų atranka atmetant tuos, kurie gali būti infekcinių ligų nešiotojai, kiekvienas plazmos mėginys ir rinkinys patikrinamas, ar nėra virusų ir (arba) infekcinių ligų požymių; į kraujo arba plazmos apdorojimo procesą įtraukiami veiksmai, kuriais virusai nukenksminami arba pašalinami. Nepaisant to, kai gydoma vaistais, pagamintais iš žmogaus kraujo ar plazmos, infekcinės ligos perdavimo galimybės negalima visiškai atmesti. Tai pasakytina ir apie bet kokius nežinomus arba naujai atsirandančius virusus ir kitokius infekcijos sukėlėjus.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Taikomos priemonės laikomos veiksmingomis prieš tokius apvalkalą turinčius virusus kaip žmogaus imunodeficito virusas (ŽIV), hepatito B virusas ir hepatito C virusas, bei apvalkalo neturintį hepatito A virusą. Prieš virusus be apvalkalo, pvz., </w:t>
      </w:r>
      <w:proofErr w:type="spellStart"/>
      <w:r w:rsidRPr="00963E81">
        <w:rPr>
          <w:lang w:val="lt-LT"/>
        </w:rPr>
        <w:t>parvovirusą</w:t>
      </w:r>
      <w:proofErr w:type="spellEnd"/>
      <w:r w:rsidRPr="00963E81">
        <w:rPr>
          <w:lang w:val="lt-LT"/>
        </w:rPr>
        <w:t xml:space="preserve"> B19, naudojamos priemonės gali būti </w:t>
      </w:r>
      <w:r w:rsidRPr="00963E81">
        <w:rPr>
          <w:lang w:val="lt-LT"/>
        </w:rPr>
        <w:lastRenderedPageBreak/>
        <w:t xml:space="preserve">nepakankamai veiksmingos. </w:t>
      </w:r>
      <w:proofErr w:type="spellStart"/>
      <w:r w:rsidRPr="00963E81">
        <w:rPr>
          <w:lang w:val="lt-LT"/>
        </w:rPr>
        <w:t>Parvoviruso</w:t>
      </w:r>
      <w:proofErr w:type="spellEnd"/>
      <w:r w:rsidRPr="00963E81">
        <w:rPr>
          <w:lang w:val="lt-LT"/>
        </w:rPr>
        <w:t xml:space="preserve"> B19 infekcija gali būti pavojinga nėščiosioms (vaisiaus infekcija) ir asmenims, kurių imuninė sistema yra nusilpusi arba kurie serga tam tikrų formų mažakraujyste (pvz., </w:t>
      </w:r>
      <w:proofErr w:type="spellStart"/>
      <w:r w:rsidRPr="00963E81">
        <w:rPr>
          <w:lang w:val="lt-LT"/>
        </w:rPr>
        <w:t>pjautuvine</w:t>
      </w:r>
      <w:proofErr w:type="spellEnd"/>
      <w:r w:rsidRPr="00963E81">
        <w:rPr>
          <w:lang w:val="lt-LT"/>
        </w:rPr>
        <w:t xml:space="preserve"> ar hemolizine anemija).</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Labai rekomenduojama kiekvieną kartą, kai Jums paskiriamas </w:t>
      </w:r>
      <w:proofErr w:type="spellStart"/>
      <w:r w:rsidRPr="00963E81">
        <w:rPr>
          <w:lang w:val="lt-LT"/>
        </w:rPr>
        <w:t>Atenativ</w:t>
      </w:r>
      <w:proofErr w:type="spellEnd"/>
      <w:r w:rsidRPr="00963E81">
        <w:rPr>
          <w:lang w:val="lt-LT"/>
        </w:rPr>
        <w:t>, užsirašyti vaisto pavadinimą ir serijos numerį, kad būtų išsaugota informacija apie suvartoto vaisto serijas.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Gydytojas gali rekomenduoti Jums pasiskiepyti nuo hepatito A ir B, jeigu esate nuolat ar pakartotinai gydomi iš žmogaus plazmos pagaminto </w:t>
      </w:r>
      <w:proofErr w:type="spellStart"/>
      <w:r w:rsidRPr="00963E81">
        <w:rPr>
          <w:lang w:val="lt-LT"/>
        </w:rPr>
        <w:t>antitrombino</w:t>
      </w:r>
      <w:proofErr w:type="spellEnd"/>
      <w:r w:rsidRPr="00963E81">
        <w:rPr>
          <w:lang w:val="lt-LT"/>
        </w:rPr>
        <w:t xml:space="preserve"> preparatais.</w:t>
      </w:r>
    </w:p>
    <w:p w:rsidR="000E6B4A" w:rsidRPr="00963E81" w:rsidRDefault="000E6B4A" w:rsidP="000E6B4A">
      <w:pPr>
        <w:pStyle w:val="Pagrindinistekstas"/>
        <w:rPr>
          <w:lang w:val="lt-LT"/>
        </w:rPr>
      </w:pPr>
    </w:p>
    <w:p w:rsidR="000E6B4A" w:rsidRPr="00963E81" w:rsidRDefault="000E6B4A" w:rsidP="000E6B4A">
      <w:pPr>
        <w:pStyle w:val="Pagrindinistekstas"/>
        <w:rPr>
          <w:b/>
          <w:lang w:val="lt-LT" w:eastAsia="en-GB"/>
        </w:rPr>
      </w:pPr>
      <w:r w:rsidRPr="00963E81">
        <w:rPr>
          <w:b/>
          <w:lang w:val="lt-LT" w:eastAsia="en-GB"/>
        </w:rPr>
        <w:t>Vaikams ir paaugliams</w:t>
      </w:r>
    </w:p>
    <w:p w:rsidR="000E6B4A" w:rsidRPr="00963E81" w:rsidRDefault="000E6B4A" w:rsidP="000E6B4A">
      <w:pPr>
        <w:pStyle w:val="Pagrindinistekstas"/>
        <w:rPr>
          <w:lang w:val="lt-LT"/>
        </w:rPr>
      </w:pPr>
      <w:r w:rsidRPr="00963E81">
        <w:rPr>
          <w:lang w:val="lt-LT"/>
        </w:rPr>
        <w:t xml:space="preserve">Duomenų apie </w:t>
      </w:r>
      <w:proofErr w:type="spellStart"/>
      <w:r w:rsidRPr="00963E81">
        <w:rPr>
          <w:lang w:val="lt-LT"/>
        </w:rPr>
        <w:t>Atenativ</w:t>
      </w:r>
      <w:proofErr w:type="spellEnd"/>
      <w:r w:rsidRPr="00963E81">
        <w:rPr>
          <w:lang w:val="lt-LT"/>
        </w:rPr>
        <w:t xml:space="preserve"> vartojimą vaikams nėra.</w:t>
      </w:r>
    </w:p>
    <w:p w:rsidR="000E6B4A" w:rsidRPr="00963E81" w:rsidRDefault="000E6B4A" w:rsidP="000E6B4A">
      <w:pPr>
        <w:pStyle w:val="Pagrindinistekstas"/>
        <w:rPr>
          <w:lang w:val="lt-LT"/>
        </w:rPr>
      </w:pPr>
    </w:p>
    <w:p w:rsidR="000E6B4A" w:rsidRPr="00963E81" w:rsidRDefault="000E6B4A" w:rsidP="000E6B4A">
      <w:pPr>
        <w:pStyle w:val="Antrat2"/>
        <w:rPr>
          <w:i/>
        </w:rPr>
      </w:pPr>
      <w:r w:rsidRPr="00963E81">
        <w:t xml:space="preserve">Kiti vaistai ir </w:t>
      </w:r>
      <w:proofErr w:type="spellStart"/>
      <w:r w:rsidRPr="00963E81">
        <w:t>Atenativ</w:t>
      </w:r>
      <w:proofErr w:type="spellEnd"/>
    </w:p>
    <w:p w:rsidR="000E6B4A" w:rsidRPr="00963E81" w:rsidRDefault="000E6B4A" w:rsidP="000E6B4A">
      <w:pPr>
        <w:pStyle w:val="Pagrindinistekstas"/>
        <w:ind w:hanging="1"/>
        <w:rPr>
          <w:lang w:val="lt-LT"/>
        </w:rPr>
      </w:pPr>
      <w:r w:rsidRPr="00963E81">
        <w:rPr>
          <w:lang w:val="lt-LT"/>
        </w:rPr>
        <w:t>Jeigu vartojate ar neseniai vartojote kitų vaistų arba dėl to nesate tikri, apie tai pasakykite gydytojui arba vaistininkui.</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Gydant </w:t>
      </w:r>
      <w:proofErr w:type="spellStart"/>
      <w:r w:rsidRPr="00963E81">
        <w:rPr>
          <w:lang w:val="lt-LT"/>
        </w:rPr>
        <w:t>Atenativ</w:t>
      </w:r>
      <w:proofErr w:type="spellEnd"/>
      <w:r w:rsidRPr="00963E81">
        <w:rPr>
          <w:lang w:val="lt-LT"/>
        </w:rPr>
        <w:t>, heparino krešėjimą slopinantis poveikis gali sustiprėti, todėl gali padidėti kraujavimo rizika. Jeigu Jums kyla didesnė kraujavimo rizika, būtina labai atidžiai apsvarstyti šio vaisto vartojimą kartu su heparinu. Jei gydytojas nuspręs Jums skirti heparino, būsite labai atidžiai stebimi atliekant laboratorinius tyrimus.</w:t>
      </w:r>
    </w:p>
    <w:p w:rsidR="000E6B4A" w:rsidRPr="00963E81" w:rsidRDefault="000E6B4A" w:rsidP="000E6B4A">
      <w:pPr>
        <w:pStyle w:val="Pagrindinistekstas"/>
        <w:rPr>
          <w:lang w:val="lt-LT"/>
        </w:rPr>
      </w:pPr>
    </w:p>
    <w:p w:rsidR="000E6B4A" w:rsidRPr="00963E81" w:rsidRDefault="000E6B4A" w:rsidP="000E6B4A">
      <w:pPr>
        <w:pStyle w:val="Antrat2"/>
        <w:rPr>
          <w:i/>
        </w:rPr>
      </w:pPr>
      <w:proofErr w:type="spellStart"/>
      <w:r w:rsidRPr="00963E81">
        <w:t>Atenativ</w:t>
      </w:r>
      <w:proofErr w:type="spellEnd"/>
      <w:r w:rsidRPr="00963E81">
        <w:t xml:space="preserve"> vartojimas su maistu ir gėrimais</w:t>
      </w:r>
    </w:p>
    <w:p w:rsidR="000E6B4A" w:rsidRPr="00963E81" w:rsidRDefault="000E6B4A" w:rsidP="000E6B4A">
      <w:pPr>
        <w:pStyle w:val="Pagrindinistekstas"/>
        <w:rPr>
          <w:lang w:val="lt-LT"/>
        </w:rPr>
      </w:pPr>
      <w:r w:rsidRPr="00963E81">
        <w:rPr>
          <w:lang w:val="lt-LT"/>
        </w:rPr>
        <w:t>Poveikio nepastebėta.</w:t>
      </w:r>
    </w:p>
    <w:p w:rsidR="000E6B4A" w:rsidRPr="00963E81" w:rsidRDefault="000E6B4A" w:rsidP="000E6B4A">
      <w:pPr>
        <w:pStyle w:val="Pagrindinistekstas"/>
        <w:rPr>
          <w:lang w:val="lt-LT"/>
        </w:rPr>
      </w:pPr>
    </w:p>
    <w:p w:rsidR="000E6B4A" w:rsidRPr="00963E81" w:rsidRDefault="000E6B4A" w:rsidP="000E6B4A">
      <w:pPr>
        <w:pStyle w:val="Antrat2"/>
        <w:rPr>
          <w:i/>
        </w:rPr>
      </w:pPr>
      <w:r w:rsidRPr="00963E81">
        <w:t>Nėštumas ir žindymo laikotarpis</w:t>
      </w:r>
    </w:p>
    <w:p w:rsidR="000E6B4A" w:rsidRPr="00963E81" w:rsidRDefault="000E6B4A" w:rsidP="000E6B4A">
      <w:pPr>
        <w:pStyle w:val="Pagrindinistekstas"/>
        <w:rPr>
          <w:lang w:val="lt-LT"/>
        </w:rPr>
      </w:pPr>
      <w:r w:rsidRPr="00963E81">
        <w:rPr>
          <w:lang w:val="lt-LT"/>
        </w:rPr>
        <w:t>Jeigu esate nėščia, žindote kūdikį, manote, kad galbūt esate nėščia arba planuojate pastoti, tai prieš vartodama šį vaistą pasitarkite su gydytoju arba vaistininku.</w:t>
      </w:r>
    </w:p>
    <w:p w:rsidR="000E6B4A" w:rsidRPr="00963E81" w:rsidRDefault="000E6B4A" w:rsidP="000E6B4A">
      <w:pPr>
        <w:pStyle w:val="Pagrindinistekstas"/>
        <w:rPr>
          <w:lang w:val="lt-LT"/>
        </w:rPr>
      </w:pPr>
      <w:r w:rsidRPr="00963E81">
        <w:rPr>
          <w:lang w:val="lt-LT"/>
        </w:rPr>
        <w:t xml:space="preserve">Informacijos apie </w:t>
      </w:r>
      <w:proofErr w:type="spellStart"/>
      <w:r w:rsidRPr="00963E81">
        <w:rPr>
          <w:lang w:val="lt-LT"/>
        </w:rPr>
        <w:t>Atenativ</w:t>
      </w:r>
      <w:proofErr w:type="spellEnd"/>
      <w:r w:rsidRPr="00963E81">
        <w:rPr>
          <w:lang w:val="lt-LT"/>
        </w:rPr>
        <w:t xml:space="preserve"> vartojimo nėštumo ir žindymo laikotarpiu saugumą labai nedaug. Dėl padidėjusio </w:t>
      </w:r>
      <w:proofErr w:type="spellStart"/>
      <w:r w:rsidRPr="00963E81">
        <w:rPr>
          <w:lang w:val="lt-LT"/>
        </w:rPr>
        <w:t>tromboembolijos</w:t>
      </w:r>
      <w:proofErr w:type="spellEnd"/>
      <w:r w:rsidRPr="00963E81">
        <w:rPr>
          <w:lang w:val="lt-LT"/>
        </w:rPr>
        <w:t xml:space="preserve"> pavojaus pacientėms, kurioms yra įgimta </w:t>
      </w:r>
      <w:proofErr w:type="spellStart"/>
      <w:r w:rsidRPr="00963E81">
        <w:rPr>
          <w:lang w:val="lt-LT"/>
        </w:rPr>
        <w:t>antitrombino</w:t>
      </w:r>
      <w:proofErr w:type="spellEnd"/>
      <w:r w:rsidRPr="00963E81">
        <w:rPr>
          <w:lang w:val="lt-LT"/>
        </w:rPr>
        <w:t xml:space="preserve"> stoka, </w:t>
      </w:r>
      <w:proofErr w:type="spellStart"/>
      <w:r w:rsidRPr="00963E81">
        <w:rPr>
          <w:lang w:val="lt-LT"/>
        </w:rPr>
        <w:t>Atenativ</w:t>
      </w:r>
      <w:proofErr w:type="spellEnd"/>
      <w:r w:rsidRPr="00963E81">
        <w:rPr>
          <w:lang w:val="lt-LT"/>
        </w:rPr>
        <w:t xml:space="preserve"> nėštumo ir žindymo laikotarpiu turi būti vartojamas tik neabejotinai būtinu atveju.</w:t>
      </w:r>
    </w:p>
    <w:p w:rsidR="000E6B4A" w:rsidRPr="00963E81" w:rsidRDefault="000E6B4A" w:rsidP="000E6B4A">
      <w:pPr>
        <w:pStyle w:val="Pagrindinistekstas"/>
        <w:rPr>
          <w:lang w:val="lt-LT"/>
        </w:rPr>
      </w:pPr>
    </w:p>
    <w:p w:rsidR="000E6B4A" w:rsidRPr="00963E81" w:rsidRDefault="000E6B4A" w:rsidP="000E6B4A">
      <w:pPr>
        <w:pStyle w:val="Antrat2"/>
        <w:rPr>
          <w:i/>
        </w:rPr>
      </w:pPr>
      <w:r w:rsidRPr="00963E81">
        <w:t>Vairavimas ir mechanizmų valdymas</w:t>
      </w:r>
    </w:p>
    <w:p w:rsidR="000E6B4A" w:rsidRPr="00963E81" w:rsidRDefault="000E6B4A" w:rsidP="000E6B4A">
      <w:pPr>
        <w:pStyle w:val="Pagrindinistekstas"/>
        <w:rPr>
          <w:lang w:val="lt-LT"/>
        </w:rPr>
      </w:pPr>
      <w:r w:rsidRPr="00963E81">
        <w:rPr>
          <w:lang w:val="lt-LT"/>
        </w:rPr>
        <w:t>Poveikio gebėjimui vairuoti ar valdyti mechanizmus nenustatyta. Turite nuspręsti patys, ar gerai jaučiatės ir galite vairuoti motorinę transporto priemonę, taip pat ar galite užduotis, kurioms būtina labiau susikaupti.</w:t>
      </w:r>
    </w:p>
    <w:p w:rsidR="000E6B4A" w:rsidRPr="00963E81" w:rsidRDefault="000E6B4A" w:rsidP="000E6B4A">
      <w:pPr>
        <w:pStyle w:val="Pagrindinistekstas"/>
        <w:rPr>
          <w:lang w:val="lt-LT"/>
        </w:rPr>
      </w:pPr>
    </w:p>
    <w:p w:rsidR="000E6B4A" w:rsidRPr="00963E81" w:rsidRDefault="000E6B4A" w:rsidP="000E6B4A">
      <w:pPr>
        <w:pStyle w:val="Antrat2"/>
        <w:rPr>
          <w:i/>
        </w:rPr>
      </w:pPr>
      <w:proofErr w:type="spellStart"/>
      <w:r w:rsidRPr="00963E81">
        <w:t>Atenativ</w:t>
      </w:r>
      <w:proofErr w:type="spellEnd"/>
      <w:r w:rsidRPr="00963E81">
        <w:t xml:space="preserve"> sudėtyje yra natrio</w:t>
      </w:r>
    </w:p>
    <w:p w:rsidR="000E6B4A" w:rsidRPr="00CB6F14" w:rsidRDefault="000E6B4A" w:rsidP="000E6B4A">
      <w:pPr>
        <w:rPr>
          <w:rFonts w:asciiTheme="majorBidi" w:hAnsiTheme="majorBidi" w:cstheme="majorBidi"/>
        </w:rPr>
      </w:pPr>
      <w:r w:rsidRPr="00CB6F14">
        <w:rPr>
          <w:rStyle w:val="tlid-translation"/>
          <w:rFonts w:asciiTheme="majorBidi" w:hAnsiTheme="majorBidi" w:cstheme="majorBidi"/>
        </w:rPr>
        <w:t xml:space="preserve">Kiekviename </w:t>
      </w:r>
      <w:r w:rsidRPr="00CB6F14">
        <w:rPr>
          <w:rStyle w:val="tlid-translation"/>
          <w:rFonts w:asciiTheme="majorBidi" w:hAnsiTheme="majorBidi" w:cstheme="majorBidi"/>
          <w:lang w:eastAsia="en-US"/>
        </w:rPr>
        <w:t>šio vaisto flakone</w:t>
      </w:r>
      <w:r w:rsidRPr="00CB6F14">
        <w:rPr>
          <w:rStyle w:val="tlid-translation"/>
          <w:rFonts w:asciiTheme="majorBidi" w:hAnsiTheme="majorBidi" w:cstheme="majorBidi"/>
        </w:rPr>
        <w:t xml:space="preserve"> yra 3</w:t>
      </w:r>
      <w:r>
        <w:rPr>
          <w:rStyle w:val="tlid-translation"/>
          <w:rFonts w:asciiTheme="majorBidi" w:hAnsiTheme="majorBidi" w:cstheme="majorBidi"/>
        </w:rPr>
        <w:t>5</w:t>
      </w:r>
      <w:r w:rsidRPr="00CB6F14">
        <w:rPr>
          <w:rStyle w:val="tlid-translation"/>
          <w:rFonts w:asciiTheme="majorBidi" w:hAnsiTheme="majorBidi" w:cstheme="majorBidi"/>
        </w:rPr>
        <w:t xml:space="preserve"> mg (</w:t>
      </w:r>
      <w:proofErr w:type="spellStart"/>
      <w:r w:rsidRPr="00CB6F14">
        <w:rPr>
          <w:rStyle w:val="tlid-translation"/>
          <w:rFonts w:asciiTheme="majorBidi" w:hAnsiTheme="majorBidi" w:cstheme="majorBidi"/>
        </w:rPr>
        <w:t>Atenativ</w:t>
      </w:r>
      <w:proofErr w:type="spellEnd"/>
      <w:r w:rsidRPr="00CB6F14">
        <w:rPr>
          <w:rStyle w:val="tlid-translation"/>
          <w:rFonts w:asciiTheme="majorBidi" w:hAnsiTheme="majorBidi" w:cstheme="majorBidi"/>
        </w:rPr>
        <w:t xml:space="preserve"> 500</w:t>
      </w:r>
      <w:r w:rsidRPr="00CB6F14">
        <w:rPr>
          <w:rStyle w:val="tlid-translation"/>
          <w:rFonts w:asciiTheme="majorBidi" w:hAnsiTheme="majorBidi" w:cstheme="majorBidi"/>
          <w:lang w:eastAsia="en-US"/>
        </w:rPr>
        <w:t> TV</w:t>
      </w:r>
      <w:r w:rsidRPr="00CB6F14">
        <w:rPr>
          <w:rStyle w:val="tlid-translation"/>
          <w:rFonts w:asciiTheme="majorBidi" w:hAnsiTheme="majorBidi" w:cstheme="majorBidi"/>
        </w:rPr>
        <w:t>) arba 7</w:t>
      </w:r>
      <w:r>
        <w:rPr>
          <w:rStyle w:val="tlid-translation"/>
          <w:rFonts w:asciiTheme="majorBidi" w:hAnsiTheme="majorBidi" w:cstheme="majorBidi"/>
        </w:rPr>
        <w:t>1</w:t>
      </w:r>
      <w:r w:rsidRPr="00CB6F14">
        <w:rPr>
          <w:rStyle w:val="tlid-translation"/>
          <w:rFonts w:asciiTheme="majorBidi" w:hAnsiTheme="majorBidi" w:cstheme="majorBidi"/>
        </w:rPr>
        <w:t xml:space="preserve"> mg (</w:t>
      </w:r>
      <w:proofErr w:type="spellStart"/>
      <w:r w:rsidRPr="00CB6F14">
        <w:rPr>
          <w:rStyle w:val="tlid-translation"/>
          <w:rFonts w:asciiTheme="majorBidi" w:hAnsiTheme="majorBidi" w:cstheme="majorBidi"/>
        </w:rPr>
        <w:t>Atenativ</w:t>
      </w:r>
      <w:proofErr w:type="spellEnd"/>
      <w:r w:rsidRPr="00CB6F14">
        <w:rPr>
          <w:rStyle w:val="tlid-translation"/>
          <w:rFonts w:asciiTheme="majorBidi" w:hAnsiTheme="majorBidi" w:cstheme="majorBidi"/>
        </w:rPr>
        <w:t xml:space="preserve"> 1000</w:t>
      </w:r>
      <w:r w:rsidRPr="00CB6F14">
        <w:rPr>
          <w:rStyle w:val="tlid-translation"/>
          <w:rFonts w:asciiTheme="majorBidi" w:hAnsiTheme="majorBidi" w:cstheme="majorBidi"/>
          <w:lang w:eastAsia="en-US"/>
        </w:rPr>
        <w:t> TV</w:t>
      </w:r>
      <w:r w:rsidRPr="00CB6F14">
        <w:rPr>
          <w:rStyle w:val="tlid-translation"/>
          <w:rFonts w:asciiTheme="majorBidi" w:hAnsiTheme="majorBidi" w:cstheme="majorBidi"/>
        </w:rPr>
        <w:t>) natrio (</w:t>
      </w:r>
      <w:r w:rsidRPr="00CB6F14">
        <w:rPr>
          <w:rStyle w:val="tlid-translation"/>
          <w:rFonts w:asciiTheme="majorBidi" w:hAnsiTheme="majorBidi" w:cstheme="majorBidi"/>
          <w:lang w:eastAsia="en-US"/>
        </w:rPr>
        <w:t>valgomosios</w:t>
      </w:r>
      <w:r w:rsidRPr="00CB6F14">
        <w:rPr>
          <w:rStyle w:val="tlid-translation"/>
          <w:rFonts w:asciiTheme="majorBidi" w:hAnsiTheme="majorBidi" w:cstheme="majorBidi"/>
        </w:rPr>
        <w:t xml:space="preserve"> druskos sudedamosios dalies). Tai </w:t>
      </w:r>
      <w:r w:rsidRPr="00CB6F14">
        <w:rPr>
          <w:rStyle w:val="tlid-translation"/>
          <w:rFonts w:asciiTheme="majorBidi" w:hAnsiTheme="majorBidi" w:cstheme="majorBidi"/>
          <w:lang w:eastAsia="en-US"/>
        </w:rPr>
        <w:t>atitinka</w:t>
      </w:r>
      <w:r w:rsidRPr="00CB6F14">
        <w:rPr>
          <w:rStyle w:val="tlid-translation"/>
          <w:rFonts w:asciiTheme="majorBidi" w:hAnsiTheme="majorBidi" w:cstheme="majorBidi"/>
        </w:rPr>
        <w:t xml:space="preserve"> 1,8</w:t>
      </w:r>
      <w:r w:rsidRPr="00CB6F14">
        <w:rPr>
          <w:rStyle w:val="tlid-translation"/>
          <w:rFonts w:asciiTheme="majorBidi" w:hAnsiTheme="majorBidi" w:cstheme="majorBidi"/>
          <w:lang w:eastAsia="en-US"/>
        </w:rPr>
        <w:t> </w:t>
      </w:r>
      <w:r w:rsidRPr="00CB6F14">
        <w:rPr>
          <w:rStyle w:val="tlid-translation"/>
          <w:rFonts w:asciiTheme="majorBidi" w:hAnsiTheme="majorBidi" w:cstheme="majorBidi"/>
        </w:rPr>
        <w:t>% arba 3,6</w:t>
      </w:r>
      <w:r w:rsidRPr="00CB6F14">
        <w:rPr>
          <w:rStyle w:val="tlid-translation"/>
          <w:rFonts w:asciiTheme="majorBidi" w:hAnsiTheme="majorBidi" w:cstheme="majorBidi"/>
          <w:lang w:eastAsia="en-US"/>
        </w:rPr>
        <w:t> </w:t>
      </w:r>
      <w:r w:rsidRPr="00CB6F14">
        <w:rPr>
          <w:rStyle w:val="tlid-translation"/>
          <w:rFonts w:asciiTheme="majorBidi" w:hAnsiTheme="majorBidi" w:cstheme="majorBidi"/>
        </w:rPr>
        <w:t xml:space="preserve">% </w:t>
      </w:r>
      <w:r w:rsidRPr="00CB6F14">
        <w:rPr>
          <w:rStyle w:val="tlid-translation"/>
          <w:rFonts w:asciiTheme="majorBidi" w:hAnsiTheme="majorBidi" w:cstheme="majorBidi"/>
          <w:lang w:eastAsia="en-US"/>
        </w:rPr>
        <w:t xml:space="preserve">didžiausios rekomenduojamos natrio paros normos </w:t>
      </w:r>
      <w:r w:rsidRPr="00CB6F14">
        <w:rPr>
          <w:rStyle w:val="tlid-translation"/>
          <w:rFonts w:asciiTheme="majorBidi" w:hAnsiTheme="majorBidi" w:cstheme="majorBidi"/>
        </w:rPr>
        <w:t>suaugusi</w:t>
      </w:r>
      <w:r w:rsidRPr="00CB6F14">
        <w:rPr>
          <w:rStyle w:val="tlid-translation"/>
          <w:rFonts w:asciiTheme="majorBidi" w:hAnsiTheme="majorBidi" w:cstheme="majorBidi"/>
          <w:lang w:eastAsia="en-US"/>
        </w:rPr>
        <w:t>esiems.</w:t>
      </w:r>
    </w:p>
    <w:p w:rsidR="000E6B4A" w:rsidRPr="00963E81" w:rsidRDefault="000E6B4A" w:rsidP="000E6B4A"/>
    <w:p w:rsidR="000E6B4A" w:rsidRPr="00DE3051" w:rsidRDefault="000E6B4A" w:rsidP="000E6B4A">
      <w:pPr>
        <w:pStyle w:val="Antrat1"/>
      </w:pPr>
      <w:r w:rsidRPr="00963E81">
        <w:t>3.</w:t>
      </w:r>
      <w:r w:rsidRPr="00963E81">
        <w:tab/>
      </w:r>
      <w:r w:rsidRPr="00DE3051">
        <w:t xml:space="preserve">Kaip vartoti </w:t>
      </w:r>
      <w:proofErr w:type="spellStart"/>
      <w:r w:rsidRPr="00DE3051">
        <w:t>Atenativ</w:t>
      </w:r>
      <w:proofErr w:type="spellEnd"/>
    </w:p>
    <w:p w:rsidR="000E6B4A" w:rsidRPr="00963E81" w:rsidRDefault="000E6B4A" w:rsidP="000E6B4A"/>
    <w:p w:rsidR="000E6B4A" w:rsidRPr="00963E81" w:rsidRDefault="000E6B4A" w:rsidP="000E6B4A">
      <w:pPr>
        <w:pStyle w:val="Pagrindinistekstas"/>
        <w:rPr>
          <w:lang w:val="lt-LT"/>
        </w:rPr>
      </w:pPr>
      <w:r w:rsidRPr="00963E81">
        <w:rPr>
          <w:lang w:val="lt-LT"/>
        </w:rPr>
        <w:t xml:space="preserve">Jūsų gydytojas nuspręs, ar Jums reikia </w:t>
      </w:r>
      <w:proofErr w:type="spellStart"/>
      <w:r w:rsidRPr="00963E81">
        <w:rPr>
          <w:lang w:val="lt-LT"/>
        </w:rPr>
        <w:t>Atenativ</w:t>
      </w:r>
      <w:proofErr w:type="spellEnd"/>
      <w:r w:rsidRPr="00963E81">
        <w:rPr>
          <w:lang w:val="lt-LT"/>
        </w:rPr>
        <w:t xml:space="preserve"> ir kokios dozės. </w:t>
      </w:r>
      <w:proofErr w:type="spellStart"/>
      <w:r w:rsidRPr="00963E81">
        <w:rPr>
          <w:lang w:val="lt-LT"/>
        </w:rPr>
        <w:t>Atenativ</w:t>
      </w:r>
      <w:proofErr w:type="spellEnd"/>
      <w:r w:rsidRPr="00963E81">
        <w:rPr>
          <w:lang w:val="lt-LT"/>
        </w:rPr>
        <w:t xml:space="preserve"> skiriamas leisti į veną (infuzija); tai atlieka sveikatos priežiūros darbuotojas. Gydymo metu būsite stebimi atliekant būtinus laboratorinius tyrimus.</w:t>
      </w:r>
    </w:p>
    <w:p w:rsidR="000E6B4A" w:rsidRPr="00963E81" w:rsidRDefault="000E6B4A" w:rsidP="000E6B4A">
      <w:pPr>
        <w:pStyle w:val="Pagrindinistekstas"/>
        <w:rPr>
          <w:lang w:val="lt-LT"/>
        </w:rPr>
      </w:pPr>
    </w:p>
    <w:p w:rsidR="000E6B4A" w:rsidRPr="00963E81" w:rsidRDefault="000E6B4A" w:rsidP="000E6B4A">
      <w:pPr>
        <w:pStyle w:val="Antrat2"/>
        <w:rPr>
          <w:i/>
        </w:rPr>
      </w:pPr>
      <w:r w:rsidRPr="00963E81">
        <w:t xml:space="preserve">Ką daryti pavartojus per didelę </w:t>
      </w:r>
      <w:proofErr w:type="spellStart"/>
      <w:r w:rsidRPr="00963E81">
        <w:t>Atenativ</w:t>
      </w:r>
      <w:proofErr w:type="spellEnd"/>
      <w:r w:rsidRPr="00963E81">
        <w:t xml:space="preserve"> dozę?</w:t>
      </w:r>
    </w:p>
    <w:p w:rsidR="000E6B4A" w:rsidRPr="00963E81" w:rsidRDefault="000E6B4A" w:rsidP="000E6B4A">
      <w:pPr>
        <w:pStyle w:val="Pagrindinistekstas"/>
        <w:rPr>
          <w:lang w:val="lt-LT"/>
        </w:rPr>
      </w:pPr>
      <w:r w:rsidRPr="00963E81">
        <w:rPr>
          <w:lang w:val="lt-LT"/>
        </w:rPr>
        <w:t xml:space="preserve">Apie </w:t>
      </w:r>
      <w:proofErr w:type="spellStart"/>
      <w:r w:rsidRPr="00963E81">
        <w:rPr>
          <w:lang w:val="lt-LT"/>
        </w:rPr>
        <w:t>Atenativ</w:t>
      </w:r>
      <w:proofErr w:type="spellEnd"/>
      <w:r w:rsidRPr="00963E81">
        <w:rPr>
          <w:lang w:val="lt-LT"/>
        </w:rPr>
        <w:t xml:space="preserve"> perdozavimo simptomus nepranešta.</w:t>
      </w:r>
    </w:p>
    <w:p w:rsidR="000E6B4A" w:rsidRPr="00963E81" w:rsidRDefault="000E6B4A" w:rsidP="000E6B4A">
      <w:pPr>
        <w:pStyle w:val="Pagrindinistekstas"/>
        <w:rPr>
          <w:lang w:val="lt-LT"/>
        </w:rPr>
      </w:pPr>
    </w:p>
    <w:p w:rsidR="000E6B4A" w:rsidRPr="00963E81" w:rsidRDefault="000E6B4A" w:rsidP="000E6B4A">
      <w:pPr>
        <w:pStyle w:val="Antrat2"/>
        <w:rPr>
          <w:i/>
        </w:rPr>
      </w:pPr>
      <w:r w:rsidRPr="00963E81">
        <w:t xml:space="preserve">Pamiršus pavartoti </w:t>
      </w:r>
      <w:proofErr w:type="spellStart"/>
      <w:r w:rsidRPr="00963E81">
        <w:t>Atenativ</w:t>
      </w:r>
      <w:proofErr w:type="spellEnd"/>
    </w:p>
    <w:p w:rsidR="000E6B4A" w:rsidRPr="00963E81" w:rsidRDefault="000E6B4A" w:rsidP="000E6B4A">
      <w:pPr>
        <w:pStyle w:val="Pagrindinistekstas"/>
        <w:rPr>
          <w:lang w:val="lt-LT"/>
        </w:rPr>
      </w:pPr>
      <w:r w:rsidRPr="00963E81">
        <w:rPr>
          <w:lang w:val="lt-LT"/>
        </w:rPr>
        <w:t xml:space="preserve">Gydytojas yra atsakingas už vaisto skyrimo priežiūrą ir laboratorinių tyrimų rezultatų palaikymą nustatytų dydžių ribose. </w:t>
      </w:r>
    </w:p>
    <w:p w:rsidR="000E6B4A" w:rsidRPr="00963E81" w:rsidRDefault="000E6B4A" w:rsidP="000E6B4A">
      <w:pPr>
        <w:pStyle w:val="Pagrindinistekstas"/>
        <w:rPr>
          <w:lang w:val="lt-LT"/>
        </w:rPr>
      </w:pPr>
    </w:p>
    <w:p w:rsidR="000E6B4A" w:rsidRPr="00963E81" w:rsidRDefault="000E6B4A" w:rsidP="000E6B4A">
      <w:pPr>
        <w:pStyle w:val="Antrat2"/>
        <w:rPr>
          <w:i/>
        </w:rPr>
      </w:pPr>
      <w:r w:rsidRPr="00963E81">
        <w:t xml:space="preserve">Nustojus vartoti </w:t>
      </w:r>
      <w:proofErr w:type="spellStart"/>
      <w:r w:rsidRPr="00963E81">
        <w:t>Atenativ</w:t>
      </w:r>
      <w:proofErr w:type="spellEnd"/>
    </w:p>
    <w:p w:rsidR="000E6B4A" w:rsidRPr="00963E81" w:rsidRDefault="000E6B4A" w:rsidP="000E6B4A">
      <w:pPr>
        <w:pStyle w:val="Pagrindinistekstas"/>
        <w:rPr>
          <w:lang w:val="lt-LT"/>
        </w:rPr>
      </w:pPr>
      <w:r w:rsidRPr="00963E81">
        <w:rPr>
          <w:lang w:val="lt-LT"/>
        </w:rPr>
        <w:t xml:space="preserve">Remdamasis laboratorinių tyrimų rezultatais gydytojas nuspręs, kada nutraukti </w:t>
      </w:r>
      <w:proofErr w:type="spellStart"/>
      <w:r w:rsidRPr="00963E81">
        <w:rPr>
          <w:lang w:val="lt-LT"/>
        </w:rPr>
        <w:t>Atenativ</w:t>
      </w:r>
      <w:proofErr w:type="spellEnd"/>
      <w:r w:rsidRPr="00963E81">
        <w:rPr>
          <w:lang w:val="lt-LT"/>
        </w:rPr>
        <w:t xml:space="preserve"> vartojimą, ir </w:t>
      </w:r>
      <w:r w:rsidRPr="00963E81">
        <w:rPr>
          <w:lang w:val="lt-LT"/>
        </w:rPr>
        <w:lastRenderedPageBreak/>
        <w:t>įvertins galimą riziką. Jeigu kiltų daugiau klausimų dėl šio vaisto vartojimo, kreipkitės į gydytoją, arba vaistininką arba slaugytoją.</w:t>
      </w:r>
    </w:p>
    <w:p w:rsidR="000E6B4A" w:rsidRPr="00963E81" w:rsidRDefault="000E6B4A" w:rsidP="000E6B4A">
      <w:pPr>
        <w:numPr>
          <w:ilvl w:val="12"/>
          <w:numId w:val="0"/>
        </w:numPr>
      </w:pPr>
    </w:p>
    <w:p w:rsidR="000E6B4A" w:rsidRPr="00963E81" w:rsidRDefault="000E6B4A" w:rsidP="000E6B4A">
      <w:pPr>
        <w:pStyle w:val="Antrat1"/>
      </w:pPr>
      <w:r w:rsidRPr="00963E81">
        <w:t>4.</w:t>
      </w:r>
      <w:r w:rsidRPr="00963E81">
        <w:tab/>
        <w:t>Galimas šalutinis poveikis</w:t>
      </w:r>
    </w:p>
    <w:p w:rsidR="000E6B4A" w:rsidRPr="00963E81" w:rsidRDefault="000E6B4A" w:rsidP="000E6B4A">
      <w:pPr>
        <w:keepNext/>
        <w:numPr>
          <w:ilvl w:val="12"/>
          <w:numId w:val="0"/>
        </w:numPr>
      </w:pPr>
    </w:p>
    <w:p w:rsidR="000E6B4A" w:rsidRPr="00963E81" w:rsidRDefault="000E6B4A" w:rsidP="000E6B4A">
      <w:pPr>
        <w:pStyle w:val="Pagrindinistekstas"/>
        <w:rPr>
          <w:lang w:val="lt-LT"/>
        </w:rPr>
      </w:pPr>
      <w:r w:rsidRPr="00963E81">
        <w:rPr>
          <w:lang w:val="lt-LT"/>
        </w:rPr>
        <w:t>Šis vaistas, kaip ir visi kiti, gali sukelti šalutinį poveikį, nors jis pasireiškia ne visiems žmonėms.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Iš plazmos gautų preparatų vartojimas gali sukelti alergines ar padidėjusio jautrumo reakcijas (pvz., akių, veido arba liežuvio patinimą, deginimą ir dilgčiojimą infuzijos vietoje, odos uždegimą, karščiavimą, </w:t>
      </w:r>
      <w:proofErr w:type="spellStart"/>
      <w:r w:rsidRPr="00963E81">
        <w:rPr>
          <w:lang w:val="lt-LT"/>
        </w:rPr>
        <w:t>šaltkrėtį</w:t>
      </w:r>
      <w:proofErr w:type="spellEnd"/>
      <w:r w:rsidRPr="00963E81">
        <w:rPr>
          <w:lang w:val="lt-LT"/>
        </w:rPr>
        <w:t xml:space="preserve">, </w:t>
      </w:r>
      <w:proofErr w:type="spellStart"/>
      <w:r w:rsidRPr="00963E81">
        <w:rPr>
          <w:lang w:val="lt-LT"/>
        </w:rPr>
        <w:t>urtikariją</w:t>
      </w:r>
      <w:proofErr w:type="spellEnd"/>
      <w:r w:rsidRPr="00963E81">
        <w:rPr>
          <w:lang w:val="lt-LT"/>
        </w:rPr>
        <w:t xml:space="preserve"> (dilgėlinę), pykinimą, vėmimą, dusulį, galvos skausmą, svaigulį, svaigulį, dusulį, švokštimą, kraujospūdžio pokyčius, smarkų širdies plakimą, mieguistumą, neramumą, nugaros skausmą, prakaitavimą, veido ir kaklo odos paraudimą, dilgčiojimą ar net šoką), tolesnį nerimą, kraujavimą, pilvo skausmą, </w:t>
      </w:r>
      <w:r w:rsidRPr="00CB6F14">
        <w:rPr>
          <w:rFonts w:asciiTheme="majorBidi" w:hAnsiTheme="majorBidi" w:cstheme="majorBidi"/>
          <w:lang w:val="lt-LT"/>
        </w:rPr>
        <w:t>viduriavimą</w:t>
      </w:r>
      <w:r>
        <w:rPr>
          <w:rFonts w:asciiTheme="majorBidi" w:hAnsiTheme="majorBidi" w:cstheme="majorBidi"/>
          <w:lang w:val="lt-LT"/>
        </w:rPr>
        <w:t>.</w:t>
      </w:r>
      <w:r w:rsidRPr="00CB6F14">
        <w:rPr>
          <w:rFonts w:asciiTheme="majorBidi" w:hAnsiTheme="majorBidi" w:cstheme="majorBidi"/>
          <w:lang w:val="lt-LT"/>
        </w:rPr>
        <w:t xml:space="preserve"> </w:t>
      </w:r>
      <w:r w:rsidRPr="00CB6F14">
        <w:rPr>
          <w:rStyle w:val="tlid-translation"/>
          <w:rFonts w:asciiTheme="majorBidi" w:hAnsiTheme="majorBidi" w:cstheme="majorBidi"/>
          <w:lang w:val="lt-LT"/>
        </w:rPr>
        <w:t>(dažnis nežinomas)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Įtariant alergiją ar padidėjusio jautrumo reakciją esant pirmiau minėtiems simptomams, būtina nedelsiant nutraukti vaisto vartojimą. Jūsų gydytojas turi taikyti gydymą remiantis galiojančiomis šoko gydymo gairėmis.</w:t>
      </w:r>
    </w:p>
    <w:p w:rsidR="000E6B4A" w:rsidRPr="00963E81" w:rsidRDefault="000E6B4A" w:rsidP="000E6B4A">
      <w:pPr>
        <w:pStyle w:val="Pagrindinistekstas"/>
        <w:rPr>
          <w:lang w:val="lt-LT"/>
        </w:rPr>
      </w:pPr>
    </w:p>
    <w:p w:rsidR="000E6B4A" w:rsidRPr="00963E81" w:rsidRDefault="000E6B4A" w:rsidP="000E6B4A">
      <w:pPr>
        <w:pStyle w:val="Antrat2"/>
        <w:rPr>
          <w:bCs/>
          <w:i/>
          <w:iCs/>
        </w:rPr>
      </w:pPr>
      <w:r w:rsidRPr="00963E81">
        <w:t>Pranešimas apie šalutinį poveikį</w:t>
      </w:r>
    </w:p>
    <w:p w:rsidR="000E6B4A" w:rsidRPr="00963E81" w:rsidRDefault="000E6B4A" w:rsidP="000E6B4A">
      <w:pPr>
        <w:rPr>
          <w:szCs w:val="24"/>
        </w:rPr>
      </w:pPr>
      <w:r w:rsidRPr="00963E81">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963E81">
        <w:rPr>
          <w:lang w:eastAsia="zh-CN"/>
        </w:rPr>
        <w:t>elefonu 8 800 73568</w:t>
      </w:r>
      <w:r w:rsidRPr="00963E81">
        <w:t xml:space="preserve"> arba užpildyti interneto svetainėje </w:t>
      </w:r>
      <w:hyperlink r:id="rId5" w:history="1">
        <w:r w:rsidRPr="00963E81">
          <w:rPr>
            <w:rStyle w:val="Hipersaitas"/>
          </w:rPr>
          <w:t>www.vvkt.lt</w:t>
        </w:r>
      </w:hyperlink>
      <w:r w:rsidRPr="00963E81">
        <w:t xml:space="preserve"> esančią formą ir pateikti ją Valstybinei vaistų kontrolės tarnybai prie Lietuvos Respublikos sveikatos apsaugos ministerijos vienu iš šių būdų: raštu (adresu Žirmūnų g. 139A, LT-09120 Vilnius), </w:t>
      </w:r>
      <w:r w:rsidRPr="00963E81">
        <w:rPr>
          <w:lang w:eastAsia="zh-CN"/>
        </w:rPr>
        <w:t xml:space="preserve">nemokamu </w:t>
      </w:r>
      <w:r w:rsidRPr="00963E81">
        <w:t>fakso numeriu 8 800 20131</w:t>
      </w:r>
      <w:r w:rsidRPr="00963E81">
        <w:rPr>
          <w:lang w:eastAsia="zh-CN"/>
        </w:rPr>
        <w:t xml:space="preserve">, </w:t>
      </w:r>
      <w:r w:rsidRPr="00963E81">
        <w:t xml:space="preserve">el. paštu </w:t>
      </w:r>
      <w:hyperlink r:id="rId6" w:history="1">
        <w:r w:rsidRPr="00963E81">
          <w:rPr>
            <w:rStyle w:val="Hipersaitas"/>
          </w:rPr>
          <w:t>NepageidaujamaR@vvkt.lt</w:t>
        </w:r>
      </w:hyperlink>
      <w:r w:rsidRPr="00963E81">
        <w:t xml:space="preserve">, taip pat per Valstybinės vaistų kontrolės tarnybos prie Lietuvos Respublikos sveikatos apsaugos ministerijos interneto svetainę (adresu </w:t>
      </w:r>
      <w:hyperlink r:id="rId7" w:history="1">
        <w:r w:rsidRPr="00963E81">
          <w:rPr>
            <w:rStyle w:val="Hipersaitas"/>
          </w:rPr>
          <w:t>http://www.vvkt.lt</w:t>
        </w:r>
      </w:hyperlink>
      <w:r w:rsidRPr="00963E81">
        <w:t>). Pranešdami apie šalutinį poveikį galite mums padėti gauti daugiau informacijos apie šio vaisto saugumą.</w:t>
      </w:r>
    </w:p>
    <w:p w:rsidR="000E6B4A" w:rsidRPr="00963E81" w:rsidRDefault="000E6B4A" w:rsidP="000E6B4A">
      <w:pPr>
        <w:autoSpaceDE w:val="0"/>
        <w:autoSpaceDN w:val="0"/>
        <w:adjustRightInd w:val="0"/>
      </w:pPr>
    </w:p>
    <w:p w:rsidR="000E6B4A" w:rsidRPr="00963E81" w:rsidRDefault="000E6B4A" w:rsidP="000E6B4A">
      <w:pPr>
        <w:autoSpaceDE w:val="0"/>
        <w:autoSpaceDN w:val="0"/>
        <w:adjustRightInd w:val="0"/>
      </w:pPr>
    </w:p>
    <w:p w:rsidR="000E6B4A" w:rsidRPr="00963E81" w:rsidRDefault="000E6B4A" w:rsidP="000E6B4A">
      <w:pPr>
        <w:pStyle w:val="Antrat1"/>
      </w:pPr>
      <w:r w:rsidRPr="00963E81">
        <w:t>5.</w:t>
      </w:r>
      <w:r w:rsidRPr="00963E81">
        <w:tab/>
        <w:t xml:space="preserve">Kaip laikyti </w:t>
      </w:r>
      <w:proofErr w:type="spellStart"/>
      <w:r w:rsidRPr="00963E81">
        <w:t>Atenativ</w:t>
      </w:r>
      <w:proofErr w:type="spellEnd"/>
    </w:p>
    <w:p w:rsidR="000E6B4A" w:rsidRPr="00963E81" w:rsidRDefault="000E6B4A" w:rsidP="000E6B4A"/>
    <w:p w:rsidR="000E6B4A" w:rsidRPr="00963E81" w:rsidRDefault="000E6B4A" w:rsidP="000E6B4A">
      <w:pPr>
        <w:pStyle w:val="Pagrindinistekstas"/>
        <w:ind w:hanging="1"/>
        <w:rPr>
          <w:lang w:val="lt-LT"/>
        </w:rPr>
      </w:pPr>
      <w:r w:rsidRPr="00963E81">
        <w:rPr>
          <w:lang w:val="lt-LT"/>
        </w:rPr>
        <w:t>Šį vaistą laikykite vaikams nepastebimoje ir nepasiekiamoje vietoje.</w:t>
      </w:r>
    </w:p>
    <w:p w:rsidR="000E6B4A" w:rsidRPr="00963E81" w:rsidRDefault="000E6B4A" w:rsidP="000E6B4A">
      <w:pPr>
        <w:pStyle w:val="Pagrindinistekstas"/>
        <w:ind w:hanging="1"/>
        <w:rPr>
          <w:lang w:val="lt-LT"/>
        </w:rPr>
      </w:pPr>
      <w:r w:rsidRPr="00963E81">
        <w:rPr>
          <w:lang w:val="lt-LT"/>
        </w:rPr>
        <w:t>Laikyti šaldytuve (2 °C – 8 °C).</w:t>
      </w:r>
    </w:p>
    <w:p w:rsidR="000E6B4A" w:rsidRPr="00963E81" w:rsidRDefault="000E6B4A" w:rsidP="000E6B4A">
      <w:pPr>
        <w:pStyle w:val="Pagrindinistekstas"/>
        <w:rPr>
          <w:lang w:val="lt-LT"/>
        </w:rPr>
      </w:pPr>
      <w:r w:rsidRPr="00963E81">
        <w:rPr>
          <w:lang w:val="lt-LT"/>
        </w:rPr>
        <w:t>Flakonus laikyti išorinėje dėžutėje, kad vaistas būtų apsaugotas nuo šviesos.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Ant etiketės ir dėžutės po „EXP“ nurodytam tinkamumo laikui pasibaigus, šio vaisto vartoti negalima. Vaistas tinkamas vartoti iki paskutinės nurodyto mėnesio dienos.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Iki tinkamumo laiko pabaigos vaistą galima laikyti 25 °C temperatūroje ne ilgiau kaip vieną mėnesį; šiuo laikotarpiu vaisto vėl dėti į šaldytuvą negalima, tačiau po to nesuvartotą vaistą reikia išmesti.</w:t>
      </w:r>
    </w:p>
    <w:p w:rsidR="000E6B4A" w:rsidRPr="00963E81" w:rsidRDefault="000E6B4A" w:rsidP="000E6B4A">
      <w:pPr>
        <w:pStyle w:val="Pagrindinistekstas"/>
        <w:rPr>
          <w:lang w:val="lt-LT"/>
        </w:rPr>
      </w:pPr>
    </w:p>
    <w:p w:rsidR="000E6B4A" w:rsidRPr="00DE3051" w:rsidRDefault="000E6B4A" w:rsidP="000E6B4A">
      <w:pPr>
        <w:pStyle w:val="Pagrindinistekstas"/>
        <w:rPr>
          <w:lang w:val="lt-LT"/>
        </w:rPr>
      </w:pPr>
      <w:r w:rsidRPr="00963E81">
        <w:rPr>
          <w:lang w:val="lt-LT"/>
        </w:rPr>
        <w:t xml:space="preserve">Paruoštą vaistą reikia vartoti kuo greičiau. Jeigu vartojamas ne iš karto </w:t>
      </w:r>
      <w:r w:rsidRPr="00963E81">
        <w:rPr>
          <w:rStyle w:val="tlid-translation"/>
          <w:rFonts w:ascii="Roboto" w:hAnsi="Roboto"/>
          <w:lang w:val="lt-LT"/>
        </w:rPr>
        <w:t>arba per 12 valandų, kai laikomas 15–25 ºC temperatūroje</w:t>
      </w:r>
      <w:r w:rsidRPr="00963E81">
        <w:rPr>
          <w:lang w:val="lt-LT"/>
        </w:rPr>
        <w:t>, atsakomybė už laikymo trukmę bei sąlygas tenka vartotojui, bet įprastai negalima laikyti ilgiau kaip 24 valandas 2</w:t>
      </w:r>
      <w:r w:rsidRPr="00963E81">
        <w:rPr>
          <w:lang w:val="lt-LT"/>
        </w:rPr>
        <w:sym w:font="Symbol" w:char="F0B0"/>
      </w:r>
      <w:r w:rsidRPr="00963E81">
        <w:rPr>
          <w:lang w:val="lt-LT"/>
        </w:rPr>
        <w:t>C –8 </w:t>
      </w:r>
      <w:r w:rsidRPr="00963E81">
        <w:rPr>
          <w:lang w:val="lt-LT"/>
        </w:rPr>
        <w:sym w:font="Symbol" w:char="F0B0"/>
      </w:r>
      <w:r w:rsidRPr="00963E81">
        <w:rPr>
          <w:lang w:val="lt-LT"/>
        </w:rPr>
        <w:t xml:space="preserve">C temperatūroje, nebent tirpalas ruoštas kontroliuojamomis ir patvirtintomis </w:t>
      </w:r>
      <w:proofErr w:type="spellStart"/>
      <w:r w:rsidRPr="00963E81">
        <w:rPr>
          <w:lang w:val="lt-LT"/>
        </w:rPr>
        <w:t>aseptinėmis</w:t>
      </w:r>
      <w:proofErr w:type="spellEnd"/>
      <w:r w:rsidRPr="00963E81">
        <w:rPr>
          <w:lang w:val="lt-LT"/>
        </w:rPr>
        <w:t xml:space="preserve"> sąlygomis. Nesuvartotą tirpalą išmesti</w:t>
      </w:r>
      <w:r w:rsidRPr="00DE3051">
        <w:rPr>
          <w:lang w:val="lt-LT"/>
        </w:rPr>
        <w:t>.</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Pastebėjus, kad tirpalas yra drumstas ar su nuosėdomis, </w:t>
      </w:r>
      <w:proofErr w:type="spellStart"/>
      <w:r w:rsidRPr="00963E81">
        <w:rPr>
          <w:lang w:val="lt-LT"/>
        </w:rPr>
        <w:t>Atenativ</w:t>
      </w:r>
      <w:proofErr w:type="spellEnd"/>
      <w:r w:rsidRPr="00963E81">
        <w:rPr>
          <w:lang w:val="lt-LT"/>
        </w:rPr>
        <w:t xml:space="preserve"> vartoti negalima.</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Vaistų negalima išmesti į kanalizaciją arba su buitinėmis atliekomis. Kaip išmesti nereikalingus vaistus, klauskite vaistininko. Šios priemonės padės apsaugoti aplinką.</w:t>
      </w:r>
    </w:p>
    <w:p w:rsidR="000E6B4A" w:rsidRPr="00963E81" w:rsidRDefault="000E6B4A" w:rsidP="000E6B4A"/>
    <w:p w:rsidR="000E6B4A" w:rsidRPr="00963E81" w:rsidRDefault="000E6B4A" w:rsidP="000E6B4A"/>
    <w:p w:rsidR="000E6B4A" w:rsidRPr="00963E81" w:rsidRDefault="000E6B4A" w:rsidP="000E6B4A">
      <w:pPr>
        <w:pStyle w:val="Antrat1"/>
      </w:pPr>
      <w:r w:rsidRPr="00963E81">
        <w:lastRenderedPageBreak/>
        <w:t>6.</w:t>
      </w:r>
      <w:r w:rsidRPr="00963E81">
        <w:tab/>
        <w:t>Pakuotės turinys ir kita informacija</w:t>
      </w:r>
    </w:p>
    <w:p w:rsidR="000E6B4A" w:rsidRPr="00963E81" w:rsidRDefault="000E6B4A" w:rsidP="000E6B4A">
      <w:pPr>
        <w:keepNext/>
      </w:pPr>
    </w:p>
    <w:p w:rsidR="000E6B4A" w:rsidRPr="00963E81" w:rsidRDefault="000E6B4A" w:rsidP="000E6B4A">
      <w:pPr>
        <w:pStyle w:val="Antrat2"/>
        <w:rPr>
          <w:i/>
        </w:rPr>
      </w:pPr>
      <w:proofErr w:type="spellStart"/>
      <w:r w:rsidRPr="00963E81">
        <w:t>Atenativ</w:t>
      </w:r>
      <w:proofErr w:type="spellEnd"/>
      <w:r w:rsidRPr="00963E81">
        <w:t xml:space="preserve"> sudėtis</w:t>
      </w:r>
    </w:p>
    <w:p w:rsidR="000E6B4A" w:rsidRPr="00963E81" w:rsidRDefault="000E6B4A" w:rsidP="000E6B4A">
      <w:pPr>
        <w:pStyle w:val="Sraopastraipa"/>
        <w:numPr>
          <w:ilvl w:val="0"/>
          <w:numId w:val="4"/>
        </w:numPr>
        <w:rPr>
          <w:lang w:val="lt-LT"/>
        </w:rPr>
      </w:pPr>
      <w:r w:rsidRPr="00963E81">
        <w:rPr>
          <w:lang w:val="lt-LT"/>
        </w:rPr>
        <w:t xml:space="preserve">Veiklioji medžiaga yra žmogaus </w:t>
      </w:r>
      <w:proofErr w:type="spellStart"/>
      <w:r w:rsidRPr="00963E81">
        <w:rPr>
          <w:lang w:val="lt-LT"/>
        </w:rPr>
        <w:t>antitrombinas</w:t>
      </w:r>
      <w:proofErr w:type="spellEnd"/>
      <w:r w:rsidRPr="00963E81">
        <w:rPr>
          <w:lang w:val="lt-LT"/>
        </w:rPr>
        <w:t> III (50 TV/ml).</w:t>
      </w:r>
    </w:p>
    <w:p w:rsidR="000E6B4A" w:rsidRPr="00963E81" w:rsidRDefault="000E6B4A" w:rsidP="000E6B4A">
      <w:pPr>
        <w:pStyle w:val="Sraopastraipa"/>
        <w:numPr>
          <w:ilvl w:val="0"/>
          <w:numId w:val="4"/>
        </w:numPr>
        <w:rPr>
          <w:lang w:val="lt-LT"/>
        </w:rPr>
      </w:pPr>
      <w:r w:rsidRPr="00963E81">
        <w:rPr>
          <w:lang w:val="lt-LT"/>
        </w:rPr>
        <w:t>Pagalbinės medžiagos yra:</w:t>
      </w:r>
    </w:p>
    <w:p w:rsidR="000E6B4A" w:rsidRPr="00963E81" w:rsidRDefault="000E6B4A" w:rsidP="000E6B4A">
      <w:pPr>
        <w:pStyle w:val="Sraopastraipa"/>
        <w:ind w:left="567" w:firstLine="0"/>
        <w:rPr>
          <w:lang w:val="lt-LT"/>
        </w:rPr>
      </w:pPr>
      <w:r>
        <w:rPr>
          <w:lang w:val="lt-LT"/>
        </w:rPr>
        <w:t xml:space="preserve">Milteliai: </w:t>
      </w:r>
      <w:r w:rsidRPr="00963E81">
        <w:rPr>
          <w:lang w:val="lt-LT"/>
        </w:rPr>
        <w:t xml:space="preserve">natrio chloridas, žmogaus </w:t>
      </w:r>
      <w:proofErr w:type="spellStart"/>
      <w:r w:rsidRPr="00963E81">
        <w:rPr>
          <w:lang w:val="lt-LT"/>
        </w:rPr>
        <w:t>albuminas</w:t>
      </w:r>
      <w:proofErr w:type="spellEnd"/>
      <w:r w:rsidRPr="00963E81">
        <w:rPr>
          <w:lang w:val="lt-LT"/>
        </w:rPr>
        <w:t>, N-</w:t>
      </w:r>
      <w:proofErr w:type="spellStart"/>
      <w:r w:rsidRPr="00963E81">
        <w:rPr>
          <w:lang w:val="lt-LT"/>
        </w:rPr>
        <w:t>acetiltriptofanas</w:t>
      </w:r>
      <w:proofErr w:type="spellEnd"/>
      <w:r w:rsidRPr="00963E81">
        <w:rPr>
          <w:lang w:val="lt-LT"/>
        </w:rPr>
        <w:t xml:space="preserve"> ir </w:t>
      </w:r>
      <w:proofErr w:type="spellStart"/>
      <w:r w:rsidRPr="00963E81">
        <w:rPr>
          <w:lang w:val="lt-LT"/>
        </w:rPr>
        <w:t>kaprilo</w:t>
      </w:r>
      <w:proofErr w:type="spellEnd"/>
      <w:r w:rsidRPr="00963E81">
        <w:rPr>
          <w:lang w:val="lt-LT"/>
        </w:rPr>
        <w:t xml:space="preserve"> rūgštis.</w:t>
      </w:r>
    </w:p>
    <w:p w:rsidR="000E6B4A" w:rsidRPr="00963E81" w:rsidRDefault="000E6B4A" w:rsidP="000E6B4A">
      <w:pPr>
        <w:pStyle w:val="Sraopastraipa"/>
        <w:ind w:left="567" w:firstLine="0"/>
        <w:rPr>
          <w:lang w:val="lt-LT"/>
        </w:rPr>
      </w:pPr>
      <w:r>
        <w:rPr>
          <w:lang w:val="lt-LT"/>
        </w:rPr>
        <w:t xml:space="preserve">Tirpiklis: </w:t>
      </w:r>
      <w:r w:rsidRPr="00963E81">
        <w:rPr>
          <w:lang w:val="lt-LT"/>
        </w:rPr>
        <w:t>injekcinis vanduo.</w:t>
      </w:r>
    </w:p>
    <w:p w:rsidR="000E6B4A" w:rsidRPr="00963E81" w:rsidRDefault="000E6B4A" w:rsidP="000E6B4A"/>
    <w:p w:rsidR="000E6B4A" w:rsidRPr="00963E81" w:rsidRDefault="000E6B4A" w:rsidP="000E6B4A">
      <w:pPr>
        <w:pStyle w:val="Antrat2"/>
        <w:rPr>
          <w:i/>
        </w:rPr>
      </w:pPr>
      <w:proofErr w:type="spellStart"/>
      <w:r w:rsidRPr="00963E81">
        <w:t>Atenativ</w:t>
      </w:r>
      <w:proofErr w:type="spellEnd"/>
      <w:r w:rsidRPr="00963E81">
        <w:t xml:space="preserve"> išvaizda ir kiekis pakuotėje</w:t>
      </w:r>
    </w:p>
    <w:p w:rsidR="000E6B4A" w:rsidRPr="00963E81" w:rsidRDefault="000E6B4A" w:rsidP="000E6B4A">
      <w:pPr>
        <w:pStyle w:val="Pagrindinistekstas"/>
        <w:rPr>
          <w:lang w:val="lt-LT"/>
        </w:rPr>
      </w:pPr>
      <w:r w:rsidRPr="00963E81">
        <w:rPr>
          <w:lang w:val="lt-LT"/>
        </w:rPr>
        <w:t>Milteliai ir tirpiklis infuziniam tirpalui.</w:t>
      </w:r>
    </w:p>
    <w:p w:rsidR="000E6B4A" w:rsidRPr="00963E81" w:rsidRDefault="000E6B4A" w:rsidP="000E6B4A">
      <w:pPr>
        <w:pStyle w:val="Pagrindinistekstas"/>
        <w:jc w:val="both"/>
        <w:rPr>
          <w:rFonts w:asciiTheme="majorBidi" w:hAnsiTheme="majorBidi" w:cstheme="majorBidi"/>
          <w:lang w:val="lt-LT"/>
        </w:rPr>
      </w:pPr>
      <w:proofErr w:type="spellStart"/>
      <w:r w:rsidRPr="00963E81">
        <w:rPr>
          <w:lang w:val="lt-LT"/>
        </w:rPr>
        <w:t>Atenativ</w:t>
      </w:r>
      <w:proofErr w:type="spellEnd"/>
      <w:r w:rsidRPr="00963E81">
        <w:rPr>
          <w:lang w:val="lt-LT"/>
        </w:rPr>
        <w:t xml:space="preserve"> </w:t>
      </w:r>
      <w:r w:rsidRPr="00963E81">
        <w:rPr>
          <w:rFonts w:asciiTheme="majorBidi" w:hAnsiTheme="majorBidi" w:cstheme="majorBidi"/>
          <w:lang w:val="lt-LT"/>
        </w:rPr>
        <w:t xml:space="preserve">tiekiamas </w:t>
      </w:r>
      <w:proofErr w:type="spellStart"/>
      <w:r w:rsidRPr="00963E81">
        <w:rPr>
          <w:rFonts w:asciiTheme="majorBidi" w:hAnsiTheme="majorBidi" w:cstheme="majorBidi"/>
          <w:lang w:val="lt-LT"/>
        </w:rPr>
        <w:t>liofilizuota</w:t>
      </w:r>
      <w:proofErr w:type="spellEnd"/>
      <w:r w:rsidRPr="00963E81">
        <w:rPr>
          <w:rFonts w:asciiTheme="majorBidi" w:hAnsiTheme="majorBidi" w:cstheme="majorBidi"/>
          <w:lang w:val="lt-LT"/>
        </w:rPr>
        <w:t xml:space="preserve"> forma ir atrodo kaip balt</w:t>
      </w:r>
      <w:r>
        <w:rPr>
          <w:rFonts w:asciiTheme="majorBidi" w:hAnsiTheme="majorBidi" w:cstheme="majorBidi"/>
          <w:lang w:val="lt-LT"/>
        </w:rPr>
        <w:t>a</w:t>
      </w:r>
      <w:r w:rsidRPr="00963E81">
        <w:rPr>
          <w:rFonts w:asciiTheme="majorBidi" w:hAnsiTheme="majorBidi" w:cstheme="majorBidi"/>
          <w:lang w:val="lt-LT"/>
        </w:rPr>
        <w:t xml:space="preserve"> </w:t>
      </w:r>
      <w:r w:rsidRPr="006150FC">
        <w:rPr>
          <w:lang w:val="lt-LT"/>
        </w:rPr>
        <w:t xml:space="preserve">arba </w:t>
      </w:r>
      <w:r>
        <w:rPr>
          <w:lang w:val="lt-LT"/>
        </w:rPr>
        <w:t xml:space="preserve">beveik balta, </w:t>
      </w:r>
      <w:proofErr w:type="spellStart"/>
      <w:r>
        <w:rPr>
          <w:lang w:val="lt-LT"/>
        </w:rPr>
        <w:t>higroskopiška</w:t>
      </w:r>
      <w:proofErr w:type="spellEnd"/>
      <w:r w:rsidRPr="006150FC">
        <w:rPr>
          <w:lang w:val="lt-LT"/>
        </w:rPr>
        <w:t xml:space="preserve"> puri masė</w:t>
      </w:r>
      <w:r>
        <w:rPr>
          <w:lang w:val="lt-LT"/>
        </w:rPr>
        <w:t xml:space="preserve"> arba milteliai</w:t>
      </w:r>
      <w:r w:rsidRPr="00963E81">
        <w:rPr>
          <w:lang w:val="lt-LT"/>
        </w:rPr>
        <w:t>.</w:t>
      </w:r>
      <w:r w:rsidRPr="00963E81">
        <w:rPr>
          <w:rFonts w:asciiTheme="majorBidi" w:hAnsiTheme="majorBidi" w:cstheme="majorBidi"/>
          <w:lang w:val="lt-LT"/>
        </w:rPr>
        <w:t xml:space="preserve">. Tirpiklį </w:t>
      </w:r>
      <w:proofErr w:type="spellStart"/>
      <w:r w:rsidRPr="00963E81">
        <w:rPr>
          <w:rFonts w:asciiTheme="majorBidi" w:hAnsiTheme="majorBidi" w:cstheme="majorBidi"/>
          <w:lang w:val="lt-LT"/>
        </w:rPr>
        <w:t>liofilizuotų</w:t>
      </w:r>
      <w:proofErr w:type="spellEnd"/>
      <w:r w:rsidRPr="00963E81">
        <w:rPr>
          <w:rFonts w:asciiTheme="majorBidi" w:hAnsiTheme="majorBidi" w:cstheme="majorBidi"/>
          <w:lang w:val="lt-LT"/>
        </w:rPr>
        <w:t xml:space="preserve"> miltelių tirpinimui sudaro injekcinis vanduo, kuris yra skaidrus, bespalvis skystis.</w:t>
      </w:r>
    </w:p>
    <w:p w:rsidR="000E6B4A" w:rsidRPr="00963E81" w:rsidRDefault="000E6B4A" w:rsidP="000E6B4A">
      <w:pPr>
        <w:pStyle w:val="Pagrindinistekstas"/>
        <w:rPr>
          <w:rFonts w:asciiTheme="majorBidi" w:hAnsiTheme="majorBidi" w:cstheme="majorBidi"/>
          <w:lang w:val="lt-LT"/>
        </w:rPr>
      </w:pPr>
    </w:p>
    <w:p w:rsidR="000E6B4A" w:rsidRPr="00963E81" w:rsidRDefault="000E6B4A" w:rsidP="000E6B4A">
      <w:pPr>
        <w:pStyle w:val="Pagrindinistekstas"/>
        <w:rPr>
          <w:rStyle w:val="tlid-translation"/>
          <w:rFonts w:asciiTheme="majorBidi" w:hAnsiTheme="majorBidi" w:cstheme="majorBidi"/>
          <w:lang w:val="lt-LT"/>
        </w:rPr>
      </w:pPr>
      <w:r w:rsidRPr="00963E81">
        <w:rPr>
          <w:rStyle w:val="tlid-translation"/>
          <w:rFonts w:asciiTheme="majorBidi" w:hAnsiTheme="majorBidi" w:cstheme="majorBidi"/>
          <w:lang w:val="lt-LT"/>
        </w:rPr>
        <w:t>Miltelių flakonas (II tipo stiklo) su kamščiu (</w:t>
      </w:r>
      <w:proofErr w:type="spellStart"/>
      <w:r w:rsidRPr="00963E81">
        <w:rPr>
          <w:rStyle w:val="tlid-translation"/>
          <w:rFonts w:asciiTheme="majorBidi" w:hAnsiTheme="majorBidi" w:cstheme="majorBidi"/>
          <w:lang w:val="lt-LT"/>
        </w:rPr>
        <w:t>bromobutilo</w:t>
      </w:r>
      <w:proofErr w:type="spellEnd"/>
      <w:r w:rsidRPr="00963E81">
        <w:rPr>
          <w:rStyle w:val="tlid-translation"/>
          <w:rFonts w:asciiTheme="majorBidi" w:hAnsiTheme="majorBidi" w:cstheme="majorBidi"/>
          <w:lang w:val="lt-LT"/>
        </w:rPr>
        <w:t xml:space="preserve"> gumos) ir tirpiklio flakonas (I tipo stiklo) su kamščiu (</w:t>
      </w:r>
      <w:proofErr w:type="spellStart"/>
      <w:r w:rsidRPr="00963E81">
        <w:rPr>
          <w:rStyle w:val="tlid-translation"/>
          <w:rFonts w:asciiTheme="majorBidi" w:hAnsiTheme="majorBidi" w:cstheme="majorBidi"/>
          <w:lang w:val="lt-LT"/>
        </w:rPr>
        <w:t>bromobutilo</w:t>
      </w:r>
      <w:proofErr w:type="spellEnd"/>
      <w:r w:rsidRPr="00963E81">
        <w:rPr>
          <w:rStyle w:val="tlid-translation"/>
          <w:rFonts w:asciiTheme="majorBidi" w:hAnsiTheme="majorBidi" w:cstheme="majorBidi"/>
          <w:lang w:val="lt-LT"/>
        </w:rPr>
        <w:t xml:space="preserve"> gumos).</w:t>
      </w:r>
    </w:p>
    <w:p w:rsidR="000E6B4A" w:rsidRPr="00963E81" w:rsidRDefault="000E6B4A" w:rsidP="000E6B4A">
      <w:pPr>
        <w:pStyle w:val="Pagrindinistekstas"/>
        <w:rPr>
          <w:rStyle w:val="tlid-translation"/>
          <w:rFonts w:asciiTheme="majorBidi" w:hAnsiTheme="majorBidi" w:cstheme="majorBidi"/>
          <w:lang w:val="lt-LT"/>
        </w:rPr>
      </w:pPr>
    </w:p>
    <w:p w:rsidR="000E6B4A" w:rsidRPr="00963E81" w:rsidRDefault="000E6B4A" w:rsidP="000E6B4A">
      <w:pPr>
        <w:pStyle w:val="Pagrindinistekstas"/>
        <w:rPr>
          <w:rStyle w:val="tlid-translation"/>
          <w:rFonts w:asciiTheme="majorBidi" w:hAnsiTheme="majorBidi" w:cstheme="majorBidi"/>
          <w:lang w:val="lt-LT"/>
        </w:rPr>
      </w:pPr>
      <w:proofErr w:type="spellStart"/>
      <w:r w:rsidRPr="00963E81">
        <w:rPr>
          <w:rStyle w:val="tlid-translation"/>
          <w:rFonts w:asciiTheme="majorBidi" w:hAnsiTheme="majorBidi" w:cstheme="majorBidi"/>
          <w:lang w:val="lt-LT"/>
        </w:rPr>
        <w:t>Atenativ</w:t>
      </w:r>
      <w:proofErr w:type="spellEnd"/>
      <w:r w:rsidRPr="00963E81">
        <w:rPr>
          <w:rStyle w:val="tlid-translation"/>
          <w:rFonts w:asciiTheme="majorBidi" w:hAnsiTheme="majorBidi" w:cstheme="majorBidi"/>
          <w:lang w:val="lt-LT"/>
        </w:rPr>
        <w:t xml:space="preserve"> 500 TV: 1 flakonas su milteliais (500 TV) ir 1 flakonas injekcinio vandens (10 ml)</w:t>
      </w:r>
    </w:p>
    <w:p w:rsidR="000E6B4A" w:rsidRPr="00963E81" w:rsidRDefault="000E6B4A" w:rsidP="000E6B4A">
      <w:pPr>
        <w:pStyle w:val="Pagrindinistekstas"/>
        <w:rPr>
          <w:rStyle w:val="tlid-translation"/>
          <w:rFonts w:asciiTheme="majorBidi" w:hAnsiTheme="majorBidi" w:cstheme="majorBidi"/>
          <w:lang w:val="lt-LT"/>
        </w:rPr>
      </w:pPr>
      <w:proofErr w:type="spellStart"/>
      <w:r w:rsidRPr="00963E81">
        <w:rPr>
          <w:rStyle w:val="tlid-translation"/>
          <w:rFonts w:asciiTheme="majorBidi" w:hAnsiTheme="majorBidi" w:cstheme="majorBidi"/>
          <w:lang w:val="lt-LT"/>
        </w:rPr>
        <w:t>Atenativ</w:t>
      </w:r>
      <w:proofErr w:type="spellEnd"/>
      <w:r w:rsidRPr="00963E81">
        <w:rPr>
          <w:rStyle w:val="tlid-translation"/>
          <w:rFonts w:asciiTheme="majorBidi" w:hAnsiTheme="majorBidi" w:cstheme="majorBidi"/>
          <w:lang w:val="lt-LT"/>
        </w:rPr>
        <w:t xml:space="preserve"> 1000 TV: 1 flakonas su milteliais (1000 TV) ir 1 flakonas injekcinio vandens (20 ml)</w:t>
      </w:r>
    </w:p>
    <w:p w:rsidR="000E6B4A" w:rsidRPr="00963E81" w:rsidRDefault="000E6B4A" w:rsidP="000E6B4A">
      <w:pPr>
        <w:pStyle w:val="Pagrindinistekstas"/>
        <w:rPr>
          <w:rStyle w:val="tlid-translation"/>
          <w:rFonts w:asciiTheme="majorBidi" w:hAnsiTheme="majorBidi" w:cstheme="majorBidi"/>
          <w:lang w:val="lt-LT"/>
        </w:rPr>
      </w:pPr>
    </w:p>
    <w:p w:rsidR="000E6B4A" w:rsidRPr="00963E81" w:rsidRDefault="000E6B4A" w:rsidP="000E6B4A">
      <w:pPr>
        <w:pStyle w:val="Pagrindinistekstas"/>
        <w:rPr>
          <w:rStyle w:val="tlid-translation"/>
          <w:rFonts w:asciiTheme="majorBidi" w:hAnsiTheme="majorBidi" w:cstheme="majorBidi"/>
          <w:lang w:val="lt-LT"/>
        </w:rPr>
      </w:pPr>
      <w:proofErr w:type="spellStart"/>
      <w:r w:rsidRPr="00963E81">
        <w:rPr>
          <w:rStyle w:val="tlid-translation"/>
          <w:rFonts w:asciiTheme="majorBidi" w:hAnsiTheme="majorBidi" w:cstheme="majorBidi"/>
          <w:lang w:val="lt-LT"/>
        </w:rPr>
        <w:t>Atenativ</w:t>
      </w:r>
      <w:proofErr w:type="spellEnd"/>
      <w:r w:rsidRPr="00963E81">
        <w:rPr>
          <w:rStyle w:val="tlid-translation"/>
          <w:rFonts w:asciiTheme="majorBidi" w:hAnsiTheme="majorBidi" w:cstheme="majorBidi"/>
          <w:lang w:val="lt-LT"/>
        </w:rPr>
        <w:t xml:space="preserve"> pakuotės gali būti dviejų skirtingų dydžių: 500 TV arba 1000 TV</w:t>
      </w:r>
    </w:p>
    <w:p w:rsidR="000E6B4A" w:rsidRPr="00963E81" w:rsidRDefault="000E6B4A" w:rsidP="000E6B4A">
      <w:pPr>
        <w:pStyle w:val="Pagrindinistekstas"/>
        <w:rPr>
          <w:rStyle w:val="tlid-translation"/>
          <w:rFonts w:asciiTheme="majorBidi" w:hAnsiTheme="majorBidi" w:cstheme="majorBidi"/>
          <w:lang w:val="lt-LT"/>
        </w:rPr>
      </w:pPr>
      <w:r w:rsidRPr="00963E81">
        <w:rPr>
          <w:rStyle w:val="tlid-translation"/>
          <w:rFonts w:asciiTheme="majorBidi" w:hAnsiTheme="majorBidi" w:cstheme="majorBidi"/>
          <w:lang w:val="lt-LT"/>
        </w:rPr>
        <w:t>Gali būti tiekiamos ne visų dydžių pakuotės.</w:t>
      </w:r>
    </w:p>
    <w:p w:rsidR="000E6B4A" w:rsidRPr="00963E81" w:rsidRDefault="000E6B4A" w:rsidP="000E6B4A">
      <w:pPr>
        <w:pStyle w:val="Pagrindinistekstas"/>
        <w:rPr>
          <w:rFonts w:asciiTheme="majorBidi" w:hAnsiTheme="majorBidi" w:cstheme="majorBidi"/>
          <w:lang w:val="lt-LT"/>
        </w:rPr>
      </w:pPr>
    </w:p>
    <w:p w:rsidR="000E6B4A" w:rsidRPr="00963E81" w:rsidRDefault="000E6B4A" w:rsidP="000E6B4A">
      <w:pPr>
        <w:pStyle w:val="Antrat2"/>
        <w:rPr>
          <w:rFonts w:asciiTheme="majorBidi" w:hAnsiTheme="majorBidi" w:cstheme="majorBidi"/>
          <w:i/>
        </w:rPr>
      </w:pPr>
      <w:r w:rsidRPr="00963E81">
        <w:rPr>
          <w:rFonts w:asciiTheme="majorBidi" w:hAnsiTheme="majorBidi" w:cstheme="majorBidi"/>
        </w:rPr>
        <w:t>Registruotojas ir gamintojas</w:t>
      </w:r>
    </w:p>
    <w:p w:rsidR="000E6B4A" w:rsidRPr="00963E81" w:rsidRDefault="000E6B4A" w:rsidP="000E6B4A">
      <w:pPr>
        <w:pStyle w:val="Pagrindinistekstas"/>
        <w:rPr>
          <w:rFonts w:asciiTheme="majorBidi" w:hAnsiTheme="majorBidi" w:cstheme="majorBidi"/>
          <w:lang w:val="lt-LT"/>
        </w:rPr>
      </w:pPr>
    </w:p>
    <w:p w:rsidR="000E6B4A" w:rsidRPr="00963E81" w:rsidRDefault="000E6B4A" w:rsidP="000E6B4A">
      <w:pPr>
        <w:pStyle w:val="Pagrindinistekstas"/>
        <w:rPr>
          <w:u w:val="single"/>
          <w:lang w:val="lt-LT"/>
        </w:rPr>
      </w:pPr>
      <w:r w:rsidRPr="00963E81">
        <w:rPr>
          <w:u w:val="single"/>
          <w:lang w:val="lt-LT"/>
        </w:rPr>
        <w:t>Registruotojas:</w:t>
      </w:r>
    </w:p>
    <w:p w:rsidR="000E6B4A" w:rsidRDefault="000E6B4A" w:rsidP="000E6B4A">
      <w:pPr>
        <w:pStyle w:val="Pagrindinistekstas"/>
        <w:rPr>
          <w:lang w:val="lt-LT"/>
        </w:rPr>
      </w:pPr>
      <w:proofErr w:type="spellStart"/>
      <w:r w:rsidRPr="00963E81">
        <w:rPr>
          <w:lang w:val="lt-LT"/>
        </w:rPr>
        <w:t>Octapharma</w:t>
      </w:r>
      <w:proofErr w:type="spellEnd"/>
      <w:r w:rsidRPr="00963E81">
        <w:rPr>
          <w:lang w:val="lt-LT"/>
        </w:rPr>
        <w:t xml:space="preserve"> (IP) SPRL</w:t>
      </w:r>
      <w:r w:rsidRPr="00963E81">
        <w:rPr>
          <w:lang w:val="lt-LT"/>
        </w:rPr>
        <w:br/>
      </w:r>
      <w:proofErr w:type="spellStart"/>
      <w:r w:rsidRPr="006F5ED3">
        <w:rPr>
          <w:lang w:val="lt-LT"/>
        </w:rPr>
        <w:t>Route</w:t>
      </w:r>
      <w:proofErr w:type="spellEnd"/>
      <w:r w:rsidRPr="006F5ED3">
        <w:rPr>
          <w:lang w:val="lt-LT"/>
        </w:rPr>
        <w:t xml:space="preserve"> de </w:t>
      </w:r>
      <w:proofErr w:type="spellStart"/>
      <w:r w:rsidRPr="006F5ED3">
        <w:rPr>
          <w:lang w:val="lt-LT"/>
        </w:rPr>
        <w:t>Lennik</w:t>
      </w:r>
      <w:proofErr w:type="spellEnd"/>
      <w:r w:rsidRPr="006F5ED3">
        <w:rPr>
          <w:lang w:val="lt-LT"/>
        </w:rPr>
        <w:t xml:space="preserve"> 451</w:t>
      </w:r>
    </w:p>
    <w:p w:rsidR="000E6B4A" w:rsidRPr="00963E81" w:rsidRDefault="000E6B4A" w:rsidP="000E6B4A">
      <w:pPr>
        <w:pStyle w:val="Pagrindinistekstas"/>
        <w:rPr>
          <w:lang w:val="lt-LT"/>
        </w:rPr>
      </w:pPr>
      <w:bookmarkStart w:id="0" w:name="_GoBack"/>
      <w:bookmarkEnd w:id="0"/>
      <w:r w:rsidRPr="00963E81">
        <w:rPr>
          <w:lang w:val="lt-LT"/>
        </w:rPr>
        <w:t>1070 Anderlecht</w:t>
      </w:r>
    </w:p>
    <w:p w:rsidR="000E6B4A" w:rsidRPr="00963E81" w:rsidRDefault="000E6B4A" w:rsidP="000E6B4A">
      <w:pPr>
        <w:pStyle w:val="Pagrindinistekstas"/>
        <w:rPr>
          <w:lang w:val="lt-LT"/>
        </w:rPr>
      </w:pPr>
      <w:r w:rsidRPr="00963E81">
        <w:rPr>
          <w:lang w:val="lt-LT"/>
        </w:rPr>
        <w:t>Belgija</w:t>
      </w:r>
    </w:p>
    <w:p w:rsidR="000E6B4A" w:rsidRPr="00963E81" w:rsidRDefault="000E6B4A" w:rsidP="000E6B4A">
      <w:pPr>
        <w:pStyle w:val="Pagrindinistekstas"/>
        <w:rPr>
          <w:lang w:val="lt-LT"/>
        </w:rPr>
      </w:pPr>
    </w:p>
    <w:p w:rsidR="000E6B4A" w:rsidRPr="00963E81" w:rsidRDefault="000E6B4A" w:rsidP="000E6B4A">
      <w:pPr>
        <w:pStyle w:val="Antrat3"/>
      </w:pPr>
      <w:r w:rsidRPr="00963E81">
        <w:t>Gamintojas:</w:t>
      </w:r>
    </w:p>
    <w:p w:rsidR="000E6B4A" w:rsidRPr="00963E81" w:rsidRDefault="000E6B4A" w:rsidP="000E6B4A">
      <w:pPr>
        <w:tabs>
          <w:tab w:val="left" w:pos="1701"/>
          <w:tab w:val="left" w:pos="2835"/>
        </w:tabs>
        <w:ind w:left="709" w:hanging="709"/>
        <w:jc w:val="both"/>
      </w:pPr>
      <w:proofErr w:type="spellStart"/>
      <w:r w:rsidRPr="00963E81">
        <w:t>Octapharma</w:t>
      </w:r>
      <w:proofErr w:type="spellEnd"/>
      <w:r w:rsidRPr="00963E81">
        <w:t xml:space="preserve"> AB</w:t>
      </w:r>
    </w:p>
    <w:p w:rsidR="000E6B4A" w:rsidRPr="00963E81" w:rsidRDefault="000E6B4A" w:rsidP="000E6B4A">
      <w:pPr>
        <w:pStyle w:val="Pagrindinistekstas"/>
        <w:rPr>
          <w:lang w:val="lt-LT"/>
        </w:rPr>
      </w:pPr>
      <w:proofErr w:type="spellStart"/>
      <w:r w:rsidRPr="00963E81">
        <w:rPr>
          <w:lang w:val="lt-LT"/>
        </w:rPr>
        <w:t>Lars</w:t>
      </w:r>
      <w:proofErr w:type="spellEnd"/>
      <w:r w:rsidRPr="00963E81">
        <w:rPr>
          <w:lang w:val="lt-LT"/>
        </w:rPr>
        <w:t xml:space="preserve"> </w:t>
      </w:r>
      <w:proofErr w:type="spellStart"/>
      <w:r w:rsidRPr="00963E81">
        <w:rPr>
          <w:lang w:val="lt-LT"/>
        </w:rPr>
        <w:t>Forssells</w:t>
      </w:r>
      <w:proofErr w:type="spellEnd"/>
      <w:r w:rsidRPr="00963E81">
        <w:rPr>
          <w:lang w:val="lt-LT"/>
        </w:rPr>
        <w:t xml:space="preserve"> </w:t>
      </w:r>
      <w:proofErr w:type="spellStart"/>
      <w:r w:rsidRPr="00963E81">
        <w:rPr>
          <w:lang w:val="lt-LT"/>
        </w:rPr>
        <w:t>Gata</w:t>
      </w:r>
      <w:proofErr w:type="spellEnd"/>
      <w:r w:rsidRPr="00963E81">
        <w:rPr>
          <w:lang w:val="lt-LT"/>
        </w:rPr>
        <w:t xml:space="preserve"> 23</w:t>
      </w:r>
    </w:p>
    <w:p w:rsidR="000E6B4A" w:rsidRPr="00963E81" w:rsidRDefault="000E6B4A" w:rsidP="000E6B4A">
      <w:pPr>
        <w:pStyle w:val="Pagrindinistekstas"/>
        <w:rPr>
          <w:lang w:val="lt-LT"/>
        </w:rPr>
      </w:pPr>
      <w:r w:rsidRPr="00963E81">
        <w:rPr>
          <w:lang w:val="lt-LT"/>
        </w:rPr>
        <w:t xml:space="preserve">112 75 </w:t>
      </w:r>
      <w:proofErr w:type="spellStart"/>
      <w:r w:rsidRPr="00963E81">
        <w:rPr>
          <w:lang w:val="lt-LT"/>
        </w:rPr>
        <w:t>Stockholm</w:t>
      </w:r>
      <w:proofErr w:type="spellEnd"/>
    </w:p>
    <w:p w:rsidR="000E6B4A" w:rsidRPr="00963E81" w:rsidRDefault="000E6B4A" w:rsidP="000E6B4A">
      <w:pPr>
        <w:pStyle w:val="Pagrindinistekstas"/>
        <w:rPr>
          <w:lang w:val="lt-LT"/>
        </w:rPr>
      </w:pPr>
      <w:r w:rsidRPr="00963E81">
        <w:rPr>
          <w:lang w:val="lt-LT"/>
        </w:rPr>
        <w:t>Švedija</w:t>
      </w:r>
    </w:p>
    <w:p w:rsidR="000E6B4A" w:rsidRPr="00963E81" w:rsidRDefault="000E6B4A" w:rsidP="000E6B4A">
      <w:pPr>
        <w:pStyle w:val="Pagrindinistekstas"/>
        <w:rPr>
          <w:lang w:val="lt-LT"/>
        </w:rPr>
      </w:pPr>
    </w:p>
    <w:p w:rsidR="000E6B4A" w:rsidRPr="00963E81" w:rsidRDefault="000E6B4A" w:rsidP="000E6B4A">
      <w:r w:rsidRPr="00963E81">
        <w:rPr>
          <w:b/>
        </w:rPr>
        <w:t>Šis vaistas EEE valstybėse narėse registruotas tokiais pavadinimais:</w:t>
      </w:r>
    </w:p>
    <w:p w:rsidR="000E6B4A" w:rsidRPr="00963E81" w:rsidRDefault="000E6B4A" w:rsidP="000E6B4A">
      <w:pPr>
        <w:pStyle w:val="Pagrindinistekstas"/>
        <w:rPr>
          <w:lang w:val="lt-LT"/>
        </w:rPr>
      </w:pPr>
      <w:r w:rsidRPr="00963E81">
        <w:rPr>
          <w:lang w:val="lt-LT"/>
        </w:rPr>
        <w:t xml:space="preserve">Austrija, Kroatija, Čekija, Danija, </w:t>
      </w:r>
      <w:r w:rsidRPr="006150FC">
        <w:rPr>
          <w:lang w:val="lt-LT"/>
        </w:rPr>
        <w:t>Estija,</w:t>
      </w:r>
      <w:r w:rsidRPr="00963E81">
        <w:rPr>
          <w:lang w:val="lt-LT"/>
        </w:rPr>
        <w:t xml:space="preserve"> Suomija, </w:t>
      </w:r>
      <w:r w:rsidRPr="00CB6F14">
        <w:rPr>
          <w:rStyle w:val="tlid-translation"/>
          <w:rFonts w:asciiTheme="majorBidi" w:hAnsiTheme="majorBidi" w:cstheme="majorBidi"/>
          <w:lang w:val="lt-LT"/>
        </w:rPr>
        <w:t>Prancūzija</w:t>
      </w:r>
      <w:r w:rsidRPr="00963E81">
        <w:rPr>
          <w:rStyle w:val="tlid-translation"/>
          <w:rFonts w:ascii="Roboto" w:hAnsi="Roboto"/>
          <w:lang w:val="lt-LT"/>
        </w:rPr>
        <w:t>,</w:t>
      </w:r>
      <w:r w:rsidRPr="00963E81">
        <w:rPr>
          <w:lang w:val="lt-LT"/>
        </w:rPr>
        <w:t xml:space="preserve"> Vokietija, Vengrija, Italija, </w:t>
      </w:r>
      <w:r w:rsidRPr="00963E81">
        <w:rPr>
          <w:rStyle w:val="tlid-translation"/>
          <w:rFonts w:ascii="Roboto" w:hAnsi="Roboto"/>
          <w:lang w:val="lt-LT"/>
        </w:rPr>
        <w:t>Latvija,</w:t>
      </w:r>
      <w:r w:rsidRPr="00963E81">
        <w:rPr>
          <w:lang w:val="lt-LT"/>
        </w:rPr>
        <w:t xml:space="preserve"> </w:t>
      </w:r>
      <w:r w:rsidRPr="00963E81">
        <w:rPr>
          <w:rStyle w:val="tlid-translation"/>
          <w:rFonts w:ascii="Roboto" w:hAnsi="Roboto"/>
          <w:lang w:val="lt-LT"/>
        </w:rPr>
        <w:t xml:space="preserve">Lietuva, </w:t>
      </w:r>
      <w:r w:rsidRPr="00DE3051">
        <w:rPr>
          <w:lang w:val="lt-LT"/>
        </w:rPr>
        <w:t xml:space="preserve">Nyderlandai, Norvegija, Lenkija, Portugalija, Rumunija, Slovakija,  </w:t>
      </w:r>
      <w:r w:rsidRPr="00DE3051">
        <w:rPr>
          <w:rStyle w:val="tlid-translation"/>
          <w:rFonts w:ascii="Roboto" w:hAnsi="Roboto"/>
          <w:lang w:val="lt-LT"/>
        </w:rPr>
        <w:t>Slovėnija,</w:t>
      </w:r>
      <w:r w:rsidRPr="00963E81">
        <w:rPr>
          <w:lang w:val="lt-LT"/>
        </w:rPr>
        <w:t xml:space="preserve"> Ispanija, Švedija: </w:t>
      </w:r>
      <w:proofErr w:type="spellStart"/>
      <w:r w:rsidRPr="00963E81">
        <w:rPr>
          <w:lang w:val="lt-LT"/>
        </w:rPr>
        <w:t>Atenativ</w:t>
      </w:r>
      <w:proofErr w:type="spellEnd"/>
    </w:p>
    <w:p w:rsidR="000E6B4A" w:rsidRPr="00963E81" w:rsidRDefault="000E6B4A" w:rsidP="000E6B4A">
      <w:pPr>
        <w:pStyle w:val="Pagrindinistekstas"/>
        <w:rPr>
          <w:lang w:val="lt-LT"/>
        </w:rPr>
      </w:pPr>
    </w:p>
    <w:p w:rsidR="000E6B4A" w:rsidRPr="00963E81" w:rsidRDefault="000E6B4A" w:rsidP="000E6B4A">
      <w:pPr>
        <w:pStyle w:val="Antrat2"/>
        <w:rPr>
          <w:i/>
        </w:rPr>
      </w:pPr>
      <w:r w:rsidRPr="00963E81">
        <w:t>Šis pakuotės lapelis paskutinį kartą peržiūrėtas</w:t>
      </w:r>
      <w:r>
        <w:t xml:space="preserve"> 2025-04-23</w:t>
      </w:r>
      <w:r w:rsidRPr="00963E81">
        <w:t xml:space="preserve">. </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p>
    <w:p w:rsidR="000E6B4A" w:rsidRPr="00963E81" w:rsidRDefault="000E6B4A" w:rsidP="000E6B4A">
      <w:pPr>
        <w:numPr>
          <w:ilvl w:val="12"/>
          <w:numId w:val="0"/>
        </w:numPr>
        <w:ind w:right="-2"/>
        <w:rPr>
          <w:szCs w:val="24"/>
        </w:rPr>
      </w:pPr>
      <w:r w:rsidRPr="00963E81">
        <w:t xml:space="preserve">Išsami informacija apie šį </w:t>
      </w:r>
      <w:r w:rsidRPr="00963E81">
        <w:rPr>
          <w:szCs w:val="24"/>
        </w:rPr>
        <w:t>vaistą</w:t>
      </w:r>
      <w:r w:rsidRPr="00963E81">
        <w:t xml:space="preserve"> pateikiama Valstybinės vaistų kontrolės tarnybos prie Lietuvos Respublikos sveikatos apsaugos ministerijos tinklalapyje</w:t>
      </w:r>
      <w:r w:rsidRPr="00963E81">
        <w:rPr>
          <w:i/>
          <w:szCs w:val="24"/>
        </w:rPr>
        <w:t xml:space="preserve"> </w:t>
      </w:r>
      <w:hyperlink r:id="rId8" w:history="1">
        <w:r w:rsidRPr="00963E81">
          <w:rPr>
            <w:rStyle w:val="Hipersaitas"/>
          </w:rPr>
          <w:t>http://www.vvkt.lt/</w:t>
        </w:r>
      </w:hyperlink>
      <w:r w:rsidRPr="00963E81">
        <w:t>.</w:t>
      </w:r>
    </w:p>
    <w:p w:rsidR="000E6B4A" w:rsidRPr="00963E81" w:rsidRDefault="000E6B4A" w:rsidP="000E6B4A">
      <w:pPr>
        <w:pStyle w:val="Pagrindinistekstas"/>
        <w:rPr>
          <w:lang w:val="lt-LT"/>
        </w:rPr>
      </w:pPr>
    </w:p>
    <w:p w:rsidR="000E6B4A" w:rsidRPr="00963E81" w:rsidRDefault="000E6B4A" w:rsidP="000E6B4A">
      <w:pPr>
        <w:autoSpaceDE w:val="0"/>
        <w:autoSpaceDN w:val="0"/>
        <w:adjustRightInd w:val="0"/>
        <w:rPr>
          <w:rFonts w:ascii="TimesNewRomanPSMT" w:hAnsi="TimesNewRomanPSMT" w:cs="TimesNewRomanPSMT"/>
        </w:rPr>
      </w:pPr>
      <w:r w:rsidRPr="00963E81">
        <w:rPr>
          <w:rFonts w:ascii="TimesNewRomanPSMT" w:hAnsi="TimesNewRomanPSMT" w:cs="TimesNewRomanPSMT"/>
        </w:rPr>
        <w:t>-----------------------------------------------------------------------------------------------</w:t>
      </w:r>
    </w:p>
    <w:p w:rsidR="000E6B4A" w:rsidRPr="00963E81" w:rsidRDefault="000E6B4A" w:rsidP="000E6B4A">
      <w:pPr>
        <w:autoSpaceDE w:val="0"/>
        <w:autoSpaceDN w:val="0"/>
        <w:adjustRightInd w:val="0"/>
        <w:rPr>
          <w:rFonts w:ascii="TimesNewRomanPSMT" w:hAnsi="TimesNewRomanPSMT" w:cs="TimesNewRomanPSMT"/>
        </w:rPr>
      </w:pPr>
    </w:p>
    <w:p w:rsidR="000E6B4A" w:rsidRPr="00CB6F14" w:rsidRDefault="000E6B4A" w:rsidP="000E6B4A">
      <w:pPr>
        <w:pStyle w:val="Pagrindinistekstas"/>
        <w:rPr>
          <w:lang w:val="lt-LT"/>
        </w:rPr>
      </w:pPr>
      <w:r w:rsidRPr="00CB6F14">
        <w:rPr>
          <w:lang w:val="lt-LT"/>
        </w:rPr>
        <w:t>Toliau pateikta informacija skirta tik sveikatos priežiūros specialistams.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proofErr w:type="spellStart"/>
      <w:r w:rsidRPr="00963E81">
        <w:rPr>
          <w:lang w:val="lt-LT"/>
        </w:rPr>
        <w:t>Antitrombiną</w:t>
      </w:r>
      <w:proofErr w:type="spellEnd"/>
      <w:r w:rsidRPr="00963E81">
        <w:rPr>
          <w:lang w:val="lt-LT"/>
        </w:rPr>
        <w:t xml:space="preserve"> reikia skirti tik pasitarus su krešėjimo specialistu.</w:t>
      </w:r>
    </w:p>
    <w:p w:rsidR="000E6B4A" w:rsidRPr="00CB6F14" w:rsidRDefault="000E6B4A" w:rsidP="000E6B4A">
      <w:pPr>
        <w:pStyle w:val="Pagrindinistekstas"/>
        <w:rPr>
          <w:lang w:val="lt-LT"/>
        </w:rPr>
      </w:pPr>
    </w:p>
    <w:p w:rsidR="000E6B4A" w:rsidRPr="00963E81" w:rsidRDefault="000E6B4A" w:rsidP="000E6B4A">
      <w:pPr>
        <w:pStyle w:val="Antrat3"/>
      </w:pPr>
      <w:r w:rsidRPr="00963E81">
        <w:t>Dozavimas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Esant įgimtai </w:t>
      </w:r>
      <w:proofErr w:type="spellStart"/>
      <w:r w:rsidRPr="00963E81">
        <w:rPr>
          <w:lang w:val="lt-LT"/>
        </w:rPr>
        <w:t>antitrombino</w:t>
      </w:r>
      <w:proofErr w:type="spellEnd"/>
      <w:r w:rsidRPr="00963E81">
        <w:rPr>
          <w:lang w:val="lt-LT"/>
        </w:rPr>
        <w:t xml:space="preserve"> stokai, dozavimas nustatomas kiekvienam pacientui individualiai, </w:t>
      </w:r>
      <w:r w:rsidRPr="00963E81">
        <w:rPr>
          <w:lang w:val="lt-LT"/>
        </w:rPr>
        <w:lastRenderedPageBreak/>
        <w:t xml:space="preserve">atsižvelgiant į buvusius </w:t>
      </w:r>
      <w:proofErr w:type="spellStart"/>
      <w:r w:rsidRPr="00963E81">
        <w:rPr>
          <w:lang w:val="lt-LT"/>
        </w:rPr>
        <w:t>tromboembolijos</w:t>
      </w:r>
      <w:proofErr w:type="spellEnd"/>
      <w:r w:rsidRPr="00963E81">
        <w:rPr>
          <w:lang w:val="lt-LT"/>
        </w:rPr>
        <w:t xml:space="preserve"> atvejus šeimoje, dabartinius klinikinius rizikos faktorius ir laboratorinius tyrimus.</w:t>
      </w:r>
    </w:p>
    <w:p w:rsidR="000E6B4A" w:rsidRPr="00963E81" w:rsidRDefault="000E6B4A" w:rsidP="000E6B4A">
      <w:pPr>
        <w:tabs>
          <w:tab w:val="left" w:pos="567"/>
        </w:tabs>
        <w:spacing w:line="260" w:lineRule="exact"/>
        <w:rPr>
          <w:rFonts w:eastAsia="Times New Roman"/>
          <w:lang w:eastAsia="en-US"/>
        </w:rPr>
      </w:pPr>
      <w:r w:rsidRPr="00963E81">
        <w:rPr>
          <w:rFonts w:eastAsia="Calibri"/>
          <w:lang w:eastAsia="en-US"/>
        </w:rPr>
        <w:t xml:space="preserve">Pakeičiamojo gydymo dozavimas ir trukmė esant įgytai stokai priklauso nuo </w:t>
      </w:r>
      <w:proofErr w:type="spellStart"/>
      <w:r w:rsidRPr="00963E81">
        <w:rPr>
          <w:rFonts w:eastAsia="Calibri"/>
          <w:lang w:eastAsia="en-US"/>
        </w:rPr>
        <w:t>antitrombino</w:t>
      </w:r>
      <w:proofErr w:type="spellEnd"/>
      <w:r w:rsidRPr="00963E81">
        <w:rPr>
          <w:rFonts w:eastAsia="Calibri"/>
          <w:lang w:eastAsia="en-US"/>
        </w:rPr>
        <w:t xml:space="preserve"> aktyvumo plazmoje, padidėjusios </w:t>
      </w:r>
      <w:proofErr w:type="spellStart"/>
      <w:r w:rsidRPr="00963E81">
        <w:rPr>
          <w:rFonts w:eastAsia="Calibri"/>
          <w:lang w:eastAsia="en-US"/>
        </w:rPr>
        <w:t>antitrombino</w:t>
      </w:r>
      <w:proofErr w:type="spellEnd"/>
      <w:r w:rsidRPr="00963E81">
        <w:rPr>
          <w:rFonts w:eastAsia="Calibri"/>
          <w:lang w:eastAsia="en-US"/>
        </w:rPr>
        <w:t xml:space="preserve"> apykaitos požymių buvimo, pagrindinio sutrikimo ir klinikinės būklės sunkumo. Vartojamas kiekis ir vartojimo dažnis visada turi būti pritaikomas individualiai, atsižvelgiant į klinikinį veiksmingumą ir laboratorinių tyrimų analizę.</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Skiriamo </w:t>
      </w:r>
      <w:proofErr w:type="spellStart"/>
      <w:r w:rsidRPr="00963E81">
        <w:rPr>
          <w:lang w:val="lt-LT"/>
        </w:rPr>
        <w:t>antitrombino</w:t>
      </w:r>
      <w:proofErr w:type="spellEnd"/>
      <w:r w:rsidRPr="00963E81">
        <w:rPr>
          <w:lang w:val="lt-LT"/>
        </w:rPr>
        <w:t xml:space="preserve"> kiekis yra išreikštas tarptautiniais vienetais (TV), atitinkančiais dabartinę PSO </w:t>
      </w:r>
      <w:proofErr w:type="spellStart"/>
      <w:r w:rsidRPr="00963E81">
        <w:rPr>
          <w:lang w:val="lt-LT"/>
        </w:rPr>
        <w:t>antitrombino</w:t>
      </w:r>
      <w:proofErr w:type="spellEnd"/>
      <w:r w:rsidRPr="00963E81">
        <w:rPr>
          <w:lang w:val="lt-LT"/>
        </w:rPr>
        <w:t xml:space="preserve"> normą. </w:t>
      </w:r>
      <w:proofErr w:type="spellStart"/>
      <w:r w:rsidRPr="00963E81">
        <w:rPr>
          <w:lang w:val="lt-LT"/>
        </w:rPr>
        <w:t>Antitrombino</w:t>
      </w:r>
      <w:proofErr w:type="spellEnd"/>
      <w:r w:rsidRPr="00963E81">
        <w:rPr>
          <w:lang w:val="lt-LT"/>
        </w:rPr>
        <w:t xml:space="preserve"> aktyvumas plazmoje yra išreikštas procentais (santykis su normalia žmogaus plazma) arba tarptautiniais vienetais (santykis su tarptautine </w:t>
      </w:r>
      <w:proofErr w:type="spellStart"/>
      <w:r w:rsidRPr="00963E81">
        <w:rPr>
          <w:lang w:val="lt-LT"/>
        </w:rPr>
        <w:t>antitrombino</w:t>
      </w:r>
      <w:proofErr w:type="spellEnd"/>
      <w:r w:rsidRPr="00963E81">
        <w:rPr>
          <w:lang w:val="lt-LT"/>
        </w:rPr>
        <w:t xml:space="preserve"> plazmoje norma).</w:t>
      </w:r>
    </w:p>
    <w:p w:rsidR="000E6B4A" w:rsidRPr="00963E81" w:rsidRDefault="000E6B4A" w:rsidP="000E6B4A">
      <w:pPr>
        <w:pStyle w:val="Pagrindinistekstas"/>
        <w:keepNext/>
        <w:keepLines/>
        <w:widowControl/>
        <w:rPr>
          <w:lang w:val="lt-LT"/>
        </w:rPr>
      </w:pPr>
      <w:r w:rsidRPr="00963E81">
        <w:rPr>
          <w:lang w:val="lt-LT"/>
        </w:rPr>
        <w:t xml:space="preserve">Vienas tarptautinis </w:t>
      </w:r>
      <w:proofErr w:type="spellStart"/>
      <w:r w:rsidRPr="00963E81">
        <w:rPr>
          <w:lang w:val="lt-LT"/>
        </w:rPr>
        <w:t>antitrombino</w:t>
      </w:r>
      <w:proofErr w:type="spellEnd"/>
      <w:r w:rsidRPr="00963E81">
        <w:rPr>
          <w:lang w:val="lt-LT"/>
        </w:rPr>
        <w:t xml:space="preserve"> aktyvumo vienetas (TV) atitinka </w:t>
      </w:r>
      <w:proofErr w:type="spellStart"/>
      <w:r w:rsidRPr="00963E81">
        <w:rPr>
          <w:lang w:val="lt-LT"/>
        </w:rPr>
        <w:t>antitrombino</w:t>
      </w:r>
      <w:proofErr w:type="spellEnd"/>
      <w:r w:rsidRPr="00963E81">
        <w:rPr>
          <w:lang w:val="lt-LT"/>
        </w:rPr>
        <w:t xml:space="preserve"> kiekį viename normalios žmogaus plazmos mililitre. Reikalinga </w:t>
      </w:r>
      <w:proofErr w:type="spellStart"/>
      <w:r w:rsidRPr="00963E81">
        <w:rPr>
          <w:lang w:val="lt-LT"/>
        </w:rPr>
        <w:t>antitrombino</w:t>
      </w:r>
      <w:proofErr w:type="spellEnd"/>
      <w:r w:rsidRPr="00963E81">
        <w:rPr>
          <w:lang w:val="lt-LT"/>
        </w:rPr>
        <w:t xml:space="preserve"> dozė nustatoma remiantis  empiriniais duomenimis, kad 1 tarptautinis </w:t>
      </w:r>
      <w:proofErr w:type="spellStart"/>
      <w:r w:rsidRPr="00963E81">
        <w:rPr>
          <w:lang w:val="lt-LT"/>
        </w:rPr>
        <w:t>antitrombino</w:t>
      </w:r>
      <w:proofErr w:type="spellEnd"/>
      <w:r w:rsidRPr="00963E81">
        <w:rPr>
          <w:lang w:val="lt-LT"/>
        </w:rPr>
        <w:t xml:space="preserve"> vienetas (TV) kilogramui kūno svorio </w:t>
      </w:r>
      <w:proofErr w:type="spellStart"/>
      <w:r w:rsidRPr="00963E81">
        <w:rPr>
          <w:lang w:val="lt-LT"/>
        </w:rPr>
        <w:t>antitrombino</w:t>
      </w:r>
      <w:proofErr w:type="spellEnd"/>
      <w:r w:rsidRPr="00963E81">
        <w:rPr>
          <w:lang w:val="lt-LT"/>
        </w:rPr>
        <w:t xml:space="preserve"> aktyvumą plazmoje padidina apytiksliai 1 % (koregavimo faktorius).</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Pradinė dozė nustatoma pagal šią formulę:</w:t>
      </w:r>
    </w:p>
    <w:p w:rsidR="000E6B4A" w:rsidRPr="00963E81" w:rsidRDefault="000E6B4A" w:rsidP="000E6B4A">
      <w:pPr>
        <w:rPr>
          <w:bCs/>
        </w:rPr>
      </w:pPr>
      <w:r w:rsidRPr="00963E81">
        <w:rPr>
          <w:b/>
          <w:bCs/>
        </w:rPr>
        <w:t xml:space="preserve">Reikiamas vienetų skaičius = kūno svoris (kg) x (tikslinis lygis – faktinis </w:t>
      </w:r>
      <w:proofErr w:type="spellStart"/>
      <w:r w:rsidRPr="00963E81">
        <w:rPr>
          <w:b/>
          <w:bCs/>
        </w:rPr>
        <w:t>antitrombino</w:t>
      </w:r>
      <w:proofErr w:type="spellEnd"/>
      <w:r w:rsidRPr="00963E81">
        <w:rPr>
          <w:b/>
          <w:bCs/>
        </w:rPr>
        <w:t xml:space="preserve"> aktyvumas [%]).</w:t>
      </w:r>
    </w:p>
    <w:p w:rsidR="000E6B4A" w:rsidRPr="00963E81" w:rsidRDefault="000E6B4A" w:rsidP="000E6B4A">
      <w:pPr>
        <w:pStyle w:val="Pagrindinistekstas"/>
        <w:rPr>
          <w:b/>
          <w:lang w:val="lt-LT"/>
        </w:rPr>
      </w:pPr>
    </w:p>
    <w:p w:rsidR="000E6B4A" w:rsidRPr="00963E81" w:rsidRDefault="000E6B4A" w:rsidP="000E6B4A">
      <w:pPr>
        <w:pStyle w:val="Pagrindinistekstas"/>
        <w:rPr>
          <w:lang w:val="lt-LT"/>
        </w:rPr>
      </w:pPr>
      <w:r w:rsidRPr="00963E81">
        <w:rPr>
          <w:lang w:val="lt-LT"/>
        </w:rPr>
        <w:t xml:space="preserve">Pradinis tikslinis </w:t>
      </w:r>
      <w:proofErr w:type="spellStart"/>
      <w:r w:rsidRPr="00963E81">
        <w:rPr>
          <w:lang w:val="lt-LT"/>
        </w:rPr>
        <w:t>antitrombino</w:t>
      </w:r>
      <w:proofErr w:type="spellEnd"/>
      <w:r w:rsidRPr="00963E81">
        <w:rPr>
          <w:lang w:val="lt-LT"/>
        </w:rPr>
        <w:t xml:space="preserve"> aktyvumas priklauso nuo klinikinės situacijos. Nustačius, kad reikalingas pakeičiamasis gydymas </w:t>
      </w:r>
      <w:proofErr w:type="spellStart"/>
      <w:r w:rsidRPr="00963E81">
        <w:rPr>
          <w:lang w:val="lt-LT"/>
        </w:rPr>
        <w:t>antitrombinu</w:t>
      </w:r>
      <w:proofErr w:type="spellEnd"/>
      <w:r w:rsidRPr="00963E81">
        <w:rPr>
          <w:lang w:val="lt-LT"/>
        </w:rPr>
        <w:t xml:space="preserve">, dozė turi būti pakankama, kad būtų pasiektas tikslinis </w:t>
      </w:r>
      <w:proofErr w:type="spellStart"/>
      <w:r w:rsidRPr="00963E81">
        <w:rPr>
          <w:lang w:val="lt-LT"/>
        </w:rPr>
        <w:t>antitrombino</w:t>
      </w:r>
      <w:proofErr w:type="spellEnd"/>
      <w:r w:rsidRPr="00963E81">
        <w:rPr>
          <w:lang w:val="lt-LT"/>
        </w:rPr>
        <w:t xml:space="preserve"> aktyvumas ir išlaikytas veiksmingas lygis. Dozė nustatoma ir kontroliuojama pagal </w:t>
      </w:r>
      <w:proofErr w:type="spellStart"/>
      <w:r w:rsidRPr="00963E81">
        <w:rPr>
          <w:lang w:val="lt-LT"/>
        </w:rPr>
        <w:t>antitrombino</w:t>
      </w:r>
      <w:proofErr w:type="spellEnd"/>
      <w:r w:rsidRPr="00963E81">
        <w:rPr>
          <w:lang w:val="lt-LT"/>
        </w:rPr>
        <w:t xml:space="preserve"> aktyvumo laboratorinių tyrimų duomenis. Tyrimai turi būti atliekami bent du kartus per dieną, kol ligonio būklė stabilizuojasi, po to – kartą per dieną ir pageidautina prieš pat kitą infuziją. Koreguojant dozę reikia atsižvelgti į padidėjusios </w:t>
      </w:r>
      <w:proofErr w:type="spellStart"/>
      <w:r w:rsidRPr="00963E81">
        <w:rPr>
          <w:lang w:val="lt-LT"/>
        </w:rPr>
        <w:t>antitrombino</w:t>
      </w:r>
      <w:proofErr w:type="spellEnd"/>
      <w:r w:rsidRPr="00963E81">
        <w:rPr>
          <w:lang w:val="lt-LT"/>
        </w:rPr>
        <w:t xml:space="preserve"> apykaitos požymius pagal laboratorinius tyrimus ir klinikinę eigą. Viso gydymo metu turi būti palaikomas didesnis kaip 80 % </w:t>
      </w:r>
      <w:proofErr w:type="spellStart"/>
      <w:r w:rsidRPr="00963E81">
        <w:rPr>
          <w:lang w:val="lt-LT"/>
        </w:rPr>
        <w:t>antitrombino</w:t>
      </w:r>
      <w:proofErr w:type="spellEnd"/>
      <w:r w:rsidRPr="00963E81">
        <w:rPr>
          <w:lang w:val="lt-LT"/>
        </w:rPr>
        <w:t xml:space="preserve"> aktyvumo lygis, jeigu skyriuje „Klinikinė informacija“ nenurodomi kiti veiksmingi lygiai.</w:t>
      </w:r>
    </w:p>
    <w:p w:rsidR="000E6B4A" w:rsidRPr="00963E81" w:rsidRDefault="000E6B4A" w:rsidP="000E6B4A">
      <w:pPr>
        <w:pStyle w:val="Pagrindinistekstas"/>
        <w:rPr>
          <w:lang w:val="lt-LT"/>
        </w:rPr>
      </w:pPr>
      <w:r w:rsidRPr="00963E81">
        <w:rPr>
          <w:lang w:val="lt-LT"/>
        </w:rPr>
        <w:t xml:space="preserve">Įprastai pradinė dozė esant įgimtai </w:t>
      </w:r>
      <w:proofErr w:type="spellStart"/>
      <w:r w:rsidRPr="00963E81">
        <w:rPr>
          <w:lang w:val="lt-LT"/>
        </w:rPr>
        <w:t>antitrombino</w:t>
      </w:r>
      <w:proofErr w:type="spellEnd"/>
      <w:r w:rsidRPr="00963E81">
        <w:rPr>
          <w:lang w:val="lt-LT"/>
        </w:rPr>
        <w:t xml:space="preserve"> stokai yra 30–50 TV/kg.</w:t>
      </w:r>
    </w:p>
    <w:p w:rsidR="000E6B4A" w:rsidRPr="00963E81" w:rsidRDefault="000E6B4A" w:rsidP="000E6B4A">
      <w:pPr>
        <w:pStyle w:val="Pagrindinistekstas"/>
        <w:rPr>
          <w:lang w:val="lt-LT"/>
        </w:rPr>
      </w:pPr>
      <w:r w:rsidRPr="00963E81">
        <w:rPr>
          <w:lang w:val="lt-LT"/>
        </w:rPr>
        <w:t>Po to dozė ir dažnis bei gydymo trukmė turi būti koreguojami atsižvelgiant į biologinius duomenis ir klinikinę situaciją.</w:t>
      </w:r>
    </w:p>
    <w:p w:rsidR="000E6B4A" w:rsidRPr="00963E81" w:rsidRDefault="000E6B4A" w:rsidP="000E6B4A">
      <w:pPr>
        <w:pStyle w:val="Pagrindinistekstas"/>
        <w:rPr>
          <w:lang w:val="lt-LT"/>
        </w:rPr>
      </w:pPr>
    </w:p>
    <w:p w:rsidR="000E6B4A" w:rsidRPr="00963E81" w:rsidRDefault="000E6B4A" w:rsidP="000E6B4A">
      <w:pPr>
        <w:pStyle w:val="Antrat3"/>
      </w:pPr>
      <w:r w:rsidRPr="00963E81">
        <w:t>Vartojimo metodas</w:t>
      </w:r>
    </w:p>
    <w:p w:rsidR="000E6B4A" w:rsidRPr="00963E81" w:rsidRDefault="000E6B4A" w:rsidP="000E6B4A">
      <w:pPr>
        <w:pStyle w:val="Pagrindinistekstas"/>
        <w:tabs>
          <w:tab w:val="left" w:pos="4019"/>
        </w:tabs>
        <w:rPr>
          <w:lang w:val="lt-LT"/>
        </w:rPr>
      </w:pPr>
      <w:r w:rsidRPr="00963E81">
        <w:rPr>
          <w:lang w:val="lt-LT"/>
        </w:rPr>
        <w:t>Vaistinis preparatas skirtas leisti  į veną.</w:t>
      </w:r>
      <w:r w:rsidRPr="00963E81">
        <w:rPr>
          <w:lang w:val="lt-LT"/>
        </w:rPr>
        <w:tab/>
      </w:r>
    </w:p>
    <w:p w:rsidR="000E6B4A" w:rsidRPr="00963E81" w:rsidRDefault="000E6B4A" w:rsidP="000E6B4A">
      <w:pPr>
        <w:pStyle w:val="Pagrindinistekstas"/>
        <w:rPr>
          <w:lang w:val="lt-LT"/>
        </w:rPr>
      </w:pPr>
      <w:r w:rsidRPr="00963E81">
        <w:rPr>
          <w:lang w:val="lt-LT"/>
        </w:rPr>
        <w:t>Infuzijos greitis suaugusiesiems turi neviršyti 300 TV/min.</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proofErr w:type="spellStart"/>
      <w:r w:rsidRPr="00963E81">
        <w:rPr>
          <w:lang w:val="lt-LT"/>
        </w:rPr>
        <w:t>Liofilizuoti</w:t>
      </w:r>
      <w:proofErr w:type="spellEnd"/>
      <w:r w:rsidRPr="00963E81">
        <w:rPr>
          <w:lang w:val="lt-LT"/>
        </w:rPr>
        <w:t xml:space="preserve"> milteliai ištirpinami steriliame injekciniame </w:t>
      </w:r>
      <w:proofErr w:type="spellStart"/>
      <w:r w:rsidRPr="00963E81">
        <w:rPr>
          <w:lang w:val="lt-LT"/>
        </w:rPr>
        <w:t>vandenyje.Po</w:t>
      </w:r>
      <w:proofErr w:type="spellEnd"/>
      <w:r w:rsidRPr="00963E81">
        <w:rPr>
          <w:lang w:val="lt-LT"/>
        </w:rPr>
        <w:t xml:space="preserve"> paruošimo </w:t>
      </w:r>
      <w:proofErr w:type="spellStart"/>
      <w:r w:rsidRPr="00963E81">
        <w:rPr>
          <w:lang w:val="lt-LT"/>
        </w:rPr>
        <w:t>Atenativ</w:t>
      </w:r>
      <w:proofErr w:type="spellEnd"/>
      <w:r w:rsidRPr="00963E81">
        <w:rPr>
          <w:lang w:val="lt-LT"/>
        </w:rPr>
        <w:t xml:space="preserve"> galima sumaišyti su </w:t>
      </w:r>
      <w:proofErr w:type="spellStart"/>
      <w:r w:rsidRPr="00963E81">
        <w:rPr>
          <w:lang w:val="lt-LT"/>
        </w:rPr>
        <w:t>izotoniniu</w:t>
      </w:r>
      <w:proofErr w:type="spellEnd"/>
      <w:r w:rsidRPr="00963E81">
        <w:rPr>
          <w:lang w:val="lt-LT"/>
        </w:rPr>
        <w:t xml:space="preserve"> natrio chlorido tirpalu (9 mg/ml) ir (arba) </w:t>
      </w:r>
      <w:proofErr w:type="spellStart"/>
      <w:r w:rsidRPr="00963E81">
        <w:rPr>
          <w:lang w:val="lt-LT"/>
        </w:rPr>
        <w:t>izotoniniu</w:t>
      </w:r>
      <w:proofErr w:type="spellEnd"/>
      <w:r w:rsidRPr="00963E81">
        <w:rPr>
          <w:lang w:val="lt-LT"/>
        </w:rPr>
        <w:t xml:space="preserve"> gliukozės tirpalu (50 mg/ml) stikliniuose infuzijos flakonuose ir plastikinėse </w:t>
      </w:r>
      <w:proofErr w:type="spellStart"/>
      <w:r w:rsidRPr="00963E81">
        <w:rPr>
          <w:lang w:val="lt-LT"/>
        </w:rPr>
        <w:t>talpyklėse</w:t>
      </w:r>
      <w:proofErr w:type="spellEnd"/>
      <w:r w:rsidRPr="00963E81">
        <w:rPr>
          <w:lang w:val="lt-LT"/>
        </w:rPr>
        <w:t xml:space="preserve">. </w:t>
      </w:r>
    </w:p>
    <w:p w:rsidR="000E6B4A" w:rsidRPr="00963E81" w:rsidRDefault="000E6B4A" w:rsidP="000E6B4A">
      <w:pPr>
        <w:pStyle w:val="Pagrindinistekstas"/>
        <w:rPr>
          <w:lang w:val="lt-LT"/>
        </w:rPr>
      </w:pPr>
      <w:r w:rsidRPr="00963E81">
        <w:rPr>
          <w:lang w:val="lt-LT"/>
        </w:rPr>
        <w:t xml:space="preserve">Ant pakuotės nurodytam tinkamumo laikui pasibaigus, </w:t>
      </w:r>
      <w:proofErr w:type="spellStart"/>
      <w:r w:rsidRPr="00963E81">
        <w:rPr>
          <w:lang w:val="lt-LT"/>
        </w:rPr>
        <w:t>Atenativ</w:t>
      </w:r>
      <w:proofErr w:type="spellEnd"/>
      <w:r w:rsidRPr="00963E81">
        <w:rPr>
          <w:lang w:val="lt-LT"/>
        </w:rPr>
        <w:t xml:space="preserve"> vartoti negalima.</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 xml:space="preserve">Tirpalas paprastai būna skaidrus arba šiek tiek </w:t>
      </w:r>
      <w:proofErr w:type="spellStart"/>
      <w:r w:rsidRPr="00963E81">
        <w:rPr>
          <w:lang w:val="lt-LT"/>
        </w:rPr>
        <w:t>opalescuojantis</w:t>
      </w:r>
      <w:proofErr w:type="spellEnd"/>
      <w:r w:rsidRPr="00963E81">
        <w:rPr>
          <w:lang w:val="lt-LT"/>
        </w:rPr>
        <w:t>. Negalima naudoti tirpalų, kuriuose yra drumzlių arba nuosėdų.</w:t>
      </w:r>
    </w:p>
    <w:p w:rsidR="000E6B4A" w:rsidRPr="00963E81" w:rsidRDefault="000E6B4A" w:rsidP="000E6B4A">
      <w:pPr>
        <w:pStyle w:val="Pagrindinistekstas"/>
        <w:rPr>
          <w:lang w:val="lt-LT"/>
        </w:rPr>
      </w:pPr>
    </w:p>
    <w:p w:rsidR="000E6B4A" w:rsidRPr="00963E81" w:rsidRDefault="000E6B4A" w:rsidP="000E6B4A">
      <w:pPr>
        <w:pStyle w:val="Pagrindinistekstas"/>
        <w:rPr>
          <w:lang w:val="lt-LT"/>
        </w:rPr>
      </w:pPr>
      <w:r w:rsidRPr="00963E81">
        <w:rPr>
          <w:lang w:val="lt-LT"/>
        </w:rPr>
        <w:t>Tirpinti galima ne ilgiau kaip 5 minutes. Paruoštą vaistinį preparatą reikia vartoti kuo greičiau ir suvartoti per 12 </w:t>
      </w:r>
      <w:r w:rsidRPr="00CB6F14">
        <w:rPr>
          <w:rFonts w:asciiTheme="majorBidi" w:hAnsiTheme="majorBidi" w:cstheme="majorBidi"/>
          <w:lang w:val="lt-LT"/>
        </w:rPr>
        <w:t xml:space="preserve">valandų, </w:t>
      </w:r>
      <w:r w:rsidRPr="00CB6F14">
        <w:rPr>
          <w:rStyle w:val="tlid-translation"/>
          <w:rFonts w:asciiTheme="majorBidi" w:hAnsiTheme="majorBidi" w:cstheme="majorBidi"/>
          <w:lang w:val="lt-LT"/>
        </w:rPr>
        <w:t>laikant 15–25 ºC temperatūroje</w:t>
      </w:r>
      <w:r w:rsidRPr="00CB6F14">
        <w:rPr>
          <w:rFonts w:asciiTheme="majorBidi" w:hAnsiTheme="majorBidi" w:cstheme="majorBidi"/>
          <w:lang w:val="lt-LT"/>
        </w:rPr>
        <w:t>. Nesuvartotą</w:t>
      </w:r>
      <w:r w:rsidRPr="00963E81">
        <w:rPr>
          <w:lang w:val="lt-LT"/>
        </w:rPr>
        <w:t xml:space="preserve"> tirpalą išmesti.</w:t>
      </w:r>
    </w:p>
    <w:p w:rsidR="000E6B4A" w:rsidRPr="00DE3051" w:rsidRDefault="000E6B4A" w:rsidP="000E6B4A">
      <w:pPr>
        <w:pStyle w:val="Pagrindinistekstas"/>
        <w:rPr>
          <w:lang w:val="lt-LT"/>
        </w:rPr>
      </w:pPr>
      <w:r w:rsidRPr="00963E81">
        <w:rPr>
          <w:lang w:val="lt-LT"/>
        </w:rPr>
        <w:t>Nesuvartotą vaistinį preparatą ar atliekas reikia tvarkyti laikantis vietinių reikalavimų.</w:t>
      </w:r>
    </w:p>
    <w:p w:rsidR="000E6B4A" w:rsidRPr="00963E81" w:rsidRDefault="000E6B4A" w:rsidP="000E6B4A">
      <w:pPr>
        <w:pStyle w:val="Pagrindinistekstas"/>
        <w:rPr>
          <w:lang w:val="lt-LT"/>
        </w:rPr>
      </w:pPr>
    </w:p>
    <w:p w:rsidR="00BA6577" w:rsidRDefault="00BA6577"/>
    <w:sectPr w:rsidR="00BA6577" w:rsidSect="00623C08">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43" w:rsidRDefault="00400F98" w:rsidP="00275C4F">
    <w:pPr>
      <w:tabs>
        <w:tab w:val="center" w:pos="4536"/>
        <w:tab w:val="right" w:pos="8931"/>
      </w:tabs>
      <w:ind w:right="96"/>
    </w:pPr>
    <w:r>
      <w:rPr>
        <w:rFonts w:ascii="Arial" w:hAnsi="Arial" w:cs="Arial"/>
        <w:i/>
        <w:iCs/>
        <w:sz w:val="16"/>
        <w:szCs w:val="16"/>
      </w:rPr>
      <w:tab/>
    </w:r>
    <w:r w:rsidRPr="00275C4F">
      <w:rPr>
        <w:rFonts w:ascii="Arial" w:hAnsi="Arial" w:cs="Arial"/>
        <w:sz w:val="16"/>
        <w:szCs w:val="16"/>
      </w:rPr>
      <w:fldChar w:fldCharType="begin"/>
    </w:r>
    <w:r w:rsidRPr="00275C4F">
      <w:rPr>
        <w:rFonts w:ascii="Arial" w:hAnsi="Arial" w:cs="Arial"/>
        <w:sz w:val="16"/>
        <w:szCs w:val="16"/>
      </w:rPr>
      <w:instrText xml:space="preserve">PAGE  </w:instrText>
    </w:r>
    <w:r w:rsidRPr="00275C4F">
      <w:rPr>
        <w:rFonts w:ascii="Arial" w:hAnsi="Arial" w:cs="Arial"/>
        <w:sz w:val="16"/>
        <w:szCs w:val="16"/>
      </w:rPr>
      <w:fldChar w:fldCharType="separate"/>
    </w:r>
    <w:r>
      <w:rPr>
        <w:rFonts w:ascii="Arial" w:hAnsi="Arial" w:cs="Arial"/>
        <w:noProof/>
        <w:sz w:val="16"/>
        <w:szCs w:val="16"/>
      </w:rPr>
      <w:t>5</w:t>
    </w:r>
    <w:r w:rsidRPr="00275C4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43" w:rsidRDefault="00400F98">
    <w:pPr>
      <w:tabs>
        <w:tab w:val="right" w:pos="8931"/>
      </w:tabs>
      <w:ind w:right="96"/>
      <w:jc w:val="center"/>
    </w:pPr>
    <w:r>
      <w:fldChar w:fldCharType="begin"/>
    </w:r>
    <w:r>
      <w:instrText xml:space="preserve"> EQ </w:instrText>
    </w:r>
    <w:r>
      <w:fldChar w:fldCharType="end"/>
    </w:r>
    <w:r>
      <w:rPr>
        <w:rFonts w:cs="Arial"/>
      </w:rPr>
      <w:fldChar w:fldCharType="begin"/>
    </w:r>
    <w:r>
      <w:rPr>
        <w:rFonts w:cs="Arial"/>
      </w:rPr>
      <w:instrText xml:space="preserve">PAGE  </w:instrText>
    </w:r>
    <w:r>
      <w:rPr>
        <w:rFonts w:cs="Arial"/>
      </w:rPr>
      <w:fldChar w:fldCharType="separate"/>
    </w:r>
    <w:r>
      <w:rPr>
        <w:rFonts w:cs="Arial"/>
        <w:noProof/>
      </w:rPr>
      <w:t>1</w:t>
    </w:r>
    <w:r>
      <w:rP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16" w:rsidRDefault="00400F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FCB"/>
    <w:multiLevelType w:val="multilevel"/>
    <w:tmpl w:val="04D48D9E"/>
    <w:lvl w:ilvl="0">
      <w:start w:val="1"/>
      <w:numFmt w:val="decimal"/>
      <w:lvlText w:val="%1."/>
      <w:lvlJc w:val="left"/>
      <w:pPr>
        <w:tabs>
          <w:tab w:val="num" w:pos="567"/>
        </w:tabs>
        <w:ind w:left="567" w:hanging="567"/>
      </w:pPr>
      <w:rPr>
        <w:rFonts w:hint="default"/>
        <w:w w:val="100"/>
      </w:rPr>
    </w:lvl>
    <w:lvl w:ilvl="1">
      <w:start w:val="1"/>
      <w:numFmt w:val="decimal"/>
      <w:lvlText w:val="%1.%2"/>
      <w:lvlJc w:val="left"/>
      <w:pPr>
        <w:ind w:left="667"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808" w:hanging="425"/>
      </w:pPr>
      <w:rPr>
        <w:rFonts w:ascii="Times New Roman" w:eastAsia="Times New Roman" w:hAnsi="Times New Roman" w:cs="Times New Roman" w:hint="default"/>
        <w:w w:val="100"/>
        <w:sz w:val="22"/>
        <w:szCs w:val="22"/>
      </w:rPr>
    </w:lvl>
    <w:lvl w:ilvl="3">
      <w:numFmt w:val="bullet"/>
      <w:lvlText w:val="•"/>
      <w:lvlJc w:val="left"/>
      <w:pPr>
        <w:ind w:left="2623" w:hanging="425"/>
      </w:pPr>
      <w:rPr>
        <w:rFonts w:hint="default"/>
      </w:rPr>
    </w:lvl>
    <w:lvl w:ilvl="4">
      <w:numFmt w:val="bullet"/>
      <w:lvlText w:val="•"/>
      <w:lvlJc w:val="left"/>
      <w:pPr>
        <w:ind w:left="3535" w:hanging="425"/>
      </w:pPr>
      <w:rPr>
        <w:rFonts w:hint="default"/>
      </w:rPr>
    </w:lvl>
    <w:lvl w:ilvl="5">
      <w:numFmt w:val="bullet"/>
      <w:lvlText w:val="•"/>
      <w:lvlJc w:val="left"/>
      <w:pPr>
        <w:ind w:left="4447" w:hanging="425"/>
      </w:pPr>
      <w:rPr>
        <w:rFonts w:hint="default"/>
      </w:rPr>
    </w:lvl>
    <w:lvl w:ilvl="6">
      <w:numFmt w:val="bullet"/>
      <w:lvlText w:val="•"/>
      <w:lvlJc w:val="left"/>
      <w:pPr>
        <w:ind w:left="5359" w:hanging="425"/>
      </w:pPr>
      <w:rPr>
        <w:rFonts w:hint="default"/>
      </w:rPr>
    </w:lvl>
    <w:lvl w:ilvl="7">
      <w:numFmt w:val="bullet"/>
      <w:lvlText w:val="•"/>
      <w:lvlJc w:val="left"/>
      <w:pPr>
        <w:ind w:left="6270" w:hanging="425"/>
      </w:pPr>
      <w:rPr>
        <w:rFonts w:hint="default"/>
      </w:rPr>
    </w:lvl>
    <w:lvl w:ilvl="8">
      <w:numFmt w:val="bullet"/>
      <w:lvlText w:val="•"/>
      <w:lvlJc w:val="left"/>
      <w:pPr>
        <w:ind w:left="7182" w:hanging="425"/>
      </w:pPr>
      <w:rPr>
        <w:rFonts w:hint="default"/>
      </w:rPr>
    </w:lvl>
  </w:abstractNum>
  <w:abstractNum w:abstractNumId="1" w15:restartNumberingAfterBreak="0">
    <w:nsid w:val="004871C7"/>
    <w:multiLevelType w:val="hybridMultilevel"/>
    <w:tmpl w:val="7938B612"/>
    <w:lvl w:ilvl="0" w:tplc="67B4EF86">
      <w:numFmt w:val="bullet"/>
      <w:lvlText w:val=""/>
      <w:lvlJc w:val="left"/>
      <w:pPr>
        <w:ind w:left="465" w:hanging="361"/>
      </w:pPr>
      <w:rPr>
        <w:rFonts w:ascii="Symbol" w:eastAsia="Symbol" w:hAnsi="Symbol" w:cs="Symbol" w:hint="default"/>
        <w:w w:val="100"/>
        <w:sz w:val="22"/>
        <w:szCs w:val="22"/>
        <w:lang w:val="en-GB" w:eastAsia="en-GB" w:bidi="en-GB"/>
      </w:rPr>
    </w:lvl>
    <w:lvl w:ilvl="1" w:tplc="95649B78">
      <w:start w:val="1"/>
      <w:numFmt w:val="decimal"/>
      <w:lvlText w:val="%2."/>
      <w:lvlJc w:val="left"/>
      <w:pPr>
        <w:ind w:left="1316" w:hanging="569"/>
      </w:pPr>
      <w:rPr>
        <w:rFonts w:ascii="Times New Roman" w:eastAsia="Times New Roman" w:hAnsi="Times New Roman" w:cs="Times New Roman" w:hint="default"/>
        <w:w w:val="100"/>
        <w:sz w:val="22"/>
        <w:szCs w:val="22"/>
        <w:lang w:val="en-GB" w:eastAsia="en-GB" w:bidi="en-GB"/>
      </w:rPr>
    </w:lvl>
    <w:lvl w:ilvl="2" w:tplc="EA7AE67A">
      <w:numFmt w:val="bullet"/>
      <w:lvlText w:val="•"/>
      <w:lvlJc w:val="left"/>
      <w:pPr>
        <w:ind w:left="2182" w:hanging="569"/>
      </w:pPr>
      <w:rPr>
        <w:rFonts w:hint="default"/>
        <w:lang w:val="en-GB" w:eastAsia="en-GB" w:bidi="en-GB"/>
      </w:rPr>
    </w:lvl>
    <w:lvl w:ilvl="3" w:tplc="7CD8D2FE">
      <w:numFmt w:val="bullet"/>
      <w:lvlText w:val="•"/>
      <w:lvlJc w:val="left"/>
      <w:pPr>
        <w:ind w:left="3045" w:hanging="569"/>
      </w:pPr>
      <w:rPr>
        <w:rFonts w:hint="default"/>
        <w:lang w:val="en-GB" w:eastAsia="en-GB" w:bidi="en-GB"/>
      </w:rPr>
    </w:lvl>
    <w:lvl w:ilvl="4" w:tplc="E912F0E4">
      <w:numFmt w:val="bullet"/>
      <w:lvlText w:val="•"/>
      <w:lvlJc w:val="left"/>
      <w:pPr>
        <w:ind w:left="3908" w:hanging="569"/>
      </w:pPr>
      <w:rPr>
        <w:rFonts w:hint="default"/>
        <w:lang w:val="en-GB" w:eastAsia="en-GB" w:bidi="en-GB"/>
      </w:rPr>
    </w:lvl>
    <w:lvl w:ilvl="5" w:tplc="DFF69FD8">
      <w:numFmt w:val="bullet"/>
      <w:lvlText w:val="•"/>
      <w:lvlJc w:val="left"/>
      <w:pPr>
        <w:ind w:left="4771" w:hanging="569"/>
      </w:pPr>
      <w:rPr>
        <w:rFonts w:hint="default"/>
        <w:lang w:val="en-GB" w:eastAsia="en-GB" w:bidi="en-GB"/>
      </w:rPr>
    </w:lvl>
    <w:lvl w:ilvl="6" w:tplc="9918C2C0">
      <w:numFmt w:val="bullet"/>
      <w:lvlText w:val="•"/>
      <w:lvlJc w:val="left"/>
      <w:pPr>
        <w:ind w:left="5634" w:hanging="569"/>
      </w:pPr>
      <w:rPr>
        <w:rFonts w:hint="default"/>
        <w:lang w:val="en-GB" w:eastAsia="en-GB" w:bidi="en-GB"/>
      </w:rPr>
    </w:lvl>
    <w:lvl w:ilvl="7" w:tplc="C6C05154">
      <w:numFmt w:val="bullet"/>
      <w:lvlText w:val="•"/>
      <w:lvlJc w:val="left"/>
      <w:pPr>
        <w:ind w:left="6497" w:hanging="569"/>
      </w:pPr>
      <w:rPr>
        <w:rFonts w:hint="default"/>
        <w:lang w:val="en-GB" w:eastAsia="en-GB" w:bidi="en-GB"/>
      </w:rPr>
    </w:lvl>
    <w:lvl w:ilvl="8" w:tplc="7B18DA68">
      <w:numFmt w:val="bullet"/>
      <w:lvlText w:val="•"/>
      <w:lvlJc w:val="left"/>
      <w:pPr>
        <w:ind w:left="7360" w:hanging="569"/>
      </w:pPr>
      <w:rPr>
        <w:rFonts w:hint="default"/>
        <w:lang w:val="en-GB" w:eastAsia="en-GB" w:bidi="en-GB"/>
      </w:rPr>
    </w:lvl>
  </w:abstractNum>
  <w:abstractNum w:abstractNumId="2" w15:restartNumberingAfterBreak="0">
    <w:nsid w:val="57A52782"/>
    <w:multiLevelType w:val="hybridMultilevel"/>
    <w:tmpl w:val="AC04A320"/>
    <w:lvl w:ilvl="0" w:tplc="96E42340">
      <w:start w:val="1"/>
      <w:numFmt w:val="bullet"/>
      <w:lvlText w:val="­"/>
      <w:lvlJc w:val="left"/>
      <w:pPr>
        <w:tabs>
          <w:tab w:val="num" w:pos="567"/>
        </w:tabs>
        <w:ind w:left="567" w:hanging="567"/>
      </w:pPr>
      <w:rPr>
        <w:rFonts w:ascii="Courier New" w:hAnsi="Courier New" w:hint="default"/>
        <w:w w:val="100"/>
        <w:sz w:val="22"/>
        <w:szCs w:val="22"/>
        <w:lang w:val="en-GB" w:eastAsia="en-GB" w:bidi="en-GB"/>
      </w:rPr>
    </w:lvl>
    <w:lvl w:ilvl="1" w:tplc="95649B78">
      <w:start w:val="1"/>
      <w:numFmt w:val="decimal"/>
      <w:lvlText w:val="%2."/>
      <w:lvlJc w:val="left"/>
      <w:pPr>
        <w:ind w:left="1316" w:hanging="569"/>
      </w:pPr>
      <w:rPr>
        <w:rFonts w:ascii="Times New Roman" w:eastAsia="Times New Roman" w:hAnsi="Times New Roman" w:cs="Times New Roman" w:hint="default"/>
        <w:w w:val="100"/>
        <w:sz w:val="22"/>
        <w:szCs w:val="22"/>
        <w:lang w:val="en-GB" w:eastAsia="en-GB" w:bidi="en-GB"/>
      </w:rPr>
    </w:lvl>
    <w:lvl w:ilvl="2" w:tplc="EA7AE67A">
      <w:numFmt w:val="bullet"/>
      <w:lvlText w:val="•"/>
      <w:lvlJc w:val="left"/>
      <w:pPr>
        <w:ind w:left="2182" w:hanging="569"/>
      </w:pPr>
      <w:rPr>
        <w:rFonts w:hint="default"/>
        <w:lang w:val="en-GB" w:eastAsia="en-GB" w:bidi="en-GB"/>
      </w:rPr>
    </w:lvl>
    <w:lvl w:ilvl="3" w:tplc="7CD8D2FE">
      <w:numFmt w:val="bullet"/>
      <w:lvlText w:val="•"/>
      <w:lvlJc w:val="left"/>
      <w:pPr>
        <w:ind w:left="3045" w:hanging="569"/>
      </w:pPr>
      <w:rPr>
        <w:rFonts w:hint="default"/>
        <w:lang w:val="en-GB" w:eastAsia="en-GB" w:bidi="en-GB"/>
      </w:rPr>
    </w:lvl>
    <w:lvl w:ilvl="4" w:tplc="E912F0E4">
      <w:numFmt w:val="bullet"/>
      <w:lvlText w:val="•"/>
      <w:lvlJc w:val="left"/>
      <w:pPr>
        <w:ind w:left="3908" w:hanging="569"/>
      </w:pPr>
      <w:rPr>
        <w:rFonts w:hint="default"/>
        <w:lang w:val="en-GB" w:eastAsia="en-GB" w:bidi="en-GB"/>
      </w:rPr>
    </w:lvl>
    <w:lvl w:ilvl="5" w:tplc="DFF69FD8">
      <w:numFmt w:val="bullet"/>
      <w:lvlText w:val="•"/>
      <w:lvlJc w:val="left"/>
      <w:pPr>
        <w:ind w:left="4771" w:hanging="569"/>
      </w:pPr>
      <w:rPr>
        <w:rFonts w:hint="default"/>
        <w:lang w:val="en-GB" w:eastAsia="en-GB" w:bidi="en-GB"/>
      </w:rPr>
    </w:lvl>
    <w:lvl w:ilvl="6" w:tplc="9918C2C0">
      <w:numFmt w:val="bullet"/>
      <w:lvlText w:val="•"/>
      <w:lvlJc w:val="left"/>
      <w:pPr>
        <w:ind w:left="5634" w:hanging="569"/>
      </w:pPr>
      <w:rPr>
        <w:rFonts w:hint="default"/>
        <w:lang w:val="en-GB" w:eastAsia="en-GB" w:bidi="en-GB"/>
      </w:rPr>
    </w:lvl>
    <w:lvl w:ilvl="7" w:tplc="C6C05154">
      <w:numFmt w:val="bullet"/>
      <w:lvlText w:val="•"/>
      <w:lvlJc w:val="left"/>
      <w:pPr>
        <w:ind w:left="6497" w:hanging="569"/>
      </w:pPr>
      <w:rPr>
        <w:rFonts w:hint="default"/>
        <w:lang w:val="en-GB" w:eastAsia="en-GB" w:bidi="en-GB"/>
      </w:rPr>
    </w:lvl>
    <w:lvl w:ilvl="8" w:tplc="7B18DA68">
      <w:numFmt w:val="bullet"/>
      <w:lvlText w:val="•"/>
      <w:lvlJc w:val="left"/>
      <w:pPr>
        <w:ind w:left="7360" w:hanging="569"/>
      </w:pPr>
      <w:rPr>
        <w:rFonts w:hint="default"/>
        <w:lang w:val="en-GB" w:eastAsia="en-GB" w:bidi="en-GB"/>
      </w:rPr>
    </w:lvl>
  </w:abstractNum>
  <w:abstractNum w:abstractNumId="3" w15:restartNumberingAfterBreak="0">
    <w:nsid w:val="5DAA0E8D"/>
    <w:multiLevelType w:val="hybridMultilevel"/>
    <w:tmpl w:val="BA109758"/>
    <w:lvl w:ilvl="0" w:tplc="34F86758">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4A"/>
    <w:rsid w:val="00072F85"/>
    <w:rsid w:val="000A5E72"/>
    <w:rsid w:val="000A7B60"/>
    <w:rsid w:val="000E6B4A"/>
    <w:rsid w:val="00181364"/>
    <w:rsid w:val="002945D9"/>
    <w:rsid w:val="00305C48"/>
    <w:rsid w:val="003362C6"/>
    <w:rsid w:val="00400F98"/>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C504"/>
  <w15:chartTrackingRefBased/>
  <w15:docId w15:val="{02C69833-1E78-4D0C-B68E-51CC1CA6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6B4A"/>
    <w:pPr>
      <w:spacing w:after="0" w:line="240" w:lineRule="auto"/>
    </w:pPr>
    <w:rPr>
      <w:rFonts w:ascii="Times New Roman" w:eastAsia="SimSun" w:hAnsi="Times New Roman" w:cs="Times New Roman"/>
      <w:lang w:eastAsia="en-GB"/>
    </w:rPr>
  </w:style>
  <w:style w:type="paragraph" w:styleId="Antrat1">
    <w:name w:val="heading 1"/>
    <w:basedOn w:val="prastasis"/>
    <w:next w:val="prastasis"/>
    <w:link w:val="Antrat1Diagrama"/>
    <w:uiPriority w:val="1"/>
    <w:qFormat/>
    <w:rsid w:val="000E6B4A"/>
    <w:pPr>
      <w:keepNext/>
      <w:tabs>
        <w:tab w:val="left" w:pos="567"/>
      </w:tabs>
      <w:suppressAutoHyphens/>
      <w:ind w:left="567" w:hanging="567"/>
      <w:outlineLvl w:val="0"/>
    </w:pPr>
    <w:rPr>
      <w:b/>
    </w:rPr>
  </w:style>
  <w:style w:type="paragraph" w:styleId="Antrat2">
    <w:name w:val="heading 2"/>
    <w:basedOn w:val="Antrat1"/>
    <w:next w:val="prastasis"/>
    <w:link w:val="Antrat2Diagrama"/>
    <w:unhideWhenUsed/>
    <w:qFormat/>
    <w:rsid w:val="000E6B4A"/>
    <w:pPr>
      <w:outlineLvl w:val="1"/>
    </w:pPr>
  </w:style>
  <w:style w:type="paragraph" w:styleId="Antrat3">
    <w:name w:val="heading 3"/>
    <w:basedOn w:val="prastasis"/>
    <w:next w:val="prastasis"/>
    <w:link w:val="Antrat3Diagrama"/>
    <w:unhideWhenUsed/>
    <w:qFormat/>
    <w:rsid w:val="000E6B4A"/>
    <w:pPr>
      <w:keepNext/>
      <w:outlineLvl w:val="2"/>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1Diagrama">
    <w:name w:val="Antraštė 1 Diagrama"/>
    <w:basedOn w:val="Numatytasispastraiposriftas"/>
    <w:link w:val="Antrat1"/>
    <w:uiPriority w:val="1"/>
    <w:rsid w:val="000E6B4A"/>
    <w:rPr>
      <w:rFonts w:ascii="Times New Roman" w:eastAsia="SimSun" w:hAnsi="Times New Roman" w:cs="Times New Roman"/>
      <w:b/>
      <w:lang w:eastAsia="en-GB"/>
    </w:rPr>
  </w:style>
  <w:style w:type="character" w:customStyle="1" w:styleId="Antrat2Diagrama">
    <w:name w:val="Antraštė 2 Diagrama"/>
    <w:basedOn w:val="Numatytasispastraiposriftas"/>
    <w:link w:val="Antrat2"/>
    <w:rsid w:val="000E6B4A"/>
    <w:rPr>
      <w:rFonts w:ascii="Times New Roman" w:eastAsia="SimSun" w:hAnsi="Times New Roman" w:cs="Times New Roman"/>
      <w:b/>
      <w:lang w:eastAsia="en-GB"/>
    </w:rPr>
  </w:style>
  <w:style w:type="character" w:customStyle="1" w:styleId="Antrat3Diagrama">
    <w:name w:val="Antraštė 3 Diagrama"/>
    <w:basedOn w:val="Numatytasispastraiposriftas"/>
    <w:link w:val="Antrat3"/>
    <w:rsid w:val="000E6B4A"/>
    <w:rPr>
      <w:rFonts w:ascii="Times New Roman" w:eastAsia="SimSun" w:hAnsi="Times New Roman" w:cs="Times New Roman"/>
      <w:u w:val="single"/>
      <w:lang w:eastAsia="en-GB"/>
    </w:rPr>
  </w:style>
  <w:style w:type="paragraph" w:styleId="Antrats">
    <w:name w:val="header"/>
    <w:basedOn w:val="prastasis"/>
    <w:link w:val="AntratsDiagrama"/>
    <w:unhideWhenUsed/>
    <w:rsid w:val="000E6B4A"/>
    <w:pPr>
      <w:tabs>
        <w:tab w:val="center" w:pos="4703"/>
        <w:tab w:val="right" w:pos="9406"/>
      </w:tabs>
    </w:pPr>
  </w:style>
  <w:style w:type="character" w:customStyle="1" w:styleId="AntratsDiagrama">
    <w:name w:val="Antraštės Diagrama"/>
    <w:basedOn w:val="Numatytasispastraiposriftas"/>
    <w:link w:val="Antrats"/>
    <w:rsid w:val="000E6B4A"/>
    <w:rPr>
      <w:rFonts w:ascii="Times New Roman" w:eastAsia="SimSun" w:hAnsi="Times New Roman" w:cs="Times New Roman"/>
      <w:lang w:eastAsia="en-GB"/>
    </w:rPr>
  </w:style>
  <w:style w:type="paragraph" w:styleId="Pagrindinistekstas">
    <w:name w:val="Body Text"/>
    <w:basedOn w:val="prastasis"/>
    <w:link w:val="PagrindinistekstasDiagrama"/>
    <w:uiPriority w:val="1"/>
    <w:rsid w:val="000E6B4A"/>
    <w:pPr>
      <w:widowControl w:val="0"/>
      <w:autoSpaceDE w:val="0"/>
      <w:autoSpaceDN w:val="0"/>
    </w:pPr>
    <w:rPr>
      <w:lang w:val="en-US" w:eastAsia="en-US"/>
    </w:rPr>
  </w:style>
  <w:style w:type="character" w:customStyle="1" w:styleId="PagrindinistekstasDiagrama">
    <w:name w:val="Pagrindinis tekstas Diagrama"/>
    <w:basedOn w:val="Numatytasispastraiposriftas"/>
    <w:link w:val="Pagrindinistekstas"/>
    <w:uiPriority w:val="1"/>
    <w:rsid w:val="000E6B4A"/>
    <w:rPr>
      <w:rFonts w:ascii="Times New Roman" w:eastAsia="SimSun" w:hAnsi="Times New Roman" w:cs="Times New Roman"/>
      <w:lang w:val="en-US"/>
    </w:rPr>
  </w:style>
  <w:style w:type="paragraph" w:styleId="Sraopastraipa">
    <w:name w:val="List Paragraph"/>
    <w:basedOn w:val="prastasis"/>
    <w:uiPriority w:val="1"/>
    <w:qFormat/>
    <w:rsid w:val="000E6B4A"/>
    <w:pPr>
      <w:widowControl w:val="0"/>
      <w:autoSpaceDE w:val="0"/>
      <w:autoSpaceDN w:val="0"/>
      <w:ind w:left="667" w:hanging="566"/>
    </w:pPr>
    <w:rPr>
      <w:lang w:val="en-US" w:eastAsia="en-US"/>
    </w:rPr>
  </w:style>
  <w:style w:type="character" w:styleId="Hipersaitas">
    <w:name w:val="Hyperlink"/>
    <w:uiPriority w:val="99"/>
    <w:rsid w:val="000E6B4A"/>
    <w:rPr>
      <w:color w:val="0000FF"/>
      <w:u w:val="single"/>
    </w:rPr>
  </w:style>
  <w:style w:type="character" w:customStyle="1" w:styleId="tlid-translation">
    <w:name w:val="tlid-translation"/>
    <w:basedOn w:val="Numatytasispastraiposriftas"/>
    <w:rsid w:val="000E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9107</Words>
  <Characters>5192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2025-05-06T06:48:00Z</dcterms:created>
  <dcterms:modified xsi:type="dcterms:W3CDTF">2025-05-06T06:51:00Z</dcterms:modified>
</cp:coreProperties>
</file>