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8D" w:rsidRDefault="0025338D" w:rsidP="0025338D">
      <w:pPr>
        <w:pStyle w:val="TTEMEASMCA"/>
        <w:pageBreakBefore/>
        <w:rPr>
          <w:sz w:val="22"/>
        </w:rPr>
      </w:pPr>
      <w:bookmarkStart w:id="0" w:name="_Toc129243138"/>
      <w:bookmarkStart w:id="1" w:name="_Toc129243263"/>
      <w:r>
        <w:rPr>
          <w:sz w:val="22"/>
        </w:rPr>
        <w:t>Pakuotės lapelis: informacija vartotojui</w:t>
      </w:r>
      <w:bookmarkEnd w:id="0"/>
      <w:bookmarkEnd w:id="1"/>
    </w:p>
    <w:p w:rsidR="0025338D" w:rsidRPr="002C65CD" w:rsidRDefault="0025338D" w:rsidP="0025338D">
      <w:pPr>
        <w:tabs>
          <w:tab w:val="left" w:pos="567"/>
        </w:tabs>
        <w:ind w:right="-1"/>
        <w:jc w:val="center"/>
      </w:pPr>
    </w:p>
    <w:p w:rsidR="0025338D" w:rsidRDefault="0025338D" w:rsidP="0025338D">
      <w:pPr>
        <w:tabs>
          <w:tab w:val="left" w:pos="567"/>
        </w:tabs>
        <w:jc w:val="center"/>
      </w:pPr>
      <w:proofErr w:type="spellStart"/>
      <w:r>
        <w:rPr>
          <w:b/>
          <w:bCs/>
          <w:szCs w:val="22"/>
        </w:rPr>
        <w:t>Boostrix</w:t>
      </w:r>
      <w:proofErr w:type="spellEnd"/>
      <w:r>
        <w:rPr>
          <w:szCs w:val="22"/>
        </w:rPr>
        <w:t xml:space="preserve"> </w:t>
      </w:r>
      <w:r>
        <w:rPr>
          <w:b/>
          <w:bCs/>
          <w:szCs w:val="22"/>
        </w:rPr>
        <w:t>injekcinė suspensija užpildytame švirkšte</w:t>
      </w:r>
    </w:p>
    <w:p w:rsidR="0025338D" w:rsidRDefault="0025338D" w:rsidP="0025338D">
      <w:pPr>
        <w:tabs>
          <w:tab w:val="left" w:pos="567"/>
        </w:tabs>
        <w:ind w:right="-1"/>
        <w:jc w:val="center"/>
      </w:pPr>
      <w:r>
        <w:rPr>
          <w:szCs w:val="22"/>
        </w:rPr>
        <w:t xml:space="preserve">Vakcina nuo difterijos, stabligės ir kokliušo (neląstelinė, </w:t>
      </w:r>
      <w:proofErr w:type="spellStart"/>
      <w:r>
        <w:rPr>
          <w:szCs w:val="22"/>
        </w:rPr>
        <w:t>komponentinė</w:t>
      </w:r>
      <w:proofErr w:type="spellEnd"/>
      <w:r>
        <w:rPr>
          <w:szCs w:val="22"/>
        </w:rPr>
        <w:t>), (</w:t>
      </w:r>
      <w:proofErr w:type="spellStart"/>
      <w:r>
        <w:rPr>
          <w:szCs w:val="22"/>
        </w:rPr>
        <w:t>adsorbuota</w:t>
      </w:r>
      <w:proofErr w:type="spellEnd"/>
      <w:r>
        <w:rPr>
          <w:szCs w:val="22"/>
        </w:rPr>
        <w:t>, su mažesniu antigeno (-ų) kiekiu)</w:t>
      </w:r>
    </w:p>
    <w:p w:rsidR="0025338D" w:rsidRPr="002C65CD" w:rsidRDefault="0025338D" w:rsidP="0025338D">
      <w:pPr>
        <w:tabs>
          <w:tab w:val="left" w:pos="567"/>
        </w:tabs>
      </w:pPr>
    </w:p>
    <w:p w:rsidR="0025338D" w:rsidRPr="008D66EC" w:rsidRDefault="0025338D" w:rsidP="0025338D">
      <w:pPr>
        <w:tabs>
          <w:tab w:val="left" w:pos="567"/>
        </w:tabs>
      </w:pPr>
      <w:r>
        <w:rPr>
          <w:b/>
          <w:szCs w:val="22"/>
        </w:rPr>
        <w:t>Atidžiai perskaitykite visą šį lapelį, prieš suleidžiant šią vakciną Jums arba Jūsų vaikui, nes jame pateikiama Jums svarbi informacija.</w:t>
      </w:r>
    </w:p>
    <w:p w:rsidR="0025338D" w:rsidRDefault="0025338D" w:rsidP="0025338D">
      <w:pPr>
        <w:tabs>
          <w:tab w:val="left" w:pos="567"/>
        </w:tabs>
        <w:rPr>
          <w:szCs w:val="22"/>
        </w:rPr>
      </w:pPr>
      <w:r>
        <w:rPr>
          <w:szCs w:val="22"/>
        </w:rPr>
        <w:t>-</w:t>
      </w:r>
      <w:r>
        <w:rPr>
          <w:szCs w:val="22"/>
        </w:rPr>
        <w:tab/>
        <w:t>Neišmeskite šio lapelio, nes vėl gali prireikti jį perskaityti.</w:t>
      </w:r>
    </w:p>
    <w:p w:rsidR="0025338D" w:rsidRDefault="0025338D" w:rsidP="0025338D">
      <w:pPr>
        <w:tabs>
          <w:tab w:val="left" w:pos="567"/>
        </w:tabs>
        <w:rPr>
          <w:szCs w:val="22"/>
        </w:rPr>
      </w:pPr>
      <w:r>
        <w:rPr>
          <w:szCs w:val="22"/>
        </w:rPr>
        <w:t>-</w:t>
      </w:r>
      <w:r>
        <w:rPr>
          <w:szCs w:val="22"/>
        </w:rPr>
        <w:tab/>
        <w:t>Jeigu kiltų daugiau klausimų, kreipkitės į gydytoją arba vaistininką.</w:t>
      </w:r>
    </w:p>
    <w:p w:rsidR="0025338D" w:rsidRDefault="0025338D" w:rsidP="0025338D">
      <w:pPr>
        <w:tabs>
          <w:tab w:val="left" w:pos="567"/>
        </w:tabs>
        <w:ind w:left="540" w:hanging="540"/>
        <w:rPr>
          <w:szCs w:val="22"/>
        </w:rPr>
      </w:pPr>
      <w:r>
        <w:rPr>
          <w:szCs w:val="22"/>
        </w:rPr>
        <w:t>-</w:t>
      </w:r>
      <w:r>
        <w:rPr>
          <w:szCs w:val="22"/>
        </w:rPr>
        <w:tab/>
        <w:t xml:space="preserve">Ši vakcina skirta tik Jums arba Jūsų vaikui, todėl kitiems žmonėms jos duoti negalima. </w:t>
      </w:r>
    </w:p>
    <w:p w:rsidR="0025338D" w:rsidRDefault="0025338D" w:rsidP="0025338D">
      <w:pPr>
        <w:tabs>
          <w:tab w:val="left" w:pos="567"/>
        </w:tabs>
        <w:ind w:left="540" w:hanging="540"/>
        <w:rPr>
          <w:szCs w:val="22"/>
        </w:rPr>
      </w:pPr>
      <w:r>
        <w:rPr>
          <w:szCs w:val="22"/>
        </w:rPr>
        <w:t>-</w:t>
      </w:r>
      <w:r>
        <w:rPr>
          <w:szCs w:val="22"/>
        </w:rPr>
        <w:tab/>
        <w:t>Jeigu pasireiškė šalutinis poveikis (net jeigu jis šiame lapelyje nenurodytas), kreipkitės į gydytoją arba vaistininką. Žr. 4 skyrių.</w:t>
      </w:r>
    </w:p>
    <w:p w:rsidR="0025338D" w:rsidRDefault="0025338D" w:rsidP="0025338D">
      <w:pPr>
        <w:tabs>
          <w:tab w:val="left" w:pos="567"/>
        </w:tabs>
        <w:rPr>
          <w:szCs w:val="22"/>
        </w:rPr>
      </w:pPr>
    </w:p>
    <w:p w:rsidR="0025338D" w:rsidRDefault="0025338D" w:rsidP="0025338D">
      <w:pPr>
        <w:tabs>
          <w:tab w:val="left" w:pos="567"/>
        </w:tabs>
        <w:rPr>
          <w:b/>
          <w:szCs w:val="22"/>
        </w:rPr>
      </w:pPr>
      <w:r>
        <w:rPr>
          <w:b/>
          <w:szCs w:val="22"/>
        </w:rPr>
        <w:t>Apie ką rašoma šiame lapelyje?</w:t>
      </w:r>
    </w:p>
    <w:p w:rsidR="0025338D" w:rsidRPr="00E90E50" w:rsidRDefault="0025338D" w:rsidP="0025338D">
      <w:pPr>
        <w:tabs>
          <w:tab w:val="left" w:pos="567"/>
        </w:tabs>
      </w:pPr>
    </w:p>
    <w:p w:rsidR="0025338D" w:rsidRDefault="0025338D" w:rsidP="0025338D">
      <w:pPr>
        <w:tabs>
          <w:tab w:val="left" w:pos="567"/>
        </w:tabs>
      </w:pPr>
      <w:r>
        <w:rPr>
          <w:szCs w:val="22"/>
        </w:rPr>
        <w:t>1.</w:t>
      </w:r>
      <w:r>
        <w:rPr>
          <w:szCs w:val="22"/>
        </w:rPr>
        <w:tab/>
        <w:t xml:space="preserve">Kas yra </w:t>
      </w:r>
      <w:proofErr w:type="spellStart"/>
      <w:r>
        <w:rPr>
          <w:szCs w:val="22"/>
        </w:rPr>
        <w:t>Boostrix</w:t>
      </w:r>
      <w:proofErr w:type="spellEnd"/>
      <w:r>
        <w:rPr>
          <w:szCs w:val="22"/>
        </w:rPr>
        <w:t xml:space="preserve"> ir kam ji vartojama</w:t>
      </w:r>
    </w:p>
    <w:p w:rsidR="0025338D" w:rsidRDefault="0025338D" w:rsidP="0025338D">
      <w:pPr>
        <w:tabs>
          <w:tab w:val="left" w:pos="567"/>
        </w:tabs>
      </w:pPr>
      <w:r>
        <w:rPr>
          <w:szCs w:val="22"/>
        </w:rPr>
        <w:t>2.</w:t>
      </w:r>
      <w:r>
        <w:rPr>
          <w:szCs w:val="22"/>
        </w:rPr>
        <w:tab/>
        <w:t xml:space="preserve">Kas žinotina prieš </w:t>
      </w:r>
      <w:r>
        <w:t xml:space="preserve">Jums ar Jūsų vaikui </w:t>
      </w:r>
      <w:r>
        <w:rPr>
          <w:szCs w:val="22"/>
        </w:rPr>
        <w:t xml:space="preserve">vartojant </w:t>
      </w:r>
      <w:proofErr w:type="spellStart"/>
      <w:r>
        <w:rPr>
          <w:szCs w:val="22"/>
        </w:rPr>
        <w:t>Boostrix</w:t>
      </w:r>
      <w:proofErr w:type="spellEnd"/>
      <w:r>
        <w:rPr>
          <w:szCs w:val="22"/>
        </w:rPr>
        <w:t xml:space="preserve"> </w:t>
      </w:r>
    </w:p>
    <w:p w:rsidR="0025338D" w:rsidRDefault="0025338D" w:rsidP="0025338D">
      <w:pPr>
        <w:tabs>
          <w:tab w:val="left" w:pos="567"/>
        </w:tabs>
        <w:rPr>
          <w:szCs w:val="22"/>
        </w:rPr>
      </w:pPr>
      <w:r>
        <w:rPr>
          <w:szCs w:val="22"/>
        </w:rPr>
        <w:t>3.</w:t>
      </w:r>
      <w:r>
        <w:rPr>
          <w:szCs w:val="22"/>
        </w:rPr>
        <w:tab/>
        <w:t xml:space="preserve">Kaip vartoti </w:t>
      </w:r>
      <w:proofErr w:type="spellStart"/>
      <w:r>
        <w:rPr>
          <w:szCs w:val="22"/>
        </w:rPr>
        <w:t>Boostrix</w:t>
      </w:r>
      <w:proofErr w:type="spellEnd"/>
      <w:r>
        <w:rPr>
          <w:szCs w:val="22"/>
        </w:rPr>
        <w:t xml:space="preserve"> </w:t>
      </w:r>
    </w:p>
    <w:p w:rsidR="0025338D" w:rsidRDefault="0025338D" w:rsidP="0025338D">
      <w:pPr>
        <w:tabs>
          <w:tab w:val="left" w:pos="567"/>
        </w:tabs>
        <w:rPr>
          <w:szCs w:val="22"/>
        </w:rPr>
      </w:pPr>
      <w:r>
        <w:rPr>
          <w:szCs w:val="22"/>
        </w:rPr>
        <w:t>4.</w:t>
      </w:r>
      <w:r>
        <w:rPr>
          <w:szCs w:val="22"/>
        </w:rPr>
        <w:tab/>
        <w:t>Galimas šalutinis poveikis</w:t>
      </w:r>
    </w:p>
    <w:p w:rsidR="0025338D" w:rsidRDefault="0025338D" w:rsidP="0025338D">
      <w:pPr>
        <w:tabs>
          <w:tab w:val="left" w:pos="567"/>
        </w:tabs>
        <w:rPr>
          <w:szCs w:val="22"/>
        </w:rPr>
      </w:pPr>
      <w:r>
        <w:rPr>
          <w:szCs w:val="22"/>
        </w:rPr>
        <w:t>5.</w:t>
      </w:r>
      <w:r>
        <w:rPr>
          <w:szCs w:val="22"/>
        </w:rPr>
        <w:tab/>
        <w:t xml:space="preserve">Kaip laikyti </w:t>
      </w:r>
      <w:proofErr w:type="spellStart"/>
      <w:r>
        <w:rPr>
          <w:szCs w:val="22"/>
        </w:rPr>
        <w:t>Boostrix</w:t>
      </w:r>
      <w:proofErr w:type="spellEnd"/>
      <w:r>
        <w:rPr>
          <w:szCs w:val="22"/>
        </w:rPr>
        <w:t xml:space="preserve"> </w:t>
      </w:r>
    </w:p>
    <w:p w:rsidR="0025338D" w:rsidRDefault="0025338D" w:rsidP="0025338D">
      <w:pPr>
        <w:tabs>
          <w:tab w:val="left" w:pos="567"/>
        </w:tabs>
        <w:rPr>
          <w:szCs w:val="22"/>
        </w:rPr>
      </w:pPr>
      <w:r>
        <w:rPr>
          <w:szCs w:val="22"/>
        </w:rPr>
        <w:t>6.</w:t>
      </w:r>
      <w:r>
        <w:rPr>
          <w:szCs w:val="22"/>
        </w:rPr>
        <w:tab/>
        <w:t>Pakuotės turinys ir kita informacija</w:t>
      </w:r>
    </w:p>
    <w:p w:rsidR="0025338D" w:rsidRDefault="0025338D" w:rsidP="0025338D">
      <w:pPr>
        <w:tabs>
          <w:tab w:val="left" w:pos="567"/>
        </w:tabs>
        <w:rPr>
          <w:szCs w:val="22"/>
        </w:rPr>
      </w:pPr>
    </w:p>
    <w:p w:rsidR="0025338D" w:rsidRPr="002C65CD" w:rsidRDefault="0025338D" w:rsidP="0025338D">
      <w:pPr>
        <w:pStyle w:val="BTEMEASMCA"/>
      </w:pPr>
    </w:p>
    <w:p w:rsidR="0025338D" w:rsidRDefault="0025338D" w:rsidP="0025338D">
      <w:pPr>
        <w:pStyle w:val="PI-1EMEASMCA"/>
      </w:pPr>
      <w:bookmarkStart w:id="2" w:name="_Toc129243139"/>
      <w:bookmarkStart w:id="3" w:name="_Toc129243264"/>
      <w:r>
        <w:t>1.</w:t>
      </w:r>
      <w:r>
        <w:tab/>
        <w:t xml:space="preserve">Kas yra </w:t>
      </w:r>
      <w:proofErr w:type="spellStart"/>
      <w:r>
        <w:t>Boostrix</w:t>
      </w:r>
      <w:proofErr w:type="spellEnd"/>
      <w:r>
        <w:t xml:space="preserve"> ir kam ji vartojama</w:t>
      </w:r>
      <w:bookmarkEnd w:id="2"/>
      <w:bookmarkEnd w:id="3"/>
    </w:p>
    <w:p w:rsidR="0025338D" w:rsidRPr="002C65CD" w:rsidRDefault="0025338D" w:rsidP="0025338D">
      <w:pPr>
        <w:pStyle w:val="BTEMEASMCA"/>
      </w:pPr>
    </w:p>
    <w:p w:rsidR="0025338D" w:rsidRDefault="0025338D" w:rsidP="0025338D">
      <w:pPr>
        <w:tabs>
          <w:tab w:val="left" w:pos="567"/>
        </w:tabs>
      </w:pPr>
      <w:proofErr w:type="spellStart"/>
      <w:r>
        <w:rPr>
          <w:szCs w:val="22"/>
        </w:rPr>
        <w:t>Boostrix</w:t>
      </w:r>
      <w:proofErr w:type="spellEnd"/>
      <w:r>
        <w:rPr>
          <w:szCs w:val="22"/>
        </w:rPr>
        <w:t xml:space="preserve"> vakcina vartojama vyresnių kaip 4 metų vaikų, paauglių ir suaugusiųjų </w:t>
      </w:r>
      <w:proofErr w:type="spellStart"/>
      <w:r>
        <w:rPr>
          <w:szCs w:val="22"/>
        </w:rPr>
        <w:t>revakcinacijai</w:t>
      </w:r>
      <w:proofErr w:type="spellEnd"/>
      <w:r>
        <w:rPr>
          <w:szCs w:val="22"/>
        </w:rPr>
        <w:t>, norint juos apsaugoti nuo trijų ligų: difterijos, stabligės ir kokliušo. Vakcina sužadina organizme apsaugą (antikūnų gamybą) nuo šių ligų.</w:t>
      </w:r>
    </w:p>
    <w:p w:rsidR="0025338D" w:rsidRDefault="0025338D" w:rsidP="0025338D">
      <w:pPr>
        <w:tabs>
          <w:tab w:val="left" w:pos="567"/>
        </w:tabs>
        <w:rPr>
          <w:szCs w:val="22"/>
        </w:rPr>
      </w:pPr>
    </w:p>
    <w:p w:rsidR="0025338D" w:rsidRDefault="0025338D" w:rsidP="0025338D">
      <w:pPr>
        <w:numPr>
          <w:ilvl w:val="0"/>
          <w:numId w:val="1"/>
        </w:numPr>
        <w:tabs>
          <w:tab w:val="left" w:pos="567"/>
        </w:tabs>
        <w:ind w:left="567" w:hanging="567"/>
      </w:pPr>
      <w:r>
        <w:rPr>
          <w:b/>
          <w:szCs w:val="22"/>
        </w:rPr>
        <w:t>Difterija.</w:t>
      </w:r>
      <w:r>
        <w:rPr>
          <w:szCs w:val="22"/>
        </w:rPr>
        <w:t xml:space="preserve"> Difterija labiausiai pažeidžia kvėpavimo takus ir kartais odą. Paprastai pasireiškia kvėpavimo takų uždegimas (patinimas), dėl kurio labai pasunkėja kvėpavimas, kartais galimas uždusimas. Be to, bakterijos išskiria toksiną (nuodą), kuris gali sukelti nervų pažaidą, širdies ligas ar net mirtį.</w:t>
      </w:r>
    </w:p>
    <w:p w:rsidR="0025338D" w:rsidRDefault="0025338D" w:rsidP="0025338D">
      <w:pPr>
        <w:tabs>
          <w:tab w:val="left" w:pos="567"/>
        </w:tabs>
        <w:ind w:left="567" w:hanging="567"/>
        <w:rPr>
          <w:szCs w:val="22"/>
        </w:rPr>
      </w:pPr>
    </w:p>
    <w:p w:rsidR="0025338D" w:rsidRDefault="0025338D" w:rsidP="0025338D">
      <w:pPr>
        <w:numPr>
          <w:ilvl w:val="0"/>
          <w:numId w:val="1"/>
        </w:numPr>
        <w:tabs>
          <w:tab w:val="left" w:pos="567"/>
        </w:tabs>
        <w:ind w:left="567" w:hanging="567"/>
      </w:pPr>
      <w:r>
        <w:rPr>
          <w:b/>
          <w:szCs w:val="22"/>
        </w:rPr>
        <w:t xml:space="preserve">Stabligė. </w:t>
      </w:r>
      <w:r>
        <w:rPr>
          <w:szCs w:val="22"/>
        </w:rPr>
        <w:t xml:space="preserve">Stabligės bakterija patenka į organizmą per odos </w:t>
      </w:r>
      <w:proofErr w:type="spellStart"/>
      <w:r>
        <w:rPr>
          <w:szCs w:val="22"/>
        </w:rPr>
        <w:t>įpjovimus</w:t>
      </w:r>
      <w:proofErr w:type="spellEnd"/>
      <w:r>
        <w:rPr>
          <w:szCs w:val="22"/>
        </w:rPr>
        <w:t>, įdrėskimus ar žaizdas. Žaizdos, kurios ypač linkusios į infekciją – tai nudegimai, lūžiai, gilios žaizdos ir žemėmis, dulkėmis ar arklių išmatomis (mėšlu) užterštos žaizdos, sužeidimai medžio atplaišomis. Bakterijos išskiria toksiną (nuodą), kuris gali sukelti raumenų sąstingį, skausmingus raumenų spazmus, traukulius ar net mirtį. Raumenų spazmai gali būti tokie stiprūs, kad gali sulaužyti stuburo kaulus.</w:t>
      </w:r>
    </w:p>
    <w:p w:rsidR="0025338D" w:rsidRDefault="0025338D" w:rsidP="0025338D">
      <w:pPr>
        <w:tabs>
          <w:tab w:val="left" w:pos="567"/>
        </w:tabs>
        <w:ind w:left="567" w:hanging="567"/>
        <w:rPr>
          <w:szCs w:val="22"/>
        </w:rPr>
      </w:pPr>
    </w:p>
    <w:p w:rsidR="0025338D" w:rsidRDefault="0025338D" w:rsidP="0025338D">
      <w:pPr>
        <w:numPr>
          <w:ilvl w:val="0"/>
          <w:numId w:val="1"/>
        </w:numPr>
        <w:tabs>
          <w:tab w:val="left" w:pos="567"/>
        </w:tabs>
        <w:ind w:left="567" w:hanging="567"/>
      </w:pPr>
      <w:r>
        <w:rPr>
          <w:b/>
          <w:szCs w:val="22"/>
        </w:rPr>
        <w:t>Kokliušas.</w:t>
      </w:r>
      <w:r>
        <w:rPr>
          <w:szCs w:val="22"/>
        </w:rPr>
        <w:t xml:space="preserve"> Kokliušas yra labai užkrečiama liga. Liga pažeidžia kvėpavimo takus, sukeldama sunkius kosulio priepuolius, kurie gali sutrikdyti normalų kvėpavimą. Kokliušui būdingas savotiškas kosulys su garsiais </w:t>
      </w:r>
      <w:proofErr w:type="spellStart"/>
      <w:r>
        <w:rPr>
          <w:szCs w:val="22"/>
        </w:rPr>
        <w:t>įkvėpimais</w:t>
      </w:r>
      <w:proofErr w:type="spellEnd"/>
      <w:r>
        <w:rPr>
          <w:szCs w:val="22"/>
        </w:rPr>
        <w:t>. Kosėjama 1</w:t>
      </w:r>
      <w:r>
        <w:rPr>
          <w:szCs w:val="22"/>
        </w:rPr>
        <w:noBreakHyphen/>
        <w:t>2 mėnesius ar ilgiau. Kokliušas taip pat gali sukelti ausų infekcijas, bronchitą, kuris gali trukti ilgą laiką, pneumoniją, traukulius, smegenų pažaidą ar net mirtį.</w:t>
      </w:r>
    </w:p>
    <w:p w:rsidR="0025338D" w:rsidRDefault="0025338D" w:rsidP="0025338D">
      <w:pPr>
        <w:tabs>
          <w:tab w:val="left" w:pos="567"/>
        </w:tabs>
        <w:rPr>
          <w:szCs w:val="22"/>
        </w:rPr>
      </w:pPr>
    </w:p>
    <w:p w:rsidR="0025338D" w:rsidRDefault="0025338D" w:rsidP="0025338D">
      <w:pPr>
        <w:tabs>
          <w:tab w:val="left" w:pos="567"/>
        </w:tabs>
      </w:pPr>
      <w:r>
        <w:rPr>
          <w:szCs w:val="22"/>
        </w:rPr>
        <w:t>Nė viena vakcinos sudėtyje esančių medžiagų nesukelia difterijos, stabligės, ar kokliušo.</w:t>
      </w:r>
    </w:p>
    <w:p w:rsidR="0025338D" w:rsidRDefault="0025338D" w:rsidP="0025338D">
      <w:pPr>
        <w:tabs>
          <w:tab w:val="left" w:pos="567"/>
        </w:tabs>
        <w:rPr>
          <w:szCs w:val="22"/>
        </w:rPr>
      </w:pPr>
    </w:p>
    <w:p w:rsidR="0025338D" w:rsidRPr="002C65CD" w:rsidRDefault="0025338D" w:rsidP="0025338D">
      <w:pPr>
        <w:tabs>
          <w:tab w:val="left" w:pos="567"/>
        </w:tabs>
      </w:pPr>
      <w:bookmarkStart w:id="4" w:name="_Hlk55026461"/>
      <w:r>
        <w:t xml:space="preserve">Paskiepijimas </w:t>
      </w:r>
      <w:proofErr w:type="spellStart"/>
      <w:r>
        <w:t>Boostrix</w:t>
      </w:r>
      <w:proofErr w:type="spellEnd"/>
      <w:r w:rsidRPr="003A1185">
        <w:t xml:space="preserve"> nėštumo metu padės apsaugoti </w:t>
      </w:r>
      <w:r>
        <w:t>J</w:t>
      </w:r>
      <w:r w:rsidRPr="003A1185">
        <w:t xml:space="preserve">ūsų kūdikį nuo kokliušo pirmaisiais gyvenimo mėnesiais, kol jis </w:t>
      </w:r>
      <w:r>
        <w:t>ar</w:t>
      </w:r>
      <w:r w:rsidRPr="003A1185">
        <w:t xml:space="preserve"> ji nebus </w:t>
      </w:r>
      <w:r>
        <w:t>pa</w:t>
      </w:r>
      <w:r w:rsidRPr="003A1185">
        <w:t>skiep</w:t>
      </w:r>
      <w:r>
        <w:t>yt</w:t>
      </w:r>
      <w:r w:rsidRPr="003A1185">
        <w:t>i.</w:t>
      </w:r>
    </w:p>
    <w:p w:rsidR="0025338D" w:rsidRDefault="0025338D" w:rsidP="0025338D">
      <w:pPr>
        <w:pStyle w:val="PI-1EMEASMCA"/>
      </w:pPr>
      <w:bookmarkStart w:id="5" w:name="_Toc129243140"/>
      <w:bookmarkStart w:id="6" w:name="_Toc129243265"/>
      <w:bookmarkEnd w:id="4"/>
      <w:r>
        <w:lastRenderedPageBreak/>
        <w:t>2.</w:t>
      </w:r>
      <w:r>
        <w:tab/>
        <w:t xml:space="preserve">Kas žinotina prieš Jums ar Jūsų vaikui vartojant </w:t>
      </w:r>
      <w:proofErr w:type="spellStart"/>
      <w:r>
        <w:t>Boostrix</w:t>
      </w:r>
      <w:bookmarkEnd w:id="5"/>
      <w:bookmarkEnd w:id="6"/>
      <w:proofErr w:type="spellEnd"/>
    </w:p>
    <w:p w:rsidR="0025338D" w:rsidRPr="002C65CD" w:rsidRDefault="0025338D" w:rsidP="0025338D">
      <w:pPr>
        <w:pStyle w:val="BTEMEASMCA"/>
      </w:pPr>
    </w:p>
    <w:p w:rsidR="0025338D" w:rsidRDefault="0025338D" w:rsidP="0025338D">
      <w:pPr>
        <w:pStyle w:val="PI-3EMEASMCA"/>
      </w:pPr>
      <w:proofErr w:type="spellStart"/>
      <w:r>
        <w:t>Boostrix</w:t>
      </w:r>
      <w:proofErr w:type="spellEnd"/>
      <w:r>
        <w:t xml:space="preserve"> vartoti draudžiama:</w:t>
      </w:r>
    </w:p>
    <w:p w:rsidR="0025338D" w:rsidRPr="00E90E50" w:rsidRDefault="0025338D" w:rsidP="0025338D">
      <w:pPr>
        <w:pStyle w:val="PI-3EMEASMCA"/>
        <w:rPr>
          <w:b w:val="0"/>
        </w:rPr>
      </w:pPr>
    </w:p>
    <w:p w:rsidR="0025338D" w:rsidRPr="008D66EC" w:rsidRDefault="0025338D" w:rsidP="0025338D">
      <w:pPr>
        <w:pStyle w:val="Pagrindinistekstas"/>
        <w:numPr>
          <w:ilvl w:val="0"/>
          <w:numId w:val="2"/>
        </w:numPr>
        <w:spacing w:after="0"/>
        <w:ind w:left="567" w:hanging="567"/>
      </w:pPr>
      <w:r>
        <w:rPr>
          <w:sz w:val="22"/>
        </w:rPr>
        <w:t xml:space="preserve">jeigu Jums ar Jūsų vaikui </w:t>
      </w:r>
      <w:r>
        <w:rPr>
          <w:sz w:val="22"/>
          <w:szCs w:val="22"/>
        </w:rPr>
        <w:t xml:space="preserve">pirmiau buvo pasireiškusi alerginė reakcija </w:t>
      </w:r>
      <w:proofErr w:type="spellStart"/>
      <w:r>
        <w:rPr>
          <w:sz w:val="22"/>
          <w:szCs w:val="22"/>
        </w:rPr>
        <w:t>Boostrix</w:t>
      </w:r>
      <w:proofErr w:type="spellEnd"/>
      <w:r>
        <w:rPr>
          <w:sz w:val="22"/>
          <w:szCs w:val="22"/>
        </w:rPr>
        <w:t xml:space="preserve"> arba </w:t>
      </w:r>
      <w:r>
        <w:rPr>
          <w:sz w:val="22"/>
        </w:rPr>
        <w:t xml:space="preserve">bet kuriai pagalbinei </w:t>
      </w:r>
      <w:r>
        <w:rPr>
          <w:sz w:val="22"/>
          <w:szCs w:val="22"/>
        </w:rPr>
        <w:t>šios vakcinos</w:t>
      </w:r>
      <w:r>
        <w:rPr>
          <w:sz w:val="22"/>
        </w:rPr>
        <w:t xml:space="preserve"> medžiagai (jos išvardytos 6</w:t>
      </w:r>
      <w:r w:rsidRPr="002C65CD">
        <w:rPr>
          <w:sz w:val="22"/>
        </w:rPr>
        <w:t> </w:t>
      </w:r>
      <w:r>
        <w:rPr>
          <w:sz w:val="22"/>
        </w:rPr>
        <w:t xml:space="preserve">skyriuje) arba </w:t>
      </w:r>
      <w:proofErr w:type="spellStart"/>
      <w:r>
        <w:rPr>
          <w:sz w:val="22"/>
        </w:rPr>
        <w:t>formaldehidui</w:t>
      </w:r>
      <w:proofErr w:type="spellEnd"/>
      <w:r>
        <w:rPr>
          <w:sz w:val="22"/>
        </w:rPr>
        <w:t xml:space="preserve">. </w:t>
      </w:r>
      <w:r>
        <w:rPr>
          <w:sz w:val="22"/>
          <w:szCs w:val="22"/>
        </w:rPr>
        <w:t>Alerginė reakcija gali pasireikšti odos išbėrimu, dusuliu ir veido ar liežuvio patinimu;</w:t>
      </w:r>
    </w:p>
    <w:p w:rsidR="0025338D" w:rsidRDefault="0025338D" w:rsidP="0025338D">
      <w:pPr>
        <w:numPr>
          <w:ilvl w:val="1"/>
          <w:numId w:val="2"/>
        </w:numPr>
        <w:ind w:left="567" w:hanging="567"/>
      </w:pPr>
      <w:r>
        <w:rPr>
          <w:szCs w:val="22"/>
        </w:rPr>
        <w:t>jeigu Jums arba Jūsų vaikui pirmiau buvo pasireiškusi alerginė reakcija bet kuriai vakcinai nuo difterijos, stabligės arba kokliušo ligų;</w:t>
      </w:r>
    </w:p>
    <w:p w:rsidR="0025338D" w:rsidRDefault="0025338D" w:rsidP="0025338D">
      <w:pPr>
        <w:numPr>
          <w:ilvl w:val="0"/>
          <w:numId w:val="3"/>
        </w:numPr>
        <w:ind w:left="567" w:hanging="567"/>
      </w:pPr>
      <w:r>
        <w:rPr>
          <w:szCs w:val="22"/>
        </w:rPr>
        <w:t>jeigu Jums arba Jūsų vaikui pirmiau buvo pasireiškę nervų sistemos sutrikimai (</w:t>
      </w:r>
      <w:proofErr w:type="spellStart"/>
      <w:r>
        <w:rPr>
          <w:szCs w:val="22"/>
        </w:rPr>
        <w:t>encefalopatija</w:t>
      </w:r>
      <w:proofErr w:type="spellEnd"/>
      <w:r>
        <w:rPr>
          <w:szCs w:val="22"/>
        </w:rPr>
        <w:t>) per 7 paras po ankstesnio skiepijimo vakcina nuo kokliušo ligos;</w:t>
      </w:r>
    </w:p>
    <w:p w:rsidR="0025338D" w:rsidRDefault="0025338D" w:rsidP="0025338D">
      <w:pPr>
        <w:numPr>
          <w:ilvl w:val="0"/>
          <w:numId w:val="3"/>
        </w:numPr>
        <w:ind w:left="567" w:hanging="567"/>
      </w:pPr>
      <w:r>
        <w:rPr>
          <w:szCs w:val="22"/>
        </w:rPr>
        <w:t>jeigu Jūs arba Jūsų vaikas serga sunkia infekcine liga su kūno temperatūros padidėjimu (daugiau kaip 38 °C). Nesunki infekcija neturėtų būti problema, bet prieš skiepijimą pasitarkite su savo gydytoju;</w:t>
      </w:r>
    </w:p>
    <w:p w:rsidR="0025338D" w:rsidRDefault="0025338D" w:rsidP="0025338D">
      <w:pPr>
        <w:numPr>
          <w:ilvl w:val="0"/>
          <w:numId w:val="3"/>
        </w:numPr>
        <w:ind w:left="567" w:hanging="567"/>
      </w:pPr>
      <w:r>
        <w:rPr>
          <w:szCs w:val="22"/>
        </w:rPr>
        <w:t>jeigu Jums ar Jūsų vaikui buvo laikinai sumažėjęs trombocitų kiekis kraujyje (tai padidina kraujavimo ir kraujosruvų riziką) arba pasireiškė smegenų ar nervų sutrikimai po ankstesnio skiepijimo vakcina nuo difterijos ir (ar) stabligės.</w:t>
      </w:r>
    </w:p>
    <w:p w:rsidR="0025338D" w:rsidRDefault="0025338D" w:rsidP="0025338D">
      <w:pPr>
        <w:tabs>
          <w:tab w:val="left" w:pos="567"/>
        </w:tabs>
        <w:rPr>
          <w:szCs w:val="22"/>
        </w:rPr>
      </w:pPr>
    </w:p>
    <w:p w:rsidR="0025338D" w:rsidRDefault="0025338D" w:rsidP="0025338D">
      <w:pPr>
        <w:pStyle w:val="PI-3EMEASMCA"/>
      </w:pPr>
      <w:r>
        <w:t>Įspėjimai ir atsargumo priemonės</w:t>
      </w:r>
    </w:p>
    <w:p w:rsidR="0025338D" w:rsidRPr="00E90E50" w:rsidRDefault="0025338D" w:rsidP="0025338D">
      <w:pPr>
        <w:pStyle w:val="PI-3EMEASMCA"/>
        <w:rPr>
          <w:b w:val="0"/>
        </w:rPr>
      </w:pPr>
    </w:p>
    <w:p w:rsidR="0025338D" w:rsidRDefault="0025338D" w:rsidP="0025338D">
      <w:pPr>
        <w:tabs>
          <w:tab w:val="left" w:pos="567"/>
        </w:tabs>
      </w:pPr>
      <w:r w:rsidRPr="008D66EC">
        <w:rPr>
          <w:b/>
        </w:rPr>
        <w:t xml:space="preserve">Pasitarkite su </w:t>
      </w:r>
      <w:r>
        <w:rPr>
          <w:b/>
          <w:bCs/>
          <w:szCs w:val="22"/>
        </w:rPr>
        <w:t xml:space="preserve">savo </w:t>
      </w:r>
      <w:r w:rsidRPr="008D66EC">
        <w:rPr>
          <w:b/>
        </w:rPr>
        <w:t xml:space="preserve">gydytoju </w:t>
      </w:r>
      <w:r>
        <w:rPr>
          <w:b/>
          <w:bCs/>
          <w:szCs w:val="22"/>
        </w:rPr>
        <w:t xml:space="preserve">arba vaistininku </w:t>
      </w:r>
      <w:r w:rsidRPr="008D66EC">
        <w:rPr>
          <w:b/>
        </w:rPr>
        <w:t xml:space="preserve">prieš </w:t>
      </w:r>
      <w:r>
        <w:rPr>
          <w:b/>
          <w:bCs/>
          <w:szCs w:val="22"/>
        </w:rPr>
        <w:t>Jums arba Jūsų vaikui suleidžiant</w:t>
      </w:r>
      <w:r w:rsidRPr="008D66EC">
        <w:rPr>
          <w:b/>
        </w:rPr>
        <w:t xml:space="preserve"> </w:t>
      </w:r>
      <w:proofErr w:type="spellStart"/>
      <w:r w:rsidRPr="008D66EC">
        <w:rPr>
          <w:b/>
        </w:rPr>
        <w:t>Boostrix</w:t>
      </w:r>
      <w:proofErr w:type="spellEnd"/>
      <w:r w:rsidRPr="008D66EC">
        <w:rPr>
          <w:b/>
        </w:rPr>
        <w:t>:</w:t>
      </w:r>
    </w:p>
    <w:p w:rsidR="0025338D" w:rsidRPr="00E90E50" w:rsidRDefault="0025338D" w:rsidP="0025338D">
      <w:pPr>
        <w:tabs>
          <w:tab w:val="left" w:pos="567"/>
        </w:tabs>
      </w:pPr>
    </w:p>
    <w:p w:rsidR="0025338D" w:rsidRDefault="0025338D" w:rsidP="0025338D">
      <w:pPr>
        <w:numPr>
          <w:ilvl w:val="0"/>
          <w:numId w:val="4"/>
        </w:numPr>
        <w:tabs>
          <w:tab w:val="left" w:pos="567"/>
        </w:tabs>
        <w:ind w:left="567" w:hanging="567"/>
      </w:pPr>
      <w:r>
        <w:rPr>
          <w:szCs w:val="22"/>
        </w:rPr>
        <w:t xml:space="preserve">jeigu pirmiau po </w:t>
      </w:r>
      <w:bookmarkStart w:id="7" w:name="_Hlk26032360"/>
      <w:r>
        <w:rPr>
          <w:szCs w:val="22"/>
        </w:rPr>
        <w:t>paskiepijimo</w:t>
      </w:r>
      <w:bookmarkEnd w:id="7"/>
      <w:r>
        <w:rPr>
          <w:szCs w:val="22"/>
        </w:rPr>
        <w:t xml:space="preserve"> </w:t>
      </w:r>
      <w:proofErr w:type="spellStart"/>
      <w:r>
        <w:rPr>
          <w:szCs w:val="22"/>
        </w:rPr>
        <w:t>Boostrix</w:t>
      </w:r>
      <w:proofErr w:type="spellEnd"/>
      <w:r>
        <w:rPr>
          <w:szCs w:val="22"/>
        </w:rPr>
        <w:t xml:space="preserve"> arba kita vakcina nuo kokliušo Jums arba Jūsų vaikui kilo kokių nors problemų, ypač:</w:t>
      </w:r>
    </w:p>
    <w:p w:rsidR="0025338D" w:rsidRDefault="0025338D" w:rsidP="0025338D">
      <w:pPr>
        <w:numPr>
          <w:ilvl w:val="1"/>
          <w:numId w:val="4"/>
        </w:numPr>
        <w:tabs>
          <w:tab w:val="left" w:pos="-873"/>
          <w:tab w:val="left" w:pos="0"/>
        </w:tabs>
      </w:pPr>
      <w:r>
        <w:rPr>
          <w:szCs w:val="22"/>
        </w:rPr>
        <w:t>pakilo aukšta kūno temperatūra (daugiau kaip 40 °C) per 48 valandas po paskiepijimo;</w:t>
      </w:r>
    </w:p>
    <w:p w:rsidR="0025338D" w:rsidRDefault="0025338D" w:rsidP="0025338D">
      <w:pPr>
        <w:numPr>
          <w:ilvl w:val="1"/>
          <w:numId w:val="4"/>
        </w:numPr>
        <w:tabs>
          <w:tab w:val="left" w:pos="-873"/>
          <w:tab w:val="left" w:pos="0"/>
        </w:tabs>
      </w:pPr>
      <w:r>
        <w:rPr>
          <w:szCs w:val="22"/>
        </w:rPr>
        <w:t>atsirado ūmus kraujagyslių funkcijos nepakankamumas ar į šoką panaši būklė per 48 valandas po paskiepijimo;</w:t>
      </w:r>
    </w:p>
    <w:p w:rsidR="0025338D" w:rsidRDefault="0025338D" w:rsidP="0025338D">
      <w:pPr>
        <w:numPr>
          <w:ilvl w:val="1"/>
          <w:numId w:val="4"/>
        </w:numPr>
        <w:tabs>
          <w:tab w:val="left" w:pos="-873"/>
          <w:tab w:val="left" w:pos="0"/>
        </w:tabs>
      </w:pPr>
      <w:r>
        <w:rPr>
          <w:szCs w:val="22"/>
        </w:rPr>
        <w:t>3 valandas ar ilgiau trunkantis verkimas per 48 valandas po paskiepijimo;</w:t>
      </w:r>
    </w:p>
    <w:p w:rsidR="0025338D" w:rsidRDefault="0025338D" w:rsidP="0025338D">
      <w:pPr>
        <w:numPr>
          <w:ilvl w:val="1"/>
          <w:numId w:val="4"/>
        </w:numPr>
        <w:tabs>
          <w:tab w:val="left" w:pos="-873"/>
          <w:tab w:val="left" w:pos="0"/>
        </w:tabs>
      </w:pPr>
      <w:r>
        <w:rPr>
          <w:szCs w:val="22"/>
        </w:rPr>
        <w:t>traukuliai ar priepuoliai karščiuojant ar nekarščiuojant per 3 paras po paskiepijimo.</w:t>
      </w:r>
    </w:p>
    <w:p w:rsidR="0025338D" w:rsidRPr="002C65CD" w:rsidRDefault="0025338D" w:rsidP="0025338D">
      <w:pPr>
        <w:numPr>
          <w:ilvl w:val="2"/>
          <w:numId w:val="4"/>
        </w:numPr>
        <w:ind w:left="567" w:hanging="567"/>
      </w:pPr>
      <w:r w:rsidRPr="002C65CD">
        <w:t xml:space="preserve">jeigu Jūsų vaikas serga nediagnozuota ar progresuojančia liga, pažeidžiančia </w:t>
      </w:r>
      <w:r>
        <w:t xml:space="preserve">galvos </w:t>
      </w:r>
      <w:r w:rsidRPr="002C65CD">
        <w:t>smegenis</w:t>
      </w:r>
      <w:r>
        <w:t>,</w:t>
      </w:r>
      <w:r w:rsidRPr="002C65CD">
        <w:t xml:space="preserve"> arba nekontroliuojama epilepsija</w:t>
      </w:r>
      <w:r>
        <w:t>. Vakcina turi būti suleista atstačius ligos kontrolę</w:t>
      </w:r>
      <w:r w:rsidRPr="002C65CD">
        <w:t>;</w:t>
      </w:r>
    </w:p>
    <w:p w:rsidR="0025338D" w:rsidRDefault="0025338D" w:rsidP="0025338D">
      <w:pPr>
        <w:numPr>
          <w:ilvl w:val="2"/>
          <w:numId w:val="4"/>
        </w:numPr>
        <w:ind w:left="567" w:hanging="567"/>
      </w:pPr>
      <w:r>
        <w:rPr>
          <w:szCs w:val="22"/>
        </w:rPr>
        <w:t>jeigu Jūs turite arba Jūsų vaikas turi kraujavimo sutrikimų arba jums ar Jūsų vaikui lengvai atsiranda kraujosruvų;</w:t>
      </w:r>
    </w:p>
    <w:p w:rsidR="0025338D" w:rsidRDefault="0025338D" w:rsidP="0025338D">
      <w:pPr>
        <w:numPr>
          <w:ilvl w:val="2"/>
          <w:numId w:val="4"/>
        </w:numPr>
        <w:ind w:left="567" w:hanging="567"/>
      </w:pPr>
      <w:r>
        <w:rPr>
          <w:szCs w:val="22"/>
        </w:rPr>
        <w:t>jeigu Jūs turite arba Jūsų vaikas turi polinkį į traukulius ar priepuolius karščiuojant, arba jeigu Jūsų kraujo giminaičiams yra buvę tokių traukulių;</w:t>
      </w:r>
    </w:p>
    <w:p w:rsidR="0025338D" w:rsidRDefault="0025338D" w:rsidP="0025338D">
      <w:pPr>
        <w:numPr>
          <w:ilvl w:val="2"/>
          <w:numId w:val="4"/>
        </w:numPr>
        <w:ind w:left="567" w:hanging="567"/>
      </w:pPr>
      <w:r>
        <w:rPr>
          <w:szCs w:val="22"/>
        </w:rPr>
        <w:t xml:space="preserve">jeigu Jūs turite ar Jūsų vaikas turi bet kokios kilmės ilgalaikių imuninės sistemos problemų (įskaitant ŽIV infekciją). Tokiu atveju Jums ar Jūsų vaikui vis tiek galima suleisti </w:t>
      </w:r>
      <w:proofErr w:type="spellStart"/>
      <w:r>
        <w:rPr>
          <w:szCs w:val="22"/>
        </w:rPr>
        <w:t>Boostrix</w:t>
      </w:r>
      <w:proofErr w:type="spellEnd"/>
      <w:r>
        <w:rPr>
          <w:szCs w:val="22"/>
        </w:rPr>
        <w:t>, tačiau po vakcinavimo apsauga nuo infekcinių ligų gali būti ne tokia gera, kaip vaikams ar suaugusiesiems, kurių imuninė sistema yra sveika.</w:t>
      </w:r>
    </w:p>
    <w:p w:rsidR="0025338D" w:rsidRDefault="0025338D" w:rsidP="0025338D">
      <w:pPr>
        <w:rPr>
          <w:szCs w:val="22"/>
        </w:rPr>
      </w:pPr>
    </w:p>
    <w:p w:rsidR="0025338D" w:rsidRDefault="0025338D" w:rsidP="0025338D">
      <w:r>
        <w:rPr>
          <w:szCs w:val="22"/>
        </w:rPr>
        <w:t>Po arba net prieš bet kokią injekciją adata galima apalpti (dažniausiai alpsta paaugliai), todėl pasakykite gydytojui arba slaugytojui, jeigu anksčiau Jūs buvote ar Jūsų vaikas buvo nualpęs nuo injekcijos.</w:t>
      </w:r>
    </w:p>
    <w:p w:rsidR="0025338D" w:rsidRDefault="0025338D" w:rsidP="0025338D">
      <w:pPr>
        <w:tabs>
          <w:tab w:val="left" w:pos="567"/>
        </w:tabs>
        <w:rPr>
          <w:szCs w:val="22"/>
        </w:rPr>
      </w:pPr>
    </w:p>
    <w:p w:rsidR="0025338D" w:rsidRDefault="0025338D" w:rsidP="0025338D">
      <w:pPr>
        <w:rPr>
          <w:szCs w:val="22"/>
        </w:rPr>
      </w:pPr>
      <w:proofErr w:type="spellStart"/>
      <w:r>
        <w:rPr>
          <w:szCs w:val="22"/>
        </w:rPr>
        <w:t>Boostrix</w:t>
      </w:r>
      <w:proofErr w:type="spellEnd"/>
      <w:r>
        <w:rPr>
          <w:szCs w:val="22"/>
        </w:rPr>
        <w:t>, kaip ir visos vakcinos, pilnai apsaugo ne visus paskiepytus žmones.</w:t>
      </w:r>
    </w:p>
    <w:p w:rsidR="0025338D" w:rsidRDefault="0025338D" w:rsidP="0025338D">
      <w:pPr>
        <w:rPr>
          <w:szCs w:val="22"/>
        </w:rPr>
      </w:pPr>
    </w:p>
    <w:p w:rsidR="0025338D" w:rsidRDefault="0025338D" w:rsidP="0025338D">
      <w:pPr>
        <w:pStyle w:val="PI-3EMEASMCA"/>
      </w:pPr>
      <w:r>
        <w:t xml:space="preserve">Kiti vaistai ir </w:t>
      </w:r>
      <w:proofErr w:type="spellStart"/>
      <w:r>
        <w:t>Boostrix</w:t>
      </w:r>
      <w:proofErr w:type="spellEnd"/>
    </w:p>
    <w:p w:rsidR="0025338D" w:rsidRPr="00E90E50" w:rsidRDefault="0025338D" w:rsidP="0025338D">
      <w:pPr>
        <w:pStyle w:val="PI-3EMEASMCA"/>
        <w:rPr>
          <w:b w:val="0"/>
        </w:rPr>
      </w:pPr>
    </w:p>
    <w:p w:rsidR="0025338D" w:rsidRDefault="0025338D" w:rsidP="0025338D">
      <w:pPr>
        <w:tabs>
          <w:tab w:val="left" w:pos="567"/>
        </w:tabs>
      </w:pPr>
      <w:r>
        <w:rPr>
          <w:szCs w:val="22"/>
        </w:rPr>
        <w:t>Jeigu Jūs vartojate ar Jūsų vaikas vartoja arba neseniai vartojote ar Jūsų vaikas vartojo kitų vaistų, įskaitant įsigytus be recepto, o taip pat jeigu buvote arba Jūsų vaikas buvo skiepytas bet kokia kita vakcina, pasakykite gydytojui.</w:t>
      </w:r>
    </w:p>
    <w:p w:rsidR="0025338D" w:rsidRDefault="0025338D" w:rsidP="0025338D">
      <w:pPr>
        <w:tabs>
          <w:tab w:val="left" w:pos="567"/>
        </w:tabs>
        <w:rPr>
          <w:szCs w:val="22"/>
        </w:rPr>
      </w:pPr>
    </w:p>
    <w:p w:rsidR="0025338D" w:rsidRDefault="0025338D" w:rsidP="0025338D">
      <w:pPr>
        <w:tabs>
          <w:tab w:val="left" w:pos="567"/>
        </w:tabs>
        <w:rPr>
          <w:szCs w:val="22"/>
        </w:rPr>
      </w:pPr>
      <w:bookmarkStart w:id="8" w:name="_Hlk54985342"/>
      <w:proofErr w:type="spellStart"/>
      <w:r>
        <w:rPr>
          <w:szCs w:val="22"/>
        </w:rPr>
        <w:t>Boostrix</w:t>
      </w:r>
      <w:proofErr w:type="spellEnd"/>
      <w:r>
        <w:rPr>
          <w:szCs w:val="22"/>
        </w:rPr>
        <w:t xml:space="preserve"> galima suleisti tuo pačiu laiku, kaip ir kai kurias kitas vakcinas. Kiekvienos rūšies vakciną reikia suleisti į skirtingas injekcijų vietas.</w:t>
      </w:r>
    </w:p>
    <w:p w:rsidR="0025338D" w:rsidRDefault="0025338D" w:rsidP="0025338D">
      <w:pPr>
        <w:tabs>
          <w:tab w:val="left" w:pos="567"/>
        </w:tabs>
        <w:rPr>
          <w:szCs w:val="22"/>
        </w:rPr>
      </w:pPr>
    </w:p>
    <w:p w:rsidR="0025338D" w:rsidRDefault="0025338D" w:rsidP="0025338D">
      <w:pPr>
        <w:tabs>
          <w:tab w:val="left" w:pos="567"/>
        </w:tabs>
      </w:pPr>
      <w:proofErr w:type="spellStart"/>
      <w:r>
        <w:rPr>
          <w:szCs w:val="22"/>
        </w:rPr>
        <w:t>Boostrix</w:t>
      </w:r>
      <w:proofErr w:type="spellEnd"/>
      <w:r>
        <w:rPr>
          <w:szCs w:val="22"/>
        </w:rPr>
        <w:t xml:space="preserve"> gali veikti silpniau, jeigu Jūs vartojate ar Jūsų vaikas vartoja vaistų, kurie mažina Jūsų ar vaiko imuninės sistemos veiksmingumą saugant nuo infekcijos.</w:t>
      </w:r>
    </w:p>
    <w:bookmarkEnd w:id="8"/>
    <w:p w:rsidR="0025338D" w:rsidRPr="002C65CD" w:rsidRDefault="0025338D" w:rsidP="0025338D">
      <w:pPr>
        <w:tabs>
          <w:tab w:val="left" w:pos="567"/>
        </w:tabs>
      </w:pPr>
    </w:p>
    <w:p w:rsidR="0025338D" w:rsidRDefault="0025338D" w:rsidP="0025338D">
      <w:pPr>
        <w:pStyle w:val="PI-3EMEASMCA"/>
      </w:pPr>
      <w:r>
        <w:t>Nėštumas ir žindymo laikotarpis</w:t>
      </w:r>
    </w:p>
    <w:p w:rsidR="0025338D" w:rsidRPr="00E90E50" w:rsidRDefault="0025338D" w:rsidP="0025338D">
      <w:pPr>
        <w:pStyle w:val="PI-3EMEASMCA"/>
        <w:rPr>
          <w:b w:val="0"/>
        </w:rPr>
      </w:pPr>
    </w:p>
    <w:p w:rsidR="0025338D" w:rsidRDefault="0025338D" w:rsidP="0025338D">
      <w:pPr>
        <w:tabs>
          <w:tab w:val="left" w:pos="567"/>
        </w:tabs>
        <w:rPr>
          <w:szCs w:val="22"/>
        </w:rPr>
      </w:pPr>
      <w:bookmarkStart w:id="9" w:name="_Hlk26033350"/>
      <w:bookmarkStart w:id="10" w:name="_Hlk54985440"/>
      <w:r w:rsidRPr="00F21FE2">
        <w:t xml:space="preserve">Jeigu esate nėščia, žindote kūdikį, manote, kad galbūt esate nėščia arba planuojate pastoti, tai prieš </w:t>
      </w:r>
      <w:r>
        <w:t>suleidžiant</w:t>
      </w:r>
      <w:r w:rsidRPr="00F21FE2">
        <w:t xml:space="preserve"> š</w:t>
      </w:r>
      <w:r>
        <w:t>ią</w:t>
      </w:r>
      <w:r w:rsidRPr="00F21FE2">
        <w:t xml:space="preserve"> va</w:t>
      </w:r>
      <w:r>
        <w:t>kcin</w:t>
      </w:r>
      <w:r w:rsidRPr="00F21FE2">
        <w:t>ą</w:t>
      </w:r>
      <w:r>
        <w:t>,</w:t>
      </w:r>
      <w:r w:rsidRPr="00F21FE2">
        <w:t xml:space="preserve"> pasitarkite su </w:t>
      </w:r>
      <w:r>
        <w:t xml:space="preserve">savo </w:t>
      </w:r>
      <w:r w:rsidRPr="00F21FE2">
        <w:t>gydytoju arba vaistininku</w:t>
      </w:r>
      <w:r>
        <w:rPr>
          <w:szCs w:val="22"/>
        </w:rPr>
        <w:t>.</w:t>
      </w:r>
    </w:p>
    <w:bookmarkEnd w:id="9"/>
    <w:p w:rsidR="0025338D" w:rsidRDefault="0025338D" w:rsidP="0025338D">
      <w:pPr>
        <w:tabs>
          <w:tab w:val="left" w:pos="567"/>
        </w:tabs>
        <w:rPr>
          <w:szCs w:val="22"/>
        </w:rPr>
      </w:pPr>
    </w:p>
    <w:bookmarkEnd w:id="10"/>
    <w:p w:rsidR="0025338D" w:rsidRDefault="0025338D" w:rsidP="0025338D">
      <w:pPr>
        <w:tabs>
          <w:tab w:val="left" w:pos="567"/>
        </w:tabs>
      </w:pPr>
      <w:r>
        <w:rPr>
          <w:szCs w:val="22"/>
        </w:rPr>
        <w:t xml:space="preserve">Nežinoma, ar </w:t>
      </w:r>
      <w:proofErr w:type="spellStart"/>
      <w:r>
        <w:rPr>
          <w:szCs w:val="22"/>
        </w:rPr>
        <w:t>Boostrix</w:t>
      </w:r>
      <w:proofErr w:type="spellEnd"/>
      <w:r>
        <w:rPr>
          <w:szCs w:val="22"/>
        </w:rPr>
        <w:t xml:space="preserve"> patenka į motinos pieną. Su savo gydytoju aptarsite galimus pavojus ir naudą skiepijant </w:t>
      </w:r>
      <w:proofErr w:type="spellStart"/>
      <w:r>
        <w:rPr>
          <w:szCs w:val="22"/>
        </w:rPr>
        <w:t>Boostrix</w:t>
      </w:r>
      <w:proofErr w:type="spellEnd"/>
      <w:r>
        <w:rPr>
          <w:szCs w:val="22"/>
        </w:rPr>
        <w:t xml:space="preserve"> žindymo laikotarpiu.</w:t>
      </w:r>
    </w:p>
    <w:p w:rsidR="0025338D" w:rsidRPr="002C65CD" w:rsidRDefault="0025338D" w:rsidP="0025338D">
      <w:pPr>
        <w:tabs>
          <w:tab w:val="left" w:pos="567"/>
        </w:tabs>
      </w:pPr>
    </w:p>
    <w:p w:rsidR="0025338D" w:rsidRDefault="0025338D" w:rsidP="0025338D">
      <w:pPr>
        <w:pStyle w:val="PI-3EMEASMCA"/>
      </w:pPr>
      <w:r>
        <w:t>Vairavimas ir mechanizmų valdymas</w:t>
      </w:r>
    </w:p>
    <w:p w:rsidR="0025338D" w:rsidRPr="00E90E50" w:rsidRDefault="0025338D" w:rsidP="0025338D">
      <w:pPr>
        <w:pStyle w:val="PI-3EMEASMCA"/>
        <w:rPr>
          <w:b w:val="0"/>
        </w:rPr>
      </w:pPr>
    </w:p>
    <w:p w:rsidR="0025338D" w:rsidRDefault="0025338D" w:rsidP="0025338D">
      <w:pPr>
        <w:tabs>
          <w:tab w:val="left" w:pos="567"/>
        </w:tabs>
        <w:jc w:val="both"/>
      </w:pPr>
      <w:r>
        <w:rPr>
          <w:szCs w:val="22"/>
        </w:rPr>
        <w:t xml:space="preserve">Nesitikima, kad </w:t>
      </w:r>
      <w:proofErr w:type="spellStart"/>
      <w:r>
        <w:rPr>
          <w:szCs w:val="22"/>
        </w:rPr>
        <w:t>Boostrix</w:t>
      </w:r>
      <w:proofErr w:type="spellEnd"/>
      <w:r>
        <w:rPr>
          <w:szCs w:val="22"/>
        </w:rPr>
        <w:t xml:space="preserve"> veiktų gebėjimą vairuoti ir valdyti mechanizmus.</w:t>
      </w:r>
    </w:p>
    <w:p w:rsidR="0025338D" w:rsidRDefault="0025338D" w:rsidP="0025338D">
      <w:pPr>
        <w:tabs>
          <w:tab w:val="left" w:pos="567"/>
        </w:tabs>
        <w:jc w:val="both"/>
      </w:pPr>
    </w:p>
    <w:p w:rsidR="0025338D" w:rsidRDefault="0025338D" w:rsidP="0025338D">
      <w:pPr>
        <w:tabs>
          <w:tab w:val="left" w:pos="567"/>
        </w:tabs>
        <w:jc w:val="both"/>
        <w:rPr>
          <w:b/>
          <w:bCs/>
        </w:rPr>
      </w:pPr>
      <w:proofErr w:type="spellStart"/>
      <w:r>
        <w:rPr>
          <w:b/>
          <w:bCs/>
        </w:rPr>
        <w:t>Boostrix</w:t>
      </w:r>
      <w:proofErr w:type="spellEnd"/>
      <w:r>
        <w:rPr>
          <w:b/>
          <w:bCs/>
        </w:rPr>
        <w:t xml:space="preserve"> sudėtyje yra natrio</w:t>
      </w:r>
    </w:p>
    <w:p w:rsidR="0025338D" w:rsidRDefault="0025338D" w:rsidP="0025338D">
      <w:pPr>
        <w:tabs>
          <w:tab w:val="left" w:pos="567"/>
        </w:tabs>
        <w:jc w:val="both"/>
      </w:pPr>
    </w:p>
    <w:p w:rsidR="0025338D" w:rsidRDefault="0025338D" w:rsidP="0025338D">
      <w:pPr>
        <w:tabs>
          <w:tab w:val="left" w:pos="567"/>
        </w:tabs>
        <w:rPr>
          <w:szCs w:val="22"/>
        </w:rPr>
      </w:pPr>
      <w:r w:rsidRPr="00C87448">
        <w:rPr>
          <w:szCs w:val="22"/>
        </w:rPr>
        <w:t>Šio</w:t>
      </w:r>
      <w:r>
        <w:rPr>
          <w:szCs w:val="22"/>
        </w:rPr>
        <w:t xml:space="preserve">s vakcinos </w:t>
      </w:r>
      <w:r w:rsidRPr="00C87448">
        <w:rPr>
          <w:szCs w:val="22"/>
        </w:rPr>
        <w:t>dozėje yra mažiau kaip 1</w:t>
      </w:r>
      <w:r>
        <w:rPr>
          <w:szCs w:val="22"/>
        </w:rPr>
        <w:t> </w:t>
      </w:r>
      <w:proofErr w:type="spellStart"/>
      <w:r w:rsidRPr="00C87448">
        <w:rPr>
          <w:szCs w:val="22"/>
        </w:rPr>
        <w:t>mmol</w:t>
      </w:r>
      <w:proofErr w:type="spellEnd"/>
      <w:r w:rsidRPr="00C87448">
        <w:rPr>
          <w:szCs w:val="22"/>
        </w:rPr>
        <w:t xml:space="preserve"> (23</w:t>
      </w:r>
      <w:r>
        <w:rPr>
          <w:szCs w:val="22"/>
        </w:rPr>
        <w:t> </w:t>
      </w:r>
      <w:r w:rsidRPr="00C87448">
        <w:rPr>
          <w:szCs w:val="22"/>
        </w:rPr>
        <w:t>mg) natrio, t. y. jis beveik neturi reikšmės.</w:t>
      </w:r>
    </w:p>
    <w:p w:rsidR="0025338D" w:rsidRPr="002C65CD" w:rsidRDefault="0025338D" w:rsidP="0025338D">
      <w:pPr>
        <w:tabs>
          <w:tab w:val="left" w:pos="567"/>
        </w:tabs>
        <w:jc w:val="both"/>
      </w:pPr>
    </w:p>
    <w:p w:rsidR="0025338D" w:rsidRPr="002C65CD" w:rsidRDefault="0025338D" w:rsidP="0025338D">
      <w:pPr>
        <w:tabs>
          <w:tab w:val="left" w:pos="567"/>
        </w:tabs>
        <w:jc w:val="both"/>
      </w:pPr>
    </w:p>
    <w:p w:rsidR="0025338D" w:rsidRDefault="0025338D" w:rsidP="0025338D">
      <w:pPr>
        <w:pStyle w:val="PI-1EMEASMCA"/>
      </w:pPr>
      <w:bookmarkStart w:id="11" w:name="_Toc129243141"/>
      <w:bookmarkStart w:id="12" w:name="_Toc129243266"/>
      <w:r>
        <w:t>3.</w:t>
      </w:r>
      <w:r>
        <w:tab/>
        <w:t xml:space="preserve">Kaip vartoti </w:t>
      </w:r>
      <w:proofErr w:type="spellStart"/>
      <w:r>
        <w:t>Boostrix</w:t>
      </w:r>
      <w:bookmarkEnd w:id="11"/>
      <w:bookmarkEnd w:id="12"/>
      <w:proofErr w:type="spellEnd"/>
    </w:p>
    <w:p w:rsidR="0025338D" w:rsidRPr="002C65CD" w:rsidRDefault="0025338D" w:rsidP="0025338D">
      <w:pPr>
        <w:pStyle w:val="BTEMEASMCA"/>
      </w:pPr>
    </w:p>
    <w:p w:rsidR="0025338D" w:rsidRDefault="0025338D" w:rsidP="0025338D">
      <w:pPr>
        <w:numPr>
          <w:ilvl w:val="2"/>
          <w:numId w:val="4"/>
        </w:numPr>
        <w:ind w:left="567" w:hanging="567"/>
      </w:pPr>
      <w:bookmarkStart w:id="13" w:name="_Hlk26033621"/>
      <w:proofErr w:type="spellStart"/>
      <w:r>
        <w:rPr>
          <w:szCs w:val="22"/>
        </w:rPr>
        <w:t>Boostrix</w:t>
      </w:r>
      <w:bookmarkEnd w:id="13"/>
      <w:proofErr w:type="spellEnd"/>
      <w:r>
        <w:rPr>
          <w:szCs w:val="22"/>
        </w:rPr>
        <w:t xml:space="preserve"> suleidžiama į raumenį.</w:t>
      </w:r>
    </w:p>
    <w:p w:rsidR="0025338D" w:rsidRDefault="0025338D" w:rsidP="0025338D">
      <w:pPr>
        <w:tabs>
          <w:tab w:val="left" w:pos="567"/>
        </w:tabs>
        <w:jc w:val="both"/>
        <w:rPr>
          <w:szCs w:val="22"/>
        </w:rPr>
      </w:pPr>
    </w:p>
    <w:p w:rsidR="0025338D" w:rsidRDefault="0025338D" w:rsidP="0025338D">
      <w:pPr>
        <w:numPr>
          <w:ilvl w:val="2"/>
          <w:numId w:val="4"/>
        </w:numPr>
        <w:ind w:left="567" w:hanging="567"/>
      </w:pPr>
      <w:r>
        <w:rPr>
          <w:szCs w:val="22"/>
        </w:rPr>
        <w:t>Vakcinos negalima jokiais atvejais leisti į kraujagysles.</w:t>
      </w:r>
    </w:p>
    <w:p w:rsidR="0025338D" w:rsidRDefault="0025338D" w:rsidP="0025338D">
      <w:pPr>
        <w:tabs>
          <w:tab w:val="left" w:pos="567"/>
        </w:tabs>
        <w:jc w:val="both"/>
        <w:rPr>
          <w:szCs w:val="22"/>
        </w:rPr>
      </w:pPr>
    </w:p>
    <w:p w:rsidR="0025338D" w:rsidRDefault="0025338D" w:rsidP="0025338D">
      <w:pPr>
        <w:numPr>
          <w:ilvl w:val="2"/>
          <w:numId w:val="4"/>
        </w:numPr>
        <w:ind w:left="567" w:hanging="567"/>
      </w:pPr>
      <w:r>
        <w:rPr>
          <w:szCs w:val="22"/>
        </w:rPr>
        <w:t xml:space="preserve">Jums arba Jūsų vaikui bus suleista viena </w:t>
      </w:r>
      <w:proofErr w:type="spellStart"/>
      <w:r>
        <w:rPr>
          <w:szCs w:val="22"/>
        </w:rPr>
        <w:t>Boostrix</w:t>
      </w:r>
      <w:proofErr w:type="spellEnd"/>
      <w:r>
        <w:rPr>
          <w:szCs w:val="22"/>
        </w:rPr>
        <w:t xml:space="preserve"> injekcija.</w:t>
      </w:r>
    </w:p>
    <w:p w:rsidR="0025338D" w:rsidRDefault="0025338D" w:rsidP="0025338D">
      <w:pPr>
        <w:tabs>
          <w:tab w:val="left" w:pos="567"/>
        </w:tabs>
        <w:rPr>
          <w:bCs/>
          <w:szCs w:val="22"/>
        </w:rPr>
      </w:pPr>
    </w:p>
    <w:p w:rsidR="0025338D" w:rsidRDefault="0025338D" w:rsidP="0025338D">
      <w:pPr>
        <w:numPr>
          <w:ilvl w:val="2"/>
          <w:numId w:val="4"/>
        </w:numPr>
        <w:ind w:left="567" w:hanging="567"/>
      </w:pPr>
      <w:r>
        <w:rPr>
          <w:bCs/>
          <w:szCs w:val="22"/>
        </w:rPr>
        <w:t>Gydytojas išsiaiškins, ar anksčiau Jūs buvote arba Jūsų vaikas buvo skiepytas vakcinomis nuo difterijos, stabligės ir (ar) kokliušo.</w:t>
      </w:r>
    </w:p>
    <w:p w:rsidR="0025338D" w:rsidRPr="002C65CD" w:rsidRDefault="0025338D" w:rsidP="0025338D"/>
    <w:p w:rsidR="0025338D" w:rsidRDefault="0025338D" w:rsidP="0025338D">
      <w:pPr>
        <w:numPr>
          <w:ilvl w:val="2"/>
          <w:numId w:val="4"/>
        </w:numPr>
        <w:ind w:left="567" w:hanging="567"/>
      </w:pPr>
      <w:proofErr w:type="spellStart"/>
      <w:r>
        <w:rPr>
          <w:bCs/>
          <w:szCs w:val="22"/>
        </w:rPr>
        <w:t>Boostrix</w:t>
      </w:r>
      <w:proofErr w:type="spellEnd"/>
      <w:r>
        <w:rPr>
          <w:bCs/>
          <w:szCs w:val="22"/>
        </w:rPr>
        <w:t xml:space="preserve"> gali būti suleista įtariant stabligės infekciją, nors siekiant sumažinti ligos pasireiškimo riziką, taip pat bus imtasi papildomų priemonių, pavyzdžiui: sudėtingas žaizdų tvarstymas ir (ar) stabligės </w:t>
      </w:r>
      <w:proofErr w:type="spellStart"/>
      <w:r>
        <w:rPr>
          <w:bCs/>
          <w:szCs w:val="22"/>
        </w:rPr>
        <w:t>anatoksino</w:t>
      </w:r>
      <w:proofErr w:type="spellEnd"/>
      <w:r>
        <w:rPr>
          <w:bCs/>
          <w:szCs w:val="22"/>
        </w:rPr>
        <w:t xml:space="preserve"> vartojimas.</w:t>
      </w:r>
    </w:p>
    <w:p w:rsidR="0025338D" w:rsidRPr="003E1728" w:rsidRDefault="0025338D" w:rsidP="0025338D">
      <w:pPr>
        <w:rPr>
          <w:bCs/>
          <w:szCs w:val="22"/>
        </w:rPr>
      </w:pPr>
    </w:p>
    <w:p w:rsidR="0025338D" w:rsidRDefault="0025338D" w:rsidP="0025338D">
      <w:pPr>
        <w:numPr>
          <w:ilvl w:val="2"/>
          <w:numId w:val="4"/>
        </w:numPr>
        <w:ind w:left="567" w:hanging="567"/>
      </w:pPr>
      <w:r>
        <w:rPr>
          <w:bCs/>
          <w:szCs w:val="22"/>
        </w:rPr>
        <w:t>Jūsų gydytojas patars Jums dėl pakartotinės vakcinacijos.</w:t>
      </w:r>
    </w:p>
    <w:p w:rsidR="0025338D" w:rsidRPr="002C65CD" w:rsidRDefault="0025338D" w:rsidP="0025338D">
      <w:pPr>
        <w:tabs>
          <w:tab w:val="left" w:pos="567"/>
        </w:tabs>
      </w:pPr>
    </w:p>
    <w:p w:rsidR="0025338D" w:rsidRPr="002C65CD" w:rsidRDefault="0025338D" w:rsidP="0025338D">
      <w:pPr>
        <w:tabs>
          <w:tab w:val="left" w:pos="567"/>
        </w:tabs>
      </w:pPr>
    </w:p>
    <w:p w:rsidR="0025338D" w:rsidRDefault="0025338D" w:rsidP="0025338D">
      <w:pPr>
        <w:pStyle w:val="PI-1EMEASMCA"/>
      </w:pPr>
      <w:bookmarkStart w:id="14" w:name="_Toc129243142"/>
      <w:bookmarkStart w:id="15" w:name="_Toc129243267"/>
      <w:r>
        <w:t>4.</w:t>
      </w:r>
      <w:r>
        <w:tab/>
        <w:t>Galimas šalutinis poveikis</w:t>
      </w:r>
      <w:bookmarkEnd w:id="14"/>
      <w:bookmarkEnd w:id="15"/>
    </w:p>
    <w:p w:rsidR="0025338D" w:rsidRPr="002C65CD" w:rsidRDefault="0025338D" w:rsidP="0025338D">
      <w:pPr>
        <w:pStyle w:val="BTEMEASMCA"/>
      </w:pPr>
    </w:p>
    <w:p w:rsidR="0025338D" w:rsidRDefault="0025338D" w:rsidP="0025338D">
      <w:pPr>
        <w:tabs>
          <w:tab w:val="left" w:pos="567"/>
        </w:tabs>
      </w:pPr>
      <w:r>
        <w:rPr>
          <w:szCs w:val="22"/>
        </w:rPr>
        <w:t>Ši vakcina</w:t>
      </w:r>
      <w:r>
        <w:rPr>
          <w:bCs/>
          <w:szCs w:val="22"/>
        </w:rPr>
        <w:t>, k</w:t>
      </w:r>
      <w:r>
        <w:rPr>
          <w:szCs w:val="22"/>
        </w:rPr>
        <w:t>aip ir visi kiti vaistai, gali sukelti šalutinį poveikį, nors jis pasireiškia ne visiems žmonėms.</w:t>
      </w:r>
    </w:p>
    <w:p w:rsidR="0025338D" w:rsidRDefault="0025338D" w:rsidP="0025338D">
      <w:pPr>
        <w:tabs>
          <w:tab w:val="left" w:pos="567"/>
        </w:tabs>
        <w:rPr>
          <w:szCs w:val="22"/>
        </w:rPr>
      </w:pPr>
    </w:p>
    <w:p w:rsidR="0025338D" w:rsidRDefault="0025338D" w:rsidP="0025338D">
      <w:pPr>
        <w:tabs>
          <w:tab w:val="left" w:pos="567"/>
        </w:tabs>
      </w:pPr>
      <w:r>
        <w:rPr>
          <w:szCs w:val="22"/>
        </w:rPr>
        <w:t>Kaip ir skiepijant visomis injekcinėmis vakcinomis, labai retais atvejais (rečiau kaip 1 iš 10 000 skiepijimų vakcinos doze) gali pasireikšti sunkios alerginės reakcijos (</w:t>
      </w:r>
      <w:r>
        <w:rPr>
          <w:bCs/>
          <w:szCs w:val="22"/>
        </w:rPr>
        <w:t>anafilaksinės</w:t>
      </w:r>
      <w:r w:rsidRPr="008D66EC">
        <w:t xml:space="preserve"> ir </w:t>
      </w:r>
      <w:proofErr w:type="spellStart"/>
      <w:r>
        <w:rPr>
          <w:bCs/>
          <w:szCs w:val="22"/>
        </w:rPr>
        <w:t>anafilaktoidinės</w:t>
      </w:r>
      <w:proofErr w:type="spellEnd"/>
      <w:r>
        <w:rPr>
          <w:bCs/>
          <w:szCs w:val="22"/>
        </w:rPr>
        <w:t xml:space="preserve"> reakcijos</w:t>
      </w:r>
      <w:r>
        <w:rPr>
          <w:szCs w:val="22"/>
        </w:rPr>
        <w:t>). Jų požymiai yra:</w:t>
      </w:r>
    </w:p>
    <w:p w:rsidR="0025338D" w:rsidRDefault="0025338D" w:rsidP="0025338D">
      <w:pPr>
        <w:numPr>
          <w:ilvl w:val="0"/>
          <w:numId w:val="5"/>
        </w:numPr>
        <w:ind w:left="540" w:hanging="540"/>
      </w:pPr>
      <w:r>
        <w:rPr>
          <w:szCs w:val="22"/>
        </w:rPr>
        <w:t>išbėrimas, kuris gali būti niežtintysis arba pūslelinis;</w:t>
      </w:r>
    </w:p>
    <w:p w:rsidR="0025338D" w:rsidRDefault="0025338D" w:rsidP="0025338D">
      <w:pPr>
        <w:numPr>
          <w:ilvl w:val="0"/>
          <w:numId w:val="5"/>
        </w:numPr>
        <w:ind w:left="540" w:hanging="540"/>
      </w:pPr>
      <w:r>
        <w:rPr>
          <w:b/>
          <w:szCs w:val="22"/>
        </w:rPr>
        <w:t>akių ir veido patinimas</w:t>
      </w:r>
      <w:r>
        <w:rPr>
          <w:szCs w:val="22"/>
        </w:rPr>
        <w:t>;</w:t>
      </w:r>
    </w:p>
    <w:p w:rsidR="0025338D" w:rsidRDefault="0025338D" w:rsidP="0025338D">
      <w:pPr>
        <w:numPr>
          <w:ilvl w:val="0"/>
          <w:numId w:val="5"/>
        </w:numPr>
        <w:ind w:left="540" w:hanging="540"/>
      </w:pPr>
      <w:r>
        <w:rPr>
          <w:b/>
          <w:szCs w:val="22"/>
        </w:rPr>
        <w:t>kvėpavimo ar rijimo pasunkėjimas</w:t>
      </w:r>
      <w:r>
        <w:rPr>
          <w:szCs w:val="22"/>
        </w:rPr>
        <w:t>;</w:t>
      </w:r>
    </w:p>
    <w:p w:rsidR="0025338D" w:rsidRDefault="0025338D" w:rsidP="0025338D">
      <w:pPr>
        <w:numPr>
          <w:ilvl w:val="0"/>
          <w:numId w:val="5"/>
        </w:numPr>
        <w:ind w:left="540" w:hanging="540"/>
      </w:pPr>
      <w:r>
        <w:rPr>
          <w:szCs w:val="22"/>
        </w:rPr>
        <w:t xml:space="preserve">staigus kraujospūdžio sumažėjimas ir </w:t>
      </w:r>
      <w:r>
        <w:rPr>
          <w:b/>
          <w:szCs w:val="22"/>
        </w:rPr>
        <w:t>sąmonės praradimas</w:t>
      </w:r>
      <w:r>
        <w:rPr>
          <w:szCs w:val="22"/>
        </w:rPr>
        <w:t>.</w:t>
      </w:r>
    </w:p>
    <w:p w:rsidR="0025338D" w:rsidRDefault="0025338D" w:rsidP="0025338D">
      <w:pPr>
        <w:tabs>
          <w:tab w:val="left" w:pos="567"/>
        </w:tabs>
        <w:rPr>
          <w:szCs w:val="22"/>
        </w:rPr>
      </w:pPr>
    </w:p>
    <w:p w:rsidR="0025338D" w:rsidRPr="008D66EC" w:rsidRDefault="0025338D" w:rsidP="0025338D">
      <w:pPr>
        <w:tabs>
          <w:tab w:val="left" w:pos="567"/>
        </w:tabs>
      </w:pPr>
      <w:r>
        <w:rPr>
          <w:szCs w:val="22"/>
        </w:rPr>
        <w:t>Tokios reakcijos gali pasireikšti dar neišėjus iš gydytojo kabineto. Visgi</w:t>
      </w:r>
      <w:r>
        <w:rPr>
          <w:b/>
          <w:szCs w:val="22"/>
        </w:rPr>
        <w:t>, jeigu Jums arba Jūsų vaikui pasireiškė kuris nors šių simptomų, nedelsdami kreipkitės į gydytoją.</w:t>
      </w:r>
    </w:p>
    <w:p w:rsidR="0025338D" w:rsidRPr="002C65CD" w:rsidRDefault="0025338D" w:rsidP="0025338D">
      <w:pPr>
        <w:pStyle w:val="BTEMEASMCA"/>
      </w:pPr>
    </w:p>
    <w:p w:rsidR="0025338D" w:rsidRPr="008D66EC" w:rsidRDefault="0025338D" w:rsidP="0025338D">
      <w:pPr>
        <w:keepNext/>
        <w:tabs>
          <w:tab w:val="left" w:pos="567"/>
        </w:tabs>
      </w:pPr>
      <w:r>
        <w:rPr>
          <w:i/>
          <w:iCs/>
          <w:szCs w:val="22"/>
        </w:rPr>
        <w:t>Šalutinis poveikis, kuris klinikinių tyrimų metu pasireiškė</w:t>
      </w:r>
      <w:r w:rsidRPr="008D66EC">
        <w:rPr>
          <w:i/>
        </w:rPr>
        <w:t xml:space="preserve"> 4</w:t>
      </w:r>
      <w:r>
        <w:rPr>
          <w:i/>
          <w:iCs/>
          <w:szCs w:val="22"/>
        </w:rPr>
        <w:noBreakHyphen/>
      </w:r>
      <w:r>
        <w:rPr>
          <w:i/>
        </w:rPr>
        <w:t>8</w:t>
      </w:r>
      <w:r w:rsidRPr="008D66EC">
        <w:rPr>
          <w:i/>
        </w:rPr>
        <w:t> metų vaikams</w:t>
      </w:r>
    </w:p>
    <w:p w:rsidR="0025338D" w:rsidRDefault="0025338D" w:rsidP="0025338D">
      <w:pPr>
        <w:keepNext/>
        <w:tabs>
          <w:tab w:val="left" w:pos="567"/>
        </w:tabs>
        <w:rPr>
          <w:szCs w:val="22"/>
          <w:u w:val="single"/>
        </w:rPr>
      </w:pPr>
    </w:p>
    <w:p w:rsidR="0025338D" w:rsidRDefault="0025338D" w:rsidP="0025338D">
      <w:pPr>
        <w:tabs>
          <w:tab w:val="left" w:pos="567"/>
        </w:tabs>
        <w:rPr>
          <w:szCs w:val="22"/>
        </w:rPr>
      </w:pPr>
      <w:r>
        <w:rPr>
          <w:b/>
          <w:bCs/>
          <w:szCs w:val="22"/>
        </w:rPr>
        <w:t>Labai dažni šalutinio poveikio reiškiniai</w:t>
      </w:r>
      <w:r w:rsidRPr="00E90E50">
        <w:rPr>
          <w:b/>
        </w:rPr>
        <w:t xml:space="preserve"> (gali pasireikšti </w:t>
      </w:r>
      <w:r>
        <w:rPr>
          <w:b/>
          <w:bCs/>
          <w:szCs w:val="22"/>
        </w:rPr>
        <w:t>ne rečiau</w:t>
      </w:r>
      <w:r w:rsidRPr="00E90E50">
        <w:rPr>
          <w:b/>
        </w:rPr>
        <w:t xml:space="preserve"> kaip 1 iš 10</w:t>
      </w:r>
      <w:r>
        <w:rPr>
          <w:b/>
          <w:bCs/>
          <w:szCs w:val="22"/>
        </w:rPr>
        <w:t> skiepijimų vakcinos doze</w:t>
      </w:r>
      <w:r w:rsidRPr="00E90E50">
        <w:rPr>
          <w:b/>
        </w:rPr>
        <w:t>):</w:t>
      </w:r>
      <w:r>
        <w:rPr>
          <w:szCs w:val="22"/>
        </w:rPr>
        <w:t xml:space="preserve"> skausmas, paraudimas ir patinimas injekcijos vietoje, irzlumas, mieguistumas, nuovargis.</w:t>
      </w:r>
    </w:p>
    <w:p w:rsidR="0025338D" w:rsidRDefault="0025338D" w:rsidP="0025338D">
      <w:pPr>
        <w:tabs>
          <w:tab w:val="left" w:pos="567"/>
        </w:tabs>
        <w:rPr>
          <w:szCs w:val="22"/>
        </w:rPr>
      </w:pPr>
    </w:p>
    <w:p w:rsidR="0025338D" w:rsidRDefault="0025338D" w:rsidP="0025338D">
      <w:pPr>
        <w:rPr>
          <w:szCs w:val="22"/>
        </w:rPr>
      </w:pPr>
      <w:r>
        <w:rPr>
          <w:b/>
          <w:bCs/>
          <w:szCs w:val="22"/>
        </w:rPr>
        <w:t>Dažni šalutinio poveikio reiškiniai</w:t>
      </w:r>
      <w:r w:rsidRPr="00E90E50">
        <w:rPr>
          <w:b/>
        </w:rPr>
        <w:t xml:space="preserve"> (gali pasireikšti </w:t>
      </w:r>
      <w:bookmarkStart w:id="16" w:name="_Hlk26034524"/>
      <w:r w:rsidRPr="00E90E50">
        <w:rPr>
          <w:b/>
        </w:rPr>
        <w:t xml:space="preserve">rečiau kaip 1 iš </w:t>
      </w:r>
      <w:bookmarkEnd w:id="16"/>
      <w:r w:rsidRPr="00E90E50">
        <w:rPr>
          <w:b/>
        </w:rPr>
        <w:t>10</w:t>
      </w:r>
      <w:r>
        <w:rPr>
          <w:b/>
          <w:bCs/>
          <w:szCs w:val="22"/>
        </w:rPr>
        <w:t> </w:t>
      </w:r>
      <w:r w:rsidRPr="009C1DE4">
        <w:rPr>
          <w:b/>
          <w:bCs/>
          <w:szCs w:val="22"/>
        </w:rPr>
        <w:t>skiepijimų vakcinos doze</w:t>
      </w:r>
      <w:r w:rsidRPr="00E90E50">
        <w:rPr>
          <w:b/>
        </w:rPr>
        <w:t>):</w:t>
      </w:r>
      <w:r>
        <w:rPr>
          <w:szCs w:val="22"/>
        </w:rPr>
        <w:t xml:space="preserve"> apetito praradimas, galvos skausmas, karščiavimas, kai kūno temperatūra yra 37,5 °C ar didesnė (įskaitant karščiavimą virš 39 °C), </w:t>
      </w:r>
      <w:r>
        <w:t xml:space="preserve">didelis galūnės, į kurią buvo suleista vakcina, patinimas, </w:t>
      </w:r>
      <w:r>
        <w:rPr>
          <w:szCs w:val="22"/>
        </w:rPr>
        <w:t>vėmimas ir viduriavimas.</w:t>
      </w:r>
    </w:p>
    <w:p w:rsidR="0025338D" w:rsidRDefault="0025338D" w:rsidP="0025338D">
      <w:pPr>
        <w:tabs>
          <w:tab w:val="left" w:pos="567"/>
        </w:tabs>
        <w:rPr>
          <w:szCs w:val="22"/>
        </w:rPr>
      </w:pPr>
    </w:p>
    <w:p w:rsidR="0025338D" w:rsidRDefault="0025338D" w:rsidP="0025338D">
      <w:pPr>
        <w:tabs>
          <w:tab w:val="left" w:pos="567"/>
        </w:tabs>
        <w:rPr>
          <w:szCs w:val="22"/>
        </w:rPr>
      </w:pPr>
      <w:r>
        <w:rPr>
          <w:b/>
          <w:bCs/>
          <w:szCs w:val="22"/>
        </w:rPr>
        <w:t xml:space="preserve">Nedažni šalutinio poveikio reiškiniai </w:t>
      </w:r>
      <w:r w:rsidRPr="00E90E50">
        <w:rPr>
          <w:b/>
        </w:rPr>
        <w:t xml:space="preserve">(gali pasireikšti </w:t>
      </w:r>
      <w:bookmarkStart w:id="17" w:name="_Hlk26034727"/>
      <w:r w:rsidRPr="00E90E50">
        <w:rPr>
          <w:b/>
        </w:rPr>
        <w:t>rečiau kaip 1 iš 100</w:t>
      </w:r>
      <w:bookmarkEnd w:id="17"/>
      <w:r>
        <w:rPr>
          <w:b/>
          <w:bCs/>
          <w:szCs w:val="22"/>
        </w:rPr>
        <w:t> skiepijimų vakcinos doze</w:t>
      </w:r>
      <w:r w:rsidRPr="00E90E50">
        <w:rPr>
          <w:b/>
        </w:rPr>
        <w:t>):</w:t>
      </w:r>
      <w:r>
        <w:rPr>
          <w:szCs w:val="22"/>
        </w:rPr>
        <w:t xml:space="preserve"> viršutinių kvėpavimo takų infekcija, dėmesio sutrikimai, išskyros iš akių su akių niežėjimu ir apnašomis ant vokų (konjunktyvitas), odos išbėrimas, sukietėjimas injekcijos vietoje, skausmas.</w:t>
      </w:r>
    </w:p>
    <w:p w:rsidR="0025338D" w:rsidRDefault="0025338D" w:rsidP="0025338D">
      <w:pPr>
        <w:tabs>
          <w:tab w:val="left" w:pos="567"/>
        </w:tabs>
        <w:rPr>
          <w:szCs w:val="22"/>
        </w:rPr>
      </w:pPr>
    </w:p>
    <w:p w:rsidR="0025338D" w:rsidRPr="008D66EC" w:rsidRDefault="0025338D" w:rsidP="0025338D">
      <w:pPr>
        <w:tabs>
          <w:tab w:val="left" w:pos="567"/>
        </w:tabs>
      </w:pPr>
      <w:r>
        <w:rPr>
          <w:i/>
          <w:iCs/>
          <w:szCs w:val="22"/>
        </w:rPr>
        <w:t>Šalutinis poveikis, kuris</w:t>
      </w:r>
      <w:r w:rsidRPr="008D66EC">
        <w:rPr>
          <w:i/>
        </w:rPr>
        <w:t xml:space="preserve"> pasireiškė </w:t>
      </w:r>
      <w:r>
        <w:rPr>
          <w:i/>
          <w:iCs/>
          <w:szCs w:val="22"/>
        </w:rPr>
        <w:t>suaugusiesiems</w:t>
      </w:r>
      <w:r w:rsidRPr="008D66EC">
        <w:rPr>
          <w:i/>
        </w:rPr>
        <w:t xml:space="preserve">, paaugliams ir </w:t>
      </w:r>
      <w:r>
        <w:rPr>
          <w:i/>
          <w:iCs/>
          <w:szCs w:val="22"/>
        </w:rPr>
        <w:t>vyresniems kaip</w:t>
      </w:r>
      <w:r w:rsidRPr="008D66EC">
        <w:rPr>
          <w:i/>
        </w:rPr>
        <w:t xml:space="preserve"> 10 metų</w:t>
      </w:r>
      <w:r>
        <w:rPr>
          <w:i/>
          <w:iCs/>
          <w:szCs w:val="22"/>
        </w:rPr>
        <w:t xml:space="preserve"> vaikams</w:t>
      </w:r>
    </w:p>
    <w:p w:rsidR="0025338D" w:rsidRDefault="0025338D" w:rsidP="0025338D">
      <w:pPr>
        <w:tabs>
          <w:tab w:val="left" w:pos="567"/>
        </w:tabs>
        <w:rPr>
          <w:szCs w:val="22"/>
        </w:rPr>
      </w:pPr>
    </w:p>
    <w:p w:rsidR="0025338D" w:rsidRPr="00940092" w:rsidRDefault="0025338D" w:rsidP="0025338D">
      <w:pPr>
        <w:tabs>
          <w:tab w:val="left" w:pos="567"/>
        </w:tabs>
        <w:rPr>
          <w:szCs w:val="22"/>
        </w:rPr>
      </w:pPr>
      <w:r>
        <w:rPr>
          <w:b/>
          <w:bCs/>
          <w:szCs w:val="22"/>
        </w:rPr>
        <w:t>Labai dažni šalutinio poveikio reiškiniai</w:t>
      </w:r>
      <w:r w:rsidRPr="00E90E50">
        <w:rPr>
          <w:b/>
        </w:rPr>
        <w:t xml:space="preserve"> (gali pasireikšti </w:t>
      </w:r>
      <w:r>
        <w:rPr>
          <w:b/>
          <w:bCs/>
          <w:szCs w:val="22"/>
        </w:rPr>
        <w:t>ne rečiau</w:t>
      </w:r>
      <w:r w:rsidRPr="00E90E50">
        <w:rPr>
          <w:b/>
        </w:rPr>
        <w:t xml:space="preserve"> kaip 1 iš 10</w:t>
      </w:r>
      <w:r>
        <w:rPr>
          <w:b/>
          <w:bCs/>
          <w:szCs w:val="22"/>
        </w:rPr>
        <w:t> skiepijimų vakcinos doze</w:t>
      </w:r>
      <w:r w:rsidRPr="00E90E50">
        <w:rPr>
          <w:b/>
        </w:rPr>
        <w:t>):</w:t>
      </w:r>
      <w:r>
        <w:rPr>
          <w:szCs w:val="22"/>
        </w:rPr>
        <w:t xml:space="preserve"> skausmas, paraudimas ir patinimas injekcijos vietoje, galvos skausmas, nuovargis, </w:t>
      </w:r>
      <w:r w:rsidRPr="00940092">
        <w:rPr>
          <w:szCs w:val="22"/>
        </w:rPr>
        <w:t xml:space="preserve">bendra bloga savijauta. </w:t>
      </w:r>
    </w:p>
    <w:p w:rsidR="0025338D" w:rsidRDefault="0025338D" w:rsidP="0025338D">
      <w:pPr>
        <w:tabs>
          <w:tab w:val="left" w:pos="567"/>
        </w:tabs>
        <w:rPr>
          <w:szCs w:val="22"/>
        </w:rPr>
      </w:pPr>
    </w:p>
    <w:p w:rsidR="0025338D" w:rsidRDefault="0025338D" w:rsidP="0025338D">
      <w:r w:rsidRPr="005D7810">
        <w:rPr>
          <w:b/>
          <w:bCs/>
          <w:szCs w:val="22"/>
        </w:rPr>
        <w:t>Dažni šalutinio poveikio reiškiniai</w:t>
      </w:r>
      <w:r w:rsidRPr="00E90E50">
        <w:rPr>
          <w:b/>
        </w:rPr>
        <w:t xml:space="preserve"> (gali pasireikšti rečiau kaip 1 iš 10</w:t>
      </w:r>
      <w:r w:rsidRPr="005D7810">
        <w:rPr>
          <w:b/>
          <w:bCs/>
          <w:szCs w:val="22"/>
        </w:rPr>
        <w:t> </w:t>
      </w:r>
      <w:r>
        <w:rPr>
          <w:b/>
          <w:bCs/>
          <w:szCs w:val="22"/>
        </w:rPr>
        <w:t>skiepijimų vakcinos doze</w:t>
      </w:r>
      <w:r w:rsidRPr="00E90E50">
        <w:rPr>
          <w:b/>
        </w:rPr>
        <w:t>):</w:t>
      </w:r>
      <w:r>
        <w:rPr>
          <w:szCs w:val="22"/>
        </w:rPr>
        <w:t xml:space="preserve"> karščiavimas, kai kūno temperatūra yra 37,5 °C ar didesnė, svaigulys, pykinimas, sukietėjimas ar </w:t>
      </w:r>
      <w:proofErr w:type="spellStart"/>
      <w:r>
        <w:rPr>
          <w:szCs w:val="22"/>
        </w:rPr>
        <w:t>abscesas</w:t>
      </w:r>
      <w:proofErr w:type="spellEnd"/>
      <w:r>
        <w:rPr>
          <w:szCs w:val="22"/>
        </w:rPr>
        <w:t xml:space="preserve"> injekcijos vietoje.</w:t>
      </w:r>
    </w:p>
    <w:p w:rsidR="0025338D" w:rsidRDefault="0025338D" w:rsidP="0025338D">
      <w:pPr>
        <w:tabs>
          <w:tab w:val="left" w:pos="567"/>
        </w:tabs>
        <w:rPr>
          <w:szCs w:val="22"/>
        </w:rPr>
      </w:pPr>
    </w:p>
    <w:p w:rsidR="0025338D" w:rsidRDefault="0025338D" w:rsidP="0025338D">
      <w:pPr>
        <w:tabs>
          <w:tab w:val="left" w:pos="567"/>
        </w:tabs>
      </w:pPr>
      <w:r>
        <w:rPr>
          <w:b/>
          <w:bCs/>
          <w:szCs w:val="22"/>
        </w:rPr>
        <w:t>Nedažni šalutinio poveikio reiškiniai</w:t>
      </w:r>
      <w:r w:rsidRPr="00E90E50">
        <w:rPr>
          <w:b/>
        </w:rPr>
        <w:t xml:space="preserve"> (gali pasireikšti rečiau kaip 1 iš 100</w:t>
      </w:r>
      <w:r>
        <w:rPr>
          <w:b/>
          <w:bCs/>
          <w:szCs w:val="22"/>
        </w:rPr>
        <w:t> skiepijimų vakcinos doze</w:t>
      </w:r>
      <w:r w:rsidRPr="00E90E50">
        <w:rPr>
          <w:b/>
        </w:rPr>
        <w:t>):</w:t>
      </w:r>
      <w:r>
        <w:rPr>
          <w:szCs w:val="22"/>
        </w:rPr>
        <w:t xml:space="preserve"> karščiavimas, kai kūno temperatūra yra didesnė kaip 39 °C, skausmas, sąnarių ar raumenų sąstingis, vėmimas, viduriavimas, sąnarių sąstingis, sąnarių skausmas, raumenų skausmai, niežėjimas, pernelyg gausus prakaitavimas (</w:t>
      </w:r>
      <w:proofErr w:type="spellStart"/>
      <w:r>
        <w:rPr>
          <w:szCs w:val="22"/>
        </w:rPr>
        <w:t>hiperhidrozė</w:t>
      </w:r>
      <w:proofErr w:type="spellEnd"/>
      <w:r>
        <w:rPr>
          <w:szCs w:val="22"/>
        </w:rPr>
        <w:t>), odos išbėrimas, kaklo, pažastų ar kirkšnių limfmazgių padidėjimas (</w:t>
      </w:r>
      <w:proofErr w:type="spellStart"/>
      <w:r>
        <w:rPr>
          <w:szCs w:val="22"/>
        </w:rPr>
        <w:t>limfadenopatija</w:t>
      </w:r>
      <w:proofErr w:type="spellEnd"/>
      <w:r>
        <w:rPr>
          <w:szCs w:val="22"/>
        </w:rPr>
        <w:t>), gerklės skausmas ir diskomfortas ryjant (</w:t>
      </w:r>
      <w:proofErr w:type="spellStart"/>
      <w:r>
        <w:rPr>
          <w:szCs w:val="22"/>
        </w:rPr>
        <w:t>faringitas</w:t>
      </w:r>
      <w:proofErr w:type="spellEnd"/>
      <w:r>
        <w:rPr>
          <w:szCs w:val="22"/>
        </w:rPr>
        <w:t xml:space="preserve">), viršutinių kvėpavimo takų infekcija, kosulys, apalpimas (sinkopė), į gripą panašūs simptomai, pavyzdžiui: karščiavimas, gerklės skausmas, skystos išskyros iš nosies, kosulys ir </w:t>
      </w:r>
      <w:proofErr w:type="spellStart"/>
      <w:r>
        <w:rPr>
          <w:szCs w:val="22"/>
        </w:rPr>
        <w:t>šaltkrėtis</w:t>
      </w:r>
      <w:proofErr w:type="spellEnd"/>
      <w:r>
        <w:rPr>
          <w:szCs w:val="22"/>
        </w:rPr>
        <w:t>.</w:t>
      </w:r>
    </w:p>
    <w:p w:rsidR="0025338D" w:rsidRDefault="0025338D" w:rsidP="0025338D">
      <w:pPr>
        <w:rPr>
          <w:szCs w:val="22"/>
        </w:rPr>
      </w:pPr>
    </w:p>
    <w:p w:rsidR="0025338D" w:rsidRPr="0093249B" w:rsidRDefault="0025338D" w:rsidP="0025338D">
      <w:pPr>
        <w:rPr>
          <w:szCs w:val="22"/>
        </w:rPr>
      </w:pPr>
      <w:r>
        <w:rPr>
          <w:szCs w:val="22"/>
        </w:rPr>
        <w:t xml:space="preserve">Toliau išvardintas šalutinis poveikis pasireiškė įprastai skiepijant </w:t>
      </w:r>
      <w:proofErr w:type="spellStart"/>
      <w:r>
        <w:rPr>
          <w:szCs w:val="22"/>
        </w:rPr>
        <w:t>Boostrix</w:t>
      </w:r>
      <w:proofErr w:type="spellEnd"/>
      <w:r>
        <w:rPr>
          <w:szCs w:val="22"/>
        </w:rPr>
        <w:t xml:space="preserve"> ir nėra būdingas kuriai nors amžiaus grupei: veido, lūpų, burnos, liežuvio ir gerklės patinimas, dėl kurio gali pasunkėti rijimas ar kvėpavimas (</w:t>
      </w:r>
      <w:proofErr w:type="spellStart"/>
      <w:r>
        <w:rPr>
          <w:szCs w:val="22"/>
        </w:rPr>
        <w:t>angioneurozinė</w:t>
      </w:r>
      <w:proofErr w:type="spellEnd"/>
      <w:r>
        <w:rPr>
          <w:szCs w:val="22"/>
        </w:rPr>
        <w:t xml:space="preserve"> edema), </w:t>
      </w:r>
      <w:r w:rsidRPr="0093249B">
        <w:rPr>
          <w:szCs w:val="22"/>
        </w:rPr>
        <w:t>ūmus kraujagyslių funkcijos nepakankamumas arba sąmonės netekimo ar pritemimo epizodai, traukuliai ar priepuoliai (su karščiavimu arba be karščiavimo), dilgėlinė (</w:t>
      </w:r>
      <w:proofErr w:type="spellStart"/>
      <w:r w:rsidRPr="0093249B">
        <w:rPr>
          <w:szCs w:val="22"/>
        </w:rPr>
        <w:t>urtikarija</w:t>
      </w:r>
      <w:proofErr w:type="spellEnd"/>
      <w:r w:rsidRPr="0093249B">
        <w:rPr>
          <w:szCs w:val="22"/>
        </w:rPr>
        <w:t>), neįprastas silpnumas (</w:t>
      </w:r>
      <w:proofErr w:type="spellStart"/>
      <w:r w:rsidRPr="0093249B">
        <w:rPr>
          <w:szCs w:val="22"/>
        </w:rPr>
        <w:t>astenija</w:t>
      </w:r>
      <w:proofErr w:type="spellEnd"/>
      <w:r w:rsidRPr="0093249B">
        <w:rPr>
          <w:szCs w:val="22"/>
        </w:rPr>
        <w:t>).</w:t>
      </w:r>
    </w:p>
    <w:p w:rsidR="0025338D" w:rsidRDefault="0025338D" w:rsidP="0025338D">
      <w:pPr>
        <w:rPr>
          <w:szCs w:val="22"/>
        </w:rPr>
      </w:pPr>
    </w:p>
    <w:p w:rsidR="0025338D" w:rsidRDefault="0025338D" w:rsidP="0025338D">
      <w:pPr>
        <w:tabs>
          <w:tab w:val="left" w:pos="567"/>
        </w:tabs>
      </w:pPr>
      <w:r>
        <w:rPr>
          <w:szCs w:val="22"/>
        </w:rPr>
        <w:t>Labai retais atvejais (rečiau kaip 1 iš 10 000 skiepijimų vakcinos doze) po vakcinos nuo stabligės suleidimo pasireiškė laikinas nervų uždegimas, sukeliantis skausmą, silpnumą ir galūnių paralyžių, dažnai išplintantis į krūtinę ir veidą (</w:t>
      </w:r>
      <w:proofErr w:type="spellStart"/>
      <w:r>
        <w:rPr>
          <w:szCs w:val="22"/>
        </w:rPr>
        <w:t>Gijeno</w:t>
      </w:r>
      <w:proofErr w:type="spellEnd"/>
      <w:r w:rsidRPr="00501F48">
        <w:rPr>
          <w:szCs w:val="22"/>
        </w:rPr>
        <w:t>-Bare</w:t>
      </w:r>
      <w:r>
        <w:rPr>
          <w:szCs w:val="22"/>
        </w:rPr>
        <w:t xml:space="preserve"> [</w:t>
      </w:r>
      <w:proofErr w:type="spellStart"/>
      <w:r>
        <w:rPr>
          <w:i/>
          <w:szCs w:val="22"/>
        </w:rPr>
        <w:t>Guillain-Barré</w:t>
      </w:r>
      <w:proofErr w:type="spellEnd"/>
      <w:r w:rsidRPr="00316239">
        <w:rPr>
          <w:szCs w:val="22"/>
        </w:rPr>
        <w:t>]</w:t>
      </w:r>
      <w:r>
        <w:rPr>
          <w:i/>
          <w:szCs w:val="22"/>
        </w:rPr>
        <w:t xml:space="preserve"> </w:t>
      </w:r>
      <w:r>
        <w:rPr>
          <w:szCs w:val="22"/>
        </w:rPr>
        <w:t>sindromas).</w:t>
      </w:r>
    </w:p>
    <w:p w:rsidR="0025338D" w:rsidRPr="00E90E50" w:rsidRDefault="0025338D" w:rsidP="0025338D"/>
    <w:p w:rsidR="0025338D" w:rsidRDefault="0025338D" w:rsidP="0025338D">
      <w:r>
        <w:rPr>
          <w:b/>
        </w:rPr>
        <w:t>Pranešimas apie šalutinį poveikį</w:t>
      </w:r>
    </w:p>
    <w:p w:rsidR="0025338D" w:rsidRDefault="0025338D" w:rsidP="0025338D">
      <w:pPr>
        <w:ind w:right="-2"/>
      </w:pPr>
      <w:r>
        <w:t xml:space="preserve">Jeigu pasireiškė šalutinis poveikis, įskaitant šiame lapelyje nenurodytą, pasakykite </w:t>
      </w:r>
      <w:r w:rsidRPr="00D24865">
        <w:rPr>
          <w:szCs w:val="22"/>
        </w:rPr>
        <w:t xml:space="preserve">gydytojui arba vaistininkui. </w:t>
      </w:r>
      <w:r w:rsidRPr="00F435D3">
        <w:rPr>
          <w:noProof/>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w:t>
      </w:r>
      <w:r w:rsidRPr="005D554B">
        <w:rPr>
          <w:snapToGrid w:val="0"/>
        </w:rPr>
        <w:t xml:space="preserve">(ĮNR) </w:t>
      </w:r>
      <w:r w:rsidRPr="00F435D3">
        <w:rPr>
          <w:noProof/>
          <w:szCs w:val="22"/>
        </w:rPr>
        <w:t xml:space="preserve">formą, kuri skelbiama https://www.vvkt.lt/index.php?4004286486, ir atsiunčiant elektroniniu paštu (adresu NepageidaujamaR@vvkt.lt) arba nemokamu telefonu 8 800 73 568. </w:t>
      </w:r>
      <w:r>
        <w:t>Pranešdami apie šalutinį poveikį galite mums padėti gauti daugiau informacijos apie šio vaisto saugumą.</w:t>
      </w:r>
    </w:p>
    <w:p w:rsidR="0025338D" w:rsidRPr="008D66EC" w:rsidRDefault="0025338D" w:rsidP="0025338D">
      <w:pPr>
        <w:ind w:right="-2"/>
      </w:pPr>
    </w:p>
    <w:p w:rsidR="0025338D" w:rsidRPr="008D66EC" w:rsidRDefault="0025338D" w:rsidP="0025338D">
      <w:pPr>
        <w:ind w:right="-2"/>
      </w:pPr>
    </w:p>
    <w:p w:rsidR="0025338D" w:rsidRDefault="0025338D" w:rsidP="0025338D">
      <w:pPr>
        <w:pStyle w:val="PI-1EMEASMCA"/>
      </w:pPr>
      <w:bookmarkStart w:id="18" w:name="_Toc129243143"/>
      <w:bookmarkStart w:id="19" w:name="_Toc129243268"/>
      <w:r>
        <w:t>5.</w:t>
      </w:r>
      <w:r>
        <w:tab/>
        <w:t xml:space="preserve">Kaip laikyti </w:t>
      </w:r>
      <w:proofErr w:type="spellStart"/>
      <w:r>
        <w:t>Boostrix</w:t>
      </w:r>
      <w:bookmarkEnd w:id="18"/>
      <w:bookmarkEnd w:id="19"/>
      <w:proofErr w:type="spellEnd"/>
    </w:p>
    <w:p w:rsidR="0025338D" w:rsidRPr="002C65CD" w:rsidRDefault="0025338D" w:rsidP="0025338D">
      <w:pPr>
        <w:pStyle w:val="BTEMEASMCA"/>
      </w:pPr>
    </w:p>
    <w:p w:rsidR="0025338D" w:rsidRDefault="0025338D" w:rsidP="0025338D">
      <w:pPr>
        <w:tabs>
          <w:tab w:val="left" w:pos="567"/>
        </w:tabs>
      </w:pPr>
      <w:r>
        <w:rPr>
          <w:szCs w:val="22"/>
        </w:rPr>
        <w:t>Šį vaistą laikykite vaikams nepastebimoje ir nepasiekiamoje vietoje.</w:t>
      </w:r>
    </w:p>
    <w:p w:rsidR="0025338D" w:rsidRDefault="0025338D" w:rsidP="0025338D">
      <w:pPr>
        <w:tabs>
          <w:tab w:val="left" w:pos="567"/>
        </w:tabs>
        <w:rPr>
          <w:szCs w:val="22"/>
        </w:rPr>
      </w:pPr>
    </w:p>
    <w:p w:rsidR="0025338D" w:rsidRDefault="0025338D" w:rsidP="0025338D">
      <w:r>
        <w:rPr>
          <w:szCs w:val="22"/>
        </w:rPr>
        <w:t xml:space="preserve">Ant kartono dėžutės ir užpildyto švirkšto etiketės po „Tinka iki“ ar </w:t>
      </w:r>
      <w:r w:rsidRPr="00C30146">
        <w:rPr>
          <w:szCs w:val="22"/>
        </w:rPr>
        <w:t>„</w:t>
      </w:r>
      <w:r w:rsidRPr="00A55669">
        <w:rPr>
          <w:iCs/>
          <w:szCs w:val="22"/>
        </w:rPr>
        <w:t>EXP</w:t>
      </w:r>
      <w:r w:rsidRPr="00C30146">
        <w:rPr>
          <w:szCs w:val="22"/>
        </w:rPr>
        <w:t>“</w:t>
      </w:r>
      <w:r>
        <w:rPr>
          <w:szCs w:val="22"/>
        </w:rPr>
        <w:t xml:space="preserve"> nurodytam tinkamumo laikui pasibaigus, šios vakcinos vartoti negalima. Vakcina tinkama vartoti iki paskutinės nurodyto mėnesio dienos.</w:t>
      </w:r>
    </w:p>
    <w:p w:rsidR="0025338D" w:rsidRDefault="0025338D" w:rsidP="0025338D">
      <w:pPr>
        <w:rPr>
          <w:szCs w:val="22"/>
        </w:rPr>
      </w:pPr>
    </w:p>
    <w:p w:rsidR="0025338D" w:rsidRDefault="0025338D" w:rsidP="0025338D">
      <w:pPr>
        <w:tabs>
          <w:tab w:val="left" w:pos="567"/>
        </w:tabs>
      </w:pPr>
      <w:r>
        <w:rPr>
          <w:szCs w:val="22"/>
        </w:rPr>
        <w:lastRenderedPageBreak/>
        <w:t>Laikyti šaldytuve (2 </w:t>
      </w:r>
      <w:r>
        <w:rPr>
          <w:rFonts w:ascii="Symbol" w:eastAsia="Symbol" w:hAnsi="Symbol" w:cs="Symbol"/>
          <w:szCs w:val="22"/>
        </w:rPr>
        <w:t></w:t>
      </w:r>
      <w:r>
        <w:rPr>
          <w:szCs w:val="22"/>
        </w:rPr>
        <w:t>C – 8 </w:t>
      </w:r>
      <w:r>
        <w:rPr>
          <w:rFonts w:ascii="Symbol" w:eastAsia="Symbol" w:hAnsi="Symbol" w:cs="Symbol"/>
          <w:szCs w:val="22"/>
        </w:rPr>
        <w:t></w:t>
      </w:r>
      <w:r>
        <w:rPr>
          <w:szCs w:val="22"/>
        </w:rPr>
        <w:t>C).</w:t>
      </w:r>
    </w:p>
    <w:p w:rsidR="0025338D" w:rsidRDefault="0025338D" w:rsidP="0025338D">
      <w:pPr>
        <w:tabs>
          <w:tab w:val="left" w:pos="567"/>
        </w:tabs>
      </w:pPr>
      <w:r>
        <w:rPr>
          <w:szCs w:val="22"/>
        </w:rPr>
        <w:t>Negalima užšaldyti. Užšaldymas suardo vakciną.</w:t>
      </w:r>
    </w:p>
    <w:p w:rsidR="0025338D" w:rsidRDefault="0025338D" w:rsidP="0025338D">
      <w:pPr>
        <w:tabs>
          <w:tab w:val="left" w:pos="567"/>
        </w:tabs>
      </w:pPr>
      <w:r>
        <w:t>Laikyti gamintojo pakuotėje, kad vaistas būtų apsaugotas nuo šviesos.</w:t>
      </w:r>
    </w:p>
    <w:p w:rsidR="0025338D" w:rsidRPr="002C65CD" w:rsidRDefault="0025338D" w:rsidP="0025338D">
      <w:pPr>
        <w:tabs>
          <w:tab w:val="left" w:pos="567"/>
        </w:tabs>
      </w:pPr>
    </w:p>
    <w:p w:rsidR="0025338D" w:rsidRPr="002C65CD" w:rsidRDefault="0025338D" w:rsidP="0025338D">
      <w:pPr>
        <w:tabs>
          <w:tab w:val="left" w:pos="567"/>
        </w:tabs>
      </w:pPr>
      <w:r w:rsidRPr="002C65CD">
        <w:t>Vaistų negalima išmesti į kanalizaciją arba su buitinėmis atliekomis. Kaip išmesti nereikalingus vaistus, klauskite vaistininko. Šios priemonės padės apsaugoti aplinką.</w:t>
      </w:r>
    </w:p>
    <w:p w:rsidR="0025338D" w:rsidRPr="002C65CD" w:rsidRDefault="0025338D" w:rsidP="0025338D">
      <w:pPr>
        <w:tabs>
          <w:tab w:val="left" w:pos="567"/>
        </w:tabs>
      </w:pPr>
    </w:p>
    <w:p w:rsidR="0025338D" w:rsidRPr="002C65CD" w:rsidRDefault="0025338D" w:rsidP="0025338D">
      <w:pPr>
        <w:tabs>
          <w:tab w:val="left" w:pos="567"/>
        </w:tabs>
      </w:pPr>
    </w:p>
    <w:p w:rsidR="0025338D" w:rsidRDefault="0025338D" w:rsidP="0025338D">
      <w:pPr>
        <w:pStyle w:val="PI-1EMEASMCA"/>
      </w:pPr>
      <w:bookmarkStart w:id="20" w:name="_Toc129243144"/>
      <w:bookmarkStart w:id="21" w:name="_Toc129243269"/>
      <w:r>
        <w:t>6.</w:t>
      </w:r>
      <w:r>
        <w:tab/>
        <w:t>Pakuotės turinys ir kita informacija</w:t>
      </w:r>
      <w:bookmarkEnd w:id="20"/>
      <w:bookmarkEnd w:id="21"/>
    </w:p>
    <w:p w:rsidR="0025338D" w:rsidRPr="002C65CD" w:rsidRDefault="0025338D" w:rsidP="0025338D">
      <w:pPr>
        <w:pStyle w:val="BTEMEASMCA"/>
      </w:pPr>
    </w:p>
    <w:p w:rsidR="0025338D" w:rsidRDefault="0025338D" w:rsidP="0025338D">
      <w:pPr>
        <w:pStyle w:val="PI-3EMEASMCA"/>
      </w:pPr>
      <w:proofErr w:type="spellStart"/>
      <w:r>
        <w:t>Boostrix</w:t>
      </w:r>
      <w:proofErr w:type="spellEnd"/>
      <w:r>
        <w:t xml:space="preserve"> sudėtis</w:t>
      </w:r>
    </w:p>
    <w:p w:rsidR="0025338D" w:rsidRDefault="0025338D" w:rsidP="0025338D">
      <w:pPr>
        <w:tabs>
          <w:tab w:val="left" w:pos="567"/>
        </w:tabs>
        <w:ind w:left="567" w:hanging="567"/>
        <w:rPr>
          <w:szCs w:val="22"/>
        </w:rPr>
      </w:pPr>
      <w:r>
        <w:rPr>
          <w:szCs w:val="22"/>
        </w:rPr>
        <w:t>-</w:t>
      </w:r>
      <w:r>
        <w:rPr>
          <w:szCs w:val="22"/>
        </w:rPr>
        <w:tab/>
        <w:t>Veikliosios medžiagos yra:</w:t>
      </w:r>
    </w:p>
    <w:p w:rsidR="0025338D" w:rsidRDefault="0025338D" w:rsidP="0025338D">
      <w:pPr>
        <w:tabs>
          <w:tab w:val="left" w:pos="567"/>
          <w:tab w:val="right" w:pos="7938"/>
        </w:tabs>
        <w:ind w:left="567"/>
      </w:pPr>
      <w:r>
        <w:rPr>
          <w:szCs w:val="22"/>
        </w:rPr>
        <w:t xml:space="preserve">Difterijos </w:t>
      </w:r>
      <w:proofErr w:type="spellStart"/>
      <w:r>
        <w:rPr>
          <w:szCs w:val="22"/>
        </w:rPr>
        <w:t>anatoksinas</w:t>
      </w:r>
      <w:proofErr w:type="spellEnd"/>
      <w:r>
        <w:rPr>
          <w:szCs w:val="22"/>
        </w:rPr>
        <w:t> </w:t>
      </w:r>
      <w:r w:rsidRPr="00E90E50">
        <w:rPr>
          <w:vertAlign w:val="superscript"/>
        </w:rPr>
        <w:t>1</w:t>
      </w:r>
      <w:r>
        <w:rPr>
          <w:szCs w:val="22"/>
        </w:rPr>
        <w:tab/>
        <w:t>ne mažiau kaip 2 tarptautiniai vienetai (TV) (2,5 </w:t>
      </w:r>
      <w:proofErr w:type="spellStart"/>
      <w:r>
        <w:rPr>
          <w:szCs w:val="22"/>
        </w:rPr>
        <w:t>Lf</w:t>
      </w:r>
      <w:proofErr w:type="spellEnd"/>
      <w:r>
        <w:rPr>
          <w:szCs w:val="22"/>
        </w:rPr>
        <w:t>)</w:t>
      </w:r>
    </w:p>
    <w:p w:rsidR="0025338D" w:rsidRDefault="0025338D" w:rsidP="0025338D">
      <w:pPr>
        <w:tabs>
          <w:tab w:val="left" w:pos="567"/>
          <w:tab w:val="right" w:pos="7938"/>
        </w:tabs>
        <w:ind w:left="567"/>
      </w:pPr>
      <w:r>
        <w:rPr>
          <w:szCs w:val="22"/>
        </w:rPr>
        <w:t xml:space="preserve">Stabligės </w:t>
      </w:r>
      <w:proofErr w:type="spellStart"/>
      <w:r>
        <w:rPr>
          <w:szCs w:val="22"/>
        </w:rPr>
        <w:t>anatoksino</w:t>
      </w:r>
      <w:proofErr w:type="spellEnd"/>
      <w:r>
        <w:rPr>
          <w:szCs w:val="22"/>
        </w:rPr>
        <w:t> </w:t>
      </w:r>
      <w:r>
        <w:rPr>
          <w:szCs w:val="22"/>
          <w:vertAlign w:val="superscript"/>
          <w:lang w:val="en-US"/>
        </w:rPr>
        <w:t>1</w:t>
      </w:r>
      <w:r>
        <w:rPr>
          <w:szCs w:val="22"/>
        </w:rPr>
        <w:tab/>
        <w:t>ne mažiau kaip 20 tarptautinių vienetų (TV) (5 </w:t>
      </w:r>
      <w:proofErr w:type="spellStart"/>
      <w:r>
        <w:rPr>
          <w:szCs w:val="22"/>
        </w:rPr>
        <w:t>Lf</w:t>
      </w:r>
      <w:proofErr w:type="spellEnd"/>
      <w:r>
        <w:rPr>
          <w:szCs w:val="22"/>
        </w:rPr>
        <w:t>)</w:t>
      </w:r>
    </w:p>
    <w:p w:rsidR="0025338D" w:rsidRDefault="0025338D" w:rsidP="0025338D">
      <w:pPr>
        <w:tabs>
          <w:tab w:val="left" w:pos="567"/>
        </w:tabs>
        <w:ind w:left="567"/>
      </w:pPr>
      <w:proofErr w:type="spellStart"/>
      <w:r>
        <w:rPr>
          <w:i/>
          <w:iCs/>
          <w:szCs w:val="22"/>
        </w:rPr>
        <w:t>Bordetella</w:t>
      </w:r>
      <w:proofErr w:type="spellEnd"/>
      <w:r>
        <w:rPr>
          <w:i/>
          <w:iCs/>
          <w:szCs w:val="22"/>
        </w:rPr>
        <w:t xml:space="preserve"> </w:t>
      </w:r>
      <w:proofErr w:type="spellStart"/>
      <w:r>
        <w:rPr>
          <w:i/>
          <w:iCs/>
          <w:szCs w:val="22"/>
        </w:rPr>
        <w:t>pertussis</w:t>
      </w:r>
      <w:proofErr w:type="spellEnd"/>
      <w:r>
        <w:rPr>
          <w:szCs w:val="22"/>
        </w:rPr>
        <w:t xml:space="preserve"> antigenų</w:t>
      </w:r>
    </w:p>
    <w:p w:rsidR="0025338D" w:rsidRDefault="0025338D" w:rsidP="0025338D">
      <w:pPr>
        <w:tabs>
          <w:tab w:val="left" w:pos="567"/>
          <w:tab w:val="right" w:pos="7938"/>
        </w:tabs>
        <w:ind w:left="567"/>
      </w:pPr>
      <w:r>
        <w:rPr>
          <w:szCs w:val="22"/>
        </w:rPr>
        <w:t xml:space="preserve">     Kokliušo </w:t>
      </w:r>
      <w:proofErr w:type="spellStart"/>
      <w:r>
        <w:rPr>
          <w:szCs w:val="22"/>
        </w:rPr>
        <w:t>anatoksino</w:t>
      </w:r>
      <w:proofErr w:type="spellEnd"/>
      <w:r>
        <w:rPr>
          <w:szCs w:val="22"/>
        </w:rPr>
        <w:t> </w:t>
      </w:r>
      <w:r>
        <w:rPr>
          <w:szCs w:val="22"/>
          <w:vertAlign w:val="superscript"/>
          <w:lang w:val="en-US"/>
        </w:rPr>
        <w:t>1</w:t>
      </w:r>
      <w:r>
        <w:rPr>
          <w:szCs w:val="22"/>
        </w:rPr>
        <w:tab/>
        <w:t>8 </w:t>
      </w:r>
      <w:proofErr w:type="spellStart"/>
      <w:r>
        <w:rPr>
          <w:szCs w:val="22"/>
        </w:rPr>
        <w:t>mikrogramai</w:t>
      </w:r>
      <w:proofErr w:type="spellEnd"/>
    </w:p>
    <w:p w:rsidR="0025338D" w:rsidRDefault="0025338D" w:rsidP="0025338D">
      <w:pPr>
        <w:tabs>
          <w:tab w:val="left" w:pos="567"/>
          <w:tab w:val="right" w:pos="7938"/>
        </w:tabs>
        <w:ind w:left="567"/>
      </w:pPr>
      <w:r>
        <w:rPr>
          <w:szCs w:val="22"/>
        </w:rPr>
        <w:t xml:space="preserve">     </w:t>
      </w:r>
      <w:proofErr w:type="spellStart"/>
      <w:r>
        <w:rPr>
          <w:szCs w:val="22"/>
        </w:rPr>
        <w:t>Filamentinio</w:t>
      </w:r>
      <w:proofErr w:type="spellEnd"/>
      <w:r>
        <w:rPr>
          <w:szCs w:val="22"/>
        </w:rPr>
        <w:t xml:space="preserve"> </w:t>
      </w:r>
      <w:proofErr w:type="spellStart"/>
      <w:r>
        <w:rPr>
          <w:szCs w:val="22"/>
        </w:rPr>
        <w:t>hemagliutinino</w:t>
      </w:r>
      <w:proofErr w:type="spellEnd"/>
      <w:r>
        <w:rPr>
          <w:szCs w:val="22"/>
        </w:rPr>
        <w:t> </w:t>
      </w:r>
      <w:r w:rsidRPr="00E90E50">
        <w:rPr>
          <w:vertAlign w:val="superscript"/>
        </w:rPr>
        <w:t>1</w:t>
      </w:r>
      <w:r>
        <w:rPr>
          <w:szCs w:val="22"/>
          <w:vertAlign w:val="superscript"/>
        </w:rPr>
        <w:tab/>
      </w:r>
      <w:r>
        <w:rPr>
          <w:szCs w:val="22"/>
        </w:rPr>
        <w:t>8 </w:t>
      </w:r>
      <w:proofErr w:type="spellStart"/>
      <w:r>
        <w:rPr>
          <w:szCs w:val="22"/>
        </w:rPr>
        <w:t>mikrogramai</w:t>
      </w:r>
      <w:proofErr w:type="spellEnd"/>
    </w:p>
    <w:p w:rsidR="0025338D" w:rsidRDefault="0025338D" w:rsidP="0025338D">
      <w:pPr>
        <w:tabs>
          <w:tab w:val="left" w:pos="567"/>
          <w:tab w:val="right" w:pos="7938"/>
        </w:tabs>
        <w:ind w:left="567"/>
      </w:pPr>
      <w:r>
        <w:rPr>
          <w:szCs w:val="22"/>
        </w:rPr>
        <w:t xml:space="preserve">     </w:t>
      </w:r>
      <w:proofErr w:type="spellStart"/>
      <w:r>
        <w:rPr>
          <w:szCs w:val="22"/>
        </w:rPr>
        <w:t>Pertaktino</w:t>
      </w:r>
      <w:proofErr w:type="spellEnd"/>
      <w:r>
        <w:rPr>
          <w:szCs w:val="22"/>
        </w:rPr>
        <w:t> </w:t>
      </w:r>
      <w:r w:rsidRPr="00E90E50">
        <w:rPr>
          <w:vertAlign w:val="superscript"/>
        </w:rPr>
        <w:t>1</w:t>
      </w:r>
      <w:r>
        <w:rPr>
          <w:szCs w:val="22"/>
          <w:vertAlign w:val="superscript"/>
        </w:rPr>
        <w:tab/>
      </w:r>
      <w:r>
        <w:rPr>
          <w:szCs w:val="22"/>
        </w:rPr>
        <w:t>2,5 </w:t>
      </w:r>
      <w:proofErr w:type="spellStart"/>
      <w:r>
        <w:rPr>
          <w:szCs w:val="22"/>
        </w:rPr>
        <w:t>mikrogramo</w:t>
      </w:r>
      <w:proofErr w:type="spellEnd"/>
    </w:p>
    <w:p w:rsidR="0025338D" w:rsidRDefault="0025338D" w:rsidP="0025338D">
      <w:pPr>
        <w:tabs>
          <w:tab w:val="left" w:pos="567"/>
          <w:tab w:val="right" w:pos="7938"/>
        </w:tabs>
        <w:rPr>
          <w:szCs w:val="22"/>
        </w:rPr>
      </w:pPr>
    </w:p>
    <w:p w:rsidR="0025338D" w:rsidRDefault="0025338D" w:rsidP="0025338D">
      <w:pPr>
        <w:tabs>
          <w:tab w:val="left" w:pos="567"/>
          <w:tab w:val="right" w:pos="7938"/>
        </w:tabs>
        <w:ind w:left="567"/>
      </w:pPr>
      <w:r>
        <w:rPr>
          <w:szCs w:val="22"/>
          <w:vertAlign w:val="superscript"/>
        </w:rPr>
        <w:t>1</w:t>
      </w:r>
      <w:r>
        <w:rPr>
          <w:szCs w:val="22"/>
        </w:rPr>
        <w:t> </w:t>
      </w:r>
      <w:proofErr w:type="spellStart"/>
      <w:r>
        <w:rPr>
          <w:szCs w:val="22"/>
        </w:rPr>
        <w:t>Adsorbuota</w:t>
      </w:r>
      <w:proofErr w:type="spellEnd"/>
      <w:r>
        <w:rPr>
          <w:szCs w:val="22"/>
        </w:rPr>
        <w:t xml:space="preserve"> ant hidratuoto aliuminio </w:t>
      </w:r>
      <w:proofErr w:type="spellStart"/>
      <w:r>
        <w:rPr>
          <w:szCs w:val="22"/>
        </w:rPr>
        <w:t>hidroksido</w:t>
      </w:r>
      <w:proofErr w:type="spellEnd"/>
      <w:r>
        <w:t xml:space="preserve"> </w:t>
      </w:r>
      <w:r>
        <w:rPr>
          <w:szCs w:val="22"/>
        </w:rPr>
        <w:t>(Al(OH)</w:t>
      </w:r>
      <w:r w:rsidRPr="008D66EC">
        <w:rPr>
          <w:vertAlign w:val="subscript"/>
        </w:rPr>
        <w:t>3</w:t>
      </w:r>
      <w:r>
        <w:rPr>
          <w:szCs w:val="22"/>
        </w:rPr>
        <w:t>)</w:t>
      </w:r>
      <w:r>
        <w:rPr>
          <w:szCs w:val="22"/>
        </w:rPr>
        <w:tab/>
        <w:t>0,3 miligramo Al</w:t>
      </w:r>
      <w:r>
        <w:rPr>
          <w:szCs w:val="22"/>
          <w:vertAlign w:val="superscript"/>
        </w:rPr>
        <w:t>3+</w:t>
      </w:r>
    </w:p>
    <w:p w:rsidR="0025338D" w:rsidRPr="008D66EC" w:rsidRDefault="0025338D" w:rsidP="0025338D">
      <w:pPr>
        <w:tabs>
          <w:tab w:val="left" w:pos="567"/>
          <w:tab w:val="right" w:pos="7938"/>
        </w:tabs>
        <w:ind w:left="567"/>
      </w:pPr>
      <w:r>
        <w:rPr>
          <w:szCs w:val="22"/>
        </w:rPr>
        <w:t>ir aliuminio fosfato (AlPO</w:t>
      </w:r>
      <w:r>
        <w:rPr>
          <w:szCs w:val="22"/>
          <w:vertAlign w:val="subscript"/>
        </w:rPr>
        <w:t>4</w:t>
      </w:r>
      <w:r>
        <w:rPr>
          <w:szCs w:val="22"/>
        </w:rPr>
        <w:t>)</w:t>
      </w:r>
      <w:r>
        <w:rPr>
          <w:szCs w:val="22"/>
        </w:rPr>
        <w:tab/>
        <w:t>0,2 miligramo Al</w:t>
      </w:r>
      <w:r>
        <w:rPr>
          <w:szCs w:val="22"/>
          <w:vertAlign w:val="superscript"/>
        </w:rPr>
        <w:t>3+</w:t>
      </w:r>
    </w:p>
    <w:p w:rsidR="0025338D" w:rsidRDefault="0025338D" w:rsidP="0025338D">
      <w:pPr>
        <w:tabs>
          <w:tab w:val="left" w:pos="567"/>
          <w:tab w:val="right" w:pos="7938"/>
        </w:tabs>
        <w:rPr>
          <w:szCs w:val="22"/>
        </w:rPr>
      </w:pPr>
    </w:p>
    <w:p w:rsidR="0025338D" w:rsidRDefault="0025338D" w:rsidP="0025338D">
      <w:pPr>
        <w:tabs>
          <w:tab w:val="left" w:pos="567"/>
          <w:tab w:val="right" w:pos="7938"/>
        </w:tabs>
        <w:ind w:left="567"/>
        <w:rPr>
          <w:szCs w:val="22"/>
        </w:rPr>
      </w:pPr>
      <w:r>
        <w:rPr>
          <w:szCs w:val="22"/>
        </w:rPr>
        <w:t xml:space="preserve">Vakcinos sudėtyje esantys aliuminio </w:t>
      </w:r>
      <w:proofErr w:type="spellStart"/>
      <w:r>
        <w:rPr>
          <w:szCs w:val="22"/>
        </w:rPr>
        <w:t>hidroksidas</w:t>
      </w:r>
      <w:proofErr w:type="spellEnd"/>
      <w:r>
        <w:rPr>
          <w:szCs w:val="22"/>
        </w:rPr>
        <w:t xml:space="preserve"> ir aliuminio fosfatas yra </w:t>
      </w:r>
      <w:proofErr w:type="spellStart"/>
      <w:r>
        <w:rPr>
          <w:szCs w:val="22"/>
        </w:rPr>
        <w:t>adjuvantai</w:t>
      </w:r>
      <w:proofErr w:type="spellEnd"/>
      <w:r>
        <w:rPr>
          <w:szCs w:val="22"/>
        </w:rPr>
        <w:t xml:space="preserve">. </w:t>
      </w:r>
      <w:proofErr w:type="spellStart"/>
      <w:r>
        <w:rPr>
          <w:szCs w:val="22"/>
        </w:rPr>
        <w:t>Adjuvantai</w:t>
      </w:r>
      <w:proofErr w:type="spellEnd"/>
      <w:r>
        <w:rPr>
          <w:szCs w:val="22"/>
        </w:rPr>
        <w:t xml:space="preserve"> – tai medžiagos, kurių pridedama į kai kurias vakcinas, siekiant pagreitinti, pagerinti ir (ar) pailginti vakcinos apsauginį poveikį.</w:t>
      </w:r>
    </w:p>
    <w:p w:rsidR="0025338D" w:rsidRDefault="0025338D" w:rsidP="0025338D">
      <w:pPr>
        <w:tabs>
          <w:tab w:val="left" w:pos="567"/>
          <w:tab w:val="right" w:pos="7938"/>
        </w:tabs>
        <w:rPr>
          <w:szCs w:val="22"/>
        </w:rPr>
      </w:pPr>
    </w:p>
    <w:p w:rsidR="0025338D" w:rsidRDefault="0025338D" w:rsidP="0025338D">
      <w:pPr>
        <w:ind w:left="567" w:hanging="426"/>
      </w:pPr>
      <w:r>
        <w:rPr>
          <w:szCs w:val="22"/>
        </w:rPr>
        <w:t>-</w:t>
      </w:r>
      <w:r>
        <w:rPr>
          <w:szCs w:val="22"/>
        </w:rPr>
        <w:tab/>
        <w:t>Pagalbinės medžiagos yra natrio chloridas ir injekcinis vanduo.</w:t>
      </w:r>
    </w:p>
    <w:p w:rsidR="0025338D" w:rsidRPr="002C65CD" w:rsidRDefault="0025338D" w:rsidP="0025338D">
      <w:pPr>
        <w:pStyle w:val="BTEMEASMCA"/>
      </w:pPr>
    </w:p>
    <w:p w:rsidR="0025338D" w:rsidRDefault="0025338D" w:rsidP="0025338D">
      <w:pPr>
        <w:pStyle w:val="PI-3EMEASMCA"/>
        <w:keepNext w:val="0"/>
      </w:pPr>
      <w:proofErr w:type="spellStart"/>
      <w:r>
        <w:t>Boostrix</w:t>
      </w:r>
      <w:proofErr w:type="spellEnd"/>
      <w:r>
        <w:t xml:space="preserve"> išvaizda ir kiekis pakuotėje</w:t>
      </w:r>
    </w:p>
    <w:p w:rsidR="0025338D" w:rsidRPr="00E90E50" w:rsidRDefault="0025338D" w:rsidP="0025338D">
      <w:pPr>
        <w:pStyle w:val="PI-3EMEASMCA"/>
        <w:keepNext w:val="0"/>
        <w:rPr>
          <w:b w:val="0"/>
        </w:rPr>
      </w:pPr>
    </w:p>
    <w:p w:rsidR="0025338D" w:rsidRDefault="0025338D" w:rsidP="0025338D">
      <w:pPr>
        <w:tabs>
          <w:tab w:val="left" w:pos="567"/>
        </w:tabs>
      </w:pPr>
      <w:r>
        <w:rPr>
          <w:szCs w:val="22"/>
        </w:rPr>
        <w:t>Injekcinė suspensija užpildytame švirkšte.</w:t>
      </w:r>
    </w:p>
    <w:p w:rsidR="0025338D" w:rsidRDefault="0025338D" w:rsidP="0025338D">
      <w:pPr>
        <w:tabs>
          <w:tab w:val="left" w:pos="567"/>
        </w:tabs>
        <w:rPr>
          <w:szCs w:val="22"/>
        </w:rPr>
      </w:pPr>
    </w:p>
    <w:p w:rsidR="0025338D" w:rsidRDefault="0025338D" w:rsidP="0025338D">
      <w:pPr>
        <w:tabs>
          <w:tab w:val="left" w:pos="567"/>
        </w:tabs>
      </w:pPr>
      <w:proofErr w:type="spellStart"/>
      <w:r>
        <w:rPr>
          <w:szCs w:val="22"/>
        </w:rPr>
        <w:t>Boostrix</w:t>
      </w:r>
      <w:proofErr w:type="spellEnd"/>
      <w:r>
        <w:rPr>
          <w:szCs w:val="22"/>
        </w:rPr>
        <w:t xml:space="preserve"> yra baltas, šiek tiek į pieną panašus skystis užpildytame švirkšte (0,5 ml).</w:t>
      </w:r>
    </w:p>
    <w:p w:rsidR="0025338D" w:rsidRDefault="0025338D" w:rsidP="0025338D">
      <w:pPr>
        <w:tabs>
          <w:tab w:val="left" w:pos="567"/>
        </w:tabs>
        <w:rPr>
          <w:szCs w:val="22"/>
        </w:rPr>
      </w:pPr>
    </w:p>
    <w:p w:rsidR="0025338D" w:rsidRDefault="0025338D" w:rsidP="0025338D">
      <w:pPr>
        <w:tabs>
          <w:tab w:val="left" w:pos="567"/>
        </w:tabs>
        <w:ind w:right="-1"/>
      </w:pPr>
      <w:proofErr w:type="spellStart"/>
      <w:r>
        <w:rPr>
          <w:szCs w:val="22"/>
        </w:rPr>
        <w:t>Boostrix</w:t>
      </w:r>
      <w:proofErr w:type="spellEnd"/>
      <w:r>
        <w:rPr>
          <w:szCs w:val="22"/>
        </w:rPr>
        <w:t xml:space="preserve"> </w:t>
      </w:r>
      <w:r w:rsidRPr="006C7CD7">
        <w:rPr>
          <w:szCs w:val="22"/>
        </w:rPr>
        <w:t>tiekiamas pakuotėse, kuriose yra 1</w:t>
      </w:r>
      <w:r>
        <w:rPr>
          <w:szCs w:val="22"/>
        </w:rPr>
        <w:t> </w:t>
      </w:r>
      <w:r w:rsidRPr="006C7CD7">
        <w:rPr>
          <w:szCs w:val="22"/>
        </w:rPr>
        <w:t>dozė iš anksto užpildytame švirkšte su atskiromis adatomis arba be jų, pakuočių dydžiai 1 ir 10</w:t>
      </w:r>
      <w:r>
        <w:rPr>
          <w:szCs w:val="22"/>
        </w:rPr>
        <w:t>.</w:t>
      </w:r>
    </w:p>
    <w:p w:rsidR="0025338D" w:rsidRDefault="0025338D" w:rsidP="0025338D">
      <w:pPr>
        <w:tabs>
          <w:tab w:val="left" w:pos="567"/>
        </w:tabs>
        <w:ind w:right="-1"/>
        <w:rPr>
          <w:szCs w:val="22"/>
        </w:rPr>
      </w:pPr>
    </w:p>
    <w:p w:rsidR="0025338D" w:rsidRDefault="0025338D" w:rsidP="0025338D">
      <w:pPr>
        <w:tabs>
          <w:tab w:val="left" w:pos="567"/>
        </w:tabs>
        <w:ind w:right="-1"/>
        <w:rPr>
          <w:szCs w:val="22"/>
        </w:rPr>
      </w:pPr>
      <w:r>
        <w:rPr>
          <w:szCs w:val="22"/>
        </w:rPr>
        <w:t>Gali būti tiekiamos ne visų dydžių pakuotės.</w:t>
      </w:r>
    </w:p>
    <w:p w:rsidR="0025338D" w:rsidRPr="002C65CD" w:rsidRDefault="0025338D" w:rsidP="0025338D">
      <w:pPr>
        <w:tabs>
          <w:tab w:val="left" w:pos="567"/>
        </w:tabs>
        <w:ind w:right="-1"/>
      </w:pPr>
    </w:p>
    <w:p w:rsidR="0025338D" w:rsidRDefault="0025338D" w:rsidP="0025338D">
      <w:pPr>
        <w:tabs>
          <w:tab w:val="left" w:pos="567"/>
        </w:tabs>
        <w:ind w:right="-1"/>
      </w:pPr>
      <w:r w:rsidRPr="008D66EC">
        <w:rPr>
          <w:b/>
        </w:rPr>
        <w:t xml:space="preserve">Registruotojas </w:t>
      </w:r>
    </w:p>
    <w:p w:rsidR="0025338D" w:rsidRPr="008232B3" w:rsidRDefault="0025338D" w:rsidP="0025338D">
      <w:pPr>
        <w:rPr>
          <w:color w:val="000000"/>
        </w:rPr>
      </w:pPr>
      <w:proofErr w:type="spellStart"/>
      <w:r w:rsidRPr="008232B3">
        <w:rPr>
          <w:color w:val="000000"/>
        </w:rPr>
        <w:t>GlaxoSmithKline</w:t>
      </w:r>
      <w:proofErr w:type="spellEnd"/>
      <w:r w:rsidRPr="008232B3">
        <w:rPr>
          <w:color w:val="000000"/>
        </w:rPr>
        <w:t xml:space="preserve"> </w:t>
      </w:r>
      <w:proofErr w:type="spellStart"/>
      <w:r w:rsidRPr="008232B3">
        <w:rPr>
          <w:color w:val="000000"/>
        </w:rPr>
        <w:t>Biologicals</w:t>
      </w:r>
      <w:proofErr w:type="spellEnd"/>
      <w:r w:rsidRPr="008232B3">
        <w:rPr>
          <w:color w:val="000000"/>
        </w:rPr>
        <w:t xml:space="preserve"> SA</w:t>
      </w:r>
    </w:p>
    <w:p w:rsidR="0025338D" w:rsidRPr="008232B3" w:rsidRDefault="0025338D" w:rsidP="0025338D">
      <w:pPr>
        <w:rPr>
          <w:color w:val="000000"/>
        </w:rPr>
      </w:pPr>
      <w:proofErr w:type="spellStart"/>
      <w:r w:rsidRPr="008232B3">
        <w:rPr>
          <w:color w:val="000000"/>
        </w:rPr>
        <w:t>Rue</w:t>
      </w:r>
      <w:proofErr w:type="spellEnd"/>
      <w:r w:rsidRPr="008232B3">
        <w:rPr>
          <w:color w:val="000000"/>
        </w:rPr>
        <w:t xml:space="preserve"> de </w:t>
      </w:r>
      <w:proofErr w:type="spellStart"/>
      <w:r w:rsidRPr="008232B3">
        <w:rPr>
          <w:color w:val="000000"/>
        </w:rPr>
        <w:t>l'Institut</w:t>
      </w:r>
      <w:proofErr w:type="spellEnd"/>
      <w:r w:rsidRPr="008232B3">
        <w:rPr>
          <w:color w:val="000000"/>
        </w:rPr>
        <w:t xml:space="preserve"> 89</w:t>
      </w:r>
    </w:p>
    <w:p w:rsidR="0025338D" w:rsidRPr="008232B3" w:rsidRDefault="0025338D" w:rsidP="0025338D">
      <w:pPr>
        <w:rPr>
          <w:color w:val="000000"/>
        </w:rPr>
      </w:pPr>
      <w:r w:rsidRPr="008232B3">
        <w:rPr>
          <w:color w:val="000000"/>
        </w:rPr>
        <w:t xml:space="preserve">B-1330 </w:t>
      </w:r>
      <w:proofErr w:type="spellStart"/>
      <w:r w:rsidRPr="008232B3">
        <w:rPr>
          <w:color w:val="000000"/>
        </w:rPr>
        <w:t>Rixensart</w:t>
      </w:r>
      <w:proofErr w:type="spellEnd"/>
    </w:p>
    <w:p w:rsidR="0025338D" w:rsidRPr="00D24865" w:rsidRDefault="0025338D" w:rsidP="0025338D">
      <w:pPr>
        <w:autoSpaceDE w:val="0"/>
        <w:adjustRightInd w:val="0"/>
        <w:rPr>
          <w:szCs w:val="22"/>
          <w:lang w:eastAsia="lt-LT"/>
        </w:rPr>
      </w:pPr>
      <w:r w:rsidRPr="008232B3">
        <w:rPr>
          <w:color w:val="000000"/>
        </w:rPr>
        <w:t>Belgija</w:t>
      </w:r>
    </w:p>
    <w:p w:rsidR="0025338D" w:rsidRPr="00D24865" w:rsidRDefault="0025338D" w:rsidP="0025338D">
      <w:pPr>
        <w:ind w:right="-1"/>
        <w:jc w:val="both"/>
        <w:rPr>
          <w:szCs w:val="22"/>
        </w:rPr>
      </w:pPr>
    </w:p>
    <w:p w:rsidR="0025338D" w:rsidRPr="00D24865" w:rsidRDefault="0025338D" w:rsidP="0025338D">
      <w:pPr>
        <w:ind w:right="-1"/>
        <w:jc w:val="both"/>
        <w:rPr>
          <w:b/>
          <w:szCs w:val="22"/>
        </w:rPr>
      </w:pPr>
      <w:r w:rsidRPr="00D24865">
        <w:rPr>
          <w:b/>
          <w:szCs w:val="22"/>
        </w:rPr>
        <w:t>Gamintojas</w:t>
      </w:r>
    </w:p>
    <w:p w:rsidR="0025338D" w:rsidRPr="00D24865" w:rsidRDefault="0025338D" w:rsidP="0025338D">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p>
    <w:p w:rsidR="0025338D" w:rsidRPr="00D24865" w:rsidRDefault="0025338D" w:rsidP="0025338D">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rsidR="0025338D" w:rsidRDefault="0025338D" w:rsidP="0025338D">
      <w:pPr>
        <w:rPr>
          <w:szCs w:val="22"/>
        </w:rPr>
      </w:pPr>
      <w:r w:rsidRPr="00D24865">
        <w:rPr>
          <w:szCs w:val="22"/>
        </w:rPr>
        <w:t xml:space="preserve">1330 </w:t>
      </w:r>
      <w:proofErr w:type="spellStart"/>
      <w:r w:rsidRPr="00D24865">
        <w:rPr>
          <w:szCs w:val="22"/>
        </w:rPr>
        <w:t>Rixensart</w:t>
      </w:r>
      <w:proofErr w:type="spellEnd"/>
      <w:r w:rsidRPr="00D24865">
        <w:rPr>
          <w:szCs w:val="22"/>
        </w:rPr>
        <w:t>,</w:t>
      </w:r>
    </w:p>
    <w:p w:rsidR="0025338D" w:rsidRPr="00D24865" w:rsidRDefault="0025338D" w:rsidP="0025338D">
      <w:pPr>
        <w:rPr>
          <w:szCs w:val="22"/>
        </w:rPr>
      </w:pPr>
      <w:r w:rsidRPr="00D24865">
        <w:rPr>
          <w:szCs w:val="22"/>
        </w:rPr>
        <w:t>Belgija</w:t>
      </w:r>
    </w:p>
    <w:p w:rsidR="0025338D" w:rsidRPr="002C65CD" w:rsidRDefault="0025338D" w:rsidP="0025338D">
      <w:pPr>
        <w:pStyle w:val="BTEMEASMCA"/>
      </w:pPr>
    </w:p>
    <w:p w:rsidR="0025338D" w:rsidRPr="002C65CD" w:rsidRDefault="0025338D" w:rsidP="0025338D">
      <w:pPr>
        <w:pStyle w:val="BTEMEASMCA"/>
      </w:pPr>
    </w:p>
    <w:p w:rsidR="0025338D" w:rsidRPr="00A37AAB" w:rsidRDefault="0025338D" w:rsidP="0025338D">
      <w:pPr>
        <w:tabs>
          <w:tab w:val="left" w:pos="567"/>
        </w:tabs>
        <w:ind w:right="-1"/>
        <w:rPr>
          <w:b/>
        </w:rPr>
      </w:pPr>
      <w:r w:rsidRPr="00A37AAB">
        <w:rPr>
          <w:b/>
        </w:rPr>
        <w:t xml:space="preserve">Šis vaistas </w:t>
      </w:r>
      <w:r>
        <w:rPr>
          <w:b/>
        </w:rPr>
        <w:t>Europos ekonominės erdvės</w:t>
      </w:r>
      <w:r w:rsidRPr="00B4222B">
        <w:rPr>
          <w:b/>
        </w:rPr>
        <w:t xml:space="preserve"> </w:t>
      </w:r>
      <w:r>
        <w:rPr>
          <w:b/>
        </w:rPr>
        <w:t xml:space="preserve">ir Jungtinėje Karalystėje (Šiaurės Airijoje) </w:t>
      </w:r>
      <w:r w:rsidRPr="00A37AAB">
        <w:rPr>
          <w:b/>
        </w:rPr>
        <w:t>registruotas tokiais pavadinimais:</w:t>
      </w:r>
    </w:p>
    <w:p w:rsidR="0025338D" w:rsidRDefault="0025338D" w:rsidP="0025338D">
      <w:pPr>
        <w:tabs>
          <w:tab w:val="left" w:pos="567"/>
        </w:tabs>
        <w:ind w:right="-1"/>
        <w:rPr>
          <w:szCs w:val="22"/>
        </w:rPr>
      </w:pPr>
    </w:p>
    <w:p w:rsidR="0025338D" w:rsidRDefault="0025338D" w:rsidP="0025338D">
      <w:pPr>
        <w:tabs>
          <w:tab w:val="left" w:pos="567"/>
        </w:tabs>
        <w:ind w:right="-1"/>
        <w:rPr>
          <w:szCs w:val="22"/>
        </w:rPr>
      </w:pPr>
      <w:r w:rsidRPr="00BC06E0">
        <w:rPr>
          <w:szCs w:val="22"/>
        </w:rPr>
        <w:lastRenderedPageBreak/>
        <w:t>Austrija</w:t>
      </w:r>
      <w:r>
        <w:rPr>
          <w:szCs w:val="22"/>
        </w:rPr>
        <w:t>,</w:t>
      </w:r>
      <w:r w:rsidRPr="00037EB0">
        <w:rPr>
          <w:szCs w:val="22"/>
        </w:rPr>
        <w:t xml:space="preserve"> </w:t>
      </w:r>
      <w:r w:rsidRPr="00225B55">
        <w:rPr>
          <w:szCs w:val="22"/>
        </w:rPr>
        <w:t>Airija</w:t>
      </w:r>
      <w:r>
        <w:rPr>
          <w:szCs w:val="22"/>
        </w:rPr>
        <w:t>,</w:t>
      </w:r>
      <w:r w:rsidRPr="00037EB0">
        <w:rPr>
          <w:szCs w:val="22"/>
        </w:rPr>
        <w:t xml:space="preserve"> </w:t>
      </w:r>
      <w:r w:rsidRPr="001958A1">
        <w:rPr>
          <w:szCs w:val="22"/>
        </w:rPr>
        <w:t xml:space="preserve">Belgija, </w:t>
      </w:r>
      <w:r>
        <w:rPr>
          <w:szCs w:val="22"/>
        </w:rPr>
        <w:t>Bulgarija,</w:t>
      </w:r>
      <w:r w:rsidRPr="00037EB0">
        <w:rPr>
          <w:szCs w:val="22"/>
        </w:rPr>
        <w:t xml:space="preserve"> </w:t>
      </w:r>
      <w:r>
        <w:rPr>
          <w:szCs w:val="22"/>
        </w:rPr>
        <w:t>Čekija,</w:t>
      </w:r>
      <w:r w:rsidRPr="00364811">
        <w:rPr>
          <w:szCs w:val="22"/>
        </w:rPr>
        <w:t xml:space="preserve"> </w:t>
      </w:r>
      <w:r w:rsidRPr="001958A1">
        <w:rPr>
          <w:szCs w:val="22"/>
        </w:rPr>
        <w:t xml:space="preserve">Danija, </w:t>
      </w:r>
      <w:r>
        <w:t>Jungtinė Karalystė (Šiaurės Airija)</w:t>
      </w:r>
      <w:r w:rsidRPr="00AA7226">
        <w:rPr>
          <w:szCs w:val="22"/>
        </w:rPr>
        <w:t>,</w:t>
      </w:r>
      <w:r w:rsidRPr="001958A1">
        <w:rPr>
          <w:szCs w:val="22"/>
        </w:rPr>
        <w:t xml:space="preserve"> </w:t>
      </w:r>
      <w:r>
        <w:rPr>
          <w:szCs w:val="22"/>
        </w:rPr>
        <w:t xml:space="preserve">Graikija, Estija, </w:t>
      </w:r>
      <w:r w:rsidRPr="001958A1">
        <w:rPr>
          <w:szCs w:val="22"/>
        </w:rPr>
        <w:t xml:space="preserve">Islandija, Italija, </w:t>
      </w:r>
      <w:r>
        <w:rPr>
          <w:szCs w:val="22"/>
        </w:rPr>
        <w:t xml:space="preserve">Kroatija, Kipras, Latvija, Lenkija, </w:t>
      </w:r>
      <w:r w:rsidRPr="001958A1">
        <w:rPr>
          <w:szCs w:val="22"/>
        </w:rPr>
        <w:t xml:space="preserve">Liuksemburgas, </w:t>
      </w:r>
      <w:r>
        <w:rPr>
          <w:szCs w:val="22"/>
        </w:rPr>
        <w:t xml:space="preserve">Malta, </w:t>
      </w:r>
      <w:r w:rsidRPr="001958A1">
        <w:rPr>
          <w:szCs w:val="22"/>
        </w:rPr>
        <w:t xml:space="preserve">Norvegija, </w:t>
      </w:r>
      <w:r>
        <w:rPr>
          <w:szCs w:val="22"/>
        </w:rPr>
        <w:t xml:space="preserve">Olandija, </w:t>
      </w:r>
      <w:r w:rsidRPr="001958A1">
        <w:rPr>
          <w:szCs w:val="22"/>
        </w:rPr>
        <w:t xml:space="preserve">Portugalija, </w:t>
      </w:r>
      <w:r>
        <w:rPr>
          <w:szCs w:val="22"/>
        </w:rPr>
        <w:t>Prancūzija,</w:t>
      </w:r>
      <w:r w:rsidRPr="00364811">
        <w:rPr>
          <w:szCs w:val="22"/>
        </w:rPr>
        <w:t xml:space="preserve"> </w:t>
      </w:r>
      <w:r w:rsidRPr="00623DE4">
        <w:rPr>
          <w:szCs w:val="22"/>
        </w:rPr>
        <w:t xml:space="preserve">Suomija, </w:t>
      </w:r>
      <w:proofErr w:type="spellStart"/>
      <w:r>
        <w:rPr>
          <w:szCs w:val="22"/>
        </w:rPr>
        <w:t>Slovenija</w:t>
      </w:r>
      <w:proofErr w:type="spellEnd"/>
      <w:r>
        <w:rPr>
          <w:szCs w:val="22"/>
        </w:rPr>
        <w:t xml:space="preserve">, Slovakija, </w:t>
      </w:r>
      <w:r w:rsidRPr="001958A1">
        <w:rPr>
          <w:rFonts w:hint="eastAsia"/>
          <w:szCs w:val="22"/>
        </w:rPr>
        <w:t>Š</w:t>
      </w:r>
      <w:r w:rsidRPr="001958A1">
        <w:rPr>
          <w:szCs w:val="22"/>
        </w:rPr>
        <w:t>vedija, Vokietija</w:t>
      </w:r>
      <w:r>
        <w:rPr>
          <w:szCs w:val="22"/>
        </w:rPr>
        <w:t>,</w:t>
      </w:r>
      <w:r w:rsidRPr="001958A1">
        <w:rPr>
          <w:szCs w:val="22"/>
        </w:rPr>
        <w:t xml:space="preserve"> </w:t>
      </w:r>
      <w:r>
        <w:rPr>
          <w:szCs w:val="22"/>
        </w:rPr>
        <w:t xml:space="preserve">Vengrija – </w:t>
      </w:r>
      <w:proofErr w:type="spellStart"/>
      <w:r>
        <w:rPr>
          <w:szCs w:val="22"/>
        </w:rPr>
        <w:t>Boostrix</w:t>
      </w:r>
      <w:proofErr w:type="spellEnd"/>
      <w:r>
        <w:rPr>
          <w:szCs w:val="22"/>
        </w:rPr>
        <w:t>.</w:t>
      </w:r>
    </w:p>
    <w:p w:rsidR="0025338D" w:rsidRPr="001958A1" w:rsidRDefault="0025338D" w:rsidP="0025338D">
      <w:pPr>
        <w:tabs>
          <w:tab w:val="left" w:pos="567"/>
        </w:tabs>
        <w:ind w:right="-1"/>
        <w:rPr>
          <w:szCs w:val="22"/>
        </w:rPr>
      </w:pPr>
      <w:r>
        <w:rPr>
          <w:szCs w:val="22"/>
        </w:rPr>
        <w:t xml:space="preserve">Ispanija –  </w:t>
      </w:r>
      <w:r w:rsidRPr="009A21B8">
        <w:rPr>
          <w:szCs w:val="22"/>
        </w:rPr>
        <w:t>BOOSTRIX SUSPENSION INYECTABLE EN JERINGA PRECARGADA</w:t>
      </w:r>
    </w:p>
    <w:p w:rsidR="0025338D" w:rsidRDefault="0025338D" w:rsidP="0025338D">
      <w:pPr>
        <w:tabs>
          <w:tab w:val="left" w:pos="567"/>
        </w:tabs>
        <w:ind w:right="-1"/>
        <w:rPr>
          <w:szCs w:val="22"/>
        </w:rPr>
      </w:pPr>
      <w:r>
        <w:rPr>
          <w:szCs w:val="22"/>
        </w:rPr>
        <w:t xml:space="preserve">Rumunija – </w:t>
      </w:r>
      <w:proofErr w:type="spellStart"/>
      <w:r>
        <w:rPr>
          <w:szCs w:val="22"/>
        </w:rPr>
        <w:t>Boostrix</w:t>
      </w:r>
      <w:proofErr w:type="spellEnd"/>
      <w:r>
        <w:rPr>
          <w:szCs w:val="22"/>
        </w:rPr>
        <w:t xml:space="preserve"> </w:t>
      </w:r>
      <w:proofErr w:type="spellStart"/>
      <w:r>
        <w:rPr>
          <w:szCs w:val="22"/>
        </w:rPr>
        <w:t>suspensie</w:t>
      </w:r>
      <w:proofErr w:type="spellEnd"/>
      <w:r>
        <w:rPr>
          <w:szCs w:val="22"/>
        </w:rPr>
        <w:t xml:space="preserve"> </w:t>
      </w:r>
      <w:proofErr w:type="spellStart"/>
      <w:r>
        <w:rPr>
          <w:szCs w:val="22"/>
        </w:rPr>
        <w:t>injectabila</w:t>
      </w:r>
      <w:proofErr w:type="spellEnd"/>
      <w:r>
        <w:rPr>
          <w:szCs w:val="22"/>
        </w:rPr>
        <w:t xml:space="preserve"> </w:t>
      </w:r>
      <w:proofErr w:type="spellStart"/>
      <w:r>
        <w:rPr>
          <w:szCs w:val="22"/>
        </w:rPr>
        <w:t>in</w:t>
      </w:r>
      <w:proofErr w:type="spellEnd"/>
      <w:r>
        <w:rPr>
          <w:szCs w:val="22"/>
        </w:rPr>
        <w:t xml:space="preserve"> </w:t>
      </w:r>
      <w:proofErr w:type="spellStart"/>
      <w:r>
        <w:rPr>
          <w:szCs w:val="22"/>
        </w:rPr>
        <w:t>seringa</w:t>
      </w:r>
      <w:proofErr w:type="spellEnd"/>
      <w:r>
        <w:rPr>
          <w:szCs w:val="22"/>
        </w:rPr>
        <w:t xml:space="preserve"> </w:t>
      </w:r>
      <w:proofErr w:type="spellStart"/>
      <w:r>
        <w:rPr>
          <w:szCs w:val="22"/>
        </w:rPr>
        <w:t>preumpluta</w:t>
      </w:r>
      <w:proofErr w:type="spellEnd"/>
    </w:p>
    <w:p w:rsidR="0025338D" w:rsidRPr="001958A1" w:rsidRDefault="0025338D" w:rsidP="0025338D">
      <w:pPr>
        <w:tabs>
          <w:tab w:val="left" w:pos="567"/>
        </w:tabs>
        <w:ind w:right="-1"/>
      </w:pPr>
    </w:p>
    <w:p w:rsidR="0025338D" w:rsidRPr="008D66EC" w:rsidRDefault="0025338D" w:rsidP="0025338D">
      <w:pPr>
        <w:tabs>
          <w:tab w:val="left" w:pos="567"/>
        </w:tabs>
        <w:ind w:right="-1"/>
        <w:rPr>
          <w:b/>
        </w:rPr>
      </w:pPr>
      <w:r w:rsidRPr="008D66EC">
        <w:rPr>
          <w:b/>
        </w:rPr>
        <w:t>Šis pakuotės lapelis paskutinį kartą peržiūrėtas</w:t>
      </w:r>
      <w:r>
        <w:rPr>
          <w:b/>
        </w:rPr>
        <w:t xml:space="preserve"> 2023-04-26.</w:t>
      </w:r>
    </w:p>
    <w:p w:rsidR="0025338D" w:rsidRPr="002C65CD" w:rsidRDefault="0025338D" w:rsidP="0025338D"/>
    <w:p w:rsidR="0025338D" w:rsidRDefault="0025338D" w:rsidP="0025338D">
      <w:pPr>
        <w:rPr>
          <w:b/>
          <w:szCs w:val="22"/>
        </w:rPr>
      </w:pPr>
      <w:r>
        <w:rPr>
          <w:b/>
          <w:szCs w:val="22"/>
        </w:rPr>
        <w:t>Kiti informacijos šaltiniai</w:t>
      </w:r>
    </w:p>
    <w:p w:rsidR="0025338D" w:rsidRDefault="0025338D" w:rsidP="0025338D">
      <w:pPr>
        <w:rPr>
          <w:szCs w:val="22"/>
        </w:rPr>
      </w:pPr>
    </w:p>
    <w:p w:rsidR="0025338D" w:rsidRPr="002C65CD" w:rsidRDefault="0025338D" w:rsidP="0025338D">
      <w:r w:rsidRPr="002C65CD">
        <w:t>Išsami informacija apie šį vaistą pateikiama Valstybinės vaistų kontrolės tarnybos prie Lietuvos Respublikos sveikatos apsaugos ministerijos tinklalapyje</w:t>
      </w:r>
      <w:r w:rsidRPr="002C65CD">
        <w:rPr>
          <w:i/>
        </w:rPr>
        <w:t xml:space="preserve"> </w:t>
      </w:r>
      <w:r w:rsidRPr="00A55669">
        <w:rPr>
          <w:szCs w:val="22"/>
        </w:rPr>
        <w:t>http://www.vvkt.lt/</w:t>
      </w:r>
      <w:r>
        <w:rPr>
          <w:iCs/>
        </w:rPr>
        <w:t>.</w:t>
      </w:r>
    </w:p>
    <w:p w:rsidR="0025338D" w:rsidRDefault="0025338D" w:rsidP="0025338D">
      <w:pPr>
        <w:rPr>
          <w:szCs w:val="22"/>
        </w:rPr>
      </w:pPr>
      <w:r>
        <w:rPr>
          <w:szCs w:val="22"/>
        </w:rPr>
        <w:t>---------------------------------------------------------------------------------------------------------------</w:t>
      </w:r>
    </w:p>
    <w:p w:rsidR="0025338D" w:rsidRPr="002C65CD" w:rsidRDefault="0025338D" w:rsidP="0025338D">
      <w:r w:rsidRPr="002C65CD">
        <w:t>Toliau pateikta informacija skirta tik sveikatos priežiūros specialistams:</w:t>
      </w:r>
    </w:p>
    <w:p w:rsidR="0025338D" w:rsidRPr="002C65CD" w:rsidRDefault="0025338D" w:rsidP="0025338D"/>
    <w:p w:rsidR="0025338D" w:rsidRDefault="0025338D" w:rsidP="0025338D">
      <w:pPr>
        <w:tabs>
          <w:tab w:val="left" w:pos="567"/>
        </w:tabs>
        <w:ind w:right="-1"/>
      </w:pPr>
      <w:r>
        <w:rPr>
          <w:szCs w:val="22"/>
        </w:rPr>
        <w:t>Prieš pat vartojimą vakciną reikia palaikyti kambario temperatūroje ir gerai suplakti, kad susidarytų homogeniška drumsta balta suspensija. Prieš vartojimą vakciną reikia apžiūrėti, ar joje nėra kokių nors kietųjų dalelių ir (ar) fizinių savybių pokyčių. Pastebėjus bet kurį šių reiškinių, vakcinos vartoti negalima.</w:t>
      </w:r>
    </w:p>
    <w:p w:rsidR="0025338D" w:rsidRDefault="0025338D" w:rsidP="0025338D"/>
    <w:p w:rsidR="0025338D" w:rsidRPr="00CB4386" w:rsidRDefault="0025338D" w:rsidP="0025338D">
      <w:pPr>
        <w:widowControl w:val="0"/>
        <w:rPr>
          <w:bCs/>
          <w:iCs/>
          <w:u w:val="single"/>
        </w:rPr>
      </w:pPr>
      <w:r w:rsidRPr="00DB590C">
        <w:rPr>
          <w:u w:val="single"/>
        </w:rPr>
        <w:t>U</w:t>
      </w:r>
      <w:r w:rsidRPr="00CB4386">
        <w:rPr>
          <w:bCs/>
          <w:iCs/>
          <w:u w:val="single"/>
        </w:rPr>
        <w:t>žpildyto švirkšto, naudojimo instrukcijos</w:t>
      </w:r>
    </w:p>
    <w:p w:rsidR="0025338D" w:rsidRPr="00CB4386" w:rsidRDefault="0025338D" w:rsidP="0025338D">
      <w:pPr>
        <w:widowControl w:val="0"/>
        <w:spacing w:after="120"/>
      </w:pPr>
    </w:p>
    <w:tbl>
      <w:tblPr>
        <w:tblW w:w="0" w:type="auto"/>
        <w:jc w:val="center"/>
        <w:tblLook w:val="04A0" w:firstRow="1" w:lastRow="0" w:firstColumn="1" w:lastColumn="0" w:noHBand="0" w:noVBand="1"/>
      </w:tblPr>
      <w:tblGrid>
        <w:gridCol w:w="3618"/>
        <w:gridCol w:w="5238"/>
      </w:tblGrid>
      <w:tr w:rsidR="0025338D" w:rsidRPr="00767748" w:rsidTr="005D6B41">
        <w:trPr>
          <w:jc w:val="center"/>
        </w:trPr>
        <w:tc>
          <w:tcPr>
            <w:tcW w:w="3618" w:type="dxa"/>
            <w:shd w:val="clear" w:color="auto" w:fill="auto"/>
          </w:tcPr>
          <w:p w:rsidR="0025338D" w:rsidRPr="00895454" w:rsidRDefault="0025338D" w:rsidP="005D6B41">
            <w:pPr>
              <w:widowControl w:val="0"/>
              <w:spacing w:after="120"/>
              <w:jc w:val="center"/>
            </w:pPr>
            <w:r>
              <w:rPr>
                <w:noProof/>
                <w:lang w:eastAsia="lt-LT"/>
              </w:rPr>
              <mc:AlternateContent>
                <mc:Choice Requires="wps">
                  <w:drawing>
                    <wp:anchor distT="0" distB="0" distL="0" distR="0" simplePos="0" relativeHeight="251661312" behindDoc="0" locked="0" layoutInCell="1" allowOverlap="0" wp14:anchorId="0A6A4581" wp14:editId="29F91EE3">
                      <wp:simplePos x="0" y="0"/>
                      <wp:positionH relativeFrom="column">
                        <wp:posOffset>495300</wp:posOffset>
                      </wp:positionH>
                      <wp:positionV relativeFrom="paragraph">
                        <wp:posOffset>1183640</wp:posOffset>
                      </wp:positionV>
                      <wp:extent cx="836295" cy="248920"/>
                      <wp:effectExtent l="0" t="0" r="0" b="0"/>
                      <wp:wrapNone/>
                      <wp:docPr id="5294475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5" cy="248920"/>
                              </a:xfrm>
                              <a:prstGeom prst="rect">
                                <a:avLst/>
                              </a:prstGeom>
                              <a:noFill/>
                              <a:ln w="6350">
                                <a:noFill/>
                              </a:ln>
                            </wps:spPr>
                            <wps:txbx>
                              <w:txbxContent>
                                <w:p w:rsidR="0025338D" w:rsidRPr="00CF0077" w:rsidRDefault="0025338D" w:rsidP="0025338D">
                                  <w: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A4581" id="_x0000_t202" coordsize="21600,21600" o:spt="202" path="m,l,21600r21600,l21600,xe">
                      <v:stroke joinstyle="miter"/>
                      <v:path gradientshapeok="t" o:connecttype="rect"/>
                    </v:shapetype>
                    <v:shape id="Text Box 14" o:spid="_x0000_s1026" type="#_x0000_t202" style="position:absolute;left:0;text-align:left;margin-left:39pt;margin-top:93.2pt;width:65.85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" o:allowoverlap="f" filled="f" stroked="f" strokeweight=".5pt">
                      <v:path arrowok="t"/>
                      <v:textbox>
                        <w:txbxContent>
                          <w:p w:rsidR="0025338D" w:rsidRPr="00CF0077" w:rsidRDefault="0025338D" w:rsidP="0025338D">
                            <w:r>
                              <w:t>Vamzdelis</w:t>
                            </w:r>
                          </w:p>
                        </w:txbxContent>
                      </v:textbox>
                    </v:shape>
                  </w:pict>
                </mc:Fallback>
              </mc:AlternateContent>
            </w:r>
            <w:r>
              <w:rPr>
                <w:noProof/>
                <w:lang w:eastAsia="lt-LT"/>
              </w:rPr>
              <mc:AlternateContent>
                <mc:Choice Requires="wps">
                  <w:drawing>
                    <wp:anchor distT="0" distB="0" distL="0" distR="0" simplePos="0" relativeHeight="251663360" behindDoc="0" locked="0" layoutInCell="1" allowOverlap="0" wp14:anchorId="5522A6B5" wp14:editId="2D624918">
                      <wp:simplePos x="0" y="0"/>
                      <wp:positionH relativeFrom="column">
                        <wp:posOffset>-75565</wp:posOffset>
                      </wp:positionH>
                      <wp:positionV relativeFrom="paragraph">
                        <wp:posOffset>904240</wp:posOffset>
                      </wp:positionV>
                      <wp:extent cx="784225" cy="273685"/>
                      <wp:effectExtent l="0" t="0" r="0" b="0"/>
                      <wp:wrapNone/>
                      <wp:docPr id="6069987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rsidR="0025338D" w:rsidRPr="00CF0077" w:rsidRDefault="0025338D" w:rsidP="0025338D">
                                  <w: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A6B5" id="Text Box 13" o:spid="_x0000_s1027" type="#_x0000_t202" style="position:absolute;left:0;text-align:left;margin-left:-5.95pt;margin-top:71.2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" o:allowoverlap="f" filled="f" stroked="f" strokeweight=".5pt">
                      <v:path arrowok="t"/>
                      <v:textbox>
                        <w:txbxContent>
                          <w:p w:rsidR="0025338D" w:rsidRPr="00CF0077" w:rsidRDefault="0025338D" w:rsidP="0025338D">
                            <w:r>
                              <w:t>Stūmoklis</w:t>
                            </w:r>
                          </w:p>
                        </w:txbxContent>
                      </v:textbox>
                    </v:shape>
                  </w:pict>
                </mc:Fallback>
              </mc:AlternateContent>
            </w:r>
            <w:r>
              <w:rPr>
                <w:noProof/>
                <w:lang w:eastAsia="lt-LT"/>
              </w:rPr>
              <mc:AlternateContent>
                <mc:Choice Requires="wps">
                  <w:drawing>
                    <wp:anchor distT="0" distB="0" distL="0" distR="0" simplePos="0" relativeHeight="251660288" behindDoc="0" locked="0" layoutInCell="1" allowOverlap="0" wp14:anchorId="2E9AE14E" wp14:editId="06C24109">
                      <wp:simplePos x="0" y="0"/>
                      <wp:positionH relativeFrom="column">
                        <wp:posOffset>213360</wp:posOffset>
                      </wp:positionH>
                      <wp:positionV relativeFrom="paragraph">
                        <wp:posOffset>217170</wp:posOffset>
                      </wp:positionV>
                      <wp:extent cx="1852930" cy="277495"/>
                      <wp:effectExtent l="0" t="0" r="0" b="0"/>
                      <wp:wrapNone/>
                      <wp:docPr id="6801843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rsidR="0025338D" w:rsidRPr="00CF0077" w:rsidRDefault="0025338D" w:rsidP="0025338D">
                                  <w:proofErr w:type="spellStart"/>
                                  <w:r w:rsidRPr="007557EE">
                                    <w:rPr>
                                      <w:i/>
                                      <w:iCs/>
                                    </w:rPr>
                                    <w:t>Luer</w:t>
                                  </w:r>
                                  <w:proofErr w:type="spellEnd"/>
                                  <w:r w:rsidRPr="007557EE">
                                    <w:rPr>
                                      <w:i/>
                                      <w:iCs/>
                                    </w:rPr>
                                    <w:t xml:space="preserve"> </w:t>
                                  </w:r>
                                  <w:proofErr w:type="spellStart"/>
                                  <w:r w:rsidRPr="007557EE">
                                    <w:rPr>
                                      <w:i/>
                                      <w:iCs/>
                                    </w:rPr>
                                    <w:t>Lock</w:t>
                                  </w:r>
                                  <w:proofErr w:type="spellEnd"/>
                                  <w:r w:rsidRPr="003D3C41">
                                    <w:t xml:space="preserve"> </w:t>
                                  </w:r>
                                  <w: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AE14E" id="Text Box 12" o:spid="_x0000_s1028" type="#_x0000_t202" style="position:absolute;left:0;text-align:left;margin-left:16.8pt;margin-top:17.1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" o:allowoverlap="f" filled="f" stroked="f" strokeweight=".5pt">
                      <v:path arrowok="t"/>
                      <v:textbox>
                        <w:txbxContent>
                          <w:p w:rsidR="0025338D" w:rsidRPr="00CF0077" w:rsidRDefault="0025338D" w:rsidP="0025338D">
                            <w:proofErr w:type="spellStart"/>
                            <w:r w:rsidRPr="007557EE">
                              <w:rPr>
                                <w:i/>
                                <w:iCs/>
                              </w:rPr>
                              <w:t>Luer</w:t>
                            </w:r>
                            <w:proofErr w:type="spellEnd"/>
                            <w:r w:rsidRPr="007557EE">
                              <w:rPr>
                                <w:i/>
                                <w:iCs/>
                              </w:rPr>
                              <w:t xml:space="preserve"> </w:t>
                            </w:r>
                            <w:proofErr w:type="spellStart"/>
                            <w:r w:rsidRPr="007557EE">
                              <w:rPr>
                                <w:i/>
                                <w:iCs/>
                              </w:rPr>
                              <w:t>Lock</w:t>
                            </w:r>
                            <w:proofErr w:type="spellEnd"/>
                            <w:r w:rsidRPr="003D3C41">
                              <w:t xml:space="preserve"> </w:t>
                            </w:r>
                            <w:r>
                              <w:t>adapteris</w:t>
                            </w:r>
                          </w:p>
                        </w:txbxContent>
                      </v:textbox>
                    </v:shape>
                  </w:pict>
                </mc:Fallback>
              </mc:AlternateContent>
            </w:r>
            <w:r>
              <w:rPr>
                <w:noProof/>
                <w:lang w:eastAsia="lt-LT"/>
              </w:rPr>
              <mc:AlternateContent>
                <mc:Choice Requires="wps">
                  <w:drawing>
                    <wp:anchor distT="0" distB="0" distL="0" distR="0" simplePos="0" relativeHeight="251662336" behindDoc="0" locked="0" layoutInCell="1" allowOverlap="0" wp14:anchorId="6545A59F" wp14:editId="3BEFBD2C">
                      <wp:simplePos x="0" y="0"/>
                      <wp:positionH relativeFrom="column">
                        <wp:posOffset>1253490</wp:posOffset>
                      </wp:positionH>
                      <wp:positionV relativeFrom="paragraph">
                        <wp:posOffset>1176655</wp:posOffset>
                      </wp:positionV>
                      <wp:extent cx="809625" cy="277495"/>
                      <wp:effectExtent l="0" t="0" r="0" b="0"/>
                      <wp:wrapNone/>
                      <wp:docPr id="16337470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rsidR="0025338D" w:rsidRPr="00CF0077" w:rsidRDefault="0025338D" w:rsidP="0025338D">
                                  <w: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A59F" id="Text Box 11" o:spid="_x0000_s1029"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" o:allowoverlap="f" filled="f" stroked="f" strokeweight=".5pt">
                      <v:path arrowok="t"/>
                      <v:textbox>
                        <w:txbxContent>
                          <w:p w:rsidR="0025338D" w:rsidRPr="00CF0077" w:rsidRDefault="0025338D" w:rsidP="0025338D">
                            <w:r>
                              <w:t>Dangtelis</w:t>
                            </w:r>
                          </w:p>
                        </w:txbxContent>
                      </v:textbox>
                    </v:shape>
                  </w:pict>
                </mc:Fallback>
              </mc:AlternateContent>
            </w:r>
            <w:r w:rsidRPr="00BE7AFC">
              <w:rPr>
                <w:noProof/>
                <w:lang w:eastAsia="lt-LT"/>
              </w:rPr>
              <w:drawing>
                <wp:inline distT="0" distB="0" distL="0" distR="0" wp14:anchorId="773916D9" wp14:editId="642E892D">
                  <wp:extent cx="1743075" cy="1762125"/>
                  <wp:effectExtent l="0" t="0" r="9525" b="9525"/>
                  <wp:docPr id="1921794984"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shd w:val="clear" w:color="auto" w:fill="auto"/>
          </w:tcPr>
          <w:p w:rsidR="0025338D" w:rsidRDefault="0025338D" w:rsidP="005D6B41">
            <w:pPr>
              <w:widowControl w:val="0"/>
            </w:pPr>
          </w:p>
          <w:p w:rsidR="0025338D" w:rsidRPr="00767748" w:rsidRDefault="0025338D" w:rsidP="005D6B41">
            <w:pPr>
              <w:widowControl w:val="0"/>
            </w:pPr>
          </w:p>
          <w:p w:rsidR="0025338D" w:rsidRDefault="0025338D" w:rsidP="005D6B41">
            <w:pPr>
              <w:widowControl w:val="0"/>
            </w:pPr>
            <w:r w:rsidRPr="00767748">
              <w:t>Laikykite švirkštą už vamzdelio, bet ne už stūmoklio.</w:t>
            </w:r>
          </w:p>
          <w:p w:rsidR="0025338D" w:rsidRPr="00767748" w:rsidRDefault="0025338D" w:rsidP="005D6B41">
            <w:pPr>
              <w:widowControl w:val="0"/>
            </w:pPr>
          </w:p>
          <w:p w:rsidR="0025338D" w:rsidRPr="00767748" w:rsidRDefault="0025338D" w:rsidP="005D6B41">
            <w:pPr>
              <w:widowControl w:val="0"/>
            </w:pPr>
            <w:r w:rsidRPr="00767748">
              <w:t>Nusukite švirkšto dangtelį sukdami prieš laikrodžio rodyklę.</w:t>
            </w:r>
          </w:p>
        </w:tc>
      </w:tr>
      <w:tr w:rsidR="0025338D" w:rsidTr="005D6B41">
        <w:trPr>
          <w:jc w:val="center"/>
        </w:trPr>
        <w:tc>
          <w:tcPr>
            <w:tcW w:w="3618" w:type="dxa"/>
            <w:shd w:val="clear" w:color="auto" w:fill="auto"/>
          </w:tcPr>
          <w:p w:rsidR="0025338D" w:rsidRPr="00895454" w:rsidRDefault="0025338D" w:rsidP="005D6B41">
            <w:pPr>
              <w:widowControl w:val="0"/>
              <w:spacing w:after="120"/>
              <w:jc w:val="center"/>
            </w:pPr>
            <w:r>
              <w:rPr>
                <w:noProof/>
                <w:lang w:eastAsia="lt-LT"/>
              </w:rPr>
              <mc:AlternateContent>
                <mc:Choice Requires="wps">
                  <w:drawing>
                    <wp:anchor distT="0" distB="0" distL="0" distR="0" simplePos="0" relativeHeight="251659264" behindDoc="0" locked="0" layoutInCell="1" allowOverlap="0" wp14:anchorId="68517769" wp14:editId="185EDED9">
                      <wp:simplePos x="0" y="0"/>
                      <wp:positionH relativeFrom="column">
                        <wp:posOffset>858308</wp:posOffset>
                      </wp:positionH>
                      <wp:positionV relativeFrom="paragraph">
                        <wp:posOffset>327660</wp:posOffset>
                      </wp:positionV>
                      <wp:extent cx="1092200" cy="481330"/>
                      <wp:effectExtent l="0" t="0" r="0" b="0"/>
                      <wp:wrapNone/>
                      <wp:docPr id="1627285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481330"/>
                              </a:xfrm>
                              <a:prstGeom prst="rect">
                                <a:avLst/>
                              </a:prstGeom>
                              <a:noFill/>
                              <a:ln w="6350">
                                <a:noFill/>
                              </a:ln>
                            </wps:spPr>
                            <wps:txbx>
                              <w:txbxContent>
                                <w:p w:rsidR="0025338D" w:rsidRPr="007557EE" w:rsidRDefault="0025338D" w:rsidP="0025338D">
                                  <w:r>
                                    <w:t xml:space="preserve">Adatos </w:t>
                                  </w:r>
                                  <w:r w:rsidRPr="003D3C41">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17769" id="Text Box 10" o:spid="_x0000_s1030" type="#_x0000_t202" style="position:absolute;left:0;text-align:left;margin-left:67.6pt;margin-top:25.8pt;width:86pt;height:37.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" o:allowoverlap="f" filled="f" stroked="f" strokeweight=".5pt">
                      <v:path arrowok="t"/>
                      <v:textbox>
                        <w:txbxContent>
                          <w:p w:rsidR="0025338D" w:rsidRPr="007557EE" w:rsidRDefault="0025338D" w:rsidP="0025338D">
                            <w:r>
                              <w:t xml:space="preserve">Adatos </w:t>
                            </w:r>
                            <w:r w:rsidRPr="003D3C41">
                              <w:t>stebulė</w:t>
                            </w:r>
                          </w:p>
                        </w:txbxContent>
                      </v:textbox>
                    </v:shape>
                  </w:pict>
                </mc:Fallback>
              </mc:AlternateContent>
            </w:r>
            <w:r w:rsidRPr="00BE7AFC">
              <w:rPr>
                <w:noProof/>
                <w:lang w:eastAsia="lt-LT"/>
              </w:rPr>
              <w:drawing>
                <wp:inline distT="0" distB="0" distL="0" distR="0" wp14:anchorId="0A97ED4C" wp14:editId="01773483">
                  <wp:extent cx="1828800" cy="1838325"/>
                  <wp:effectExtent l="0" t="0" r="0" b="9525"/>
                  <wp:docPr id="167804130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rsidR="0025338D" w:rsidRDefault="0025338D" w:rsidP="005D6B41">
            <w:pPr>
              <w:widowControl w:val="0"/>
            </w:pPr>
          </w:p>
          <w:p w:rsidR="0025338D" w:rsidRDefault="0025338D" w:rsidP="005D6B41">
            <w:pPr>
              <w:widowControl w:val="0"/>
            </w:pPr>
            <w:r w:rsidRPr="00727324">
              <w:t xml:space="preserve">Norėdami pritvirtinti adatą, prijunkite stebulę prie </w:t>
            </w:r>
            <w:proofErr w:type="spellStart"/>
            <w:r w:rsidRPr="006E4344">
              <w:rPr>
                <w:i/>
                <w:iCs/>
              </w:rPr>
              <w:t>Luer</w:t>
            </w:r>
            <w:proofErr w:type="spellEnd"/>
            <w:r w:rsidRPr="006E4344">
              <w:rPr>
                <w:i/>
                <w:iCs/>
              </w:rPr>
              <w:t xml:space="preserve"> </w:t>
            </w:r>
            <w:proofErr w:type="spellStart"/>
            <w:r w:rsidRPr="006E4344">
              <w:rPr>
                <w:i/>
                <w:iCs/>
              </w:rPr>
              <w:t>Lock</w:t>
            </w:r>
            <w:proofErr w:type="spellEnd"/>
            <w:r w:rsidRPr="00727324">
              <w:t xml:space="preserve"> adapterio ir pasukite ketvirtį apsisukimo pagal laikrodžio rodyklę, kol pajusite, kad ji užsifiksuos.</w:t>
            </w:r>
          </w:p>
          <w:p w:rsidR="0025338D" w:rsidRPr="00727324" w:rsidRDefault="0025338D" w:rsidP="005D6B41">
            <w:pPr>
              <w:widowControl w:val="0"/>
            </w:pPr>
          </w:p>
          <w:p w:rsidR="0025338D" w:rsidRPr="00E650C2" w:rsidRDefault="0025338D" w:rsidP="005D6B41">
            <w:pPr>
              <w:widowControl w:val="0"/>
            </w:pPr>
            <w:r w:rsidRPr="00727324">
              <w:t>Netraukite švirkšto stūmoklio iš vamzdelio. Jei taip atsitiktų, vakcinos neskirkite.</w:t>
            </w:r>
            <w:r w:rsidRPr="00727324">
              <w:rPr>
                <w:noProof/>
                <w:lang w:val="it-IT" w:eastAsia="it-IT"/>
              </w:rPr>
              <w:t xml:space="preserve"> </w:t>
            </w:r>
          </w:p>
        </w:tc>
      </w:tr>
    </w:tbl>
    <w:p w:rsidR="0025338D" w:rsidRDefault="0025338D" w:rsidP="0025338D"/>
    <w:p w:rsidR="0025338D" w:rsidRDefault="0025338D" w:rsidP="0025338D">
      <w:pPr>
        <w:rPr>
          <w:szCs w:val="22"/>
        </w:rPr>
      </w:pPr>
      <w:r w:rsidRPr="006E4344">
        <w:rPr>
          <w:u w:val="single"/>
        </w:rPr>
        <w:t>Atliekų tvarkymas</w:t>
      </w:r>
    </w:p>
    <w:p w:rsidR="0025338D" w:rsidRDefault="0025338D" w:rsidP="0025338D">
      <w:pPr>
        <w:rPr>
          <w:szCs w:val="22"/>
        </w:rPr>
      </w:pPr>
      <w:r>
        <w:rPr>
          <w:szCs w:val="22"/>
        </w:rPr>
        <w:t xml:space="preserve">Nesuvartotą </w:t>
      </w:r>
      <w:r>
        <w:t>vaistą</w:t>
      </w:r>
      <w:r>
        <w:rPr>
          <w:szCs w:val="22"/>
        </w:rPr>
        <w:t xml:space="preserve"> ar atliekas reikia tvarkyti laikantis vietinių reikalavimų.</w:t>
      </w:r>
    </w:p>
    <w:p w:rsidR="009041DB" w:rsidRDefault="009041DB"/>
    <w:p w:rsidR="0025338D" w:rsidRDefault="0025338D">
      <w:bookmarkStart w:id="22" w:name="_GoBack"/>
      <w:bookmarkEnd w:id="22"/>
    </w:p>
    <w:sectPr w:rsidR="0025338D"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A7DEF"/>
    <w:multiLevelType w:val="multilevel"/>
    <w:tmpl w:val="09F2C85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Symbol" w:hAnsi="Symbol"/>
        <w:color w:val="auto"/>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CC3276"/>
    <w:multiLevelType w:val="multilevel"/>
    <w:tmpl w:val="2E18DF5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1175764"/>
    <w:multiLevelType w:val="multilevel"/>
    <w:tmpl w:val="D5C0DA3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5EE671AE"/>
    <w:multiLevelType w:val="multilevel"/>
    <w:tmpl w:val="C8BA307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6D4A0E8E"/>
    <w:multiLevelType w:val="multilevel"/>
    <w:tmpl w:val="0EFC187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8D"/>
    <w:rsid w:val="00004415"/>
    <w:rsid w:val="00234094"/>
    <w:rsid w:val="0025338D"/>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E374"/>
  <w15:chartTrackingRefBased/>
  <w15:docId w15:val="{E4663A08-7F3A-403E-AC6A-3B8E145A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38D"/>
    <w:pPr>
      <w:suppressAutoHyphens/>
      <w:autoSpaceDN w:val="0"/>
      <w:spacing w:after="0" w:line="240" w:lineRule="auto"/>
      <w:textAlignment w:val="baseline"/>
    </w:pPr>
    <w:rPr>
      <w:rFonts w:ascii="Times New Roman" w:hAnsi="Times New Roman" w:cs="Times New Roman"/>
      <w:szCs w:val="24"/>
    </w:rPr>
  </w:style>
  <w:style w:type="paragraph" w:styleId="Antrat1">
    <w:name w:val="heading 1"/>
    <w:basedOn w:val="prastasis"/>
    <w:next w:val="prastasis"/>
    <w:link w:val="Antrat1Diagrama"/>
    <w:uiPriority w:val="9"/>
    <w:qFormat/>
    <w:rsid w:val="002533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2533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uiPriority w:val="99"/>
    <w:rsid w:val="0025338D"/>
    <w:pPr>
      <w:keepLines w:val="0"/>
      <w:tabs>
        <w:tab w:val="left" w:pos="567"/>
      </w:tabs>
      <w:spacing w:before="0"/>
      <w:ind w:left="567" w:hanging="567"/>
    </w:pPr>
    <w:rPr>
      <w:rFonts w:ascii="Times New Roman" w:eastAsia="Calibri" w:hAnsi="Times New Roman" w:cs="Times New Roman"/>
      <w:b/>
      <w:color w:val="auto"/>
      <w:sz w:val="22"/>
      <w:szCs w:val="22"/>
      <w:lang w:eastAsia="lt-LT"/>
    </w:rPr>
  </w:style>
  <w:style w:type="paragraph" w:customStyle="1" w:styleId="BTEMEASMCA">
    <w:name w:val="BT EMEA_SMCA"/>
    <w:basedOn w:val="prastasis"/>
    <w:link w:val="BTEMEASMCAChar"/>
    <w:autoRedefine/>
    <w:uiPriority w:val="99"/>
    <w:rsid w:val="0025338D"/>
    <w:pPr>
      <w:keepNext/>
    </w:pPr>
    <w:rPr>
      <w:rFonts w:eastAsia="Calibri"/>
      <w:szCs w:val="22"/>
      <w:lang w:eastAsia="lt-LT"/>
    </w:rPr>
  </w:style>
  <w:style w:type="character" w:customStyle="1" w:styleId="BTEMEASMCAChar">
    <w:name w:val="BT EMEA_SMCA Char"/>
    <w:link w:val="BTEMEASMCA"/>
    <w:uiPriority w:val="99"/>
    <w:rsid w:val="0025338D"/>
    <w:rPr>
      <w:rFonts w:ascii="Times New Roman" w:eastAsia="Calibri" w:hAnsi="Times New Roman" w:cs="Times New Roman"/>
      <w:lang w:eastAsia="lt-LT"/>
    </w:rPr>
  </w:style>
  <w:style w:type="paragraph" w:customStyle="1" w:styleId="TTEMEASMCA">
    <w:name w:val="TT EMEA_SMCA"/>
    <w:basedOn w:val="Antrat1"/>
    <w:link w:val="TTEMEASMCAChar"/>
    <w:autoRedefine/>
    <w:uiPriority w:val="99"/>
    <w:rsid w:val="0025338D"/>
    <w:pPr>
      <w:keepNext w:val="0"/>
      <w:keepLines w:val="0"/>
      <w:tabs>
        <w:tab w:val="left" w:pos="567"/>
      </w:tabs>
      <w:spacing w:before="0"/>
      <w:ind w:left="567" w:hanging="567"/>
      <w:jc w:val="center"/>
    </w:pPr>
    <w:rPr>
      <w:rFonts w:ascii="Times New Roman" w:eastAsia="Calibri" w:hAnsi="Times New Roman" w:cs="Times New Roman"/>
      <w:b/>
      <w:color w:val="auto"/>
      <w:sz w:val="20"/>
      <w:szCs w:val="20"/>
      <w:lang w:eastAsia="lt-LT"/>
    </w:rPr>
  </w:style>
  <w:style w:type="character" w:customStyle="1" w:styleId="TTEMEASMCAChar">
    <w:name w:val="TT EMEA_SMCA Char"/>
    <w:link w:val="TTEMEASMCA"/>
    <w:uiPriority w:val="99"/>
    <w:rsid w:val="0025338D"/>
    <w:rPr>
      <w:rFonts w:ascii="Times New Roman" w:eastAsia="Calibri" w:hAnsi="Times New Roman" w:cs="Times New Roman"/>
      <w:b/>
      <w:sz w:val="20"/>
      <w:szCs w:val="20"/>
      <w:lang w:eastAsia="lt-LT"/>
    </w:rPr>
  </w:style>
  <w:style w:type="paragraph" w:customStyle="1" w:styleId="PI-3EMEASMCA">
    <w:name w:val="PI-3 EMEA_SMCA"/>
    <w:basedOn w:val="prastasis"/>
    <w:autoRedefine/>
    <w:uiPriority w:val="99"/>
    <w:rsid w:val="0025338D"/>
    <w:pPr>
      <w:keepNext/>
      <w:spacing w:line="220" w:lineRule="exact"/>
    </w:pPr>
    <w:rPr>
      <w:b/>
      <w:bCs/>
    </w:rPr>
  </w:style>
  <w:style w:type="paragraph" w:styleId="Pagrindinistekstas">
    <w:name w:val="Body Text"/>
    <w:basedOn w:val="prastasis"/>
    <w:link w:val="PagrindinistekstasDiagrama"/>
    <w:uiPriority w:val="99"/>
    <w:rsid w:val="0025338D"/>
    <w:pPr>
      <w:spacing w:after="120"/>
    </w:pPr>
    <w:rPr>
      <w:rFonts w:eastAsia="Calibri"/>
      <w:sz w:val="24"/>
      <w:lang w:eastAsia="lt-LT"/>
    </w:rPr>
  </w:style>
  <w:style w:type="character" w:customStyle="1" w:styleId="PagrindinistekstasDiagrama">
    <w:name w:val="Pagrindinis tekstas Diagrama"/>
    <w:basedOn w:val="Numatytasispastraiposriftas"/>
    <w:link w:val="Pagrindinistekstas"/>
    <w:uiPriority w:val="99"/>
    <w:rsid w:val="0025338D"/>
    <w:rPr>
      <w:rFonts w:ascii="Times New Roman" w:eastAsia="Calibri"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25338D"/>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2533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9807</Words>
  <Characters>5591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2023-05-10T06:15:00Z</dcterms:created>
  <dcterms:modified xsi:type="dcterms:W3CDTF">2023-05-10T06:16:00Z</dcterms:modified>
</cp:coreProperties>
</file>