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1C77" w14:textId="77777777" w:rsidR="00F50FC7" w:rsidRPr="00D7762C" w:rsidRDefault="00F50FC7" w:rsidP="00E04A93">
      <w:pPr>
        <w:pStyle w:val="BTbEMEASMCA"/>
      </w:pPr>
    </w:p>
    <w:p w14:paraId="322D076E" w14:textId="77777777" w:rsidR="00F50FC7" w:rsidRPr="002C65CD" w:rsidRDefault="00F50FC7" w:rsidP="00E04A93">
      <w:pPr>
        <w:pStyle w:val="BTbEMEASMCA"/>
      </w:pPr>
    </w:p>
    <w:p w14:paraId="0482C6BB" w14:textId="77777777" w:rsidR="00F50FC7" w:rsidRPr="002C65CD" w:rsidRDefault="00F50FC7" w:rsidP="00E04A93">
      <w:pPr>
        <w:pStyle w:val="BTbEMEASMCA"/>
      </w:pPr>
    </w:p>
    <w:p w14:paraId="280E9727" w14:textId="77777777" w:rsidR="00F50FC7" w:rsidRPr="002C65CD" w:rsidRDefault="00F50FC7" w:rsidP="00E04A93">
      <w:pPr>
        <w:pStyle w:val="BTbEMEASMCA"/>
      </w:pPr>
    </w:p>
    <w:p w14:paraId="52C974E1" w14:textId="77777777" w:rsidR="00F50FC7" w:rsidRPr="002C65CD" w:rsidRDefault="00F50FC7" w:rsidP="00E04A93">
      <w:pPr>
        <w:pStyle w:val="BTbEMEASMCA"/>
      </w:pPr>
    </w:p>
    <w:p w14:paraId="1595C10B" w14:textId="77777777" w:rsidR="00F50FC7" w:rsidRPr="002C65CD" w:rsidRDefault="00F50FC7" w:rsidP="00E04A93">
      <w:pPr>
        <w:pStyle w:val="BTbEMEASMCA"/>
      </w:pPr>
    </w:p>
    <w:p w14:paraId="2D1B8CA7" w14:textId="77777777" w:rsidR="00F50FC7" w:rsidRPr="002C65CD" w:rsidRDefault="00F50FC7" w:rsidP="00E04A93">
      <w:pPr>
        <w:pStyle w:val="BTbEMEASMCA"/>
      </w:pPr>
    </w:p>
    <w:p w14:paraId="14EFAB5A" w14:textId="77777777" w:rsidR="00F50FC7" w:rsidRPr="002C65CD" w:rsidRDefault="00F50FC7" w:rsidP="00E04A93">
      <w:pPr>
        <w:pStyle w:val="BTbEMEASMCA"/>
      </w:pPr>
    </w:p>
    <w:p w14:paraId="498D5684" w14:textId="77777777" w:rsidR="00F50FC7" w:rsidRPr="002C65CD" w:rsidRDefault="00F50FC7" w:rsidP="00E04A93">
      <w:pPr>
        <w:pStyle w:val="BTbEMEASMCA"/>
      </w:pPr>
    </w:p>
    <w:p w14:paraId="4E3CCFFB" w14:textId="77777777" w:rsidR="00F50FC7" w:rsidRPr="002C65CD" w:rsidRDefault="00F50FC7" w:rsidP="00E04A93">
      <w:pPr>
        <w:pStyle w:val="BTbEMEASMCA"/>
      </w:pPr>
    </w:p>
    <w:p w14:paraId="0E03BBB6" w14:textId="77777777" w:rsidR="00F50FC7" w:rsidRPr="002C65CD" w:rsidRDefault="00F50FC7" w:rsidP="00E04A93">
      <w:pPr>
        <w:pStyle w:val="BTbEMEASMCA"/>
      </w:pPr>
    </w:p>
    <w:p w14:paraId="4044DB55" w14:textId="77777777" w:rsidR="00F50FC7" w:rsidRPr="002C65CD" w:rsidRDefault="00F50FC7" w:rsidP="00E04A93">
      <w:pPr>
        <w:pStyle w:val="BTbEMEASMCA"/>
      </w:pPr>
    </w:p>
    <w:p w14:paraId="2C9F17C8" w14:textId="77777777" w:rsidR="00F50FC7" w:rsidRPr="002C65CD" w:rsidRDefault="00F50FC7" w:rsidP="00E04A93">
      <w:pPr>
        <w:pStyle w:val="BTbEMEASMCA"/>
      </w:pPr>
    </w:p>
    <w:p w14:paraId="6E602D91" w14:textId="77777777" w:rsidR="00F50FC7" w:rsidRPr="002C65CD" w:rsidRDefault="00F50FC7" w:rsidP="00E04A93">
      <w:pPr>
        <w:pStyle w:val="BTbEMEASMCA"/>
      </w:pPr>
    </w:p>
    <w:p w14:paraId="7AC112AD" w14:textId="77777777" w:rsidR="00F50FC7" w:rsidRPr="002C65CD" w:rsidRDefault="00F50FC7" w:rsidP="00E04A93">
      <w:pPr>
        <w:pStyle w:val="BTbEMEASMCA"/>
      </w:pPr>
    </w:p>
    <w:p w14:paraId="5BF6728E" w14:textId="77777777" w:rsidR="00F50FC7" w:rsidRPr="002C65CD" w:rsidRDefault="00F50FC7" w:rsidP="00E04A93">
      <w:pPr>
        <w:pStyle w:val="BTbEMEASMCA"/>
      </w:pPr>
    </w:p>
    <w:p w14:paraId="1895873B" w14:textId="77777777" w:rsidR="00F50FC7" w:rsidRPr="002C65CD" w:rsidRDefault="00F50FC7" w:rsidP="00E04A93">
      <w:pPr>
        <w:pStyle w:val="BTbEMEASMCA"/>
      </w:pPr>
    </w:p>
    <w:p w14:paraId="3B71AD83" w14:textId="77777777" w:rsidR="00F50FC7" w:rsidRPr="002C65CD" w:rsidRDefault="00F50FC7" w:rsidP="00E04A93">
      <w:pPr>
        <w:pStyle w:val="BTbEMEASMCA"/>
      </w:pPr>
    </w:p>
    <w:p w14:paraId="131A5495" w14:textId="77777777" w:rsidR="00F50FC7" w:rsidRPr="002C65CD" w:rsidRDefault="00F50FC7" w:rsidP="00E04A93">
      <w:pPr>
        <w:pStyle w:val="BTbEMEASMCA"/>
      </w:pPr>
    </w:p>
    <w:p w14:paraId="742B915F" w14:textId="77777777" w:rsidR="00F50FC7" w:rsidRPr="002C65CD" w:rsidRDefault="00F50FC7" w:rsidP="00E04A93">
      <w:pPr>
        <w:pStyle w:val="BTbEMEASMCA"/>
      </w:pPr>
    </w:p>
    <w:p w14:paraId="4674E106" w14:textId="77777777" w:rsidR="00F50FC7" w:rsidRPr="002C65CD" w:rsidRDefault="00F50FC7" w:rsidP="00E04A93">
      <w:pPr>
        <w:pStyle w:val="BTbEMEASMCA"/>
      </w:pPr>
    </w:p>
    <w:p w14:paraId="0CE9723C" w14:textId="77777777" w:rsidR="00F50FC7" w:rsidRPr="002C65CD" w:rsidRDefault="00F50FC7" w:rsidP="00E04A93">
      <w:pPr>
        <w:pStyle w:val="BTbEMEASMCA"/>
      </w:pPr>
    </w:p>
    <w:p w14:paraId="72D00D1C" w14:textId="77777777" w:rsidR="00F50FC7" w:rsidRPr="002C65CD" w:rsidRDefault="00F50FC7" w:rsidP="00E04A93">
      <w:pPr>
        <w:pStyle w:val="BTbEMEASMCA"/>
      </w:pPr>
    </w:p>
    <w:p w14:paraId="55D97048" w14:textId="77777777" w:rsidR="00F50FC7" w:rsidRDefault="00F50FC7" w:rsidP="00F50FC7">
      <w:pPr>
        <w:keepNext/>
        <w:tabs>
          <w:tab w:val="left" w:pos="567"/>
        </w:tabs>
        <w:suppressAutoHyphens w:val="0"/>
        <w:autoSpaceDN/>
        <w:jc w:val="center"/>
        <w:textAlignment w:val="auto"/>
        <w:outlineLvl w:val="1"/>
        <w:rPr>
          <w:b/>
          <w:bCs/>
          <w:iCs/>
          <w:snapToGrid w:val="0"/>
          <w:szCs w:val="28"/>
          <w:lang w:eastAsia="x-none"/>
        </w:rPr>
      </w:pPr>
      <w:bookmarkStart w:id="0" w:name="_Toc129243097"/>
      <w:bookmarkStart w:id="1" w:name="_Toc129243222"/>
      <w:r w:rsidRPr="009D33C0">
        <w:rPr>
          <w:b/>
          <w:bCs/>
          <w:iCs/>
          <w:snapToGrid w:val="0"/>
          <w:szCs w:val="28"/>
          <w:lang w:eastAsia="x-none"/>
        </w:rPr>
        <w:t>I PRIEDAS</w:t>
      </w:r>
    </w:p>
    <w:p w14:paraId="6C9A7792" w14:textId="77777777" w:rsidR="00F50FC7" w:rsidRPr="009D33C0" w:rsidRDefault="00F50FC7" w:rsidP="00F50FC7">
      <w:pPr>
        <w:keepNext/>
        <w:tabs>
          <w:tab w:val="left" w:pos="567"/>
        </w:tabs>
        <w:suppressAutoHyphens w:val="0"/>
        <w:autoSpaceDN/>
        <w:jc w:val="center"/>
        <w:textAlignment w:val="auto"/>
        <w:outlineLvl w:val="1"/>
        <w:rPr>
          <w:b/>
          <w:snapToGrid w:val="0"/>
          <w:lang w:eastAsia="x-none"/>
        </w:rPr>
      </w:pPr>
    </w:p>
    <w:p w14:paraId="7CEA1D83" w14:textId="6949ED37" w:rsidR="00F50FC7" w:rsidRPr="002C65CD" w:rsidRDefault="00F50FC7" w:rsidP="00E04A93">
      <w:pPr>
        <w:pStyle w:val="BTbEMEASMCA"/>
      </w:pPr>
      <w:r w:rsidRPr="002C65CD">
        <w:t>PREPARATO CHARAKTERISTIKŲ SANTRAUKA</w:t>
      </w:r>
      <w:bookmarkEnd w:id="0"/>
      <w:bookmarkEnd w:id="1"/>
    </w:p>
    <w:p w14:paraId="3C7B25FF" w14:textId="5AF934D9" w:rsidR="00F50FC7" w:rsidRDefault="00F50FC7" w:rsidP="00F50FC7">
      <w:pPr>
        <w:pStyle w:val="PI-1EMEASMCA"/>
        <w:pageBreakBefore/>
      </w:pPr>
      <w:bookmarkStart w:id="2" w:name="_Toc129243098"/>
      <w:bookmarkStart w:id="3" w:name="_Toc129243223"/>
      <w:r>
        <w:lastRenderedPageBreak/>
        <w:t>1.</w:t>
      </w:r>
      <w:r>
        <w:tab/>
        <w:t>VAISTINIO PREPARATO PAVADINIMAS</w:t>
      </w:r>
      <w:bookmarkEnd w:id="2"/>
      <w:bookmarkEnd w:id="3"/>
    </w:p>
    <w:p w14:paraId="5B6D87C5" w14:textId="77777777" w:rsidR="00F50FC7" w:rsidRPr="002C65CD" w:rsidRDefault="00F50FC7" w:rsidP="00F50FC7">
      <w:pPr>
        <w:tabs>
          <w:tab w:val="left" w:pos="567"/>
        </w:tabs>
        <w:jc w:val="both"/>
      </w:pPr>
    </w:p>
    <w:p w14:paraId="13FE6C22" w14:textId="77777777" w:rsidR="00F50FC7" w:rsidRDefault="00F50FC7" w:rsidP="00F50FC7">
      <w:pPr>
        <w:tabs>
          <w:tab w:val="left" w:pos="567"/>
        </w:tabs>
        <w:jc w:val="both"/>
      </w:pPr>
      <w:proofErr w:type="spellStart"/>
      <w:r>
        <w:rPr>
          <w:szCs w:val="22"/>
        </w:rPr>
        <w:t>Boostrix</w:t>
      </w:r>
      <w:proofErr w:type="spellEnd"/>
      <w:r>
        <w:rPr>
          <w:szCs w:val="22"/>
        </w:rPr>
        <w:t xml:space="preserve"> injekcinė suspensija užpildytame švirkšte</w:t>
      </w:r>
    </w:p>
    <w:p w14:paraId="2287067B" w14:textId="77777777" w:rsidR="00F50FC7" w:rsidRDefault="00F50FC7" w:rsidP="00F50FC7">
      <w:pPr>
        <w:tabs>
          <w:tab w:val="left" w:pos="567"/>
        </w:tabs>
      </w:pPr>
      <w:r>
        <w:rPr>
          <w:szCs w:val="22"/>
        </w:rPr>
        <w:t xml:space="preserve">Vakcina nuo difterijos, stabligės ir kokliušo (neląstelinė, </w:t>
      </w:r>
      <w:proofErr w:type="spellStart"/>
      <w:r>
        <w:rPr>
          <w:szCs w:val="22"/>
        </w:rPr>
        <w:t>komponentinė</w:t>
      </w:r>
      <w:proofErr w:type="spellEnd"/>
      <w:r>
        <w:rPr>
          <w:szCs w:val="22"/>
        </w:rPr>
        <w:t>), (</w:t>
      </w:r>
      <w:proofErr w:type="spellStart"/>
      <w:r>
        <w:rPr>
          <w:szCs w:val="22"/>
        </w:rPr>
        <w:t>adsorbuota</w:t>
      </w:r>
      <w:proofErr w:type="spellEnd"/>
      <w:r>
        <w:rPr>
          <w:szCs w:val="22"/>
        </w:rPr>
        <w:t>, su mažesniu antigeno (-ų) kiekiu)</w:t>
      </w:r>
    </w:p>
    <w:p w14:paraId="31106404" w14:textId="77777777" w:rsidR="00F50FC7" w:rsidRPr="002C65CD" w:rsidRDefault="00F50FC7" w:rsidP="00F50FC7">
      <w:pPr>
        <w:tabs>
          <w:tab w:val="left" w:pos="567"/>
        </w:tabs>
        <w:jc w:val="both"/>
      </w:pPr>
    </w:p>
    <w:p w14:paraId="5CD9C44B" w14:textId="77777777" w:rsidR="00F50FC7" w:rsidRPr="002C65CD" w:rsidRDefault="00F50FC7" w:rsidP="00F50FC7">
      <w:pPr>
        <w:tabs>
          <w:tab w:val="left" w:pos="567"/>
        </w:tabs>
        <w:jc w:val="both"/>
      </w:pPr>
    </w:p>
    <w:p w14:paraId="294C5F18" w14:textId="256D49F1" w:rsidR="00F50FC7" w:rsidRDefault="00F50FC7" w:rsidP="00F50FC7">
      <w:pPr>
        <w:pStyle w:val="PI-1EMEASMCA"/>
      </w:pPr>
      <w:bookmarkStart w:id="4" w:name="_Toc129243099"/>
      <w:bookmarkStart w:id="5" w:name="_Toc129243224"/>
      <w:r>
        <w:t>2.</w:t>
      </w:r>
      <w:r>
        <w:tab/>
        <w:t>KOKYBINĖ IR KIEKYBINĖ SUDĖTIS</w:t>
      </w:r>
      <w:bookmarkEnd w:id="4"/>
      <w:bookmarkEnd w:id="5"/>
    </w:p>
    <w:p w14:paraId="71E8DA22" w14:textId="77777777" w:rsidR="00F50FC7" w:rsidRPr="002C65CD" w:rsidRDefault="00F50FC7" w:rsidP="000B6C00">
      <w:pPr>
        <w:pStyle w:val="BTEMEASMCA"/>
      </w:pPr>
    </w:p>
    <w:p w14:paraId="0D052FF5" w14:textId="77777777" w:rsidR="00F50FC7" w:rsidRDefault="00F50FC7" w:rsidP="00F50FC7">
      <w:pPr>
        <w:tabs>
          <w:tab w:val="left" w:pos="567"/>
        </w:tabs>
        <w:ind w:right="-1"/>
        <w:rPr>
          <w:szCs w:val="22"/>
        </w:rPr>
      </w:pPr>
      <w:r>
        <w:rPr>
          <w:szCs w:val="22"/>
        </w:rPr>
        <w:t>Kiekvienoje (0,5 ml) dozėje yra:</w:t>
      </w:r>
    </w:p>
    <w:p w14:paraId="1B0D892C" w14:textId="77777777" w:rsidR="00F50FC7" w:rsidRDefault="00F50FC7" w:rsidP="00F50FC7">
      <w:pPr>
        <w:tabs>
          <w:tab w:val="left" w:pos="567"/>
        </w:tabs>
        <w:ind w:right="-1"/>
        <w:rPr>
          <w:szCs w:val="22"/>
        </w:rPr>
      </w:pPr>
    </w:p>
    <w:p w14:paraId="7154152E" w14:textId="77777777" w:rsidR="00F50FC7" w:rsidRDefault="00F50FC7" w:rsidP="00F50FC7">
      <w:pPr>
        <w:tabs>
          <w:tab w:val="left" w:pos="567"/>
          <w:tab w:val="right" w:pos="7938"/>
        </w:tabs>
      </w:pPr>
      <w:r>
        <w:rPr>
          <w:szCs w:val="22"/>
        </w:rPr>
        <w:t xml:space="preserve">Difterijos </w:t>
      </w:r>
      <w:proofErr w:type="spellStart"/>
      <w:r>
        <w:rPr>
          <w:szCs w:val="22"/>
        </w:rPr>
        <w:t>anatoksin</w:t>
      </w:r>
      <w:bookmarkStart w:id="6" w:name="_Hlk26005487"/>
      <w:r>
        <w:rPr>
          <w:szCs w:val="22"/>
        </w:rPr>
        <w:t>o</w:t>
      </w:r>
      <w:proofErr w:type="spellEnd"/>
      <w:r>
        <w:rPr>
          <w:szCs w:val="22"/>
        </w:rPr>
        <w:t xml:space="preserve"> </w:t>
      </w:r>
      <w:r>
        <w:rPr>
          <w:szCs w:val="22"/>
          <w:vertAlign w:val="superscript"/>
        </w:rPr>
        <w:t>1</w:t>
      </w:r>
      <w:bookmarkEnd w:id="6"/>
      <w:r>
        <w:rPr>
          <w:szCs w:val="22"/>
        </w:rPr>
        <w:tab/>
        <w:t>ne mažiau kaip 2 </w:t>
      </w:r>
      <w:bookmarkStart w:id="7" w:name="_Hlk26005434"/>
      <w:r>
        <w:rPr>
          <w:szCs w:val="22"/>
        </w:rPr>
        <w:t xml:space="preserve">tarptautiniai vienetai </w:t>
      </w:r>
      <w:bookmarkEnd w:id="7"/>
      <w:r>
        <w:rPr>
          <w:szCs w:val="22"/>
        </w:rPr>
        <w:t>(TV) (2,5 </w:t>
      </w:r>
      <w:proofErr w:type="spellStart"/>
      <w:r>
        <w:rPr>
          <w:szCs w:val="22"/>
        </w:rPr>
        <w:t>Lf</w:t>
      </w:r>
      <w:proofErr w:type="spellEnd"/>
      <w:r>
        <w:rPr>
          <w:szCs w:val="22"/>
        </w:rPr>
        <w:t>)</w:t>
      </w:r>
    </w:p>
    <w:p w14:paraId="41BD6864" w14:textId="77777777" w:rsidR="00F50FC7" w:rsidRDefault="00F50FC7" w:rsidP="00F50FC7">
      <w:pPr>
        <w:tabs>
          <w:tab w:val="left" w:pos="567"/>
          <w:tab w:val="right" w:pos="7938"/>
        </w:tabs>
      </w:pPr>
      <w:r>
        <w:rPr>
          <w:szCs w:val="22"/>
        </w:rPr>
        <w:t xml:space="preserve">Stabligės </w:t>
      </w:r>
      <w:proofErr w:type="spellStart"/>
      <w:r>
        <w:rPr>
          <w:szCs w:val="22"/>
        </w:rPr>
        <w:t>anatoksino</w:t>
      </w:r>
      <w:proofErr w:type="spellEnd"/>
      <w:r>
        <w:rPr>
          <w:szCs w:val="22"/>
        </w:rPr>
        <w:t xml:space="preserve"> </w:t>
      </w:r>
      <w:r>
        <w:rPr>
          <w:szCs w:val="22"/>
          <w:vertAlign w:val="superscript"/>
        </w:rPr>
        <w:t>1</w:t>
      </w:r>
      <w:r>
        <w:rPr>
          <w:szCs w:val="22"/>
        </w:rPr>
        <w:tab/>
        <w:t>ne mažiau kaip 20 tarptautinių vienetų (TV) (5 </w:t>
      </w:r>
      <w:proofErr w:type="spellStart"/>
      <w:r>
        <w:rPr>
          <w:szCs w:val="22"/>
        </w:rPr>
        <w:t>Lf</w:t>
      </w:r>
      <w:proofErr w:type="spellEnd"/>
      <w:r>
        <w:rPr>
          <w:szCs w:val="22"/>
        </w:rPr>
        <w:t>)</w:t>
      </w:r>
    </w:p>
    <w:p w14:paraId="1A5AA6B6" w14:textId="77777777" w:rsidR="00F50FC7" w:rsidRDefault="00F50FC7" w:rsidP="00F50FC7">
      <w:pPr>
        <w:tabs>
          <w:tab w:val="left" w:pos="567"/>
        </w:tabs>
      </w:pPr>
      <w:proofErr w:type="spellStart"/>
      <w:r>
        <w:rPr>
          <w:i/>
          <w:iCs/>
          <w:szCs w:val="22"/>
        </w:rPr>
        <w:t>Bordetella</w:t>
      </w:r>
      <w:proofErr w:type="spellEnd"/>
      <w:r>
        <w:rPr>
          <w:i/>
          <w:iCs/>
          <w:szCs w:val="22"/>
        </w:rPr>
        <w:t xml:space="preserve"> </w:t>
      </w:r>
      <w:proofErr w:type="spellStart"/>
      <w:r>
        <w:rPr>
          <w:i/>
          <w:iCs/>
          <w:szCs w:val="22"/>
        </w:rPr>
        <w:t>pertussis</w:t>
      </w:r>
      <w:proofErr w:type="spellEnd"/>
      <w:r>
        <w:rPr>
          <w:szCs w:val="22"/>
        </w:rPr>
        <w:t xml:space="preserve"> antigenų</w:t>
      </w:r>
    </w:p>
    <w:p w14:paraId="22BA5A8D" w14:textId="77777777" w:rsidR="00F50FC7" w:rsidRDefault="00F50FC7" w:rsidP="00F50FC7">
      <w:pPr>
        <w:tabs>
          <w:tab w:val="left" w:pos="567"/>
          <w:tab w:val="right" w:pos="7938"/>
        </w:tabs>
      </w:pPr>
      <w:r>
        <w:rPr>
          <w:szCs w:val="22"/>
        </w:rPr>
        <w:t xml:space="preserve">     Kokliušo </w:t>
      </w:r>
      <w:proofErr w:type="spellStart"/>
      <w:r>
        <w:rPr>
          <w:szCs w:val="22"/>
        </w:rPr>
        <w:t>anatoksino</w:t>
      </w:r>
      <w:proofErr w:type="spellEnd"/>
      <w:r>
        <w:rPr>
          <w:szCs w:val="22"/>
        </w:rPr>
        <w:t xml:space="preserve"> </w:t>
      </w:r>
      <w:r>
        <w:rPr>
          <w:szCs w:val="22"/>
          <w:vertAlign w:val="superscript"/>
        </w:rPr>
        <w:t>1</w:t>
      </w:r>
      <w:r>
        <w:rPr>
          <w:szCs w:val="22"/>
        </w:rPr>
        <w:tab/>
        <w:t>8 </w:t>
      </w:r>
      <w:proofErr w:type="spellStart"/>
      <w:r>
        <w:rPr>
          <w:szCs w:val="22"/>
        </w:rPr>
        <w:t>mikrogramai</w:t>
      </w:r>
      <w:proofErr w:type="spellEnd"/>
    </w:p>
    <w:p w14:paraId="6230A32B" w14:textId="77777777" w:rsidR="00F50FC7" w:rsidRDefault="00F50FC7" w:rsidP="00F50FC7">
      <w:pPr>
        <w:tabs>
          <w:tab w:val="left" w:pos="567"/>
          <w:tab w:val="right" w:pos="7938"/>
        </w:tabs>
      </w:pPr>
      <w:r>
        <w:rPr>
          <w:szCs w:val="22"/>
        </w:rPr>
        <w:t xml:space="preserve">     </w:t>
      </w:r>
      <w:proofErr w:type="spellStart"/>
      <w:r>
        <w:rPr>
          <w:szCs w:val="22"/>
        </w:rPr>
        <w:t>Filamentinio</w:t>
      </w:r>
      <w:proofErr w:type="spellEnd"/>
      <w:r>
        <w:rPr>
          <w:szCs w:val="22"/>
        </w:rPr>
        <w:t xml:space="preserve"> </w:t>
      </w:r>
      <w:proofErr w:type="spellStart"/>
      <w:r>
        <w:rPr>
          <w:szCs w:val="22"/>
        </w:rPr>
        <w:t>hemagliutinino</w:t>
      </w:r>
      <w:proofErr w:type="spellEnd"/>
      <w:r>
        <w:rPr>
          <w:szCs w:val="22"/>
        </w:rPr>
        <w:t xml:space="preserve"> </w:t>
      </w:r>
      <w:r>
        <w:rPr>
          <w:szCs w:val="22"/>
          <w:vertAlign w:val="superscript"/>
        </w:rPr>
        <w:t>1</w:t>
      </w:r>
      <w:r>
        <w:rPr>
          <w:szCs w:val="22"/>
          <w:vertAlign w:val="superscript"/>
        </w:rPr>
        <w:tab/>
      </w:r>
      <w:r>
        <w:rPr>
          <w:szCs w:val="22"/>
        </w:rPr>
        <w:t>8 </w:t>
      </w:r>
      <w:proofErr w:type="spellStart"/>
      <w:r>
        <w:rPr>
          <w:szCs w:val="22"/>
        </w:rPr>
        <w:t>mikrogramai</w:t>
      </w:r>
      <w:proofErr w:type="spellEnd"/>
    </w:p>
    <w:p w14:paraId="7EF0A18D" w14:textId="77777777" w:rsidR="00F50FC7" w:rsidRDefault="00F50FC7" w:rsidP="00F50FC7">
      <w:pPr>
        <w:tabs>
          <w:tab w:val="left" w:pos="567"/>
          <w:tab w:val="right" w:pos="7938"/>
        </w:tabs>
      </w:pPr>
      <w:r>
        <w:rPr>
          <w:szCs w:val="22"/>
        </w:rPr>
        <w:t xml:space="preserve">     </w:t>
      </w:r>
      <w:proofErr w:type="spellStart"/>
      <w:r>
        <w:rPr>
          <w:szCs w:val="22"/>
        </w:rPr>
        <w:t>Pertaktino</w:t>
      </w:r>
      <w:proofErr w:type="spellEnd"/>
      <w:r>
        <w:rPr>
          <w:szCs w:val="22"/>
        </w:rPr>
        <w:t xml:space="preserve"> </w:t>
      </w:r>
      <w:r>
        <w:rPr>
          <w:szCs w:val="22"/>
          <w:vertAlign w:val="superscript"/>
        </w:rPr>
        <w:t>1</w:t>
      </w:r>
      <w:r>
        <w:rPr>
          <w:szCs w:val="22"/>
          <w:vertAlign w:val="superscript"/>
        </w:rPr>
        <w:tab/>
      </w:r>
      <w:r>
        <w:rPr>
          <w:szCs w:val="22"/>
        </w:rPr>
        <w:t>2,5 </w:t>
      </w:r>
      <w:proofErr w:type="spellStart"/>
      <w:r>
        <w:rPr>
          <w:szCs w:val="22"/>
        </w:rPr>
        <w:t>mikrogramo</w:t>
      </w:r>
      <w:proofErr w:type="spellEnd"/>
    </w:p>
    <w:p w14:paraId="7072A4DE" w14:textId="77777777" w:rsidR="00F50FC7" w:rsidRDefault="00F50FC7" w:rsidP="00F50FC7">
      <w:pPr>
        <w:tabs>
          <w:tab w:val="left" w:pos="567"/>
        </w:tabs>
        <w:rPr>
          <w:szCs w:val="22"/>
        </w:rPr>
      </w:pPr>
    </w:p>
    <w:p w14:paraId="792BC238" w14:textId="52B67AF4" w:rsidR="00F50FC7" w:rsidRDefault="00F50FC7" w:rsidP="00F50FC7">
      <w:pPr>
        <w:tabs>
          <w:tab w:val="left" w:pos="567"/>
          <w:tab w:val="right" w:pos="7938"/>
        </w:tabs>
        <w:ind w:left="426" w:right="140" w:hanging="426"/>
      </w:pPr>
      <w:r>
        <w:rPr>
          <w:szCs w:val="22"/>
          <w:vertAlign w:val="superscript"/>
        </w:rPr>
        <w:t>1</w:t>
      </w:r>
      <w:r w:rsidR="00AB3E20">
        <w:rPr>
          <w:szCs w:val="22"/>
          <w:vertAlign w:val="superscript"/>
        </w:rPr>
        <w:t> </w:t>
      </w:r>
      <w:proofErr w:type="spellStart"/>
      <w:r>
        <w:rPr>
          <w:szCs w:val="22"/>
        </w:rPr>
        <w:t>Adsorbuota</w:t>
      </w:r>
      <w:proofErr w:type="spellEnd"/>
      <w:r>
        <w:rPr>
          <w:szCs w:val="22"/>
        </w:rPr>
        <w:t xml:space="preserve"> ant hidratuoto aliuminio hidroksido </w:t>
      </w:r>
      <w:bookmarkStart w:id="8" w:name="_Hlk26005593"/>
      <w:r>
        <w:rPr>
          <w:szCs w:val="22"/>
        </w:rPr>
        <w:t>(Al(OH)</w:t>
      </w:r>
      <w:r>
        <w:rPr>
          <w:szCs w:val="22"/>
          <w:vertAlign w:val="subscript"/>
        </w:rPr>
        <w:t>3</w:t>
      </w:r>
      <w:r>
        <w:rPr>
          <w:szCs w:val="22"/>
        </w:rPr>
        <w:t>)</w:t>
      </w:r>
      <w:bookmarkEnd w:id="8"/>
      <w:r>
        <w:rPr>
          <w:szCs w:val="22"/>
        </w:rPr>
        <w:tab/>
        <w:t>0,3 miligramo Al</w:t>
      </w:r>
      <w:r>
        <w:rPr>
          <w:szCs w:val="22"/>
          <w:vertAlign w:val="superscript"/>
        </w:rPr>
        <w:t>3+</w:t>
      </w:r>
    </w:p>
    <w:p w14:paraId="1EC6DC00" w14:textId="77777777" w:rsidR="00F50FC7" w:rsidRDefault="00F50FC7" w:rsidP="00F50FC7">
      <w:pPr>
        <w:tabs>
          <w:tab w:val="left" w:pos="567"/>
          <w:tab w:val="right" w:pos="7938"/>
        </w:tabs>
        <w:ind w:left="426" w:right="140" w:hanging="426"/>
      </w:pPr>
      <w:r>
        <w:rPr>
          <w:szCs w:val="22"/>
        </w:rPr>
        <w:t>ir aliuminio fosfato (AlPO</w:t>
      </w:r>
      <w:r>
        <w:rPr>
          <w:szCs w:val="22"/>
          <w:vertAlign w:val="subscript"/>
        </w:rPr>
        <w:t>4</w:t>
      </w:r>
      <w:r>
        <w:rPr>
          <w:szCs w:val="22"/>
        </w:rPr>
        <w:t>)</w:t>
      </w:r>
      <w:r>
        <w:rPr>
          <w:szCs w:val="22"/>
        </w:rPr>
        <w:tab/>
        <w:t>0,2 miligramo Al</w:t>
      </w:r>
      <w:r>
        <w:rPr>
          <w:szCs w:val="22"/>
          <w:vertAlign w:val="superscript"/>
        </w:rPr>
        <w:t>3+</w:t>
      </w:r>
    </w:p>
    <w:p w14:paraId="4DF2B701" w14:textId="77777777" w:rsidR="00F50FC7" w:rsidRPr="002C65CD" w:rsidRDefault="00F50FC7" w:rsidP="000B6C00">
      <w:pPr>
        <w:pStyle w:val="BTEMEASMCA"/>
      </w:pPr>
    </w:p>
    <w:p w14:paraId="70ACAE4A" w14:textId="77777777" w:rsidR="00916273" w:rsidDel="008726B7" w:rsidRDefault="00916273" w:rsidP="00916273">
      <w:pPr>
        <w:rPr>
          <w:szCs w:val="22"/>
        </w:rPr>
      </w:pPr>
      <w:r w:rsidRPr="00DA4141" w:rsidDel="008726B7">
        <w:rPr>
          <w:szCs w:val="22"/>
        </w:rPr>
        <w:t xml:space="preserve">Vakcinos sudėtyje gali būti </w:t>
      </w:r>
      <w:proofErr w:type="spellStart"/>
      <w:r w:rsidRPr="00DA4141" w:rsidDel="008726B7">
        <w:rPr>
          <w:szCs w:val="22"/>
        </w:rPr>
        <w:t>formaldehido</w:t>
      </w:r>
      <w:proofErr w:type="spellEnd"/>
      <w:r w:rsidRPr="00DA4141" w:rsidDel="008726B7">
        <w:rPr>
          <w:szCs w:val="22"/>
        </w:rPr>
        <w:t>, kuri</w:t>
      </w:r>
      <w:r w:rsidDel="008726B7">
        <w:rPr>
          <w:szCs w:val="22"/>
        </w:rPr>
        <w:t>s</w:t>
      </w:r>
      <w:r w:rsidRPr="00DA4141" w:rsidDel="008726B7">
        <w:rPr>
          <w:szCs w:val="22"/>
        </w:rPr>
        <w:t xml:space="preserve"> naudojam</w:t>
      </w:r>
      <w:r w:rsidDel="008726B7">
        <w:rPr>
          <w:szCs w:val="22"/>
        </w:rPr>
        <w:t>as</w:t>
      </w:r>
      <w:r w:rsidRPr="00DA4141" w:rsidDel="008726B7">
        <w:rPr>
          <w:szCs w:val="22"/>
        </w:rPr>
        <w:t xml:space="preserve"> gamybos proceso metu, likučių (žr.</w:t>
      </w:r>
      <w:r w:rsidDel="008726B7">
        <w:rPr>
          <w:szCs w:val="22"/>
        </w:rPr>
        <w:t> </w:t>
      </w:r>
      <w:r w:rsidRPr="00DA4141" w:rsidDel="008726B7">
        <w:rPr>
          <w:szCs w:val="22"/>
        </w:rPr>
        <w:t>4.3</w:t>
      </w:r>
      <w:r w:rsidDel="008726B7">
        <w:rPr>
          <w:szCs w:val="22"/>
        </w:rPr>
        <w:t> </w:t>
      </w:r>
      <w:r w:rsidRPr="00DA4141" w:rsidDel="008726B7">
        <w:rPr>
          <w:szCs w:val="22"/>
        </w:rPr>
        <w:t>skyrių).</w:t>
      </w:r>
    </w:p>
    <w:p w14:paraId="76D79198" w14:textId="77777777" w:rsidR="008726B7" w:rsidRDefault="008726B7" w:rsidP="000B6C00">
      <w:pPr>
        <w:pStyle w:val="BTEMEASMCA"/>
      </w:pPr>
    </w:p>
    <w:p w14:paraId="16C6E13B" w14:textId="039059E2" w:rsidR="00FA7B8D" w:rsidRPr="002C65CD" w:rsidRDefault="00F50FC7" w:rsidP="00512C55">
      <w:r w:rsidRPr="002C65CD">
        <w:t>Visos pagalbinės medžiagos išvardytos 6.1</w:t>
      </w:r>
      <w:r w:rsidR="00A672AC">
        <w:t> </w:t>
      </w:r>
      <w:r w:rsidRPr="002C65CD">
        <w:t>skyriuje.</w:t>
      </w:r>
    </w:p>
    <w:p w14:paraId="4974B755" w14:textId="77777777" w:rsidR="00F50FC7" w:rsidRPr="002C65CD" w:rsidRDefault="00F50FC7" w:rsidP="000B6C00">
      <w:pPr>
        <w:pStyle w:val="BTEMEASMCA"/>
      </w:pPr>
    </w:p>
    <w:p w14:paraId="1DAA08BB" w14:textId="77777777" w:rsidR="00F50FC7" w:rsidRPr="002C65CD" w:rsidRDefault="00F50FC7" w:rsidP="000B6C00">
      <w:pPr>
        <w:pStyle w:val="BTEMEASMCA"/>
      </w:pPr>
    </w:p>
    <w:p w14:paraId="1F1DA109" w14:textId="6CBA659C" w:rsidR="00F50FC7" w:rsidRDefault="00F50FC7" w:rsidP="00F50FC7">
      <w:pPr>
        <w:pStyle w:val="PI-1EMEASMCA"/>
      </w:pPr>
      <w:bookmarkStart w:id="9" w:name="_Toc129243100"/>
      <w:bookmarkStart w:id="10" w:name="_Toc129243225"/>
      <w:r>
        <w:t>3.</w:t>
      </w:r>
      <w:r>
        <w:tab/>
        <w:t>FARMACINĖ FORMA</w:t>
      </w:r>
      <w:bookmarkEnd w:id="9"/>
      <w:bookmarkEnd w:id="10"/>
    </w:p>
    <w:p w14:paraId="4EB7AB76" w14:textId="77777777" w:rsidR="00F50FC7" w:rsidRPr="002C65CD" w:rsidRDefault="00F50FC7" w:rsidP="000B6C00">
      <w:pPr>
        <w:pStyle w:val="BTEMEASMCA"/>
      </w:pPr>
    </w:p>
    <w:p w14:paraId="7739BBDC" w14:textId="77777777" w:rsidR="00F50FC7" w:rsidRDefault="00F50FC7" w:rsidP="00F50FC7">
      <w:pPr>
        <w:tabs>
          <w:tab w:val="left" w:pos="567"/>
        </w:tabs>
      </w:pPr>
      <w:r>
        <w:rPr>
          <w:szCs w:val="22"/>
        </w:rPr>
        <w:t>Injekcinė suspensija užpildytame švirkšte.</w:t>
      </w:r>
    </w:p>
    <w:p w14:paraId="7CE8D9A2" w14:textId="77777777" w:rsidR="00F50FC7" w:rsidRDefault="00F50FC7" w:rsidP="00F50FC7">
      <w:pPr>
        <w:tabs>
          <w:tab w:val="left" w:pos="567"/>
        </w:tabs>
        <w:rPr>
          <w:szCs w:val="22"/>
        </w:rPr>
      </w:pPr>
    </w:p>
    <w:p w14:paraId="0BF21FA7" w14:textId="77777777" w:rsidR="00F50FC7" w:rsidRPr="002C65CD" w:rsidRDefault="00F50FC7" w:rsidP="00F50FC7">
      <w:pPr>
        <w:tabs>
          <w:tab w:val="left" w:pos="567"/>
        </w:tabs>
      </w:pPr>
      <w:proofErr w:type="spellStart"/>
      <w:r>
        <w:rPr>
          <w:szCs w:val="22"/>
        </w:rPr>
        <w:t>Boostrix</w:t>
      </w:r>
      <w:proofErr w:type="spellEnd"/>
      <w:r w:rsidRPr="002C65CD">
        <w:t xml:space="preserve"> yra balta drumsta suspensija.</w:t>
      </w:r>
    </w:p>
    <w:p w14:paraId="62B510A0" w14:textId="77777777" w:rsidR="00F50FC7" w:rsidRPr="002C65CD" w:rsidRDefault="00F50FC7" w:rsidP="000B6C00">
      <w:pPr>
        <w:pStyle w:val="BTEMEASMCA"/>
      </w:pPr>
    </w:p>
    <w:p w14:paraId="574BA47D" w14:textId="77777777" w:rsidR="00F50FC7" w:rsidRPr="002C65CD" w:rsidRDefault="00F50FC7" w:rsidP="000B6C00">
      <w:pPr>
        <w:pStyle w:val="BTEMEASMCA"/>
      </w:pPr>
    </w:p>
    <w:p w14:paraId="0BF22B80" w14:textId="45D90151" w:rsidR="00F50FC7" w:rsidRDefault="00F50FC7" w:rsidP="00F50FC7">
      <w:pPr>
        <w:pStyle w:val="PI-1EMEASMCA"/>
      </w:pPr>
      <w:bookmarkStart w:id="11" w:name="_Toc129243101"/>
      <w:bookmarkStart w:id="12" w:name="_Toc129243226"/>
      <w:r>
        <w:t>4.</w:t>
      </w:r>
      <w:r>
        <w:tab/>
        <w:t>KLINIKINĖ INFORMACIJA</w:t>
      </w:r>
      <w:bookmarkEnd w:id="11"/>
      <w:bookmarkEnd w:id="12"/>
    </w:p>
    <w:p w14:paraId="647B8A0A" w14:textId="77777777" w:rsidR="00F50FC7" w:rsidRPr="002C65CD" w:rsidRDefault="00F50FC7" w:rsidP="000B6C00">
      <w:pPr>
        <w:pStyle w:val="BTEMEASMCA"/>
      </w:pPr>
    </w:p>
    <w:p w14:paraId="726B98D7" w14:textId="31144CC7" w:rsidR="00F50FC7" w:rsidRDefault="00F50FC7" w:rsidP="00F50FC7">
      <w:pPr>
        <w:pStyle w:val="PI-2EMEASMCA"/>
      </w:pPr>
      <w:bookmarkStart w:id="13" w:name="_Toc129243102"/>
      <w:bookmarkStart w:id="14" w:name="_Toc129243227"/>
      <w:r>
        <w:t>4.1</w:t>
      </w:r>
      <w:r>
        <w:tab/>
        <w:t>Terapinės indikacijos</w:t>
      </w:r>
      <w:bookmarkEnd w:id="13"/>
      <w:bookmarkEnd w:id="14"/>
    </w:p>
    <w:p w14:paraId="24D36FEF" w14:textId="77777777" w:rsidR="00F50FC7" w:rsidRDefault="00F50FC7" w:rsidP="00F50FC7">
      <w:pPr>
        <w:tabs>
          <w:tab w:val="left" w:pos="567"/>
        </w:tabs>
        <w:rPr>
          <w:szCs w:val="22"/>
        </w:rPr>
      </w:pPr>
    </w:p>
    <w:p w14:paraId="5E79F92A" w14:textId="02B0661B" w:rsidR="00F50FC7" w:rsidRDefault="00F50FC7" w:rsidP="00F50FC7">
      <w:pPr>
        <w:tabs>
          <w:tab w:val="left" w:pos="567"/>
        </w:tabs>
        <w:rPr>
          <w:szCs w:val="22"/>
        </w:rPr>
      </w:pPr>
      <w:proofErr w:type="spellStart"/>
      <w:r>
        <w:rPr>
          <w:szCs w:val="22"/>
        </w:rPr>
        <w:t>Boostrix</w:t>
      </w:r>
      <w:proofErr w:type="spellEnd"/>
      <w:r>
        <w:rPr>
          <w:szCs w:val="22"/>
        </w:rPr>
        <w:t xml:space="preserve"> skirta </w:t>
      </w:r>
      <w:proofErr w:type="spellStart"/>
      <w:r>
        <w:rPr>
          <w:szCs w:val="22"/>
        </w:rPr>
        <w:t>revakcinacijai</w:t>
      </w:r>
      <w:proofErr w:type="spellEnd"/>
      <w:r>
        <w:rPr>
          <w:szCs w:val="22"/>
        </w:rPr>
        <w:t xml:space="preserve"> nuo difterijos, stabligės ir kokliušo vyresniems kaip ketverių metų asmenims (žr.</w:t>
      </w:r>
      <w:r w:rsidR="00A672AC">
        <w:rPr>
          <w:szCs w:val="22"/>
        </w:rPr>
        <w:t> </w:t>
      </w:r>
      <w:r>
        <w:rPr>
          <w:szCs w:val="22"/>
        </w:rPr>
        <w:t>4.2 skyrių).</w:t>
      </w:r>
    </w:p>
    <w:p w14:paraId="0858BC31" w14:textId="77777777" w:rsidR="00F50FC7" w:rsidRDefault="00F50FC7" w:rsidP="00F50FC7">
      <w:pPr>
        <w:tabs>
          <w:tab w:val="left" w:pos="567"/>
        </w:tabs>
        <w:rPr>
          <w:szCs w:val="22"/>
        </w:rPr>
      </w:pPr>
    </w:p>
    <w:p w14:paraId="4F3867E9" w14:textId="4449CFAF" w:rsidR="00F50FC7" w:rsidRDefault="00F50FC7" w:rsidP="00F50FC7">
      <w:pPr>
        <w:tabs>
          <w:tab w:val="left" w:pos="567"/>
        </w:tabs>
      </w:pPr>
      <w:bookmarkStart w:id="15" w:name="_Hlk55025838"/>
      <w:bookmarkStart w:id="16" w:name="_Hlk54979646"/>
      <w:proofErr w:type="spellStart"/>
      <w:r>
        <w:rPr>
          <w:szCs w:val="22"/>
        </w:rPr>
        <w:t>Boostrix</w:t>
      </w:r>
      <w:proofErr w:type="spellEnd"/>
      <w:r>
        <w:rPr>
          <w:szCs w:val="22"/>
        </w:rPr>
        <w:t xml:space="preserve"> taip pat skiriama pasyviai apsaugai nuo kokliušo </w:t>
      </w:r>
      <w:r w:rsidRPr="009F3A5E">
        <w:t>ankstyvoje kūdikystėje po motinos imunizacijos nėštumo metu</w:t>
      </w:r>
      <w:r>
        <w:rPr>
          <w:szCs w:val="22"/>
        </w:rPr>
        <w:t xml:space="preserve"> (žr.</w:t>
      </w:r>
      <w:r w:rsidR="00A672AC">
        <w:rPr>
          <w:szCs w:val="22"/>
        </w:rPr>
        <w:t> </w:t>
      </w:r>
      <w:r>
        <w:rPr>
          <w:szCs w:val="22"/>
        </w:rPr>
        <w:t>4.2, 4.6 ir 5.1 skyrius).</w:t>
      </w:r>
    </w:p>
    <w:bookmarkEnd w:id="15"/>
    <w:p w14:paraId="41F733C1" w14:textId="77777777" w:rsidR="00F50FC7" w:rsidRDefault="00F50FC7" w:rsidP="00F50FC7">
      <w:pPr>
        <w:tabs>
          <w:tab w:val="left" w:pos="567"/>
        </w:tabs>
        <w:rPr>
          <w:szCs w:val="22"/>
        </w:rPr>
      </w:pPr>
    </w:p>
    <w:bookmarkEnd w:id="16"/>
    <w:p w14:paraId="43895259" w14:textId="77777777" w:rsidR="00F50FC7" w:rsidRDefault="00F50FC7" w:rsidP="00F50FC7">
      <w:pPr>
        <w:tabs>
          <w:tab w:val="left" w:pos="567"/>
        </w:tabs>
        <w:jc w:val="both"/>
        <w:rPr>
          <w:szCs w:val="22"/>
        </w:rPr>
      </w:pPr>
      <w:proofErr w:type="spellStart"/>
      <w:r>
        <w:rPr>
          <w:szCs w:val="22"/>
        </w:rPr>
        <w:t>Boostrix</w:t>
      </w:r>
      <w:proofErr w:type="spellEnd"/>
      <w:r>
        <w:rPr>
          <w:szCs w:val="22"/>
        </w:rPr>
        <w:t xml:space="preserve"> reikia vartoti laikantis oficialių rekomendacijų.</w:t>
      </w:r>
    </w:p>
    <w:p w14:paraId="0628F501" w14:textId="77777777" w:rsidR="00F50FC7" w:rsidRPr="002C65CD" w:rsidRDefault="00F50FC7" w:rsidP="000B6C00">
      <w:pPr>
        <w:pStyle w:val="BTEMEASMCA"/>
      </w:pPr>
    </w:p>
    <w:p w14:paraId="6C4BE494" w14:textId="77777777" w:rsidR="00F50FC7" w:rsidRDefault="00F50FC7" w:rsidP="00F50FC7">
      <w:pPr>
        <w:tabs>
          <w:tab w:val="left" w:pos="567"/>
        </w:tabs>
        <w:rPr>
          <w:b/>
          <w:bCs/>
          <w:szCs w:val="22"/>
        </w:rPr>
      </w:pPr>
      <w:r>
        <w:rPr>
          <w:b/>
          <w:bCs/>
          <w:szCs w:val="22"/>
        </w:rPr>
        <w:t>4.2</w:t>
      </w:r>
      <w:r>
        <w:rPr>
          <w:b/>
          <w:bCs/>
          <w:szCs w:val="22"/>
        </w:rPr>
        <w:tab/>
        <w:t>Dozavimas ir vartojimo metodas</w:t>
      </w:r>
    </w:p>
    <w:p w14:paraId="368CEAF7" w14:textId="77777777" w:rsidR="00F50FC7" w:rsidRDefault="00F50FC7" w:rsidP="00F50FC7">
      <w:pPr>
        <w:tabs>
          <w:tab w:val="left" w:pos="567"/>
        </w:tabs>
        <w:rPr>
          <w:szCs w:val="22"/>
        </w:rPr>
      </w:pPr>
    </w:p>
    <w:p w14:paraId="571EE078" w14:textId="77777777" w:rsidR="00F50FC7" w:rsidRDefault="00F50FC7" w:rsidP="00F50FC7">
      <w:pPr>
        <w:tabs>
          <w:tab w:val="left" w:pos="567"/>
        </w:tabs>
        <w:ind w:left="567" w:hanging="567"/>
      </w:pPr>
      <w:r>
        <w:rPr>
          <w:szCs w:val="22"/>
          <w:u w:val="single"/>
        </w:rPr>
        <w:t>Dozavimas</w:t>
      </w:r>
    </w:p>
    <w:p w14:paraId="56963428" w14:textId="77777777" w:rsidR="00F50FC7" w:rsidRDefault="00F50FC7" w:rsidP="00F50FC7">
      <w:pPr>
        <w:tabs>
          <w:tab w:val="left" w:pos="567"/>
        </w:tabs>
        <w:ind w:left="567" w:hanging="567"/>
        <w:rPr>
          <w:szCs w:val="22"/>
        </w:rPr>
      </w:pPr>
    </w:p>
    <w:p w14:paraId="5B5BD731" w14:textId="77777777" w:rsidR="00F50FC7" w:rsidRDefault="00F50FC7" w:rsidP="00F50FC7">
      <w:pPr>
        <w:tabs>
          <w:tab w:val="left" w:pos="567"/>
        </w:tabs>
        <w:ind w:left="567" w:hanging="567"/>
        <w:rPr>
          <w:szCs w:val="22"/>
        </w:rPr>
      </w:pPr>
      <w:r>
        <w:rPr>
          <w:szCs w:val="22"/>
        </w:rPr>
        <w:t>Rekomenduojama viena 0,5 ml vakcinos dozė.</w:t>
      </w:r>
    </w:p>
    <w:p w14:paraId="6D5B6BE2" w14:textId="77777777" w:rsidR="00F50FC7" w:rsidRDefault="00F50FC7" w:rsidP="00F50FC7">
      <w:pPr>
        <w:tabs>
          <w:tab w:val="left" w:pos="567"/>
        </w:tabs>
        <w:ind w:left="567" w:hanging="567"/>
        <w:rPr>
          <w:szCs w:val="22"/>
        </w:rPr>
      </w:pPr>
    </w:p>
    <w:p w14:paraId="6746AB52" w14:textId="77777777" w:rsidR="00F50FC7" w:rsidRDefault="00F50FC7" w:rsidP="00F50FC7">
      <w:pPr>
        <w:tabs>
          <w:tab w:val="left" w:pos="567"/>
        </w:tabs>
      </w:pPr>
      <w:proofErr w:type="spellStart"/>
      <w:r>
        <w:rPr>
          <w:szCs w:val="22"/>
        </w:rPr>
        <w:t>Boostrix</w:t>
      </w:r>
      <w:proofErr w:type="spellEnd"/>
      <w:r>
        <w:rPr>
          <w:szCs w:val="22"/>
        </w:rPr>
        <w:t xml:space="preserve"> gali būti skiriamas vyresniems kaip ketverių metų asmenims.</w:t>
      </w:r>
    </w:p>
    <w:p w14:paraId="1D274A20" w14:textId="77777777" w:rsidR="00F50FC7" w:rsidRDefault="00F50FC7" w:rsidP="00F50FC7">
      <w:pPr>
        <w:tabs>
          <w:tab w:val="left" w:pos="567"/>
        </w:tabs>
        <w:rPr>
          <w:szCs w:val="22"/>
        </w:rPr>
      </w:pPr>
    </w:p>
    <w:p w14:paraId="07535F3B" w14:textId="77777777" w:rsidR="00F50FC7" w:rsidRDefault="00F50FC7" w:rsidP="00F50FC7">
      <w:pPr>
        <w:tabs>
          <w:tab w:val="left" w:pos="567"/>
        </w:tabs>
      </w:pPr>
      <w:proofErr w:type="spellStart"/>
      <w:r>
        <w:rPr>
          <w:szCs w:val="22"/>
        </w:rPr>
        <w:t>Boostrix</w:t>
      </w:r>
      <w:proofErr w:type="spellEnd"/>
      <w:r>
        <w:rPr>
          <w:szCs w:val="22"/>
        </w:rPr>
        <w:t xml:space="preserve"> turi būti vartojama atsižvelgiant į oficialias rekomendacijas ir (arba) vietinę vakcinų, turinčių mažesnį difterijos, stabligės ir kokliušo antigenų kiekį, vartojimo praktiką.</w:t>
      </w:r>
    </w:p>
    <w:p w14:paraId="2479175A" w14:textId="77777777" w:rsidR="00F50FC7" w:rsidRDefault="00F50FC7" w:rsidP="00F50FC7">
      <w:pPr>
        <w:tabs>
          <w:tab w:val="left" w:pos="567"/>
        </w:tabs>
        <w:rPr>
          <w:szCs w:val="22"/>
        </w:rPr>
      </w:pPr>
    </w:p>
    <w:p w14:paraId="5481A505" w14:textId="6026C4CF" w:rsidR="00F50FC7" w:rsidRDefault="00F50FC7" w:rsidP="00F50FC7">
      <w:bookmarkStart w:id="17" w:name="_Hlk55026010"/>
      <w:proofErr w:type="spellStart"/>
      <w:r>
        <w:lastRenderedPageBreak/>
        <w:t>Boostrix</w:t>
      </w:r>
      <w:proofErr w:type="spellEnd"/>
      <w:r w:rsidRPr="00B23FED">
        <w:t xml:space="preserve"> </w:t>
      </w:r>
      <w:r>
        <w:t>galima skirti nėščioms moterims antrąjį ar trečiąjį nėštumo trimestrais laikantis oficialių rekomendacijų (žr.</w:t>
      </w:r>
      <w:r w:rsidR="00A672AC">
        <w:t> </w:t>
      </w:r>
      <w:r>
        <w:t>4.1, 4.6 ir 5.1 skyrius).</w:t>
      </w:r>
    </w:p>
    <w:bookmarkEnd w:id="17"/>
    <w:p w14:paraId="0CA49C0B" w14:textId="77777777" w:rsidR="00F50FC7" w:rsidRDefault="00F50FC7" w:rsidP="00F50FC7">
      <w:pPr>
        <w:rPr>
          <w:iCs/>
          <w:szCs w:val="22"/>
        </w:rPr>
      </w:pPr>
    </w:p>
    <w:p w14:paraId="220302B4" w14:textId="763AAF99" w:rsidR="00F50FC7" w:rsidRDefault="00F50FC7" w:rsidP="00F50FC7">
      <w:r>
        <w:rPr>
          <w:szCs w:val="22"/>
        </w:rPr>
        <w:t xml:space="preserve">Be to, </w:t>
      </w:r>
      <w:proofErr w:type="spellStart"/>
      <w:r>
        <w:rPr>
          <w:szCs w:val="22"/>
        </w:rPr>
        <w:t>Boostrix</w:t>
      </w:r>
      <w:proofErr w:type="spellEnd"/>
      <w:r>
        <w:rPr>
          <w:szCs w:val="22"/>
        </w:rPr>
        <w:t xml:space="preserve"> </w:t>
      </w:r>
      <w:r>
        <w:rPr>
          <w:iCs/>
          <w:color w:val="000000"/>
        </w:rPr>
        <w:t xml:space="preserve">gali būti skiriama kaip imunizacijos nuo difterijos, stabligės ir kokliušo dalis paaugliams ir suaugusiesiems, </w:t>
      </w:r>
      <w:r w:rsidRPr="008D66EC">
        <w:rPr>
          <w:color w:val="000000"/>
        </w:rPr>
        <w:t xml:space="preserve">kurių </w:t>
      </w:r>
      <w:r>
        <w:rPr>
          <w:iCs/>
          <w:color w:val="000000"/>
        </w:rPr>
        <w:t>skiepijimo būklė</w:t>
      </w:r>
      <w:r w:rsidRPr="008D66EC">
        <w:rPr>
          <w:color w:val="000000"/>
        </w:rPr>
        <w:t xml:space="preserve"> nežinoma arba vakcinacija nuo difterijos, stabligės ir kokliušo neužbaigta</w:t>
      </w:r>
      <w:r>
        <w:rPr>
          <w:iCs/>
          <w:color w:val="000000"/>
        </w:rPr>
        <w:t>.</w:t>
      </w:r>
      <w:r w:rsidRPr="008D66EC">
        <w:rPr>
          <w:color w:val="000000"/>
        </w:rPr>
        <w:t xml:space="preserve"> </w:t>
      </w:r>
      <w:r>
        <w:rPr>
          <w:szCs w:val="22"/>
        </w:rPr>
        <w:t>Remiantis suaugusiųjų duomenimis</w:t>
      </w:r>
      <w:r>
        <w:rPr>
          <w:iCs/>
          <w:szCs w:val="22"/>
        </w:rPr>
        <w:t>, norint maksimaliai padidinti atsaką į vakciną nuo difterijos ir stabligės, rekomenduojama suleisti dvi papildomas vakcinų nuo difterijos ir stabligės dozes, praėjus vienam ir šešiems mėnesiams po pirmosios dozės (</w:t>
      </w:r>
      <w:bookmarkStart w:id="18" w:name="_Hlk26010159"/>
      <w:r>
        <w:rPr>
          <w:iCs/>
          <w:szCs w:val="22"/>
        </w:rPr>
        <w:t>žr.</w:t>
      </w:r>
      <w:r w:rsidR="00A672AC">
        <w:rPr>
          <w:iCs/>
          <w:szCs w:val="22"/>
        </w:rPr>
        <w:t> </w:t>
      </w:r>
      <w:r>
        <w:rPr>
          <w:iCs/>
          <w:szCs w:val="22"/>
        </w:rPr>
        <w:t>5.1 skyrių</w:t>
      </w:r>
      <w:bookmarkEnd w:id="18"/>
      <w:r>
        <w:rPr>
          <w:iCs/>
          <w:szCs w:val="22"/>
        </w:rPr>
        <w:t>).</w:t>
      </w:r>
    </w:p>
    <w:p w14:paraId="688B6969" w14:textId="77777777" w:rsidR="00F50FC7" w:rsidRDefault="00F50FC7" w:rsidP="00F50FC7">
      <w:pPr>
        <w:tabs>
          <w:tab w:val="left" w:pos="567"/>
        </w:tabs>
        <w:rPr>
          <w:szCs w:val="22"/>
        </w:rPr>
      </w:pPr>
    </w:p>
    <w:p w14:paraId="4757DFEC" w14:textId="77777777" w:rsidR="00F50FC7" w:rsidRDefault="00F50FC7" w:rsidP="00F50FC7">
      <w:pPr>
        <w:tabs>
          <w:tab w:val="left" w:pos="567"/>
        </w:tabs>
      </w:pPr>
      <w:proofErr w:type="spellStart"/>
      <w:r>
        <w:rPr>
          <w:szCs w:val="22"/>
        </w:rPr>
        <w:t>Boostrix</w:t>
      </w:r>
      <w:proofErr w:type="spellEnd"/>
      <w:r>
        <w:rPr>
          <w:szCs w:val="22"/>
        </w:rPr>
        <w:t xml:space="preserve"> galima skiepyti susižeidusius asmenis, kai trauma susijusi su padidėjusia stabligės rizika, kuriems anksčiau buvo suleista pirminės vakcinacijos serija vakcina, kurioje yra stabligės </w:t>
      </w:r>
      <w:proofErr w:type="spellStart"/>
      <w:r>
        <w:rPr>
          <w:szCs w:val="22"/>
        </w:rPr>
        <w:t>anatoksino</w:t>
      </w:r>
      <w:proofErr w:type="spellEnd"/>
      <w:r>
        <w:rPr>
          <w:szCs w:val="22"/>
        </w:rPr>
        <w:t xml:space="preserve">, ir skirtina </w:t>
      </w:r>
      <w:proofErr w:type="spellStart"/>
      <w:r>
        <w:rPr>
          <w:szCs w:val="22"/>
        </w:rPr>
        <w:t>revakcinacija</w:t>
      </w:r>
      <w:proofErr w:type="spellEnd"/>
      <w:r>
        <w:rPr>
          <w:szCs w:val="22"/>
        </w:rPr>
        <w:t xml:space="preserve"> nuo difterijos ir kokliušo. Remiantis oficialiomis rekomendacijomis, kartu reikia skirti stabligės imunoglobulino.</w:t>
      </w:r>
    </w:p>
    <w:p w14:paraId="11364777" w14:textId="77777777" w:rsidR="00F50FC7" w:rsidRDefault="00F50FC7" w:rsidP="00F50FC7">
      <w:pPr>
        <w:tabs>
          <w:tab w:val="left" w:pos="567"/>
        </w:tabs>
        <w:rPr>
          <w:szCs w:val="22"/>
        </w:rPr>
      </w:pPr>
    </w:p>
    <w:p w14:paraId="6A6054D4" w14:textId="77777777" w:rsidR="00F50FC7" w:rsidRDefault="00F50FC7" w:rsidP="00F50FC7">
      <w:pPr>
        <w:tabs>
          <w:tab w:val="left" w:pos="567"/>
        </w:tabs>
      </w:pPr>
      <w:r>
        <w:rPr>
          <w:szCs w:val="22"/>
        </w:rPr>
        <w:t>Pakartotinės vakcinacijos nuo difterijos, stabligės ir kokliušo turėtų būti atliekamos laikotarpiais, nurodytais oficialiose rekomendacijose (paprastai kas 10 metų).</w:t>
      </w:r>
    </w:p>
    <w:p w14:paraId="0CA3367D" w14:textId="77777777" w:rsidR="00F50FC7" w:rsidRDefault="00F50FC7" w:rsidP="00F50FC7">
      <w:pPr>
        <w:tabs>
          <w:tab w:val="left" w:pos="567"/>
        </w:tabs>
        <w:rPr>
          <w:szCs w:val="22"/>
        </w:rPr>
      </w:pPr>
    </w:p>
    <w:p w14:paraId="6C6E1B58" w14:textId="77777777" w:rsidR="00F50FC7" w:rsidRDefault="00F50FC7" w:rsidP="00F50FC7">
      <w:pPr>
        <w:tabs>
          <w:tab w:val="left" w:pos="567"/>
        </w:tabs>
        <w:rPr>
          <w:i/>
          <w:iCs/>
          <w:szCs w:val="22"/>
        </w:rPr>
      </w:pPr>
      <w:r>
        <w:rPr>
          <w:i/>
          <w:iCs/>
          <w:szCs w:val="22"/>
        </w:rPr>
        <w:t>Vaikų populiacija</w:t>
      </w:r>
    </w:p>
    <w:p w14:paraId="571BF92D" w14:textId="77777777" w:rsidR="00F50FC7" w:rsidRPr="00E90E50" w:rsidRDefault="00F50FC7" w:rsidP="00F50FC7">
      <w:pPr>
        <w:tabs>
          <w:tab w:val="left" w:pos="567"/>
        </w:tabs>
      </w:pPr>
    </w:p>
    <w:p w14:paraId="67331713" w14:textId="77777777" w:rsidR="00F50FC7" w:rsidRDefault="00F50FC7" w:rsidP="00F50FC7">
      <w:pPr>
        <w:tabs>
          <w:tab w:val="left" w:pos="567"/>
        </w:tabs>
      </w:pPr>
      <w:proofErr w:type="spellStart"/>
      <w:r>
        <w:rPr>
          <w:szCs w:val="22"/>
        </w:rPr>
        <w:t>Boostrix</w:t>
      </w:r>
      <w:proofErr w:type="spellEnd"/>
      <w:r>
        <w:rPr>
          <w:szCs w:val="22"/>
        </w:rPr>
        <w:t xml:space="preserve"> saugumas ir veiksmingumas jaunesniems kaip 4 metų vaikams neištirti.</w:t>
      </w:r>
    </w:p>
    <w:p w14:paraId="2E092B0A" w14:textId="77777777" w:rsidR="00F50FC7" w:rsidRDefault="00F50FC7" w:rsidP="00F50FC7">
      <w:pPr>
        <w:tabs>
          <w:tab w:val="left" w:pos="567"/>
        </w:tabs>
        <w:rPr>
          <w:szCs w:val="22"/>
        </w:rPr>
      </w:pPr>
    </w:p>
    <w:p w14:paraId="30C4F121" w14:textId="77777777" w:rsidR="00F50FC7" w:rsidRDefault="00F50FC7" w:rsidP="00F50FC7">
      <w:pPr>
        <w:tabs>
          <w:tab w:val="left" w:pos="567"/>
        </w:tabs>
      </w:pPr>
      <w:r>
        <w:rPr>
          <w:szCs w:val="22"/>
          <w:u w:val="single"/>
        </w:rPr>
        <w:t>Vartojimo metodas</w:t>
      </w:r>
    </w:p>
    <w:p w14:paraId="0E63584E" w14:textId="77777777" w:rsidR="00F50FC7" w:rsidRDefault="00F50FC7" w:rsidP="00F50FC7">
      <w:pPr>
        <w:tabs>
          <w:tab w:val="left" w:pos="567"/>
        </w:tabs>
        <w:rPr>
          <w:szCs w:val="22"/>
        </w:rPr>
      </w:pPr>
    </w:p>
    <w:p w14:paraId="143F6F99" w14:textId="2DE415AC" w:rsidR="00F50FC7" w:rsidRDefault="00F50FC7" w:rsidP="00F50FC7">
      <w:pPr>
        <w:tabs>
          <w:tab w:val="left" w:pos="567"/>
        </w:tabs>
      </w:pPr>
      <w:proofErr w:type="spellStart"/>
      <w:r>
        <w:rPr>
          <w:szCs w:val="22"/>
        </w:rPr>
        <w:t>Boostrix</w:t>
      </w:r>
      <w:proofErr w:type="spellEnd"/>
      <w:r>
        <w:rPr>
          <w:szCs w:val="22"/>
        </w:rPr>
        <w:t xml:space="preserve"> vakcina skirta suleisti giliai į raumenis, geriausiai – deltinio raumens srityje (</w:t>
      </w:r>
      <w:r>
        <w:rPr>
          <w:iCs/>
          <w:szCs w:val="22"/>
        </w:rPr>
        <w:t>žr.</w:t>
      </w:r>
      <w:r w:rsidR="00056BC2">
        <w:rPr>
          <w:iCs/>
          <w:szCs w:val="22"/>
        </w:rPr>
        <w:t> </w:t>
      </w:r>
      <w:r w:rsidR="00AE55FA">
        <w:rPr>
          <w:iCs/>
          <w:szCs w:val="22"/>
        </w:rPr>
        <w:t> </w:t>
      </w:r>
      <w:r>
        <w:rPr>
          <w:iCs/>
          <w:szCs w:val="22"/>
        </w:rPr>
        <w:t>4.4 skyrių</w:t>
      </w:r>
      <w:r>
        <w:rPr>
          <w:szCs w:val="22"/>
        </w:rPr>
        <w:t>).</w:t>
      </w:r>
    </w:p>
    <w:p w14:paraId="60A8EA17" w14:textId="77777777" w:rsidR="00F50FC7" w:rsidRPr="002C65CD" w:rsidRDefault="00F50FC7" w:rsidP="000B6C00">
      <w:pPr>
        <w:pStyle w:val="BTEMEASMCA"/>
      </w:pPr>
    </w:p>
    <w:p w14:paraId="4B296652" w14:textId="72D24BA7" w:rsidR="00F50FC7" w:rsidRDefault="00F50FC7" w:rsidP="00F50FC7">
      <w:pPr>
        <w:pStyle w:val="PI-2EMEASMCA"/>
      </w:pPr>
      <w:bookmarkStart w:id="19" w:name="_Toc129243104"/>
      <w:bookmarkStart w:id="20" w:name="_Toc129243229"/>
      <w:r>
        <w:t>4.3</w:t>
      </w:r>
      <w:r>
        <w:tab/>
        <w:t>Kontraindikacijos</w:t>
      </w:r>
      <w:bookmarkEnd w:id="19"/>
      <w:bookmarkEnd w:id="20"/>
    </w:p>
    <w:p w14:paraId="0E473C32" w14:textId="77777777" w:rsidR="00F50FC7" w:rsidRPr="002C65CD" w:rsidRDefault="00F50FC7" w:rsidP="000B6C00">
      <w:pPr>
        <w:pStyle w:val="BTEMEASMCA"/>
      </w:pPr>
    </w:p>
    <w:p w14:paraId="5DDD0CEC" w14:textId="76D858B6" w:rsidR="00F50FC7" w:rsidRDefault="00F50FC7" w:rsidP="00F50FC7">
      <w:pPr>
        <w:tabs>
          <w:tab w:val="left" w:pos="540"/>
          <w:tab w:val="left" w:pos="567"/>
        </w:tabs>
        <w:ind w:right="-1"/>
      </w:pPr>
      <w:bookmarkStart w:id="21" w:name="_Toc129243106"/>
      <w:bookmarkStart w:id="22" w:name="_Toc129243231"/>
      <w:r>
        <w:rPr>
          <w:szCs w:val="22"/>
        </w:rPr>
        <w:t>Padidėjęs jautrumas veikiosioms medžiagoms arba bet kuriai 6.1 skyriuje nurodytai pagalbinei medžiagai</w:t>
      </w:r>
      <w:r w:rsidR="004F1B3F">
        <w:rPr>
          <w:szCs w:val="22"/>
        </w:rPr>
        <w:t xml:space="preserve"> ar </w:t>
      </w:r>
      <w:proofErr w:type="spellStart"/>
      <w:r w:rsidR="004F1B3F">
        <w:rPr>
          <w:szCs w:val="22"/>
        </w:rPr>
        <w:t>formaldehidui</w:t>
      </w:r>
      <w:proofErr w:type="spellEnd"/>
      <w:r>
        <w:rPr>
          <w:szCs w:val="22"/>
        </w:rPr>
        <w:t>.</w:t>
      </w:r>
    </w:p>
    <w:p w14:paraId="0445B3DF" w14:textId="77777777" w:rsidR="00F50FC7" w:rsidRDefault="00F50FC7" w:rsidP="00F50FC7">
      <w:pPr>
        <w:tabs>
          <w:tab w:val="left" w:pos="540"/>
          <w:tab w:val="left" w:pos="567"/>
        </w:tabs>
        <w:ind w:right="-1"/>
        <w:rPr>
          <w:szCs w:val="22"/>
        </w:rPr>
      </w:pPr>
    </w:p>
    <w:p w14:paraId="01122857" w14:textId="77777777" w:rsidR="00F50FC7" w:rsidRDefault="00F50FC7" w:rsidP="00F50FC7">
      <w:pPr>
        <w:tabs>
          <w:tab w:val="left" w:pos="540"/>
          <w:tab w:val="left" w:pos="567"/>
        </w:tabs>
        <w:ind w:right="-1"/>
      </w:pPr>
      <w:r>
        <w:rPr>
          <w:szCs w:val="22"/>
        </w:rPr>
        <w:t>Padidėjęs jautrumas po ankstesnio paskiepijimo difterijos, stabligės ar kokliušo vakcinomis.</w:t>
      </w:r>
    </w:p>
    <w:p w14:paraId="30A2392B" w14:textId="77777777" w:rsidR="00F50FC7" w:rsidRDefault="00F50FC7" w:rsidP="00F50FC7">
      <w:pPr>
        <w:tabs>
          <w:tab w:val="left" w:pos="540"/>
          <w:tab w:val="left" w:pos="567"/>
        </w:tabs>
        <w:ind w:right="-1"/>
        <w:rPr>
          <w:szCs w:val="22"/>
        </w:rPr>
      </w:pPr>
    </w:p>
    <w:p w14:paraId="5A77FCDD" w14:textId="77777777" w:rsidR="00F50FC7" w:rsidRDefault="00F50FC7" w:rsidP="00F50FC7">
      <w:pPr>
        <w:tabs>
          <w:tab w:val="left" w:pos="540"/>
          <w:tab w:val="left" w:pos="567"/>
        </w:tabs>
        <w:ind w:right="-1"/>
      </w:pPr>
      <w:proofErr w:type="spellStart"/>
      <w:r>
        <w:rPr>
          <w:szCs w:val="22"/>
        </w:rPr>
        <w:t>Boostrix</w:t>
      </w:r>
      <w:proofErr w:type="spellEnd"/>
      <w:r>
        <w:rPr>
          <w:szCs w:val="22"/>
        </w:rPr>
        <w:t xml:space="preserve"> vartoti draudžiama, jeigu asmeniui buvo pasireiškusi nežinomos etiologijos </w:t>
      </w:r>
      <w:proofErr w:type="spellStart"/>
      <w:r>
        <w:rPr>
          <w:szCs w:val="22"/>
        </w:rPr>
        <w:t>encefalopatija</w:t>
      </w:r>
      <w:proofErr w:type="spellEnd"/>
      <w:r>
        <w:rPr>
          <w:szCs w:val="22"/>
        </w:rPr>
        <w:t xml:space="preserve"> per 7 paras po ankstesnio paskiepijimo vakcina nuo kokliušo. Tokiu atveju vakcinaciją nuo kokliušo reikia nutraukti ir vakcinacijos kursą tęsti vakcinomis nuo difterijos ir stabligės.</w:t>
      </w:r>
    </w:p>
    <w:p w14:paraId="482C923F" w14:textId="77777777" w:rsidR="00F50FC7" w:rsidRDefault="00F50FC7" w:rsidP="00F50FC7">
      <w:pPr>
        <w:tabs>
          <w:tab w:val="left" w:pos="540"/>
          <w:tab w:val="left" w:pos="567"/>
        </w:tabs>
        <w:ind w:right="-1"/>
        <w:rPr>
          <w:szCs w:val="22"/>
        </w:rPr>
      </w:pPr>
    </w:p>
    <w:p w14:paraId="70F368E1" w14:textId="2220411A" w:rsidR="00F50FC7" w:rsidRDefault="00F50FC7" w:rsidP="00F50FC7">
      <w:pPr>
        <w:tabs>
          <w:tab w:val="left" w:pos="540"/>
          <w:tab w:val="left" w:pos="567"/>
        </w:tabs>
        <w:ind w:right="-1"/>
      </w:pPr>
      <w:proofErr w:type="spellStart"/>
      <w:r>
        <w:rPr>
          <w:szCs w:val="22"/>
        </w:rPr>
        <w:t>Boostrix</w:t>
      </w:r>
      <w:proofErr w:type="spellEnd"/>
      <w:r>
        <w:rPr>
          <w:szCs w:val="22"/>
        </w:rPr>
        <w:t xml:space="preserve"> negalima vartoti asmenims, kuriems po ankstesnės imunizacijos nuo difterijos ir (arba) stabligės pasireiškė laikina </w:t>
      </w:r>
      <w:proofErr w:type="spellStart"/>
      <w:r>
        <w:rPr>
          <w:szCs w:val="22"/>
        </w:rPr>
        <w:t>trombocitopenija</w:t>
      </w:r>
      <w:proofErr w:type="spellEnd"/>
      <w:r>
        <w:rPr>
          <w:szCs w:val="22"/>
        </w:rPr>
        <w:t xml:space="preserve"> arba buvo neurologinių komplikacijų (apie traukulius ar hipotonijos ir susilpnėjusio atsako epizodus žr.</w:t>
      </w:r>
      <w:r w:rsidR="00AE55FA">
        <w:rPr>
          <w:szCs w:val="22"/>
        </w:rPr>
        <w:t> </w:t>
      </w:r>
      <w:r>
        <w:rPr>
          <w:szCs w:val="22"/>
        </w:rPr>
        <w:t>4.4 skyriuje).</w:t>
      </w:r>
    </w:p>
    <w:p w14:paraId="450B7274" w14:textId="77777777" w:rsidR="00F50FC7" w:rsidRDefault="00F50FC7" w:rsidP="00F50FC7">
      <w:pPr>
        <w:tabs>
          <w:tab w:val="left" w:pos="540"/>
          <w:tab w:val="left" w:pos="567"/>
        </w:tabs>
        <w:ind w:right="-1"/>
        <w:rPr>
          <w:szCs w:val="22"/>
        </w:rPr>
      </w:pPr>
    </w:p>
    <w:p w14:paraId="6332A993" w14:textId="77777777" w:rsidR="00F50FC7" w:rsidRDefault="00F50FC7" w:rsidP="00F50FC7">
      <w:pPr>
        <w:tabs>
          <w:tab w:val="left" w:pos="567"/>
        </w:tabs>
        <w:rPr>
          <w:szCs w:val="22"/>
        </w:rPr>
      </w:pPr>
      <w:proofErr w:type="spellStart"/>
      <w:r>
        <w:rPr>
          <w:szCs w:val="22"/>
        </w:rPr>
        <w:t>Boostrix</w:t>
      </w:r>
      <w:proofErr w:type="spellEnd"/>
      <w:r>
        <w:rPr>
          <w:szCs w:val="22"/>
        </w:rPr>
        <w:t>, kaip ir kitų vakcinų, vartojimą reikėtų atidėti asmenims, kurie serga karščiavimu pasireiškiančia ūmia sunkia liga. Lengva infekcija nėra kontraindikacija.</w:t>
      </w:r>
    </w:p>
    <w:p w14:paraId="29A059A6" w14:textId="77777777" w:rsidR="00F50FC7" w:rsidRDefault="00F50FC7" w:rsidP="00F50FC7">
      <w:pPr>
        <w:tabs>
          <w:tab w:val="left" w:pos="567"/>
        </w:tabs>
        <w:rPr>
          <w:szCs w:val="22"/>
        </w:rPr>
      </w:pPr>
    </w:p>
    <w:p w14:paraId="079C08B4" w14:textId="77777777" w:rsidR="00F50FC7" w:rsidRDefault="00F50FC7" w:rsidP="00F50FC7">
      <w:pPr>
        <w:keepNext/>
        <w:numPr>
          <w:ilvl w:val="1"/>
          <w:numId w:val="1"/>
        </w:numPr>
        <w:rPr>
          <w:b/>
          <w:bCs/>
          <w:szCs w:val="22"/>
        </w:rPr>
      </w:pPr>
      <w:r>
        <w:rPr>
          <w:b/>
          <w:bCs/>
          <w:szCs w:val="22"/>
        </w:rPr>
        <w:t>Specialūs įspėjimai ir atsargumo priemonės</w:t>
      </w:r>
    </w:p>
    <w:p w14:paraId="08069B3D" w14:textId="77777777" w:rsidR="00F50FC7" w:rsidRPr="00E90E50" w:rsidRDefault="00F50FC7" w:rsidP="00F50FC7">
      <w:pPr>
        <w:keepNext/>
        <w:tabs>
          <w:tab w:val="left" w:pos="567"/>
        </w:tabs>
      </w:pPr>
    </w:p>
    <w:p w14:paraId="007E2F55" w14:textId="77777777" w:rsidR="00F50FC7" w:rsidRDefault="00F50FC7" w:rsidP="00F50FC7">
      <w:pPr>
        <w:tabs>
          <w:tab w:val="left" w:pos="567"/>
        </w:tabs>
      </w:pPr>
      <w:r>
        <w:rPr>
          <w:szCs w:val="22"/>
        </w:rPr>
        <w:t>Prieš skiepijimą reikia peržiūrėti asmens sveikatos istoriją (ypač atsižvelgiant į ankstesnę vakcinaciją ir galimus nepageidaujamus reiškinius).</w:t>
      </w:r>
    </w:p>
    <w:p w14:paraId="03EA7DE4" w14:textId="77777777" w:rsidR="00F50FC7" w:rsidRDefault="00F50FC7" w:rsidP="00F50FC7">
      <w:pPr>
        <w:tabs>
          <w:tab w:val="left" w:pos="567"/>
        </w:tabs>
        <w:rPr>
          <w:szCs w:val="22"/>
        </w:rPr>
      </w:pPr>
    </w:p>
    <w:p w14:paraId="55EC352C" w14:textId="77777777" w:rsidR="00F50FC7" w:rsidRDefault="00F50FC7" w:rsidP="00F50FC7">
      <w:pPr>
        <w:tabs>
          <w:tab w:val="left" w:pos="540"/>
          <w:tab w:val="left" w:pos="567"/>
        </w:tabs>
        <w:ind w:right="-1"/>
      </w:pPr>
      <w:r>
        <w:rPr>
          <w:szCs w:val="22"/>
        </w:rPr>
        <w:t>Jeigu žinoma, kad kuris nors toliau nurodytų reiškinių buvo susijęs su vakcinos nuo kokliušo suleidimu, reikia atidžiai apsvarstyti sprendimą skirti vakcinų nuo kokliušo dozes.</w:t>
      </w:r>
    </w:p>
    <w:p w14:paraId="61C0B7CD" w14:textId="77777777" w:rsidR="00F50FC7" w:rsidRDefault="00F50FC7" w:rsidP="00F50FC7">
      <w:pPr>
        <w:tabs>
          <w:tab w:val="left" w:pos="540"/>
          <w:tab w:val="left" w:pos="567"/>
        </w:tabs>
        <w:ind w:right="-1"/>
        <w:rPr>
          <w:szCs w:val="22"/>
        </w:rPr>
      </w:pPr>
    </w:p>
    <w:p w14:paraId="395813C2" w14:textId="4A6E3F36" w:rsidR="00F50FC7" w:rsidRDefault="00F50FC7" w:rsidP="00F50FC7">
      <w:pPr>
        <w:numPr>
          <w:ilvl w:val="0"/>
          <w:numId w:val="2"/>
        </w:numPr>
        <w:tabs>
          <w:tab w:val="left" w:pos="567"/>
        </w:tabs>
        <w:ind w:left="567" w:right="-1" w:hanging="567"/>
      </w:pPr>
      <w:r>
        <w:rPr>
          <w:szCs w:val="22"/>
        </w:rPr>
        <w:t>40,0</w:t>
      </w:r>
      <w:r w:rsidR="00AE55FA">
        <w:rPr>
          <w:szCs w:val="22"/>
        </w:rPr>
        <w:t> </w:t>
      </w:r>
      <w:r>
        <w:rPr>
          <w:szCs w:val="22"/>
        </w:rPr>
        <w:t>°C ar didesnė kūno temperatūra per 48 valandas po vakcinacijos, pakilusi ne dėl kitos nustatytos priežasties.</w:t>
      </w:r>
    </w:p>
    <w:p w14:paraId="02FABC9E" w14:textId="77777777" w:rsidR="00F50FC7" w:rsidRDefault="00F50FC7" w:rsidP="00F50FC7">
      <w:pPr>
        <w:numPr>
          <w:ilvl w:val="0"/>
          <w:numId w:val="2"/>
        </w:numPr>
        <w:tabs>
          <w:tab w:val="left" w:pos="567"/>
        </w:tabs>
        <w:ind w:left="567" w:right="-1" w:hanging="567"/>
      </w:pPr>
      <w:r>
        <w:rPr>
          <w:szCs w:val="22"/>
        </w:rPr>
        <w:t>Ūmus kraujagyslių funkcijos nepakankamumas arba į šoką panaši būklė (hipotonijos ir susilpnėjusio atsako epizodas) per 48 valandas po vakcinacijos.</w:t>
      </w:r>
    </w:p>
    <w:p w14:paraId="6822A348" w14:textId="77777777" w:rsidR="00F50FC7" w:rsidRDefault="00F50FC7" w:rsidP="00F50FC7">
      <w:pPr>
        <w:numPr>
          <w:ilvl w:val="0"/>
          <w:numId w:val="2"/>
        </w:numPr>
        <w:tabs>
          <w:tab w:val="left" w:pos="567"/>
        </w:tabs>
        <w:ind w:left="567" w:right="-1" w:hanging="567"/>
      </w:pPr>
      <w:r>
        <w:rPr>
          <w:szCs w:val="22"/>
        </w:rPr>
        <w:lastRenderedPageBreak/>
        <w:t>Nuolatinis, nenuraminamas verkimas, trunkantis 3 valandas ar ilgiau per 48 valandas po vakcinacijos.</w:t>
      </w:r>
    </w:p>
    <w:p w14:paraId="13DEEF9B" w14:textId="77777777" w:rsidR="00F50FC7" w:rsidRDefault="00F50FC7" w:rsidP="00F50FC7">
      <w:pPr>
        <w:numPr>
          <w:ilvl w:val="0"/>
          <w:numId w:val="2"/>
        </w:numPr>
        <w:tabs>
          <w:tab w:val="left" w:pos="567"/>
        </w:tabs>
        <w:ind w:left="567" w:right="-1" w:hanging="567"/>
      </w:pPr>
      <w:r>
        <w:rPr>
          <w:szCs w:val="22"/>
        </w:rPr>
        <w:t>Traukuliai, pasireiškiantys su karščiavimu ar be karščiavimo per 3 paras po vakcinacijos.</w:t>
      </w:r>
    </w:p>
    <w:p w14:paraId="6A9ACDBF" w14:textId="77777777" w:rsidR="00F50FC7" w:rsidRDefault="00F50FC7" w:rsidP="00F50FC7">
      <w:pPr>
        <w:tabs>
          <w:tab w:val="left" w:pos="567"/>
        </w:tabs>
        <w:ind w:right="-1"/>
      </w:pPr>
      <w:r>
        <w:rPr>
          <w:szCs w:val="22"/>
        </w:rPr>
        <w:t>Gali būti aplinkybių (pvz., didelis kokliušo dažnis), kurioms esant, laukiama nauda persveria galimą riziką.</w:t>
      </w:r>
    </w:p>
    <w:p w14:paraId="4FD3FA51" w14:textId="77777777" w:rsidR="00F50FC7" w:rsidRDefault="00F50FC7" w:rsidP="00F50FC7">
      <w:pPr>
        <w:tabs>
          <w:tab w:val="left" w:pos="567"/>
        </w:tabs>
        <w:ind w:right="-1"/>
        <w:jc w:val="both"/>
        <w:rPr>
          <w:szCs w:val="22"/>
        </w:rPr>
      </w:pPr>
    </w:p>
    <w:p w14:paraId="1236DEC7" w14:textId="77777777" w:rsidR="00F50FC7" w:rsidRDefault="00F50FC7" w:rsidP="00F50FC7">
      <w:pPr>
        <w:tabs>
          <w:tab w:val="left" w:pos="567"/>
        </w:tabs>
        <w:ind w:right="-1"/>
        <w:rPr>
          <w:szCs w:val="22"/>
        </w:rPr>
      </w:pPr>
      <w:r>
        <w:rPr>
          <w:szCs w:val="22"/>
        </w:rPr>
        <w:t xml:space="preserve">Kaip ir visais skiepijimo atvejais, reikia atidžiai įvertinti imunizacijos </w:t>
      </w:r>
      <w:proofErr w:type="spellStart"/>
      <w:r>
        <w:rPr>
          <w:szCs w:val="22"/>
        </w:rPr>
        <w:t>Boostrix</w:t>
      </w:r>
      <w:proofErr w:type="spellEnd"/>
      <w:r>
        <w:rPr>
          <w:szCs w:val="22"/>
        </w:rPr>
        <w:t xml:space="preserve"> ar šios vakcinacijos atidėjimo riziką ir naudą vaikui, kuriam prasidėjo naujas ar progresuoja sunkus neurologinis sutrikimas.</w:t>
      </w:r>
    </w:p>
    <w:p w14:paraId="5E0D3A9A" w14:textId="77777777" w:rsidR="00F50FC7" w:rsidRDefault="00F50FC7" w:rsidP="00F50FC7">
      <w:pPr>
        <w:tabs>
          <w:tab w:val="left" w:pos="567"/>
        </w:tabs>
        <w:ind w:right="-1"/>
        <w:rPr>
          <w:szCs w:val="22"/>
        </w:rPr>
      </w:pPr>
    </w:p>
    <w:p w14:paraId="3C8E1CA2" w14:textId="77777777" w:rsidR="00F50FC7" w:rsidRDefault="00F50FC7" w:rsidP="00F50FC7">
      <w:pPr>
        <w:tabs>
          <w:tab w:val="left" w:pos="540"/>
          <w:tab w:val="left" w:pos="567"/>
        </w:tabs>
        <w:ind w:right="-1"/>
      </w:pPr>
      <w:r>
        <w:rPr>
          <w:szCs w:val="22"/>
        </w:rPr>
        <w:t>Kaip ir vartojant visas kitas leidžiamąsias vakcinas, visada turėtų būti lengvai prieinami tinkamas gydymas ir stebėjimas, jei po vakcinos suleidimo pasireikštų reta anafilaksinė reakcija.</w:t>
      </w:r>
    </w:p>
    <w:p w14:paraId="32ED41E7" w14:textId="77777777" w:rsidR="00F50FC7" w:rsidRDefault="00F50FC7" w:rsidP="00F50FC7">
      <w:pPr>
        <w:tabs>
          <w:tab w:val="left" w:pos="567"/>
        </w:tabs>
        <w:ind w:right="-1"/>
        <w:jc w:val="both"/>
        <w:rPr>
          <w:szCs w:val="22"/>
        </w:rPr>
      </w:pPr>
    </w:p>
    <w:p w14:paraId="53060698" w14:textId="027BE060" w:rsidR="00F50FC7" w:rsidRDefault="00F50FC7" w:rsidP="00F50FC7">
      <w:proofErr w:type="spellStart"/>
      <w:r>
        <w:rPr>
          <w:szCs w:val="22"/>
        </w:rPr>
        <w:t>Boostrix</w:t>
      </w:r>
      <w:proofErr w:type="spellEnd"/>
      <w:r>
        <w:rPr>
          <w:szCs w:val="22"/>
        </w:rPr>
        <w:t xml:space="preserve"> turėtų būti skiriama atsargiai asmenims, kuriems pasireiškia </w:t>
      </w:r>
      <w:proofErr w:type="spellStart"/>
      <w:r>
        <w:rPr>
          <w:szCs w:val="22"/>
        </w:rPr>
        <w:t>trombocitopenija</w:t>
      </w:r>
      <w:proofErr w:type="spellEnd"/>
      <w:r>
        <w:rPr>
          <w:szCs w:val="22"/>
        </w:rPr>
        <w:t xml:space="preserve"> (žr.</w:t>
      </w:r>
      <w:r w:rsidR="00AE55FA">
        <w:rPr>
          <w:szCs w:val="22"/>
        </w:rPr>
        <w:t> </w:t>
      </w:r>
      <w:r>
        <w:rPr>
          <w:szCs w:val="22"/>
        </w:rPr>
        <w:t xml:space="preserve">4.3 skyrių) arba kraujavimo sutrikimai, nes po injekcijos į raumenis suleidimo tokiems asmenims gali prasidėti kraujavimas. </w:t>
      </w:r>
      <w:bookmarkStart w:id="23" w:name="_Hlk46728657"/>
      <w:r>
        <w:t>Atsižvelgiant į oficialias rekomendacijas, tokiems asmenims vakciną galima įskiepyti po oda. Skiepijant bet kuriuo nurodytu būdu, m</w:t>
      </w:r>
      <w:r w:rsidRPr="0033180F">
        <w:t>ažiausiai dviem minutėms r</w:t>
      </w:r>
      <w:r>
        <w:rPr>
          <w:szCs w:val="22"/>
        </w:rPr>
        <w:t>eikia stipriai prispausti (netrinant) injekcijos vietą.</w:t>
      </w:r>
    </w:p>
    <w:bookmarkEnd w:id="23"/>
    <w:p w14:paraId="2937E098" w14:textId="77777777" w:rsidR="00F50FC7" w:rsidRDefault="00F50FC7" w:rsidP="00F50FC7">
      <w:pPr>
        <w:tabs>
          <w:tab w:val="left" w:pos="567"/>
        </w:tabs>
        <w:ind w:right="-1"/>
        <w:jc w:val="both"/>
        <w:rPr>
          <w:szCs w:val="22"/>
        </w:rPr>
      </w:pPr>
    </w:p>
    <w:p w14:paraId="5FAFE5DB" w14:textId="77777777" w:rsidR="00F50FC7" w:rsidRDefault="00F50FC7" w:rsidP="00F50FC7">
      <w:pPr>
        <w:tabs>
          <w:tab w:val="left" w:pos="567"/>
        </w:tabs>
        <w:ind w:right="-1"/>
      </w:pPr>
      <w:proofErr w:type="spellStart"/>
      <w:r>
        <w:rPr>
          <w:szCs w:val="22"/>
        </w:rPr>
        <w:t>Boostrix</w:t>
      </w:r>
      <w:proofErr w:type="spellEnd"/>
      <w:r>
        <w:rPr>
          <w:szCs w:val="22"/>
        </w:rPr>
        <w:t xml:space="preserve"> jokiomis aplinkybėmis negalima leisti į kraujagyslę.</w:t>
      </w:r>
    </w:p>
    <w:p w14:paraId="7A11FD10" w14:textId="77777777" w:rsidR="00F50FC7" w:rsidRDefault="00F50FC7" w:rsidP="00F50FC7">
      <w:pPr>
        <w:tabs>
          <w:tab w:val="left" w:pos="567"/>
        </w:tabs>
        <w:ind w:right="-1"/>
        <w:jc w:val="both"/>
        <w:rPr>
          <w:szCs w:val="22"/>
        </w:rPr>
      </w:pPr>
    </w:p>
    <w:p w14:paraId="1F264E58" w14:textId="77777777" w:rsidR="00F50FC7" w:rsidRDefault="00F50FC7" w:rsidP="00F50FC7">
      <w:pPr>
        <w:tabs>
          <w:tab w:val="left" w:pos="567"/>
        </w:tabs>
        <w:ind w:right="-1"/>
      </w:pPr>
      <w:r>
        <w:rPr>
          <w:szCs w:val="22"/>
        </w:rPr>
        <w:t>Po vakcinacijos nuo difterijos, stabligės ir kokliušo asmeniui arba jo kraujo giminaičiams pasireiškę traukuliai arba kraujo giminaičiams pasireiškę nepageidaujami reiškiniai nėra kontraindikacijos.</w:t>
      </w:r>
    </w:p>
    <w:p w14:paraId="1B983F71" w14:textId="77777777" w:rsidR="00F50FC7" w:rsidRDefault="00F50FC7" w:rsidP="00F50FC7">
      <w:pPr>
        <w:tabs>
          <w:tab w:val="left" w:pos="567"/>
        </w:tabs>
        <w:ind w:right="-1"/>
        <w:rPr>
          <w:szCs w:val="22"/>
        </w:rPr>
      </w:pPr>
    </w:p>
    <w:p w14:paraId="3AC691BE" w14:textId="77777777" w:rsidR="00F50FC7" w:rsidRDefault="00F50FC7" w:rsidP="00F50FC7">
      <w:pPr>
        <w:tabs>
          <w:tab w:val="left" w:pos="567"/>
        </w:tabs>
      </w:pPr>
      <w:r>
        <w:rPr>
          <w:szCs w:val="22"/>
        </w:rPr>
        <w:t>Žmogaus imunodeficito viruso (ŽIV) infekcija nelaikoma kontraindikacija. Paskiepijus pacientus, kurių imuninė sistema yra nusilpusi, gali būti nepasiektas laukiamas imunologinis atsakas.</w:t>
      </w:r>
    </w:p>
    <w:p w14:paraId="6ED1E8A2" w14:textId="77777777" w:rsidR="00F50FC7" w:rsidRDefault="00F50FC7" w:rsidP="00F50FC7">
      <w:pPr>
        <w:tabs>
          <w:tab w:val="left" w:pos="567"/>
        </w:tabs>
        <w:rPr>
          <w:szCs w:val="22"/>
        </w:rPr>
      </w:pPr>
    </w:p>
    <w:p w14:paraId="05D67B0D" w14:textId="77777777" w:rsidR="00F50FC7" w:rsidRDefault="00F50FC7" w:rsidP="00F50FC7">
      <w:r>
        <w:rPr>
          <w:szCs w:val="22"/>
        </w:rPr>
        <w:t xml:space="preserve">Apalpimas (sinkopė) kaip </w:t>
      </w:r>
      <w:proofErr w:type="spellStart"/>
      <w:r>
        <w:rPr>
          <w:szCs w:val="22"/>
        </w:rPr>
        <w:t>psichogeninis</w:t>
      </w:r>
      <w:proofErr w:type="spellEnd"/>
      <w:r>
        <w:rPr>
          <w:szCs w:val="22"/>
        </w:rPr>
        <w:t xml:space="preserve"> atsakas į injekciją adata gali pasireikšti po arba net prieš bet kurį skiepijimą, ypač paaugliams. Kartu gali atsirasti įvairių neurologinių požymių, pavyzdžiui: trumpalaikis regėjimo sutrikimas, </w:t>
      </w:r>
      <w:proofErr w:type="spellStart"/>
      <w:r>
        <w:rPr>
          <w:szCs w:val="22"/>
        </w:rPr>
        <w:t>parestezija</w:t>
      </w:r>
      <w:proofErr w:type="spellEnd"/>
      <w:r>
        <w:rPr>
          <w:szCs w:val="22"/>
        </w:rPr>
        <w:t xml:space="preserve"> ir toniniai-</w:t>
      </w:r>
      <w:proofErr w:type="spellStart"/>
      <w:r>
        <w:rPr>
          <w:szCs w:val="22"/>
        </w:rPr>
        <w:t>kloniniai</w:t>
      </w:r>
      <w:proofErr w:type="spellEnd"/>
      <w:r>
        <w:rPr>
          <w:szCs w:val="22"/>
        </w:rPr>
        <w:t xml:space="preserve"> galūnių judesiai atsigavimo metu. Svarbu procedūras atlikti taip, kad būtų išvengta sužalojimų apalpus.</w:t>
      </w:r>
    </w:p>
    <w:p w14:paraId="103B604B" w14:textId="77777777" w:rsidR="00F50FC7" w:rsidRDefault="00F50FC7" w:rsidP="00F50FC7">
      <w:pPr>
        <w:rPr>
          <w:szCs w:val="22"/>
        </w:rPr>
      </w:pPr>
    </w:p>
    <w:p w14:paraId="50E9C40F" w14:textId="77777777" w:rsidR="00F50FC7" w:rsidRDefault="00F50FC7" w:rsidP="00F50FC7">
      <w:pPr>
        <w:tabs>
          <w:tab w:val="left" w:pos="567"/>
        </w:tabs>
        <w:rPr>
          <w:szCs w:val="22"/>
        </w:rPr>
      </w:pPr>
      <w:r>
        <w:rPr>
          <w:szCs w:val="22"/>
        </w:rPr>
        <w:t>Kaip ir skiepijant kitomis vakcinoms, apsauginis imuninis atsakas gali pasireikšti ne visiems paskiepytiesiems.</w:t>
      </w:r>
    </w:p>
    <w:p w14:paraId="331350BC" w14:textId="77777777" w:rsidR="00F50FC7" w:rsidRDefault="00F50FC7" w:rsidP="00F50FC7">
      <w:pPr>
        <w:tabs>
          <w:tab w:val="left" w:pos="567"/>
        </w:tabs>
        <w:rPr>
          <w:szCs w:val="22"/>
        </w:rPr>
      </w:pPr>
    </w:p>
    <w:p w14:paraId="070D1B9C" w14:textId="77777777" w:rsidR="00F50FC7" w:rsidRPr="00512C55" w:rsidRDefault="00F50FC7" w:rsidP="00F50FC7">
      <w:pPr>
        <w:tabs>
          <w:tab w:val="left" w:pos="567"/>
        </w:tabs>
        <w:rPr>
          <w:szCs w:val="22"/>
          <w:u w:val="single"/>
        </w:rPr>
      </w:pPr>
      <w:r w:rsidRPr="00512C55">
        <w:rPr>
          <w:szCs w:val="22"/>
          <w:u w:val="single"/>
        </w:rPr>
        <w:t>Pagalbinės medžiagos</w:t>
      </w:r>
    </w:p>
    <w:p w14:paraId="1CE8E4F3" w14:textId="77777777" w:rsidR="00F50FC7" w:rsidRDefault="00F50FC7" w:rsidP="00F50FC7">
      <w:pPr>
        <w:tabs>
          <w:tab w:val="left" w:pos="567"/>
        </w:tabs>
        <w:rPr>
          <w:szCs w:val="22"/>
        </w:rPr>
      </w:pPr>
    </w:p>
    <w:p w14:paraId="2DA3F760" w14:textId="48897207" w:rsidR="00F50FC7" w:rsidRDefault="00F50FC7" w:rsidP="00F50FC7">
      <w:pPr>
        <w:tabs>
          <w:tab w:val="left" w:pos="567"/>
        </w:tabs>
        <w:rPr>
          <w:szCs w:val="22"/>
        </w:rPr>
      </w:pPr>
      <w:r w:rsidRPr="00C87448">
        <w:rPr>
          <w:szCs w:val="22"/>
        </w:rPr>
        <w:t>Šio</w:t>
      </w:r>
      <w:r w:rsidR="000240B7">
        <w:rPr>
          <w:szCs w:val="22"/>
        </w:rPr>
        <w:t>s</w:t>
      </w:r>
      <w:r w:rsidR="00275DE8">
        <w:rPr>
          <w:szCs w:val="22"/>
        </w:rPr>
        <w:t xml:space="preserve"> vakcinos</w:t>
      </w:r>
      <w:r>
        <w:rPr>
          <w:szCs w:val="22"/>
        </w:rPr>
        <w:t xml:space="preserve"> </w:t>
      </w:r>
      <w:r w:rsidRPr="00C87448">
        <w:rPr>
          <w:szCs w:val="22"/>
        </w:rPr>
        <w:t>dozėje yra mažiau kaip 1</w:t>
      </w:r>
      <w:r>
        <w:rPr>
          <w:szCs w:val="22"/>
        </w:rPr>
        <w:t> </w:t>
      </w:r>
      <w:proofErr w:type="spellStart"/>
      <w:r w:rsidRPr="00C87448">
        <w:rPr>
          <w:szCs w:val="22"/>
        </w:rPr>
        <w:t>mmol</w:t>
      </w:r>
      <w:proofErr w:type="spellEnd"/>
      <w:r w:rsidRPr="00C87448">
        <w:rPr>
          <w:szCs w:val="22"/>
        </w:rPr>
        <w:t xml:space="preserve"> (23</w:t>
      </w:r>
      <w:r>
        <w:rPr>
          <w:szCs w:val="22"/>
        </w:rPr>
        <w:t> </w:t>
      </w:r>
      <w:r w:rsidRPr="00C87448">
        <w:rPr>
          <w:szCs w:val="22"/>
        </w:rPr>
        <w:t>mg) natrio, t. y. jis beveik neturi reikšmės.</w:t>
      </w:r>
    </w:p>
    <w:p w14:paraId="0655E117" w14:textId="77777777" w:rsidR="00F50FC7" w:rsidRDefault="00F50FC7" w:rsidP="00F50FC7">
      <w:pPr>
        <w:tabs>
          <w:tab w:val="left" w:pos="567"/>
        </w:tabs>
        <w:rPr>
          <w:szCs w:val="22"/>
        </w:rPr>
      </w:pPr>
    </w:p>
    <w:p w14:paraId="27A8E036" w14:textId="77777777" w:rsidR="00F50FC7" w:rsidRPr="00512C55" w:rsidRDefault="00F50FC7" w:rsidP="00F50FC7">
      <w:pPr>
        <w:tabs>
          <w:tab w:val="left" w:pos="567"/>
        </w:tabs>
        <w:rPr>
          <w:szCs w:val="22"/>
          <w:u w:val="single"/>
        </w:rPr>
      </w:pPr>
      <w:r w:rsidRPr="00512C55">
        <w:rPr>
          <w:szCs w:val="22"/>
          <w:u w:val="single"/>
        </w:rPr>
        <w:t>Atsekamumas</w:t>
      </w:r>
    </w:p>
    <w:p w14:paraId="14AE3B95" w14:textId="77777777" w:rsidR="00F50FC7" w:rsidRDefault="00F50FC7" w:rsidP="00F50FC7">
      <w:pPr>
        <w:tabs>
          <w:tab w:val="left" w:pos="567"/>
        </w:tabs>
        <w:rPr>
          <w:szCs w:val="22"/>
        </w:rPr>
      </w:pPr>
    </w:p>
    <w:p w14:paraId="7B306CF0" w14:textId="77777777" w:rsidR="00F50FC7" w:rsidRDefault="00F50FC7" w:rsidP="00F50FC7">
      <w:pPr>
        <w:rPr>
          <w:szCs w:val="22"/>
        </w:rPr>
      </w:pPr>
      <w:r w:rsidRPr="00F21FE2">
        <w:t>Siekiant pagerinti biologinių vaistinių preparatų atsekamumą, reikia aiškiai užrašyti paskirto vaistinio preparato pavadinimą ir serijos numerį.</w:t>
      </w:r>
    </w:p>
    <w:p w14:paraId="0BD01AAB" w14:textId="77777777" w:rsidR="00F50FC7" w:rsidRDefault="00F50FC7" w:rsidP="00F50FC7">
      <w:pPr>
        <w:tabs>
          <w:tab w:val="left" w:pos="567"/>
        </w:tabs>
        <w:rPr>
          <w:szCs w:val="22"/>
        </w:rPr>
      </w:pPr>
    </w:p>
    <w:p w14:paraId="499BBFC1" w14:textId="77777777" w:rsidR="00F50FC7" w:rsidRDefault="00F50FC7" w:rsidP="00F50FC7">
      <w:pPr>
        <w:tabs>
          <w:tab w:val="left" w:pos="567"/>
        </w:tabs>
        <w:rPr>
          <w:b/>
          <w:bCs/>
          <w:szCs w:val="22"/>
        </w:rPr>
      </w:pPr>
      <w:r>
        <w:rPr>
          <w:b/>
          <w:bCs/>
          <w:szCs w:val="22"/>
        </w:rPr>
        <w:t>4.5</w:t>
      </w:r>
      <w:r>
        <w:rPr>
          <w:b/>
          <w:bCs/>
          <w:szCs w:val="22"/>
        </w:rPr>
        <w:tab/>
        <w:t>Sąveika su kitais vaistiniais preparatais ir kitokia sąveika</w:t>
      </w:r>
    </w:p>
    <w:p w14:paraId="77181A57" w14:textId="77777777" w:rsidR="00F50FC7" w:rsidRDefault="00F50FC7" w:rsidP="00F50FC7">
      <w:pPr>
        <w:tabs>
          <w:tab w:val="left" w:pos="567"/>
        </w:tabs>
        <w:rPr>
          <w:szCs w:val="22"/>
        </w:rPr>
      </w:pPr>
    </w:p>
    <w:p w14:paraId="72B76387" w14:textId="77777777" w:rsidR="00F50FC7" w:rsidRDefault="00F50FC7" w:rsidP="00F50FC7">
      <w:pPr>
        <w:tabs>
          <w:tab w:val="left" w:pos="567"/>
        </w:tabs>
      </w:pPr>
      <w:r>
        <w:rPr>
          <w:szCs w:val="22"/>
          <w:u w:val="single"/>
        </w:rPr>
        <w:t>Vartojimas kartu su kitomis vakcinomis arba imunoglobulinais</w:t>
      </w:r>
    </w:p>
    <w:p w14:paraId="00722FDA" w14:textId="77777777" w:rsidR="00F50FC7" w:rsidRPr="00E90E50" w:rsidRDefault="00F50FC7" w:rsidP="00F50FC7">
      <w:pPr>
        <w:tabs>
          <w:tab w:val="left" w:pos="567"/>
        </w:tabs>
      </w:pPr>
    </w:p>
    <w:p w14:paraId="37A270C6" w14:textId="655B699C" w:rsidR="00F50FC7" w:rsidRDefault="00F50FC7" w:rsidP="00F50FC7">
      <w:pPr>
        <w:tabs>
          <w:tab w:val="left" w:pos="567"/>
        </w:tabs>
        <w:rPr>
          <w:szCs w:val="22"/>
        </w:rPr>
      </w:pPr>
      <w:proofErr w:type="spellStart"/>
      <w:r>
        <w:rPr>
          <w:szCs w:val="22"/>
        </w:rPr>
        <w:t>Boostrix</w:t>
      </w:r>
      <w:proofErr w:type="spellEnd"/>
      <w:r>
        <w:rPr>
          <w:szCs w:val="22"/>
        </w:rPr>
        <w:t xml:space="preserve"> galima vartoti kartu su žmogaus papilomos viruso vakcina be kliniškai reikšmingos įtakos antikūnų atsakui ir sąveikos su kuria nors vakcinos sudėtyje esančia medžiaga.</w:t>
      </w:r>
    </w:p>
    <w:p w14:paraId="6DCD26B5" w14:textId="77777777" w:rsidR="00F50FC7" w:rsidRDefault="00F50FC7" w:rsidP="00F50FC7">
      <w:pPr>
        <w:tabs>
          <w:tab w:val="left" w:pos="567"/>
        </w:tabs>
        <w:rPr>
          <w:szCs w:val="22"/>
        </w:rPr>
      </w:pPr>
    </w:p>
    <w:p w14:paraId="7252DDB2" w14:textId="77777777" w:rsidR="00F50FC7" w:rsidRDefault="00F50FC7" w:rsidP="00F50FC7">
      <w:pPr>
        <w:tabs>
          <w:tab w:val="left" w:pos="567"/>
        </w:tabs>
      </w:pPr>
      <w:bookmarkStart w:id="24" w:name="_Hlk9445176"/>
      <w:proofErr w:type="spellStart"/>
      <w:r>
        <w:rPr>
          <w:szCs w:val="22"/>
        </w:rPr>
        <w:t>Boostrix</w:t>
      </w:r>
      <w:proofErr w:type="spellEnd"/>
      <w:r>
        <w:rPr>
          <w:szCs w:val="22"/>
        </w:rPr>
        <w:t xml:space="preserve"> galima vartoti kartu su </w:t>
      </w:r>
      <w:proofErr w:type="spellStart"/>
      <w:r>
        <w:rPr>
          <w:szCs w:val="22"/>
        </w:rPr>
        <w:t>konjuguotomis</w:t>
      </w:r>
      <w:proofErr w:type="spellEnd"/>
      <w:r>
        <w:rPr>
          <w:szCs w:val="22"/>
        </w:rPr>
        <w:t xml:space="preserve"> meningokokinėmis A, C, W-135 ir Y serologinių grupių (</w:t>
      </w:r>
      <w:proofErr w:type="spellStart"/>
      <w:r>
        <w:rPr>
          <w:szCs w:val="22"/>
        </w:rPr>
        <w:t>MenACWY</w:t>
      </w:r>
      <w:proofErr w:type="spellEnd"/>
      <w:r>
        <w:rPr>
          <w:szCs w:val="22"/>
        </w:rPr>
        <w:t>) vakcinomis. Klinikinių tyrimų, kuriuose dalyvavo 9</w:t>
      </w:r>
      <w:r>
        <w:rPr>
          <w:szCs w:val="22"/>
        </w:rPr>
        <w:noBreakHyphen/>
        <w:t xml:space="preserve">25 metų tiriamieji, metu buvo nustatyta, kad imuninis atsakas į stabligės, difterijos ir </w:t>
      </w:r>
      <w:proofErr w:type="spellStart"/>
      <w:r>
        <w:rPr>
          <w:szCs w:val="22"/>
        </w:rPr>
        <w:t>meningokokų</w:t>
      </w:r>
      <w:proofErr w:type="spellEnd"/>
      <w:r>
        <w:rPr>
          <w:szCs w:val="22"/>
        </w:rPr>
        <w:t xml:space="preserve"> antigenus nepakito. Buvo nustatyti mažesni kokliušo antigeno koncentracijų geometriniai vidurkiai (</w:t>
      </w:r>
      <w:bookmarkStart w:id="25" w:name="_Hlk74595530"/>
      <w:r>
        <w:rPr>
          <w:szCs w:val="22"/>
        </w:rPr>
        <w:t>KGV</w:t>
      </w:r>
      <w:bookmarkEnd w:id="25"/>
      <w:r>
        <w:rPr>
          <w:szCs w:val="22"/>
        </w:rPr>
        <w:t>). Vis dėlto, šie duomenys nerodo kliniškai reikšmingos sąveikos.</w:t>
      </w:r>
    </w:p>
    <w:bookmarkEnd w:id="24"/>
    <w:p w14:paraId="700FDDE3" w14:textId="77777777" w:rsidR="00F50FC7" w:rsidRDefault="00F50FC7" w:rsidP="00F50FC7">
      <w:pPr>
        <w:tabs>
          <w:tab w:val="left" w:pos="567"/>
        </w:tabs>
        <w:rPr>
          <w:szCs w:val="22"/>
        </w:rPr>
      </w:pPr>
    </w:p>
    <w:p w14:paraId="25F1A4A5" w14:textId="35457C38" w:rsidR="00EE251D" w:rsidRDefault="00EC1B3E" w:rsidP="00EC1B3E">
      <w:proofErr w:type="spellStart"/>
      <w:r w:rsidRPr="0095575C">
        <w:lastRenderedPageBreak/>
        <w:t>Boostrix</w:t>
      </w:r>
      <w:proofErr w:type="spellEnd"/>
      <w:r w:rsidRPr="0095575C">
        <w:t xml:space="preserve"> </w:t>
      </w:r>
      <w:r w:rsidR="00F82B0B">
        <w:t>gali b</w:t>
      </w:r>
      <w:r w:rsidR="00F82B0B" w:rsidRPr="00F82B0B">
        <w:t xml:space="preserve">ūti skiriama kartu su </w:t>
      </w:r>
      <w:proofErr w:type="spellStart"/>
      <w:r w:rsidR="00F82B0B" w:rsidRPr="00F82B0B">
        <w:t>adjuv</w:t>
      </w:r>
      <w:r w:rsidR="002F0097">
        <w:t>an</w:t>
      </w:r>
      <w:r w:rsidR="00F82B0B" w:rsidRPr="00F82B0B">
        <w:t>to</w:t>
      </w:r>
      <w:proofErr w:type="spellEnd"/>
      <w:r w:rsidR="00DA657E">
        <w:t xml:space="preserve"> neturinčio</w:t>
      </w:r>
      <w:r w:rsidR="00F82B0B" w:rsidRPr="00F82B0B">
        <w:t xml:space="preserve">mis </w:t>
      </w:r>
      <w:proofErr w:type="spellStart"/>
      <w:r w:rsidR="00F82B0B" w:rsidRPr="00F82B0B">
        <w:t>inaktyvuotomis</w:t>
      </w:r>
      <w:proofErr w:type="spellEnd"/>
      <w:r w:rsidR="00F82B0B" w:rsidRPr="00F82B0B">
        <w:t xml:space="preserve"> sezoninėmis vakcinomis</w:t>
      </w:r>
      <w:r w:rsidR="00991FDE" w:rsidRPr="00991FDE">
        <w:t xml:space="preserve"> </w:t>
      </w:r>
      <w:r w:rsidR="00991FDE">
        <w:t xml:space="preserve">nuo </w:t>
      </w:r>
      <w:r w:rsidR="00991FDE" w:rsidRPr="00F82B0B">
        <w:t>gripo</w:t>
      </w:r>
      <w:r w:rsidR="00F82B0B" w:rsidRPr="00F82B0B">
        <w:t>.</w:t>
      </w:r>
      <w:r w:rsidRPr="0095575C">
        <w:t xml:space="preserve"> </w:t>
      </w:r>
      <w:proofErr w:type="spellStart"/>
      <w:r w:rsidRPr="0095575C">
        <w:t>Boostrix</w:t>
      </w:r>
      <w:proofErr w:type="spellEnd"/>
      <w:r w:rsidRPr="0095575C">
        <w:t xml:space="preserve"> </w:t>
      </w:r>
      <w:r w:rsidR="00DA657E">
        <w:t>vartoj</w:t>
      </w:r>
      <w:r w:rsidR="00C136B2">
        <w:t>imo</w:t>
      </w:r>
      <w:r w:rsidR="00DA657E">
        <w:t xml:space="preserve"> kartu su </w:t>
      </w:r>
      <w:proofErr w:type="spellStart"/>
      <w:r w:rsidRPr="0095575C">
        <w:t>trivalent</w:t>
      </w:r>
      <w:r w:rsidR="00DA657E">
        <w:t>e</w:t>
      </w:r>
      <w:proofErr w:type="spellEnd"/>
      <w:r w:rsidRPr="0095575C">
        <w:t xml:space="preserve"> </w:t>
      </w:r>
      <w:proofErr w:type="spellStart"/>
      <w:r w:rsidRPr="0095575C">
        <w:t>ina</w:t>
      </w:r>
      <w:r w:rsidR="00DA657E">
        <w:t>ktyvuota</w:t>
      </w:r>
      <w:proofErr w:type="spellEnd"/>
      <w:r w:rsidR="00E5686B">
        <w:t xml:space="preserve"> vakcina</w:t>
      </w:r>
      <w:r w:rsidRPr="0095575C">
        <w:t xml:space="preserve"> </w:t>
      </w:r>
      <w:r w:rsidR="007227A0">
        <w:t xml:space="preserve">nuo gripo </w:t>
      </w:r>
      <w:r w:rsidR="009A0A35">
        <w:t>19</w:t>
      </w:r>
      <w:r w:rsidR="009A0A35">
        <w:noBreakHyphen/>
        <w:t>64 metų tiriamiesiems</w:t>
      </w:r>
      <w:r w:rsidRPr="0095575C">
        <w:t xml:space="preserve"> </w:t>
      </w:r>
      <w:r w:rsidR="00E8261F" w:rsidRPr="00E8261F">
        <w:t>klinikiniai duomenys rod</w:t>
      </w:r>
      <w:r w:rsidR="00C136B2">
        <w:t>o</w:t>
      </w:r>
      <w:r w:rsidR="00E8261F" w:rsidRPr="00E8261F">
        <w:t>, kad imuninis atsakas į stablig</w:t>
      </w:r>
      <w:r w:rsidR="00E8261F">
        <w:t>ės</w:t>
      </w:r>
      <w:r w:rsidR="00E8261F" w:rsidRPr="00E8261F">
        <w:t>, difterij</w:t>
      </w:r>
      <w:r w:rsidR="00E8261F">
        <w:t>os</w:t>
      </w:r>
      <w:r w:rsidR="00E8261F" w:rsidRPr="00E8261F">
        <w:t xml:space="preserve">, kokliušo </w:t>
      </w:r>
      <w:proofErr w:type="spellStart"/>
      <w:r w:rsidR="00E8261F" w:rsidRPr="00E8261F">
        <w:t>anatoksin</w:t>
      </w:r>
      <w:r w:rsidR="00E8261F">
        <w:t>ą</w:t>
      </w:r>
      <w:proofErr w:type="spellEnd"/>
      <w:r w:rsidR="00E8261F" w:rsidRPr="00E8261F">
        <w:t xml:space="preserve"> (</w:t>
      </w:r>
      <w:r w:rsidR="00136AD4">
        <w:t>KA</w:t>
      </w:r>
      <w:r w:rsidR="00E8261F" w:rsidRPr="00E8261F">
        <w:t>) ir gripo antigenus nebuvo paveiktas.</w:t>
      </w:r>
      <w:r w:rsidR="00E8261F">
        <w:t xml:space="preserve"> </w:t>
      </w:r>
      <w:r w:rsidR="00C136B2">
        <w:t xml:space="preserve">Buvo stebėti mažesni </w:t>
      </w:r>
      <w:r w:rsidR="00200ACF" w:rsidRPr="00200ACF">
        <w:t xml:space="preserve">kokliušo </w:t>
      </w:r>
      <w:proofErr w:type="spellStart"/>
      <w:r w:rsidR="00200ACF">
        <w:t>filamentinio</w:t>
      </w:r>
      <w:proofErr w:type="spellEnd"/>
      <w:r w:rsidR="00200ACF" w:rsidRPr="00200ACF">
        <w:t xml:space="preserve"> </w:t>
      </w:r>
      <w:proofErr w:type="spellStart"/>
      <w:r w:rsidR="00200ACF" w:rsidRPr="00200ACF">
        <w:t>hemagliutinino</w:t>
      </w:r>
      <w:proofErr w:type="spellEnd"/>
      <w:r w:rsidR="00200ACF" w:rsidRPr="00200ACF">
        <w:t xml:space="preserve"> (FHA) ir </w:t>
      </w:r>
      <w:proofErr w:type="spellStart"/>
      <w:r w:rsidR="00200ACF" w:rsidRPr="00200ACF">
        <w:t>pertaktino</w:t>
      </w:r>
      <w:proofErr w:type="spellEnd"/>
      <w:r w:rsidR="00200ACF" w:rsidRPr="00200ACF">
        <w:t xml:space="preserve"> (PRN) antigen</w:t>
      </w:r>
      <w:r w:rsidR="00200ACF">
        <w:t>ų</w:t>
      </w:r>
      <w:r w:rsidR="00200ACF" w:rsidRPr="00200ACF">
        <w:t xml:space="preserve"> </w:t>
      </w:r>
      <w:r w:rsidR="00C136B2" w:rsidRPr="00C136B2">
        <w:t>KGV</w:t>
      </w:r>
      <w:r w:rsidR="00200ACF">
        <w:t xml:space="preserve">. Vis dėlto, </w:t>
      </w:r>
      <w:r w:rsidR="00F3038E">
        <w:t>šie duomenys nerodo</w:t>
      </w:r>
      <w:r w:rsidR="00F3038E" w:rsidRPr="00F3038E">
        <w:t xml:space="preserve"> kliniškai reikšmingo</w:t>
      </w:r>
      <w:r w:rsidR="00F3038E">
        <w:t>s sąveikos</w:t>
      </w:r>
      <w:r w:rsidRPr="0095575C">
        <w:t xml:space="preserve">. </w:t>
      </w:r>
      <w:r w:rsidR="003C1A21">
        <w:t>Suleidži</w:t>
      </w:r>
      <w:r w:rsidR="00EE251D">
        <w:t xml:space="preserve">ant </w:t>
      </w:r>
      <w:r w:rsidR="003C1A21">
        <w:t xml:space="preserve">vakcinas kartu arba atskirai 65 metų </w:t>
      </w:r>
      <w:r w:rsidR="00E22136">
        <w:t xml:space="preserve">ir vyresniems </w:t>
      </w:r>
      <w:r w:rsidR="003C1A21">
        <w:t xml:space="preserve">tiriamiesiems, </w:t>
      </w:r>
      <w:r w:rsidR="002F0097" w:rsidRPr="00EE251D">
        <w:t>skirtumų</w:t>
      </w:r>
      <w:r w:rsidR="002F0097">
        <w:t xml:space="preserve"> </w:t>
      </w:r>
      <w:r w:rsidR="00E22136">
        <w:t>i</w:t>
      </w:r>
      <w:r w:rsidR="00EE251D" w:rsidRPr="00EE251D">
        <w:t xml:space="preserve">š anksto </w:t>
      </w:r>
      <w:r w:rsidR="00E22136">
        <w:t>apibrėž</w:t>
      </w:r>
      <w:r w:rsidR="00EE251D" w:rsidRPr="00EE251D">
        <w:t>toje tiriamojoje kohortoje nepastebėta.</w:t>
      </w:r>
    </w:p>
    <w:p w14:paraId="17E13BCC" w14:textId="77777777" w:rsidR="00EE251D" w:rsidRDefault="00EE251D" w:rsidP="00EC1B3E"/>
    <w:p w14:paraId="04AC735D" w14:textId="14A6B510" w:rsidR="00DA04BF" w:rsidRDefault="00EC1B3E" w:rsidP="001B212B">
      <w:proofErr w:type="spellStart"/>
      <w:r w:rsidRPr="0095575C">
        <w:t>Boostrix</w:t>
      </w:r>
      <w:proofErr w:type="spellEnd"/>
      <w:r w:rsidRPr="0095575C">
        <w:t xml:space="preserve"> </w:t>
      </w:r>
      <w:r w:rsidR="002F0097">
        <w:t xml:space="preserve">galima suleisti </w:t>
      </w:r>
      <w:r w:rsidR="006C6BA5">
        <w:t>kartu su negyv</w:t>
      </w:r>
      <w:r w:rsidR="00033C56">
        <w:t>ąja</w:t>
      </w:r>
      <w:r w:rsidR="006C6BA5">
        <w:t xml:space="preserve"> </w:t>
      </w:r>
      <w:proofErr w:type="spellStart"/>
      <w:r w:rsidR="00CE3DE0" w:rsidRPr="0095575C">
        <w:rPr>
          <w:i/>
          <w:iCs/>
        </w:rPr>
        <w:t>herpes</w:t>
      </w:r>
      <w:proofErr w:type="spellEnd"/>
      <w:r w:rsidR="00CE3DE0" w:rsidRPr="0095575C">
        <w:rPr>
          <w:i/>
          <w:iCs/>
        </w:rPr>
        <w:t xml:space="preserve"> </w:t>
      </w:r>
      <w:proofErr w:type="spellStart"/>
      <w:r w:rsidR="00CE3DE0" w:rsidRPr="0095575C">
        <w:rPr>
          <w:i/>
          <w:iCs/>
        </w:rPr>
        <w:t>zoster</w:t>
      </w:r>
      <w:proofErr w:type="spellEnd"/>
      <w:r w:rsidR="00CE3DE0" w:rsidRPr="0095575C">
        <w:t xml:space="preserve"> </w:t>
      </w:r>
      <w:r w:rsidR="006C6BA5">
        <w:t>vakcina</w:t>
      </w:r>
      <w:r w:rsidRPr="0095575C">
        <w:t xml:space="preserve">. </w:t>
      </w:r>
      <w:r w:rsidR="004272A5">
        <w:t xml:space="preserve">Penkiasdešimtmečių </w:t>
      </w:r>
      <w:r w:rsidR="004272A5" w:rsidRPr="004272A5">
        <w:t>ir vyresni</w:t>
      </w:r>
      <w:r w:rsidR="004272A5">
        <w:t>ų tiriamųjų k</w:t>
      </w:r>
      <w:r w:rsidRPr="0095575C">
        <w:t>lini</w:t>
      </w:r>
      <w:r w:rsidR="00CE3DE0">
        <w:t xml:space="preserve">kiniai duomenys </w:t>
      </w:r>
      <w:r w:rsidR="004272A5" w:rsidRPr="004272A5">
        <w:t xml:space="preserve">parodė, kad imuninis atsakas į stabligės, difterijos, </w:t>
      </w:r>
      <w:r w:rsidR="001B212B">
        <w:t>KA</w:t>
      </w:r>
      <w:r w:rsidR="004272A5" w:rsidRPr="004272A5">
        <w:t xml:space="preserve">, FHA ir </w:t>
      </w:r>
      <w:proofErr w:type="spellStart"/>
      <w:r w:rsidR="001B212B" w:rsidRPr="0095575C">
        <w:rPr>
          <w:i/>
          <w:iCs/>
        </w:rPr>
        <w:t>herpes</w:t>
      </w:r>
      <w:proofErr w:type="spellEnd"/>
      <w:r w:rsidR="001B212B" w:rsidRPr="0095575C">
        <w:rPr>
          <w:i/>
          <w:iCs/>
        </w:rPr>
        <w:t xml:space="preserve"> </w:t>
      </w:r>
      <w:proofErr w:type="spellStart"/>
      <w:r w:rsidR="001B212B" w:rsidRPr="0095575C">
        <w:rPr>
          <w:i/>
          <w:iCs/>
        </w:rPr>
        <w:t>zoster</w:t>
      </w:r>
      <w:proofErr w:type="spellEnd"/>
      <w:r w:rsidR="001B212B" w:rsidRPr="004272A5">
        <w:t xml:space="preserve"> </w:t>
      </w:r>
      <w:r w:rsidR="004272A5" w:rsidRPr="004272A5">
        <w:t>antigenus nepakito.</w:t>
      </w:r>
      <w:r w:rsidR="001B212B">
        <w:t xml:space="preserve"> </w:t>
      </w:r>
      <w:r w:rsidR="00DA04BF">
        <w:t xml:space="preserve">Buvo stebėti mažesni </w:t>
      </w:r>
      <w:r w:rsidR="00DA04BF" w:rsidRPr="00200ACF">
        <w:t>PRN antigen</w:t>
      </w:r>
      <w:r w:rsidR="00DA04BF">
        <w:t>ų</w:t>
      </w:r>
      <w:r w:rsidR="00DA04BF" w:rsidRPr="00200ACF">
        <w:t xml:space="preserve"> </w:t>
      </w:r>
      <w:r w:rsidR="00DA04BF" w:rsidRPr="00C136B2">
        <w:t>KGV</w:t>
      </w:r>
      <w:r w:rsidR="00DA04BF">
        <w:t>. Vis dėlto, šie duomenys nerodo</w:t>
      </w:r>
      <w:r w:rsidR="00DA04BF" w:rsidRPr="00F3038E">
        <w:t xml:space="preserve"> kliniškai reikšmingo</w:t>
      </w:r>
      <w:r w:rsidR="00DA04BF">
        <w:t>s sąveikos</w:t>
      </w:r>
      <w:r w:rsidR="00DA04BF" w:rsidRPr="0095575C">
        <w:t>.</w:t>
      </w:r>
    </w:p>
    <w:p w14:paraId="519946B4" w14:textId="77777777" w:rsidR="00EC1B3E" w:rsidRDefault="00EC1B3E" w:rsidP="00F50FC7">
      <w:pPr>
        <w:tabs>
          <w:tab w:val="left" w:pos="567"/>
        </w:tabs>
        <w:rPr>
          <w:szCs w:val="22"/>
        </w:rPr>
      </w:pPr>
    </w:p>
    <w:p w14:paraId="2CB34E74" w14:textId="7EEF825A" w:rsidR="00F257AA" w:rsidRDefault="00F50FC7" w:rsidP="00F50FC7">
      <w:pPr>
        <w:tabs>
          <w:tab w:val="left" w:pos="567"/>
        </w:tabs>
        <w:rPr>
          <w:szCs w:val="22"/>
        </w:rPr>
      </w:pPr>
      <w:proofErr w:type="spellStart"/>
      <w:r>
        <w:rPr>
          <w:szCs w:val="22"/>
        </w:rPr>
        <w:t>Boostrix</w:t>
      </w:r>
      <w:proofErr w:type="spellEnd"/>
      <w:r>
        <w:rPr>
          <w:szCs w:val="22"/>
        </w:rPr>
        <w:t xml:space="preserve"> vartojimas kartu su kitomis vakcinomis arba imunoglobulinu netirtas.</w:t>
      </w:r>
    </w:p>
    <w:p w14:paraId="1DEF149E" w14:textId="77777777" w:rsidR="00F257AA" w:rsidRDefault="00F257AA" w:rsidP="00F50FC7">
      <w:pPr>
        <w:tabs>
          <w:tab w:val="left" w:pos="567"/>
        </w:tabs>
        <w:rPr>
          <w:szCs w:val="22"/>
        </w:rPr>
      </w:pPr>
    </w:p>
    <w:p w14:paraId="2BC040C8" w14:textId="4883B375" w:rsidR="00F50FC7" w:rsidRDefault="00F50FC7" w:rsidP="00F50FC7">
      <w:pPr>
        <w:tabs>
          <w:tab w:val="left" w:pos="567"/>
        </w:tabs>
      </w:pPr>
      <w:r>
        <w:rPr>
          <w:szCs w:val="22"/>
        </w:rPr>
        <w:t xml:space="preserve">Nesitikima, kad vartojimas kartu </w:t>
      </w:r>
      <w:r w:rsidR="00F257AA">
        <w:rPr>
          <w:szCs w:val="22"/>
        </w:rPr>
        <w:t xml:space="preserve">su kitomis </w:t>
      </w:r>
      <w:proofErr w:type="spellStart"/>
      <w:r w:rsidR="00F257AA">
        <w:rPr>
          <w:szCs w:val="22"/>
        </w:rPr>
        <w:t>inaktyvuotomis</w:t>
      </w:r>
      <w:proofErr w:type="spellEnd"/>
      <w:r w:rsidR="00F257AA">
        <w:rPr>
          <w:szCs w:val="22"/>
        </w:rPr>
        <w:t xml:space="preserve"> vakcinomis ar imunoglobulinais klinišk</w:t>
      </w:r>
      <w:r w:rsidR="00A46842">
        <w:rPr>
          <w:szCs w:val="22"/>
        </w:rPr>
        <w:t xml:space="preserve">ai reikšmingai </w:t>
      </w:r>
      <w:r>
        <w:rPr>
          <w:szCs w:val="22"/>
        </w:rPr>
        <w:t>sutrikdytų imuninį atsaką.</w:t>
      </w:r>
    </w:p>
    <w:p w14:paraId="0982011E" w14:textId="77777777" w:rsidR="00F50FC7" w:rsidRDefault="00F50FC7" w:rsidP="00F50FC7">
      <w:pPr>
        <w:tabs>
          <w:tab w:val="left" w:pos="567"/>
        </w:tabs>
        <w:rPr>
          <w:szCs w:val="22"/>
        </w:rPr>
      </w:pPr>
    </w:p>
    <w:p w14:paraId="5B7181D0" w14:textId="77777777" w:rsidR="00F50FC7" w:rsidRDefault="00F50FC7" w:rsidP="00F50FC7">
      <w:pPr>
        <w:tabs>
          <w:tab w:val="left" w:pos="567"/>
        </w:tabs>
      </w:pPr>
      <w:r>
        <w:rPr>
          <w:szCs w:val="22"/>
        </w:rPr>
        <w:t xml:space="preserve">Remiantis visuotinai priimtina skiepų praktika ir rekomendacijomis, nusprendus, kad </w:t>
      </w:r>
      <w:proofErr w:type="spellStart"/>
      <w:r>
        <w:rPr>
          <w:szCs w:val="22"/>
        </w:rPr>
        <w:t>Boostrix</w:t>
      </w:r>
      <w:proofErr w:type="spellEnd"/>
      <w:r>
        <w:rPr>
          <w:szCs w:val="22"/>
        </w:rPr>
        <w:t xml:space="preserve"> būtina skirti kartu su kitomis vakcinomis arba imunoglobulinais, vaistinius preparatus reikia suleisti į skirtingas vietas.</w:t>
      </w:r>
    </w:p>
    <w:p w14:paraId="2C8DDEF5" w14:textId="77777777" w:rsidR="00F50FC7" w:rsidRDefault="00F50FC7" w:rsidP="00F50FC7">
      <w:pPr>
        <w:tabs>
          <w:tab w:val="left" w:pos="567"/>
        </w:tabs>
        <w:rPr>
          <w:szCs w:val="22"/>
        </w:rPr>
      </w:pPr>
    </w:p>
    <w:p w14:paraId="59AF210A" w14:textId="77777777" w:rsidR="00F50FC7" w:rsidRPr="008D66EC" w:rsidRDefault="00F50FC7" w:rsidP="00F50FC7">
      <w:pPr>
        <w:tabs>
          <w:tab w:val="left" w:pos="567"/>
        </w:tabs>
      </w:pPr>
      <w:r>
        <w:rPr>
          <w:szCs w:val="22"/>
          <w:u w:val="single"/>
        </w:rPr>
        <w:t>Vartojimas imunosupresinio gydymo metu</w:t>
      </w:r>
    </w:p>
    <w:p w14:paraId="2E9353C7" w14:textId="77777777" w:rsidR="00F50FC7" w:rsidRDefault="00F50FC7" w:rsidP="00F50FC7">
      <w:pPr>
        <w:tabs>
          <w:tab w:val="left" w:pos="567"/>
        </w:tabs>
        <w:rPr>
          <w:szCs w:val="22"/>
          <w:u w:val="single"/>
        </w:rPr>
      </w:pPr>
    </w:p>
    <w:p w14:paraId="6501B648" w14:textId="77777777" w:rsidR="00F50FC7" w:rsidRDefault="00F50FC7" w:rsidP="00F50FC7">
      <w:pPr>
        <w:tabs>
          <w:tab w:val="left" w:pos="567"/>
        </w:tabs>
      </w:pPr>
      <w:r>
        <w:rPr>
          <w:szCs w:val="22"/>
        </w:rPr>
        <w:t>Kaip ir vartojant kitas vakcinas, imunosupresinio gydymo metu pacientams gali būti nepasiektas tinkamas atsakas.</w:t>
      </w:r>
    </w:p>
    <w:bookmarkEnd w:id="21"/>
    <w:bookmarkEnd w:id="22"/>
    <w:p w14:paraId="0DBAE2D1" w14:textId="77777777" w:rsidR="00F50FC7" w:rsidRDefault="00F50FC7" w:rsidP="00F50FC7">
      <w:pPr>
        <w:tabs>
          <w:tab w:val="left" w:pos="567"/>
        </w:tabs>
      </w:pPr>
    </w:p>
    <w:p w14:paraId="559C2CAA" w14:textId="77777777" w:rsidR="00F50FC7" w:rsidRDefault="00F50FC7" w:rsidP="00F50FC7">
      <w:pPr>
        <w:pStyle w:val="PI-2EMEASMCA"/>
        <w:numPr>
          <w:ilvl w:val="1"/>
          <w:numId w:val="3"/>
        </w:numPr>
        <w:outlineLvl w:val="9"/>
      </w:pPr>
      <w:bookmarkStart w:id="26" w:name="_Toc129243108"/>
      <w:bookmarkStart w:id="27" w:name="_Toc129243233"/>
      <w:r>
        <w:t>Vaisingumas, nėštumo ir žindymo laikotarpis</w:t>
      </w:r>
    </w:p>
    <w:p w14:paraId="636A4D33" w14:textId="77777777" w:rsidR="00F50FC7" w:rsidRPr="00E90E50" w:rsidRDefault="00F50FC7" w:rsidP="00F50FC7">
      <w:pPr>
        <w:pStyle w:val="PI-2EMEASMCA"/>
        <w:ind w:left="0" w:firstLine="0"/>
        <w:rPr>
          <w:b w:val="0"/>
        </w:rPr>
      </w:pPr>
    </w:p>
    <w:p w14:paraId="00207666" w14:textId="77777777" w:rsidR="00F50FC7" w:rsidRDefault="00F50FC7" w:rsidP="00F50FC7">
      <w:pPr>
        <w:keepNext/>
        <w:tabs>
          <w:tab w:val="left" w:pos="567"/>
        </w:tabs>
        <w:rPr>
          <w:szCs w:val="22"/>
          <w:u w:val="single"/>
        </w:rPr>
      </w:pPr>
      <w:r>
        <w:rPr>
          <w:szCs w:val="22"/>
          <w:u w:val="single"/>
        </w:rPr>
        <w:t>Nėštumas</w:t>
      </w:r>
    </w:p>
    <w:p w14:paraId="786AC480" w14:textId="77777777" w:rsidR="00F50FC7" w:rsidRPr="00E90E50" w:rsidRDefault="00F50FC7" w:rsidP="00F50FC7">
      <w:pPr>
        <w:keepNext/>
        <w:tabs>
          <w:tab w:val="left" w:pos="567"/>
        </w:tabs>
      </w:pPr>
    </w:p>
    <w:p w14:paraId="61998BD0" w14:textId="62AF73AD" w:rsidR="00F50FC7" w:rsidRDefault="00F50FC7" w:rsidP="00F50FC7">
      <w:proofErr w:type="spellStart"/>
      <w:r>
        <w:t>Boostrix</w:t>
      </w:r>
      <w:proofErr w:type="spellEnd"/>
      <w:r w:rsidRPr="00B23FED">
        <w:t xml:space="preserve"> </w:t>
      </w:r>
      <w:r>
        <w:t>galima skirti nėščioms moterims antrąjį ar trečiąjį nėštumo trimestrais laikantis oficialių rekomendacijų.</w:t>
      </w:r>
    </w:p>
    <w:p w14:paraId="5A958440" w14:textId="77777777" w:rsidR="00F50FC7" w:rsidRDefault="00F50FC7" w:rsidP="00F50FC7"/>
    <w:p w14:paraId="34FF7559" w14:textId="66473242" w:rsidR="00F50FC7" w:rsidRDefault="00F50FC7" w:rsidP="00F50FC7">
      <w:r>
        <w:t>Duomenis apie kūdikių, kuriuos pagimdė nėštumo metu paskiepytos motinos, apsaugą nuo kokliušo ligos žr.</w:t>
      </w:r>
      <w:r w:rsidR="00AE55FA">
        <w:t> </w:t>
      </w:r>
      <w:r>
        <w:t>5.1 skyriuje.</w:t>
      </w:r>
    </w:p>
    <w:p w14:paraId="4745B8F7" w14:textId="77777777" w:rsidR="00F50FC7" w:rsidRDefault="00F50FC7" w:rsidP="00F50FC7">
      <w:pPr>
        <w:rPr>
          <w:szCs w:val="22"/>
        </w:rPr>
      </w:pPr>
    </w:p>
    <w:p w14:paraId="58D5A935" w14:textId="77777777" w:rsidR="00F50FC7" w:rsidRDefault="00F50FC7" w:rsidP="00F50FC7">
      <w:r>
        <w:t>Atsitiktinių imčių kontroliuojamojo klinikinio tyrimo (341 </w:t>
      </w:r>
      <w:r w:rsidRPr="00D66E4B">
        <w:t>nėštum</w:t>
      </w:r>
      <w:r>
        <w:t>o</w:t>
      </w:r>
      <w:r w:rsidRPr="00D66E4B">
        <w:t xml:space="preserve"> baigtys</w:t>
      </w:r>
      <w:r>
        <w:t xml:space="preserve">) ir perspektyviojo stebėjimo tyrimo (793 nėštumų baigtys), kurių metu nėščios moterys trečiąjį nėštumo trimestrą buvo paskiepytos </w:t>
      </w:r>
      <w:proofErr w:type="spellStart"/>
      <w:r>
        <w:t>Boostrix</w:t>
      </w:r>
      <w:proofErr w:type="spellEnd"/>
      <w:r>
        <w:t>, saugumo duomenys su vakcina susijusio nepageidaujamo poveikio nėštumui arba vaisiaus ar naujagimio sveikatai neparodė.</w:t>
      </w:r>
    </w:p>
    <w:p w14:paraId="17C9290D" w14:textId="77777777" w:rsidR="00F50FC7" w:rsidRDefault="00F50FC7" w:rsidP="00F50FC7"/>
    <w:p w14:paraId="1B38A68D" w14:textId="77777777" w:rsidR="00F50FC7" w:rsidRDefault="00F50FC7" w:rsidP="00F50FC7">
      <w:bookmarkStart w:id="28" w:name="_Hlk54980646"/>
      <w:r>
        <w:t xml:space="preserve">Perspektyviųjų klinikinių tyrimų saugumo duomenų apie </w:t>
      </w:r>
      <w:proofErr w:type="spellStart"/>
      <w:r>
        <w:t>Boostrix</w:t>
      </w:r>
      <w:proofErr w:type="spellEnd"/>
      <w:r>
        <w:t xml:space="preserve"> ar </w:t>
      </w:r>
      <w:proofErr w:type="spellStart"/>
      <w:r>
        <w:t>Boostrix</w:t>
      </w:r>
      <w:proofErr w:type="spellEnd"/>
      <w:r>
        <w:t xml:space="preserve"> Polio vartojimą žmogui pirmąjį ir antrąjį nėštumo trimestrais nėra. </w:t>
      </w:r>
    </w:p>
    <w:bookmarkEnd w:id="28"/>
    <w:p w14:paraId="675A25FE" w14:textId="77777777" w:rsidR="00F50FC7" w:rsidRDefault="00F50FC7" w:rsidP="00F50FC7"/>
    <w:p w14:paraId="08707903" w14:textId="77777777" w:rsidR="00F50FC7" w:rsidRDefault="00F50FC7" w:rsidP="00F50FC7">
      <w:r>
        <w:t xml:space="preserve">Nėščių moterų, trečiąjį ar antrąjį nėštumo trimestrais patyrusių </w:t>
      </w:r>
      <w:proofErr w:type="spellStart"/>
      <w:r>
        <w:t>Boostrix</w:t>
      </w:r>
      <w:proofErr w:type="spellEnd"/>
      <w:r>
        <w:t xml:space="preserve"> ar </w:t>
      </w:r>
      <w:proofErr w:type="spellStart"/>
      <w:r>
        <w:t>Boostrix</w:t>
      </w:r>
      <w:proofErr w:type="spellEnd"/>
      <w:r>
        <w:t xml:space="preserve"> Polio </w:t>
      </w:r>
      <w:r w:rsidRPr="00C87448">
        <w:t>(</w:t>
      </w:r>
      <w:proofErr w:type="spellStart"/>
      <w:r w:rsidRPr="00A16DE6">
        <w:rPr>
          <w:i/>
          <w:iCs/>
        </w:rPr>
        <w:t>dTpa</w:t>
      </w:r>
      <w:proofErr w:type="spellEnd"/>
      <w:r w:rsidRPr="00A16DE6">
        <w:rPr>
          <w:i/>
          <w:iCs/>
        </w:rPr>
        <w:t>-IPV</w:t>
      </w:r>
      <w:r w:rsidRPr="00C87448">
        <w:t xml:space="preserve"> va</w:t>
      </w:r>
      <w:r>
        <w:t>kcina</w:t>
      </w:r>
      <w:r w:rsidRPr="00C87448">
        <w:t xml:space="preserve">) </w:t>
      </w:r>
      <w:r>
        <w:t>ekspoziciją, pasyvaus stebėjimo duomenys su vakcina susijusio nepageidaujamo poveikio nėštumui arba vaisiaus ar naujagimio sveikatai neparodė</w:t>
      </w:r>
      <w:r w:rsidRPr="00C87448">
        <w:t>.</w:t>
      </w:r>
    </w:p>
    <w:p w14:paraId="5DDF259B" w14:textId="77777777" w:rsidR="00F50FC7" w:rsidRDefault="00F50FC7" w:rsidP="00F50FC7"/>
    <w:p w14:paraId="54B28A04" w14:textId="77777777" w:rsidR="00F50FC7" w:rsidRDefault="00F50FC7" w:rsidP="00F50FC7">
      <w:r>
        <w:t xml:space="preserve">Kaip ir skiepijant kitomis </w:t>
      </w:r>
      <w:proofErr w:type="spellStart"/>
      <w:r>
        <w:t>inaktyvuotomis</w:t>
      </w:r>
      <w:proofErr w:type="spellEnd"/>
      <w:r>
        <w:t xml:space="preserve"> vakcinomis, nesitikima, kad vakcinacija </w:t>
      </w:r>
      <w:proofErr w:type="spellStart"/>
      <w:r>
        <w:t>Boostrix</w:t>
      </w:r>
      <w:proofErr w:type="spellEnd"/>
      <w:r>
        <w:t xml:space="preserve"> kurio nors nėštumo trimestro metu pakenktų vaisiui. </w:t>
      </w:r>
    </w:p>
    <w:p w14:paraId="6065AC12" w14:textId="77777777" w:rsidR="00F50FC7" w:rsidRDefault="00F50FC7" w:rsidP="00F50FC7"/>
    <w:p w14:paraId="3787089B" w14:textId="5460038A" w:rsidR="00F50FC7" w:rsidRDefault="00F50FC7" w:rsidP="00F50FC7">
      <w:r>
        <w:rPr>
          <w:szCs w:val="22"/>
        </w:rPr>
        <w:t>Tyrimai su gyvūnais tiesioginio ar netiesioginio kenksmingo poveikio nėštumui, embriono ar vaisiaus vystymuisi, gimdymui ar naujagimio vystymuisi neparodė (žr.</w:t>
      </w:r>
      <w:r w:rsidR="00AE55FA">
        <w:rPr>
          <w:szCs w:val="22"/>
        </w:rPr>
        <w:t> </w:t>
      </w:r>
      <w:r>
        <w:rPr>
          <w:szCs w:val="22"/>
        </w:rPr>
        <w:t xml:space="preserve">5.3 skyrių). </w:t>
      </w:r>
    </w:p>
    <w:p w14:paraId="5261E285" w14:textId="77777777" w:rsidR="00F50FC7" w:rsidRDefault="00F50FC7" w:rsidP="00F50FC7">
      <w:pPr>
        <w:tabs>
          <w:tab w:val="left" w:pos="567"/>
        </w:tabs>
        <w:rPr>
          <w:szCs w:val="22"/>
          <w:u w:val="single"/>
        </w:rPr>
      </w:pPr>
    </w:p>
    <w:p w14:paraId="103BFBB6" w14:textId="77777777" w:rsidR="00F50FC7" w:rsidRDefault="00F50FC7" w:rsidP="008232B3">
      <w:pPr>
        <w:keepNext/>
        <w:tabs>
          <w:tab w:val="left" w:pos="567"/>
        </w:tabs>
      </w:pPr>
      <w:r>
        <w:rPr>
          <w:szCs w:val="22"/>
          <w:u w:val="single"/>
        </w:rPr>
        <w:lastRenderedPageBreak/>
        <w:t>Žindymas</w:t>
      </w:r>
    </w:p>
    <w:p w14:paraId="68341E1A" w14:textId="77777777" w:rsidR="00F50FC7" w:rsidRDefault="00F50FC7" w:rsidP="008232B3">
      <w:pPr>
        <w:keepNext/>
        <w:tabs>
          <w:tab w:val="left" w:pos="567"/>
        </w:tabs>
      </w:pPr>
    </w:p>
    <w:p w14:paraId="3273B2FF" w14:textId="77777777" w:rsidR="00F50FC7" w:rsidRDefault="00F50FC7" w:rsidP="00F50FC7">
      <w:pPr>
        <w:shd w:val="clear" w:color="auto" w:fill="FFFFFF"/>
        <w:tabs>
          <w:tab w:val="left" w:pos="567"/>
        </w:tabs>
      </w:pPr>
      <w:proofErr w:type="spellStart"/>
      <w:r>
        <w:t>Boostrix</w:t>
      </w:r>
      <w:proofErr w:type="spellEnd"/>
      <w:r>
        <w:t xml:space="preserve"> vartojimo žindymo laikotarpiu saugumas neįvertintas. Vis dėlto, kadangi </w:t>
      </w:r>
      <w:proofErr w:type="spellStart"/>
      <w:r>
        <w:t>Boostrix</w:t>
      </w:r>
      <w:proofErr w:type="spellEnd"/>
      <w:r>
        <w:t xml:space="preserve"> sudėtyje yra </w:t>
      </w:r>
      <w:proofErr w:type="spellStart"/>
      <w:r>
        <w:t>anatoksinų</w:t>
      </w:r>
      <w:proofErr w:type="spellEnd"/>
      <w:r>
        <w:t xml:space="preserve"> ir </w:t>
      </w:r>
      <w:proofErr w:type="spellStart"/>
      <w:r>
        <w:t>inaktyvuotų</w:t>
      </w:r>
      <w:proofErr w:type="spellEnd"/>
      <w:r>
        <w:t xml:space="preserve"> antigenų, rizikos žindomam kūdikiui nesitikima. Sveikatos priežiūros paslaugų teikėjai turi atidžiai vertinti </w:t>
      </w:r>
      <w:proofErr w:type="spellStart"/>
      <w:r>
        <w:t>Boostrix</w:t>
      </w:r>
      <w:proofErr w:type="spellEnd"/>
      <w:r>
        <w:t xml:space="preserve"> vartojamo motinoms žindymo laikotarpiu naudos ir rizikos santykį.</w:t>
      </w:r>
    </w:p>
    <w:p w14:paraId="1BA6BB87" w14:textId="77777777" w:rsidR="00F50FC7" w:rsidRDefault="00F50FC7" w:rsidP="00F50FC7">
      <w:pPr>
        <w:shd w:val="clear" w:color="auto" w:fill="FFFFFF"/>
        <w:tabs>
          <w:tab w:val="left" w:pos="567"/>
        </w:tabs>
      </w:pPr>
    </w:p>
    <w:p w14:paraId="6674EA2E" w14:textId="77777777" w:rsidR="00F50FC7" w:rsidRDefault="00F50FC7" w:rsidP="00F50FC7">
      <w:pPr>
        <w:keepNext/>
        <w:rPr>
          <w:u w:val="single"/>
        </w:rPr>
      </w:pPr>
      <w:r>
        <w:rPr>
          <w:u w:val="single"/>
        </w:rPr>
        <w:t>Vaisingumas</w:t>
      </w:r>
    </w:p>
    <w:p w14:paraId="2E48D322" w14:textId="77777777" w:rsidR="00F50FC7" w:rsidRDefault="00F50FC7" w:rsidP="00F50FC7">
      <w:pPr>
        <w:keepNext/>
        <w:rPr>
          <w:u w:val="single"/>
        </w:rPr>
      </w:pPr>
    </w:p>
    <w:p w14:paraId="3AD892D3" w14:textId="02749EC0" w:rsidR="00F50FC7" w:rsidRPr="008D66EC" w:rsidRDefault="00F50FC7" w:rsidP="00F50FC7">
      <w:pPr>
        <w:pStyle w:val="Default"/>
        <w:rPr>
          <w:lang w:val="lt-LT"/>
        </w:rPr>
      </w:pPr>
      <w:r>
        <w:rPr>
          <w:sz w:val="22"/>
          <w:szCs w:val="22"/>
          <w:lang w:val="lt-LT"/>
        </w:rPr>
        <w:t>Perspektyviųjų klinikinių tyrimų su žmonėmis duomenų nėra. Tyrimai su gyvūnais tiesioginio ar netiesioginio kenksmingo poveikio patelių vislumui neparodė (žr.</w:t>
      </w:r>
      <w:r w:rsidR="00AE55FA">
        <w:rPr>
          <w:sz w:val="22"/>
          <w:szCs w:val="22"/>
          <w:lang w:val="lt-LT"/>
        </w:rPr>
        <w:t> </w:t>
      </w:r>
      <w:r>
        <w:rPr>
          <w:sz w:val="22"/>
          <w:szCs w:val="22"/>
          <w:lang w:val="lt-LT"/>
        </w:rPr>
        <w:t>5.3 skyrių).</w:t>
      </w:r>
    </w:p>
    <w:p w14:paraId="21856978" w14:textId="77777777" w:rsidR="00F50FC7" w:rsidRDefault="00F50FC7" w:rsidP="00F50FC7">
      <w:pPr>
        <w:tabs>
          <w:tab w:val="left" w:pos="567"/>
        </w:tabs>
        <w:rPr>
          <w:szCs w:val="22"/>
        </w:rPr>
      </w:pPr>
    </w:p>
    <w:p w14:paraId="162BD8A5" w14:textId="77777777" w:rsidR="00F50FC7" w:rsidRDefault="00F50FC7" w:rsidP="00F50FC7">
      <w:pPr>
        <w:tabs>
          <w:tab w:val="left" w:pos="567"/>
        </w:tabs>
        <w:rPr>
          <w:b/>
          <w:bCs/>
          <w:szCs w:val="22"/>
        </w:rPr>
      </w:pPr>
      <w:r>
        <w:rPr>
          <w:b/>
          <w:bCs/>
          <w:szCs w:val="22"/>
        </w:rPr>
        <w:t>4.7</w:t>
      </w:r>
      <w:r>
        <w:rPr>
          <w:b/>
          <w:bCs/>
          <w:szCs w:val="22"/>
        </w:rPr>
        <w:tab/>
        <w:t>Poveikis gebėjimui vairuoti ir valdyti mechanizmus</w:t>
      </w:r>
    </w:p>
    <w:p w14:paraId="2B22E053" w14:textId="77777777" w:rsidR="00F50FC7" w:rsidRDefault="00F50FC7" w:rsidP="00F50FC7">
      <w:pPr>
        <w:tabs>
          <w:tab w:val="left" w:pos="567"/>
        </w:tabs>
        <w:rPr>
          <w:szCs w:val="22"/>
        </w:rPr>
      </w:pPr>
    </w:p>
    <w:p w14:paraId="74049456" w14:textId="77777777" w:rsidR="00F50FC7" w:rsidRDefault="00F50FC7" w:rsidP="00F50FC7">
      <w:pPr>
        <w:tabs>
          <w:tab w:val="left" w:pos="567"/>
        </w:tabs>
      </w:pPr>
      <w:r>
        <w:rPr>
          <w:szCs w:val="22"/>
        </w:rPr>
        <w:t>Nesitikima, kad vakcina darytų kokį nors poveikį gebėjimui vairuoti ir valdyti mechanizmus.</w:t>
      </w:r>
    </w:p>
    <w:p w14:paraId="6EBB8C51" w14:textId="77777777" w:rsidR="00F50FC7" w:rsidRDefault="00F50FC7" w:rsidP="00F50FC7">
      <w:pPr>
        <w:tabs>
          <w:tab w:val="left" w:pos="567"/>
        </w:tabs>
        <w:rPr>
          <w:szCs w:val="22"/>
        </w:rPr>
      </w:pPr>
    </w:p>
    <w:p w14:paraId="2C0300FA" w14:textId="77777777" w:rsidR="00F50FC7" w:rsidRDefault="00F50FC7" w:rsidP="00F50FC7">
      <w:pPr>
        <w:tabs>
          <w:tab w:val="left" w:pos="567"/>
        </w:tabs>
        <w:rPr>
          <w:b/>
          <w:bCs/>
          <w:szCs w:val="22"/>
        </w:rPr>
      </w:pPr>
      <w:r>
        <w:rPr>
          <w:b/>
          <w:bCs/>
          <w:szCs w:val="22"/>
        </w:rPr>
        <w:t>4.8</w:t>
      </w:r>
      <w:r>
        <w:rPr>
          <w:b/>
          <w:bCs/>
          <w:szCs w:val="22"/>
        </w:rPr>
        <w:tab/>
        <w:t>Nepageidaujamas poveikis</w:t>
      </w:r>
    </w:p>
    <w:p w14:paraId="0A4952E9" w14:textId="77777777" w:rsidR="00F50FC7" w:rsidRDefault="00F50FC7" w:rsidP="00F50FC7">
      <w:pPr>
        <w:tabs>
          <w:tab w:val="left" w:pos="567"/>
        </w:tabs>
        <w:rPr>
          <w:szCs w:val="22"/>
        </w:rPr>
      </w:pPr>
    </w:p>
    <w:p w14:paraId="39FE7130" w14:textId="77777777" w:rsidR="00F50FC7" w:rsidRPr="001958A1" w:rsidRDefault="00F50FC7" w:rsidP="00F50FC7">
      <w:pPr>
        <w:rPr>
          <w:u w:val="single"/>
        </w:rPr>
      </w:pPr>
      <w:r w:rsidRPr="001958A1">
        <w:rPr>
          <w:u w:val="single"/>
        </w:rPr>
        <w:t>Saugumo duomenų santrauka</w:t>
      </w:r>
    </w:p>
    <w:p w14:paraId="71490F48" w14:textId="77777777" w:rsidR="00F50FC7" w:rsidRDefault="00F50FC7" w:rsidP="00F50FC7">
      <w:pPr>
        <w:pStyle w:val="Text"/>
        <w:tabs>
          <w:tab w:val="left" w:pos="567"/>
        </w:tabs>
        <w:spacing w:line="240" w:lineRule="auto"/>
        <w:rPr>
          <w:rFonts w:ascii="Times New Roman" w:hAnsi="Times New Roman"/>
          <w:szCs w:val="22"/>
          <w:lang w:val="lt-LT"/>
        </w:rPr>
      </w:pPr>
    </w:p>
    <w:p w14:paraId="1ADC3CFD" w14:textId="77777777" w:rsidR="00F50FC7" w:rsidRPr="008D66EC" w:rsidRDefault="00F50FC7" w:rsidP="00F50FC7">
      <w:pPr>
        <w:pStyle w:val="Text"/>
        <w:tabs>
          <w:tab w:val="left" w:pos="567"/>
        </w:tabs>
        <w:spacing w:line="240" w:lineRule="auto"/>
        <w:rPr>
          <w:lang w:val="lt-LT"/>
        </w:rPr>
      </w:pPr>
      <w:r>
        <w:rPr>
          <w:rFonts w:ascii="Times New Roman" w:hAnsi="Times New Roman"/>
          <w:szCs w:val="22"/>
          <w:lang w:val="lt-LT"/>
        </w:rPr>
        <w:t xml:space="preserve">Toliau pateikti saugumo duomenys yra pagrįsti klinikinių tyrimų, kurių metu </w:t>
      </w:r>
      <w:proofErr w:type="spellStart"/>
      <w:r>
        <w:rPr>
          <w:rFonts w:ascii="Times New Roman" w:hAnsi="Times New Roman"/>
          <w:szCs w:val="22"/>
          <w:lang w:val="lt-LT"/>
        </w:rPr>
        <w:t>Boostrix</w:t>
      </w:r>
      <w:proofErr w:type="spellEnd"/>
      <w:r>
        <w:rPr>
          <w:rFonts w:ascii="Times New Roman" w:hAnsi="Times New Roman"/>
          <w:szCs w:val="22"/>
          <w:lang w:val="lt-LT"/>
        </w:rPr>
        <w:t xml:space="preserve"> buvo paskiepyti 839 vaikai (nuo </w:t>
      </w:r>
      <w:r w:rsidRPr="008B0A23">
        <w:rPr>
          <w:rFonts w:ascii="Times New Roman" w:hAnsi="Times New Roman"/>
          <w:szCs w:val="22"/>
          <w:lang w:val="lt-LT"/>
        </w:rPr>
        <w:t>4 iki 8 metų)</w:t>
      </w:r>
      <w:r>
        <w:rPr>
          <w:rFonts w:ascii="Times New Roman" w:hAnsi="Times New Roman"/>
          <w:szCs w:val="22"/>
          <w:lang w:val="lt-LT"/>
        </w:rPr>
        <w:t xml:space="preserve"> ir 1 931 suaugusieji, paaugliai ir vaikai (nuo 10 iki 76 metų), duomenimis </w:t>
      </w:r>
      <w:bookmarkStart w:id="29" w:name="_Hlk9445219"/>
      <w:r>
        <w:rPr>
          <w:rFonts w:ascii="Times New Roman" w:hAnsi="Times New Roman"/>
          <w:szCs w:val="22"/>
          <w:lang w:val="lt-LT"/>
        </w:rPr>
        <w:t>(1 lentelė).</w:t>
      </w:r>
      <w:bookmarkEnd w:id="29"/>
    </w:p>
    <w:p w14:paraId="0E1C64E5" w14:textId="77777777" w:rsidR="00F50FC7" w:rsidRDefault="00F50FC7" w:rsidP="00F50FC7">
      <w:pPr>
        <w:pStyle w:val="Text"/>
        <w:tabs>
          <w:tab w:val="left" w:pos="567"/>
        </w:tabs>
        <w:spacing w:line="240" w:lineRule="auto"/>
        <w:rPr>
          <w:rFonts w:ascii="Times New Roman" w:hAnsi="Times New Roman"/>
          <w:szCs w:val="22"/>
          <w:lang w:val="lt-LT"/>
        </w:rPr>
      </w:pPr>
    </w:p>
    <w:p w14:paraId="72575465" w14:textId="77777777" w:rsidR="00F50FC7" w:rsidRPr="00E90E50" w:rsidRDefault="00F50FC7" w:rsidP="00F50FC7">
      <w:pPr>
        <w:pStyle w:val="Text"/>
        <w:tabs>
          <w:tab w:val="left" w:pos="567"/>
        </w:tabs>
        <w:spacing w:line="240" w:lineRule="auto"/>
        <w:rPr>
          <w:lang w:val="lt-LT"/>
        </w:rPr>
      </w:pPr>
      <w:r>
        <w:rPr>
          <w:rFonts w:ascii="Times New Roman" w:hAnsi="Times New Roman"/>
          <w:szCs w:val="22"/>
          <w:lang w:val="lt-LT"/>
        </w:rPr>
        <w:t xml:space="preserve">Dažniausi nepageidaujami reiškiniai, pasireiškę po </w:t>
      </w:r>
      <w:proofErr w:type="spellStart"/>
      <w:r>
        <w:rPr>
          <w:rFonts w:ascii="Times New Roman" w:hAnsi="Times New Roman"/>
          <w:szCs w:val="22"/>
          <w:lang w:val="lt-LT"/>
        </w:rPr>
        <w:t>Boostrix</w:t>
      </w:r>
      <w:proofErr w:type="spellEnd"/>
      <w:r>
        <w:rPr>
          <w:rFonts w:ascii="Times New Roman" w:hAnsi="Times New Roman"/>
          <w:szCs w:val="22"/>
          <w:lang w:val="lt-LT"/>
        </w:rPr>
        <w:t xml:space="preserve"> suleidimo, abiejose grupėse buvo lokalios reakcijos injekcijos vietoje (skausmas, paraudimas ir patinimas), kurios pasireiškė 23,7</w:t>
      </w:r>
      <w:r>
        <w:rPr>
          <w:rFonts w:ascii="Times New Roman" w:hAnsi="Times New Roman"/>
          <w:szCs w:val="22"/>
          <w:lang w:val="lt-LT"/>
        </w:rPr>
        <w:noBreakHyphen/>
        <w:t>80,6 % tiriamųjų kiekviename tyrime. Paprastai šios reakcijos prasidėdavo per pirmąsias 48 valandas po vakcinacijos. Visos reakcijos išnyko be pasekmių.</w:t>
      </w:r>
    </w:p>
    <w:p w14:paraId="1B4D912B" w14:textId="77777777" w:rsidR="00F50FC7" w:rsidRPr="00E90E50" w:rsidRDefault="00F50FC7" w:rsidP="00F50FC7"/>
    <w:p w14:paraId="09C6D672" w14:textId="77777777" w:rsidR="00F50FC7" w:rsidRPr="001958A1" w:rsidRDefault="00F50FC7" w:rsidP="00F50FC7">
      <w:pPr>
        <w:keepNext/>
        <w:rPr>
          <w:u w:val="single"/>
        </w:rPr>
      </w:pPr>
      <w:r w:rsidRPr="001958A1">
        <w:rPr>
          <w:u w:val="single"/>
        </w:rPr>
        <w:t>Nepageidaujamų reakcijų santrauka lentelėje</w:t>
      </w:r>
    </w:p>
    <w:p w14:paraId="2C1D9341" w14:textId="77777777" w:rsidR="00F50FC7" w:rsidRDefault="00F50FC7" w:rsidP="00F50FC7">
      <w:pPr>
        <w:ind w:left="1440" w:hanging="1440"/>
        <w:rPr>
          <w:szCs w:val="22"/>
        </w:rPr>
      </w:pPr>
    </w:p>
    <w:p w14:paraId="05A6F52A" w14:textId="77777777" w:rsidR="00F50FC7" w:rsidRDefault="00F50FC7" w:rsidP="00F50FC7">
      <w:pPr>
        <w:rPr>
          <w:szCs w:val="22"/>
        </w:rPr>
      </w:pPr>
      <w:r w:rsidRPr="007D3BC1">
        <w:rPr>
          <w:szCs w:val="22"/>
        </w:rPr>
        <w:t>Nepageidaujamo poveikio dažnis apibūdinamas taip: labai dažnas (≥</w:t>
      </w:r>
      <w:r>
        <w:rPr>
          <w:szCs w:val="22"/>
        </w:rPr>
        <w:t> </w:t>
      </w:r>
      <w:r w:rsidRPr="007D3BC1">
        <w:rPr>
          <w:szCs w:val="22"/>
        </w:rPr>
        <w:t>1/10), dažnas (nuo ≥</w:t>
      </w:r>
      <w:r>
        <w:rPr>
          <w:szCs w:val="22"/>
        </w:rPr>
        <w:t> </w:t>
      </w:r>
      <w:r w:rsidRPr="007D3BC1">
        <w:rPr>
          <w:szCs w:val="22"/>
        </w:rPr>
        <w:t>1/100 iki &lt;</w:t>
      </w:r>
      <w:r>
        <w:rPr>
          <w:szCs w:val="22"/>
        </w:rPr>
        <w:t> </w:t>
      </w:r>
      <w:r w:rsidRPr="007D3BC1">
        <w:rPr>
          <w:szCs w:val="22"/>
        </w:rPr>
        <w:t>1/10), nedažnas (nuo ≥</w:t>
      </w:r>
      <w:r>
        <w:rPr>
          <w:szCs w:val="22"/>
        </w:rPr>
        <w:t> </w:t>
      </w:r>
      <w:r w:rsidRPr="007D3BC1">
        <w:rPr>
          <w:szCs w:val="22"/>
        </w:rPr>
        <w:t>1/1</w:t>
      </w:r>
      <w:r>
        <w:rPr>
          <w:szCs w:val="22"/>
        </w:rPr>
        <w:t> </w:t>
      </w:r>
      <w:r w:rsidRPr="007D3BC1">
        <w:rPr>
          <w:szCs w:val="22"/>
        </w:rPr>
        <w:t>000 iki &lt;</w:t>
      </w:r>
      <w:r>
        <w:rPr>
          <w:szCs w:val="22"/>
        </w:rPr>
        <w:t> </w:t>
      </w:r>
      <w:r w:rsidRPr="007D3BC1">
        <w:rPr>
          <w:szCs w:val="22"/>
        </w:rPr>
        <w:t>1/100), retas (nuo ≥</w:t>
      </w:r>
      <w:r>
        <w:rPr>
          <w:szCs w:val="22"/>
        </w:rPr>
        <w:t> </w:t>
      </w:r>
      <w:r w:rsidRPr="007D3BC1">
        <w:rPr>
          <w:szCs w:val="22"/>
        </w:rPr>
        <w:t>1/10</w:t>
      </w:r>
      <w:r>
        <w:rPr>
          <w:szCs w:val="22"/>
        </w:rPr>
        <w:t> </w:t>
      </w:r>
      <w:r w:rsidRPr="007D3BC1">
        <w:rPr>
          <w:szCs w:val="22"/>
        </w:rPr>
        <w:t>000 iki &lt;</w:t>
      </w:r>
      <w:r>
        <w:rPr>
          <w:szCs w:val="22"/>
        </w:rPr>
        <w:t> </w:t>
      </w:r>
      <w:r w:rsidRPr="007D3BC1">
        <w:rPr>
          <w:szCs w:val="22"/>
        </w:rPr>
        <w:t>1/1</w:t>
      </w:r>
      <w:r>
        <w:rPr>
          <w:szCs w:val="22"/>
        </w:rPr>
        <w:t> </w:t>
      </w:r>
      <w:r w:rsidRPr="007D3BC1">
        <w:rPr>
          <w:szCs w:val="22"/>
        </w:rPr>
        <w:t>000), labai retas (&lt;</w:t>
      </w:r>
      <w:r>
        <w:rPr>
          <w:szCs w:val="22"/>
        </w:rPr>
        <w:t> </w:t>
      </w:r>
      <w:r w:rsidRPr="007D3BC1">
        <w:rPr>
          <w:szCs w:val="22"/>
        </w:rPr>
        <w:t>1/10</w:t>
      </w:r>
      <w:r>
        <w:rPr>
          <w:szCs w:val="22"/>
        </w:rPr>
        <w:t> </w:t>
      </w:r>
      <w:r w:rsidRPr="007D3BC1">
        <w:rPr>
          <w:szCs w:val="22"/>
        </w:rPr>
        <w:t>000)</w:t>
      </w:r>
      <w:r>
        <w:rPr>
          <w:szCs w:val="22"/>
        </w:rPr>
        <w:t>.</w:t>
      </w:r>
    </w:p>
    <w:p w14:paraId="711809D9" w14:textId="77777777" w:rsidR="00F50FC7" w:rsidRDefault="00F50FC7" w:rsidP="00F50FC7">
      <w:pPr>
        <w:rPr>
          <w:szCs w:val="22"/>
        </w:rPr>
      </w:pPr>
    </w:p>
    <w:p w14:paraId="423EAF83" w14:textId="77777777" w:rsidR="00F50FC7" w:rsidRDefault="00F50FC7" w:rsidP="00F50FC7">
      <w:r>
        <w:rPr>
          <w:szCs w:val="22"/>
        </w:rPr>
        <w:t>Kiekvienoje dažnio grupėje nepageidaujamas poveikis išvardytas mažėjančio sunkumo tvarka.</w:t>
      </w:r>
    </w:p>
    <w:p w14:paraId="79DFFACB" w14:textId="77777777" w:rsidR="00F50FC7" w:rsidRDefault="00F50FC7" w:rsidP="00F50FC7">
      <w:pPr>
        <w:rPr>
          <w:szCs w:val="22"/>
        </w:rPr>
      </w:pPr>
    </w:p>
    <w:p w14:paraId="20A54585" w14:textId="77777777" w:rsidR="00F50FC7" w:rsidRPr="008D66EC" w:rsidRDefault="00F50FC7" w:rsidP="00F50FC7">
      <w:pPr>
        <w:pStyle w:val="Text"/>
        <w:keepNext/>
        <w:numPr>
          <w:ilvl w:val="0"/>
          <w:numId w:val="4"/>
        </w:numPr>
        <w:tabs>
          <w:tab w:val="left" w:pos="567"/>
        </w:tabs>
        <w:spacing w:line="240" w:lineRule="auto"/>
        <w:ind w:left="567" w:hanging="567"/>
        <w:rPr>
          <w:b/>
          <w:lang w:val="lt-LT"/>
        </w:rPr>
      </w:pPr>
      <w:r w:rsidRPr="008D66EC">
        <w:rPr>
          <w:b/>
          <w:lang w:val="lt-LT"/>
        </w:rPr>
        <w:t>Klinikiniai tyrimai</w:t>
      </w:r>
    </w:p>
    <w:p w14:paraId="7F68B7E2" w14:textId="77777777" w:rsidR="00F50FC7" w:rsidRPr="008D66EC" w:rsidRDefault="00F50FC7" w:rsidP="00F50FC7">
      <w:pPr>
        <w:pStyle w:val="Text"/>
        <w:keepNext/>
        <w:tabs>
          <w:tab w:val="left" w:pos="567"/>
        </w:tabs>
        <w:spacing w:line="240" w:lineRule="auto"/>
        <w:rPr>
          <w:lang w:val="lt-LT"/>
        </w:rPr>
      </w:pPr>
      <w:bookmarkStart w:id="30" w:name="_Hlk9445365"/>
    </w:p>
    <w:p w14:paraId="6F635E9F" w14:textId="77777777" w:rsidR="00F50FC7" w:rsidRPr="008D66EC" w:rsidRDefault="00F50FC7" w:rsidP="00F50FC7">
      <w:pPr>
        <w:pStyle w:val="Text"/>
        <w:keepNext/>
        <w:tabs>
          <w:tab w:val="left" w:pos="567"/>
        </w:tabs>
        <w:spacing w:line="240" w:lineRule="auto"/>
        <w:rPr>
          <w:lang w:val="lt-LT"/>
        </w:rPr>
      </w:pPr>
      <w:r w:rsidRPr="008D66EC">
        <w:rPr>
          <w:b/>
          <w:lang w:val="lt-LT"/>
        </w:rPr>
        <w:t>1 lentelė</w:t>
      </w:r>
      <w:r w:rsidRPr="008D66EC">
        <w:rPr>
          <w:lang w:val="lt-LT"/>
        </w:rPr>
        <w:t xml:space="preserve">. Nepageidaujamos reakcijos, apie </w:t>
      </w:r>
      <w:r>
        <w:rPr>
          <w:lang w:val="lt-LT"/>
        </w:rPr>
        <w:t xml:space="preserve">kurias buvo pranešta </w:t>
      </w:r>
      <w:proofErr w:type="spellStart"/>
      <w:r>
        <w:rPr>
          <w:lang w:val="lt-LT"/>
        </w:rPr>
        <w:t>Boostrix</w:t>
      </w:r>
      <w:proofErr w:type="spellEnd"/>
      <w:r>
        <w:rPr>
          <w:lang w:val="lt-LT"/>
        </w:rPr>
        <w:t xml:space="preserve"> klinikinių tyrimų metu</w:t>
      </w:r>
    </w:p>
    <w:bookmarkEnd w:id="30"/>
    <w:p w14:paraId="5231EDFA" w14:textId="77777777" w:rsidR="00F50FC7" w:rsidRPr="008D66EC" w:rsidRDefault="00F50FC7" w:rsidP="00F50FC7">
      <w:pPr>
        <w:pStyle w:val="Text"/>
        <w:keepNext/>
        <w:tabs>
          <w:tab w:val="left" w:pos="567"/>
        </w:tabs>
        <w:spacing w:line="240" w:lineRule="auto"/>
        <w:rPr>
          <w:lang w:val="lt-LT"/>
        </w:rPr>
      </w:pPr>
    </w:p>
    <w:tbl>
      <w:tblPr>
        <w:tblW w:w="9060" w:type="dxa"/>
        <w:tblCellMar>
          <w:left w:w="10" w:type="dxa"/>
          <w:right w:w="10" w:type="dxa"/>
        </w:tblCellMar>
        <w:tblLook w:val="0000" w:firstRow="0" w:lastRow="0" w:firstColumn="0" w:lastColumn="0" w:noHBand="0" w:noVBand="0"/>
      </w:tblPr>
      <w:tblGrid>
        <w:gridCol w:w="2262"/>
        <w:gridCol w:w="1182"/>
        <w:gridCol w:w="2623"/>
        <w:gridCol w:w="2993"/>
      </w:tblGrid>
      <w:tr w:rsidR="00F50FC7" w14:paraId="17D97784" w14:textId="77777777" w:rsidTr="005B4014">
        <w:tc>
          <w:tcPr>
            <w:tcW w:w="22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35F2B" w14:textId="77777777" w:rsidR="00F50FC7" w:rsidRPr="008D66EC" w:rsidRDefault="00F50FC7" w:rsidP="005B4014">
            <w:pPr>
              <w:rPr>
                <w:b/>
                <w:i/>
              </w:rPr>
            </w:pPr>
            <w:r w:rsidRPr="008D66EC">
              <w:rPr>
                <w:b/>
                <w:i/>
              </w:rPr>
              <w:t>Organų sistemų klasės</w:t>
            </w:r>
          </w:p>
        </w:tc>
        <w:tc>
          <w:tcPr>
            <w:tcW w:w="11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6DC2C" w14:textId="77777777" w:rsidR="00F50FC7" w:rsidRPr="008D66EC" w:rsidRDefault="00F50FC7" w:rsidP="005B4014">
            <w:pPr>
              <w:rPr>
                <w:b/>
                <w:i/>
              </w:rPr>
            </w:pPr>
            <w:r w:rsidRPr="008D66EC">
              <w:rPr>
                <w:b/>
                <w:i/>
              </w:rPr>
              <w:t>Dažnis</w:t>
            </w:r>
          </w:p>
        </w:tc>
        <w:tc>
          <w:tcPr>
            <w:tcW w:w="5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95EDF" w14:textId="77777777" w:rsidR="00F50FC7" w:rsidRPr="008D66EC" w:rsidRDefault="00F50FC7" w:rsidP="005B4014">
            <w:pPr>
              <w:jc w:val="center"/>
              <w:rPr>
                <w:b/>
                <w:i/>
              </w:rPr>
            </w:pPr>
            <w:r w:rsidRPr="008D66EC">
              <w:rPr>
                <w:b/>
                <w:i/>
              </w:rPr>
              <w:t>Nepageidaujamos reakcijos</w:t>
            </w:r>
          </w:p>
        </w:tc>
      </w:tr>
      <w:tr w:rsidR="00F50FC7" w14:paraId="4B185F4B" w14:textId="77777777" w:rsidTr="005B4014">
        <w:tc>
          <w:tcPr>
            <w:tcW w:w="2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AC904" w14:textId="77777777" w:rsidR="00F50FC7" w:rsidRPr="008D66EC" w:rsidRDefault="00F50FC7" w:rsidP="005B4014">
            <w:pPr>
              <w:rPr>
                <w:b/>
                <w:i/>
              </w:rPr>
            </w:pPr>
          </w:p>
        </w:tc>
        <w:tc>
          <w:tcPr>
            <w:tcW w:w="11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E4B8F" w14:textId="77777777" w:rsidR="00F50FC7" w:rsidRDefault="00F50FC7" w:rsidP="005B4014">
            <w:pPr>
              <w:rPr>
                <w:b/>
                <w:bCs/>
                <w:i/>
              </w:rPr>
            </w:pP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59421" w14:textId="77777777" w:rsidR="00F50FC7" w:rsidRPr="008D66EC" w:rsidRDefault="00F50FC7" w:rsidP="005B4014">
            <w:pPr>
              <w:jc w:val="center"/>
              <w:rPr>
                <w:b/>
                <w:i/>
              </w:rPr>
            </w:pPr>
            <w:r w:rsidRPr="008D66EC">
              <w:rPr>
                <w:b/>
                <w:i/>
              </w:rPr>
              <w:t>4</w:t>
            </w:r>
            <w:r w:rsidRPr="008D66EC">
              <w:rPr>
                <w:b/>
                <w:i/>
              </w:rPr>
              <w:noBreakHyphen/>
              <w:t>8 metų tiriamieji</w:t>
            </w:r>
          </w:p>
          <w:p w14:paraId="2B406E09" w14:textId="77777777" w:rsidR="00F50FC7" w:rsidRPr="008D66EC" w:rsidRDefault="00F50FC7" w:rsidP="005B4014">
            <w:pPr>
              <w:jc w:val="center"/>
              <w:rPr>
                <w:b/>
                <w:i/>
              </w:rPr>
            </w:pPr>
            <w:r w:rsidRPr="008D66EC">
              <w:rPr>
                <w:b/>
                <w:i/>
              </w:rPr>
              <w:t>(N = 839)</w:t>
            </w:r>
          </w:p>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A2403" w14:textId="77777777" w:rsidR="00F50FC7" w:rsidRPr="008D66EC" w:rsidRDefault="00F50FC7" w:rsidP="005B4014">
            <w:pPr>
              <w:jc w:val="center"/>
              <w:rPr>
                <w:b/>
                <w:i/>
              </w:rPr>
            </w:pPr>
            <w:r w:rsidRPr="008D66EC">
              <w:rPr>
                <w:b/>
                <w:i/>
              </w:rPr>
              <w:t>10</w:t>
            </w:r>
            <w:r w:rsidRPr="008D66EC">
              <w:rPr>
                <w:b/>
                <w:i/>
              </w:rPr>
              <w:noBreakHyphen/>
              <w:t>76 metų tiriamieji</w:t>
            </w:r>
          </w:p>
          <w:p w14:paraId="22D471A4" w14:textId="77777777" w:rsidR="00F50FC7" w:rsidRPr="008D66EC" w:rsidRDefault="00F50FC7" w:rsidP="005B4014">
            <w:pPr>
              <w:jc w:val="center"/>
            </w:pPr>
            <w:r w:rsidRPr="008D66EC">
              <w:rPr>
                <w:b/>
                <w:i/>
              </w:rPr>
              <w:t>(N = </w:t>
            </w:r>
            <w:r>
              <w:rPr>
                <w:b/>
                <w:bCs/>
                <w:i/>
              </w:rPr>
              <w:t>1 931</w:t>
            </w:r>
            <w:r w:rsidRPr="008D66EC">
              <w:rPr>
                <w:b/>
                <w:i/>
              </w:rPr>
              <w:t>)</w:t>
            </w:r>
          </w:p>
        </w:tc>
      </w:tr>
      <w:tr w:rsidR="00F50FC7" w14:paraId="5DC30E25" w14:textId="77777777" w:rsidTr="005B4014">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C9B5D" w14:textId="77777777" w:rsidR="00F50FC7" w:rsidRPr="008D66EC" w:rsidRDefault="00F50FC7" w:rsidP="005B4014">
            <w:pPr>
              <w:rPr>
                <w:b/>
                <w:i/>
              </w:rPr>
            </w:pPr>
            <w:r w:rsidRPr="008D66EC">
              <w:rPr>
                <w:b/>
                <w:i/>
              </w:rPr>
              <w:t xml:space="preserve">Infekcijos ir </w:t>
            </w:r>
            <w:proofErr w:type="spellStart"/>
            <w:r w:rsidRPr="008D66EC">
              <w:rPr>
                <w:b/>
                <w:i/>
              </w:rPr>
              <w:t>infestacijos</w:t>
            </w:r>
            <w:proofErr w:type="spellEnd"/>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0ED77" w14:textId="77777777" w:rsidR="00F50FC7" w:rsidRDefault="00F50FC7" w:rsidP="005B4014">
            <w:r>
              <w:t>Nedažnas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2CE4B" w14:textId="77777777" w:rsidR="00F50FC7" w:rsidRDefault="00F50FC7" w:rsidP="005B4014">
            <w:r>
              <w:t>Viršutinių kvėpavimo takų infekcija</w:t>
            </w:r>
          </w:p>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0CCF0" w14:textId="77777777" w:rsidR="00F50FC7" w:rsidRDefault="00F50FC7" w:rsidP="005B4014">
            <w:r>
              <w:t xml:space="preserve">Viršutinių kvėpavimo takų infekcija, </w:t>
            </w:r>
            <w:proofErr w:type="spellStart"/>
            <w:r>
              <w:t>faringitas</w:t>
            </w:r>
            <w:proofErr w:type="spellEnd"/>
          </w:p>
        </w:tc>
      </w:tr>
      <w:tr w:rsidR="00F50FC7" w14:paraId="39D4E480" w14:textId="77777777" w:rsidTr="005B4014">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27E21" w14:textId="77777777" w:rsidR="00F50FC7" w:rsidRPr="008D66EC" w:rsidRDefault="00F50FC7" w:rsidP="005B4014">
            <w:pPr>
              <w:rPr>
                <w:b/>
                <w:i/>
              </w:rPr>
            </w:pPr>
            <w:r w:rsidRPr="008D66EC">
              <w:rPr>
                <w:b/>
                <w:i/>
              </w:rPr>
              <w:t>Kraujo ir limfinės sistemos sutrikimai</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D85EA" w14:textId="77777777" w:rsidR="00F50FC7" w:rsidRDefault="00F50FC7" w:rsidP="005B4014">
            <w:r>
              <w:t>Nedažnas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73840" w14:textId="77777777" w:rsidR="00F50FC7" w:rsidRDefault="00F50FC7" w:rsidP="005B4014"/>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5CBB6" w14:textId="77777777" w:rsidR="00F50FC7" w:rsidRDefault="00F50FC7" w:rsidP="005B4014">
            <w:proofErr w:type="spellStart"/>
            <w:r>
              <w:t>Limfadenopatija</w:t>
            </w:r>
            <w:proofErr w:type="spellEnd"/>
          </w:p>
        </w:tc>
      </w:tr>
      <w:tr w:rsidR="00F50FC7" w14:paraId="683FA0F8" w14:textId="77777777" w:rsidTr="005B4014">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EE51B" w14:textId="77777777" w:rsidR="00F50FC7" w:rsidRPr="008D66EC" w:rsidRDefault="00F50FC7" w:rsidP="005B4014">
            <w:pPr>
              <w:rPr>
                <w:b/>
                <w:i/>
              </w:rPr>
            </w:pPr>
            <w:r w:rsidRPr="008D66EC">
              <w:rPr>
                <w:b/>
                <w:i/>
              </w:rPr>
              <w:t>Metabolizmo ir mitybos sutrikimai</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1825" w14:textId="77777777" w:rsidR="00F50FC7" w:rsidRDefault="00F50FC7" w:rsidP="005B4014">
            <w:r>
              <w:t>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2D63" w14:textId="77777777" w:rsidR="00F50FC7" w:rsidRDefault="00F50FC7" w:rsidP="005B4014">
            <w:r>
              <w:t>Anoreksija</w:t>
            </w:r>
          </w:p>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12906" w14:textId="77777777" w:rsidR="00F50FC7" w:rsidRDefault="00F50FC7" w:rsidP="005B4014"/>
        </w:tc>
      </w:tr>
      <w:tr w:rsidR="00F50FC7" w14:paraId="3491B394" w14:textId="77777777" w:rsidTr="005B4014">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4978" w14:textId="77777777" w:rsidR="00F50FC7" w:rsidRPr="008D66EC" w:rsidRDefault="00F50FC7" w:rsidP="005B4014">
            <w:pPr>
              <w:rPr>
                <w:b/>
                <w:i/>
              </w:rPr>
            </w:pPr>
            <w:r w:rsidRPr="008D66EC">
              <w:rPr>
                <w:b/>
                <w:i/>
              </w:rPr>
              <w:t>Psichikos sutrikimai</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278B5" w14:textId="77777777" w:rsidR="00F50FC7" w:rsidRDefault="00F50FC7" w:rsidP="005B4014">
            <w:r>
              <w:t>Labai 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D71D3" w14:textId="77777777" w:rsidR="00F50FC7" w:rsidRDefault="00F50FC7" w:rsidP="005B4014">
            <w:r>
              <w:t>Irzlumas</w:t>
            </w:r>
          </w:p>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47CBA" w14:textId="77777777" w:rsidR="00F50FC7" w:rsidRDefault="00F50FC7" w:rsidP="005B4014"/>
        </w:tc>
      </w:tr>
      <w:tr w:rsidR="00F50FC7" w14:paraId="1C949F7B" w14:textId="77777777" w:rsidTr="005B4014">
        <w:tc>
          <w:tcPr>
            <w:tcW w:w="22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2FD98" w14:textId="77777777" w:rsidR="00F50FC7" w:rsidRPr="008D66EC" w:rsidRDefault="00F50FC7" w:rsidP="005B4014">
            <w:pPr>
              <w:rPr>
                <w:b/>
                <w:i/>
              </w:rPr>
            </w:pPr>
            <w:r w:rsidRPr="008D66EC">
              <w:rPr>
                <w:b/>
                <w:i/>
              </w:rPr>
              <w:t>Nervų sistemos sutrikimai</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79F57" w14:textId="77777777" w:rsidR="00F50FC7" w:rsidRDefault="00F50FC7" w:rsidP="005B4014">
            <w:r>
              <w:t>Labai 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88E64" w14:textId="77777777" w:rsidR="00F50FC7" w:rsidRDefault="00F50FC7" w:rsidP="005B4014">
            <w:proofErr w:type="spellStart"/>
            <w:r>
              <w:t>Somnolencija</w:t>
            </w:r>
            <w:proofErr w:type="spellEnd"/>
          </w:p>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B7E9A" w14:textId="77777777" w:rsidR="00F50FC7" w:rsidRDefault="00F50FC7" w:rsidP="005B4014">
            <w:r>
              <w:t>Galvos skausmas</w:t>
            </w:r>
          </w:p>
        </w:tc>
      </w:tr>
      <w:tr w:rsidR="00F50FC7" w14:paraId="1E6B2E72" w14:textId="77777777" w:rsidTr="005B4014">
        <w:tc>
          <w:tcPr>
            <w:tcW w:w="2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6FABE" w14:textId="77777777" w:rsidR="00F50FC7" w:rsidRDefault="00F50FC7" w:rsidP="005B4014">
            <w:pPr>
              <w:rPr>
                <w:i/>
              </w:rPr>
            </w:pP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E0252" w14:textId="77777777" w:rsidR="00F50FC7" w:rsidRDefault="00F50FC7" w:rsidP="005B4014">
            <w:r>
              <w:t>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BDF94" w14:textId="77777777" w:rsidR="00F50FC7" w:rsidRDefault="00F50FC7" w:rsidP="005B4014">
            <w:r>
              <w:t>Galvos skausmas</w:t>
            </w:r>
          </w:p>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CF7CB" w14:textId="77777777" w:rsidR="00F50FC7" w:rsidRDefault="00F50FC7" w:rsidP="005B4014">
            <w:r>
              <w:t>Svaigulys</w:t>
            </w:r>
          </w:p>
        </w:tc>
      </w:tr>
      <w:tr w:rsidR="00F50FC7" w14:paraId="31E671FC" w14:textId="77777777" w:rsidTr="005B4014">
        <w:tc>
          <w:tcPr>
            <w:tcW w:w="2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17D18" w14:textId="77777777" w:rsidR="00F50FC7" w:rsidRDefault="00F50FC7" w:rsidP="005B4014">
            <w:pPr>
              <w:rPr>
                <w:i/>
              </w:rPr>
            </w:pP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8C59B" w14:textId="77777777" w:rsidR="00F50FC7" w:rsidRDefault="00F50FC7" w:rsidP="005B4014">
            <w:r>
              <w:t>Nedažnas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19483" w14:textId="77777777" w:rsidR="00F50FC7" w:rsidRDefault="00F50FC7" w:rsidP="005B4014">
            <w:r>
              <w:t>Dėmesio sutrikimai</w:t>
            </w:r>
          </w:p>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B5130" w14:textId="77777777" w:rsidR="00F50FC7" w:rsidRDefault="00F50FC7" w:rsidP="005B4014">
            <w:r>
              <w:t>Apalpimas</w:t>
            </w:r>
          </w:p>
        </w:tc>
      </w:tr>
      <w:tr w:rsidR="00F50FC7" w14:paraId="4407E87C" w14:textId="77777777" w:rsidTr="005B4014">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F9853" w14:textId="77777777" w:rsidR="00F50FC7" w:rsidRPr="008D66EC" w:rsidRDefault="00F50FC7" w:rsidP="005B4014">
            <w:pPr>
              <w:rPr>
                <w:b/>
                <w:i/>
              </w:rPr>
            </w:pPr>
            <w:r w:rsidRPr="008D66EC">
              <w:rPr>
                <w:b/>
                <w:i/>
              </w:rPr>
              <w:lastRenderedPageBreak/>
              <w:t>Akių sutrikimai</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3A8CF" w14:textId="77777777" w:rsidR="00F50FC7" w:rsidRDefault="00F50FC7" w:rsidP="005B4014">
            <w:r>
              <w:t>Nedažnas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BC08" w14:textId="77777777" w:rsidR="00F50FC7" w:rsidRDefault="00F50FC7" w:rsidP="005B4014">
            <w:r>
              <w:t>Konjunktyvitas</w:t>
            </w:r>
          </w:p>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D468A" w14:textId="77777777" w:rsidR="00F50FC7" w:rsidRDefault="00F50FC7" w:rsidP="005B4014"/>
        </w:tc>
      </w:tr>
      <w:tr w:rsidR="00F50FC7" w14:paraId="1FFDC734" w14:textId="77777777" w:rsidTr="005B4014">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EBA67" w14:textId="77777777" w:rsidR="00F50FC7" w:rsidRPr="008D66EC" w:rsidRDefault="00F50FC7" w:rsidP="005B4014">
            <w:pPr>
              <w:rPr>
                <w:b/>
                <w:i/>
              </w:rPr>
            </w:pPr>
            <w:r w:rsidRPr="008D66EC">
              <w:rPr>
                <w:b/>
                <w:i/>
              </w:rPr>
              <w:t>Kvėpavimo sistemos, krūtinės ląstos ir tarpuplaučio sutrikimai</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20E0E" w14:textId="77777777" w:rsidR="00F50FC7" w:rsidRDefault="00F50FC7" w:rsidP="005B4014">
            <w:r>
              <w:t>Nedažnas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2D0A" w14:textId="77777777" w:rsidR="00F50FC7" w:rsidRDefault="00F50FC7" w:rsidP="005B4014"/>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6BF82" w14:textId="77777777" w:rsidR="00F50FC7" w:rsidRDefault="00F50FC7" w:rsidP="005B4014">
            <w:r>
              <w:t>Kosulys</w:t>
            </w:r>
          </w:p>
        </w:tc>
      </w:tr>
      <w:tr w:rsidR="00F50FC7" w14:paraId="5BB06395" w14:textId="77777777" w:rsidTr="005B4014">
        <w:tc>
          <w:tcPr>
            <w:tcW w:w="22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FDBB9" w14:textId="77777777" w:rsidR="00F50FC7" w:rsidRPr="008D66EC" w:rsidRDefault="00F50FC7" w:rsidP="005B4014">
            <w:pPr>
              <w:rPr>
                <w:b/>
                <w:i/>
              </w:rPr>
            </w:pPr>
            <w:r w:rsidRPr="008D66EC">
              <w:rPr>
                <w:b/>
                <w:i/>
              </w:rPr>
              <w:t>Virškinimo trakto sutrikimai</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D2D22" w14:textId="77777777" w:rsidR="00F50FC7" w:rsidRDefault="00F50FC7" w:rsidP="005B4014">
            <w:r>
              <w:t>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964E4" w14:textId="77777777" w:rsidR="00F50FC7" w:rsidRDefault="00F50FC7" w:rsidP="005B4014">
            <w:r>
              <w:t>Viduriavimas, vėmimas, virškinimo trakto sutrikimai</w:t>
            </w:r>
          </w:p>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05C44" w14:textId="77777777" w:rsidR="00F50FC7" w:rsidRDefault="00F50FC7" w:rsidP="005B4014">
            <w:r>
              <w:t>Pykinimas, virškinimo trakto sutrikimai</w:t>
            </w:r>
          </w:p>
        </w:tc>
      </w:tr>
      <w:tr w:rsidR="00F50FC7" w14:paraId="2731A883" w14:textId="77777777" w:rsidTr="005B4014">
        <w:tc>
          <w:tcPr>
            <w:tcW w:w="2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944E4" w14:textId="77777777" w:rsidR="00F50FC7" w:rsidRPr="008D66EC" w:rsidRDefault="00F50FC7" w:rsidP="005B4014">
            <w:pPr>
              <w:rPr>
                <w:b/>
                <w:i/>
              </w:rPr>
            </w:pP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498AC" w14:textId="77777777" w:rsidR="00F50FC7" w:rsidRDefault="00F50FC7" w:rsidP="005B4014">
            <w:r>
              <w:t>Nedažnas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1E103" w14:textId="77777777" w:rsidR="00F50FC7" w:rsidRDefault="00F50FC7" w:rsidP="005B4014"/>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22AD3" w14:textId="77777777" w:rsidR="00F50FC7" w:rsidRDefault="00F50FC7" w:rsidP="005B4014">
            <w:r>
              <w:t>Viduriavimas, vėmimas</w:t>
            </w:r>
          </w:p>
        </w:tc>
      </w:tr>
      <w:tr w:rsidR="00F50FC7" w14:paraId="0B1F6A30" w14:textId="77777777" w:rsidTr="005B4014">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A647C" w14:textId="77777777" w:rsidR="00F50FC7" w:rsidRPr="008D66EC" w:rsidRDefault="00F50FC7" w:rsidP="005B4014">
            <w:pPr>
              <w:rPr>
                <w:b/>
                <w:i/>
              </w:rPr>
            </w:pPr>
            <w:r w:rsidRPr="008D66EC">
              <w:rPr>
                <w:b/>
                <w:i/>
              </w:rPr>
              <w:t>Odos ir poodinio audinio sutrikimai</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DBA0C" w14:textId="77777777" w:rsidR="00F50FC7" w:rsidRDefault="00F50FC7" w:rsidP="005B4014">
            <w:r>
              <w:t>Nedažnas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71F65" w14:textId="77777777" w:rsidR="00F50FC7" w:rsidRDefault="00F50FC7" w:rsidP="005B4014">
            <w:r>
              <w:t>Išbėrimas</w:t>
            </w:r>
          </w:p>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C5901" w14:textId="77777777" w:rsidR="00F50FC7" w:rsidRDefault="00F50FC7" w:rsidP="005B4014">
            <w:r>
              <w:t>Pernelyg stiprus prakaitavimas, niežėjimas, išbėrimas</w:t>
            </w:r>
          </w:p>
        </w:tc>
      </w:tr>
      <w:tr w:rsidR="00F50FC7" w14:paraId="792133F2" w14:textId="77777777" w:rsidTr="005B4014">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9595A" w14:textId="77777777" w:rsidR="00F50FC7" w:rsidRPr="008D66EC" w:rsidRDefault="00F50FC7" w:rsidP="005B4014">
            <w:pPr>
              <w:rPr>
                <w:b/>
                <w:i/>
              </w:rPr>
            </w:pPr>
            <w:r w:rsidRPr="008D66EC">
              <w:rPr>
                <w:b/>
                <w:i/>
              </w:rPr>
              <w:t>Skeleto, raumenų ir jungiamojo audinio sutrikimai</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5A816" w14:textId="77777777" w:rsidR="00F50FC7" w:rsidRDefault="00F50FC7" w:rsidP="005B4014">
            <w:r>
              <w:t>Nedažnas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E3E64" w14:textId="77777777" w:rsidR="00F50FC7" w:rsidRDefault="00F50FC7" w:rsidP="005B4014"/>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C5979" w14:textId="77777777" w:rsidR="00F50FC7" w:rsidRDefault="00F50FC7" w:rsidP="005B4014">
            <w:proofErr w:type="spellStart"/>
            <w:r>
              <w:t>Artralgija</w:t>
            </w:r>
            <w:proofErr w:type="spellEnd"/>
            <w:r>
              <w:t xml:space="preserve">, </w:t>
            </w:r>
            <w:proofErr w:type="spellStart"/>
            <w:r>
              <w:t>mialgija</w:t>
            </w:r>
            <w:proofErr w:type="spellEnd"/>
            <w:r>
              <w:t>, sąnarių sąstingis, skeleto raumenų sąstingis</w:t>
            </w:r>
          </w:p>
        </w:tc>
      </w:tr>
      <w:tr w:rsidR="00F50FC7" w14:paraId="50B34329" w14:textId="77777777" w:rsidTr="005B4014">
        <w:tc>
          <w:tcPr>
            <w:tcW w:w="22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2C593" w14:textId="77777777" w:rsidR="00F50FC7" w:rsidRPr="008D66EC" w:rsidRDefault="00F50FC7" w:rsidP="005B4014">
            <w:pPr>
              <w:rPr>
                <w:b/>
                <w:i/>
              </w:rPr>
            </w:pPr>
            <w:r w:rsidRPr="008D66EC">
              <w:rPr>
                <w:b/>
                <w:i/>
              </w:rPr>
              <w:t>Bendrieji sutrikimai ir vartojimo vietos pažeidimai</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5936" w14:textId="77777777" w:rsidR="00F50FC7" w:rsidRDefault="00F50FC7" w:rsidP="005B4014">
            <w:r>
              <w:t>Labai 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57163" w14:textId="77777777" w:rsidR="00F50FC7" w:rsidRDefault="00F50FC7" w:rsidP="005B4014">
            <w:r>
              <w:t>Reakcija injekcijos vietoje (pvz., paraudimas ir (ar) patinimas), skausmas injekcijos vietoje, nuovargis</w:t>
            </w:r>
          </w:p>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BDE13" w14:textId="77777777" w:rsidR="00F50FC7" w:rsidRDefault="00F50FC7" w:rsidP="005B4014">
            <w:r>
              <w:t xml:space="preserve">Reakcija injekcijos vietoje (pvz., paraudimas ir (ar) patinimas), bendrasis negalavimas, nuovargis, skausmas </w:t>
            </w:r>
            <w:r>
              <w:rPr>
                <w:iCs/>
              </w:rPr>
              <w:t>i</w:t>
            </w:r>
            <w:r>
              <w:t>njekcijos vietoje</w:t>
            </w:r>
          </w:p>
        </w:tc>
      </w:tr>
      <w:tr w:rsidR="00F50FC7" w14:paraId="59306DF8" w14:textId="77777777" w:rsidTr="005B4014">
        <w:tc>
          <w:tcPr>
            <w:tcW w:w="2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467F2" w14:textId="77777777" w:rsidR="00F50FC7" w:rsidRDefault="00F50FC7" w:rsidP="005B4014">
            <w:pPr>
              <w:rPr>
                <w:b/>
                <w:i/>
              </w:rPr>
            </w:pP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768B" w14:textId="77777777" w:rsidR="00F50FC7" w:rsidRDefault="00F50FC7" w:rsidP="005B4014">
            <w:r>
              <w:t>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4A536" w14:textId="0AB6F5B6" w:rsidR="00F50FC7" w:rsidRDefault="00F50FC7" w:rsidP="005B4014">
            <w:r>
              <w:t xml:space="preserve">Karščiavimas (kūno temperatūra </w:t>
            </w:r>
            <w:r>
              <w:rPr>
                <w:rFonts w:ascii="Symbol" w:eastAsia="Symbol" w:hAnsi="Symbol" w:cs="Symbol"/>
              </w:rPr>
              <w:t></w:t>
            </w:r>
            <w:r>
              <w:t> 37,5</w:t>
            </w:r>
            <w:r w:rsidR="00F33BD5">
              <w:t> </w:t>
            </w:r>
            <w:r>
              <w:t>ºC, įskaitant karščiavimą &gt; 39,0</w:t>
            </w:r>
            <w:r w:rsidR="00F33BD5">
              <w:t> </w:t>
            </w:r>
            <w:r>
              <w:t>ºC), didelis galūnės, į kurią buvo suleista vakcina, patinimas (kartais apimantis ir greta esantį sąnarį)</w:t>
            </w:r>
          </w:p>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2E60E" w14:textId="27FD04DC" w:rsidR="00F50FC7" w:rsidRDefault="00F50FC7" w:rsidP="005B4014">
            <w:r>
              <w:t xml:space="preserve">Karščiavimas (kūno temperatūra </w:t>
            </w:r>
            <w:r>
              <w:rPr>
                <w:rFonts w:ascii="Symbol" w:eastAsia="Symbol" w:hAnsi="Symbol" w:cs="Symbol"/>
              </w:rPr>
              <w:t></w:t>
            </w:r>
            <w:r>
              <w:t> 37,5</w:t>
            </w:r>
            <w:r w:rsidR="00F33BD5">
              <w:t> </w:t>
            </w:r>
            <w:r>
              <w:t>ºC), reakcija</w:t>
            </w:r>
            <w:r>
              <w:rPr>
                <w:iCs/>
              </w:rPr>
              <w:t xml:space="preserve"> i</w:t>
            </w:r>
            <w:r>
              <w:t xml:space="preserve">njekcijos vietoje (pvz., gumbas injekcijos vietoje ir sterilusis </w:t>
            </w:r>
            <w:proofErr w:type="spellStart"/>
            <w:r>
              <w:t>abscesas</w:t>
            </w:r>
            <w:proofErr w:type="spellEnd"/>
            <w:r>
              <w:t xml:space="preserve"> injekcijos vietoje)</w:t>
            </w:r>
          </w:p>
        </w:tc>
      </w:tr>
      <w:tr w:rsidR="00F50FC7" w14:paraId="4EF75416" w14:textId="77777777" w:rsidTr="005B4014">
        <w:tc>
          <w:tcPr>
            <w:tcW w:w="2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7967D" w14:textId="77777777" w:rsidR="00F50FC7" w:rsidRDefault="00F50FC7" w:rsidP="005B4014">
            <w:pPr>
              <w:rPr>
                <w:b/>
                <w:i/>
              </w:rPr>
            </w:pP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199F" w14:textId="77777777" w:rsidR="00F50FC7" w:rsidRDefault="00F50FC7" w:rsidP="005B4014">
            <w:r>
              <w:t>Nedažnas</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4A4EF" w14:textId="77777777" w:rsidR="00F50FC7" w:rsidRDefault="00F50FC7" w:rsidP="005B4014">
            <w:r>
              <w:t>Kitos reakcijos</w:t>
            </w:r>
            <w:r>
              <w:rPr>
                <w:iCs/>
              </w:rPr>
              <w:t xml:space="preserve"> i</w:t>
            </w:r>
            <w:r>
              <w:t>njekcijos vietoje (pvz., sukietėjimas), skausmas</w:t>
            </w:r>
          </w:p>
        </w:t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812D5" w14:textId="30B0392D" w:rsidR="00F50FC7" w:rsidRDefault="00F50FC7" w:rsidP="005B4014">
            <w:r>
              <w:t>Karščiavimas (&gt; 39,0</w:t>
            </w:r>
            <w:r w:rsidR="00F33BD5">
              <w:t> </w:t>
            </w:r>
            <w:r>
              <w:t>ºC), į gripą panašus sutrikimas, skausmas</w:t>
            </w:r>
          </w:p>
        </w:tc>
      </w:tr>
    </w:tbl>
    <w:p w14:paraId="0161C09D" w14:textId="77777777" w:rsidR="00F50FC7" w:rsidRPr="00E90E50" w:rsidRDefault="00F50FC7" w:rsidP="00F50FC7"/>
    <w:p w14:paraId="1E26FABD" w14:textId="77777777" w:rsidR="00F50FC7" w:rsidRPr="008B0A23" w:rsidRDefault="00F50FC7" w:rsidP="00F50FC7">
      <w:pPr>
        <w:pStyle w:val="Text"/>
        <w:keepNext/>
        <w:tabs>
          <w:tab w:val="left" w:pos="567"/>
        </w:tabs>
        <w:spacing w:line="240" w:lineRule="auto"/>
        <w:rPr>
          <w:lang w:val="lt-LT"/>
        </w:rPr>
      </w:pPr>
      <w:r>
        <w:rPr>
          <w:i/>
          <w:lang w:val="lt-LT"/>
        </w:rPr>
        <w:t xml:space="preserve">Reaktyvumas </w:t>
      </w:r>
      <w:r w:rsidRPr="008D66EC">
        <w:rPr>
          <w:i/>
          <w:lang w:val="lt-LT"/>
        </w:rPr>
        <w:t xml:space="preserve">po </w:t>
      </w:r>
      <w:r w:rsidRPr="00C30146">
        <w:rPr>
          <w:i/>
          <w:lang w:val="lt-LT"/>
        </w:rPr>
        <w:t>pakartotinės dozės</w:t>
      </w:r>
    </w:p>
    <w:p w14:paraId="586DE4E0" w14:textId="77777777" w:rsidR="00F50FC7" w:rsidRPr="00E90E50" w:rsidRDefault="00F50FC7" w:rsidP="00F50FC7">
      <w:pPr>
        <w:pStyle w:val="Text"/>
        <w:keepNext/>
        <w:tabs>
          <w:tab w:val="left" w:pos="567"/>
        </w:tabs>
        <w:spacing w:line="240" w:lineRule="auto"/>
        <w:rPr>
          <w:lang w:val="lt-LT"/>
        </w:rPr>
      </w:pPr>
    </w:p>
    <w:p w14:paraId="0AF23DE8" w14:textId="77777777" w:rsidR="00F50FC7" w:rsidRDefault="00F50FC7" w:rsidP="00F50FC7">
      <w:r>
        <w:rPr>
          <w:szCs w:val="22"/>
        </w:rPr>
        <w:t>146 tiriamųjų duomenys rodo, kad pakartotinai skiepijant suaugusiuosius (vyresnius kaip 40 metų) pagal 0, 1, 6 mėnesių planą, nedaug padidėjo lokalus reaktyvumas (skausmas, paraudimas, patinimas).</w:t>
      </w:r>
    </w:p>
    <w:p w14:paraId="0A3DA4E2" w14:textId="77777777" w:rsidR="00F50FC7" w:rsidRDefault="00F50FC7" w:rsidP="00F50FC7">
      <w:pPr>
        <w:tabs>
          <w:tab w:val="left" w:pos="567"/>
        </w:tabs>
        <w:jc w:val="both"/>
        <w:rPr>
          <w:szCs w:val="22"/>
        </w:rPr>
      </w:pPr>
    </w:p>
    <w:p w14:paraId="79EB1D08" w14:textId="77777777" w:rsidR="00F50FC7" w:rsidRDefault="00F50FC7" w:rsidP="00F50FC7">
      <w:r>
        <w:rPr>
          <w:szCs w:val="22"/>
        </w:rPr>
        <w:t xml:space="preserve">Duomenys rodo, kad asmenims, pirminės vakcinacijos metu vaikystėje paskiepytiems vakcina nuo difterijos, stabligės ir kokliušo, antroji </w:t>
      </w:r>
      <w:proofErr w:type="spellStart"/>
      <w:r>
        <w:rPr>
          <w:szCs w:val="22"/>
        </w:rPr>
        <w:t>revakcinacijos</w:t>
      </w:r>
      <w:proofErr w:type="spellEnd"/>
      <w:r>
        <w:rPr>
          <w:szCs w:val="22"/>
        </w:rPr>
        <w:t xml:space="preserve"> dozė gali padidinti lokalųjį reaktyvumą.</w:t>
      </w:r>
    </w:p>
    <w:p w14:paraId="4BC5BF2E" w14:textId="77777777" w:rsidR="00F50FC7" w:rsidRDefault="00F50FC7" w:rsidP="00F50FC7">
      <w:pPr>
        <w:rPr>
          <w:szCs w:val="22"/>
        </w:rPr>
      </w:pPr>
    </w:p>
    <w:p w14:paraId="7C442A8A" w14:textId="77777777" w:rsidR="00F50FC7" w:rsidRDefault="00F50FC7" w:rsidP="00F50FC7">
      <w:pPr>
        <w:numPr>
          <w:ilvl w:val="0"/>
          <w:numId w:val="4"/>
        </w:numPr>
        <w:ind w:left="567" w:hanging="567"/>
        <w:rPr>
          <w:b/>
          <w:szCs w:val="22"/>
        </w:rPr>
      </w:pPr>
      <w:r>
        <w:rPr>
          <w:b/>
          <w:szCs w:val="22"/>
        </w:rPr>
        <w:t>Duomenys, gauti po vaistinio preparato patekimo į rinką</w:t>
      </w:r>
    </w:p>
    <w:p w14:paraId="5E20E060" w14:textId="77777777" w:rsidR="00F50FC7" w:rsidRDefault="00F50FC7" w:rsidP="00F50FC7"/>
    <w:p w14:paraId="2E4CA09D" w14:textId="77777777" w:rsidR="00F50FC7" w:rsidRDefault="00F50FC7" w:rsidP="00F50FC7">
      <w:r>
        <w:t>Kadangi apie šiuos reiškinius pranešta savanoriškai, tikslaus jų dažnio nustatyti neįmanoma.</w:t>
      </w:r>
    </w:p>
    <w:p w14:paraId="4CBA636D" w14:textId="77777777" w:rsidR="00F50FC7" w:rsidRDefault="00F50FC7" w:rsidP="00F50FC7">
      <w:bookmarkStart w:id="31" w:name="_Hlk9445536"/>
    </w:p>
    <w:p w14:paraId="258535E0" w14:textId="77777777" w:rsidR="00F50FC7" w:rsidRPr="00E90E50" w:rsidRDefault="00F50FC7" w:rsidP="00F50FC7">
      <w:pPr>
        <w:pStyle w:val="Text"/>
        <w:keepNext/>
        <w:tabs>
          <w:tab w:val="left" w:pos="567"/>
        </w:tabs>
        <w:spacing w:line="240" w:lineRule="auto"/>
        <w:rPr>
          <w:lang w:val="lt-LT"/>
        </w:rPr>
      </w:pPr>
      <w:r>
        <w:rPr>
          <w:b/>
          <w:bCs/>
          <w:lang w:val="lt-LT"/>
        </w:rPr>
        <w:t>2 lentelė</w:t>
      </w:r>
      <w:r>
        <w:rPr>
          <w:lang w:val="lt-LT"/>
        </w:rPr>
        <w:t xml:space="preserve">. Nepageidaujamos reakcijos, apie kurias buvo pranešta vartojant </w:t>
      </w:r>
      <w:proofErr w:type="spellStart"/>
      <w:r>
        <w:rPr>
          <w:lang w:val="lt-LT"/>
        </w:rPr>
        <w:t>Boostrix</w:t>
      </w:r>
      <w:proofErr w:type="spellEnd"/>
      <w:r>
        <w:rPr>
          <w:lang w:val="lt-LT"/>
        </w:rPr>
        <w:t xml:space="preserve"> po vaistinio preparato patekimo į rinką</w:t>
      </w:r>
    </w:p>
    <w:bookmarkEnd w:id="31"/>
    <w:p w14:paraId="02708DB9" w14:textId="77777777" w:rsidR="00F50FC7" w:rsidRDefault="00F50FC7" w:rsidP="00F50FC7"/>
    <w:tbl>
      <w:tblPr>
        <w:tblW w:w="9060" w:type="dxa"/>
        <w:tblCellMar>
          <w:left w:w="10" w:type="dxa"/>
          <w:right w:w="10" w:type="dxa"/>
        </w:tblCellMar>
        <w:tblLook w:val="0000" w:firstRow="0" w:lastRow="0" w:firstColumn="0" w:lastColumn="0" w:noHBand="0" w:noVBand="0"/>
      </w:tblPr>
      <w:tblGrid>
        <w:gridCol w:w="3272"/>
        <w:gridCol w:w="1543"/>
        <w:gridCol w:w="4245"/>
      </w:tblGrid>
      <w:tr w:rsidR="00F50FC7" w14:paraId="37B719B7" w14:textId="77777777" w:rsidTr="005B4014">
        <w:tc>
          <w:tcPr>
            <w:tcW w:w="3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A04A" w14:textId="77777777" w:rsidR="00F50FC7" w:rsidRDefault="00F50FC7" w:rsidP="005B4014">
            <w:pPr>
              <w:jc w:val="center"/>
            </w:pPr>
            <w:r w:rsidRPr="008D66EC">
              <w:rPr>
                <w:b/>
                <w:i/>
              </w:rPr>
              <w:t>Organų sistemų klasės</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70590" w14:textId="77777777" w:rsidR="00F50FC7" w:rsidRDefault="00F50FC7" w:rsidP="005B4014">
            <w:pPr>
              <w:jc w:val="center"/>
            </w:pPr>
            <w:r>
              <w:rPr>
                <w:b/>
                <w:i/>
              </w:rPr>
              <w:t>Dažnis</w:t>
            </w:r>
          </w:p>
        </w:tc>
        <w:tc>
          <w:tcPr>
            <w:tcW w:w="4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D2527" w14:textId="77777777" w:rsidR="00F50FC7" w:rsidRDefault="00F50FC7" w:rsidP="005B4014">
            <w:pPr>
              <w:jc w:val="center"/>
            </w:pPr>
            <w:r>
              <w:rPr>
                <w:b/>
                <w:i/>
              </w:rPr>
              <w:t>Nepageidaujamos reakcijos</w:t>
            </w:r>
          </w:p>
        </w:tc>
      </w:tr>
      <w:tr w:rsidR="00F50FC7" w14:paraId="27455F94" w14:textId="77777777" w:rsidTr="005B4014">
        <w:tc>
          <w:tcPr>
            <w:tcW w:w="3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26570" w14:textId="77777777" w:rsidR="00F50FC7" w:rsidRDefault="00F50FC7" w:rsidP="005B4014">
            <w:bookmarkStart w:id="32" w:name="_Hlk9445583"/>
            <w:r w:rsidRPr="008D66EC">
              <w:rPr>
                <w:b/>
                <w:i/>
              </w:rPr>
              <w:t>Imuninės sistemos sutrikimai</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A3901" w14:textId="77777777" w:rsidR="00F50FC7" w:rsidRDefault="00F50FC7" w:rsidP="005B4014">
            <w:r>
              <w:t xml:space="preserve">Nežinomas </w:t>
            </w:r>
          </w:p>
        </w:tc>
        <w:tc>
          <w:tcPr>
            <w:tcW w:w="4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9A17F" w14:textId="77777777" w:rsidR="00F50FC7" w:rsidRDefault="00F50FC7" w:rsidP="005B4014">
            <w:r>
              <w:t xml:space="preserve">Alerginės reakcijos, įskaitant anafilaksines ir </w:t>
            </w:r>
            <w:proofErr w:type="spellStart"/>
            <w:r>
              <w:t>anafilaktoidines</w:t>
            </w:r>
            <w:proofErr w:type="spellEnd"/>
            <w:r>
              <w:t xml:space="preserve"> reakcijas</w:t>
            </w:r>
          </w:p>
        </w:tc>
      </w:tr>
      <w:tr w:rsidR="00F50FC7" w14:paraId="1A7429C1" w14:textId="77777777" w:rsidTr="005B4014">
        <w:tc>
          <w:tcPr>
            <w:tcW w:w="3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06D76" w14:textId="77777777" w:rsidR="00F50FC7" w:rsidRDefault="00F50FC7" w:rsidP="005B4014">
            <w:r w:rsidRPr="008D66EC">
              <w:rPr>
                <w:b/>
                <w:i/>
              </w:rPr>
              <w:t>Nervų sistemos sutrikimai</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4004B" w14:textId="77777777" w:rsidR="00F50FC7" w:rsidRDefault="00F50FC7" w:rsidP="005B4014">
            <w:r>
              <w:t>Nežinomas</w:t>
            </w:r>
          </w:p>
        </w:tc>
        <w:tc>
          <w:tcPr>
            <w:tcW w:w="4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E81A" w14:textId="77777777" w:rsidR="00F50FC7" w:rsidRDefault="00F50FC7" w:rsidP="005B4014">
            <w:r>
              <w:t xml:space="preserve">Hipotonijos ir </w:t>
            </w:r>
            <w:r>
              <w:rPr>
                <w:szCs w:val="22"/>
              </w:rPr>
              <w:t>susilpnėjusio atsako epizodai</w:t>
            </w:r>
            <w:r>
              <w:t>, traukuliai (su karščiavimu arba be karščiavimo)</w:t>
            </w:r>
          </w:p>
        </w:tc>
      </w:tr>
      <w:tr w:rsidR="00F50FC7" w14:paraId="36A27DE8" w14:textId="77777777" w:rsidTr="005B4014">
        <w:tc>
          <w:tcPr>
            <w:tcW w:w="3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291B3" w14:textId="77777777" w:rsidR="00F50FC7" w:rsidRDefault="00F50FC7" w:rsidP="005B4014">
            <w:r w:rsidRPr="008D66EC">
              <w:rPr>
                <w:b/>
                <w:i/>
              </w:rPr>
              <w:t>Odos ir poodinio audinio sutrikimai</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C6FE5" w14:textId="77777777" w:rsidR="00F50FC7" w:rsidRDefault="00F50FC7" w:rsidP="005B4014">
            <w:r>
              <w:t>Nežinomas</w:t>
            </w:r>
          </w:p>
        </w:tc>
        <w:tc>
          <w:tcPr>
            <w:tcW w:w="4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855F" w14:textId="77777777" w:rsidR="00F50FC7" w:rsidRDefault="00F50FC7" w:rsidP="005B4014">
            <w:r>
              <w:t xml:space="preserve">Dilgėlinė, </w:t>
            </w:r>
            <w:proofErr w:type="spellStart"/>
            <w:r>
              <w:t>angioneurozinė</w:t>
            </w:r>
            <w:proofErr w:type="spellEnd"/>
            <w:r>
              <w:t xml:space="preserve"> edema</w:t>
            </w:r>
          </w:p>
        </w:tc>
      </w:tr>
      <w:tr w:rsidR="00F50FC7" w14:paraId="65DD1F3D" w14:textId="77777777" w:rsidTr="005B4014">
        <w:tc>
          <w:tcPr>
            <w:tcW w:w="3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F271" w14:textId="77777777" w:rsidR="00F50FC7" w:rsidRDefault="00F50FC7" w:rsidP="005B4014">
            <w:r w:rsidRPr="008D66EC">
              <w:rPr>
                <w:b/>
                <w:i/>
              </w:rPr>
              <w:t>Bendrieji sutrikimai ir vartojimo vietos pažeidimai</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5A5A1" w14:textId="77777777" w:rsidR="00F50FC7" w:rsidRDefault="00F50FC7" w:rsidP="005B4014">
            <w:r>
              <w:t>Nežinomas</w:t>
            </w:r>
          </w:p>
        </w:tc>
        <w:tc>
          <w:tcPr>
            <w:tcW w:w="4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FDD65" w14:textId="77777777" w:rsidR="00F50FC7" w:rsidRDefault="00F50FC7" w:rsidP="005B4014">
            <w:proofErr w:type="spellStart"/>
            <w:r>
              <w:t>Astenija</w:t>
            </w:r>
            <w:proofErr w:type="spellEnd"/>
          </w:p>
        </w:tc>
      </w:tr>
      <w:bookmarkEnd w:id="32"/>
    </w:tbl>
    <w:p w14:paraId="6F046629" w14:textId="77777777" w:rsidR="00F50FC7" w:rsidRDefault="00F50FC7" w:rsidP="00F50FC7">
      <w:pPr>
        <w:tabs>
          <w:tab w:val="left" w:pos="567"/>
        </w:tabs>
        <w:jc w:val="both"/>
        <w:rPr>
          <w:szCs w:val="22"/>
        </w:rPr>
      </w:pPr>
    </w:p>
    <w:p w14:paraId="16D02E87" w14:textId="77777777" w:rsidR="00F50FC7" w:rsidRDefault="00F50FC7" w:rsidP="00F50FC7">
      <w:pPr>
        <w:tabs>
          <w:tab w:val="left" w:pos="567"/>
        </w:tabs>
      </w:pPr>
      <w:r>
        <w:rPr>
          <w:szCs w:val="22"/>
        </w:rPr>
        <w:t xml:space="preserve">Po vakcinos, kurioje yra stabligės </w:t>
      </w:r>
      <w:proofErr w:type="spellStart"/>
      <w:r>
        <w:rPr>
          <w:szCs w:val="22"/>
        </w:rPr>
        <w:t>anatoksino</w:t>
      </w:r>
      <w:proofErr w:type="spellEnd"/>
      <w:r>
        <w:rPr>
          <w:szCs w:val="22"/>
        </w:rPr>
        <w:t xml:space="preserve">, suleidimo buvo gauta labai retų pranešimų apie nepageidaujamas centrinės ar periferinės nervų sistemų reakcijas, įskaitant kylantįjį paralyžių ar netgi kvėpavimo paralyžių (pvz., </w:t>
      </w:r>
      <w:proofErr w:type="spellStart"/>
      <w:r>
        <w:rPr>
          <w:i/>
          <w:szCs w:val="22"/>
        </w:rPr>
        <w:t>Gijeno</w:t>
      </w:r>
      <w:proofErr w:type="spellEnd"/>
      <w:r>
        <w:rPr>
          <w:i/>
          <w:szCs w:val="22"/>
        </w:rPr>
        <w:t>-Bare (</w:t>
      </w:r>
      <w:proofErr w:type="spellStart"/>
      <w:r>
        <w:rPr>
          <w:i/>
          <w:szCs w:val="22"/>
        </w:rPr>
        <w:t>Guillain-Barré</w:t>
      </w:r>
      <w:proofErr w:type="spellEnd"/>
      <w:r>
        <w:rPr>
          <w:i/>
          <w:szCs w:val="22"/>
        </w:rPr>
        <w:t>) sindromą</w:t>
      </w:r>
      <w:r>
        <w:rPr>
          <w:szCs w:val="22"/>
        </w:rPr>
        <w:t>).</w:t>
      </w:r>
    </w:p>
    <w:p w14:paraId="4B95BFCB" w14:textId="77777777" w:rsidR="00F50FC7" w:rsidRDefault="00F50FC7" w:rsidP="00F50FC7">
      <w:pPr>
        <w:tabs>
          <w:tab w:val="left" w:pos="567"/>
        </w:tabs>
        <w:rPr>
          <w:szCs w:val="22"/>
        </w:rPr>
      </w:pPr>
    </w:p>
    <w:p w14:paraId="4AEBA4EA" w14:textId="77777777" w:rsidR="00F50FC7" w:rsidRDefault="00F50FC7" w:rsidP="00F50FC7">
      <w:pPr>
        <w:autoSpaceDE w:val="0"/>
        <w:jc w:val="both"/>
        <w:rPr>
          <w:szCs w:val="22"/>
          <w:u w:val="single"/>
        </w:rPr>
      </w:pPr>
      <w:r>
        <w:rPr>
          <w:szCs w:val="22"/>
          <w:u w:val="single"/>
        </w:rPr>
        <w:t>Pranešimas apie įtariamas nepageidaujamas reakcijas</w:t>
      </w:r>
    </w:p>
    <w:p w14:paraId="4D227A80" w14:textId="6CA10650" w:rsidR="00F50FC7" w:rsidRPr="00B34FA1" w:rsidRDefault="00F50FC7" w:rsidP="00E90E50">
      <w:pPr>
        <w:autoSpaceDE w:val="0"/>
        <w:adjustRightInd w:val="0"/>
        <w:jc w:val="both"/>
        <w:rPr>
          <w:noProof/>
        </w:rPr>
      </w:pPr>
      <w:r>
        <w:t xml:space="preserve">Svarbu pranešti apie įtariamas nepageidaujamas reakcijas, pastebėtas po vaistinio preparato registracijos, nes tai leidžia nuolat stebėti vaistinio preparato naudos ir rizikos santykį. Sveikatos priežiūros specialistai </w:t>
      </w:r>
      <w:r w:rsidR="00922595" w:rsidRPr="00922595">
        <w:t>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w:t>
      </w:r>
      <w:r w:rsidR="00E50D59">
        <w:t xml:space="preserve"> </w:t>
      </w:r>
      <w:r w:rsidR="00E50D59" w:rsidRPr="00E50D59">
        <w:t>(ĮNR)</w:t>
      </w:r>
      <w:r w:rsidR="00922595" w:rsidRPr="00922595">
        <w:t xml:space="preserve"> formą, kuri skelbiama https://www.vvkt.lt/index.php?1399030386, ir atsiųsti elektroniniu paštu (adresu </w:t>
      </w:r>
      <w:proofErr w:type="spellStart"/>
      <w:r w:rsidR="00922595" w:rsidRPr="00922595">
        <w:t>NepageidaujamaR@vvkt.lt</w:t>
      </w:r>
      <w:proofErr w:type="spellEnd"/>
      <w:r w:rsidR="00922595" w:rsidRPr="00922595">
        <w:t>).</w:t>
      </w:r>
    </w:p>
    <w:p w14:paraId="3EC26401" w14:textId="77777777" w:rsidR="00F50FC7" w:rsidRDefault="00F50FC7" w:rsidP="00F50FC7">
      <w:pPr>
        <w:tabs>
          <w:tab w:val="left" w:pos="567"/>
        </w:tabs>
        <w:rPr>
          <w:szCs w:val="22"/>
        </w:rPr>
      </w:pPr>
    </w:p>
    <w:p w14:paraId="42835C98" w14:textId="77777777" w:rsidR="00F50FC7" w:rsidRDefault="00F50FC7" w:rsidP="00F50FC7">
      <w:pPr>
        <w:tabs>
          <w:tab w:val="left" w:pos="567"/>
        </w:tabs>
        <w:rPr>
          <w:b/>
          <w:bCs/>
          <w:szCs w:val="22"/>
        </w:rPr>
      </w:pPr>
      <w:r>
        <w:rPr>
          <w:b/>
          <w:bCs/>
          <w:szCs w:val="22"/>
        </w:rPr>
        <w:t>4.9</w:t>
      </w:r>
      <w:r>
        <w:rPr>
          <w:b/>
          <w:bCs/>
          <w:szCs w:val="22"/>
        </w:rPr>
        <w:tab/>
        <w:t>Perdozavimas</w:t>
      </w:r>
    </w:p>
    <w:p w14:paraId="44841214" w14:textId="77777777" w:rsidR="00F50FC7" w:rsidRDefault="00F50FC7" w:rsidP="00F50FC7">
      <w:pPr>
        <w:tabs>
          <w:tab w:val="left" w:pos="567"/>
        </w:tabs>
        <w:rPr>
          <w:szCs w:val="22"/>
        </w:rPr>
      </w:pPr>
    </w:p>
    <w:p w14:paraId="19B66175" w14:textId="77777777" w:rsidR="00F50FC7" w:rsidRDefault="00F50FC7" w:rsidP="00F50FC7">
      <w:pPr>
        <w:tabs>
          <w:tab w:val="left" w:pos="567"/>
        </w:tabs>
      </w:pPr>
      <w:r>
        <w:rPr>
          <w:szCs w:val="22"/>
        </w:rPr>
        <w:t>Stebėjimo po vaistinio preparato patekimo į rinką metu buvo pranešta apie perdozavimo atvejus. Nepageidaujami reiškiniai, kurie pasireiškė po perdozavimo, kai apie juos buvo pranešta, buvo panašūs į pasireiškusius normaliai vartojant vakciną.</w:t>
      </w:r>
    </w:p>
    <w:bookmarkEnd w:id="26"/>
    <w:bookmarkEnd w:id="27"/>
    <w:p w14:paraId="04C59754" w14:textId="77777777" w:rsidR="00F50FC7" w:rsidRPr="002C65CD" w:rsidRDefault="00F50FC7" w:rsidP="000B6C00">
      <w:pPr>
        <w:pStyle w:val="BTEMEASMCA"/>
      </w:pPr>
    </w:p>
    <w:p w14:paraId="2B4B327B" w14:textId="77777777" w:rsidR="00F50FC7" w:rsidRPr="002C65CD" w:rsidRDefault="00F50FC7" w:rsidP="000B6C00">
      <w:pPr>
        <w:pStyle w:val="BTEMEASMCA"/>
      </w:pPr>
    </w:p>
    <w:p w14:paraId="7EDC5EAA" w14:textId="46C25D3E" w:rsidR="00F50FC7" w:rsidRDefault="00F50FC7" w:rsidP="00F50FC7">
      <w:pPr>
        <w:pStyle w:val="PI-1EMEASMCA"/>
      </w:pPr>
      <w:bookmarkStart w:id="33" w:name="_Toc129243111"/>
      <w:bookmarkStart w:id="34" w:name="_Toc129243236"/>
      <w:r>
        <w:t>5.</w:t>
      </w:r>
      <w:r>
        <w:tab/>
        <w:t>FARMAKOLOGINĖS SAVYBĖS</w:t>
      </w:r>
      <w:bookmarkEnd w:id="33"/>
      <w:bookmarkEnd w:id="34"/>
    </w:p>
    <w:p w14:paraId="6728929F" w14:textId="77777777" w:rsidR="00F50FC7" w:rsidRPr="002C65CD" w:rsidRDefault="00F50FC7" w:rsidP="000B6C00">
      <w:pPr>
        <w:pStyle w:val="BTEMEASMCA"/>
      </w:pPr>
    </w:p>
    <w:p w14:paraId="1A8DC923" w14:textId="297FFB87" w:rsidR="00F50FC7" w:rsidRDefault="00F50FC7" w:rsidP="00F50FC7">
      <w:pPr>
        <w:pStyle w:val="PI-2EMEASMCA"/>
        <w:keepLines w:val="0"/>
      </w:pPr>
      <w:bookmarkStart w:id="35" w:name="_Toc129243112"/>
      <w:bookmarkStart w:id="36" w:name="_Toc129243237"/>
      <w:r>
        <w:t>5.1</w:t>
      </w:r>
      <w:r>
        <w:tab/>
      </w:r>
      <w:proofErr w:type="spellStart"/>
      <w:r>
        <w:t>Farmakodinaminės</w:t>
      </w:r>
      <w:proofErr w:type="spellEnd"/>
      <w:r>
        <w:t xml:space="preserve"> savybės</w:t>
      </w:r>
      <w:bookmarkEnd w:id="35"/>
      <w:bookmarkEnd w:id="36"/>
    </w:p>
    <w:p w14:paraId="4C6A025B" w14:textId="77777777" w:rsidR="00F50FC7" w:rsidRPr="002C65CD" w:rsidRDefault="00F50FC7" w:rsidP="000B6C00">
      <w:pPr>
        <w:pStyle w:val="BTEMEASMCA"/>
      </w:pPr>
    </w:p>
    <w:p w14:paraId="19E93135" w14:textId="77777777" w:rsidR="00F50FC7" w:rsidRDefault="00F50FC7" w:rsidP="00F50FC7">
      <w:pPr>
        <w:tabs>
          <w:tab w:val="left" w:pos="567"/>
        </w:tabs>
      </w:pPr>
      <w:bookmarkStart w:id="37" w:name="_Toc129243114"/>
      <w:bookmarkStart w:id="38" w:name="_Toc129243239"/>
      <w:proofErr w:type="spellStart"/>
      <w:r>
        <w:rPr>
          <w:szCs w:val="22"/>
        </w:rPr>
        <w:t>Farmakoterapinė</w:t>
      </w:r>
      <w:proofErr w:type="spellEnd"/>
      <w:r>
        <w:rPr>
          <w:szCs w:val="22"/>
        </w:rPr>
        <w:t xml:space="preserve"> grupė – bakterinės vakcinos, vakcinos nuo kokliušo. ATC kodas – J07AJ52.</w:t>
      </w:r>
    </w:p>
    <w:p w14:paraId="2211710F" w14:textId="77777777" w:rsidR="00F50FC7" w:rsidRDefault="00F50FC7" w:rsidP="00F50FC7">
      <w:pPr>
        <w:tabs>
          <w:tab w:val="left" w:pos="567"/>
        </w:tabs>
        <w:rPr>
          <w:szCs w:val="22"/>
        </w:rPr>
      </w:pPr>
    </w:p>
    <w:p w14:paraId="122B05C6" w14:textId="77777777" w:rsidR="00F50FC7" w:rsidRDefault="00F50FC7" w:rsidP="00F50FC7">
      <w:pPr>
        <w:keepNext/>
        <w:tabs>
          <w:tab w:val="left" w:pos="567"/>
        </w:tabs>
        <w:rPr>
          <w:i/>
          <w:szCs w:val="22"/>
        </w:rPr>
      </w:pPr>
      <w:r>
        <w:rPr>
          <w:i/>
          <w:szCs w:val="22"/>
        </w:rPr>
        <w:t>Imuninis atsakas</w:t>
      </w:r>
    </w:p>
    <w:p w14:paraId="17892EAF" w14:textId="77777777" w:rsidR="00F50FC7" w:rsidRPr="00E90E50" w:rsidRDefault="00F50FC7" w:rsidP="00F50FC7">
      <w:pPr>
        <w:tabs>
          <w:tab w:val="left" w:pos="567"/>
        </w:tabs>
      </w:pPr>
    </w:p>
    <w:p w14:paraId="04D0BA6E" w14:textId="77777777" w:rsidR="00F50FC7" w:rsidRDefault="00F50FC7" w:rsidP="00F50FC7">
      <w:pPr>
        <w:tabs>
          <w:tab w:val="left" w:pos="567"/>
        </w:tabs>
      </w:pPr>
      <w:r>
        <w:rPr>
          <w:szCs w:val="22"/>
        </w:rPr>
        <w:t xml:space="preserve">Praėjus maždaug vienam mėnesiui po </w:t>
      </w:r>
      <w:proofErr w:type="spellStart"/>
      <w:r>
        <w:rPr>
          <w:szCs w:val="22"/>
        </w:rPr>
        <w:t>revakcinacijos</w:t>
      </w:r>
      <w:proofErr w:type="spellEnd"/>
      <w:r>
        <w:rPr>
          <w:szCs w:val="22"/>
        </w:rPr>
        <w:t xml:space="preserve"> </w:t>
      </w:r>
      <w:proofErr w:type="spellStart"/>
      <w:r>
        <w:rPr>
          <w:szCs w:val="22"/>
        </w:rPr>
        <w:t>Boostrix</w:t>
      </w:r>
      <w:proofErr w:type="spellEnd"/>
      <w:r>
        <w:rPr>
          <w:szCs w:val="22"/>
        </w:rPr>
        <w:t>, buvo nustatyti toliau nurodyti serologinės apsaugos ar serologinio teigiamumo dažniai (3 lentelė).</w:t>
      </w:r>
    </w:p>
    <w:p w14:paraId="568CD30B" w14:textId="77777777" w:rsidR="00F50FC7" w:rsidRDefault="00F50FC7" w:rsidP="00F50FC7">
      <w:pPr>
        <w:tabs>
          <w:tab w:val="left" w:pos="567"/>
        </w:tabs>
        <w:rPr>
          <w:szCs w:val="22"/>
        </w:rPr>
      </w:pPr>
    </w:p>
    <w:p w14:paraId="738938F7" w14:textId="77777777" w:rsidR="00F50FC7" w:rsidRDefault="00F50FC7" w:rsidP="00F50FC7">
      <w:pPr>
        <w:keepNext/>
        <w:tabs>
          <w:tab w:val="left" w:pos="567"/>
        </w:tabs>
      </w:pPr>
      <w:r>
        <w:rPr>
          <w:b/>
          <w:bCs/>
        </w:rPr>
        <w:t>3 lentelė</w:t>
      </w:r>
      <w:r>
        <w:t>. Imuninis atsakas vaikams, paaugliams ir suaugusiesiems</w:t>
      </w:r>
    </w:p>
    <w:p w14:paraId="725B521D" w14:textId="77777777" w:rsidR="00F50FC7" w:rsidRDefault="00F50FC7" w:rsidP="00F50FC7">
      <w:pPr>
        <w:keepNext/>
        <w:tabs>
          <w:tab w:val="left" w:pos="567"/>
        </w:tabs>
        <w:rPr>
          <w:szCs w:val="22"/>
        </w:rPr>
      </w:pPr>
    </w:p>
    <w:tbl>
      <w:tblPr>
        <w:tblW w:w="8820" w:type="dxa"/>
        <w:tblInd w:w="113" w:type="dxa"/>
        <w:tblLayout w:type="fixed"/>
        <w:tblCellMar>
          <w:left w:w="10" w:type="dxa"/>
          <w:right w:w="10" w:type="dxa"/>
        </w:tblCellMar>
        <w:tblLook w:val="0000" w:firstRow="0" w:lastRow="0" w:firstColumn="0" w:lastColumn="0" w:noHBand="0" w:noVBand="0"/>
      </w:tblPr>
      <w:tblGrid>
        <w:gridCol w:w="2880"/>
        <w:gridCol w:w="1980"/>
        <w:gridCol w:w="1980"/>
        <w:gridCol w:w="1980"/>
      </w:tblGrid>
      <w:tr w:rsidR="00F50FC7" w14:paraId="640C312D" w14:textId="77777777" w:rsidTr="005B4014">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A2270" w14:textId="77777777" w:rsidR="00F50FC7" w:rsidRPr="008D66EC" w:rsidRDefault="00F50FC7" w:rsidP="005B4014">
            <w:pPr>
              <w:keepNext/>
              <w:spacing w:after="120"/>
            </w:pPr>
            <w:r>
              <w:rPr>
                <w:b/>
                <w:bCs/>
                <w:szCs w:val="22"/>
              </w:rPr>
              <w:t>Antigenas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7FEEC" w14:textId="77777777" w:rsidR="00F50FC7" w:rsidRPr="008D66EC" w:rsidRDefault="00F50FC7" w:rsidP="005B4014">
            <w:pPr>
              <w:keepNext/>
              <w:spacing w:after="120"/>
            </w:pPr>
            <w:r>
              <w:rPr>
                <w:b/>
                <w:bCs/>
                <w:szCs w:val="22"/>
              </w:rPr>
              <w:t xml:space="preserve">Atsakas </w:t>
            </w:r>
            <w:r>
              <w:rPr>
                <w:b/>
                <w:bCs/>
                <w:szCs w:val="22"/>
                <w:vertAlign w:val="superscript"/>
              </w:rPr>
              <w:t>(1)</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B9494" w14:textId="77777777" w:rsidR="00F50FC7" w:rsidRPr="008D66EC" w:rsidRDefault="00F50FC7" w:rsidP="005B4014">
            <w:pPr>
              <w:keepNext/>
              <w:ind w:left="-66" w:right="-72"/>
              <w:jc w:val="center"/>
            </w:pPr>
            <w:r>
              <w:rPr>
                <w:b/>
                <w:bCs/>
                <w:szCs w:val="22"/>
              </w:rPr>
              <w:t>Suaugusieji ir vyresni kaip 10 metų paaugliai PPP</w:t>
            </w:r>
            <w:r>
              <w:rPr>
                <w:b/>
                <w:bCs/>
                <w:szCs w:val="22"/>
                <w:vertAlign w:val="superscript"/>
              </w:rPr>
              <w:t>(2)</w:t>
            </w:r>
          </w:p>
          <w:p w14:paraId="263FBA5F" w14:textId="77777777" w:rsidR="00F50FC7" w:rsidRDefault="00F50FC7" w:rsidP="005B4014">
            <w:pPr>
              <w:keepNext/>
              <w:ind w:left="-66" w:right="-72"/>
              <w:jc w:val="center"/>
            </w:pPr>
            <w:r>
              <w:rPr>
                <w:b/>
                <w:bCs/>
                <w:szCs w:val="22"/>
              </w:rPr>
              <w:t>N</w:t>
            </w:r>
            <w:r>
              <w:rPr>
                <w:b/>
                <w:bCs/>
                <w:szCs w:val="22"/>
                <w:lang w:val="en-US"/>
              </w:rPr>
              <w:t> = </w:t>
            </w:r>
            <w:r>
              <w:rPr>
                <w:b/>
                <w:bCs/>
                <w:szCs w:val="22"/>
              </w:rPr>
              <w:t>1 694</w:t>
            </w:r>
          </w:p>
          <w:p w14:paraId="75DDA8B9" w14:textId="35D663CA" w:rsidR="00F50FC7" w:rsidRPr="008D66EC" w:rsidRDefault="00F50FC7" w:rsidP="005B4014">
            <w:pPr>
              <w:keepNext/>
              <w:jc w:val="center"/>
            </w:pPr>
            <w:r>
              <w:rPr>
                <w:szCs w:val="22"/>
              </w:rPr>
              <w:t>(%</w:t>
            </w:r>
            <w:r w:rsidR="00011BF4">
              <w:rPr>
                <w:szCs w:val="22"/>
              </w:rPr>
              <w:t> </w:t>
            </w:r>
            <w:r w:rsidRPr="008D66EC">
              <w:t>vakcinuotųjų</w:t>
            </w:r>
            <w:r>
              <w:rPr>
                <w:szCs w:val="22"/>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EB5B8" w14:textId="77777777" w:rsidR="00F50FC7" w:rsidRPr="00E90E50" w:rsidRDefault="00F50FC7" w:rsidP="005B4014">
            <w:pPr>
              <w:keepNext/>
              <w:ind w:left="-66" w:right="-72"/>
              <w:jc w:val="center"/>
            </w:pPr>
          </w:p>
          <w:p w14:paraId="0AAE3F12" w14:textId="77777777" w:rsidR="00F50FC7" w:rsidRPr="008D66EC" w:rsidRDefault="00F50FC7" w:rsidP="005B4014">
            <w:pPr>
              <w:keepNext/>
              <w:ind w:left="-66" w:right="-72"/>
              <w:jc w:val="center"/>
            </w:pPr>
            <w:r>
              <w:rPr>
                <w:b/>
                <w:bCs/>
                <w:szCs w:val="22"/>
              </w:rPr>
              <w:t>Vyresni kaip 4 metų vaikai PPP</w:t>
            </w:r>
            <w:r>
              <w:rPr>
                <w:b/>
                <w:bCs/>
                <w:szCs w:val="22"/>
                <w:vertAlign w:val="superscript"/>
              </w:rPr>
              <w:t>(2)</w:t>
            </w:r>
          </w:p>
          <w:p w14:paraId="59B6463E" w14:textId="77777777" w:rsidR="00F50FC7" w:rsidRPr="00E90E50" w:rsidRDefault="00F50FC7" w:rsidP="005B4014">
            <w:pPr>
              <w:keepNext/>
              <w:ind w:left="-66" w:right="-72"/>
              <w:jc w:val="center"/>
            </w:pPr>
          </w:p>
          <w:p w14:paraId="40B194E9" w14:textId="77777777" w:rsidR="00F50FC7" w:rsidRDefault="00F50FC7" w:rsidP="005B4014">
            <w:pPr>
              <w:keepNext/>
              <w:ind w:left="-66" w:right="-72"/>
              <w:jc w:val="center"/>
            </w:pPr>
            <w:r>
              <w:rPr>
                <w:b/>
                <w:bCs/>
                <w:szCs w:val="22"/>
              </w:rPr>
              <w:t>N</w:t>
            </w:r>
            <w:r>
              <w:rPr>
                <w:b/>
                <w:bCs/>
                <w:szCs w:val="22"/>
                <w:lang w:val="en-US"/>
              </w:rPr>
              <w:t> = </w:t>
            </w:r>
            <w:r>
              <w:rPr>
                <w:b/>
                <w:bCs/>
                <w:szCs w:val="22"/>
              </w:rPr>
              <w:t>415</w:t>
            </w:r>
          </w:p>
          <w:p w14:paraId="77AA870F" w14:textId="7CBF074F" w:rsidR="00F50FC7" w:rsidRPr="008D66EC" w:rsidRDefault="00F50FC7" w:rsidP="005B4014">
            <w:pPr>
              <w:keepNext/>
              <w:ind w:left="-66" w:right="-72"/>
              <w:jc w:val="center"/>
            </w:pPr>
            <w:r>
              <w:rPr>
                <w:szCs w:val="22"/>
              </w:rPr>
              <w:t>(%</w:t>
            </w:r>
            <w:r w:rsidR="00011BF4">
              <w:rPr>
                <w:szCs w:val="22"/>
              </w:rPr>
              <w:t> </w:t>
            </w:r>
            <w:r w:rsidRPr="008D66EC">
              <w:t>vakcinuotųjų</w:t>
            </w:r>
            <w:r>
              <w:rPr>
                <w:szCs w:val="22"/>
              </w:rPr>
              <w:t>)</w:t>
            </w:r>
          </w:p>
        </w:tc>
      </w:tr>
      <w:tr w:rsidR="00F50FC7" w14:paraId="06E490AA" w14:textId="77777777" w:rsidTr="005B4014">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76663" w14:textId="77777777" w:rsidR="00F50FC7" w:rsidRPr="008D66EC" w:rsidRDefault="00F50FC7" w:rsidP="005B4014">
            <w:pPr>
              <w:spacing w:after="120"/>
            </w:pPr>
            <w:r>
              <w:rPr>
                <w:b/>
                <w:szCs w:val="22"/>
              </w:rPr>
              <w:t>Difterija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FB20A" w14:textId="77777777" w:rsidR="00F50FC7" w:rsidRDefault="00F50FC7" w:rsidP="005B4014">
            <w:pPr>
              <w:spacing w:after="120"/>
            </w:pPr>
            <w:r>
              <w:rPr>
                <w:rFonts w:ascii="Symbol" w:eastAsia="Symbol" w:hAnsi="Symbol" w:cs="Symbol"/>
                <w:szCs w:val="22"/>
              </w:rPr>
              <w:t></w:t>
            </w:r>
            <w:r>
              <w:rPr>
                <w:szCs w:val="22"/>
              </w:rPr>
              <w:t> 0,1 TV/ml</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E0DD0" w14:textId="4788541D" w:rsidR="00F50FC7" w:rsidRDefault="00F50FC7" w:rsidP="005B4014">
            <w:pPr>
              <w:spacing w:after="120"/>
              <w:jc w:val="center"/>
            </w:pPr>
            <w:r>
              <w:rPr>
                <w:szCs w:val="22"/>
              </w:rPr>
              <w:t>97,2</w:t>
            </w:r>
            <w:r w:rsidR="00215050">
              <w:rPr>
                <w:szCs w:val="22"/>
              </w:rPr>
              <w:t> </w:t>
            </w:r>
            <w:r>
              <w:rPr>
                <w:szCs w:val="22"/>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4B8DB" w14:textId="540FC476" w:rsidR="00F50FC7" w:rsidRDefault="00F50FC7" w:rsidP="005B4014">
            <w:pPr>
              <w:spacing w:after="120"/>
              <w:jc w:val="center"/>
            </w:pPr>
            <w:r>
              <w:rPr>
                <w:szCs w:val="22"/>
              </w:rPr>
              <w:t>99,8</w:t>
            </w:r>
            <w:r w:rsidR="00215050">
              <w:rPr>
                <w:szCs w:val="22"/>
              </w:rPr>
              <w:t> </w:t>
            </w:r>
            <w:r>
              <w:rPr>
                <w:szCs w:val="22"/>
              </w:rPr>
              <w:t>%</w:t>
            </w:r>
          </w:p>
        </w:tc>
      </w:tr>
      <w:tr w:rsidR="00F50FC7" w14:paraId="5370C4E0" w14:textId="77777777" w:rsidTr="005B4014">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E7AD7" w14:textId="77777777" w:rsidR="00F50FC7" w:rsidRPr="008D66EC" w:rsidRDefault="00F50FC7" w:rsidP="005B4014">
            <w:pPr>
              <w:spacing w:after="120"/>
            </w:pPr>
            <w:r>
              <w:rPr>
                <w:b/>
                <w:szCs w:val="22"/>
              </w:rPr>
              <w:t>Stabligė</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B3C9C" w14:textId="77777777" w:rsidR="00F50FC7" w:rsidRDefault="00F50FC7" w:rsidP="005B4014">
            <w:pPr>
              <w:spacing w:after="120"/>
            </w:pPr>
            <w:r>
              <w:rPr>
                <w:rFonts w:ascii="Symbol" w:eastAsia="Symbol" w:hAnsi="Symbol" w:cs="Symbol"/>
                <w:szCs w:val="22"/>
              </w:rPr>
              <w:t></w:t>
            </w:r>
            <w:r>
              <w:rPr>
                <w:szCs w:val="22"/>
              </w:rPr>
              <w:t> 0,1 TV/ml</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0F07B" w14:textId="7BF0BA3B" w:rsidR="00F50FC7" w:rsidRDefault="00F50FC7" w:rsidP="005B4014">
            <w:pPr>
              <w:spacing w:after="120"/>
              <w:jc w:val="center"/>
            </w:pPr>
            <w:r>
              <w:rPr>
                <w:szCs w:val="22"/>
              </w:rPr>
              <w:t>99,0</w:t>
            </w:r>
            <w:r w:rsidR="00215050">
              <w:rPr>
                <w:szCs w:val="22"/>
              </w:rPr>
              <w:t> </w:t>
            </w:r>
            <w:r>
              <w:rPr>
                <w:szCs w:val="22"/>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68748" w14:textId="5D2561B1" w:rsidR="00F50FC7" w:rsidRDefault="00F50FC7" w:rsidP="005B4014">
            <w:pPr>
              <w:spacing w:after="120"/>
              <w:jc w:val="center"/>
            </w:pPr>
            <w:r>
              <w:rPr>
                <w:szCs w:val="22"/>
              </w:rPr>
              <w:t>100,0</w:t>
            </w:r>
            <w:r w:rsidR="00215050">
              <w:rPr>
                <w:szCs w:val="22"/>
              </w:rPr>
              <w:t> </w:t>
            </w:r>
            <w:r>
              <w:rPr>
                <w:szCs w:val="22"/>
              </w:rPr>
              <w:t>%</w:t>
            </w:r>
          </w:p>
        </w:tc>
      </w:tr>
      <w:tr w:rsidR="00F50FC7" w14:paraId="49ADA2A7" w14:textId="77777777" w:rsidTr="005B4014">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D989F" w14:textId="77777777" w:rsidR="00F50FC7" w:rsidRPr="008D66EC" w:rsidRDefault="00F50FC7" w:rsidP="005B4014">
            <w:pPr>
              <w:spacing w:after="120"/>
            </w:pPr>
            <w:r>
              <w:rPr>
                <w:b/>
                <w:szCs w:val="22"/>
              </w:rPr>
              <w:t>Kokliušas</w:t>
            </w:r>
          </w:p>
          <w:p w14:paraId="5E14DE08" w14:textId="77777777" w:rsidR="00F50FC7" w:rsidRDefault="00F50FC7" w:rsidP="005B4014">
            <w:pPr>
              <w:spacing w:after="120"/>
            </w:pPr>
            <w:r>
              <w:rPr>
                <w:szCs w:val="22"/>
              </w:rPr>
              <w:t xml:space="preserve">- Kokliušo </w:t>
            </w:r>
            <w:proofErr w:type="spellStart"/>
            <w:r>
              <w:rPr>
                <w:szCs w:val="22"/>
              </w:rPr>
              <w:t>anatoksino</w:t>
            </w:r>
            <w:proofErr w:type="spellEnd"/>
          </w:p>
          <w:p w14:paraId="6196C3AD" w14:textId="77777777" w:rsidR="00F50FC7" w:rsidRDefault="00F50FC7" w:rsidP="005B4014">
            <w:pPr>
              <w:spacing w:after="120"/>
            </w:pPr>
            <w:r>
              <w:rPr>
                <w:szCs w:val="22"/>
              </w:rPr>
              <w:t xml:space="preserve">- </w:t>
            </w:r>
            <w:proofErr w:type="spellStart"/>
            <w:r>
              <w:rPr>
                <w:szCs w:val="22"/>
              </w:rPr>
              <w:t>Filamentinio</w:t>
            </w:r>
            <w:proofErr w:type="spellEnd"/>
            <w:r>
              <w:rPr>
                <w:szCs w:val="22"/>
              </w:rPr>
              <w:t xml:space="preserve"> </w:t>
            </w:r>
            <w:proofErr w:type="spellStart"/>
            <w:r>
              <w:rPr>
                <w:szCs w:val="22"/>
              </w:rPr>
              <w:t>hemagliutinino</w:t>
            </w:r>
            <w:proofErr w:type="spellEnd"/>
          </w:p>
          <w:p w14:paraId="6FDDBDD4" w14:textId="77777777" w:rsidR="00F50FC7" w:rsidRDefault="00F50FC7" w:rsidP="005B4014">
            <w:pPr>
              <w:spacing w:after="120"/>
            </w:pPr>
            <w:r>
              <w:rPr>
                <w:szCs w:val="22"/>
              </w:rPr>
              <w:t xml:space="preserve">- </w:t>
            </w:r>
            <w:proofErr w:type="spellStart"/>
            <w:r>
              <w:rPr>
                <w:szCs w:val="22"/>
              </w:rPr>
              <w:t>Pertaktino</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86321" w14:textId="77777777" w:rsidR="00F50FC7" w:rsidRDefault="00F50FC7" w:rsidP="005B4014">
            <w:pPr>
              <w:spacing w:after="120"/>
            </w:pPr>
          </w:p>
          <w:p w14:paraId="2A8FBF3B" w14:textId="77777777" w:rsidR="00F50FC7" w:rsidRDefault="00F50FC7" w:rsidP="005B4014">
            <w:pPr>
              <w:spacing w:after="120"/>
            </w:pPr>
          </w:p>
          <w:p w14:paraId="67A816E5" w14:textId="77777777" w:rsidR="00F50FC7" w:rsidRDefault="00F50FC7" w:rsidP="005B4014">
            <w:pPr>
              <w:spacing w:after="120"/>
            </w:pPr>
            <w:r>
              <w:rPr>
                <w:rFonts w:ascii="Symbol" w:eastAsia="Symbol" w:hAnsi="Symbol" w:cs="Symbol"/>
                <w:szCs w:val="22"/>
              </w:rPr>
              <w:t></w:t>
            </w:r>
            <w:r>
              <w:rPr>
                <w:szCs w:val="22"/>
              </w:rPr>
              <w:t> 5 EL.V/ml</w:t>
            </w:r>
          </w:p>
          <w:p w14:paraId="36832E93" w14:textId="77777777" w:rsidR="00F50FC7" w:rsidRDefault="00F50FC7" w:rsidP="005B4014">
            <w:pPr>
              <w:spacing w:after="120"/>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EA002" w14:textId="77777777" w:rsidR="00F50FC7" w:rsidRDefault="00F50FC7" w:rsidP="005B4014">
            <w:pPr>
              <w:spacing w:after="120"/>
              <w:jc w:val="center"/>
            </w:pPr>
          </w:p>
          <w:p w14:paraId="1D6D4811" w14:textId="77777777" w:rsidR="00F50FC7" w:rsidRDefault="00F50FC7" w:rsidP="005B4014">
            <w:pPr>
              <w:spacing w:after="120"/>
              <w:jc w:val="center"/>
            </w:pPr>
            <w:r>
              <w:rPr>
                <w:szCs w:val="22"/>
              </w:rPr>
              <w:t>97,8 %</w:t>
            </w:r>
          </w:p>
          <w:p w14:paraId="047277C4" w14:textId="77777777" w:rsidR="00F50FC7" w:rsidRDefault="00F50FC7" w:rsidP="005B4014">
            <w:pPr>
              <w:spacing w:after="120"/>
              <w:jc w:val="center"/>
            </w:pPr>
            <w:r>
              <w:rPr>
                <w:szCs w:val="22"/>
              </w:rPr>
              <w:t>99,9 %</w:t>
            </w:r>
          </w:p>
          <w:p w14:paraId="36694789" w14:textId="77777777" w:rsidR="00F50FC7" w:rsidRDefault="00F50FC7" w:rsidP="005B4014">
            <w:pPr>
              <w:spacing w:after="120"/>
              <w:jc w:val="center"/>
            </w:pPr>
            <w:r>
              <w:rPr>
                <w:szCs w:val="22"/>
              </w:rPr>
              <w:t>99,4 %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287C" w14:textId="77777777" w:rsidR="00F50FC7" w:rsidRDefault="00F50FC7" w:rsidP="005B4014">
            <w:pPr>
              <w:spacing w:after="120"/>
              <w:jc w:val="center"/>
            </w:pPr>
          </w:p>
          <w:p w14:paraId="55201575" w14:textId="77777777" w:rsidR="00F50FC7" w:rsidRDefault="00F50FC7" w:rsidP="005B4014">
            <w:pPr>
              <w:spacing w:after="120"/>
              <w:jc w:val="center"/>
            </w:pPr>
            <w:r>
              <w:rPr>
                <w:szCs w:val="22"/>
              </w:rPr>
              <w:t>99,0 %</w:t>
            </w:r>
          </w:p>
          <w:p w14:paraId="4AE3FF72" w14:textId="77777777" w:rsidR="00F50FC7" w:rsidRDefault="00F50FC7" w:rsidP="005B4014">
            <w:pPr>
              <w:spacing w:after="120"/>
              <w:jc w:val="center"/>
            </w:pPr>
            <w:r>
              <w:rPr>
                <w:szCs w:val="22"/>
              </w:rPr>
              <w:t>100,0 %</w:t>
            </w:r>
          </w:p>
          <w:p w14:paraId="27CB9F5E" w14:textId="77777777" w:rsidR="00F50FC7" w:rsidRDefault="00F50FC7" w:rsidP="005B4014">
            <w:pPr>
              <w:spacing w:after="120"/>
              <w:jc w:val="center"/>
            </w:pPr>
            <w:r>
              <w:rPr>
                <w:szCs w:val="22"/>
              </w:rPr>
              <w:t>99,8 %</w:t>
            </w:r>
          </w:p>
        </w:tc>
      </w:tr>
    </w:tbl>
    <w:p w14:paraId="2545C1C7" w14:textId="77777777" w:rsidR="00F50FC7" w:rsidRDefault="00F50FC7" w:rsidP="00F50FC7">
      <w:pPr>
        <w:pStyle w:val="Pagrindinistekstas2"/>
        <w:tabs>
          <w:tab w:val="left" w:pos="567"/>
        </w:tabs>
        <w:spacing w:after="0" w:line="240" w:lineRule="auto"/>
      </w:pPr>
      <w:r>
        <w:rPr>
          <w:sz w:val="22"/>
          <w:szCs w:val="22"/>
          <w:vertAlign w:val="superscript"/>
        </w:rPr>
        <w:t xml:space="preserve">(1) </w:t>
      </w:r>
      <w:r>
        <w:rPr>
          <w:sz w:val="22"/>
          <w:szCs w:val="22"/>
        </w:rPr>
        <w:t>Atsakas: jeigu nurodytu laiku antikūnų prieš difteriją ir stabligę koncentracija yra ≥ 0,1 TV/ml, vertinama, kad pasireiškė serologinė apsauga, o jeigu antikūnų prieš kokliušą koncentracija yra ≥ 5 EL.V/ml, vertinama, kad yra serologinis teigiamumas.</w:t>
      </w:r>
    </w:p>
    <w:p w14:paraId="0027B25C" w14:textId="7E21B1AB" w:rsidR="00F50FC7" w:rsidRDefault="00F50FC7" w:rsidP="00F50FC7">
      <w:pPr>
        <w:pStyle w:val="Pagrindinistekstas2"/>
        <w:tabs>
          <w:tab w:val="left" w:pos="567"/>
        </w:tabs>
        <w:spacing w:after="0" w:line="240" w:lineRule="auto"/>
      </w:pPr>
      <w:r>
        <w:rPr>
          <w:sz w:val="22"/>
          <w:szCs w:val="22"/>
          <w:vertAlign w:val="superscript"/>
        </w:rPr>
        <w:t>(2)</w:t>
      </w:r>
      <w:r w:rsidR="00646560">
        <w:rPr>
          <w:sz w:val="22"/>
          <w:szCs w:val="22"/>
        </w:rPr>
        <w:t> </w:t>
      </w:r>
      <w:r>
        <w:rPr>
          <w:sz w:val="22"/>
          <w:szCs w:val="22"/>
        </w:rPr>
        <w:t xml:space="preserve">PPP – paskiepytieji pagal protokolą (apima reikalavimus atitinkančius tiriamuosius, kuriems buvo suleista viena </w:t>
      </w:r>
      <w:proofErr w:type="spellStart"/>
      <w:r>
        <w:rPr>
          <w:sz w:val="22"/>
          <w:szCs w:val="22"/>
        </w:rPr>
        <w:t>Boostrix</w:t>
      </w:r>
      <w:proofErr w:type="spellEnd"/>
      <w:r>
        <w:rPr>
          <w:sz w:val="22"/>
          <w:szCs w:val="22"/>
        </w:rPr>
        <w:t xml:space="preserve"> </w:t>
      </w:r>
      <w:proofErr w:type="spellStart"/>
      <w:r>
        <w:rPr>
          <w:sz w:val="22"/>
          <w:szCs w:val="22"/>
        </w:rPr>
        <w:t>revakcinacijos</w:t>
      </w:r>
      <w:proofErr w:type="spellEnd"/>
      <w:r>
        <w:rPr>
          <w:sz w:val="22"/>
          <w:szCs w:val="22"/>
        </w:rPr>
        <w:t xml:space="preserve"> dozė, kuriems nurodytu laiku buvo nustatyti </w:t>
      </w:r>
      <w:proofErr w:type="spellStart"/>
      <w:r>
        <w:rPr>
          <w:sz w:val="22"/>
          <w:szCs w:val="22"/>
        </w:rPr>
        <w:t>imunogeniškumo</w:t>
      </w:r>
      <w:proofErr w:type="spellEnd"/>
      <w:r>
        <w:rPr>
          <w:sz w:val="22"/>
          <w:szCs w:val="22"/>
        </w:rPr>
        <w:t xml:space="preserve"> bent vienam antigenui duomenys).</w:t>
      </w:r>
    </w:p>
    <w:p w14:paraId="0DF21658" w14:textId="77777777" w:rsidR="00F50FC7" w:rsidRDefault="00F50FC7" w:rsidP="00F50FC7">
      <w:pPr>
        <w:pStyle w:val="Pagrindinistekstas2"/>
        <w:tabs>
          <w:tab w:val="left" w:pos="567"/>
        </w:tabs>
        <w:spacing w:after="0" w:line="240" w:lineRule="auto"/>
        <w:rPr>
          <w:sz w:val="22"/>
          <w:szCs w:val="22"/>
        </w:rPr>
      </w:pPr>
      <w:r>
        <w:rPr>
          <w:sz w:val="22"/>
          <w:szCs w:val="22"/>
        </w:rPr>
        <w:lastRenderedPageBreak/>
        <w:t>N – minimalus tiriamųjų, kurių duomenys apie kiekvieną antigeną yra žinomi, skaičius.</w:t>
      </w:r>
    </w:p>
    <w:p w14:paraId="1B4FD3D0" w14:textId="77777777" w:rsidR="00F50FC7" w:rsidRDefault="00F50FC7" w:rsidP="00F50FC7">
      <w:pPr>
        <w:tabs>
          <w:tab w:val="left" w:pos="567"/>
        </w:tabs>
        <w:rPr>
          <w:szCs w:val="22"/>
        </w:rPr>
      </w:pPr>
    </w:p>
    <w:p w14:paraId="607D89FD" w14:textId="77777777" w:rsidR="00F50FC7" w:rsidRDefault="00F50FC7" w:rsidP="00F50FC7">
      <w:pPr>
        <w:pStyle w:val="Pagrindinistekstas2"/>
        <w:tabs>
          <w:tab w:val="left" w:pos="567"/>
        </w:tabs>
        <w:spacing w:after="0" w:line="240" w:lineRule="auto"/>
        <w:rPr>
          <w:sz w:val="22"/>
          <w:szCs w:val="22"/>
        </w:rPr>
      </w:pPr>
      <w:r>
        <w:rPr>
          <w:sz w:val="22"/>
          <w:szCs w:val="22"/>
        </w:rPr>
        <w:t xml:space="preserve">Palyginamieji tyrimai, kuriuose dalyvavo paaugliai ir suaugusieji, atskleidė, kad praėjus vienam mėnesiui po vakcinacijos, difterijos antikūnų titrai buvo panašūs į tuos, kurie susidaro skiepijant suaugusiųjų tipo vakcinomis nuo stabligės ir difterijos, kuriose yra tokio pat antigeno, kaip </w:t>
      </w:r>
      <w:proofErr w:type="spellStart"/>
      <w:r>
        <w:rPr>
          <w:sz w:val="22"/>
          <w:szCs w:val="22"/>
        </w:rPr>
        <w:t>Boostrix</w:t>
      </w:r>
      <w:proofErr w:type="spellEnd"/>
      <w:r>
        <w:rPr>
          <w:sz w:val="22"/>
          <w:szCs w:val="22"/>
        </w:rPr>
        <w:t>. Buvo stebėti mažesni stabligės antikūnų titrai nei skiepijant suaugusiųjų tipo vakcinomis nuo stabligės ir difterijos.</w:t>
      </w:r>
    </w:p>
    <w:p w14:paraId="4B23A080" w14:textId="77777777" w:rsidR="00F50FC7" w:rsidRDefault="00F50FC7" w:rsidP="00F50FC7">
      <w:pPr>
        <w:pStyle w:val="Pagrindinistekstas2"/>
        <w:tabs>
          <w:tab w:val="left" w:pos="567"/>
        </w:tabs>
        <w:spacing w:after="0" w:line="240" w:lineRule="auto"/>
        <w:rPr>
          <w:sz w:val="22"/>
          <w:szCs w:val="22"/>
        </w:rPr>
      </w:pPr>
    </w:p>
    <w:p w14:paraId="30D1366D" w14:textId="77777777" w:rsidR="00F50FC7" w:rsidRPr="008D66EC" w:rsidRDefault="00F50FC7" w:rsidP="00F50FC7">
      <w:pPr>
        <w:pStyle w:val="Pagrindinistekstas2"/>
        <w:tabs>
          <w:tab w:val="left" w:pos="567"/>
        </w:tabs>
        <w:spacing w:after="0" w:line="240" w:lineRule="auto"/>
      </w:pPr>
      <w:r>
        <w:rPr>
          <w:sz w:val="22"/>
          <w:szCs w:val="22"/>
        </w:rPr>
        <w:t xml:space="preserve">Kaip ir skiepijant kitomis suaugusiųjų tipo vakcinomis nuo stabligės ir difterijos, paskiepijus </w:t>
      </w:r>
      <w:proofErr w:type="spellStart"/>
      <w:r>
        <w:rPr>
          <w:sz w:val="22"/>
          <w:szCs w:val="22"/>
        </w:rPr>
        <w:t>Boostrix</w:t>
      </w:r>
      <w:proofErr w:type="spellEnd"/>
      <w:r>
        <w:rPr>
          <w:sz w:val="22"/>
          <w:szCs w:val="22"/>
        </w:rPr>
        <w:t>, ir antikūnų prieš difteriją, ir antikūnų prieš stabligę titrai vaikų ir paauglių organizmuose buvo didesni nei suaugusiųjų</w:t>
      </w:r>
      <w:r>
        <w:rPr>
          <w:sz w:val="22"/>
        </w:rPr>
        <w:t>.</w:t>
      </w:r>
    </w:p>
    <w:p w14:paraId="6521CAF6" w14:textId="77777777" w:rsidR="00F50FC7" w:rsidRDefault="00F50FC7" w:rsidP="00F50FC7">
      <w:pPr>
        <w:pStyle w:val="Pagrindinistekstas2"/>
        <w:tabs>
          <w:tab w:val="left" w:pos="567"/>
        </w:tabs>
        <w:spacing w:after="0" w:line="240" w:lineRule="auto"/>
        <w:rPr>
          <w:sz w:val="22"/>
        </w:rPr>
      </w:pPr>
    </w:p>
    <w:p w14:paraId="5C7437A0" w14:textId="77777777" w:rsidR="00F50FC7" w:rsidRDefault="00F50FC7" w:rsidP="00F50FC7">
      <w:pPr>
        <w:tabs>
          <w:tab w:val="left" w:pos="567"/>
        </w:tabs>
      </w:pPr>
      <w:r>
        <w:rPr>
          <w:i/>
          <w:szCs w:val="22"/>
        </w:rPr>
        <w:t xml:space="preserve">Imuninio atsako </w:t>
      </w:r>
      <w:proofErr w:type="spellStart"/>
      <w:r>
        <w:rPr>
          <w:i/>
          <w:szCs w:val="22"/>
        </w:rPr>
        <w:t>persistavimas</w:t>
      </w:r>
      <w:proofErr w:type="spellEnd"/>
    </w:p>
    <w:p w14:paraId="7186E36B" w14:textId="77777777" w:rsidR="00F50FC7" w:rsidRPr="00E90E50" w:rsidRDefault="00F50FC7" w:rsidP="00F50FC7">
      <w:pPr>
        <w:tabs>
          <w:tab w:val="left" w:pos="567"/>
        </w:tabs>
      </w:pPr>
    </w:p>
    <w:p w14:paraId="5ECF6818" w14:textId="77777777" w:rsidR="00F50FC7" w:rsidRDefault="00F50FC7" w:rsidP="00F50FC7">
      <w:pPr>
        <w:tabs>
          <w:tab w:val="left" w:pos="567"/>
        </w:tabs>
      </w:pPr>
      <w:r>
        <w:rPr>
          <w:szCs w:val="22"/>
        </w:rPr>
        <w:t>Praėjus 3</w:t>
      </w:r>
      <w:r>
        <w:rPr>
          <w:szCs w:val="22"/>
        </w:rPr>
        <w:noBreakHyphen/>
        <w:t>3,5 metų, 5</w:t>
      </w:r>
      <w:r>
        <w:rPr>
          <w:szCs w:val="22"/>
        </w:rPr>
        <w:noBreakHyphen/>
        <w:t xml:space="preserve">6 metams ar 10 metų po pradinės vakcinacijos </w:t>
      </w:r>
      <w:proofErr w:type="spellStart"/>
      <w:r>
        <w:rPr>
          <w:szCs w:val="22"/>
        </w:rPr>
        <w:t>Boostrix</w:t>
      </w:r>
      <w:proofErr w:type="spellEnd"/>
      <w:r>
        <w:rPr>
          <w:szCs w:val="22"/>
        </w:rPr>
        <w:t>, pagal protokolą paskiepytiems (PPP</w:t>
      </w:r>
      <w:r w:rsidRPr="00C30146">
        <w:rPr>
          <w:szCs w:val="22"/>
          <w:vertAlign w:val="superscript"/>
        </w:rPr>
        <w:t>1</w:t>
      </w:r>
      <w:r>
        <w:rPr>
          <w:szCs w:val="22"/>
        </w:rPr>
        <w:t xml:space="preserve">) tiriamiesiems buvo nustatyti toliau nurodyti serologinės apsaugos arba serologinio teigiamumo dažniai </w:t>
      </w:r>
      <w:bookmarkStart w:id="39" w:name="_Hlk9445935"/>
      <w:r>
        <w:rPr>
          <w:szCs w:val="22"/>
        </w:rPr>
        <w:t>(4 lentelė).</w:t>
      </w:r>
    </w:p>
    <w:p w14:paraId="55D95408" w14:textId="77777777" w:rsidR="00F50FC7" w:rsidRDefault="00F50FC7" w:rsidP="00F50FC7">
      <w:pPr>
        <w:tabs>
          <w:tab w:val="left" w:pos="567"/>
        </w:tabs>
        <w:rPr>
          <w:szCs w:val="22"/>
        </w:rPr>
      </w:pPr>
    </w:p>
    <w:p w14:paraId="0D79A5A7" w14:textId="77777777" w:rsidR="00F50FC7" w:rsidRDefault="00F50FC7" w:rsidP="00F50FC7">
      <w:pPr>
        <w:pStyle w:val="Text"/>
        <w:keepNext/>
        <w:tabs>
          <w:tab w:val="left" w:pos="567"/>
        </w:tabs>
        <w:spacing w:line="240" w:lineRule="auto"/>
      </w:pPr>
      <w:r>
        <w:rPr>
          <w:b/>
          <w:bCs/>
          <w:lang w:val="lt-LT"/>
        </w:rPr>
        <w:t>4 lentelė</w:t>
      </w:r>
      <w:r>
        <w:rPr>
          <w:lang w:val="lt-LT"/>
        </w:rPr>
        <w:t xml:space="preserve">. Imuninio atsako </w:t>
      </w:r>
      <w:proofErr w:type="spellStart"/>
      <w:r>
        <w:rPr>
          <w:lang w:val="lt-LT"/>
        </w:rPr>
        <w:t>persistavimas</w:t>
      </w:r>
      <w:proofErr w:type="spellEnd"/>
      <w:r>
        <w:rPr>
          <w:lang w:val="lt-LT"/>
        </w:rPr>
        <w:t xml:space="preserve"> vaikams, paaugliams ir suaugusiesiems</w:t>
      </w:r>
    </w:p>
    <w:bookmarkEnd w:id="39"/>
    <w:p w14:paraId="0ED4BCFB" w14:textId="77777777" w:rsidR="00F50FC7" w:rsidRDefault="00F50FC7" w:rsidP="00F50FC7">
      <w:pPr>
        <w:pStyle w:val="Text"/>
        <w:keepNext/>
        <w:tabs>
          <w:tab w:val="left" w:pos="567"/>
        </w:tabs>
        <w:spacing w:line="240" w:lineRule="auto"/>
        <w:rPr>
          <w:szCs w:val="22"/>
          <w:lang w:val="lt-LT"/>
        </w:rPr>
      </w:pPr>
    </w:p>
    <w:tbl>
      <w:tblPr>
        <w:tblW w:w="9498" w:type="dxa"/>
        <w:tblInd w:w="108" w:type="dxa"/>
        <w:tblLayout w:type="fixed"/>
        <w:tblCellMar>
          <w:left w:w="10" w:type="dxa"/>
          <w:right w:w="10" w:type="dxa"/>
        </w:tblCellMar>
        <w:tblLook w:val="0000" w:firstRow="0" w:lastRow="0" w:firstColumn="0" w:lastColumn="0" w:noHBand="0" w:noVBand="0"/>
      </w:tblPr>
      <w:tblGrid>
        <w:gridCol w:w="1413"/>
        <w:gridCol w:w="855"/>
        <w:gridCol w:w="851"/>
        <w:gridCol w:w="849"/>
        <w:gridCol w:w="853"/>
        <w:gridCol w:w="849"/>
        <w:gridCol w:w="853"/>
        <w:gridCol w:w="849"/>
        <w:gridCol w:w="1134"/>
        <w:gridCol w:w="992"/>
      </w:tblGrid>
      <w:tr w:rsidR="00F50FC7" w14:paraId="60ADF150" w14:textId="77777777" w:rsidTr="005B4014">
        <w:trPr>
          <w:trHeight w:val="707"/>
        </w:trPr>
        <w:tc>
          <w:tcPr>
            <w:tcW w:w="141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2629D56" w14:textId="77777777" w:rsidR="00F50FC7" w:rsidRDefault="00F50FC7" w:rsidP="005B4014">
            <w:pPr>
              <w:pStyle w:val="Text"/>
              <w:keepNext/>
              <w:tabs>
                <w:tab w:val="left" w:pos="567"/>
              </w:tabs>
              <w:spacing w:line="240" w:lineRule="auto"/>
              <w:jc w:val="center"/>
              <w:rPr>
                <w:b/>
                <w:iCs/>
                <w:sz w:val="18"/>
                <w:szCs w:val="18"/>
                <w:lang w:val="lt-LT"/>
              </w:rPr>
            </w:pPr>
            <w:r>
              <w:rPr>
                <w:b/>
                <w:iCs/>
                <w:sz w:val="18"/>
                <w:szCs w:val="18"/>
                <w:lang w:val="lt-LT"/>
              </w:rPr>
              <w:t>Antigenas</w:t>
            </w:r>
          </w:p>
        </w:tc>
        <w:tc>
          <w:tcPr>
            <w:tcW w:w="8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C3AAFE6" w14:textId="77777777" w:rsidR="00F50FC7" w:rsidRDefault="00F50FC7" w:rsidP="005B4014">
            <w:pPr>
              <w:jc w:val="center"/>
            </w:pPr>
            <w:r>
              <w:rPr>
                <w:b/>
                <w:iCs/>
                <w:sz w:val="18"/>
                <w:szCs w:val="18"/>
              </w:rPr>
              <w:t>Atsakas</w:t>
            </w:r>
            <w:r>
              <w:rPr>
                <w:b/>
                <w:iCs/>
                <w:sz w:val="18"/>
                <w:szCs w:val="18"/>
                <w:vertAlign w:val="superscript"/>
              </w:rPr>
              <w:t>(</w:t>
            </w:r>
            <w:r>
              <w:rPr>
                <w:b/>
                <w:iCs/>
                <w:sz w:val="18"/>
                <w:szCs w:val="18"/>
                <w:vertAlign w:val="superscript"/>
                <w:lang w:val="en-US"/>
              </w:rPr>
              <w:t>2</w:t>
            </w:r>
            <w:r>
              <w:rPr>
                <w:b/>
                <w:iCs/>
                <w:sz w:val="18"/>
                <w:szCs w:val="18"/>
                <w:vertAlign w:val="superscript"/>
              </w:rPr>
              <w:t>)</w:t>
            </w:r>
          </w:p>
        </w:tc>
        <w:tc>
          <w:tcPr>
            <w:tcW w:w="5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0B95" w14:textId="77777777" w:rsidR="00F50FC7" w:rsidRDefault="00F50FC7" w:rsidP="005B4014">
            <w:pPr>
              <w:jc w:val="center"/>
              <w:rPr>
                <w:b/>
                <w:iCs/>
                <w:sz w:val="18"/>
                <w:szCs w:val="18"/>
              </w:rPr>
            </w:pPr>
            <w:r>
              <w:rPr>
                <w:b/>
                <w:iCs/>
                <w:sz w:val="18"/>
                <w:szCs w:val="18"/>
              </w:rPr>
              <w:t>Suaugusieji ir vyresni kaip 10 metų paaugliai</w:t>
            </w:r>
          </w:p>
          <w:p w14:paraId="657824E0" w14:textId="77777777" w:rsidR="00F50FC7" w:rsidRPr="00E90E50" w:rsidRDefault="00F50FC7" w:rsidP="005B4014">
            <w:pPr>
              <w:jc w:val="center"/>
              <w:rPr>
                <w:sz w:val="18"/>
              </w:rPr>
            </w:pPr>
          </w:p>
          <w:p w14:paraId="4D2B85BB" w14:textId="6DA9DC50" w:rsidR="00F50FC7" w:rsidRDefault="00F50FC7" w:rsidP="005B4014">
            <w:pPr>
              <w:jc w:val="center"/>
              <w:rPr>
                <w:b/>
                <w:iCs/>
                <w:sz w:val="18"/>
                <w:szCs w:val="18"/>
              </w:rPr>
            </w:pPr>
            <w:r>
              <w:rPr>
                <w:b/>
                <w:iCs/>
                <w:sz w:val="18"/>
                <w:szCs w:val="18"/>
              </w:rPr>
              <w:t>(%</w:t>
            </w:r>
            <w:r w:rsidR="00646560">
              <w:rPr>
                <w:b/>
                <w:iCs/>
                <w:sz w:val="18"/>
                <w:szCs w:val="18"/>
              </w:rPr>
              <w:t> </w:t>
            </w:r>
            <w:r>
              <w:rPr>
                <w:b/>
                <w:iCs/>
                <w:sz w:val="18"/>
                <w:szCs w:val="18"/>
              </w:rPr>
              <w:t>vakcinuotųjų)</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4767" w14:textId="77777777" w:rsidR="00F50FC7" w:rsidRDefault="00F50FC7" w:rsidP="005B4014">
            <w:pPr>
              <w:jc w:val="center"/>
              <w:rPr>
                <w:b/>
                <w:sz w:val="18"/>
                <w:szCs w:val="18"/>
              </w:rPr>
            </w:pPr>
            <w:r>
              <w:rPr>
                <w:b/>
                <w:sz w:val="18"/>
                <w:szCs w:val="18"/>
              </w:rPr>
              <w:t>Vyresni kaip 4 metų vaikai</w:t>
            </w:r>
          </w:p>
          <w:p w14:paraId="00DE068D" w14:textId="2875D82F" w:rsidR="00F50FC7" w:rsidRDefault="00F50FC7" w:rsidP="005B4014">
            <w:pPr>
              <w:jc w:val="center"/>
            </w:pPr>
            <w:r>
              <w:rPr>
                <w:b/>
                <w:sz w:val="18"/>
                <w:szCs w:val="18"/>
              </w:rPr>
              <w:t>(%</w:t>
            </w:r>
            <w:r w:rsidR="00646560">
              <w:rPr>
                <w:b/>
                <w:sz w:val="18"/>
                <w:szCs w:val="18"/>
              </w:rPr>
              <w:t> </w:t>
            </w:r>
            <w:r>
              <w:rPr>
                <w:b/>
                <w:sz w:val="18"/>
                <w:szCs w:val="18"/>
              </w:rPr>
              <w:t>vakcinuotųjų)</w:t>
            </w:r>
          </w:p>
        </w:tc>
      </w:tr>
      <w:tr w:rsidR="00F50FC7" w14:paraId="0881B791" w14:textId="77777777" w:rsidTr="005B4014">
        <w:trPr>
          <w:trHeight w:val="151"/>
        </w:trPr>
        <w:tc>
          <w:tcPr>
            <w:tcW w:w="1413"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0C0F7CB5" w14:textId="77777777" w:rsidR="00F50FC7" w:rsidRDefault="00F50FC7" w:rsidP="005B4014">
            <w:pPr>
              <w:pStyle w:val="Text"/>
              <w:keepNext/>
              <w:tabs>
                <w:tab w:val="left" w:pos="567"/>
              </w:tabs>
              <w:spacing w:line="240" w:lineRule="auto"/>
              <w:jc w:val="center"/>
              <w:rPr>
                <w:b/>
                <w:iCs/>
                <w:sz w:val="18"/>
                <w:szCs w:val="18"/>
                <w:lang w:val="lt-LT"/>
              </w:rPr>
            </w:pPr>
          </w:p>
        </w:tc>
        <w:tc>
          <w:tcPr>
            <w:tcW w:w="855"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492FE73F" w14:textId="77777777" w:rsidR="00F50FC7" w:rsidRDefault="00F50FC7" w:rsidP="005B4014">
            <w:pPr>
              <w:jc w:val="center"/>
              <w:rPr>
                <w:b/>
                <w:iCs/>
                <w:sz w:val="18"/>
                <w:szCs w:val="18"/>
              </w:rPr>
            </w:pPr>
          </w:p>
        </w:tc>
        <w:tc>
          <w:tcPr>
            <w:tcW w:w="1700"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4DC73E44" w14:textId="77777777" w:rsidR="00F50FC7" w:rsidRDefault="00F50FC7" w:rsidP="005B4014">
            <w:pPr>
              <w:jc w:val="center"/>
              <w:rPr>
                <w:bCs/>
                <w:iCs/>
                <w:sz w:val="18"/>
                <w:szCs w:val="18"/>
              </w:rPr>
            </w:pPr>
            <w:proofErr w:type="spellStart"/>
            <w:r>
              <w:rPr>
                <w:bCs/>
                <w:iCs/>
                <w:sz w:val="18"/>
                <w:szCs w:val="18"/>
              </w:rPr>
              <w:t>Persistavimas</w:t>
            </w:r>
            <w:proofErr w:type="spellEnd"/>
          </w:p>
          <w:p w14:paraId="6FACA37F" w14:textId="77777777" w:rsidR="00F50FC7" w:rsidRDefault="00F50FC7" w:rsidP="005B4014">
            <w:pPr>
              <w:jc w:val="center"/>
              <w:rPr>
                <w:bCs/>
                <w:iCs/>
                <w:sz w:val="18"/>
                <w:szCs w:val="18"/>
              </w:rPr>
            </w:pPr>
            <w:r>
              <w:rPr>
                <w:bCs/>
                <w:iCs/>
                <w:sz w:val="18"/>
                <w:szCs w:val="18"/>
              </w:rPr>
              <w:t>3</w:t>
            </w:r>
            <w:r>
              <w:rPr>
                <w:bCs/>
                <w:iCs/>
                <w:sz w:val="18"/>
                <w:szCs w:val="18"/>
              </w:rPr>
              <w:noBreakHyphen/>
              <w:t>3,5 metus</w:t>
            </w:r>
          </w:p>
        </w:tc>
        <w:tc>
          <w:tcPr>
            <w:tcW w:w="1702"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4D093573" w14:textId="77777777" w:rsidR="00F50FC7" w:rsidRDefault="00F50FC7" w:rsidP="005B4014">
            <w:pPr>
              <w:jc w:val="center"/>
              <w:rPr>
                <w:bCs/>
                <w:iCs/>
                <w:sz w:val="18"/>
                <w:szCs w:val="18"/>
              </w:rPr>
            </w:pPr>
            <w:proofErr w:type="spellStart"/>
            <w:r>
              <w:rPr>
                <w:bCs/>
                <w:iCs/>
                <w:sz w:val="18"/>
                <w:szCs w:val="18"/>
              </w:rPr>
              <w:t>Persistavimas</w:t>
            </w:r>
            <w:proofErr w:type="spellEnd"/>
          </w:p>
          <w:p w14:paraId="75544F6C" w14:textId="77777777" w:rsidR="00F50FC7" w:rsidRDefault="00F50FC7" w:rsidP="005B4014">
            <w:pPr>
              <w:jc w:val="center"/>
            </w:pPr>
            <w:r>
              <w:rPr>
                <w:iCs/>
                <w:sz w:val="18"/>
                <w:szCs w:val="18"/>
              </w:rPr>
              <w:t>5 metus</w:t>
            </w:r>
          </w:p>
        </w:tc>
        <w:tc>
          <w:tcPr>
            <w:tcW w:w="1702"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3E77C97C" w14:textId="77777777" w:rsidR="00F50FC7" w:rsidRDefault="00F50FC7" w:rsidP="005B4014">
            <w:pPr>
              <w:jc w:val="center"/>
              <w:rPr>
                <w:bCs/>
                <w:iCs/>
                <w:sz w:val="18"/>
                <w:szCs w:val="18"/>
              </w:rPr>
            </w:pPr>
            <w:proofErr w:type="spellStart"/>
            <w:r>
              <w:rPr>
                <w:bCs/>
                <w:iCs/>
                <w:sz w:val="18"/>
                <w:szCs w:val="18"/>
              </w:rPr>
              <w:t>Persistavimas</w:t>
            </w:r>
            <w:proofErr w:type="spellEnd"/>
          </w:p>
          <w:p w14:paraId="14797F94" w14:textId="77777777" w:rsidR="00F50FC7" w:rsidRDefault="00F50FC7" w:rsidP="005B4014">
            <w:pPr>
              <w:jc w:val="center"/>
              <w:rPr>
                <w:bCs/>
                <w:iCs/>
                <w:sz w:val="18"/>
                <w:szCs w:val="18"/>
              </w:rPr>
            </w:pPr>
            <w:r>
              <w:rPr>
                <w:bCs/>
                <w:iCs/>
                <w:sz w:val="18"/>
                <w:szCs w:val="18"/>
              </w:rPr>
              <w:t>10 metų</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14:paraId="142008F7" w14:textId="77777777" w:rsidR="00F50FC7" w:rsidRDefault="00F50FC7" w:rsidP="005B4014">
            <w:pPr>
              <w:jc w:val="center"/>
              <w:rPr>
                <w:bCs/>
                <w:iCs/>
                <w:sz w:val="18"/>
                <w:szCs w:val="18"/>
              </w:rPr>
            </w:pPr>
            <w:proofErr w:type="spellStart"/>
            <w:r>
              <w:rPr>
                <w:bCs/>
                <w:iCs/>
                <w:sz w:val="18"/>
                <w:szCs w:val="18"/>
              </w:rPr>
              <w:t>Persistavimas</w:t>
            </w:r>
            <w:proofErr w:type="spellEnd"/>
          </w:p>
          <w:p w14:paraId="2C04A80D" w14:textId="77777777" w:rsidR="00F50FC7" w:rsidRDefault="00F50FC7" w:rsidP="005B4014">
            <w:pPr>
              <w:jc w:val="center"/>
              <w:rPr>
                <w:bCs/>
                <w:iCs/>
                <w:sz w:val="18"/>
                <w:szCs w:val="18"/>
              </w:rPr>
            </w:pPr>
            <w:r>
              <w:rPr>
                <w:bCs/>
                <w:iCs/>
                <w:sz w:val="18"/>
                <w:szCs w:val="18"/>
              </w:rPr>
              <w:t>3</w:t>
            </w:r>
            <w:r>
              <w:rPr>
                <w:bCs/>
                <w:iCs/>
                <w:sz w:val="18"/>
                <w:szCs w:val="18"/>
              </w:rPr>
              <w:noBreakHyphen/>
              <w:t>3,5 metų</w:t>
            </w:r>
          </w:p>
        </w:tc>
        <w:tc>
          <w:tcPr>
            <w:tcW w:w="992" w:type="dxa"/>
            <w:tcBorders>
              <w:top w:val="single" w:sz="4" w:space="0" w:color="000000"/>
              <w:left w:val="single" w:sz="4" w:space="0" w:color="000000"/>
              <w:right w:val="single" w:sz="4" w:space="0" w:color="000000"/>
            </w:tcBorders>
            <w:tcMar>
              <w:top w:w="0" w:type="dxa"/>
              <w:left w:w="108" w:type="dxa"/>
              <w:bottom w:w="0" w:type="dxa"/>
              <w:right w:w="108" w:type="dxa"/>
            </w:tcMar>
          </w:tcPr>
          <w:p w14:paraId="49AFB6AA" w14:textId="77777777" w:rsidR="00F50FC7" w:rsidRDefault="00F50FC7" w:rsidP="005B4014">
            <w:pPr>
              <w:jc w:val="center"/>
              <w:rPr>
                <w:bCs/>
                <w:iCs/>
                <w:sz w:val="18"/>
                <w:szCs w:val="18"/>
              </w:rPr>
            </w:pPr>
            <w:proofErr w:type="spellStart"/>
            <w:r>
              <w:rPr>
                <w:bCs/>
                <w:iCs/>
                <w:sz w:val="18"/>
                <w:szCs w:val="18"/>
              </w:rPr>
              <w:t>Persistavimas</w:t>
            </w:r>
            <w:proofErr w:type="spellEnd"/>
          </w:p>
          <w:p w14:paraId="74FF7D95" w14:textId="77777777" w:rsidR="00F50FC7" w:rsidRDefault="00F50FC7" w:rsidP="005B4014">
            <w:pPr>
              <w:jc w:val="center"/>
              <w:rPr>
                <w:bCs/>
                <w:iCs/>
                <w:sz w:val="18"/>
                <w:szCs w:val="18"/>
              </w:rPr>
            </w:pPr>
            <w:r>
              <w:rPr>
                <w:bCs/>
                <w:iCs/>
                <w:sz w:val="18"/>
                <w:szCs w:val="18"/>
              </w:rPr>
              <w:t>5</w:t>
            </w:r>
            <w:r>
              <w:rPr>
                <w:bCs/>
                <w:iCs/>
                <w:sz w:val="18"/>
                <w:szCs w:val="18"/>
              </w:rPr>
              <w:noBreakHyphen/>
              <w:t>6 metus</w:t>
            </w:r>
          </w:p>
        </w:tc>
      </w:tr>
      <w:tr w:rsidR="00F50FC7" w14:paraId="14CB04EC" w14:textId="77777777" w:rsidTr="005B4014">
        <w:trPr>
          <w:trHeight w:val="251"/>
        </w:trPr>
        <w:tc>
          <w:tcPr>
            <w:tcW w:w="1413" w:type="dxa"/>
            <w:tcBorders>
              <w:top w:val="single" w:sz="4" w:space="0" w:color="000000"/>
              <w:left w:val="single" w:sz="4" w:space="0" w:color="000000"/>
              <w:right w:val="single" w:sz="4" w:space="0" w:color="000000"/>
            </w:tcBorders>
            <w:tcMar>
              <w:top w:w="0" w:type="dxa"/>
              <w:left w:w="108" w:type="dxa"/>
              <w:bottom w:w="0" w:type="dxa"/>
              <w:right w:w="108" w:type="dxa"/>
            </w:tcMar>
          </w:tcPr>
          <w:p w14:paraId="736BE1A8" w14:textId="77777777" w:rsidR="00F50FC7" w:rsidRDefault="00F50FC7" w:rsidP="005B4014">
            <w:pPr>
              <w:pStyle w:val="Text"/>
              <w:keepNext/>
              <w:tabs>
                <w:tab w:val="left" w:pos="567"/>
              </w:tabs>
              <w:spacing w:line="240" w:lineRule="auto"/>
              <w:rPr>
                <w:b/>
                <w:iCs/>
                <w:sz w:val="18"/>
                <w:szCs w:val="18"/>
                <w:lang w:val="lt-LT"/>
              </w:rPr>
            </w:pPr>
          </w:p>
        </w:tc>
        <w:tc>
          <w:tcPr>
            <w:tcW w:w="855" w:type="dxa"/>
            <w:tcBorders>
              <w:top w:val="single" w:sz="4" w:space="0" w:color="000000"/>
              <w:left w:val="single" w:sz="4" w:space="0" w:color="000000"/>
              <w:right w:val="single" w:sz="4" w:space="0" w:color="000000"/>
            </w:tcBorders>
            <w:tcMar>
              <w:top w:w="0" w:type="dxa"/>
              <w:left w:w="108" w:type="dxa"/>
              <w:bottom w:w="0" w:type="dxa"/>
              <w:right w:w="108" w:type="dxa"/>
            </w:tcMar>
          </w:tcPr>
          <w:p w14:paraId="0CBCDBC7" w14:textId="77777777" w:rsidR="00F50FC7" w:rsidRDefault="00F50FC7" w:rsidP="005B4014">
            <w:pPr>
              <w:rPr>
                <w:b/>
                <w:iCs/>
                <w:sz w:val="18"/>
                <w:szCs w:val="18"/>
              </w:rPr>
            </w:pPr>
          </w:p>
        </w:tc>
        <w:tc>
          <w:tcPr>
            <w:tcW w:w="851" w:type="dxa"/>
            <w:tcBorders>
              <w:top w:val="single" w:sz="4" w:space="0" w:color="000000"/>
              <w:left w:val="single" w:sz="4" w:space="0" w:color="000000"/>
              <w:right w:val="dashed" w:sz="4" w:space="0" w:color="000000"/>
            </w:tcBorders>
            <w:tcMar>
              <w:top w:w="0" w:type="dxa"/>
              <w:left w:w="108" w:type="dxa"/>
              <w:bottom w:w="0" w:type="dxa"/>
              <w:right w:w="108" w:type="dxa"/>
            </w:tcMar>
          </w:tcPr>
          <w:p w14:paraId="44480A94" w14:textId="77777777" w:rsidR="00F50FC7" w:rsidRDefault="00F50FC7" w:rsidP="005B4014">
            <w:r>
              <w:rPr>
                <w:iCs/>
                <w:sz w:val="18"/>
                <w:szCs w:val="18"/>
              </w:rPr>
              <w:t>Suaugusieji</w:t>
            </w:r>
            <w:r>
              <w:rPr>
                <w:iCs/>
                <w:sz w:val="18"/>
                <w:szCs w:val="18"/>
                <w:vertAlign w:val="superscript"/>
              </w:rPr>
              <w:t>(3)</w:t>
            </w:r>
          </w:p>
          <w:p w14:paraId="1ACAACD4" w14:textId="77777777" w:rsidR="00F50FC7" w:rsidRDefault="00F50FC7" w:rsidP="005B4014">
            <w:pPr>
              <w:rPr>
                <w:iCs/>
                <w:sz w:val="18"/>
                <w:szCs w:val="18"/>
              </w:rPr>
            </w:pPr>
            <w:r>
              <w:rPr>
                <w:iCs/>
                <w:sz w:val="18"/>
                <w:szCs w:val="18"/>
              </w:rPr>
              <w:t>(N=309)</w:t>
            </w:r>
          </w:p>
        </w:tc>
        <w:tc>
          <w:tcPr>
            <w:tcW w:w="849" w:type="dxa"/>
            <w:tcBorders>
              <w:top w:val="single" w:sz="4" w:space="0" w:color="000000"/>
              <w:left w:val="dashed" w:sz="4" w:space="0" w:color="000000"/>
              <w:right w:val="single" w:sz="4" w:space="0" w:color="000000"/>
            </w:tcBorders>
            <w:tcMar>
              <w:top w:w="0" w:type="dxa"/>
              <w:left w:w="108" w:type="dxa"/>
              <w:bottom w:w="0" w:type="dxa"/>
              <w:right w:w="108" w:type="dxa"/>
            </w:tcMar>
          </w:tcPr>
          <w:p w14:paraId="6C550B6B" w14:textId="77777777" w:rsidR="00F50FC7" w:rsidRDefault="00F50FC7" w:rsidP="005B4014">
            <w:r>
              <w:rPr>
                <w:iCs/>
                <w:sz w:val="18"/>
                <w:szCs w:val="18"/>
              </w:rPr>
              <w:t>Paaugliai</w:t>
            </w:r>
            <w:r>
              <w:rPr>
                <w:iCs/>
                <w:sz w:val="18"/>
                <w:szCs w:val="18"/>
                <w:vertAlign w:val="superscript"/>
              </w:rPr>
              <w:t>(3)</w:t>
            </w:r>
          </w:p>
          <w:p w14:paraId="15A3EFE0" w14:textId="77777777" w:rsidR="00F50FC7" w:rsidRDefault="00F50FC7" w:rsidP="005B4014">
            <w:pPr>
              <w:rPr>
                <w:iCs/>
                <w:sz w:val="18"/>
                <w:szCs w:val="18"/>
              </w:rPr>
            </w:pPr>
            <w:r>
              <w:rPr>
                <w:iCs/>
                <w:sz w:val="18"/>
                <w:szCs w:val="18"/>
              </w:rPr>
              <w:t>(N=261)</w:t>
            </w:r>
          </w:p>
        </w:tc>
        <w:tc>
          <w:tcPr>
            <w:tcW w:w="853" w:type="dxa"/>
            <w:tcBorders>
              <w:top w:val="single" w:sz="4" w:space="0" w:color="000000"/>
              <w:left w:val="single" w:sz="4" w:space="0" w:color="000000"/>
              <w:right w:val="dashed" w:sz="4" w:space="0" w:color="000000"/>
            </w:tcBorders>
            <w:tcMar>
              <w:top w:w="0" w:type="dxa"/>
              <w:left w:w="108" w:type="dxa"/>
              <w:bottom w:w="0" w:type="dxa"/>
              <w:right w:w="108" w:type="dxa"/>
            </w:tcMar>
          </w:tcPr>
          <w:p w14:paraId="4D361C59" w14:textId="77777777" w:rsidR="00F50FC7" w:rsidRDefault="00F50FC7" w:rsidP="005B4014">
            <w:r>
              <w:rPr>
                <w:iCs/>
                <w:sz w:val="18"/>
                <w:szCs w:val="18"/>
              </w:rPr>
              <w:t>Suaugusieji</w:t>
            </w:r>
            <w:r>
              <w:rPr>
                <w:iCs/>
                <w:sz w:val="18"/>
                <w:szCs w:val="18"/>
                <w:vertAlign w:val="superscript"/>
              </w:rPr>
              <w:t>(3)</w:t>
            </w:r>
          </w:p>
          <w:p w14:paraId="2FEA501C" w14:textId="77777777" w:rsidR="00F50FC7" w:rsidRDefault="00F50FC7" w:rsidP="005B4014">
            <w:pPr>
              <w:rPr>
                <w:iCs/>
                <w:sz w:val="18"/>
                <w:szCs w:val="18"/>
              </w:rPr>
            </w:pPr>
            <w:r>
              <w:rPr>
                <w:iCs/>
                <w:sz w:val="18"/>
                <w:szCs w:val="18"/>
              </w:rPr>
              <w:t>(N=232)</w:t>
            </w:r>
          </w:p>
        </w:tc>
        <w:tc>
          <w:tcPr>
            <w:tcW w:w="849" w:type="dxa"/>
            <w:tcBorders>
              <w:top w:val="single" w:sz="4" w:space="0" w:color="000000"/>
              <w:left w:val="dashed" w:sz="4" w:space="0" w:color="000000"/>
              <w:right w:val="single" w:sz="4" w:space="0" w:color="000000"/>
            </w:tcBorders>
            <w:tcMar>
              <w:top w:w="0" w:type="dxa"/>
              <w:left w:w="108" w:type="dxa"/>
              <w:bottom w:w="0" w:type="dxa"/>
              <w:right w:w="108" w:type="dxa"/>
            </w:tcMar>
          </w:tcPr>
          <w:p w14:paraId="4B100A7A" w14:textId="77777777" w:rsidR="00F50FC7" w:rsidRDefault="00F50FC7" w:rsidP="005B4014">
            <w:r>
              <w:rPr>
                <w:iCs/>
                <w:sz w:val="18"/>
                <w:szCs w:val="18"/>
              </w:rPr>
              <w:t>Paaugliai</w:t>
            </w:r>
            <w:r>
              <w:rPr>
                <w:iCs/>
                <w:sz w:val="18"/>
                <w:szCs w:val="18"/>
                <w:vertAlign w:val="superscript"/>
              </w:rPr>
              <w:t>(3)</w:t>
            </w:r>
          </w:p>
          <w:p w14:paraId="416ECF06" w14:textId="77777777" w:rsidR="00F50FC7" w:rsidRDefault="00F50FC7" w:rsidP="005B4014">
            <w:pPr>
              <w:rPr>
                <w:iCs/>
                <w:sz w:val="18"/>
                <w:szCs w:val="18"/>
              </w:rPr>
            </w:pPr>
            <w:r>
              <w:rPr>
                <w:iCs/>
                <w:sz w:val="18"/>
                <w:szCs w:val="18"/>
              </w:rPr>
              <w:t>(N=250)</w:t>
            </w:r>
          </w:p>
        </w:tc>
        <w:tc>
          <w:tcPr>
            <w:tcW w:w="853" w:type="dxa"/>
            <w:tcBorders>
              <w:top w:val="single" w:sz="4" w:space="0" w:color="000000"/>
              <w:left w:val="single" w:sz="4" w:space="0" w:color="000000"/>
              <w:right w:val="dashed" w:sz="4" w:space="0" w:color="000000"/>
            </w:tcBorders>
            <w:tcMar>
              <w:top w:w="0" w:type="dxa"/>
              <w:left w:w="108" w:type="dxa"/>
              <w:bottom w:w="0" w:type="dxa"/>
              <w:right w:w="108" w:type="dxa"/>
            </w:tcMar>
          </w:tcPr>
          <w:p w14:paraId="5308F7D0" w14:textId="77777777" w:rsidR="00F50FC7" w:rsidRDefault="00F50FC7" w:rsidP="005B4014">
            <w:r>
              <w:rPr>
                <w:iCs/>
                <w:sz w:val="18"/>
                <w:szCs w:val="18"/>
              </w:rPr>
              <w:t>Suaugusieji</w:t>
            </w:r>
            <w:r>
              <w:rPr>
                <w:iCs/>
                <w:sz w:val="18"/>
                <w:szCs w:val="18"/>
                <w:vertAlign w:val="superscript"/>
              </w:rPr>
              <w:t>(3)</w:t>
            </w:r>
          </w:p>
          <w:p w14:paraId="1A17D037" w14:textId="77777777" w:rsidR="00F50FC7" w:rsidRDefault="00F50FC7" w:rsidP="005B4014">
            <w:pPr>
              <w:rPr>
                <w:iCs/>
                <w:sz w:val="18"/>
                <w:szCs w:val="18"/>
              </w:rPr>
            </w:pPr>
            <w:r>
              <w:rPr>
                <w:iCs/>
                <w:sz w:val="18"/>
                <w:szCs w:val="18"/>
              </w:rPr>
              <w:t>(N=158)</w:t>
            </w:r>
          </w:p>
        </w:tc>
        <w:tc>
          <w:tcPr>
            <w:tcW w:w="849" w:type="dxa"/>
            <w:tcBorders>
              <w:top w:val="single" w:sz="4" w:space="0" w:color="000000"/>
              <w:left w:val="dashed" w:sz="4" w:space="0" w:color="000000"/>
              <w:right w:val="single" w:sz="4" w:space="0" w:color="000000"/>
            </w:tcBorders>
            <w:tcMar>
              <w:top w:w="0" w:type="dxa"/>
              <w:left w:w="108" w:type="dxa"/>
              <w:bottom w:w="0" w:type="dxa"/>
              <w:right w:w="108" w:type="dxa"/>
            </w:tcMar>
          </w:tcPr>
          <w:p w14:paraId="1E9B85CE" w14:textId="77777777" w:rsidR="00F50FC7" w:rsidRDefault="00F50FC7" w:rsidP="005B4014">
            <w:r>
              <w:rPr>
                <w:iCs/>
                <w:sz w:val="18"/>
                <w:szCs w:val="18"/>
              </w:rPr>
              <w:t>Paaugliai</w:t>
            </w:r>
            <w:r>
              <w:rPr>
                <w:iCs/>
                <w:sz w:val="18"/>
                <w:szCs w:val="18"/>
                <w:vertAlign w:val="superscript"/>
              </w:rPr>
              <w:t>(3)</w:t>
            </w:r>
          </w:p>
          <w:p w14:paraId="4F68EFAD" w14:textId="77777777" w:rsidR="00F50FC7" w:rsidRDefault="00F50FC7" w:rsidP="005B4014">
            <w:pPr>
              <w:rPr>
                <w:iCs/>
                <w:sz w:val="18"/>
                <w:szCs w:val="18"/>
              </w:rPr>
            </w:pPr>
            <w:r>
              <w:rPr>
                <w:iCs/>
                <w:sz w:val="18"/>
                <w:szCs w:val="18"/>
              </w:rPr>
              <w:t>(N=74)</w:t>
            </w:r>
          </w:p>
        </w:tc>
        <w:tc>
          <w:tcPr>
            <w:tcW w:w="1134" w:type="dxa"/>
            <w:tcBorders>
              <w:top w:val="single" w:sz="4" w:space="0" w:color="000000"/>
              <w:left w:val="dashed" w:sz="4" w:space="0" w:color="000000"/>
              <w:right w:val="single" w:sz="4" w:space="0" w:color="000000"/>
            </w:tcBorders>
            <w:tcMar>
              <w:top w:w="0" w:type="dxa"/>
              <w:left w:w="108" w:type="dxa"/>
              <w:bottom w:w="0" w:type="dxa"/>
              <w:right w:w="108" w:type="dxa"/>
            </w:tcMar>
          </w:tcPr>
          <w:p w14:paraId="07BF9066" w14:textId="77777777" w:rsidR="00F50FC7" w:rsidRDefault="00F50FC7" w:rsidP="005B4014">
            <w:pPr>
              <w:keepNext/>
              <w:jc w:val="center"/>
              <w:rPr>
                <w:iCs/>
                <w:sz w:val="18"/>
                <w:szCs w:val="18"/>
              </w:rPr>
            </w:pPr>
          </w:p>
          <w:p w14:paraId="5B1356A5" w14:textId="77777777" w:rsidR="00F50FC7" w:rsidRDefault="00F50FC7" w:rsidP="005B4014">
            <w:pPr>
              <w:keepNext/>
              <w:jc w:val="center"/>
              <w:rPr>
                <w:iCs/>
                <w:sz w:val="18"/>
                <w:szCs w:val="18"/>
              </w:rPr>
            </w:pPr>
          </w:p>
          <w:p w14:paraId="0FEFDD9F" w14:textId="77777777" w:rsidR="00F50FC7" w:rsidRDefault="00F50FC7" w:rsidP="005B4014">
            <w:pPr>
              <w:keepNext/>
              <w:jc w:val="center"/>
              <w:rPr>
                <w:iCs/>
                <w:sz w:val="18"/>
                <w:szCs w:val="18"/>
              </w:rPr>
            </w:pPr>
            <w:r>
              <w:rPr>
                <w:iCs/>
                <w:sz w:val="18"/>
                <w:szCs w:val="18"/>
              </w:rPr>
              <w:t>(N=118)</w:t>
            </w:r>
          </w:p>
        </w:tc>
        <w:tc>
          <w:tcPr>
            <w:tcW w:w="992" w:type="dxa"/>
            <w:tcBorders>
              <w:top w:val="single" w:sz="4" w:space="0" w:color="000000"/>
              <w:left w:val="dashed" w:sz="4" w:space="0" w:color="000000"/>
              <w:right w:val="single" w:sz="4" w:space="0" w:color="000000"/>
            </w:tcBorders>
            <w:tcMar>
              <w:top w:w="0" w:type="dxa"/>
              <w:left w:w="108" w:type="dxa"/>
              <w:bottom w:w="0" w:type="dxa"/>
              <w:right w:w="108" w:type="dxa"/>
            </w:tcMar>
          </w:tcPr>
          <w:p w14:paraId="0015E2E6" w14:textId="77777777" w:rsidR="00F50FC7" w:rsidRDefault="00F50FC7" w:rsidP="005B4014">
            <w:pPr>
              <w:keepNext/>
              <w:jc w:val="center"/>
              <w:rPr>
                <w:iCs/>
                <w:sz w:val="18"/>
                <w:szCs w:val="18"/>
              </w:rPr>
            </w:pPr>
          </w:p>
          <w:p w14:paraId="62AE45A1" w14:textId="77777777" w:rsidR="00F50FC7" w:rsidRDefault="00F50FC7" w:rsidP="005B4014">
            <w:pPr>
              <w:keepNext/>
              <w:jc w:val="center"/>
              <w:rPr>
                <w:iCs/>
                <w:sz w:val="18"/>
                <w:szCs w:val="18"/>
              </w:rPr>
            </w:pPr>
          </w:p>
          <w:p w14:paraId="52B2148B" w14:textId="77777777" w:rsidR="00F50FC7" w:rsidRDefault="00F50FC7" w:rsidP="005B4014">
            <w:pPr>
              <w:keepNext/>
              <w:jc w:val="center"/>
              <w:rPr>
                <w:iCs/>
                <w:sz w:val="18"/>
                <w:szCs w:val="18"/>
              </w:rPr>
            </w:pPr>
            <w:r>
              <w:rPr>
                <w:iCs/>
                <w:sz w:val="18"/>
                <w:szCs w:val="18"/>
              </w:rPr>
              <w:t>(N=68)</w:t>
            </w:r>
          </w:p>
        </w:tc>
      </w:tr>
      <w:tr w:rsidR="00F50FC7" w14:paraId="1C17B978" w14:textId="77777777" w:rsidTr="005B4014">
        <w:trPr>
          <w:trHeight w:val="251"/>
        </w:trPr>
        <w:tc>
          <w:tcPr>
            <w:tcW w:w="14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87ED7" w14:textId="77777777" w:rsidR="00F50FC7" w:rsidRDefault="00F50FC7" w:rsidP="005B4014">
            <w:pPr>
              <w:rPr>
                <w:b/>
                <w:iCs/>
                <w:sz w:val="18"/>
                <w:szCs w:val="18"/>
              </w:rPr>
            </w:pPr>
            <w:r>
              <w:rPr>
                <w:b/>
                <w:iCs/>
                <w:sz w:val="18"/>
                <w:szCs w:val="18"/>
              </w:rPr>
              <w:t>Difterija</w:t>
            </w:r>
          </w:p>
        </w:tc>
        <w:tc>
          <w:tcPr>
            <w:tcW w:w="855" w:type="dxa"/>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tcPr>
          <w:p w14:paraId="4E76E548" w14:textId="77777777" w:rsidR="00F50FC7" w:rsidRDefault="00F50FC7" w:rsidP="005B4014">
            <w:r>
              <w:rPr>
                <w:rFonts w:ascii="Symbol" w:eastAsia="Symbol" w:hAnsi="Symbol" w:cs="Symbol"/>
                <w:iCs/>
                <w:sz w:val="18"/>
                <w:szCs w:val="18"/>
              </w:rPr>
              <w:t></w:t>
            </w:r>
            <w:r>
              <w:rPr>
                <w:iCs/>
                <w:sz w:val="18"/>
                <w:szCs w:val="18"/>
              </w:rPr>
              <w:t> 0,1 TV/ml</w:t>
            </w:r>
          </w:p>
        </w:tc>
        <w:tc>
          <w:tcPr>
            <w:tcW w:w="851" w:type="dxa"/>
            <w:tcBorders>
              <w:top w:val="single" w:sz="4" w:space="0" w:color="000000"/>
              <w:left w:val="single" w:sz="4" w:space="0" w:color="000000"/>
              <w:bottom w:val="dashed" w:sz="4" w:space="0" w:color="000000"/>
              <w:right w:val="dashed" w:sz="4" w:space="0" w:color="000000"/>
            </w:tcBorders>
            <w:tcMar>
              <w:top w:w="0" w:type="dxa"/>
              <w:left w:w="108" w:type="dxa"/>
              <w:bottom w:w="0" w:type="dxa"/>
              <w:right w:w="108" w:type="dxa"/>
            </w:tcMar>
          </w:tcPr>
          <w:p w14:paraId="4246D991" w14:textId="349729C5" w:rsidR="00F50FC7" w:rsidRDefault="00F50FC7" w:rsidP="005B4014">
            <w:pPr>
              <w:jc w:val="center"/>
              <w:rPr>
                <w:iCs/>
                <w:sz w:val="18"/>
                <w:szCs w:val="18"/>
              </w:rPr>
            </w:pPr>
            <w:r>
              <w:rPr>
                <w:iCs/>
                <w:sz w:val="18"/>
                <w:szCs w:val="18"/>
              </w:rPr>
              <w:t>71,2</w:t>
            </w:r>
            <w:r w:rsidR="00215050">
              <w:rPr>
                <w:iCs/>
                <w:sz w:val="18"/>
                <w:szCs w:val="18"/>
              </w:rPr>
              <w:t> </w:t>
            </w:r>
            <w:r>
              <w:rPr>
                <w:iCs/>
                <w:sz w:val="18"/>
                <w:szCs w:val="18"/>
              </w:rPr>
              <w:t>%</w:t>
            </w:r>
          </w:p>
        </w:tc>
        <w:tc>
          <w:tcPr>
            <w:tcW w:w="849" w:type="dxa"/>
            <w:tcBorders>
              <w:top w:val="single" w:sz="4" w:space="0" w:color="000000"/>
              <w:left w:val="dashed" w:sz="4" w:space="0" w:color="000000"/>
              <w:bottom w:val="dashed" w:sz="4" w:space="0" w:color="000000"/>
              <w:right w:val="single" w:sz="4" w:space="0" w:color="000000"/>
            </w:tcBorders>
            <w:tcMar>
              <w:top w:w="0" w:type="dxa"/>
              <w:left w:w="108" w:type="dxa"/>
              <w:bottom w:w="0" w:type="dxa"/>
              <w:right w:w="108" w:type="dxa"/>
            </w:tcMar>
          </w:tcPr>
          <w:p w14:paraId="3315646C" w14:textId="6D85967B" w:rsidR="00F50FC7" w:rsidRDefault="00F50FC7" w:rsidP="005B4014">
            <w:pPr>
              <w:jc w:val="center"/>
              <w:rPr>
                <w:iCs/>
                <w:sz w:val="18"/>
                <w:szCs w:val="18"/>
              </w:rPr>
            </w:pPr>
            <w:r>
              <w:rPr>
                <w:iCs/>
                <w:sz w:val="18"/>
                <w:szCs w:val="18"/>
              </w:rPr>
              <w:t>91,6</w:t>
            </w:r>
            <w:r w:rsidR="00215050">
              <w:rPr>
                <w:iCs/>
                <w:sz w:val="18"/>
                <w:szCs w:val="18"/>
              </w:rPr>
              <w:t> </w:t>
            </w:r>
            <w:r>
              <w:rPr>
                <w:iCs/>
                <w:sz w:val="18"/>
                <w:szCs w:val="18"/>
              </w:rPr>
              <w:t>%</w:t>
            </w:r>
          </w:p>
        </w:tc>
        <w:tc>
          <w:tcPr>
            <w:tcW w:w="853" w:type="dxa"/>
            <w:tcBorders>
              <w:top w:val="single" w:sz="4" w:space="0" w:color="000000"/>
              <w:left w:val="single" w:sz="4" w:space="0" w:color="000000"/>
              <w:bottom w:val="dashed" w:sz="4" w:space="0" w:color="000000"/>
              <w:right w:val="dashed" w:sz="4" w:space="0" w:color="000000"/>
            </w:tcBorders>
            <w:tcMar>
              <w:top w:w="0" w:type="dxa"/>
              <w:left w:w="108" w:type="dxa"/>
              <w:bottom w:w="0" w:type="dxa"/>
              <w:right w:w="108" w:type="dxa"/>
            </w:tcMar>
          </w:tcPr>
          <w:p w14:paraId="56BA476B" w14:textId="38EAE625" w:rsidR="00F50FC7" w:rsidRDefault="00F50FC7" w:rsidP="005B4014">
            <w:pPr>
              <w:jc w:val="center"/>
              <w:rPr>
                <w:iCs/>
                <w:sz w:val="18"/>
                <w:szCs w:val="18"/>
              </w:rPr>
            </w:pPr>
            <w:r>
              <w:rPr>
                <w:iCs/>
                <w:sz w:val="18"/>
                <w:szCs w:val="18"/>
              </w:rPr>
              <w:t>84,1</w:t>
            </w:r>
            <w:r w:rsidR="00215050">
              <w:rPr>
                <w:iCs/>
                <w:sz w:val="18"/>
                <w:szCs w:val="18"/>
              </w:rPr>
              <w:t> </w:t>
            </w:r>
            <w:r>
              <w:rPr>
                <w:iCs/>
                <w:sz w:val="18"/>
                <w:szCs w:val="18"/>
              </w:rPr>
              <w:t>%</w:t>
            </w:r>
          </w:p>
        </w:tc>
        <w:tc>
          <w:tcPr>
            <w:tcW w:w="849" w:type="dxa"/>
            <w:tcBorders>
              <w:top w:val="single" w:sz="4" w:space="0" w:color="000000"/>
              <w:left w:val="dashed" w:sz="4" w:space="0" w:color="000000"/>
              <w:bottom w:val="dashed" w:sz="4" w:space="0" w:color="000000"/>
              <w:right w:val="single" w:sz="4" w:space="0" w:color="000000"/>
            </w:tcBorders>
            <w:tcMar>
              <w:top w:w="0" w:type="dxa"/>
              <w:left w:w="108" w:type="dxa"/>
              <w:bottom w:w="0" w:type="dxa"/>
              <w:right w:w="108" w:type="dxa"/>
            </w:tcMar>
          </w:tcPr>
          <w:p w14:paraId="4352B8F3" w14:textId="2359FB9D" w:rsidR="00F50FC7" w:rsidRDefault="00F50FC7" w:rsidP="005B4014">
            <w:pPr>
              <w:jc w:val="center"/>
              <w:rPr>
                <w:iCs/>
                <w:sz w:val="18"/>
                <w:szCs w:val="18"/>
              </w:rPr>
            </w:pPr>
            <w:r>
              <w:rPr>
                <w:iCs/>
                <w:sz w:val="18"/>
                <w:szCs w:val="18"/>
              </w:rPr>
              <w:t>86,8</w:t>
            </w:r>
            <w:r w:rsidR="00215050">
              <w:rPr>
                <w:iCs/>
                <w:sz w:val="18"/>
                <w:szCs w:val="18"/>
              </w:rPr>
              <w:t> </w:t>
            </w:r>
            <w:r>
              <w:rPr>
                <w:iCs/>
                <w:sz w:val="18"/>
                <w:szCs w:val="18"/>
              </w:rPr>
              <w:t>%</w:t>
            </w:r>
          </w:p>
        </w:tc>
        <w:tc>
          <w:tcPr>
            <w:tcW w:w="853" w:type="dxa"/>
            <w:tcBorders>
              <w:top w:val="single" w:sz="4" w:space="0" w:color="000000"/>
              <w:left w:val="single" w:sz="4" w:space="0" w:color="000000"/>
              <w:bottom w:val="dashed" w:sz="4" w:space="0" w:color="000000"/>
              <w:right w:val="dashed" w:sz="4" w:space="0" w:color="000000"/>
            </w:tcBorders>
            <w:tcMar>
              <w:top w:w="0" w:type="dxa"/>
              <w:left w:w="108" w:type="dxa"/>
              <w:bottom w:w="0" w:type="dxa"/>
              <w:right w:w="108" w:type="dxa"/>
            </w:tcMar>
          </w:tcPr>
          <w:p w14:paraId="578E1D64" w14:textId="4E167C18" w:rsidR="00F50FC7" w:rsidRDefault="00F50FC7" w:rsidP="005B4014">
            <w:pPr>
              <w:jc w:val="center"/>
              <w:rPr>
                <w:iCs/>
                <w:sz w:val="18"/>
                <w:szCs w:val="18"/>
              </w:rPr>
            </w:pPr>
            <w:r>
              <w:rPr>
                <w:iCs/>
                <w:sz w:val="18"/>
                <w:szCs w:val="18"/>
              </w:rPr>
              <w:t>64,6</w:t>
            </w:r>
            <w:r w:rsidR="00215050">
              <w:rPr>
                <w:iCs/>
                <w:sz w:val="18"/>
                <w:szCs w:val="18"/>
              </w:rPr>
              <w:t> </w:t>
            </w:r>
            <w:r>
              <w:rPr>
                <w:iCs/>
                <w:sz w:val="18"/>
                <w:szCs w:val="18"/>
              </w:rPr>
              <w:t>%</w:t>
            </w:r>
          </w:p>
        </w:tc>
        <w:tc>
          <w:tcPr>
            <w:tcW w:w="849" w:type="dxa"/>
            <w:tcBorders>
              <w:top w:val="single" w:sz="4" w:space="0" w:color="000000"/>
              <w:left w:val="dashed" w:sz="4" w:space="0" w:color="000000"/>
              <w:bottom w:val="dashed" w:sz="4" w:space="0" w:color="000000"/>
              <w:right w:val="single" w:sz="4" w:space="0" w:color="000000"/>
            </w:tcBorders>
            <w:tcMar>
              <w:top w:w="0" w:type="dxa"/>
              <w:left w:w="108" w:type="dxa"/>
              <w:bottom w:w="0" w:type="dxa"/>
              <w:right w:w="108" w:type="dxa"/>
            </w:tcMar>
          </w:tcPr>
          <w:p w14:paraId="020A5A60" w14:textId="073AAFFA" w:rsidR="00F50FC7" w:rsidRDefault="00F50FC7" w:rsidP="005B4014">
            <w:pPr>
              <w:jc w:val="center"/>
              <w:rPr>
                <w:iCs/>
                <w:sz w:val="18"/>
                <w:szCs w:val="18"/>
              </w:rPr>
            </w:pPr>
            <w:r>
              <w:rPr>
                <w:iCs/>
                <w:sz w:val="18"/>
                <w:szCs w:val="18"/>
              </w:rPr>
              <w:t>82,4</w:t>
            </w:r>
            <w:r w:rsidR="007872C2">
              <w:rPr>
                <w:iCs/>
                <w:sz w:val="18"/>
                <w:szCs w:val="18"/>
              </w:rPr>
              <w:t> </w:t>
            </w:r>
            <w:r>
              <w:rPr>
                <w:iCs/>
                <w:sz w:val="18"/>
                <w:szCs w:val="18"/>
              </w:rPr>
              <w:t>%</w:t>
            </w:r>
          </w:p>
        </w:tc>
        <w:tc>
          <w:tcPr>
            <w:tcW w:w="1134" w:type="dxa"/>
            <w:tcBorders>
              <w:top w:val="single" w:sz="4" w:space="0" w:color="000000"/>
              <w:left w:val="dashed" w:sz="4" w:space="0" w:color="000000"/>
              <w:bottom w:val="dashed" w:sz="4" w:space="0" w:color="000000"/>
              <w:right w:val="single" w:sz="4" w:space="0" w:color="000000"/>
            </w:tcBorders>
            <w:tcMar>
              <w:top w:w="0" w:type="dxa"/>
              <w:left w:w="108" w:type="dxa"/>
              <w:bottom w:w="0" w:type="dxa"/>
              <w:right w:w="108" w:type="dxa"/>
            </w:tcMar>
          </w:tcPr>
          <w:p w14:paraId="6239CE91" w14:textId="7D4A3B81" w:rsidR="00F50FC7" w:rsidRDefault="00F50FC7" w:rsidP="005B4014">
            <w:pPr>
              <w:keepNext/>
              <w:jc w:val="center"/>
              <w:rPr>
                <w:iCs/>
                <w:sz w:val="18"/>
                <w:szCs w:val="18"/>
              </w:rPr>
            </w:pPr>
            <w:r>
              <w:rPr>
                <w:iCs/>
                <w:sz w:val="18"/>
                <w:szCs w:val="18"/>
              </w:rPr>
              <w:t>97,5</w:t>
            </w:r>
            <w:r w:rsidR="007872C2">
              <w:rPr>
                <w:iCs/>
                <w:sz w:val="18"/>
                <w:szCs w:val="18"/>
              </w:rPr>
              <w:t> </w:t>
            </w:r>
            <w:r>
              <w:rPr>
                <w:iCs/>
                <w:sz w:val="18"/>
                <w:szCs w:val="18"/>
              </w:rPr>
              <w:t>%</w:t>
            </w:r>
          </w:p>
        </w:tc>
        <w:tc>
          <w:tcPr>
            <w:tcW w:w="992" w:type="dxa"/>
            <w:tcBorders>
              <w:top w:val="single" w:sz="4" w:space="0" w:color="000000"/>
              <w:left w:val="dashed" w:sz="4" w:space="0" w:color="000000"/>
              <w:bottom w:val="dashed" w:sz="4" w:space="0" w:color="000000"/>
              <w:right w:val="single" w:sz="4" w:space="0" w:color="000000"/>
            </w:tcBorders>
            <w:tcMar>
              <w:top w:w="0" w:type="dxa"/>
              <w:left w:w="108" w:type="dxa"/>
              <w:bottom w:w="0" w:type="dxa"/>
              <w:right w:w="108" w:type="dxa"/>
            </w:tcMar>
          </w:tcPr>
          <w:p w14:paraId="5EB68BA2" w14:textId="442D89BA" w:rsidR="00F50FC7" w:rsidRDefault="00F50FC7" w:rsidP="005B4014">
            <w:pPr>
              <w:keepNext/>
              <w:jc w:val="center"/>
              <w:rPr>
                <w:iCs/>
                <w:sz w:val="18"/>
                <w:szCs w:val="18"/>
              </w:rPr>
            </w:pPr>
            <w:r>
              <w:rPr>
                <w:iCs/>
                <w:sz w:val="18"/>
                <w:szCs w:val="18"/>
              </w:rPr>
              <w:t>94,2</w:t>
            </w:r>
            <w:r w:rsidR="007872C2">
              <w:rPr>
                <w:iCs/>
                <w:sz w:val="18"/>
                <w:szCs w:val="18"/>
              </w:rPr>
              <w:t> </w:t>
            </w:r>
            <w:r>
              <w:rPr>
                <w:iCs/>
                <w:sz w:val="18"/>
                <w:szCs w:val="18"/>
              </w:rPr>
              <w:t>%</w:t>
            </w:r>
          </w:p>
        </w:tc>
      </w:tr>
      <w:tr w:rsidR="00F50FC7" w14:paraId="6B065711" w14:textId="77777777" w:rsidTr="005B4014">
        <w:trPr>
          <w:trHeight w:val="251"/>
        </w:trPr>
        <w:tc>
          <w:tcPr>
            <w:tcW w:w="14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2EE7C" w14:textId="77777777" w:rsidR="00F50FC7" w:rsidRDefault="00F50FC7" w:rsidP="005B4014">
            <w:pPr>
              <w:rPr>
                <w:b/>
                <w:iCs/>
                <w:sz w:val="18"/>
                <w:szCs w:val="18"/>
              </w:rPr>
            </w:pPr>
          </w:p>
        </w:tc>
        <w:tc>
          <w:tcPr>
            <w:tcW w:w="855" w:type="dxa"/>
            <w:tcBorders>
              <w:top w:val="dashed"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3E63D" w14:textId="77777777" w:rsidR="00F50FC7" w:rsidRDefault="00F50FC7" w:rsidP="005B4014">
            <w:r>
              <w:rPr>
                <w:rFonts w:ascii="Symbol" w:eastAsia="Symbol" w:hAnsi="Symbol" w:cs="Symbol"/>
                <w:iCs/>
                <w:sz w:val="18"/>
                <w:szCs w:val="18"/>
              </w:rPr>
              <w:t></w:t>
            </w:r>
            <w:r>
              <w:rPr>
                <w:iCs/>
                <w:sz w:val="18"/>
                <w:szCs w:val="18"/>
              </w:rPr>
              <w:t> 0,016 TV/ml</w:t>
            </w:r>
            <w:r>
              <w:rPr>
                <w:iCs/>
                <w:sz w:val="18"/>
                <w:szCs w:val="18"/>
                <w:vertAlign w:val="superscript"/>
              </w:rPr>
              <w:t>(4)</w:t>
            </w:r>
          </w:p>
        </w:tc>
        <w:tc>
          <w:tcPr>
            <w:tcW w:w="851" w:type="dxa"/>
            <w:tcBorders>
              <w:top w:val="dashed" w:sz="4" w:space="0" w:color="000000"/>
              <w:left w:val="single" w:sz="4" w:space="0" w:color="000000"/>
              <w:bottom w:val="single" w:sz="4" w:space="0" w:color="000000"/>
              <w:right w:val="dashed" w:sz="4" w:space="0" w:color="000000"/>
            </w:tcBorders>
            <w:tcMar>
              <w:top w:w="0" w:type="dxa"/>
              <w:left w:w="108" w:type="dxa"/>
              <w:bottom w:w="0" w:type="dxa"/>
              <w:right w:w="108" w:type="dxa"/>
            </w:tcMar>
          </w:tcPr>
          <w:p w14:paraId="30D467CF" w14:textId="262A295C" w:rsidR="00F50FC7" w:rsidRDefault="00F50FC7" w:rsidP="005B4014">
            <w:pPr>
              <w:jc w:val="center"/>
              <w:rPr>
                <w:iCs/>
                <w:sz w:val="18"/>
                <w:szCs w:val="18"/>
              </w:rPr>
            </w:pPr>
            <w:r>
              <w:rPr>
                <w:iCs/>
                <w:sz w:val="18"/>
                <w:szCs w:val="18"/>
              </w:rPr>
              <w:t>97,4</w:t>
            </w:r>
            <w:r w:rsidR="00215050">
              <w:rPr>
                <w:iCs/>
                <w:sz w:val="18"/>
                <w:szCs w:val="18"/>
              </w:rPr>
              <w:t> </w:t>
            </w:r>
            <w:r>
              <w:rPr>
                <w:iCs/>
                <w:sz w:val="18"/>
                <w:szCs w:val="18"/>
              </w:rPr>
              <w:t>%</w:t>
            </w:r>
          </w:p>
        </w:tc>
        <w:tc>
          <w:tcPr>
            <w:tcW w:w="849" w:type="dxa"/>
            <w:tcBorders>
              <w:top w:val="dashed"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5F9F4C22" w14:textId="1088DCA6" w:rsidR="00F50FC7" w:rsidRDefault="00F50FC7" w:rsidP="005B4014">
            <w:pPr>
              <w:jc w:val="center"/>
              <w:rPr>
                <w:iCs/>
                <w:sz w:val="18"/>
                <w:szCs w:val="18"/>
              </w:rPr>
            </w:pPr>
            <w:r>
              <w:rPr>
                <w:iCs/>
                <w:sz w:val="18"/>
                <w:szCs w:val="18"/>
              </w:rPr>
              <w:t>100</w:t>
            </w:r>
            <w:r w:rsidR="00215050">
              <w:rPr>
                <w:iCs/>
                <w:sz w:val="18"/>
                <w:szCs w:val="18"/>
              </w:rPr>
              <w:t> </w:t>
            </w:r>
            <w:r>
              <w:rPr>
                <w:iCs/>
                <w:sz w:val="18"/>
                <w:szCs w:val="18"/>
              </w:rPr>
              <w:t>%</w:t>
            </w:r>
          </w:p>
        </w:tc>
        <w:tc>
          <w:tcPr>
            <w:tcW w:w="853" w:type="dxa"/>
            <w:tcBorders>
              <w:top w:val="dashed" w:sz="4" w:space="0" w:color="000000"/>
              <w:left w:val="single" w:sz="4" w:space="0" w:color="000000"/>
              <w:bottom w:val="single" w:sz="4" w:space="0" w:color="000000"/>
              <w:right w:val="dashed" w:sz="4" w:space="0" w:color="000000"/>
            </w:tcBorders>
            <w:tcMar>
              <w:top w:w="0" w:type="dxa"/>
              <w:left w:w="108" w:type="dxa"/>
              <w:bottom w:w="0" w:type="dxa"/>
              <w:right w:w="108" w:type="dxa"/>
            </w:tcMar>
          </w:tcPr>
          <w:p w14:paraId="7D38AFAE" w14:textId="268BDDDA" w:rsidR="00F50FC7" w:rsidRDefault="00F50FC7" w:rsidP="005B4014">
            <w:pPr>
              <w:jc w:val="center"/>
              <w:rPr>
                <w:iCs/>
                <w:sz w:val="18"/>
                <w:szCs w:val="18"/>
              </w:rPr>
            </w:pPr>
            <w:r>
              <w:rPr>
                <w:iCs/>
                <w:sz w:val="18"/>
                <w:szCs w:val="18"/>
              </w:rPr>
              <w:t>94,4</w:t>
            </w:r>
            <w:r w:rsidR="00215050">
              <w:rPr>
                <w:iCs/>
                <w:sz w:val="18"/>
                <w:szCs w:val="18"/>
              </w:rPr>
              <w:t> </w:t>
            </w:r>
            <w:r>
              <w:rPr>
                <w:iCs/>
                <w:sz w:val="18"/>
                <w:szCs w:val="18"/>
              </w:rPr>
              <w:t>%</w:t>
            </w:r>
          </w:p>
        </w:tc>
        <w:tc>
          <w:tcPr>
            <w:tcW w:w="849" w:type="dxa"/>
            <w:tcBorders>
              <w:top w:val="dashed"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02B8A5AB" w14:textId="7B706EDD" w:rsidR="00F50FC7" w:rsidRDefault="00F50FC7" w:rsidP="005B4014">
            <w:pPr>
              <w:jc w:val="center"/>
              <w:rPr>
                <w:iCs/>
                <w:sz w:val="18"/>
                <w:szCs w:val="18"/>
              </w:rPr>
            </w:pPr>
            <w:r>
              <w:rPr>
                <w:iCs/>
                <w:sz w:val="18"/>
                <w:szCs w:val="18"/>
              </w:rPr>
              <w:t>99,2</w:t>
            </w:r>
            <w:r w:rsidR="00215050">
              <w:rPr>
                <w:iCs/>
                <w:sz w:val="18"/>
                <w:szCs w:val="18"/>
              </w:rPr>
              <w:t> </w:t>
            </w:r>
            <w:r>
              <w:rPr>
                <w:iCs/>
                <w:sz w:val="18"/>
                <w:szCs w:val="18"/>
              </w:rPr>
              <w:t>%</w:t>
            </w:r>
          </w:p>
        </w:tc>
        <w:tc>
          <w:tcPr>
            <w:tcW w:w="853" w:type="dxa"/>
            <w:tcBorders>
              <w:top w:val="dashed" w:sz="4" w:space="0" w:color="000000"/>
              <w:left w:val="single" w:sz="4" w:space="0" w:color="000000"/>
              <w:bottom w:val="single" w:sz="4" w:space="0" w:color="000000"/>
              <w:right w:val="dashed" w:sz="4" w:space="0" w:color="000000"/>
            </w:tcBorders>
            <w:tcMar>
              <w:top w:w="0" w:type="dxa"/>
              <w:left w:w="108" w:type="dxa"/>
              <w:bottom w:w="0" w:type="dxa"/>
              <w:right w:w="108" w:type="dxa"/>
            </w:tcMar>
          </w:tcPr>
          <w:p w14:paraId="00B8438D" w14:textId="4FA37830" w:rsidR="00F50FC7" w:rsidRDefault="00F50FC7" w:rsidP="005B4014">
            <w:pPr>
              <w:jc w:val="center"/>
              <w:rPr>
                <w:iCs/>
                <w:sz w:val="18"/>
                <w:szCs w:val="18"/>
              </w:rPr>
            </w:pPr>
            <w:r>
              <w:rPr>
                <w:iCs/>
                <w:sz w:val="18"/>
                <w:szCs w:val="18"/>
              </w:rPr>
              <w:t>89,9</w:t>
            </w:r>
            <w:r w:rsidR="00215050">
              <w:rPr>
                <w:iCs/>
                <w:sz w:val="18"/>
                <w:szCs w:val="18"/>
              </w:rPr>
              <w:t> </w:t>
            </w:r>
            <w:r>
              <w:rPr>
                <w:iCs/>
                <w:sz w:val="18"/>
                <w:szCs w:val="18"/>
              </w:rPr>
              <w:t>%</w:t>
            </w:r>
          </w:p>
        </w:tc>
        <w:tc>
          <w:tcPr>
            <w:tcW w:w="849" w:type="dxa"/>
            <w:tcBorders>
              <w:top w:val="dashed"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38043511" w14:textId="717DAC5C" w:rsidR="00F50FC7" w:rsidRDefault="00F50FC7" w:rsidP="005B4014">
            <w:pPr>
              <w:jc w:val="center"/>
              <w:rPr>
                <w:iCs/>
                <w:sz w:val="18"/>
                <w:szCs w:val="18"/>
              </w:rPr>
            </w:pPr>
            <w:r>
              <w:rPr>
                <w:iCs/>
                <w:sz w:val="18"/>
                <w:szCs w:val="18"/>
              </w:rPr>
              <w:t>98,6</w:t>
            </w:r>
            <w:r w:rsidR="007872C2">
              <w:rPr>
                <w:iCs/>
                <w:sz w:val="18"/>
                <w:szCs w:val="18"/>
              </w:rPr>
              <w:t> </w:t>
            </w:r>
            <w:r>
              <w:rPr>
                <w:iCs/>
                <w:sz w:val="18"/>
                <w:szCs w:val="18"/>
              </w:rPr>
              <w:t>%</w:t>
            </w:r>
          </w:p>
        </w:tc>
        <w:tc>
          <w:tcPr>
            <w:tcW w:w="1134" w:type="dxa"/>
            <w:tcBorders>
              <w:top w:val="dashed"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1474AA89" w14:textId="23D9CE42" w:rsidR="00F50FC7" w:rsidRDefault="00F50FC7" w:rsidP="005B4014">
            <w:pPr>
              <w:keepNext/>
              <w:jc w:val="center"/>
              <w:rPr>
                <w:iCs/>
                <w:sz w:val="18"/>
                <w:szCs w:val="18"/>
              </w:rPr>
            </w:pPr>
            <w:r>
              <w:rPr>
                <w:iCs/>
                <w:sz w:val="18"/>
                <w:szCs w:val="18"/>
              </w:rPr>
              <w:t>100</w:t>
            </w:r>
            <w:r w:rsidR="007872C2">
              <w:rPr>
                <w:iCs/>
                <w:sz w:val="18"/>
                <w:szCs w:val="18"/>
              </w:rPr>
              <w:t> </w:t>
            </w:r>
            <w:r>
              <w:rPr>
                <w:iCs/>
                <w:sz w:val="18"/>
                <w:szCs w:val="18"/>
              </w:rPr>
              <w:t>%</w:t>
            </w:r>
          </w:p>
        </w:tc>
        <w:tc>
          <w:tcPr>
            <w:tcW w:w="992" w:type="dxa"/>
            <w:tcBorders>
              <w:top w:val="dashed"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5ABEF693" w14:textId="77777777" w:rsidR="00F50FC7" w:rsidRDefault="00F50FC7" w:rsidP="005B4014">
            <w:pPr>
              <w:keepNext/>
              <w:jc w:val="center"/>
              <w:rPr>
                <w:iCs/>
                <w:sz w:val="18"/>
                <w:szCs w:val="18"/>
              </w:rPr>
            </w:pPr>
            <w:r>
              <w:rPr>
                <w:iCs/>
                <w:sz w:val="18"/>
                <w:szCs w:val="18"/>
              </w:rPr>
              <w:t>Nenustatyta</w:t>
            </w:r>
          </w:p>
        </w:tc>
      </w:tr>
      <w:tr w:rsidR="00F50FC7" w14:paraId="20FC9A50" w14:textId="77777777" w:rsidTr="005B4014">
        <w:trPr>
          <w:trHeight w:val="251"/>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71611" w14:textId="77777777" w:rsidR="00F50FC7" w:rsidRDefault="00F50FC7" w:rsidP="005B4014">
            <w:pPr>
              <w:rPr>
                <w:b/>
                <w:iCs/>
                <w:sz w:val="18"/>
                <w:szCs w:val="18"/>
              </w:rPr>
            </w:pPr>
            <w:r>
              <w:rPr>
                <w:b/>
                <w:iCs/>
                <w:sz w:val="18"/>
                <w:szCs w:val="18"/>
              </w:rPr>
              <w:t>Stabligė</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683C8" w14:textId="77777777" w:rsidR="00F50FC7" w:rsidRDefault="00F50FC7" w:rsidP="005B4014">
            <w:r>
              <w:rPr>
                <w:rFonts w:ascii="Symbol" w:eastAsia="Symbol" w:hAnsi="Symbol" w:cs="Symbol"/>
                <w:iCs/>
                <w:sz w:val="18"/>
                <w:szCs w:val="18"/>
              </w:rPr>
              <w:t></w:t>
            </w:r>
            <w:r>
              <w:rPr>
                <w:iCs/>
                <w:sz w:val="18"/>
                <w:szCs w:val="18"/>
              </w:rPr>
              <w:t> 0,1 TV/ml</w:t>
            </w:r>
          </w:p>
        </w:tc>
        <w:tc>
          <w:tcPr>
            <w:tcW w:w="851" w:type="dxa"/>
            <w:tcBorders>
              <w:top w:val="single" w:sz="4" w:space="0" w:color="000000"/>
              <w:left w:val="single" w:sz="4" w:space="0" w:color="000000"/>
              <w:bottom w:val="single" w:sz="4" w:space="0" w:color="000000"/>
              <w:right w:val="dashed" w:sz="4" w:space="0" w:color="000000"/>
            </w:tcBorders>
            <w:tcMar>
              <w:top w:w="0" w:type="dxa"/>
              <w:left w:w="108" w:type="dxa"/>
              <w:bottom w:w="0" w:type="dxa"/>
              <w:right w:w="108" w:type="dxa"/>
            </w:tcMar>
          </w:tcPr>
          <w:p w14:paraId="6F9A885D" w14:textId="3A816A24" w:rsidR="00F50FC7" w:rsidRDefault="00F50FC7" w:rsidP="005B4014">
            <w:pPr>
              <w:jc w:val="center"/>
              <w:rPr>
                <w:iCs/>
                <w:sz w:val="18"/>
                <w:szCs w:val="18"/>
              </w:rPr>
            </w:pPr>
            <w:r>
              <w:rPr>
                <w:iCs/>
                <w:sz w:val="18"/>
                <w:szCs w:val="18"/>
              </w:rPr>
              <w:t>94,8</w:t>
            </w:r>
            <w:r w:rsidR="00215050">
              <w:rPr>
                <w:iCs/>
                <w:sz w:val="18"/>
                <w:szCs w:val="18"/>
              </w:rPr>
              <w:t> </w:t>
            </w:r>
            <w:r>
              <w:rPr>
                <w:iCs/>
                <w:sz w:val="18"/>
                <w:szCs w:val="18"/>
              </w:rPr>
              <w:t>%</w:t>
            </w:r>
          </w:p>
        </w:tc>
        <w:tc>
          <w:tcPr>
            <w:tcW w:w="849" w:type="dxa"/>
            <w:tcBorders>
              <w:top w:val="single"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166E4987" w14:textId="56A845C1" w:rsidR="00F50FC7" w:rsidRDefault="00F50FC7" w:rsidP="005B4014">
            <w:pPr>
              <w:jc w:val="center"/>
              <w:rPr>
                <w:iCs/>
                <w:sz w:val="18"/>
                <w:szCs w:val="18"/>
              </w:rPr>
            </w:pPr>
            <w:r>
              <w:rPr>
                <w:iCs/>
                <w:sz w:val="18"/>
                <w:szCs w:val="18"/>
              </w:rPr>
              <w:t>100</w:t>
            </w:r>
            <w:r w:rsidR="00215050">
              <w:rPr>
                <w:iCs/>
                <w:sz w:val="18"/>
                <w:szCs w:val="18"/>
              </w:rPr>
              <w:t> </w:t>
            </w:r>
            <w:r>
              <w:rPr>
                <w:iCs/>
                <w:sz w:val="18"/>
                <w:szCs w:val="18"/>
              </w:rPr>
              <w:t>%</w:t>
            </w:r>
          </w:p>
        </w:tc>
        <w:tc>
          <w:tcPr>
            <w:tcW w:w="853" w:type="dxa"/>
            <w:tcBorders>
              <w:top w:val="single" w:sz="4" w:space="0" w:color="000000"/>
              <w:left w:val="single" w:sz="4" w:space="0" w:color="000000"/>
              <w:bottom w:val="single" w:sz="4" w:space="0" w:color="000000"/>
              <w:right w:val="dashed" w:sz="4" w:space="0" w:color="000000"/>
            </w:tcBorders>
            <w:tcMar>
              <w:top w:w="0" w:type="dxa"/>
              <w:left w:w="108" w:type="dxa"/>
              <w:bottom w:w="0" w:type="dxa"/>
              <w:right w:w="108" w:type="dxa"/>
            </w:tcMar>
          </w:tcPr>
          <w:p w14:paraId="20078FB2" w14:textId="5ECAC7D0" w:rsidR="00F50FC7" w:rsidRDefault="00F50FC7" w:rsidP="005B4014">
            <w:pPr>
              <w:jc w:val="center"/>
              <w:rPr>
                <w:iCs/>
                <w:sz w:val="18"/>
                <w:szCs w:val="18"/>
              </w:rPr>
            </w:pPr>
            <w:r>
              <w:rPr>
                <w:iCs/>
                <w:sz w:val="18"/>
                <w:szCs w:val="18"/>
              </w:rPr>
              <w:t>96,2</w:t>
            </w:r>
            <w:r w:rsidR="00215050">
              <w:rPr>
                <w:iCs/>
                <w:sz w:val="18"/>
                <w:szCs w:val="18"/>
              </w:rPr>
              <w:t> </w:t>
            </w:r>
            <w:r>
              <w:rPr>
                <w:iCs/>
                <w:sz w:val="18"/>
                <w:szCs w:val="18"/>
              </w:rPr>
              <w:t>%</w:t>
            </w:r>
          </w:p>
        </w:tc>
        <w:tc>
          <w:tcPr>
            <w:tcW w:w="849" w:type="dxa"/>
            <w:tcBorders>
              <w:top w:val="single"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5D20565C" w14:textId="5592CA87" w:rsidR="00F50FC7" w:rsidRDefault="00F50FC7" w:rsidP="005B4014">
            <w:pPr>
              <w:jc w:val="center"/>
              <w:rPr>
                <w:iCs/>
                <w:sz w:val="18"/>
                <w:szCs w:val="18"/>
              </w:rPr>
            </w:pPr>
            <w:r>
              <w:rPr>
                <w:iCs/>
                <w:sz w:val="18"/>
                <w:szCs w:val="18"/>
              </w:rPr>
              <w:t>100</w:t>
            </w:r>
            <w:r w:rsidR="00215050">
              <w:rPr>
                <w:iCs/>
                <w:sz w:val="18"/>
                <w:szCs w:val="18"/>
              </w:rPr>
              <w:t> </w:t>
            </w:r>
            <w:r>
              <w:rPr>
                <w:iCs/>
                <w:sz w:val="18"/>
                <w:szCs w:val="18"/>
              </w:rPr>
              <w:t>%</w:t>
            </w:r>
          </w:p>
        </w:tc>
        <w:tc>
          <w:tcPr>
            <w:tcW w:w="853" w:type="dxa"/>
            <w:tcBorders>
              <w:top w:val="single" w:sz="4" w:space="0" w:color="000000"/>
              <w:left w:val="single" w:sz="4" w:space="0" w:color="000000"/>
              <w:bottom w:val="single" w:sz="4" w:space="0" w:color="000000"/>
              <w:right w:val="dashed" w:sz="4" w:space="0" w:color="000000"/>
            </w:tcBorders>
            <w:tcMar>
              <w:top w:w="0" w:type="dxa"/>
              <w:left w:w="108" w:type="dxa"/>
              <w:bottom w:w="0" w:type="dxa"/>
              <w:right w:w="108" w:type="dxa"/>
            </w:tcMar>
          </w:tcPr>
          <w:p w14:paraId="3C9DF831" w14:textId="4D46B09D" w:rsidR="00F50FC7" w:rsidRDefault="00F50FC7" w:rsidP="005B4014">
            <w:pPr>
              <w:jc w:val="center"/>
              <w:rPr>
                <w:iCs/>
                <w:sz w:val="18"/>
                <w:szCs w:val="18"/>
              </w:rPr>
            </w:pPr>
            <w:r>
              <w:rPr>
                <w:iCs/>
                <w:sz w:val="18"/>
                <w:szCs w:val="18"/>
              </w:rPr>
              <w:t>95,0</w:t>
            </w:r>
            <w:r w:rsidR="00215050">
              <w:rPr>
                <w:iCs/>
                <w:sz w:val="18"/>
                <w:szCs w:val="18"/>
              </w:rPr>
              <w:t> </w:t>
            </w:r>
            <w:r>
              <w:rPr>
                <w:iCs/>
                <w:sz w:val="18"/>
                <w:szCs w:val="18"/>
              </w:rPr>
              <w:t>%</w:t>
            </w:r>
          </w:p>
        </w:tc>
        <w:tc>
          <w:tcPr>
            <w:tcW w:w="849" w:type="dxa"/>
            <w:tcBorders>
              <w:top w:val="single"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13473171" w14:textId="41702B52" w:rsidR="00F50FC7" w:rsidRDefault="00F50FC7" w:rsidP="005B4014">
            <w:pPr>
              <w:jc w:val="center"/>
              <w:rPr>
                <w:iCs/>
                <w:sz w:val="18"/>
                <w:szCs w:val="18"/>
              </w:rPr>
            </w:pPr>
            <w:r>
              <w:rPr>
                <w:iCs/>
                <w:sz w:val="18"/>
                <w:szCs w:val="18"/>
              </w:rPr>
              <w:t>97,3</w:t>
            </w:r>
            <w:r w:rsidR="007872C2">
              <w:rPr>
                <w:iCs/>
                <w:sz w:val="18"/>
                <w:szCs w:val="18"/>
              </w:rPr>
              <w:t> </w:t>
            </w:r>
            <w:r>
              <w:rPr>
                <w:iCs/>
                <w:sz w:val="18"/>
                <w:szCs w:val="18"/>
              </w:rPr>
              <w:t>%</w:t>
            </w:r>
          </w:p>
        </w:tc>
        <w:tc>
          <w:tcPr>
            <w:tcW w:w="1134" w:type="dxa"/>
            <w:tcBorders>
              <w:top w:val="single"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2D407406" w14:textId="77777777" w:rsidR="00F50FC7" w:rsidRDefault="00F50FC7" w:rsidP="005B4014">
            <w:pPr>
              <w:keepNext/>
              <w:jc w:val="center"/>
              <w:rPr>
                <w:iCs/>
                <w:sz w:val="18"/>
                <w:szCs w:val="18"/>
              </w:rPr>
            </w:pPr>
            <w:r>
              <w:rPr>
                <w:iCs/>
                <w:sz w:val="18"/>
                <w:szCs w:val="18"/>
              </w:rPr>
              <w:t>98,4%</w:t>
            </w:r>
          </w:p>
        </w:tc>
        <w:tc>
          <w:tcPr>
            <w:tcW w:w="992" w:type="dxa"/>
            <w:tcBorders>
              <w:top w:val="single"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1CAFD7F5" w14:textId="2BC51E70" w:rsidR="00F50FC7" w:rsidRDefault="00F50FC7" w:rsidP="005B4014">
            <w:pPr>
              <w:keepNext/>
              <w:jc w:val="center"/>
              <w:rPr>
                <w:iCs/>
                <w:sz w:val="18"/>
                <w:szCs w:val="18"/>
              </w:rPr>
            </w:pPr>
            <w:r>
              <w:rPr>
                <w:iCs/>
                <w:sz w:val="18"/>
                <w:szCs w:val="18"/>
              </w:rPr>
              <w:t>98,5</w:t>
            </w:r>
            <w:r w:rsidR="007872C2">
              <w:rPr>
                <w:iCs/>
                <w:sz w:val="18"/>
                <w:szCs w:val="18"/>
              </w:rPr>
              <w:t> </w:t>
            </w:r>
            <w:r>
              <w:rPr>
                <w:iCs/>
                <w:sz w:val="18"/>
                <w:szCs w:val="18"/>
              </w:rPr>
              <w:t>%</w:t>
            </w:r>
          </w:p>
        </w:tc>
      </w:tr>
      <w:tr w:rsidR="00F50FC7" w14:paraId="6F5E9DF2" w14:textId="77777777" w:rsidTr="005B4014">
        <w:trPr>
          <w:trHeight w:val="1447"/>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8AD68" w14:textId="77777777" w:rsidR="00F50FC7" w:rsidRDefault="00F50FC7" w:rsidP="005B4014">
            <w:pPr>
              <w:rPr>
                <w:b/>
                <w:iCs/>
                <w:sz w:val="18"/>
                <w:szCs w:val="18"/>
              </w:rPr>
            </w:pPr>
            <w:r>
              <w:rPr>
                <w:b/>
                <w:iCs/>
                <w:sz w:val="18"/>
                <w:szCs w:val="18"/>
              </w:rPr>
              <w:t>Kokliušas</w:t>
            </w:r>
          </w:p>
          <w:p w14:paraId="68E1270D" w14:textId="77777777" w:rsidR="00F50FC7" w:rsidRDefault="00F50FC7" w:rsidP="005B4014">
            <w:pPr>
              <w:rPr>
                <w:iCs/>
                <w:sz w:val="18"/>
                <w:szCs w:val="18"/>
              </w:rPr>
            </w:pPr>
            <w:r>
              <w:rPr>
                <w:iCs/>
                <w:sz w:val="18"/>
                <w:szCs w:val="18"/>
              </w:rPr>
              <w:t xml:space="preserve">Kokliušo </w:t>
            </w:r>
            <w:proofErr w:type="spellStart"/>
            <w:r>
              <w:rPr>
                <w:iCs/>
                <w:sz w:val="18"/>
                <w:szCs w:val="18"/>
              </w:rPr>
              <w:t>anatoksinas</w:t>
            </w:r>
            <w:proofErr w:type="spellEnd"/>
          </w:p>
          <w:p w14:paraId="20A40760" w14:textId="77777777" w:rsidR="00F50FC7" w:rsidRDefault="00F50FC7" w:rsidP="005B4014">
            <w:pPr>
              <w:rPr>
                <w:iCs/>
                <w:sz w:val="18"/>
                <w:szCs w:val="18"/>
              </w:rPr>
            </w:pPr>
            <w:proofErr w:type="spellStart"/>
            <w:r>
              <w:rPr>
                <w:iCs/>
                <w:sz w:val="18"/>
                <w:szCs w:val="18"/>
              </w:rPr>
              <w:t>Filamentinis</w:t>
            </w:r>
            <w:proofErr w:type="spellEnd"/>
            <w:r>
              <w:rPr>
                <w:iCs/>
                <w:sz w:val="18"/>
                <w:szCs w:val="18"/>
              </w:rPr>
              <w:t xml:space="preserve"> </w:t>
            </w:r>
            <w:proofErr w:type="spellStart"/>
            <w:r>
              <w:rPr>
                <w:iCs/>
                <w:sz w:val="18"/>
                <w:szCs w:val="18"/>
              </w:rPr>
              <w:t>hemagliutininas</w:t>
            </w:r>
            <w:proofErr w:type="spellEnd"/>
          </w:p>
          <w:p w14:paraId="4FBBA5B2" w14:textId="77777777" w:rsidR="00F50FC7" w:rsidRDefault="00F50FC7" w:rsidP="005B4014">
            <w:pPr>
              <w:rPr>
                <w:iCs/>
                <w:sz w:val="18"/>
                <w:szCs w:val="18"/>
              </w:rPr>
            </w:pPr>
            <w:proofErr w:type="spellStart"/>
            <w:r>
              <w:rPr>
                <w:iCs/>
                <w:sz w:val="18"/>
                <w:szCs w:val="18"/>
              </w:rPr>
              <w:t>Pertaktinas</w:t>
            </w:r>
            <w:proofErr w:type="spell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083DD" w14:textId="77777777" w:rsidR="00F50FC7" w:rsidRDefault="00F50FC7" w:rsidP="005B4014">
            <w:pPr>
              <w:jc w:val="center"/>
              <w:rPr>
                <w:iCs/>
                <w:sz w:val="18"/>
                <w:szCs w:val="18"/>
              </w:rPr>
            </w:pPr>
          </w:p>
          <w:p w14:paraId="165FAC33" w14:textId="77777777" w:rsidR="00F50FC7" w:rsidRDefault="00F50FC7" w:rsidP="005B4014">
            <w:pPr>
              <w:jc w:val="center"/>
              <w:rPr>
                <w:iCs/>
                <w:sz w:val="18"/>
                <w:szCs w:val="18"/>
              </w:rPr>
            </w:pPr>
          </w:p>
          <w:p w14:paraId="6F5DDE31" w14:textId="77777777" w:rsidR="00F50FC7" w:rsidRDefault="00F50FC7" w:rsidP="005B4014">
            <w:pPr>
              <w:jc w:val="center"/>
            </w:pPr>
            <w:r>
              <w:rPr>
                <w:rFonts w:ascii="Symbol" w:eastAsia="Symbol" w:hAnsi="Symbol" w:cs="Symbol"/>
                <w:iCs/>
                <w:sz w:val="18"/>
                <w:szCs w:val="18"/>
              </w:rPr>
              <w:t></w:t>
            </w:r>
            <w:r>
              <w:rPr>
                <w:iCs/>
                <w:sz w:val="18"/>
                <w:szCs w:val="18"/>
              </w:rPr>
              <w:t> 5 EL.V/ml</w:t>
            </w:r>
          </w:p>
        </w:tc>
        <w:tc>
          <w:tcPr>
            <w:tcW w:w="851" w:type="dxa"/>
            <w:tcBorders>
              <w:top w:val="single" w:sz="4" w:space="0" w:color="000000"/>
              <w:left w:val="single" w:sz="4" w:space="0" w:color="000000"/>
              <w:bottom w:val="single" w:sz="4" w:space="0" w:color="000000"/>
              <w:right w:val="dashed" w:sz="4" w:space="0" w:color="000000"/>
            </w:tcBorders>
            <w:tcMar>
              <w:top w:w="0" w:type="dxa"/>
              <w:left w:w="108" w:type="dxa"/>
              <w:bottom w:w="0" w:type="dxa"/>
              <w:right w:w="108" w:type="dxa"/>
            </w:tcMar>
          </w:tcPr>
          <w:p w14:paraId="7F21EA71" w14:textId="77777777" w:rsidR="00F50FC7" w:rsidRDefault="00F50FC7" w:rsidP="005B4014">
            <w:pPr>
              <w:jc w:val="center"/>
              <w:rPr>
                <w:iCs/>
                <w:sz w:val="18"/>
                <w:szCs w:val="18"/>
              </w:rPr>
            </w:pPr>
          </w:p>
          <w:p w14:paraId="532BFFF0" w14:textId="77777777" w:rsidR="00F50FC7" w:rsidRDefault="00F50FC7" w:rsidP="005B4014">
            <w:pPr>
              <w:jc w:val="center"/>
              <w:rPr>
                <w:iCs/>
                <w:sz w:val="18"/>
                <w:szCs w:val="18"/>
              </w:rPr>
            </w:pPr>
          </w:p>
          <w:p w14:paraId="5A068303" w14:textId="11D1B801" w:rsidR="00F50FC7" w:rsidRDefault="00F50FC7" w:rsidP="005B4014">
            <w:pPr>
              <w:jc w:val="center"/>
              <w:rPr>
                <w:iCs/>
                <w:sz w:val="18"/>
                <w:szCs w:val="18"/>
              </w:rPr>
            </w:pPr>
            <w:r>
              <w:rPr>
                <w:iCs/>
                <w:sz w:val="18"/>
                <w:szCs w:val="18"/>
              </w:rPr>
              <w:t>90,6</w:t>
            </w:r>
            <w:r w:rsidR="00215050">
              <w:rPr>
                <w:iCs/>
                <w:sz w:val="18"/>
                <w:szCs w:val="18"/>
              </w:rPr>
              <w:t> </w:t>
            </w:r>
            <w:r>
              <w:rPr>
                <w:iCs/>
                <w:sz w:val="18"/>
                <w:szCs w:val="18"/>
              </w:rPr>
              <w:t>%</w:t>
            </w:r>
          </w:p>
          <w:p w14:paraId="46DCE859" w14:textId="77777777" w:rsidR="00F50FC7" w:rsidRDefault="00F50FC7" w:rsidP="005B4014">
            <w:pPr>
              <w:jc w:val="center"/>
              <w:rPr>
                <w:iCs/>
                <w:sz w:val="18"/>
                <w:szCs w:val="18"/>
              </w:rPr>
            </w:pPr>
          </w:p>
          <w:p w14:paraId="23CA8B81" w14:textId="174D3EB8" w:rsidR="00F50FC7" w:rsidRDefault="00F50FC7" w:rsidP="005B4014">
            <w:pPr>
              <w:jc w:val="center"/>
              <w:rPr>
                <w:iCs/>
                <w:sz w:val="18"/>
                <w:szCs w:val="18"/>
              </w:rPr>
            </w:pPr>
            <w:r>
              <w:rPr>
                <w:iCs/>
                <w:sz w:val="18"/>
                <w:szCs w:val="18"/>
              </w:rPr>
              <w:t>100</w:t>
            </w:r>
            <w:r w:rsidR="00215050">
              <w:rPr>
                <w:iCs/>
                <w:sz w:val="18"/>
                <w:szCs w:val="18"/>
              </w:rPr>
              <w:t> </w:t>
            </w:r>
            <w:r>
              <w:rPr>
                <w:iCs/>
                <w:sz w:val="18"/>
                <w:szCs w:val="18"/>
              </w:rPr>
              <w:t>%</w:t>
            </w:r>
          </w:p>
          <w:p w14:paraId="2C56A04B" w14:textId="096BE892" w:rsidR="00F50FC7" w:rsidRDefault="00F50FC7" w:rsidP="005B4014">
            <w:pPr>
              <w:jc w:val="center"/>
              <w:rPr>
                <w:iCs/>
                <w:sz w:val="18"/>
                <w:szCs w:val="18"/>
              </w:rPr>
            </w:pPr>
            <w:r>
              <w:rPr>
                <w:iCs/>
                <w:sz w:val="18"/>
                <w:szCs w:val="18"/>
              </w:rPr>
              <w:t>94,8</w:t>
            </w:r>
            <w:r w:rsidR="00215050">
              <w:rPr>
                <w:iCs/>
                <w:sz w:val="18"/>
                <w:szCs w:val="18"/>
              </w:rPr>
              <w:t> </w:t>
            </w:r>
            <w:r>
              <w:rPr>
                <w:iCs/>
                <w:sz w:val="18"/>
                <w:szCs w:val="18"/>
              </w:rPr>
              <w:t>%</w:t>
            </w:r>
          </w:p>
        </w:tc>
        <w:tc>
          <w:tcPr>
            <w:tcW w:w="849" w:type="dxa"/>
            <w:tcBorders>
              <w:top w:val="single"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12501B37" w14:textId="77777777" w:rsidR="00F50FC7" w:rsidRDefault="00F50FC7" w:rsidP="005B4014">
            <w:pPr>
              <w:jc w:val="center"/>
              <w:rPr>
                <w:iCs/>
                <w:sz w:val="18"/>
                <w:szCs w:val="18"/>
              </w:rPr>
            </w:pPr>
          </w:p>
          <w:p w14:paraId="2630C8C6" w14:textId="77777777" w:rsidR="00F50FC7" w:rsidRDefault="00F50FC7" w:rsidP="005B4014">
            <w:pPr>
              <w:jc w:val="center"/>
              <w:rPr>
                <w:iCs/>
                <w:sz w:val="18"/>
                <w:szCs w:val="18"/>
              </w:rPr>
            </w:pPr>
          </w:p>
          <w:p w14:paraId="38932BD2" w14:textId="0BC5E6B5" w:rsidR="00F50FC7" w:rsidRDefault="00F50FC7" w:rsidP="005B4014">
            <w:pPr>
              <w:jc w:val="center"/>
              <w:rPr>
                <w:iCs/>
                <w:sz w:val="18"/>
                <w:szCs w:val="18"/>
              </w:rPr>
            </w:pPr>
            <w:r>
              <w:rPr>
                <w:iCs/>
                <w:sz w:val="18"/>
                <w:szCs w:val="18"/>
              </w:rPr>
              <w:t>81,6</w:t>
            </w:r>
            <w:r w:rsidR="00215050">
              <w:rPr>
                <w:iCs/>
                <w:sz w:val="18"/>
                <w:szCs w:val="18"/>
              </w:rPr>
              <w:t> </w:t>
            </w:r>
            <w:r>
              <w:rPr>
                <w:iCs/>
                <w:sz w:val="18"/>
                <w:szCs w:val="18"/>
              </w:rPr>
              <w:t>%</w:t>
            </w:r>
          </w:p>
          <w:p w14:paraId="0104F39B" w14:textId="77777777" w:rsidR="00F50FC7" w:rsidRDefault="00F50FC7" w:rsidP="005B4014">
            <w:pPr>
              <w:jc w:val="center"/>
              <w:rPr>
                <w:iCs/>
                <w:sz w:val="18"/>
                <w:szCs w:val="18"/>
              </w:rPr>
            </w:pPr>
          </w:p>
          <w:p w14:paraId="36022C65" w14:textId="42307409" w:rsidR="00F50FC7" w:rsidRDefault="00F50FC7" w:rsidP="005B4014">
            <w:pPr>
              <w:jc w:val="center"/>
              <w:rPr>
                <w:iCs/>
                <w:sz w:val="18"/>
                <w:szCs w:val="18"/>
              </w:rPr>
            </w:pPr>
            <w:r>
              <w:rPr>
                <w:iCs/>
                <w:sz w:val="18"/>
                <w:szCs w:val="18"/>
              </w:rPr>
              <w:t>100</w:t>
            </w:r>
            <w:r w:rsidR="00215050">
              <w:rPr>
                <w:iCs/>
                <w:sz w:val="18"/>
                <w:szCs w:val="18"/>
              </w:rPr>
              <w:t> </w:t>
            </w:r>
            <w:r>
              <w:rPr>
                <w:iCs/>
                <w:sz w:val="18"/>
                <w:szCs w:val="18"/>
              </w:rPr>
              <w:t>%</w:t>
            </w:r>
          </w:p>
          <w:p w14:paraId="0C6DE32E" w14:textId="57E065A5" w:rsidR="00F50FC7" w:rsidRDefault="00F50FC7" w:rsidP="005B4014">
            <w:pPr>
              <w:jc w:val="center"/>
              <w:rPr>
                <w:iCs/>
                <w:sz w:val="18"/>
                <w:szCs w:val="18"/>
              </w:rPr>
            </w:pPr>
            <w:r>
              <w:rPr>
                <w:iCs/>
                <w:sz w:val="18"/>
                <w:szCs w:val="18"/>
              </w:rPr>
              <w:t>99,2</w:t>
            </w:r>
            <w:r w:rsidR="00215050">
              <w:rPr>
                <w:iCs/>
                <w:sz w:val="18"/>
                <w:szCs w:val="18"/>
              </w:rPr>
              <w:t> </w:t>
            </w:r>
            <w:r>
              <w:rPr>
                <w:iCs/>
                <w:sz w:val="18"/>
                <w:szCs w:val="18"/>
              </w:rPr>
              <w:t>%</w:t>
            </w:r>
          </w:p>
        </w:tc>
        <w:tc>
          <w:tcPr>
            <w:tcW w:w="853" w:type="dxa"/>
            <w:tcBorders>
              <w:top w:val="single" w:sz="4" w:space="0" w:color="000000"/>
              <w:left w:val="single" w:sz="4" w:space="0" w:color="000000"/>
              <w:bottom w:val="single" w:sz="4" w:space="0" w:color="000000"/>
              <w:right w:val="dashed" w:sz="4" w:space="0" w:color="000000"/>
            </w:tcBorders>
            <w:tcMar>
              <w:top w:w="0" w:type="dxa"/>
              <w:left w:w="108" w:type="dxa"/>
              <w:bottom w:w="0" w:type="dxa"/>
              <w:right w:w="108" w:type="dxa"/>
            </w:tcMar>
          </w:tcPr>
          <w:p w14:paraId="6EB11B66" w14:textId="77777777" w:rsidR="00F50FC7" w:rsidRDefault="00F50FC7" w:rsidP="005B4014">
            <w:pPr>
              <w:jc w:val="center"/>
              <w:rPr>
                <w:iCs/>
                <w:sz w:val="18"/>
                <w:szCs w:val="18"/>
              </w:rPr>
            </w:pPr>
          </w:p>
          <w:p w14:paraId="1B750108" w14:textId="77777777" w:rsidR="00F50FC7" w:rsidRDefault="00F50FC7" w:rsidP="005B4014">
            <w:pPr>
              <w:jc w:val="center"/>
              <w:rPr>
                <w:iCs/>
                <w:sz w:val="18"/>
                <w:szCs w:val="18"/>
              </w:rPr>
            </w:pPr>
          </w:p>
          <w:p w14:paraId="72B555D0" w14:textId="24606BAD" w:rsidR="00F50FC7" w:rsidRDefault="00F50FC7" w:rsidP="005B4014">
            <w:pPr>
              <w:jc w:val="center"/>
              <w:rPr>
                <w:iCs/>
                <w:sz w:val="18"/>
                <w:szCs w:val="18"/>
              </w:rPr>
            </w:pPr>
            <w:r>
              <w:rPr>
                <w:iCs/>
                <w:sz w:val="18"/>
                <w:szCs w:val="18"/>
              </w:rPr>
              <w:t>89,5</w:t>
            </w:r>
            <w:r w:rsidR="00215050">
              <w:rPr>
                <w:iCs/>
                <w:sz w:val="18"/>
                <w:szCs w:val="18"/>
              </w:rPr>
              <w:t> </w:t>
            </w:r>
            <w:r>
              <w:rPr>
                <w:iCs/>
                <w:sz w:val="18"/>
                <w:szCs w:val="18"/>
              </w:rPr>
              <w:t>%</w:t>
            </w:r>
          </w:p>
          <w:p w14:paraId="31A9F876" w14:textId="77777777" w:rsidR="00F50FC7" w:rsidRDefault="00F50FC7" w:rsidP="005B4014">
            <w:pPr>
              <w:jc w:val="center"/>
              <w:rPr>
                <w:iCs/>
                <w:sz w:val="18"/>
                <w:szCs w:val="18"/>
              </w:rPr>
            </w:pPr>
          </w:p>
          <w:p w14:paraId="60AD8FEC" w14:textId="220FA204" w:rsidR="00F50FC7" w:rsidRDefault="00F50FC7" w:rsidP="005B4014">
            <w:pPr>
              <w:jc w:val="center"/>
              <w:rPr>
                <w:iCs/>
                <w:sz w:val="18"/>
                <w:szCs w:val="18"/>
              </w:rPr>
            </w:pPr>
            <w:r>
              <w:rPr>
                <w:iCs/>
                <w:sz w:val="18"/>
                <w:szCs w:val="18"/>
              </w:rPr>
              <w:t>100</w:t>
            </w:r>
            <w:r w:rsidR="00215050">
              <w:rPr>
                <w:iCs/>
                <w:sz w:val="18"/>
                <w:szCs w:val="18"/>
              </w:rPr>
              <w:t> </w:t>
            </w:r>
            <w:r>
              <w:rPr>
                <w:iCs/>
                <w:sz w:val="18"/>
                <w:szCs w:val="18"/>
              </w:rPr>
              <w:t>%</w:t>
            </w:r>
          </w:p>
          <w:p w14:paraId="7D772E64" w14:textId="4CC748F2" w:rsidR="00F50FC7" w:rsidRDefault="00F50FC7" w:rsidP="005B4014">
            <w:pPr>
              <w:jc w:val="center"/>
              <w:rPr>
                <w:iCs/>
                <w:sz w:val="18"/>
                <w:szCs w:val="18"/>
              </w:rPr>
            </w:pPr>
            <w:r>
              <w:rPr>
                <w:iCs/>
                <w:sz w:val="18"/>
                <w:szCs w:val="18"/>
              </w:rPr>
              <w:t>95,0</w:t>
            </w:r>
            <w:r w:rsidR="00215050">
              <w:rPr>
                <w:iCs/>
                <w:sz w:val="18"/>
                <w:szCs w:val="18"/>
              </w:rPr>
              <w:t> </w:t>
            </w:r>
            <w:r>
              <w:rPr>
                <w:iCs/>
                <w:sz w:val="18"/>
                <w:szCs w:val="18"/>
              </w:rPr>
              <w:t>%</w:t>
            </w:r>
          </w:p>
        </w:tc>
        <w:tc>
          <w:tcPr>
            <w:tcW w:w="849" w:type="dxa"/>
            <w:tcBorders>
              <w:top w:val="single"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603BB47A" w14:textId="77777777" w:rsidR="00F50FC7" w:rsidRDefault="00F50FC7" w:rsidP="005B4014">
            <w:pPr>
              <w:jc w:val="center"/>
              <w:rPr>
                <w:iCs/>
                <w:sz w:val="18"/>
                <w:szCs w:val="18"/>
              </w:rPr>
            </w:pPr>
          </w:p>
          <w:p w14:paraId="6D8799CA" w14:textId="77777777" w:rsidR="00F50FC7" w:rsidRDefault="00F50FC7" w:rsidP="005B4014">
            <w:pPr>
              <w:jc w:val="center"/>
              <w:rPr>
                <w:iCs/>
                <w:sz w:val="18"/>
                <w:szCs w:val="18"/>
              </w:rPr>
            </w:pPr>
          </w:p>
          <w:p w14:paraId="0623C2B0" w14:textId="14464F6C" w:rsidR="00F50FC7" w:rsidRDefault="00F50FC7" w:rsidP="005B4014">
            <w:pPr>
              <w:jc w:val="center"/>
              <w:rPr>
                <w:iCs/>
                <w:sz w:val="18"/>
                <w:szCs w:val="18"/>
              </w:rPr>
            </w:pPr>
            <w:r>
              <w:rPr>
                <w:iCs/>
                <w:sz w:val="18"/>
                <w:szCs w:val="18"/>
              </w:rPr>
              <w:t>76,8</w:t>
            </w:r>
            <w:r w:rsidR="00215050">
              <w:rPr>
                <w:iCs/>
                <w:sz w:val="18"/>
                <w:szCs w:val="18"/>
              </w:rPr>
              <w:t> </w:t>
            </w:r>
            <w:r>
              <w:rPr>
                <w:iCs/>
                <w:sz w:val="18"/>
                <w:szCs w:val="18"/>
              </w:rPr>
              <w:t>%</w:t>
            </w:r>
          </w:p>
          <w:p w14:paraId="24F0876C" w14:textId="77777777" w:rsidR="00F50FC7" w:rsidRDefault="00F50FC7" w:rsidP="005B4014">
            <w:pPr>
              <w:jc w:val="center"/>
              <w:rPr>
                <w:iCs/>
                <w:sz w:val="18"/>
                <w:szCs w:val="18"/>
              </w:rPr>
            </w:pPr>
          </w:p>
          <w:p w14:paraId="3A87F787" w14:textId="68619E1A" w:rsidR="00F50FC7" w:rsidRDefault="00F50FC7" w:rsidP="005B4014">
            <w:pPr>
              <w:jc w:val="center"/>
              <w:rPr>
                <w:iCs/>
                <w:sz w:val="18"/>
                <w:szCs w:val="18"/>
              </w:rPr>
            </w:pPr>
            <w:r>
              <w:rPr>
                <w:iCs/>
                <w:sz w:val="18"/>
                <w:szCs w:val="18"/>
              </w:rPr>
              <w:t>100</w:t>
            </w:r>
            <w:r w:rsidR="00215050">
              <w:rPr>
                <w:iCs/>
                <w:sz w:val="18"/>
                <w:szCs w:val="18"/>
              </w:rPr>
              <w:t> </w:t>
            </w:r>
            <w:r>
              <w:rPr>
                <w:iCs/>
                <w:sz w:val="18"/>
                <w:szCs w:val="18"/>
              </w:rPr>
              <w:t>%</w:t>
            </w:r>
          </w:p>
          <w:p w14:paraId="0D2FBFDA" w14:textId="03FB2A4F" w:rsidR="00F50FC7" w:rsidRDefault="00F50FC7" w:rsidP="005B4014">
            <w:pPr>
              <w:jc w:val="center"/>
              <w:rPr>
                <w:iCs/>
                <w:sz w:val="18"/>
                <w:szCs w:val="18"/>
              </w:rPr>
            </w:pPr>
            <w:r>
              <w:rPr>
                <w:iCs/>
                <w:sz w:val="18"/>
                <w:szCs w:val="18"/>
              </w:rPr>
              <w:t>98,1</w:t>
            </w:r>
            <w:r w:rsidR="00215050">
              <w:rPr>
                <w:iCs/>
                <w:sz w:val="18"/>
                <w:szCs w:val="18"/>
              </w:rPr>
              <w:t> </w:t>
            </w:r>
            <w:r>
              <w:rPr>
                <w:iCs/>
                <w:sz w:val="18"/>
                <w:szCs w:val="18"/>
              </w:rPr>
              <w:t>%</w:t>
            </w:r>
          </w:p>
        </w:tc>
        <w:tc>
          <w:tcPr>
            <w:tcW w:w="853" w:type="dxa"/>
            <w:tcBorders>
              <w:top w:val="single" w:sz="4" w:space="0" w:color="000000"/>
              <w:left w:val="single" w:sz="4" w:space="0" w:color="000000"/>
              <w:bottom w:val="single" w:sz="4" w:space="0" w:color="000000"/>
              <w:right w:val="dashed" w:sz="4" w:space="0" w:color="000000"/>
            </w:tcBorders>
            <w:tcMar>
              <w:top w:w="0" w:type="dxa"/>
              <w:left w:w="108" w:type="dxa"/>
              <w:bottom w:w="0" w:type="dxa"/>
              <w:right w:w="108" w:type="dxa"/>
            </w:tcMar>
          </w:tcPr>
          <w:p w14:paraId="7BDFBE72" w14:textId="77777777" w:rsidR="00F50FC7" w:rsidRDefault="00F50FC7" w:rsidP="005B4014">
            <w:pPr>
              <w:jc w:val="center"/>
              <w:rPr>
                <w:iCs/>
                <w:sz w:val="18"/>
                <w:szCs w:val="18"/>
              </w:rPr>
            </w:pPr>
          </w:p>
          <w:p w14:paraId="519A1AB7" w14:textId="77777777" w:rsidR="00F50FC7" w:rsidRDefault="00F50FC7" w:rsidP="005B4014">
            <w:pPr>
              <w:jc w:val="center"/>
              <w:rPr>
                <w:iCs/>
                <w:sz w:val="18"/>
                <w:szCs w:val="18"/>
              </w:rPr>
            </w:pPr>
          </w:p>
          <w:p w14:paraId="1FFFCFB3" w14:textId="2BF25572" w:rsidR="00F50FC7" w:rsidRDefault="00F50FC7" w:rsidP="005B4014">
            <w:pPr>
              <w:jc w:val="center"/>
              <w:rPr>
                <w:iCs/>
                <w:sz w:val="18"/>
                <w:szCs w:val="18"/>
              </w:rPr>
            </w:pPr>
            <w:r>
              <w:rPr>
                <w:iCs/>
                <w:sz w:val="18"/>
                <w:szCs w:val="18"/>
              </w:rPr>
              <w:t>85,6</w:t>
            </w:r>
            <w:r w:rsidR="00215050">
              <w:rPr>
                <w:iCs/>
                <w:sz w:val="18"/>
                <w:szCs w:val="18"/>
              </w:rPr>
              <w:t> </w:t>
            </w:r>
            <w:r>
              <w:rPr>
                <w:iCs/>
                <w:sz w:val="18"/>
                <w:szCs w:val="18"/>
              </w:rPr>
              <w:t>%</w:t>
            </w:r>
          </w:p>
          <w:p w14:paraId="33CFCB1D" w14:textId="77777777" w:rsidR="00F50FC7" w:rsidRDefault="00F50FC7" w:rsidP="005B4014">
            <w:pPr>
              <w:jc w:val="center"/>
              <w:rPr>
                <w:iCs/>
                <w:sz w:val="18"/>
                <w:szCs w:val="18"/>
              </w:rPr>
            </w:pPr>
          </w:p>
          <w:p w14:paraId="45AFDD25" w14:textId="0AC4CB29" w:rsidR="00F50FC7" w:rsidRDefault="00F50FC7" w:rsidP="005B4014">
            <w:pPr>
              <w:jc w:val="center"/>
              <w:rPr>
                <w:iCs/>
                <w:sz w:val="18"/>
                <w:szCs w:val="18"/>
              </w:rPr>
            </w:pPr>
            <w:r>
              <w:rPr>
                <w:iCs/>
                <w:sz w:val="18"/>
                <w:szCs w:val="18"/>
              </w:rPr>
              <w:t>99,4</w:t>
            </w:r>
            <w:r w:rsidR="00215050">
              <w:rPr>
                <w:iCs/>
                <w:sz w:val="18"/>
                <w:szCs w:val="18"/>
              </w:rPr>
              <w:t> </w:t>
            </w:r>
            <w:r>
              <w:rPr>
                <w:iCs/>
                <w:sz w:val="18"/>
                <w:szCs w:val="18"/>
              </w:rPr>
              <w:t>%</w:t>
            </w:r>
          </w:p>
          <w:p w14:paraId="06C3A478" w14:textId="3AB2A814" w:rsidR="00F50FC7" w:rsidRDefault="00F50FC7" w:rsidP="005B4014">
            <w:pPr>
              <w:jc w:val="center"/>
              <w:rPr>
                <w:iCs/>
                <w:sz w:val="18"/>
                <w:szCs w:val="18"/>
              </w:rPr>
            </w:pPr>
            <w:r>
              <w:rPr>
                <w:iCs/>
                <w:sz w:val="18"/>
                <w:szCs w:val="18"/>
              </w:rPr>
              <w:t>95,0</w:t>
            </w:r>
            <w:r w:rsidR="00215050">
              <w:rPr>
                <w:iCs/>
                <w:sz w:val="18"/>
                <w:szCs w:val="18"/>
              </w:rPr>
              <w:t> </w:t>
            </w:r>
            <w:r>
              <w:rPr>
                <w:iCs/>
                <w:sz w:val="18"/>
                <w:szCs w:val="18"/>
              </w:rPr>
              <w:t>%</w:t>
            </w:r>
          </w:p>
        </w:tc>
        <w:tc>
          <w:tcPr>
            <w:tcW w:w="849" w:type="dxa"/>
            <w:tcBorders>
              <w:top w:val="single"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1A8942C6" w14:textId="77777777" w:rsidR="00F50FC7" w:rsidRDefault="00F50FC7" w:rsidP="005B4014">
            <w:pPr>
              <w:jc w:val="center"/>
              <w:rPr>
                <w:iCs/>
                <w:sz w:val="18"/>
                <w:szCs w:val="18"/>
              </w:rPr>
            </w:pPr>
          </w:p>
          <w:p w14:paraId="1ED35BBB" w14:textId="77777777" w:rsidR="00F50FC7" w:rsidRDefault="00F50FC7" w:rsidP="005B4014">
            <w:pPr>
              <w:jc w:val="center"/>
              <w:rPr>
                <w:iCs/>
                <w:sz w:val="18"/>
                <w:szCs w:val="18"/>
              </w:rPr>
            </w:pPr>
          </w:p>
          <w:p w14:paraId="2D72D872" w14:textId="3D8F6706" w:rsidR="00F50FC7" w:rsidRDefault="00F50FC7" w:rsidP="005B4014">
            <w:pPr>
              <w:jc w:val="center"/>
              <w:rPr>
                <w:iCs/>
                <w:sz w:val="18"/>
                <w:szCs w:val="18"/>
              </w:rPr>
            </w:pPr>
            <w:r>
              <w:rPr>
                <w:iCs/>
                <w:sz w:val="18"/>
                <w:szCs w:val="18"/>
              </w:rPr>
              <w:t>61,3</w:t>
            </w:r>
            <w:r w:rsidR="007872C2">
              <w:rPr>
                <w:iCs/>
                <w:sz w:val="18"/>
                <w:szCs w:val="18"/>
              </w:rPr>
              <w:t> </w:t>
            </w:r>
            <w:r>
              <w:rPr>
                <w:iCs/>
                <w:sz w:val="18"/>
                <w:szCs w:val="18"/>
              </w:rPr>
              <w:t>%</w:t>
            </w:r>
          </w:p>
          <w:p w14:paraId="29E65A24" w14:textId="77777777" w:rsidR="00F50FC7" w:rsidRDefault="00F50FC7" w:rsidP="005B4014">
            <w:pPr>
              <w:jc w:val="center"/>
              <w:rPr>
                <w:iCs/>
                <w:sz w:val="18"/>
                <w:szCs w:val="18"/>
              </w:rPr>
            </w:pPr>
          </w:p>
          <w:p w14:paraId="051CF0EC" w14:textId="707B1988" w:rsidR="00F50FC7" w:rsidRDefault="00F50FC7" w:rsidP="005B4014">
            <w:pPr>
              <w:jc w:val="center"/>
              <w:rPr>
                <w:iCs/>
                <w:sz w:val="18"/>
                <w:szCs w:val="18"/>
              </w:rPr>
            </w:pPr>
            <w:r>
              <w:rPr>
                <w:iCs/>
                <w:sz w:val="18"/>
                <w:szCs w:val="18"/>
              </w:rPr>
              <w:t>100</w:t>
            </w:r>
            <w:r w:rsidR="007872C2">
              <w:rPr>
                <w:iCs/>
                <w:sz w:val="18"/>
                <w:szCs w:val="18"/>
              </w:rPr>
              <w:t> </w:t>
            </w:r>
            <w:r>
              <w:rPr>
                <w:iCs/>
                <w:sz w:val="18"/>
                <w:szCs w:val="18"/>
              </w:rPr>
              <w:t>%</w:t>
            </w:r>
          </w:p>
          <w:p w14:paraId="4253390B" w14:textId="4BF344F0" w:rsidR="00F50FC7" w:rsidRDefault="00F50FC7" w:rsidP="005B4014">
            <w:pPr>
              <w:jc w:val="center"/>
              <w:rPr>
                <w:iCs/>
                <w:sz w:val="18"/>
                <w:szCs w:val="18"/>
              </w:rPr>
            </w:pPr>
            <w:r>
              <w:rPr>
                <w:iCs/>
                <w:sz w:val="18"/>
                <w:szCs w:val="18"/>
              </w:rPr>
              <w:t>96,0</w:t>
            </w:r>
            <w:r w:rsidR="007872C2">
              <w:rPr>
                <w:iCs/>
                <w:sz w:val="18"/>
                <w:szCs w:val="18"/>
              </w:rPr>
              <w:t> </w:t>
            </w:r>
            <w:r w:rsidR="007872C2">
              <w:rPr>
                <w:iCs/>
                <w:sz w:val="18"/>
                <w:szCs w:val="18"/>
                <w:lang w:val="en-US"/>
              </w:rPr>
              <w:t>%</w:t>
            </w:r>
          </w:p>
        </w:tc>
        <w:tc>
          <w:tcPr>
            <w:tcW w:w="1134" w:type="dxa"/>
            <w:tcBorders>
              <w:top w:val="single"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0DC03464" w14:textId="77777777" w:rsidR="00F50FC7" w:rsidRDefault="00F50FC7" w:rsidP="005B4014">
            <w:pPr>
              <w:keepNext/>
              <w:jc w:val="center"/>
              <w:rPr>
                <w:iCs/>
                <w:sz w:val="18"/>
                <w:szCs w:val="18"/>
              </w:rPr>
            </w:pPr>
          </w:p>
          <w:p w14:paraId="21A68831" w14:textId="77777777" w:rsidR="00F50FC7" w:rsidRDefault="00F50FC7" w:rsidP="005B4014">
            <w:pPr>
              <w:keepNext/>
              <w:jc w:val="center"/>
              <w:rPr>
                <w:iCs/>
                <w:sz w:val="18"/>
                <w:szCs w:val="18"/>
              </w:rPr>
            </w:pPr>
          </w:p>
          <w:p w14:paraId="0CC38B8F" w14:textId="75CA8055" w:rsidR="00F50FC7" w:rsidRDefault="00F50FC7" w:rsidP="005B4014">
            <w:pPr>
              <w:keepNext/>
              <w:jc w:val="center"/>
              <w:rPr>
                <w:iCs/>
                <w:sz w:val="18"/>
                <w:szCs w:val="18"/>
              </w:rPr>
            </w:pPr>
            <w:r>
              <w:rPr>
                <w:iCs/>
                <w:sz w:val="18"/>
                <w:szCs w:val="18"/>
              </w:rPr>
              <w:t>58,7</w:t>
            </w:r>
            <w:r w:rsidR="007872C2">
              <w:rPr>
                <w:iCs/>
                <w:sz w:val="18"/>
                <w:szCs w:val="18"/>
              </w:rPr>
              <w:t> </w:t>
            </w:r>
            <w:r>
              <w:rPr>
                <w:iCs/>
                <w:sz w:val="18"/>
                <w:szCs w:val="18"/>
              </w:rPr>
              <w:t>%</w:t>
            </w:r>
          </w:p>
          <w:p w14:paraId="44CD9290" w14:textId="77777777" w:rsidR="00F50FC7" w:rsidRDefault="00F50FC7" w:rsidP="005B4014">
            <w:pPr>
              <w:keepNext/>
              <w:jc w:val="center"/>
              <w:rPr>
                <w:iCs/>
                <w:sz w:val="18"/>
                <w:szCs w:val="18"/>
              </w:rPr>
            </w:pPr>
          </w:p>
          <w:p w14:paraId="1D7C7F32" w14:textId="74AA2C38" w:rsidR="00F50FC7" w:rsidRDefault="00F50FC7" w:rsidP="005B4014">
            <w:pPr>
              <w:keepNext/>
              <w:jc w:val="center"/>
              <w:rPr>
                <w:iCs/>
                <w:sz w:val="18"/>
                <w:szCs w:val="18"/>
              </w:rPr>
            </w:pPr>
            <w:r>
              <w:rPr>
                <w:iCs/>
                <w:sz w:val="18"/>
                <w:szCs w:val="18"/>
              </w:rPr>
              <w:t>100</w:t>
            </w:r>
            <w:r w:rsidR="007872C2">
              <w:rPr>
                <w:iCs/>
                <w:sz w:val="18"/>
                <w:szCs w:val="18"/>
              </w:rPr>
              <w:t> </w:t>
            </w:r>
            <w:r>
              <w:rPr>
                <w:iCs/>
                <w:sz w:val="18"/>
                <w:szCs w:val="18"/>
              </w:rPr>
              <w:t>%</w:t>
            </w:r>
          </w:p>
          <w:p w14:paraId="4C2875AF" w14:textId="3F6F5D8D" w:rsidR="00F50FC7" w:rsidRDefault="00F50FC7" w:rsidP="005B4014">
            <w:pPr>
              <w:keepNext/>
              <w:jc w:val="center"/>
              <w:rPr>
                <w:iCs/>
                <w:sz w:val="18"/>
                <w:szCs w:val="18"/>
              </w:rPr>
            </w:pPr>
            <w:r>
              <w:rPr>
                <w:iCs/>
                <w:sz w:val="18"/>
                <w:szCs w:val="18"/>
              </w:rPr>
              <w:t>99,2</w:t>
            </w:r>
            <w:r w:rsidR="007872C2">
              <w:rPr>
                <w:iCs/>
                <w:sz w:val="18"/>
                <w:szCs w:val="18"/>
              </w:rPr>
              <w:t> </w:t>
            </w:r>
            <w:r>
              <w:rPr>
                <w:iCs/>
                <w:sz w:val="18"/>
                <w:szCs w:val="18"/>
              </w:rPr>
              <w:t>%</w:t>
            </w:r>
          </w:p>
        </w:tc>
        <w:tc>
          <w:tcPr>
            <w:tcW w:w="992" w:type="dxa"/>
            <w:tcBorders>
              <w:top w:val="single" w:sz="4" w:space="0" w:color="000000"/>
              <w:left w:val="dashed" w:sz="4" w:space="0" w:color="000000"/>
              <w:bottom w:val="single" w:sz="4" w:space="0" w:color="000000"/>
              <w:right w:val="single" w:sz="4" w:space="0" w:color="000000"/>
            </w:tcBorders>
            <w:tcMar>
              <w:top w:w="0" w:type="dxa"/>
              <w:left w:w="108" w:type="dxa"/>
              <w:bottom w:w="0" w:type="dxa"/>
              <w:right w:w="108" w:type="dxa"/>
            </w:tcMar>
          </w:tcPr>
          <w:p w14:paraId="47379038" w14:textId="77777777" w:rsidR="00F50FC7" w:rsidRDefault="00F50FC7" w:rsidP="005B4014">
            <w:pPr>
              <w:keepNext/>
              <w:jc w:val="center"/>
              <w:rPr>
                <w:iCs/>
                <w:sz w:val="18"/>
                <w:szCs w:val="18"/>
              </w:rPr>
            </w:pPr>
          </w:p>
          <w:p w14:paraId="39A47F6C" w14:textId="77777777" w:rsidR="00F50FC7" w:rsidRDefault="00F50FC7" w:rsidP="005B4014">
            <w:pPr>
              <w:keepNext/>
              <w:jc w:val="center"/>
              <w:rPr>
                <w:iCs/>
                <w:sz w:val="18"/>
                <w:szCs w:val="18"/>
              </w:rPr>
            </w:pPr>
          </w:p>
          <w:p w14:paraId="76B92C38" w14:textId="2E64B1C8" w:rsidR="00F50FC7" w:rsidRDefault="00F50FC7" w:rsidP="005B4014">
            <w:pPr>
              <w:keepNext/>
              <w:jc w:val="center"/>
              <w:rPr>
                <w:iCs/>
                <w:sz w:val="18"/>
                <w:szCs w:val="18"/>
              </w:rPr>
            </w:pPr>
            <w:r>
              <w:rPr>
                <w:iCs/>
                <w:sz w:val="18"/>
                <w:szCs w:val="18"/>
              </w:rPr>
              <w:t>51,5</w:t>
            </w:r>
            <w:r w:rsidR="007872C2">
              <w:rPr>
                <w:iCs/>
                <w:sz w:val="18"/>
                <w:szCs w:val="18"/>
              </w:rPr>
              <w:t> </w:t>
            </w:r>
            <w:r>
              <w:rPr>
                <w:iCs/>
                <w:sz w:val="18"/>
                <w:szCs w:val="18"/>
              </w:rPr>
              <w:t>%</w:t>
            </w:r>
          </w:p>
          <w:p w14:paraId="38E26651" w14:textId="77777777" w:rsidR="00F50FC7" w:rsidRDefault="00F50FC7" w:rsidP="005B4014">
            <w:pPr>
              <w:keepNext/>
              <w:jc w:val="center"/>
              <w:rPr>
                <w:iCs/>
                <w:sz w:val="18"/>
                <w:szCs w:val="18"/>
              </w:rPr>
            </w:pPr>
          </w:p>
          <w:p w14:paraId="607C0292" w14:textId="68050B0A" w:rsidR="00F50FC7" w:rsidRDefault="00F50FC7" w:rsidP="005B4014">
            <w:pPr>
              <w:keepNext/>
              <w:jc w:val="center"/>
              <w:rPr>
                <w:iCs/>
                <w:sz w:val="18"/>
                <w:szCs w:val="18"/>
              </w:rPr>
            </w:pPr>
            <w:r>
              <w:rPr>
                <w:iCs/>
                <w:sz w:val="18"/>
                <w:szCs w:val="18"/>
              </w:rPr>
              <w:t>100</w:t>
            </w:r>
            <w:r w:rsidR="007872C2">
              <w:rPr>
                <w:iCs/>
                <w:sz w:val="18"/>
                <w:szCs w:val="18"/>
              </w:rPr>
              <w:t> </w:t>
            </w:r>
            <w:r>
              <w:rPr>
                <w:iCs/>
                <w:sz w:val="18"/>
                <w:szCs w:val="18"/>
              </w:rPr>
              <w:t>%</w:t>
            </w:r>
          </w:p>
          <w:p w14:paraId="107B9061" w14:textId="2485601E" w:rsidR="00F50FC7" w:rsidRDefault="00F50FC7" w:rsidP="005B4014">
            <w:pPr>
              <w:keepNext/>
              <w:jc w:val="center"/>
              <w:rPr>
                <w:iCs/>
                <w:sz w:val="18"/>
                <w:szCs w:val="18"/>
              </w:rPr>
            </w:pPr>
            <w:r>
              <w:rPr>
                <w:iCs/>
                <w:sz w:val="18"/>
                <w:szCs w:val="18"/>
              </w:rPr>
              <w:t>100</w:t>
            </w:r>
            <w:r w:rsidR="007872C2">
              <w:rPr>
                <w:iCs/>
                <w:sz w:val="18"/>
                <w:szCs w:val="18"/>
              </w:rPr>
              <w:t> </w:t>
            </w:r>
            <w:r>
              <w:rPr>
                <w:iCs/>
                <w:sz w:val="18"/>
                <w:szCs w:val="18"/>
              </w:rPr>
              <w:t>%</w:t>
            </w:r>
          </w:p>
        </w:tc>
      </w:tr>
    </w:tbl>
    <w:p w14:paraId="1BDE3C69" w14:textId="4EA87810" w:rsidR="00F50FC7" w:rsidRDefault="00F50FC7" w:rsidP="00F50FC7">
      <w:pPr>
        <w:pStyle w:val="Pagrindinistekstas2"/>
        <w:tabs>
          <w:tab w:val="left" w:pos="567"/>
        </w:tabs>
        <w:spacing w:after="0" w:line="240" w:lineRule="auto"/>
      </w:pPr>
      <w:r>
        <w:rPr>
          <w:sz w:val="22"/>
          <w:szCs w:val="22"/>
          <w:vertAlign w:val="superscript"/>
        </w:rPr>
        <w:t>(1)</w:t>
      </w:r>
      <w:r w:rsidR="00646560">
        <w:rPr>
          <w:sz w:val="22"/>
          <w:szCs w:val="22"/>
          <w:vertAlign w:val="superscript"/>
        </w:rPr>
        <w:t> </w:t>
      </w:r>
      <w:r>
        <w:rPr>
          <w:sz w:val="22"/>
          <w:szCs w:val="22"/>
        </w:rPr>
        <w:t xml:space="preserve">PPP – paskiepytieji pagal protokolą (apima reikalavimus atitinkančius tiriamuosius, kuriems buvo suleista viena </w:t>
      </w:r>
      <w:proofErr w:type="spellStart"/>
      <w:r>
        <w:rPr>
          <w:sz w:val="22"/>
          <w:szCs w:val="22"/>
        </w:rPr>
        <w:t>Boostrix</w:t>
      </w:r>
      <w:proofErr w:type="spellEnd"/>
      <w:r>
        <w:rPr>
          <w:sz w:val="22"/>
          <w:szCs w:val="22"/>
        </w:rPr>
        <w:t xml:space="preserve"> </w:t>
      </w:r>
      <w:proofErr w:type="spellStart"/>
      <w:r>
        <w:rPr>
          <w:sz w:val="22"/>
          <w:szCs w:val="22"/>
        </w:rPr>
        <w:t>revakcinacijos</w:t>
      </w:r>
      <w:proofErr w:type="spellEnd"/>
      <w:r>
        <w:rPr>
          <w:sz w:val="22"/>
          <w:szCs w:val="22"/>
        </w:rPr>
        <w:t xml:space="preserve"> dozė, kuriems nurodytu laiku buvo nustatyti </w:t>
      </w:r>
      <w:proofErr w:type="spellStart"/>
      <w:r>
        <w:rPr>
          <w:sz w:val="22"/>
          <w:szCs w:val="22"/>
        </w:rPr>
        <w:t>imunogeniškumo</w:t>
      </w:r>
      <w:proofErr w:type="spellEnd"/>
      <w:r>
        <w:rPr>
          <w:sz w:val="22"/>
          <w:szCs w:val="22"/>
        </w:rPr>
        <w:t xml:space="preserve"> bent vienam antigenui duomenys).</w:t>
      </w:r>
    </w:p>
    <w:p w14:paraId="37C04669" w14:textId="77777777" w:rsidR="00F50FC7" w:rsidRPr="008D66EC" w:rsidRDefault="00F50FC7" w:rsidP="00F50FC7">
      <w:pPr>
        <w:pStyle w:val="Pagrindinistekstas2"/>
        <w:tabs>
          <w:tab w:val="left" w:pos="567"/>
        </w:tabs>
        <w:spacing w:after="0" w:line="240" w:lineRule="auto"/>
      </w:pPr>
      <w:r>
        <w:rPr>
          <w:sz w:val="22"/>
          <w:szCs w:val="22"/>
          <w:vertAlign w:val="superscript"/>
        </w:rPr>
        <w:t>(2)</w:t>
      </w:r>
      <w:r w:rsidRPr="008D66EC">
        <w:rPr>
          <w:sz w:val="22"/>
        </w:rPr>
        <w:t xml:space="preserve"> </w:t>
      </w:r>
      <w:r>
        <w:rPr>
          <w:sz w:val="22"/>
        </w:rPr>
        <w:t xml:space="preserve">Atsakas: jeigu nurodytu laiku antikūnų prieš difteriją ir stabligę koncentracija yra ≥ 0,1 TV/ml, vertinama, kad pasireiškė serologinė apsauga, o jeigu antikūnų prieš kokliušą koncentracija yra ≥ 5 EL.V/ml, vertinama, kad yra </w:t>
      </w:r>
      <w:r>
        <w:rPr>
          <w:sz w:val="22"/>
          <w:szCs w:val="22"/>
        </w:rPr>
        <w:t>serologinis teigiamumas</w:t>
      </w:r>
      <w:r>
        <w:rPr>
          <w:sz w:val="22"/>
        </w:rPr>
        <w:t>.</w:t>
      </w:r>
    </w:p>
    <w:p w14:paraId="665A01CF" w14:textId="3012E597" w:rsidR="00F50FC7" w:rsidRDefault="00F50FC7" w:rsidP="00F50FC7">
      <w:pPr>
        <w:pStyle w:val="Pagrindinistekstas2"/>
        <w:tabs>
          <w:tab w:val="left" w:pos="567"/>
        </w:tabs>
        <w:spacing w:after="0" w:line="240" w:lineRule="auto"/>
      </w:pPr>
      <w:r>
        <w:rPr>
          <w:sz w:val="22"/>
          <w:szCs w:val="22"/>
          <w:vertAlign w:val="superscript"/>
        </w:rPr>
        <w:t>(3)</w:t>
      </w:r>
      <w:r w:rsidR="00646560">
        <w:rPr>
          <w:sz w:val="22"/>
          <w:szCs w:val="22"/>
        </w:rPr>
        <w:t> </w:t>
      </w:r>
      <w:r>
        <w:rPr>
          <w:sz w:val="22"/>
          <w:szCs w:val="22"/>
        </w:rPr>
        <w:t xml:space="preserve">Sąvokos „suaugusieji“ ir „paaugliai“ atitinka tiriamųjų amžių, kuriame buvo pirmą kartą suleista </w:t>
      </w:r>
      <w:proofErr w:type="spellStart"/>
      <w:r>
        <w:rPr>
          <w:sz w:val="22"/>
          <w:szCs w:val="22"/>
        </w:rPr>
        <w:t>Boostrix</w:t>
      </w:r>
      <w:proofErr w:type="spellEnd"/>
      <w:r>
        <w:rPr>
          <w:sz w:val="22"/>
          <w:szCs w:val="22"/>
        </w:rPr>
        <w:t xml:space="preserve"> vakcina.</w:t>
      </w:r>
    </w:p>
    <w:p w14:paraId="26044FF9" w14:textId="5FFE9B49" w:rsidR="00F50FC7" w:rsidRPr="008D66EC" w:rsidRDefault="00F50FC7" w:rsidP="00F50FC7">
      <w:pPr>
        <w:pStyle w:val="Pagrindinistekstas2"/>
        <w:tabs>
          <w:tab w:val="left" w:pos="567"/>
        </w:tabs>
        <w:spacing w:after="0" w:line="240" w:lineRule="auto"/>
      </w:pPr>
      <w:r>
        <w:rPr>
          <w:sz w:val="22"/>
          <w:szCs w:val="22"/>
          <w:vertAlign w:val="superscript"/>
        </w:rPr>
        <w:t>(4)</w:t>
      </w:r>
      <w:r w:rsidR="00646560">
        <w:rPr>
          <w:sz w:val="22"/>
          <w:szCs w:val="22"/>
        </w:rPr>
        <w:t> </w:t>
      </w:r>
      <w:r>
        <w:rPr>
          <w:sz w:val="22"/>
          <w:szCs w:val="22"/>
        </w:rPr>
        <w:t xml:space="preserve">Tiriamųjų, kurių </w:t>
      </w:r>
      <w:r>
        <w:rPr>
          <w:sz w:val="22"/>
        </w:rPr>
        <w:t>antikūnų koncentracijos buvo susijusios su apsauga nuo ligos (</w:t>
      </w:r>
      <w:r>
        <w:rPr>
          <w:rFonts w:ascii="Symbol" w:eastAsia="Symbol" w:hAnsi="Symbol" w:cs="Symbol"/>
          <w:sz w:val="22"/>
        </w:rPr>
        <w:t></w:t>
      </w:r>
      <w:r>
        <w:rPr>
          <w:sz w:val="22"/>
        </w:rPr>
        <w:t> 0,1 TV/ml</w:t>
      </w:r>
      <w:r>
        <w:rPr>
          <w:sz w:val="22"/>
          <w:szCs w:val="22"/>
        </w:rPr>
        <w:t>, atliekant</w:t>
      </w:r>
      <w:r>
        <w:rPr>
          <w:sz w:val="22"/>
        </w:rPr>
        <w:t xml:space="preserve"> </w:t>
      </w:r>
      <w:r w:rsidRPr="008D66EC">
        <w:rPr>
          <w:i/>
          <w:sz w:val="22"/>
        </w:rPr>
        <w:t>ELISA</w:t>
      </w:r>
      <w:r>
        <w:rPr>
          <w:sz w:val="22"/>
        </w:rPr>
        <w:t xml:space="preserve"> </w:t>
      </w:r>
      <w:r>
        <w:rPr>
          <w:sz w:val="22"/>
          <w:szCs w:val="22"/>
        </w:rPr>
        <w:t>tyrimą,</w:t>
      </w:r>
      <w:r>
        <w:rPr>
          <w:sz w:val="22"/>
        </w:rPr>
        <w:t xml:space="preserve"> arba </w:t>
      </w:r>
      <w:r>
        <w:rPr>
          <w:rFonts w:ascii="Symbol" w:eastAsia="Symbol" w:hAnsi="Symbol" w:cs="Symbol"/>
          <w:sz w:val="22"/>
        </w:rPr>
        <w:t></w:t>
      </w:r>
      <w:r>
        <w:rPr>
          <w:sz w:val="22"/>
        </w:rPr>
        <w:t> 0,016 TV/ml</w:t>
      </w:r>
      <w:r>
        <w:rPr>
          <w:sz w:val="22"/>
          <w:szCs w:val="22"/>
        </w:rPr>
        <w:t>, atliekant</w:t>
      </w:r>
      <w:r>
        <w:rPr>
          <w:sz w:val="22"/>
        </w:rPr>
        <w:t xml:space="preserve"> </w:t>
      </w:r>
      <w:r w:rsidRPr="008D66EC">
        <w:rPr>
          <w:i/>
          <w:sz w:val="22"/>
        </w:rPr>
        <w:t>VERO</w:t>
      </w:r>
      <w:r>
        <w:rPr>
          <w:sz w:val="22"/>
        </w:rPr>
        <w:t xml:space="preserve"> ląstelių neutralizacijos </w:t>
      </w:r>
      <w:r>
        <w:rPr>
          <w:sz w:val="22"/>
          <w:szCs w:val="22"/>
        </w:rPr>
        <w:t xml:space="preserve">tyrimą </w:t>
      </w:r>
      <w:proofErr w:type="spellStart"/>
      <w:r>
        <w:rPr>
          <w:i/>
          <w:iCs/>
          <w:sz w:val="22"/>
          <w:szCs w:val="22"/>
        </w:rPr>
        <w:t>in</w:t>
      </w:r>
      <w:proofErr w:type="spellEnd"/>
      <w:r>
        <w:rPr>
          <w:i/>
          <w:iCs/>
          <w:sz w:val="22"/>
          <w:szCs w:val="22"/>
        </w:rPr>
        <w:t xml:space="preserve"> </w:t>
      </w:r>
      <w:proofErr w:type="spellStart"/>
      <w:r>
        <w:rPr>
          <w:i/>
          <w:iCs/>
          <w:sz w:val="22"/>
          <w:szCs w:val="22"/>
        </w:rPr>
        <w:t>vitro</w:t>
      </w:r>
      <w:proofErr w:type="spellEnd"/>
      <w:r>
        <w:rPr>
          <w:sz w:val="22"/>
          <w:szCs w:val="22"/>
        </w:rPr>
        <w:t>), procentinė dalis.</w:t>
      </w:r>
    </w:p>
    <w:p w14:paraId="0E7CBAE8" w14:textId="77777777" w:rsidR="00F50FC7" w:rsidRDefault="00F50FC7" w:rsidP="00F50FC7">
      <w:pPr>
        <w:pStyle w:val="Pagrindinistekstas2"/>
        <w:tabs>
          <w:tab w:val="left" w:pos="567"/>
        </w:tabs>
        <w:spacing w:after="0" w:line="240" w:lineRule="auto"/>
        <w:rPr>
          <w:sz w:val="22"/>
          <w:szCs w:val="22"/>
        </w:rPr>
      </w:pPr>
      <w:r>
        <w:rPr>
          <w:sz w:val="22"/>
          <w:szCs w:val="22"/>
        </w:rPr>
        <w:t>N – minimalus tiriamųjų, kurių duomenys apie kiekvieną antigeną yra žinomi, skaičius.</w:t>
      </w:r>
    </w:p>
    <w:p w14:paraId="621B19A4" w14:textId="77777777" w:rsidR="00F50FC7" w:rsidRDefault="00F50FC7" w:rsidP="00F50FC7">
      <w:pPr>
        <w:tabs>
          <w:tab w:val="left" w:pos="567"/>
        </w:tabs>
        <w:rPr>
          <w:szCs w:val="22"/>
        </w:rPr>
      </w:pPr>
    </w:p>
    <w:p w14:paraId="44B38DBB" w14:textId="77777777" w:rsidR="00F50FC7" w:rsidRPr="008D66EC" w:rsidRDefault="00F50FC7" w:rsidP="00F50FC7">
      <w:pPr>
        <w:tabs>
          <w:tab w:val="left" w:pos="567"/>
        </w:tabs>
      </w:pPr>
      <w:r>
        <w:rPr>
          <w:i/>
          <w:szCs w:val="22"/>
        </w:rPr>
        <w:t>Apsaugos nuo kokliušo idealusis veiksmingumas</w:t>
      </w:r>
    </w:p>
    <w:p w14:paraId="37512104" w14:textId="77777777" w:rsidR="00F50FC7" w:rsidRPr="00E90E50" w:rsidRDefault="00F50FC7" w:rsidP="00F50FC7">
      <w:pPr>
        <w:tabs>
          <w:tab w:val="left" w:pos="567"/>
        </w:tabs>
      </w:pPr>
    </w:p>
    <w:p w14:paraId="3E6C6760" w14:textId="77777777" w:rsidR="00F50FC7" w:rsidRDefault="00F50FC7" w:rsidP="00F50FC7">
      <w:pPr>
        <w:tabs>
          <w:tab w:val="left" w:pos="567"/>
        </w:tabs>
      </w:pPr>
      <w:r>
        <w:rPr>
          <w:szCs w:val="22"/>
        </w:rPr>
        <w:t xml:space="preserve">Kokliušo antigenai, esantys </w:t>
      </w:r>
      <w:proofErr w:type="spellStart"/>
      <w:r>
        <w:rPr>
          <w:szCs w:val="22"/>
        </w:rPr>
        <w:t>Boostrix</w:t>
      </w:r>
      <w:proofErr w:type="spellEnd"/>
      <w:r>
        <w:rPr>
          <w:szCs w:val="22"/>
        </w:rPr>
        <w:t xml:space="preserve"> sudėtyje, yra vaikams skirtos neląstelinės kokliušo kombinuotosios vakcinos (</w:t>
      </w:r>
      <w:proofErr w:type="spellStart"/>
      <w:r>
        <w:rPr>
          <w:szCs w:val="22"/>
        </w:rPr>
        <w:t>Infanrix</w:t>
      </w:r>
      <w:proofErr w:type="spellEnd"/>
      <w:r>
        <w:rPr>
          <w:szCs w:val="22"/>
        </w:rPr>
        <w:t xml:space="preserve">) sudėtyje. Šios vakcinos veiksmingumas po pradinės vakcinacijos buvo įrodytas veiksmingumo kontaktavusiems su šeimos nariais tyrimo metu. Antikūnų prieš visus tris </w:t>
      </w:r>
      <w:r>
        <w:rPr>
          <w:szCs w:val="22"/>
        </w:rPr>
        <w:lastRenderedPageBreak/>
        <w:t xml:space="preserve">kokliušo komponentus titrai po paskiepijimo </w:t>
      </w:r>
      <w:proofErr w:type="spellStart"/>
      <w:r>
        <w:rPr>
          <w:szCs w:val="22"/>
        </w:rPr>
        <w:t>Boostrix</w:t>
      </w:r>
      <w:proofErr w:type="spellEnd"/>
      <w:r>
        <w:rPr>
          <w:szCs w:val="22"/>
        </w:rPr>
        <w:t xml:space="preserve"> buvo didesni už stebėtus veiksmingumo kontaktavusiems su šeimos nariais tyrimo metu. Remiantis šiais palyginimais, </w:t>
      </w:r>
      <w:proofErr w:type="spellStart"/>
      <w:r>
        <w:rPr>
          <w:szCs w:val="22"/>
        </w:rPr>
        <w:t>Boostrix</w:t>
      </w:r>
      <w:proofErr w:type="spellEnd"/>
      <w:r>
        <w:rPr>
          <w:szCs w:val="22"/>
        </w:rPr>
        <w:t xml:space="preserve"> saugo nuo kokliušo, tačiau vakcinos sukeltos apsaugos laipsnis ir trukmė nenustatyti.</w:t>
      </w:r>
    </w:p>
    <w:p w14:paraId="5FC6AE4E" w14:textId="77777777" w:rsidR="00F50FC7" w:rsidRDefault="00F50FC7" w:rsidP="00F50FC7"/>
    <w:p w14:paraId="6419DDC5" w14:textId="459819A9" w:rsidR="00F50FC7" w:rsidRPr="00834C60" w:rsidRDefault="00F50FC7" w:rsidP="00F50FC7">
      <w:pPr>
        <w:rPr>
          <w:i/>
        </w:rPr>
      </w:pPr>
      <w:bookmarkStart w:id="40" w:name="_Hlk54984627"/>
      <w:r>
        <w:rPr>
          <w:i/>
        </w:rPr>
        <w:t xml:space="preserve">Nėštumo metu paskiepytų motinų pagimdytų kūdikių </w:t>
      </w:r>
      <w:r w:rsidRPr="00834C60">
        <w:rPr>
          <w:i/>
        </w:rPr>
        <w:t>(</w:t>
      </w:r>
      <w:r>
        <w:rPr>
          <w:i/>
        </w:rPr>
        <w:t>jaunesnių kaip</w:t>
      </w:r>
      <w:r w:rsidRPr="00834C60">
        <w:rPr>
          <w:i/>
        </w:rPr>
        <w:t xml:space="preserve"> 3</w:t>
      </w:r>
      <w:r w:rsidR="00775B1A">
        <w:rPr>
          <w:i/>
        </w:rPr>
        <w:t> </w:t>
      </w:r>
      <w:r w:rsidRPr="00834C60">
        <w:rPr>
          <w:i/>
        </w:rPr>
        <w:t>m</w:t>
      </w:r>
      <w:r>
        <w:rPr>
          <w:i/>
        </w:rPr>
        <w:t>ėnesių</w:t>
      </w:r>
      <w:r w:rsidRPr="00834C60">
        <w:rPr>
          <w:i/>
        </w:rPr>
        <w:t xml:space="preserve">) </w:t>
      </w:r>
      <w:r>
        <w:rPr>
          <w:i/>
        </w:rPr>
        <w:t>p</w:t>
      </w:r>
      <w:r w:rsidRPr="00834C60">
        <w:rPr>
          <w:i/>
        </w:rPr>
        <w:t>as</w:t>
      </w:r>
      <w:r>
        <w:rPr>
          <w:i/>
        </w:rPr>
        <w:t>yvi apsauga nuo kokliušo</w:t>
      </w:r>
    </w:p>
    <w:p w14:paraId="4F5DBCEF" w14:textId="77777777" w:rsidR="00F50FC7" w:rsidRDefault="00F50FC7" w:rsidP="00F50FC7"/>
    <w:p w14:paraId="5A260C04" w14:textId="77777777" w:rsidR="00F50FC7" w:rsidRDefault="00F50FC7" w:rsidP="00F50FC7">
      <w:bookmarkStart w:id="41" w:name="_Hlk47000877"/>
      <w:r w:rsidRPr="005718CA">
        <w:t>Atsitiktinių imčių, kryžmini</w:t>
      </w:r>
      <w:r>
        <w:t>o</w:t>
      </w:r>
      <w:r w:rsidRPr="005718CA">
        <w:t>, placebu kontroliuojam</w:t>
      </w:r>
      <w:r>
        <w:t>ojo</w:t>
      </w:r>
      <w:r w:rsidRPr="005718CA">
        <w:t xml:space="preserve"> tyrim</w:t>
      </w:r>
      <w:r>
        <w:t>o duomenimis</w:t>
      </w:r>
      <w:r w:rsidRPr="005718CA">
        <w:t xml:space="preserve">, </w:t>
      </w:r>
      <w:r>
        <w:t>kūdikių, kuriuos pagimdė 27</w:t>
      </w:r>
      <w:r>
        <w:noBreakHyphen/>
        <w:t xml:space="preserve">36 nėštumo savaitėmis </w:t>
      </w:r>
      <w:proofErr w:type="spellStart"/>
      <w:r>
        <w:t>Boostrix</w:t>
      </w:r>
      <w:proofErr w:type="spellEnd"/>
      <w:r>
        <w:t xml:space="preserve"> paskiepytos motinos (</w:t>
      </w:r>
      <w:proofErr w:type="spellStart"/>
      <w:r w:rsidRPr="00A16DE6">
        <w:rPr>
          <w:i/>
          <w:iCs/>
          <w:szCs w:val="22"/>
        </w:rPr>
        <w:t>dTpa</w:t>
      </w:r>
      <w:proofErr w:type="spellEnd"/>
      <w:r>
        <w:rPr>
          <w:szCs w:val="22"/>
        </w:rPr>
        <w:t xml:space="preserve"> grupė; </w:t>
      </w:r>
      <w:r>
        <w:t xml:space="preserve">N = 291), virkštelės kraujyje po gimdymo buvo išmatuotos </w:t>
      </w:r>
      <w:r w:rsidRPr="005718CA">
        <w:t>didesnė</w:t>
      </w:r>
      <w:r>
        <w:t>s</w:t>
      </w:r>
      <w:r w:rsidRPr="005718CA">
        <w:t xml:space="preserve"> kokliušo antikūnų koncentracij</w:t>
      </w:r>
      <w:r>
        <w:t>os, palyginti su placebu paskiepytų motinų kūdikiais (kontrolinė grupė; N = 292)</w:t>
      </w:r>
      <w:r w:rsidRPr="00CE0562">
        <w:t xml:space="preserve">. </w:t>
      </w:r>
      <w:r>
        <w:t>A</w:t>
      </w:r>
      <w:r w:rsidRPr="00741A2B">
        <w:t xml:space="preserve">ntikūnų prieš kokliušo </w:t>
      </w:r>
      <w:r>
        <w:t>PT, FHA ir PRN</w:t>
      </w:r>
      <w:r w:rsidRPr="00741A2B">
        <w:t xml:space="preserve"> antigenus koncentracij</w:t>
      </w:r>
      <w:r>
        <w:t>ų</w:t>
      </w:r>
      <w:r w:rsidRPr="00741A2B">
        <w:t xml:space="preserve"> </w:t>
      </w:r>
      <w:r>
        <w:t>v</w:t>
      </w:r>
      <w:r w:rsidRPr="00741A2B">
        <w:t>ir</w:t>
      </w:r>
      <w:r>
        <w:t>kšt</w:t>
      </w:r>
      <w:r w:rsidRPr="00741A2B">
        <w:t>elės krauj</w:t>
      </w:r>
      <w:r>
        <w:t>yje</w:t>
      </w:r>
      <w:r w:rsidRPr="00741A2B">
        <w:t xml:space="preserve"> geometrin</w:t>
      </w:r>
      <w:r>
        <w:t xml:space="preserve">iai vidurkiai </w:t>
      </w:r>
      <w:proofErr w:type="spellStart"/>
      <w:r w:rsidRPr="00A16DE6">
        <w:rPr>
          <w:i/>
          <w:iCs/>
          <w:szCs w:val="22"/>
        </w:rPr>
        <w:t>dTpa</w:t>
      </w:r>
      <w:proofErr w:type="spellEnd"/>
      <w:r w:rsidRPr="00741A2B">
        <w:t xml:space="preserve"> </w:t>
      </w:r>
      <w:r>
        <w:t xml:space="preserve">grupėje buvo atitinkamai </w:t>
      </w:r>
      <w:r w:rsidRPr="001D70F4">
        <w:rPr>
          <w:szCs w:val="22"/>
        </w:rPr>
        <w:t>46</w:t>
      </w:r>
      <w:r>
        <w:rPr>
          <w:szCs w:val="22"/>
        </w:rPr>
        <w:t>,</w:t>
      </w:r>
      <w:r w:rsidRPr="001D70F4">
        <w:rPr>
          <w:szCs w:val="22"/>
        </w:rPr>
        <w:t>9</w:t>
      </w:r>
      <w:r>
        <w:rPr>
          <w:szCs w:val="22"/>
        </w:rPr>
        <w:t xml:space="preserve">, </w:t>
      </w:r>
      <w:r w:rsidRPr="001D70F4">
        <w:rPr>
          <w:szCs w:val="22"/>
        </w:rPr>
        <w:t>366</w:t>
      </w:r>
      <w:r>
        <w:rPr>
          <w:szCs w:val="22"/>
        </w:rPr>
        <w:t>,</w:t>
      </w:r>
      <w:r w:rsidRPr="001D70F4">
        <w:rPr>
          <w:szCs w:val="22"/>
        </w:rPr>
        <w:t>1</w:t>
      </w:r>
      <w:r>
        <w:rPr>
          <w:szCs w:val="22"/>
        </w:rPr>
        <w:t xml:space="preserve"> ir</w:t>
      </w:r>
      <w:r w:rsidRPr="00F925B4">
        <w:rPr>
          <w:szCs w:val="22"/>
        </w:rPr>
        <w:t xml:space="preserve"> </w:t>
      </w:r>
      <w:r w:rsidRPr="001D70F4">
        <w:rPr>
          <w:szCs w:val="22"/>
        </w:rPr>
        <w:t>301</w:t>
      </w:r>
      <w:r>
        <w:rPr>
          <w:szCs w:val="22"/>
        </w:rPr>
        <w:t>,</w:t>
      </w:r>
      <w:r w:rsidRPr="001D70F4">
        <w:rPr>
          <w:szCs w:val="22"/>
        </w:rPr>
        <w:t>8</w:t>
      </w:r>
      <w:r>
        <w:rPr>
          <w:szCs w:val="22"/>
        </w:rPr>
        <w:t xml:space="preserve"> TV/ml, o placebo grupėje – </w:t>
      </w:r>
      <w:r w:rsidRPr="001D70F4">
        <w:rPr>
          <w:szCs w:val="22"/>
        </w:rPr>
        <w:t>5</w:t>
      </w:r>
      <w:r>
        <w:rPr>
          <w:szCs w:val="22"/>
        </w:rPr>
        <w:t>,</w:t>
      </w:r>
      <w:r w:rsidRPr="001D70F4">
        <w:rPr>
          <w:szCs w:val="22"/>
        </w:rPr>
        <w:t>5</w:t>
      </w:r>
      <w:r>
        <w:rPr>
          <w:szCs w:val="22"/>
        </w:rPr>
        <w:t xml:space="preserve">, </w:t>
      </w:r>
      <w:r w:rsidRPr="001D70F4">
        <w:rPr>
          <w:szCs w:val="22"/>
        </w:rPr>
        <w:t>22</w:t>
      </w:r>
      <w:r>
        <w:rPr>
          <w:szCs w:val="22"/>
        </w:rPr>
        <w:t>,</w:t>
      </w:r>
      <w:r w:rsidRPr="001D70F4">
        <w:rPr>
          <w:szCs w:val="22"/>
        </w:rPr>
        <w:t>7</w:t>
      </w:r>
      <w:r>
        <w:rPr>
          <w:szCs w:val="22"/>
        </w:rPr>
        <w:t xml:space="preserve"> ir </w:t>
      </w:r>
      <w:r w:rsidRPr="001D70F4">
        <w:rPr>
          <w:szCs w:val="22"/>
        </w:rPr>
        <w:t>14</w:t>
      </w:r>
      <w:r>
        <w:rPr>
          <w:szCs w:val="22"/>
        </w:rPr>
        <w:t>,</w:t>
      </w:r>
      <w:r w:rsidRPr="001D70F4">
        <w:rPr>
          <w:szCs w:val="22"/>
        </w:rPr>
        <w:t>6</w:t>
      </w:r>
      <w:r>
        <w:rPr>
          <w:szCs w:val="22"/>
        </w:rPr>
        <w:t xml:space="preserve"> TV/ml. Tai atitinka </w:t>
      </w:r>
      <w:r>
        <w:t>8, 16 ir 21 kartų didesnius antikūnų titrus paskiepytų motinų naujagimių virkštelės kraujyje, palyginti su kontroline grupe. K</w:t>
      </w:r>
      <w:r w:rsidRPr="00741A2B">
        <w:t xml:space="preserve">aip rodo </w:t>
      </w:r>
      <w:r>
        <w:t xml:space="preserve">realiojo veiksmingumo </w:t>
      </w:r>
      <w:r w:rsidRPr="00741A2B">
        <w:t>stebėjimo tyrimai</w:t>
      </w:r>
      <w:r>
        <w:t>, tokie antikūnų titrai gali užtikrinti pasyvią apsaugą nuo kokliušo.</w:t>
      </w:r>
    </w:p>
    <w:p w14:paraId="00A7E493" w14:textId="77777777" w:rsidR="00F50FC7" w:rsidRDefault="00F50FC7" w:rsidP="00F50FC7"/>
    <w:bookmarkEnd w:id="41"/>
    <w:p w14:paraId="43F89D31" w14:textId="77777777" w:rsidR="00F50FC7" w:rsidRPr="00834C60" w:rsidRDefault="00F50FC7" w:rsidP="00F50FC7">
      <w:pPr>
        <w:rPr>
          <w:i/>
        </w:rPr>
      </w:pPr>
      <w:proofErr w:type="spellStart"/>
      <w:r w:rsidRPr="00834C60">
        <w:rPr>
          <w:i/>
        </w:rPr>
        <w:t>Imunogeni</w:t>
      </w:r>
      <w:r>
        <w:rPr>
          <w:i/>
        </w:rPr>
        <w:t>škumas</w:t>
      </w:r>
      <w:proofErr w:type="spellEnd"/>
      <w:r>
        <w:rPr>
          <w:i/>
        </w:rPr>
        <w:t xml:space="preserve"> kūdikiams ir mažiems vaikams, kuriuos pagimdė nėštumo metu paskiepytos motinos</w:t>
      </w:r>
    </w:p>
    <w:p w14:paraId="33B326B6" w14:textId="77777777" w:rsidR="00F50FC7" w:rsidRPr="007D5433" w:rsidRDefault="00F50FC7" w:rsidP="00F50FC7">
      <w:bookmarkStart w:id="42" w:name="_Hlk47001042"/>
    </w:p>
    <w:p w14:paraId="7AE0E51D" w14:textId="77777777" w:rsidR="00F50FC7" w:rsidRPr="00C87448" w:rsidRDefault="00F50FC7" w:rsidP="00F50FC7">
      <w:proofErr w:type="spellStart"/>
      <w:r w:rsidRPr="00C87448">
        <w:t>Infanrix</w:t>
      </w:r>
      <w:proofErr w:type="spellEnd"/>
      <w:r w:rsidRPr="00C87448">
        <w:t xml:space="preserve"> </w:t>
      </w:r>
      <w:proofErr w:type="spellStart"/>
      <w:r w:rsidRPr="00C87448">
        <w:t>hexa</w:t>
      </w:r>
      <w:proofErr w:type="spellEnd"/>
      <w:r w:rsidRPr="00C87448">
        <w:t xml:space="preserve"> (difterijos, stabligės, kokliušo, hepatito B, </w:t>
      </w:r>
      <w:proofErr w:type="spellStart"/>
      <w:r w:rsidRPr="00C87448">
        <w:t>inaktyvuota</w:t>
      </w:r>
      <w:proofErr w:type="spellEnd"/>
      <w:r w:rsidRPr="00C87448">
        <w:t xml:space="preserve"> </w:t>
      </w:r>
      <w:proofErr w:type="spellStart"/>
      <w:r w:rsidRPr="00C87448">
        <w:t>poliovirusų</w:t>
      </w:r>
      <w:proofErr w:type="spellEnd"/>
      <w:r w:rsidRPr="00C87448">
        <w:t xml:space="preserve">, b tipo </w:t>
      </w:r>
      <w:proofErr w:type="spellStart"/>
      <w:r w:rsidRPr="00C87448">
        <w:rPr>
          <w:i/>
          <w:iCs/>
        </w:rPr>
        <w:t>Haemophilus</w:t>
      </w:r>
      <w:proofErr w:type="spellEnd"/>
      <w:r w:rsidRPr="00C87448">
        <w:rPr>
          <w:i/>
          <w:iCs/>
        </w:rPr>
        <w:t xml:space="preserve"> </w:t>
      </w:r>
      <w:proofErr w:type="spellStart"/>
      <w:r w:rsidRPr="00C87448">
        <w:rPr>
          <w:i/>
          <w:iCs/>
        </w:rPr>
        <w:t>influenzae</w:t>
      </w:r>
      <w:proofErr w:type="spellEnd"/>
      <w:r w:rsidRPr="00C87448">
        <w:t xml:space="preserve"> </w:t>
      </w:r>
      <w:proofErr w:type="spellStart"/>
      <w:r w:rsidRPr="007D5433">
        <w:rPr>
          <w:szCs w:val="22"/>
        </w:rPr>
        <w:t>k</w:t>
      </w:r>
      <w:r w:rsidRPr="00C87448">
        <w:rPr>
          <w:szCs w:val="22"/>
        </w:rPr>
        <w:t>onjuguota</w:t>
      </w:r>
      <w:proofErr w:type="spellEnd"/>
      <w:r w:rsidRPr="00C87448">
        <w:rPr>
          <w:szCs w:val="22"/>
        </w:rPr>
        <w:t xml:space="preserve"> vakcina)</w:t>
      </w:r>
      <w:r w:rsidRPr="00C87448">
        <w:t xml:space="preserve"> </w:t>
      </w:r>
      <w:proofErr w:type="spellStart"/>
      <w:r w:rsidRPr="00C87448">
        <w:t>imunogeniškumas</w:t>
      </w:r>
      <w:proofErr w:type="spellEnd"/>
      <w:r w:rsidRPr="00C87448">
        <w:t xml:space="preserve"> kūdikiams ir mažiems vaikams, kuriuos pagimdė </w:t>
      </w:r>
      <w:r w:rsidRPr="007D5433">
        <w:t>27</w:t>
      </w:r>
      <w:r w:rsidRPr="007D5433">
        <w:noBreakHyphen/>
        <w:t>36 </w:t>
      </w:r>
      <w:r w:rsidRPr="00C87448">
        <w:t xml:space="preserve">nėštumo savaitėmis </w:t>
      </w:r>
      <w:proofErr w:type="spellStart"/>
      <w:r w:rsidRPr="00C87448">
        <w:t>Boostrix</w:t>
      </w:r>
      <w:proofErr w:type="spellEnd"/>
      <w:r w:rsidRPr="00C87448">
        <w:t xml:space="preserve"> paskiepytos motinos, buvo tirtas dviejų klinikinių tyrimų metu.</w:t>
      </w:r>
    </w:p>
    <w:p w14:paraId="20C270F0" w14:textId="77777777" w:rsidR="00F50FC7" w:rsidRPr="00664F57" w:rsidRDefault="00F50FC7" w:rsidP="00F50FC7"/>
    <w:p w14:paraId="5E737423" w14:textId="77777777" w:rsidR="00F50FC7" w:rsidRPr="00C87448" w:rsidRDefault="00F50FC7" w:rsidP="00F50FC7">
      <w:proofErr w:type="spellStart"/>
      <w:r w:rsidRPr="00C87448">
        <w:t>Infanrix</w:t>
      </w:r>
      <w:proofErr w:type="spellEnd"/>
      <w:r w:rsidRPr="00C87448">
        <w:t xml:space="preserve"> </w:t>
      </w:r>
      <w:proofErr w:type="spellStart"/>
      <w:r w:rsidRPr="00C87448">
        <w:t>hexa</w:t>
      </w:r>
      <w:proofErr w:type="spellEnd"/>
      <w:r w:rsidRPr="00C87448">
        <w:t xml:space="preserve"> buvo suleista kartu su 13-valente pneumokokine </w:t>
      </w:r>
      <w:proofErr w:type="spellStart"/>
      <w:r w:rsidRPr="00C87448">
        <w:t>konjuguota</w:t>
      </w:r>
      <w:proofErr w:type="spellEnd"/>
      <w:r w:rsidRPr="00C87448">
        <w:t xml:space="preserve"> vakcina kūdikiams pirminės vakcinacijos metu (n = 268)</w:t>
      </w:r>
      <w:r>
        <w:t xml:space="preserve"> ir tiems pat kūdikiams ar mažiems vaikams nuo </w:t>
      </w:r>
      <w:r w:rsidRPr="00C87448">
        <w:t>11</w:t>
      </w:r>
      <w:r>
        <w:t xml:space="preserve"> iki </w:t>
      </w:r>
      <w:r w:rsidRPr="00C87448">
        <w:t>18</w:t>
      </w:r>
      <w:r>
        <w:t> mėnesio</w:t>
      </w:r>
      <w:r w:rsidRPr="00C87448">
        <w:t xml:space="preserve"> </w:t>
      </w:r>
      <w:r>
        <w:t xml:space="preserve">buvo suleista </w:t>
      </w:r>
      <w:proofErr w:type="spellStart"/>
      <w:r>
        <w:t>revakcinacijos</w:t>
      </w:r>
      <w:proofErr w:type="spellEnd"/>
      <w:r>
        <w:t xml:space="preserve"> dozė </w:t>
      </w:r>
      <w:r w:rsidRPr="00C87448">
        <w:t>(n</w:t>
      </w:r>
      <w:r>
        <w:t> </w:t>
      </w:r>
      <w:r w:rsidRPr="00C87448">
        <w:t>=</w:t>
      </w:r>
      <w:r>
        <w:t> </w:t>
      </w:r>
      <w:r w:rsidRPr="00C87448">
        <w:t>229).</w:t>
      </w:r>
    </w:p>
    <w:p w14:paraId="0E3B5176" w14:textId="77777777" w:rsidR="00F50FC7" w:rsidRPr="00C87448" w:rsidRDefault="00F50FC7" w:rsidP="00F50FC7"/>
    <w:p w14:paraId="14B0E12E" w14:textId="77777777" w:rsidR="00F50FC7" w:rsidRPr="00C87448" w:rsidRDefault="00F50FC7" w:rsidP="00F50FC7">
      <w:r w:rsidRPr="00C87448">
        <w:t>Rem</w:t>
      </w:r>
      <w:r>
        <w:t>ia</w:t>
      </w:r>
      <w:r w:rsidRPr="00C87448">
        <w:t xml:space="preserve">ntis po pirminės vakcinacijos ir </w:t>
      </w:r>
      <w:proofErr w:type="spellStart"/>
      <w:r w:rsidRPr="00C87448">
        <w:t>revakcinacijos</w:t>
      </w:r>
      <w:proofErr w:type="spellEnd"/>
      <w:r w:rsidRPr="00C87448">
        <w:t xml:space="preserve"> gautais duomenimis, imunologiniai duomenys nerodo</w:t>
      </w:r>
      <w:r>
        <w:t>, kad</w:t>
      </w:r>
      <w:r w:rsidRPr="00C87448">
        <w:t xml:space="preserve"> motinos vakcinacija </w:t>
      </w:r>
      <w:proofErr w:type="spellStart"/>
      <w:r w:rsidRPr="00C87448">
        <w:t>Boostrix</w:t>
      </w:r>
      <w:proofErr w:type="spellEnd"/>
      <w:r w:rsidRPr="005C6EC7">
        <w:t xml:space="preserve"> </w:t>
      </w:r>
      <w:r w:rsidRPr="00C87448">
        <w:t>kliniškai reikšming</w:t>
      </w:r>
      <w:r>
        <w:t xml:space="preserve">ai paveiktų kūdikių ar mažų vaikų atsaką į </w:t>
      </w:r>
      <w:r w:rsidRPr="00C87448">
        <w:t>di</w:t>
      </w:r>
      <w:r>
        <w:t>f</w:t>
      </w:r>
      <w:r w:rsidRPr="00C87448">
        <w:t>teri</w:t>
      </w:r>
      <w:r>
        <w:t>jos</w:t>
      </w:r>
      <w:r w:rsidRPr="00C87448">
        <w:t xml:space="preserve">, </w:t>
      </w:r>
      <w:r>
        <w:t>stabligė</w:t>
      </w:r>
      <w:r w:rsidRPr="00C87448">
        <w:t>s, hepatit</w:t>
      </w:r>
      <w:r>
        <w:t>o</w:t>
      </w:r>
      <w:r w:rsidRPr="00C87448">
        <w:t xml:space="preserve"> B, </w:t>
      </w:r>
      <w:proofErr w:type="spellStart"/>
      <w:r w:rsidRPr="00C87448">
        <w:t>ina</w:t>
      </w:r>
      <w:r>
        <w:t>ktyvuotų</w:t>
      </w:r>
      <w:proofErr w:type="spellEnd"/>
      <w:r w:rsidRPr="00C87448">
        <w:t xml:space="preserve"> </w:t>
      </w:r>
      <w:proofErr w:type="spellStart"/>
      <w:r w:rsidRPr="00C87448">
        <w:t>poliovirus</w:t>
      </w:r>
      <w:r>
        <w:t>ų</w:t>
      </w:r>
      <w:proofErr w:type="spellEnd"/>
      <w:r w:rsidRPr="00C87448">
        <w:t xml:space="preserve">, </w:t>
      </w:r>
      <w:r>
        <w:t xml:space="preserve">b tipo </w:t>
      </w:r>
      <w:proofErr w:type="spellStart"/>
      <w:r w:rsidRPr="00C87448">
        <w:rPr>
          <w:i/>
          <w:iCs/>
        </w:rPr>
        <w:t>Haemophilus</w:t>
      </w:r>
      <w:proofErr w:type="spellEnd"/>
      <w:r w:rsidRPr="00C87448">
        <w:rPr>
          <w:i/>
          <w:iCs/>
        </w:rPr>
        <w:t xml:space="preserve"> </w:t>
      </w:r>
      <w:proofErr w:type="spellStart"/>
      <w:r w:rsidRPr="00C87448">
        <w:rPr>
          <w:i/>
          <w:iCs/>
        </w:rPr>
        <w:t>influenzae</w:t>
      </w:r>
      <w:proofErr w:type="spellEnd"/>
      <w:r w:rsidRPr="00C87448">
        <w:t xml:space="preserve"> </w:t>
      </w:r>
      <w:r>
        <w:t>a</w:t>
      </w:r>
      <w:r w:rsidRPr="00C87448">
        <w:t xml:space="preserve">r </w:t>
      </w:r>
      <w:proofErr w:type="spellStart"/>
      <w:r w:rsidRPr="00C87448">
        <w:t>pneumo</w:t>
      </w:r>
      <w:r>
        <w:t>kokų</w:t>
      </w:r>
      <w:proofErr w:type="spellEnd"/>
      <w:r w:rsidRPr="00C87448">
        <w:t xml:space="preserve"> antigen</w:t>
      </w:r>
      <w:r>
        <w:t>u</w:t>
      </w:r>
      <w:r w:rsidRPr="00C87448">
        <w:t>s.</w:t>
      </w:r>
    </w:p>
    <w:p w14:paraId="60BB55DC" w14:textId="77777777" w:rsidR="00F50FC7" w:rsidRPr="00664F57" w:rsidRDefault="00F50FC7" w:rsidP="00F50FC7"/>
    <w:bookmarkEnd w:id="42"/>
    <w:p w14:paraId="0DD9C2F3" w14:textId="77777777" w:rsidR="00F50FC7" w:rsidRPr="00847ADB" w:rsidRDefault="00F50FC7" w:rsidP="00F50FC7">
      <w:r w:rsidRPr="00C87448">
        <w:t xml:space="preserve">Kūdikiams ir mažiems vaikams, kuriuos pagimdė </w:t>
      </w:r>
      <w:r>
        <w:t xml:space="preserve">nėštumo metu </w:t>
      </w:r>
      <w:proofErr w:type="spellStart"/>
      <w:r w:rsidRPr="00C87448">
        <w:t>Boostrix</w:t>
      </w:r>
      <w:proofErr w:type="spellEnd"/>
      <w:r w:rsidRPr="00C87448">
        <w:t xml:space="preserve"> paskiepytos motinos, </w:t>
      </w:r>
      <w:r>
        <w:t xml:space="preserve">po pirminės vakcinacijos </w:t>
      </w:r>
      <w:r w:rsidRPr="00C87448">
        <w:t xml:space="preserve">(PT, FHA </w:t>
      </w:r>
      <w:r>
        <w:t>ir</w:t>
      </w:r>
      <w:r w:rsidRPr="00C87448">
        <w:t xml:space="preserve"> PRN) </w:t>
      </w:r>
      <w:r>
        <w:t xml:space="preserve">ir </w:t>
      </w:r>
      <w:proofErr w:type="spellStart"/>
      <w:r>
        <w:t>revakcinacijos</w:t>
      </w:r>
      <w:proofErr w:type="spellEnd"/>
      <w:r>
        <w:t xml:space="preserve"> </w:t>
      </w:r>
      <w:r w:rsidRPr="00C87448">
        <w:t xml:space="preserve">(PT, FHA) </w:t>
      </w:r>
      <w:r>
        <w:t>dozių suleidimo buvo išmatuotos mažesnės antikūnų prieš kokliušo antigeną koncentracijos.</w:t>
      </w:r>
      <w:r w:rsidRPr="00847ADB">
        <w:t xml:space="preserve"> </w:t>
      </w:r>
      <w:r w:rsidRPr="00C87448">
        <w:t>Kūdiki</w:t>
      </w:r>
      <w:r>
        <w:t>ų</w:t>
      </w:r>
      <w:r w:rsidRPr="00C87448">
        <w:t xml:space="preserve"> ir maž</w:t>
      </w:r>
      <w:r>
        <w:t>ų</w:t>
      </w:r>
      <w:r w:rsidRPr="00C87448">
        <w:t xml:space="preserve"> vaik</w:t>
      </w:r>
      <w:r>
        <w:t>ų</w:t>
      </w:r>
      <w:r w:rsidRPr="00C87448">
        <w:t xml:space="preserve">, kuriuos pagimdė </w:t>
      </w:r>
      <w:r>
        <w:t xml:space="preserve">nėštumo metu </w:t>
      </w:r>
      <w:proofErr w:type="spellStart"/>
      <w:r w:rsidRPr="00C87448">
        <w:t>Boostrix</w:t>
      </w:r>
      <w:proofErr w:type="spellEnd"/>
      <w:r w:rsidRPr="00C87448">
        <w:t xml:space="preserve"> </w:t>
      </w:r>
      <w:r>
        <w:t xml:space="preserve">arba placebu </w:t>
      </w:r>
      <w:r w:rsidRPr="00C87448">
        <w:t xml:space="preserve">paskiepytos motinos, </w:t>
      </w:r>
      <w:r>
        <w:t xml:space="preserve">antikūnų prieš kokliušo antigeną koncentracijų padidėjimas kartais 1-ąjį mėnesį po </w:t>
      </w:r>
      <w:proofErr w:type="spellStart"/>
      <w:r>
        <w:t>revakcinacijos</w:t>
      </w:r>
      <w:proofErr w:type="spellEnd"/>
      <w:r>
        <w:t xml:space="preserve">, palyginti su buvusiomis prieš </w:t>
      </w:r>
      <w:proofErr w:type="spellStart"/>
      <w:r>
        <w:t>revakcinaciją</w:t>
      </w:r>
      <w:proofErr w:type="spellEnd"/>
      <w:r>
        <w:t xml:space="preserve">, buvo tokiose pat ribose, o tai rodo efektyvią imuninę atmintį. </w:t>
      </w:r>
      <w:r w:rsidRPr="00541D6C">
        <w:t xml:space="preserve">Kadangi nėra koreliacinių ryšių </w:t>
      </w:r>
      <w:r>
        <w:t xml:space="preserve">su apsauga nuo </w:t>
      </w:r>
      <w:r w:rsidRPr="00541D6C">
        <w:t xml:space="preserve">kokliušo, šių stebėjimų klinikinė </w:t>
      </w:r>
      <w:r>
        <w:t>reikšmė n</w:t>
      </w:r>
      <w:r w:rsidRPr="00541D6C">
        <w:t xml:space="preserve">ėra </w:t>
      </w:r>
      <w:r>
        <w:t>piln</w:t>
      </w:r>
      <w:r w:rsidRPr="00541D6C">
        <w:t>ai suprantama.</w:t>
      </w:r>
      <w:r>
        <w:t xml:space="preserve"> Vis dėlto</w:t>
      </w:r>
      <w:r w:rsidRPr="00C87448">
        <w:t xml:space="preserve">, </w:t>
      </w:r>
      <w:r>
        <w:t>šiuo metu turimi</w:t>
      </w:r>
      <w:r w:rsidRPr="00C87448">
        <w:t xml:space="preserve"> </w:t>
      </w:r>
      <w:r>
        <w:t xml:space="preserve">kokliušo ligos </w:t>
      </w:r>
      <w:r w:rsidRPr="00C87448">
        <w:t>epidemiologi</w:t>
      </w:r>
      <w:r>
        <w:t xml:space="preserve">niai duomenys, gauti po motinų </w:t>
      </w:r>
      <w:proofErr w:type="spellStart"/>
      <w:r w:rsidRPr="00A16DE6">
        <w:rPr>
          <w:i/>
          <w:iCs/>
          <w:szCs w:val="22"/>
        </w:rPr>
        <w:t>dTpa</w:t>
      </w:r>
      <w:proofErr w:type="spellEnd"/>
      <w:r>
        <w:t xml:space="preserve"> imunizacijos įgyvendinimo, </w:t>
      </w:r>
      <w:r w:rsidRPr="00541D6C">
        <w:t>nerodo</w:t>
      </w:r>
      <w:r>
        <w:t>, kad tokia imuninė intervencija būtų kliniškai reikšminga</w:t>
      </w:r>
      <w:r w:rsidRPr="00C87448">
        <w:t>.</w:t>
      </w:r>
    </w:p>
    <w:bookmarkEnd w:id="40"/>
    <w:p w14:paraId="76189893" w14:textId="77777777" w:rsidR="00F50FC7" w:rsidRDefault="00F50FC7" w:rsidP="00F50FC7">
      <w:pPr>
        <w:rPr>
          <w:i/>
        </w:rPr>
      </w:pPr>
    </w:p>
    <w:p w14:paraId="28A2375D" w14:textId="77777777" w:rsidR="00F50FC7" w:rsidRPr="008D66EC" w:rsidRDefault="00F50FC7" w:rsidP="00F50FC7">
      <w:r>
        <w:rPr>
          <w:i/>
        </w:rPr>
        <w:t>Nėštumo metu paskiepytų motinų pagimdytų</w:t>
      </w:r>
      <w:r>
        <w:t xml:space="preserve"> </w:t>
      </w:r>
      <w:r>
        <w:rPr>
          <w:i/>
        </w:rPr>
        <w:t>kūdikių apsaugos nuo kokliušo realusis veiksmingumas</w:t>
      </w:r>
    </w:p>
    <w:p w14:paraId="7232BD47" w14:textId="77777777" w:rsidR="00F50FC7" w:rsidRDefault="00F50FC7" w:rsidP="00F50FC7">
      <w:pPr>
        <w:rPr>
          <w:i/>
          <w:color w:val="000000"/>
        </w:rPr>
      </w:pPr>
    </w:p>
    <w:p w14:paraId="1F944C79" w14:textId="77777777" w:rsidR="00F50FC7" w:rsidRPr="008D66EC" w:rsidRDefault="00F50FC7" w:rsidP="00F50FC7">
      <w:proofErr w:type="spellStart"/>
      <w:r>
        <w:rPr>
          <w:color w:val="000000"/>
        </w:rPr>
        <w:t>Boostrix</w:t>
      </w:r>
      <w:proofErr w:type="spellEnd"/>
      <w:r>
        <w:rPr>
          <w:color w:val="000000"/>
        </w:rPr>
        <w:t xml:space="preserve"> arba </w:t>
      </w:r>
      <w:proofErr w:type="spellStart"/>
      <w:r>
        <w:rPr>
          <w:color w:val="000000"/>
        </w:rPr>
        <w:t>Boostrix</w:t>
      </w:r>
      <w:proofErr w:type="spellEnd"/>
      <w:r>
        <w:t xml:space="preserve"> Polio </w:t>
      </w:r>
      <w:r>
        <w:rPr>
          <w:color w:val="000000"/>
        </w:rPr>
        <w:t>vakcinų realusis veiksmingumas buvo įvertintas trijų Jungtinėje Karalystėje, Ispanijoje ir Australijoje atliktų stebėjimo tyrimų metu. Vakcina buvo suleista kaip motinos vakcinacijos programos dalis trečiąjį nėštumo trimestrą, siekiant apsaugoti jaunesnius kaip 3 mėnesių kūdikius nuo kokliušo.</w:t>
      </w:r>
    </w:p>
    <w:p w14:paraId="17468537" w14:textId="77777777" w:rsidR="00F50FC7" w:rsidRDefault="00F50FC7" w:rsidP="00F50FC7">
      <w:pPr>
        <w:rPr>
          <w:color w:val="000000"/>
        </w:rPr>
      </w:pPr>
    </w:p>
    <w:p w14:paraId="07715EDC" w14:textId="77777777" w:rsidR="00F50FC7" w:rsidRDefault="00F50FC7" w:rsidP="00F50FC7">
      <w:pPr>
        <w:rPr>
          <w:color w:val="000000"/>
        </w:rPr>
      </w:pPr>
      <w:bookmarkStart w:id="43" w:name="_Hlk9445979"/>
      <w:r>
        <w:rPr>
          <w:color w:val="000000"/>
        </w:rPr>
        <w:t>Išsami informacija apie kiekvieno tyrimo planą ir tyrimų duomenys pateikti 5 lentelėje.</w:t>
      </w:r>
    </w:p>
    <w:p w14:paraId="2350C32A" w14:textId="77777777" w:rsidR="00F50FC7" w:rsidRDefault="00F50FC7" w:rsidP="00F50FC7">
      <w:pPr>
        <w:rPr>
          <w:color w:val="000000"/>
        </w:rPr>
      </w:pPr>
    </w:p>
    <w:p w14:paraId="6C5BE04C" w14:textId="269E71C5" w:rsidR="00F50FC7" w:rsidRPr="00E90E50" w:rsidRDefault="00F50FC7" w:rsidP="00E90E50">
      <w:pPr>
        <w:pStyle w:val="captiontable"/>
        <w:keepLines/>
        <w:spacing w:after="0"/>
        <w:ind w:left="0" w:firstLine="0"/>
        <w:rPr>
          <w:rFonts w:ascii="Times New Roman" w:hAnsi="Times New Roman"/>
          <w:b w:val="0"/>
          <w:lang w:val="lt-LT"/>
        </w:rPr>
      </w:pPr>
      <w:r>
        <w:rPr>
          <w:rFonts w:ascii="Times New Roman" w:hAnsi="Times New Roman"/>
          <w:szCs w:val="22"/>
          <w:lang w:val="lt-LT"/>
        </w:rPr>
        <w:t xml:space="preserve">5 lentelė. </w:t>
      </w:r>
      <w:bookmarkEnd w:id="43"/>
      <w:r>
        <w:rPr>
          <w:rFonts w:ascii="Times New Roman" w:hAnsi="Times New Roman"/>
          <w:b w:val="0"/>
          <w:szCs w:val="22"/>
          <w:lang w:val="lt-LT"/>
        </w:rPr>
        <w:t xml:space="preserve">Vakcinos realusis veiksmingumas, saugant nuo kokliušo ligos jaunesnius kaip 3 mėnesių kūdikius, kuriuos pagimdė motinos, paskiepytos </w:t>
      </w:r>
      <w:proofErr w:type="spellStart"/>
      <w:r>
        <w:rPr>
          <w:rFonts w:ascii="Times New Roman" w:hAnsi="Times New Roman"/>
          <w:b w:val="0"/>
          <w:szCs w:val="22"/>
          <w:lang w:val="lt-LT"/>
        </w:rPr>
        <w:t>Boostrix</w:t>
      </w:r>
      <w:proofErr w:type="spellEnd"/>
      <w:r>
        <w:rPr>
          <w:rFonts w:ascii="Times New Roman" w:hAnsi="Times New Roman"/>
          <w:b w:val="0"/>
          <w:szCs w:val="22"/>
          <w:lang w:val="lt-LT"/>
        </w:rPr>
        <w:t xml:space="preserve"> arba </w:t>
      </w:r>
      <w:proofErr w:type="spellStart"/>
      <w:r>
        <w:rPr>
          <w:rFonts w:ascii="Times New Roman" w:hAnsi="Times New Roman"/>
          <w:b w:val="0"/>
          <w:szCs w:val="22"/>
          <w:lang w:val="lt-LT"/>
        </w:rPr>
        <w:t>Boostrix</w:t>
      </w:r>
      <w:proofErr w:type="spellEnd"/>
      <w:r>
        <w:rPr>
          <w:rFonts w:ascii="Times New Roman" w:hAnsi="Times New Roman"/>
          <w:b w:val="0"/>
          <w:szCs w:val="22"/>
          <w:lang w:val="lt-LT"/>
        </w:rPr>
        <w:t xml:space="preserve"> Polio trečiąjį nėštumo trimestrą</w:t>
      </w:r>
    </w:p>
    <w:p w14:paraId="4392AEBA" w14:textId="77777777" w:rsidR="003E1728" w:rsidRPr="003E1728" w:rsidRDefault="003E1728" w:rsidP="00C877BC"/>
    <w:tbl>
      <w:tblPr>
        <w:tblW w:w="5000" w:type="pct"/>
        <w:tblCellMar>
          <w:left w:w="10" w:type="dxa"/>
          <w:right w:w="10" w:type="dxa"/>
        </w:tblCellMar>
        <w:tblLook w:val="0000" w:firstRow="0" w:lastRow="0" w:firstColumn="0" w:lastColumn="0" w:noHBand="0" w:noVBand="0"/>
      </w:tblPr>
      <w:tblGrid>
        <w:gridCol w:w="2141"/>
        <w:gridCol w:w="1015"/>
        <w:gridCol w:w="2249"/>
        <w:gridCol w:w="3655"/>
      </w:tblGrid>
      <w:tr w:rsidR="00F50FC7" w14:paraId="04BE0E24" w14:textId="77777777" w:rsidTr="005B4014">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8ACBC" w14:textId="77777777" w:rsidR="00F50FC7" w:rsidRDefault="00F50FC7" w:rsidP="003E1728">
            <w:pPr>
              <w:pStyle w:val="tabletextNS"/>
              <w:keepNext/>
              <w:keepLines/>
              <w:rPr>
                <w:rFonts w:ascii="Times New Roman" w:hAnsi="Times New Roman"/>
                <w:b/>
                <w:sz w:val="22"/>
                <w:szCs w:val="22"/>
                <w:lang w:val="lt-LT"/>
              </w:rPr>
            </w:pPr>
            <w:r>
              <w:rPr>
                <w:rFonts w:ascii="Times New Roman" w:hAnsi="Times New Roman"/>
                <w:b/>
                <w:sz w:val="22"/>
                <w:szCs w:val="22"/>
                <w:lang w:val="lt-LT"/>
              </w:rPr>
              <w:lastRenderedPageBreak/>
              <w:t>Tyrimo atlikimo vieta</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7C25" w14:textId="77777777" w:rsidR="00F50FC7" w:rsidRDefault="00F50FC7">
            <w:pPr>
              <w:pStyle w:val="tabletextNS"/>
              <w:keepNext/>
              <w:keepLines/>
              <w:jc w:val="center"/>
              <w:rPr>
                <w:rFonts w:ascii="Times New Roman" w:hAnsi="Times New Roman"/>
                <w:b/>
                <w:sz w:val="22"/>
                <w:szCs w:val="22"/>
                <w:lang w:val="lt-LT"/>
              </w:rPr>
            </w:pPr>
            <w:r>
              <w:rPr>
                <w:rFonts w:ascii="Times New Roman" w:hAnsi="Times New Roman"/>
                <w:b/>
                <w:sz w:val="22"/>
                <w:szCs w:val="22"/>
                <w:lang w:val="lt-LT"/>
              </w:rPr>
              <w:t>Vakcina</w:t>
            </w:r>
          </w:p>
        </w:tc>
        <w:tc>
          <w:tcPr>
            <w:tcW w:w="2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254BB" w14:textId="77777777" w:rsidR="00F50FC7" w:rsidRDefault="00F50FC7">
            <w:pPr>
              <w:pStyle w:val="tabletextNS"/>
              <w:keepNext/>
              <w:keepLines/>
              <w:jc w:val="center"/>
              <w:rPr>
                <w:rFonts w:ascii="Times New Roman" w:hAnsi="Times New Roman"/>
                <w:b/>
                <w:sz w:val="22"/>
                <w:szCs w:val="22"/>
                <w:lang w:val="lt-LT"/>
              </w:rPr>
            </w:pPr>
            <w:r>
              <w:rPr>
                <w:rFonts w:ascii="Times New Roman" w:hAnsi="Times New Roman"/>
                <w:b/>
                <w:sz w:val="22"/>
                <w:szCs w:val="22"/>
                <w:lang w:val="lt-LT"/>
              </w:rPr>
              <w:t>Tyrimo planas</w:t>
            </w:r>
          </w:p>
        </w:tc>
        <w:tc>
          <w:tcPr>
            <w:tcW w:w="3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97A1A" w14:textId="77777777" w:rsidR="00F50FC7" w:rsidRDefault="00F50FC7">
            <w:pPr>
              <w:pStyle w:val="tabletextNS"/>
              <w:keepNext/>
              <w:keepLines/>
              <w:jc w:val="center"/>
              <w:rPr>
                <w:rFonts w:ascii="Times New Roman" w:hAnsi="Times New Roman"/>
                <w:b/>
                <w:sz w:val="22"/>
                <w:szCs w:val="22"/>
                <w:lang w:val="lt-LT"/>
              </w:rPr>
            </w:pPr>
            <w:r>
              <w:rPr>
                <w:rFonts w:ascii="Times New Roman" w:hAnsi="Times New Roman"/>
                <w:b/>
                <w:sz w:val="22"/>
                <w:szCs w:val="22"/>
                <w:lang w:val="lt-LT"/>
              </w:rPr>
              <w:t>Skiepijimo vakcina realusis veiksmingumas</w:t>
            </w:r>
          </w:p>
        </w:tc>
      </w:tr>
      <w:tr w:rsidR="00F50FC7" w14:paraId="05F381E4" w14:textId="77777777" w:rsidTr="005B4014">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134A0" w14:textId="77777777" w:rsidR="00F50FC7" w:rsidRDefault="00F50FC7" w:rsidP="005B4014">
            <w:pPr>
              <w:pStyle w:val="tabletextNS"/>
              <w:keepNext/>
              <w:keepLines/>
              <w:rPr>
                <w:rFonts w:ascii="Times New Roman" w:hAnsi="Times New Roman"/>
                <w:b/>
                <w:sz w:val="22"/>
                <w:szCs w:val="22"/>
                <w:lang w:val="lt-LT"/>
              </w:rPr>
            </w:pPr>
            <w:r>
              <w:rPr>
                <w:rFonts w:ascii="Times New Roman" w:hAnsi="Times New Roman"/>
                <w:b/>
                <w:sz w:val="22"/>
                <w:szCs w:val="22"/>
                <w:lang w:val="lt-LT"/>
              </w:rPr>
              <w:t>Jungtinė Karalystė</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CA4C9" w14:textId="77777777" w:rsidR="00F50FC7" w:rsidRPr="00E90E50" w:rsidRDefault="00F50FC7" w:rsidP="005B4014">
            <w:pPr>
              <w:pStyle w:val="tabletextNS"/>
              <w:keepNext/>
              <w:keepLines/>
              <w:jc w:val="center"/>
              <w:rPr>
                <w:rFonts w:ascii="Times New Roman" w:hAnsi="Times New Roman"/>
              </w:rPr>
            </w:pPr>
            <w:proofErr w:type="spellStart"/>
            <w:r>
              <w:rPr>
                <w:rFonts w:ascii="Times New Roman" w:hAnsi="Times New Roman"/>
                <w:i/>
                <w:sz w:val="22"/>
                <w:szCs w:val="22"/>
                <w:lang w:val="lt-LT"/>
              </w:rPr>
              <w:t>Boostrix</w:t>
            </w:r>
            <w:proofErr w:type="spellEnd"/>
            <w:r>
              <w:rPr>
                <w:rFonts w:ascii="Times New Roman" w:hAnsi="Times New Roman"/>
                <w:i/>
                <w:sz w:val="22"/>
                <w:szCs w:val="22"/>
                <w:lang w:val="lt-LT"/>
              </w:rPr>
              <w:t xml:space="preserve"> Polio</w:t>
            </w:r>
          </w:p>
        </w:tc>
        <w:tc>
          <w:tcPr>
            <w:tcW w:w="2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A7183" w14:textId="77777777" w:rsidR="00F50FC7" w:rsidRDefault="00F50FC7" w:rsidP="005B4014">
            <w:pPr>
              <w:pStyle w:val="tabletextNS"/>
              <w:keepNext/>
              <w:keepLines/>
              <w:jc w:val="center"/>
              <w:rPr>
                <w:rFonts w:ascii="Times New Roman" w:hAnsi="Times New Roman"/>
                <w:sz w:val="22"/>
                <w:szCs w:val="22"/>
                <w:lang w:val="lt-LT"/>
              </w:rPr>
            </w:pPr>
            <w:r>
              <w:rPr>
                <w:rFonts w:ascii="Times New Roman" w:hAnsi="Times New Roman"/>
                <w:sz w:val="22"/>
                <w:szCs w:val="22"/>
                <w:lang w:val="lt-LT"/>
              </w:rPr>
              <w:t>Retrospektyvusis, atrankos metodas</w:t>
            </w:r>
          </w:p>
        </w:tc>
        <w:tc>
          <w:tcPr>
            <w:tcW w:w="3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A9784" w14:textId="771D2F93" w:rsidR="00F50FC7" w:rsidRDefault="00F50FC7" w:rsidP="00646560">
            <w:pPr>
              <w:pStyle w:val="tabletextNS"/>
              <w:keepNext/>
              <w:keepLines/>
              <w:jc w:val="center"/>
              <w:rPr>
                <w:rFonts w:ascii="Times New Roman" w:hAnsi="Times New Roman"/>
                <w:i/>
                <w:color w:val="000000"/>
                <w:sz w:val="22"/>
                <w:szCs w:val="22"/>
                <w:lang w:val="lt-LT"/>
              </w:rPr>
            </w:pPr>
            <w:r>
              <w:rPr>
                <w:rFonts w:ascii="Times New Roman" w:hAnsi="Times New Roman"/>
                <w:sz w:val="22"/>
                <w:szCs w:val="22"/>
                <w:lang w:val="lt-LT"/>
              </w:rPr>
              <w:t>88</w:t>
            </w:r>
            <w:r w:rsidR="00775B1A">
              <w:rPr>
                <w:rFonts w:ascii="Times New Roman" w:hAnsi="Times New Roman"/>
                <w:sz w:val="22"/>
                <w:szCs w:val="22"/>
                <w:lang w:val="lt-LT"/>
              </w:rPr>
              <w:t> </w:t>
            </w:r>
            <w:r>
              <w:rPr>
                <w:rFonts w:ascii="Times New Roman" w:hAnsi="Times New Roman"/>
                <w:sz w:val="22"/>
                <w:szCs w:val="22"/>
                <w:lang w:val="lt-LT"/>
              </w:rPr>
              <w:t>% (95</w:t>
            </w:r>
            <w:r w:rsidR="00775B1A">
              <w:rPr>
                <w:rFonts w:ascii="Times New Roman" w:hAnsi="Times New Roman"/>
                <w:sz w:val="22"/>
                <w:szCs w:val="22"/>
                <w:lang w:val="lt-LT"/>
              </w:rPr>
              <w:t> </w:t>
            </w:r>
            <w:r>
              <w:rPr>
                <w:rFonts w:ascii="Times New Roman" w:hAnsi="Times New Roman"/>
                <w:sz w:val="22"/>
                <w:szCs w:val="22"/>
                <w:lang w:val="lt-LT"/>
              </w:rPr>
              <w:t>% PI: 79, 93)</w:t>
            </w:r>
          </w:p>
        </w:tc>
      </w:tr>
      <w:tr w:rsidR="00F50FC7" w14:paraId="60FC1271" w14:textId="77777777" w:rsidTr="005B4014">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AC09F" w14:textId="77777777" w:rsidR="00F50FC7" w:rsidRDefault="00F50FC7" w:rsidP="005B4014">
            <w:pPr>
              <w:pStyle w:val="tabletextNS"/>
              <w:keepNext/>
              <w:keepLines/>
              <w:rPr>
                <w:rFonts w:ascii="Times New Roman" w:hAnsi="Times New Roman"/>
                <w:b/>
                <w:sz w:val="22"/>
                <w:szCs w:val="22"/>
                <w:lang w:val="lt-LT"/>
              </w:rPr>
            </w:pPr>
            <w:r>
              <w:rPr>
                <w:rFonts w:ascii="Times New Roman" w:hAnsi="Times New Roman"/>
                <w:b/>
                <w:sz w:val="22"/>
                <w:szCs w:val="22"/>
                <w:lang w:val="lt-LT"/>
              </w:rPr>
              <w:t>Ispanija</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C87D4" w14:textId="77777777" w:rsidR="00F50FC7" w:rsidRPr="00E90E50" w:rsidRDefault="00F50FC7" w:rsidP="005B4014">
            <w:pPr>
              <w:pStyle w:val="tabletextNS"/>
              <w:keepNext/>
              <w:keepLines/>
              <w:jc w:val="center"/>
              <w:rPr>
                <w:rFonts w:ascii="Times New Roman" w:hAnsi="Times New Roman"/>
              </w:rPr>
            </w:pPr>
            <w:proofErr w:type="spellStart"/>
            <w:r>
              <w:rPr>
                <w:rFonts w:ascii="Times New Roman" w:hAnsi="Times New Roman"/>
                <w:i/>
                <w:sz w:val="22"/>
                <w:szCs w:val="22"/>
                <w:lang w:val="lt-LT"/>
              </w:rPr>
              <w:t>Boostrix</w:t>
            </w:r>
            <w:proofErr w:type="spellEnd"/>
          </w:p>
        </w:tc>
        <w:tc>
          <w:tcPr>
            <w:tcW w:w="2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3915A" w14:textId="77777777" w:rsidR="00F50FC7" w:rsidRDefault="00F50FC7" w:rsidP="005B4014">
            <w:pPr>
              <w:pStyle w:val="tabletextNS"/>
              <w:keepNext/>
              <w:keepLines/>
              <w:jc w:val="center"/>
              <w:rPr>
                <w:rFonts w:ascii="Times New Roman" w:hAnsi="Times New Roman"/>
                <w:sz w:val="22"/>
                <w:szCs w:val="22"/>
                <w:lang w:val="lt-LT"/>
              </w:rPr>
            </w:pPr>
            <w:r>
              <w:rPr>
                <w:rFonts w:ascii="Times New Roman" w:hAnsi="Times New Roman"/>
                <w:sz w:val="22"/>
                <w:szCs w:val="22"/>
                <w:lang w:val="lt-LT"/>
              </w:rPr>
              <w:t>Perspektyvusis, suderintų atvejų kontrolės</w:t>
            </w:r>
          </w:p>
        </w:tc>
        <w:tc>
          <w:tcPr>
            <w:tcW w:w="3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F56A7" w14:textId="35B709AC" w:rsidR="00F50FC7" w:rsidRDefault="00F50FC7" w:rsidP="00646560">
            <w:pPr>
              <w:pStyle w:val="tabletextNS"/>
              <w:keepNext/>
              <w:keepLines/>
              <w:jc w:val="center"/>
              <w:rPr>
                <w:rFonts w:ascii="Times New Roman" w:hAnsi="Times New Roman"/>
                <w:sz w:val="22"/>
                <w:szCs w:val="22"/>
                <w:lang w:val="lt-LT"/>
              </w:rPr>
            </w:pPr>
            <w:r>
              <w:rPr>
                <w:rFonts w:ascii="Times New Roman" w:hAnsi="Times New Roman"/>
                <w:sz w:val="22"/>
                <w:szCs w:val="22"/>
                <w:lang w:val="lt-LT"/>
              </w:rPr>
              <w:t>90,9</w:t>
            </w:r>
            <w:r w:rsidR="00775B1A">
              <w:rPr>
                <w:rFonts w:ascii="Times New Roman" w:hAnsi="Times New Roman"/>
                <w:sz w:val="22"/>
                <w:szCs w:val="22"/>
                <w:lang w:val="lt-LT"/>
              </w:rPr>
              <w:t> </w:t>
            </w:r>
            <w:r>
              <w:rPr>
                <w:rFonts w:ascii="Times New Roman" w:hAnsi="Times New Roman"/>
                <w:sz w:val="22"/>
                <w:szCs w:val="22"/>
                <w:lang w:val="lt-LT"/>
              </w:rPr>
              <w:t>% (95</w:t>
            </w:r>
            <w:r w:rsidR="00775B1A">
              <w:rPr>
                <w:rFonts w:ascii="Times New Roman" w:hAnsi="Times New Roman"/>
                <w:sz w:val="22"/>
                <w:szCs w:val="22"/>
                <w:lang w:val="lt-LT"/>
              </w:rPr>
              <w:t> </w:t>
            </w:r>
            <w:r>
              <w:rPr>
                <w:rFonts w:ascii="Times New Roman" w:hAnsi="Times New Roman"/>
                <w:sz w:val="22"/>
                <w:szCs w:val="22"/>
                <w:lang w:val="lt-LT"/>
              </w:rPr>
              <w:t>% PI: 56,6, 98,1)</w:t>
            </w:r>
          </w:p>
        </w:tc>
      </w:tr>
      <w:tr w:rsidR="00F50FC7" w14:paraId="06B8CA14" w14:textId="77777777" w:rsidTr="005B4014">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C67B8" w14:textId="77777777" w:rsidR="00F50FC7" w:rsidRDefault="00F50FC7" w:rsidP="005B4014">
            <w:pPr>
              <w:pStyle w:val="tabletextNS"/>
              <w:keepNext/>
              <w:keepLines/>
              <w:rPr>
                <w:rFonts w:ascii="Times New Roman" w:hAnsi="Times New Roman"/>
                <w:b/>
                <w:sz w:val="22"/>
                <w:szCs w:val="22"/>
                <w:lang w:val="lt-LT"/>
              </w:rPr>
            </w:pPr>
            <w:r>
              <w:rPr>
                <w:rFonts w:ascii="Times New Roman" w:hAnsi="Times New Roman"/>
                <w:b/>
                <w:sz w:val="22"/>
                <w:szCs w:val="22"/>
                <w:lang w:val="lt-LT"/>
              </w:rPr>
              <w:t>Australija</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3E28D" w14:textId="77777777" w:rsidR="00F50FC7" w:rsidRPr="00E90E50" w:rsidRDefault="00F50FC7" w:rsidP="005B4014">
            <w:pPr>
              <w:pStyle w:val="tabletextNS"/>
              <w:keepNext/>
              <w:keepLines/>
              <w:jc w:val="center"/>
              <w:rPr>
                <w:rFonts w:ascii="Times New Roman" w:hAnsi="Times New Roman"/>
              </w:rPr>
            </w:pPr>
            <w:proofErr w:type="spellStart"/>
            <w:r>
              <w:rPr>
                <w:rFonts w:ascii="Times New Roman" w:hAnsi="Times New Roman"/>
                <w:i/>
                <w:sz w:val="22"/>
                <w:szCs w:val="22"/>
                <w:lang w:val="lt-LT"/>
              </w:rPr>
              <w:t>Boostrix</w:t>
            </w:r>
            <w:proofErr w:type="spellEnd"/>
          </w:p>
        </w:tc>
        <w:tc>
          <w:tcPr>
            <w:tcW w:w="2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F37E" w14:textId="77777777" w:rsidR="00F50FC7" w:rsidRDefault="00F50FC7" w:rsidP="005B4014">
            <w:pPr>
              <w:pStyle w:val="tabletextNS"/>
              <w:keepNext/>
              <w:keepLines/>
              <w:jc w:val="center"/>
              <w:rPr>
                <w:rFonts w:ascii="Times New Roman" w:hAnsi="Times New Roman"/>
                <w:sz w:val="22"/>
                <w:szCs w:val="22"/>
                <w:lang w:val="lt-LT"/>
              </w:rPr>
            </w:pPr>
            <w:r>
              <w:rPr>
                <w:rFonts w:ascii="Times New Roman" w:hAnsi="Times New Roman"/>
                <w:sz w:val="22"/>
                <w:szCs w:val="22"/>
                <w:lang w:val="lt-LT"/>
              </w:rPr>
              <w:t>Perspektyvusis, suderintų atvejų kontrolės</w:t>
            </w:r>
          </w:p>
        </w:tc>
        <w:tc>
          <w:tcPr>
            <w:tcW w:w="3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7976C" w14:textId="49FADB48" w:rsidR="00F50FC7" w:rsidRDefault="00F50FC7" w:rsidP="00646560">
            <w:pPr>
              <w:pStyle w:val="tabletextNS"/>
              <w:keepNext/>
              <w:keepLines/>
              <w:jc w:val="center"/>
              <w:rPr>
                <w:rFonts w:ascii="Times New Roman" w:hAnsi="Times New Roman"/>
                <w:i/>
                <w:color w:val="000000"/>
                <w:sz w:val="22"/>
                <w:szCs w:val="22"/>
                <w:lang w:val="lt-LT"/>
              </w:rPr>
            </w:pPr>
            <w:r>
              <w:rPr>
                <w:rFonts w:ascii="Times New Roman" w:hAnsi="Times New Roman"/>
                <w:sz w:val="22"/>
                <w:szCs w:val="22"/>
                <w:lang w:val="lt-LT"/>
              </w:rPr>
              <w:t>69</w:t>
            </w:r>
            <w:r w:rsidR="00775B1A">
              <w:rPr>
                <w:rFonts w:ascii="Times New Roman" w:hAnsi="Times New Roman"/>
                <w:sz w:val="22"/>
                <w:szCs w:val="22"/>
                <w:lang w:val="lt-LT"/>
              </w:rPr>
              <w:t> </w:t>
            </w:r>
            <w:r>
              <w:rPr>
                <w:rFonts w:ascii="Times New Roman" w:hAnsi="Times New Roman"/>
                <w:sz w:val="22"/>
                <w:szCs w:val="22"/>
                <w:lang w:val="lt-LT"/>
              </w:rPr>
              <w:t>% (95</w:t>
            </w:r>
            <w:r w:rsidR="00775B1A">
              <w:rPr>
                <w:rFonts w:ascii="Times New Roman" w:hAnsi="Times New Roman"/>
                <w:sz w:val="22"/>
                <w:szCs w:val="22"/>
                <w:lang w:val="lt-LT"/>
              </w:rPr>
              <w:t> </w:t>
            </w:r>
            <w:r>
              <w:rPr>
                <w:rFonts w:ascii="Times New Roman" w:hAnsi="Times New Roman"/>
                <w:sz w:val="22"/>
                <w:szCs w:val="22"/>
                <w:lang w:val="lt-LT"/>
              </w:rPr>
              <w:t>% PI: 13, 89)</w:t>
            </w:r>
          </w:p>
        </w:tc>
      </w:tr>
    </w:tbl>
    <w:p w14:paraId="7A2D0B73" w14:textId="77777777" w:rsidR="00F50FC7" w:rsidRDefault="00F50FC7" w:rsidP="00F50FC7">
      <w:pPr>
        <w:rPr>
          <w:sz w:val="20"/>
        </w:rPr>
      </w:pPr>
      <w:r>
        <w:rPr>
          <w:sz w:val="20"/>
        </w:rPr>
        <w:t xml:space="preserve">PI – </w:t>
      </w:r>
      <w:proofErr w:type="spellStart"/>
      <w:r>
        <w:rPr>
          <w:sz w:val="20"/>
        </w:rPr>
        <w:t>pasikliautinasis</w:t>
      </w:r>
      <w:proofErr w:type="spellEnd"/>
      <w:r>
        <w:rPr>
          <w:sz w:val="20"/>
        </w:rPr>
        <w:t xml:space="preserve"> intervalas.</w:t>
      </w:r>
    </w:p>
    <w:p w14:paraId="2D1D35BA" w14:textId="77777777" w:rsidR="00F50FC7" w:rsidRDefault="00F50FC7" w:rsidP="00F50FC7"/>
    <w:p w14:paraId="54A2EDF8" w14:textId="77777777" w:rsidR="00F50FC7" w:rsidRDefault="00F50FC7" w:rsidP="00F50FC7">
      <w:r>
        <w:t>Jeigu motina paskiepijama dviejų savaičių iki gimdymo laikotarpiu, vakcinos realusis veiksmingumas kūdikiui gali būti mažesnis nei nurodytas lentelėje.</w:t>
      </w:r>
    </w:p>
    <w:p w14:paraId="0990354A" w14:textId="77777777" w:rsidR="00F50FC7" w:rsidRDefault="00F50FC7" w:rsidP="00F50FC7">
      <w:pPr>
        <w:tabs>
          <w:tab w:val="left" w:pos="567"/>
        </w:tabs>
        <w:rPr>
          <w:szCs w:val="22"/>
        </w:rPr>
      </w:pPr>
    </w:p>
    <w:p w14:paraId="7C590476" w14:textId="77777777" w:rsidR="00F50FC7" w:rsidRDefault="00F50FC7" w:rsidP="00F50FC7">
      <w:pPr>
        <w:keepNext/>
        <w:tabs>
          <w:tab w:val="left" w:pos="567"/>
        </w:tabs>
        <w:rPr>
          <w:i/>
          <w:szCs w:val="22"/>
        </w:rPr>
      </w:pPr>
      <w:r>
        <w:rPr>
          <w:i/>
          <w:szCs w:val="22"/>
        </w:rPr>
        <w:t xml:space="preserve">Imuninis atsakas po pakartotinės </w:t>
      </w:r>
      <w:proofErr w:type="spellStart"/>
      <w:r>
        <w:rPr>
          <w:i/>
          <w:szCs w:val="22"/>
        </w:rPr>
        <w:t>Boostrix</w:t>
      </w:r>
      <w:proofErr w:type="spellEnd"/>
      <w:r>
        <w:rPr>
          <w:i/>
          <w:szCs w:val="22"/>
        </w:rPr>
        <w:t xml:space="preserve"> dozės</w:t>
      </w:r>
    </w:p>
    <w:p w14:paraId="7E0D25FD" w14:textId="77777777" w:rsidR="00F50FC7" w:rsidRPr="00E90E50" w:rsidRDefault="00F50FC7" w:rsidP="00F50FC7">
      <w:pPr>
        <w:keepNext/>
        <w:tabs>
          <w:tab w:val="left" w:pos="567"/>
        </w:tabs>
      </w:pPr>
    </w:p>
    <w:p w14:paraId="59775651" w14:textId="77777777" w:rsidR="00F50FC7" w:rsidRDefault="00F50FC7" w:rsidP="00F50FC7">
      <w:r>
        <w:rPr>
          <w:szCs w:val="22"/>
        </w:rPr>
        <w:t xml:space="preserve">Buvo įvertintas </w:t>
      </w:r>
      <w:proofErr w:type="spellStart"/>
      <w:r>
        <w:rPr>
          <w:szCs w:val="22"/>
        </w:rPr>
        <w:t>imunogeniškumas</w:t>
      </w:r>
      <w:proofErr w:type="spellEnd"/>
      <w:r>
        <w:rPr>
          <w:szCs w:val="22"/>
        </w:rPr>
        <w:t xml:space="preserve"> </w:t>
      </w:r>
      <w:proofErr w:type="spellStart"/>
      <w:r>
        <w:rPr>
          <w:szCs w:val="22"/>
        </w:rPr>
        <w:t>Boostrix</w:t>
      </w:r>
      <w:proofErr w:type="spellEnd"/>
      <w:r>
        <w:rPr>
          <w:szCs w:val="22"/>
        </w:rPr>
        <w:t xml:space="preserve"> vakcinos dozės, kuri suleidžiama praėjus 10 metų po </w:t>
      </w:r>
      <w:proofErr w:type="spellStart"/>
      <w:r>
        <w:rPr>
          <w:szCs w:val="22"/>
        </w:rPr>
        <w:t>revakcinacijos</w:t>
      </w:r>
      <w:proofErr w:type="spellEnd"/>
      <w:r>
        <w:rPr>
          <w:szCs w:val="22"/>
        </w:rPr>
        <w:t xml:space="preserve"> vakcina (vakcinomis), kurioje (kuriose) yra mažesnis difterijos, stabligės ir neląstelinio kokliušo antigeno kiekis, pradinės dozės. Praėjus vienam mėnesiui po vakcinacijos, daugiau kaip 99 % tiriamųjų pasireiškė serologinė apsauga nuo difterijos bei stabligės ir jiems buvo nustatytas kokliušo serologinis teigiamumas.</w:t>
      </w:r>
    </w:p>
    <w:p w14:paraId="5237418F" w14:textId="77777777" w:rsidR="00F50FC7" w:rsidRDefault="00F50FC7" w:rsidP="00F50FC7">
      <w:pPr>
        <w:tabs>
          <w:tab w:val="left" w:pos="567"/>
        </w:tabs>
        <w:rPr>
          <w:szCs w:val="22"/>
        </w:rPr>
      </w:pPr>
    </w:p>
    <w:p w14:paraId="2CDAE683" w14:textId="77777777" w:rsidR="00F50FC7" w:rsidRDefault="00F50FC7" w:rsidP="00F50FC7">
      <w:pPr>
        <w:tabs>
          <w:tab w:val="left" w:pos="567"/>
        </w:tabs>
        <w:rPr>
          <w:i/>
          <w:szCs w:val="22"/>
        </w:rPr>
      </w:pPr>
      <w:r>
        <w:rPr>
          <w:i/>
          <w:szCs w:val="22"/>
        </w:rPr>
        <w:t>Imuninis atsakas anksčiau neskiepytiems asmenims arba asmenims, kurių vakcinacijos istorija nežinoma</w:t>
      </w:r>
    </w:p>
    <w:p w14:paraId="64CA0814" w14:textId="77777777" w:rsidR="00F50FC7" w:rsidRPr="00E90E50" w:rsidRDefault="00F50FC7" w:rsidP="00F50FC7">
      <w:pPr>
        <w:tabs>
          <w:tab w:val="left" w:pos="567"/>
        </w:tabs>
      </w:pPr>
    </w:p>
    <w:p w14:paraId="35A4D4F6" w14:textId="77777777" w:rsidR="00F50FC7" w:rsidRDefault="00F50FC7" w:rsidP="00F50FC7">
      <w:r>
        <w:rPr>
          <w:szCs w:val="22"/>
        </w:rPr>
        <w:t xml:space="preserve">Suleidus vieną </w:t>
      </w:r>
      <w:proofErr w:type="spellStart"/>
      <w:r>
        <w:rPr>
          <w:szCs w:val="22"/>
        </w:rPr>
        <w:t>Boostrix</w:t>
      </w:r>
      <w:proofErr w:type="spellEnd"/>
      <w:r>
        <w:rPr>
          <w:szCs w:val="22"/>
        </w:rPr>
        <w:t xml:space="preserve"> dozę 83 paaugliams (11</w:t>
      </w:r>
      <w:r>
        <w:rPr>
          <w:szCs w:val="22"/>
        </w:rPr>
        <w:noBreakHyphen/>
        <w:t>18 metų), kurie anksčiau nebuvo skiepyti nuo kokliušo ir nebuvo skiepyti nuo difterijos ar stabligės per praėjusius 5 metus, visiems tiriamiesiems pasireiškė serologinė apsauga nuo stabligės ir difterijos. Serologinis teigiamumas įvairiems kokliušo antigenams buvo nuo 87 % iki 100 %.</w:t>
      </w:r>
    </w:p>
    <w:p w14:paraId="0F8AB836" w14:textId="77777777" w:rsidR="00F50FC7" w:rsidRDefault="00F50FC7" w:rsidP="00F50FC7">
      <w:pPr>
        <w:ind w:right="82"/>
        <w:rPr>
          <w:iCs/>
          <w:szCs w:val="22"/>
        </w:rPr>
      </w:pPr>
    </w:p>
    <w:p w14:paraId="57C9B719" w14:textId="0BB5AD92" w:rsidR="00F50FC7" w:rsidRDefault="00F50FC7" w:rsidP="00F50FC7">
      <w:pPr>
        <w:ind w:right="82"/>
        <w:rPr>
          <w:iCs/>
          <w:szCs w:val="22"/>
        </w:rPr>
      </w:pPr>
      <w:r>
        <w:rPr>
          <w:iCs/>
          <w:szCs w:val="22"/>
        </w:rPr>
        <w:t xml:space="preserve">Suleidus vieną </w:t>
      </w:r>
      <w:proofErr w:type="spellStart"/>
      <w:r>
        <w:rPr>
          <w:iCs/>
          <w:szCs w:val="22"/>
        </w:rPr>
        <w:t>Boostrix</w:t>
      </w:r>
      <w:proofErr w:type="spellEnd"/>
      <w:r>
        <w:rPr>
          <w:iCs/>
          <w:szCs w:val="22"/>
        </w:rPr>
        <w:t xml:space="preserve"> dozę 139 suaugusiesiems (40 metų ir vyresniems), kurie per paskutinius 20 metų nebuvo skiepyti vakcina nuo difterijos ir stabligės, daugiau kaip 98,5 % suaugusiųjų buvo nustatytas serologinis teigiamumas visiems trims kokliušo antigenams ir atitinkamai 81,5 % ir 93,4 % pasireiškė serologinė apsauga nuo difterijos ir stabligės. Suleidus dvi papildomas vakcinos dozes praėjus vienam ir šešiems mėnesiams po pirmosios dozės, serologinis teigiamumas visiems trims kokliušo antigenams pasireiškė 100 %, o serologinė apsauga nuo difterijos ir stabligės pasiekė atitinkamai 99,3 % ir 100 %.</w:t>
      </w:r>
    </w:p>
    <w:p w14:paraId="53D06785" w14:textId="568D3DFB" w:rsidR="00E969C1" w:rsidRDefault="00E969C1" w:rsidP="00F50FC7">
      <w:pPr>
        <w:ind w:right="82"/>
        <w:rPr>
          <w:iCs/>
          <w:szCs w:val="22"/>
        </w:rPr>
      </w:pPr>
    </w:p>
    <w:p w14:paraId="40DB7EF9" w14:textId="550CD6F2" w:rsidR="00E969C1" w:rsidRDefault="00E969C1" w:rsidP="00E969C1">
      <w:pPr>
        <w:tabs>
          <w:tab w:val="left" w:pos="0"/>
        </w:tabs>
        <w:ind w:right="82"/>
        <w:rPr>
          <w:i/>
        </w:rPr>
      </w:pPr>
      <w:r w:rsidRPr="00245E2E">
        <w:rPr>
          <w:i/>
        </w:rPr>
        <w:t>Imun</w:t>
      </w:r>
      <w:r>
        <w:rPr>
          <w:i/>
        </w:rPr>
        <w:t xml:space="preserve">inis atsakas ir saugumo duomenys </w:t>
      </w:r>
      <w:r w:rsidRPr="00E969C1">
        <w:rPr>
          <w:i/>
        </w:rPr>
        <w:t>tiriamiesiems aktyviai gyd</w:t>
      </w:r>
      <w:r>
        <w:rPr>
          <w:i/>
        </w:rPr>
        <w:t>ant</w:t>
      </w:r>
      <w:r w:rsidRPr="00E969C1">
        <w:rPr>
          <w:i/>
        </w:rPr>
        <w:t xml:space="preserve"> obstrukcin</w:t>
      </w:r>
      <w:r>
        <w:rPr>
          <w:i/>
        </w:rPr>
        <w:t>e</w:t>
      </w:r>
      <w:r w:rsidRPr="00E969C1">
        <w:rPr>
          <w:i/>
        </w:rPr>
        <w:t>s kvėpavimo takų lig</w:t>
      </w:r>
      <w:r>
        <w:rPr>
          <w:i/>
        </w:rPr>
        <w:t>a</w:t>
      </w:r>
      <w:r w:rsidRPr="00E969C1">
        <w:rPr>
          <w:i/>
        </w:rPr>
        <w:t>s</w:t>
      </w:r>
    </w:p>
    <w:p w14:paraId="2C8C9FC1" w14:textId="77777777" w:rsidR="00D06A45" w:rsidRPr="002E2C80" w:rsidRDefault="00D06A45" w:rsidP="00E969C1">
      <w:pPr>
        <w:tabs>
          <w:tab w:val="left" w:pos="0"/>
        </w:tabs>
        <w:ind w:right="82"/>
      </w:pPr>
    </w:p>
    <w:p w14:paraId="3FA2DE17" w14:textId="6DCAD9A0" w:rsidR="00E969C1" w:rsidRPr="003158F4" w:rsidRDefault="00E969C1" w:rsidP="00E969C1">
      <w:pPr>
        <w:tabs>
          <w:tab w:val="left" w:pos="0"/>
        </w:tabs>
        <w:ind w:right="82"/>
        <w:rPr>
          <w:iCs/>
        </w:rPr>
      </w:pPr>
      <w:proofErr w:type="spellStart"/>
      <w:r w:rsidRPr="00450080">
        <w:rPr>
          <w:iCs/>
        </w:rPr>
        <w:t>Boostrix</w:t>
      </w:r>
      <w:proofErr w:type="spellEnd"/>
      <w:r w:rsidRPr="00450080">
        <w:rPr>
          <w:iCs/>
        </w:rPr>
        <w:t xml:space="preserve"> </w:t>
      </w:r>
      <w:r w:rsidR="009359B4">
        <w:rPr>
          <w:iCs/>
        </w:rPr>
        <w:t xml:space="preserve">saugumas ir </w:t>
      </w:r>
      <w:proofErr w:type="spellStart"/>
      <w:r w:rsidR="009359B4">
        <w:rPr>
          <w:iCs/>
        </w:rPr>
        <w:t>imunogeniškumas</w:t>
      </w:r>
      <w:proofErr w:type="spellEnd"/>
      <w:r w:rsidR="009359B4">
        <w:rPr>
          <w:iCs/>
        </w:rPr>
        <w:t xml:space="preserve"> buvo tirti</w:t>
      </w:r>
      <w:r w:rsidR="003C69CA" w:rsidRPr="003C69CA">
        <w:t xml:space="preserve"> </w:t>
      </w:r>
      <w:r w:rsidR="003C69CA">
        <w:t xml:space="preserve">atlikus </w:t>
      </w:r>
      <w:r w:rsidR="003C69CA" w:rsidRPr="003C69CA">
        <w:rPr>
          <w:iCs/>
        </w:rPr>
        <w:t>aprašom</w:t>
      </w:r>
      <w:r w:rsidR="003C69CA">
        <w:rPr>
          <w:iCs/>
        </w:rPr>
        <w:t>ąjį</w:t>
      </w:r>
      <w:r w:rsidR="003C69CA" w:rsidRPr="003C69CA">
        <w:rPr>
          <w:iCs/>
        </w:rPr>
        <w:t xml:space="preserve"> </w:t>
      </w:r>
      <w:proofErr w:type="spellStart"/>
      <w:r w:rsidR="003C69CA" w:rsidRPr="003C69CA">
        <w:rPr>
          <w:iCs/>
        </w:rPr>
        <w:t>metaanalizės</w:t>
      </w:r>
      <w:proofErr w:type="spellEnd"/>
      <w:r w:rsidR="003C69CA" w:rsidRPr="003C69CA">
        <w:rPr>
          <w:iCs/>
        </w:rPr>
        <w:t xml:space="preserve"> </w:t>
      </w:r>
      <w:r w:rsidR="003C69CA">
        <w:rPr>
          <w:iCs/>
        </w:rPr>
        <w:t xml:space="preserve">tyrimą, apjungus </w:t>
      </w:r>
      <w:r w:rsidR="003C69CA" w:rsidRPr="009B2453">
        <w:rPr>
          <w:iCs/>
        </w:rPr>
        <w:t>222</w:t>
      </w:r>
      <w:r w:rsidR="003C69CA">
        <w:rPr>
          <w:iCs/>
        </w:rPr>
        <w:t xml:space="preserve"> tiriamųjų, kuriems yra </w:t>
      </w:r>
      <w:r w:rsidR="003C69CA" w:rsidRPr="009B2453">
        <w:rPr>
          <w:iCs/>
        </w:rPr>
        <w:t>18</w:t>
      </w:r>
      <w:r w:rsidR="003C69CA">
        <w:rPr>
          <w:iCs/>
        </w:rPr>
        <w:t xml:space="preserve"> ar daugiau metų, paskiepytų </w:t>
      </w:r>
      <w:proofErr w:type="spellStart"/>
      <w:r w:rsidR="003C69CA">
        <w:rPr>
          <w:iCs/>
        </w:rPr>
        <w:t>Boostrix</w:t>
      </w:r>
      <w:proofErr w:type="spellEnd"/>
      <w:r w:rsidR="003C69CA">
        <w:rPr>
          <w:iCs/>
        </w:rPr>
        <w:t xml:space="preserve"> aktyvaus </w:t>
      </w:r>
      <w:r w:rsidR="003C69CA" w:rsidRPr="008D7910">
        <w:rPr>
          <w:iCs/>
        </w:rPr>
        <w:t>obstrukcin</w:t>
      </w:r>
      <w:r w:rsidR="00C3571A" w:rsidRPr="008D7910">
        <w:rPr>
          <w:iCs/>
        </w:rPr>
        <w:t>ių</w:t>
      </w:r>
      <w:r w:rsidR="003C69CA" w:rsidRPr="008D7910">
        <w:rPr>
          <w:iCs/>
        </w:rPr>
        <w:t xml:space="preserve"> </w:t>
      </w:r>
      <w:r w:rsidR="00C3571A" w:rsidRPr="008D7910">
        <w:rPr>
          <w:iCs/>
        </w:rPr>
        <w:t xml:space="preserve">kvėpavimo takų </w:t>
      </w:r>
      <w:r w:rsidR="003C69CA" w:rsidRPr="008D7910">
        <w:rPr>
          <w:iCs/>
        </w:rPr>
        <w:t>lig</w:t>
      </w:r>
      <w:r w:rsidR="00C3571A" w:rsidRPr="008D7910">
        <w:rPr>
          <w:iCs/>
        </w:rPr>
        <w:t>ų, tokių kaip astma ar lėtinė obstrukcinė plaučių liga</w:t>
      </w:r>
      <w:r w:rsidR="003C69CA" w:rsidRPr="008D7910">
        <w:rPr>
          <w:iCs/>
        </w:rPr>
        <w:t xml:space="preserve"> (LOPL) gydymo metu</w:t>
      </w:r>
      <w:r w:rsidRPr="008D7910">
        <w:rPr>
          <w:iCs/>
        </w:rPr>
        <w:t>.</w:t>
      </w:r>
      <w:r w:rsidRPr="00450080">
        <w:rPr>
          <w:iCs/>
        </w:rPr>
        <w:t xml:space="preserve"> </w:t>
      </w:r>
      <w:r w:rsidR="003C69CA">
        <w:rPr>
          <w:iCs/>
        </w:rPr>
        <w:t xml:space="preserve">Praėjus vienam mėnesiui po paskiepijimo </w:t>
      </w:r>
      <w:proofErr w:type="spellStart"/>
      <w:r w:rsidRPr="00450080">
        <w:rPr>
          <w:iCs/>
        </w:rPr>
        <w:t>Boostrix</w:t>
      </w:r>
      <w:proofErr w:type="spellEnd"/>
      <w:r w:rsidRPr="00450080">
        <w:rPr>
          <w:iCs/>
        </w:rPr>
        <w:t xml:space="preserve">, </w:t>
      </w:r>
      <w:r w:rsidR="003C69CA" w:rsidRPr="003C69CA">
        <w:rPr>
          <w:iCs/>
        </w:rPr>
        <w:t xml:space="preserve">imuninis atsakas </w:t>
      </w:r>
      <w:r w:rsidR="003C69CA">
        <w:rPr>
          <w:iCs/>
        </w:rPr>
        <w:t>į</w:t>
      </w:r>
      <w:r w:rsidR="003C69CA" w:rsidRPr="003C69CA">
        <w:rPr>
          <w:iCs/>
        </w:rPr>
        <w:t xml:space="preserve"> difterijos ir stabligės antigenus, </w:t>
      </w:r>
      <w:r w:rsidR="003C69CA">
        <w:rPr>
          <w:iCs/>
        </w:rPr>
        <w:t>įvertinus</w:t>
      </w:r>
      <w:r w:rsidR="003C69CA" w:rsidRPr="003C69CA">
        <w:rPr>
          <w:iCs/>
        </w:rPr>
        <w:t xml:space="preserve"> </w:t>
      </w:r>
      <w:proofErr w:type="spellStart"/>
      <w:r w:rsidR="003C69CA" w:rsidRPr="003C69CA">
        <w:rPr>
          <w:iCs/>
        </w:rPr>
        <w:t>seroprotekcijos</w:t>
      </w:r>
      <w:proofErr w:type="spellEnd"/>
      <w:r w:rsidR="003C69CA" w:rsidRPr="003C69CA">
        <w:rPr>
          <w:iCs/>
        </w:rPr>
        <w:t xml:space="preserve"> </w:t>
      </w:r>
      <w:r w:rsidR="003C69CA">
        <w:rPr>
          <w:iCs/>
        </w:rPr>
        <w:t>laips</w:t>
      </w:r>
      <w:r w:rsidR="003C69CA" w:rsidRPr="003C69CA">
        <w:rPr>
          <w:iCs/>
        </w:rPr>
        <w:t>nį (≥</w:t>
      </w:r>
      <w:r w:rsidR="003C69CA">
        <w:rPr>
          <w:iCs/>
        </w:rPr>
        <w:t> </w:t>
      </w:r>
      <w:r w:rsidR="003C69CA" w:rsidRPr="003C69CA">
        <w:rPr>
          <w:iCs/>
        </w:rPr>
        <w:t>0,1</w:t>
      </w:r>
      <w:r w:rsidR="003C69CA">
        <w:rPr>
          <w:iCs/>
        </w:rPr>
        <w:t> </w:t>
      </w:r>
      <w:r w:rsidR="003C69CA" w:rsidRPr="003C69CA">
        <w:rPr>
          <w:iCs/>
        </w:rPr>
        <w:t>TV/ml), buvo atitinkamai 89,0</w:t>
      </w:r>
      <w:r w:rsidR="003C69CA">
        <w:rPr>
          <w:iCs/>
        </w:rPr>
        <w:t> </w:t>
      </w:r>
      <w:r w:rsidR="003C69CA" w:rsidRPr="003C69CA">
        <w:rPr>
          <w:iCs/>
        </w:rPr>
        <w:t>% ir 97,2</w:t>
      </w:r>
      <w:r w:rsidR="003C69CA">
        <w:rPr>
          <w:iCs/>
        </w:rPr>
        <w:t> </w:t>
      </w:r>
      <w:r w:rsidR="003C69CA" w:rsidRPr="003C69CA">
        <w:rPr>
          <w:iCs/>
        </w:rPr>
        <w:t>%</w:t>
      </w:r>
      <w:r w:rsidR="003C69CA">
        <w:rPr>
          <w:iCs/>
        </w:rPr>
        <w:t xml:space="preserve">, o įvertinus atsaką į kokliušą po </w:t>
      </w:r>
      <w:proofErr w:type="spellStart"/>
      <w:r w:rsidR="003C69CA">
        <w:rPr>
          <w:iCs/>
        </w:rPr>
        <w:t>revakcinacijos</w:t>
      </w:r>
      <w:proofErr w:type="spellEnd"/>
      <w:r w:rsidR="003C69CA">
        <w:rPr>
          <w:iCs/>
        </w:rPr>
        <w:t xml:space="preserve">, – atsakas </w:t>
      </w:r>
      <w:r w:rsidR="003C69CA" w:rsidRPr="003C69CA">
        <w:rPr>
          <w:iCs/>
        </w:rPr>
        <w:t xml:space="preserve">atitinkamai </w:t>
      </w:r>
      <w:r w:rsidR="003C69CA">
        <w:rPr>
          <w:iCs/>
        </w:rPr>
        <w:t xml:space="preserve">į </w:t>
      </w:r>
      <w:r w:rsidR="003C69CA" w:rsidRPr="003C69CA">
        <w:rPr>
          <w:iCs/>
        </w:rPr>
        <w:t xml:space="preserve">kokliušo </w:t>
      </w:r>
      <w:proofErr w:type="spellStart"/>
      <w:r w:rsidR="00183043">
        <w:rPr>
          <w:iCs/>
        </w:rPr>
        <w:t>ana</w:t>
      </w:r>
      <w:r w:rsidR="003C69CA" w:rsidRPr="003C69CA">
        <w:rPr>
          <w:iCs/>
        </w:rPr>
        <w:t>toks</w:t>
      </w:r>
      <w:r w:rsidR="00183043">
        <w:rPr>
          <w:iCs/>
        </w:rPr>
        <w:t>in</w:t>
      </w:r>
      <w:r w:rsidR="003C69CA" w:rsidRPr="003C69CA">
        <w:rPr>
          <w:iCs/>
        </w:rPr>
        <w:t>ą</w:t>
      </w:r>
      <w:proofErr w:type="spellEnd"/>
      <w:r w:rsidR="003C69CA" w:rsidRPr="003C69CA">
        <w:rPr>
          <w:iCs/>
        </w:rPr>
        <w:t xml:space="preserve"> [PT], </w:t>
      </w:r>
      <w:proofErr w:type="spellStart"/>
      <w:r w:rsidR="003C69CA">
        <w:rPr>
          <w:iCs/>
        </w:rPr>
        <w:t>filament</w:t>
      </w:r>
      <w:r w:rsidR="003C69CA" w:rsidRPr="003C69CA">
        <w:rPr>
          <w:iCs/>
        </w:rPr>
        <w:t>inį</w:t>
      </w:r>
      <w:proofErr w:type="spellEnd"/>
      <w:r w:rsidR="003C69CA" w:rsidRPr="003C69CA">
        <w:rPr>
          <w:iCs/>
        </w:rPr>
        <w:t xml:space="preserve"> </w:t>
      </w:r>
      <w:proofErr w:type="spellStart"/>
      <w:r w:rsidR="003C69CA" w:rsidRPr="003C69CA">
        <w:rPr>
          <w:iCs/>
        </w:rPr>
        <w:t>hemagliutininą</w:t>
      </w:r>
      <w:proofErr w:type="spellEnd"/>
      <w:r w:rsidR="003C69CA" w:rsidRPr="003C69CA">
        <w:rPr>
          <w:iCs/>
        </w:rPr>
        <w:t xml:space="preserve"> [FHA] ir </w:t>
      </w:r>
      <w:proofErr w:type="spellStart"/>
      <w:r w:rsidR="003C69CA" w:rsidRPr="003C69CA">
        <w:rPr>
          <w:iCs/>
        </w:rPr>
        <w:t>pertaktiną</w:t>
      </w:r>
      <w:proofErr w:type="spellEnd"/>
      <w:r w:rsidR="003C69CA" w:rsidRPr="003C69CA">
        <w:rPr>
          <w:iCs/>
        </w:rPr>
        <w:t xml:space="preserve"> [PRN]</w:t>
      </w:r>
      <w:r w:rsidR="003C69CA">
        <w:rPr>
          <w:iCs/>
        </w:rPr>
        <w:t xml:space="preserve"> buvo atitinkamai </w:t>
      </w:r>
      <w:r w:rsidR="003C69CA" w:rsidRPr="00450080">
        <w:rPr>
          <w:iCs/>
        </w:rPr>
        <w:t>78</w:t>
      </w:r>
      <w:r w:rsidR="003C69CA">
        <w:rPr>
          <w:iCs/>
        </w:rPr>
        <w:t>,</w:t>
      </w:r>
      <w:r w:rsidR="003C69CA" w:rsidRPr="00450080">
        <w:rPr>
          <w:iCs/>
        </w:rPr>
        <w:t>3</w:t>
      </w:r>
      <w:r w:rsidR="003C69CA">
        <w:rPr>
          <w:iCs/>
        </w:rPr>
        <w:t> </w:t>
      </w:r>
      <w:r w:rsidR="003C69CA" w:rsidRPr="00450080">
        <w:rPr>
          <w:iCs/>
        </w:rPr>
        <w:t>%, 96</w:t>
      </w:r>
      <w:r w:rsidR="003C69CA">
        <w:rPr>
          <w:iCs/>
        </w:rPr>
        <w:t>,</w:t>
      </w:r>
      <w:r w:rsidR="003C69CA" w:rsidRPr="00450080">
        <w:rPr>
          <w:iCs/>
        </w:rPr>
        <w:t>1</w:t>
      </w:r>
      <w:r w:rsidR="003C69CA">
        <w:rPr>
          <w:iCs/>
        </w:rPr>
        <w:t> </w:t>
      </w:r>
      <w:r w:rsidR="003C69CA" w:rsidRPr="00450080">
        <w:rPr>
          <w:iCs/>
        </w:rPr>
        <w:t xml:space="preserve">% </w:t>
      </w:r>
      <w:r w:rsidR="003C69CA">
        <w:rPr>
          <w:iCs/>
        </w:rPr>
        <w:t>ir</w:t>
      </w:r>
      <w:r w:rsidR="003C69CA" w:rsidRPr="00450080">
        <w:rPr>
          <w:iCs/>
        </w:rPr>
        <w:t xml:space="preserve"> 92</w:t>
      </w:r>
      <w:r w:rsidR="003C69CA">
        <w:rPr>
          <w:iCs/>
        </w:rPr>
        <w:t>,</w:t>
      </w:r>
      <w:r w:rsidR="003C69CA" w:rsidRPr="00450080">
        <w:rPr>
          <w:iCs/>
        </w:rPr>
        <w:t>2</w:t>
      </w:r>
      <w:r w:rsidR="003C69CA">
        <w:rPr>
          <w:iCs/>
        </w:rPr>
        <w:t> </w:t>
      </w:r>
      <w:r w:rsidR="003C69CA" w:rsidRPr="00450080">
        <w:rPr>
          <w:iCs/>
        </w:rPr>
        <w:t>%</w:t>
      </w:r>
      <w:r w:rsidR="003C69CA" w:rsidRPr="003C69CA">
        <w:rPr>
          <w:iCs/>
        </w:rPr>
        <w:t>.</w:t>
      </w:r>
      <w:r w:rsidR="003C69CA">
        <w:rPr>
          <w:iCs/>
        </w:rPr>
        <w:t xml:space="preserve"> Šie duomenys atitinka atsaką bendrojoje </w:t>
      </w:r>
      <w:r w:rsidR="005812BA">
        <w:rPr>
          <w:iCs/>
        </w:rPr>
        <w:t xml:space="preserve">suaugusiųjų </w:t>
      </w:r>
      <w:r w:rsidR="003C69CA">
        <w:rPr>
          <w:iCs/>
        </w:rPr>
        <w:t>populiacijoje</w:t>
      </w:r>
      <w:r w:rsidR="005812BA">
        <w:rPr>
          <w:iCs/>
        </w:rPr>
        <w:t xml:space="preserve"> ir saugumo duomenys yra panašūs</w:t>
      </w:r>
      <w:r w:rsidRPr="00450080">
        <w:rPr>
          <w:iCs/>
        </w:rPr>
        <w:t>.</w:t>
      </w:r>
    </w:p>
    <w:p w14:paraId="70821EDC" w14:textId="77777777" w:rsidR="00F50FC7" w:rsidRDefault="00F50FC7" w:rsidP="00F50FC7">
      <w:pPr>
        <w:tabs>
          <w:tab w:val="left" w:pos="567"/>
        </w:tabs>
        <w:rPr>
          <w:szCs w:val="22"/>
        </w:rPr>
      </w:pPr>
    </w:p>
    <w:p w14:paraId="4AE6C386" w14:textId="77777777" w:rsidR="00F50FC7" w:rsidRDefault="00F50FC7" w:rsidP="00F50FC7">
      <w:pPr>
        <w:tabs>
          <w:tab w:val="left" w:pos="567"/>
        </w:tabs>
        <w:rPr>
          <w:b/>
          <w:bCs/>
          <w:szCs w:val="22"/>
        </w:rPr>
      </w:pPr>
      <w:r>
        <w:rPr>
          <w:b/>
          <w:bCs/>
          <w:szCs w:val="22"/>
        </w:rPr>
        <w:t>5.2</w:t>
      </w:r>
      <w:r>
        <w:rPr>
          <w:b/>
          <w:bCs/>
          <w:szCs w:val="22"/>
        </w:rPr>
        <w:tab/>
      </w:r>
      <w:proofErr w:type="spellStart"/>
      <w:r>
        <w:rPr>
          <w:b/>
          <w:bCs/>
          <w:szCs w:val="22"/>
        </w:rPr>
        <w:t>Farmakokinetinės</w:t>
      </w:r>
      <w:proofErr w:type="spellEnd"/>
      <w:r>
        <w:rPr>
          <w:b/>
          <w:bCs/>
          <w:szCs w:val="22"/>
        </w:rPr>
        <w:t xml:space="preserve"> savybės</w:t>
      </w:r>
    </w:p>
    <w:p w14:paraId="11E7D136" w14:textId="77777777" w:rsidR="00F50FC7" w:rsidRDefault="00F50FC7" w:rsidP="00F50FC7">
      <w:pPr>
        <w:tabs>
          <w:tab w:val="left" w:pos="567"/>
        </w:tabs>
        <w:rPr>
          <w:szCs w:val="22"/>
        </w:rPr>
      </w:pPr>
    </w:p>
    <w:p w14:paraId="0551BCD1" w14:textId="77777777" w:rsidR="00F50FC7" w:rsidRDefault="00F50FC7" w:rsidP="00F50FC7">
      <w:pPr>
        <w:tabs>
          <w:tab w:val="left" w:pos="567"/>
        </w:tabs>
        <w:ind w:right="-1"/>
      </w:pPr>
      <w:r>
        <w:rPr>
          <w:szCs w:val="22"/>
        </w:rPr>
        <w:t xml:space="preserve">Vakcinų </w:t>
      </w:r>
      <w:proofErr w:type="spellStart"/>
      <w:r>
        <w:rPr>
          <w:szCs w:val="22"/>
        </w:rPr>
        <w:t>farmakokinetinių</w:t>
      </w:r>
      <w:proofErr w:type="spellEnd"/>
      <w:r>
        <w:rPr>
          <w:szCs w:val="22"/>
        </w:rPr>
        <w:t xml:space="preserve"> savybių vertinti nereikia.</w:t>
      </w:r>
    </w:p>
    <w:p w14:paraId="2BC55A3F" w14:textId="77777777" w:rsidR="00F50FC7" w:rsidRDefault="00F50FC7" w:rsidP="00F50FC7">
      <w:pPr>
        <w:tabs>
          <w:tab w:val="left" w:pos="567"/>
        </w:tabs>
        <w:rPr>
          <w:szCs w:val="22"/>
        </w:rPr>
      </w:pPr>
    </w:p>
    <w:p w14:paraId="4D23DED4" w14:textId="2DE12204" w:rsidR="00F50FC7" w:rsidRDefault="00F50FC7" w:rsidP="00F50FC7">
      <w:pPr>
        <w:pStyle w:val="PI-2EMEASMCA"/>
      </w:pPr>
      <w:r>
        <w:t>5.3</w:t>
      </w:r>
      <w:r>
        <w:tab/>
      </w:r>
      <w:proofErr w:type="spellStart"/>
      <w:r>
        <w:t>Ikiklinikinių</w:t>
      </w:r>
      <w:proofErr w:type="spellEnd"/>
      <w:r>
        <w:t xml:space="preserve"> saugumo tyrimų duomenys</w:t>
      </w:r>
      <w:bookmarkEnd w:id="37"/>
      <w:bookmarkEnd w:id="38"/>
    </w:p>
    <w:p w14:paraId="742850D7" w14:textId="77777777" w:rsidR="00F50FC7" w:rsidRPr="00E90E50" w:rsidRDefault="00F50FC7" w:rsidP="00F50FC7"/>
    <w:p w14:paraId="49B2428A" w14:textId="26EE3175" w:rsidR="00F50FC7" w:rsidRPr="008D66EC" w:rsidRDefault="00F50FC7" w:rsidP="00F50FC7">
      <w:r>
        <w:rPr>
          <w:szCs w:val="22"/>
          <w:u w:val="single"/>
        </w:rPr>
        <w:lastRenderedPageBreak/>
        <w:t>Toksinis poveikis reprodukcijai</w:t>
      </w:r>
    </w:p>
    <w:p w14:paraId="56AF7A7A" w14:textId="77777777" w:rsidR="00F50FC7" w:rsidRDefault="00F50FC7" w:rsidP="00F50FC7">
      <w:pPr>
        <w:rPr>
          <w:szCs w:val="22"/>
        </w:rPr>
      </w:pPr>
    </w:p>
    <w:p w14:paraId="24FA8C10" w14:textId="77777777" w:rsidR="00F50FC7" w:rsidRDefault="00F50FC7" w:rsidP="00F50FC7">
      <w:r>
        <w:rPr>
          <w:i/>
          <w:szCs w:val="22"/>
        </w:rPr>
        <w:t>Vaisingumas</w:t>
      </w:r>
    </w:p>
    <w:p w14:paraId="3ADC1150" w14:textId="77777777" w:rsidR="00F50FC7" w:rsidRDefault="00F50FC7" w:rsidP="00F50FC7">
      <w:pPr>
        <w:rPr>
          <w:szCs w:val="22"/>
        </w:rPr>
      </w:pPr>
    </w:p>
    <w:p w14:paraId="2790F930" w14:textId="77777777" w:rsidR="00F50FC7" w:rsidRDefault="00F50FC7" w:rsidP="00F50FC7">
      <w:bookmarkStart w:id="44" w:name="_Hlk26172245"/>
      <w:r>
        <w:rPr>
          <w:szCs w:val="22"/>
        </w:rPr>
        <w:t xml:space="preserve">Įprastų poveikio </w:t>
      </w:r>
      <w:bookmarkEnd w:id="44"/>
      <w:r>
        <w:rPr>
          <w:szCs w:val="22"/>
        </w:rPr>
        <w:t xml:space="preserve">vaisingumui </w:t>
      </w:r>
      <w:proofErr w:type="spellStart"/>
      <w:r>
        <w:rPr>
          <w:szCs w:val="22"/>
        </w:rPr>
        <w:t>ikiklinikinių</w:t>
      </w:r>
      <w:proofErr w:type="spellEnd"/>
      <w:r>
        <w:rPr>
          <w:szCs w:val="22"/>
        </w:rPr>
        <w:t xml:space="preserve"> </w:t>
      </w:r>
      <w:proofErr w:type="spellStart"/>
      <w:r>
        <w:rPr>
          <w:szCs w:val="22"/>
        </w:rPr>
        <w:t>Boostrix</w:t>
      </w:r>
      <w:proofErr w:type="spellEnd"/>
      <w:r>
        <w:rPr>
          <w:szCs w:val="22"/>
        </w:rPr>
        <w:t xml:space="preserve"> tyrimų, atliktų su žiurkių ir triušių patelėmis, duomenys specifinio pavojaus žmogui nerodo.</w:t>
      </w:r>
    </w:p>
    <w:p w14:paraId="7FB47914" w14:textId="77777777" w:rsidR="00F50FC7" w:rsidRDefault="00F50FC7" w:rsidP="00F50FC7">
      <w:pPr>
        <w:rPr>
          <w:szCs w:val="22"/>
        </w:rPr>
      </w:pPr>
    </w:p>
    <w:p w14:paraId="499601E1" w14:textId="77777777" w:rsidR="00F50FC7" w:rsidRDefault="00F50FC7" w:rsidP="00F50FC7">
      <w:pPr>
        <w:keepNext/>
      </w:pPr>
      <w:r>
        <w:rPr>
          <w:i/>
          <w:szCs w:val="22"/>
        </w:rPr>
        <w:t>Nėštumas</w:t>
      </w:r>
    </w:p>
    <w:p w14:paraId="1AD2FA45" w14:textId="77777777" w:rsidR="00F50FC7" w:rsidRPr="00E90E50" w:rsidRDefault="00F50FC7" w:rsidP="00F50FC7"/>
    <w:p w14:paraId="2AD7E144" w14:textId="77777777" w:rsidR="00F50FC7" w:rsidRDefault="00F50FC7" w:rsidP="00F50FC7">
      <w:r>
        <w:rPr>
          <w:szCs w:val="22"/>
        </w:rPr>
        <w:t xml:space="preserve">Remiantis </w:t>
      </w:r>
      <w:proofErr w:type="spellStart"/>
      <w:r>
        <w:rPr>
          <w:szCs w:val="22"/>
        </w:rPr>
        <w:t>ikiklinikinių</w:t>
      </w:r>
      <w:proofErr w:type="spellEnd"/>
      <w:r>
        <w:rPr>
          <w:szCs w:val="22"/>
        </w:rPr>
        <w:t xml:space="preserve"> </w:t>
      </w:r>
      <w:proofErr w:type="spellStart"/>
      <w:r>
        <w:rPr>
          <w:szCs w:val="22"/>
        </w:rPr>
        <w:t>Boostrix</w:t>
      </w:r>
      <w:proofErr w:type="spellEnd"/>
      <w:r>
        <w:rPr>
          <w:szCs w:val="22"/>
        </w:rPr>
        <w:t xml:space="preserve"> tyrimų duomenimis, įprastų poveikio embriono ir vaisiaus vystymuisi tyrimų, atliktų su žiurkėmis ir triušiais, o taip pat toksinio poveikio gimdymui ir jauniklių vystymuisi (iki laktacijos laikotarpio pabaigos) tyrimų su žiurkėmis duomenys specifinio pavojaus žmogui nerodo.</w:t>
      </w:r>
    </w:p>
    <w:p w14:paraId="36E9AA05" w14:textId="77777777" w:rsidR="00F50FC7" w:rsidRPr="00E90E50" w:rsidRDefault="00F50FC7" w:rsidP="00F50FC7"/>
    <w:p w14:paraId="3D2C641F" w14:textId="77777777" w:rsidR="00F50FC7" w:rsidRDefault="00F50FC7" w:rsidP="00F50FC7">
      <w:pPr>
        <w:rPr>
          <w:szCs w:val="22"/>
          <w:u w:val="single"/>
        </w:rPr>
      </w:pPr>
      <w:r>
        <w:rPr>
          <w:szCs w:val="22"/>
          <w:u w:val="single"/>
        </w:rPr>
        <w:t>Gyvūnų toksikologija ir (arba) farmakologija</w:t>
      </w:r>
    </w:p>
    <w:p w14:paraId="6B09DF16" w14:textId="77777777" w:rsidR="00F50FC7" w:rsidRPr="00E90E50" w:rsidRDefault="00F50FC7" w:rsidP="00F50FC7"/>
    <w:p w14:paraId="74C0496C" w14:textId="77777777" w:rsidR="00F50FC7" w:rsidRDefault="00F50FC7" w:rsidP="00F50FC7">
      <w:pPr>
        <w:tabs>
          <w:tab w:val="left" w:pos="567"/>
        </w:tabs>
      </w:pPr>
      <w:r>
        <w:rPr>
          <w:szCs w:val="22"/>
        </w:rPr>
        <w:t xml:space="preserve">Įprastų farmakologinio saugumo ir toksiškumo </w:t>
      </w:r>
      <w:proofErr w:type="spellStart"/>
      <w:r>
        <w:rPr>
          <w:szCs w:val="22"/>
        </w:rPr>
        <w:t>ikiklinikinių</w:t>
      </w:r>
      <w:proofErr w:type="spellEnd"/>
      <w:r>
        <w:rPr>
          <w:szCs w:val="22"/>
        </w:rPr>
        <w:t xml:space="preserve"> tyrimų duomenys specifinio pavojaus žmogui nerodo.</w:t>
      </w:r>
    </w:p>
    <w:p w14:paraId="0FCDACF2" w14:textId="77777777" w:rsidR="00F50FC7" w:rsidRPr="00E90E50" w:rsidRDefault="00F50FC7" w:rsidP="00F50FC7"/>
    <w:p w14:paraId="60708B5D" w14:textId="77777777" w:rsidR="00F50FC7" w:rsidRPr="00E90E50" w:rsidRDefault="00F50FC7" w:rsidP="00F50FC7"/>
    <w:p w14:paraId="589F6B9D" w14:textId="30E2C13B" w:rsidR="00F50FC7" w:rsidRDefault="00F50FC7" w:rsidP="00F50FC7">
      <w:pPr>
        <w:pStyle w:val="PI-1EMEASMCA"/>
      </w:pPr>
      <w:bookmarkStart w:id="45" w:name="_Toc129243115"/>
      <w:bookmarkStart w:id="46" w:name="_Toc129243240"/>
      <w:r>
        <w:t>6.</w:t>
      </w:r>
      <w:r>
        <w:tab/>
        <w:t>FARMACINĖ INFORMACIJA</w:t>
      </w:r>
      <w:bookmarkEnd w:id="45"/>
      <w:bookmarkEnd w:id="46"/>
    </w:p>
    <w:p w14:paraId="76F05766" w14:textId="77777777" w:rsidR="00F50FC7" w:rsidRPr="002C65CD" w:rsidRDefault="00F50FC7" w:rsidP="000B6C00">
      <w:pPr>
        <w:pStyle w:val="BTEMEASMCA"/>
      </w:pPr>
    </w:p>
    <w:p w14:paraId="7D55DD6F" w14:textId="77777777" w:rsidR="00F50FC7" w:rsidRDefault="00F50FC7" w:rsidP="00F50FC7">
      <w:pPr>
        <w:keepNext/>
        <w:tabs>
          <w:tab w:val="left" w:pos="567"/>
        </w:tabs>
        <w:rPr>
          <w:b/>
          <w:bCs/>
          <w:szCs w:val="22"/>
        </w:rPr>
      </w:pPr>
      <w:r>
        <w:rPr>
          <w:b/>
          <w:bCs/>
          <w:szCs w:val="22"/>
        </w:rPr>
        <w:t>6.1</w:t>
      </w:r>
      <w:r>
        <w:rPr>
          <w:b/>
          <w:bCs/>
          <w:szCs w:val="22"/>
        </w:rPr>
        <w:tab/>
        <w:t>Pagalbinių medžiagų sąrašas</w:t>
      </w:r>
    </w:p>
    <w:p w14:paraId="621CF56A" w14:textId="77777777" w:rsidR="00F50FC7" w:rsidRDefault="00F50FC7" w:rsidP="00F50FC7">
      <w:pPr>
        <w:tabs>
          <w:tab w:val="left" w:pos="567"/>
        </w:tabs>
        <w:rPr>
          <w:szCs w:val="22"/>
        </w:rPr>
      </w:pPr>
    </w:p>
    <w:p w14:paraId="0BFFDAB9" w14:textId="77777777" w:rsidR="00F50FC7" w:rsidRDefault="00F50FC7" w:rsidP="00F50FC7">
      <w:pPr>
        <w:tabs>
          <w:tab w:val="left" w:pos="567"/>
        </w:tabs>
        <w:rPr>
          <w:szCs w:val="22"/>
        </w:rPr>
      </w:pPr>
      <w:r>
        <w:rPr>
          <w:szCs w:val="22"/>
        </w:rPr>
        <w:t>Natrio chloridas</w:t>
      </w:r>
    </w:p>
    <w:p w14:paraId="71769E4E" w14:textId="77777777" w:rsidR="00F50FC7" w:rsidRDefault="00F50FC7" w:rsidP="00F50FC7">
      <w:pPr>
        <w:tabs>
          <w:tab w:val="left" w:pos="567"/>
        </w:tabs>
        <w:rPr>
          <w:szCs w:val="22"/>
        </w:rPr>
      </w:pPr>
      <w:r>
        <w:rPr>
          <w:szCs w:val="22"/>
        </w:rPr>
        <w:t>Injekcinis vanduo</w:t>
      </w:r>
    </w:p>
    <w:p w14:paraId="6EA411E4" w14:textId="77777777" w:rsidR="00F50FC7" w:rsidRDefault="00F50FC7" w:rsidP="00F50FC7">
      <w:pPr>
        <w:tabs>
          <w:tab w:val="left" w:pos="567"/>
        </w:tabs>
        <w:rPr>
          <w:szCs w:val="22"/>
        </w:rPr>
      </w:pPr>
    </w:p>
    <w:p w14:paraId="274F45E6" w14:textId="62CB74C4" w:rsidR="00F50FC7" w:rsidRDefault="00F50FC7" w:rsidP="00F50FC7">
      <w:pPr>
        <w:tabs>
          <w:tab w:val="left" w:pos="567"/>
        </w:tabs>
      </w:pPr>
      <w:r>
        <w:rPr>
          <w:szCs w:val="22"/>
        </w:rPr>
        <w:t xml:space="preserve">Apie </w:t>
      </w:r>
      <w:proofErr w:type="spellStart"/>
      <w:r>
        <w:rPr>
          <w:szCs w:val="22"/>
        </w:rPr>
        <w:t>adjuvantą</w:t>
      </w:r>
      <w:proofErr w:type="spellEnd"/>
      <w:r>
        <w:rPr>
          <w:szCs w:val="22"/>
        </w:rPr>
        <w:t xml:space="preserve"> žr.</w:t>
      </w:r>
      <w:r w:rsidR="00775B1A">
        <w:rPr>
          <w:szCs w:val="22"/>
        </w:rPr>
        <w:t> </w:t>
      </w:r>
      <w:r>
        <w:rPr>
          <w:szCs w:val="22"/>
        </w:rPr>
        <w:t>2</w:t>
      </w:r>
      <w:r w:rsidR="00775B1A">
        <w:rPr>
          <w:szCs w:val="22"/>
        </w:rPr>
        <w:t> </w:t>
      </w:r>
      <w:r>
        <w:rPr>
          <w:szCs w:val="22"/>
        </w:rPr>
        <w:t>skyriuje.</w:t>
      </w:r>
    </w:p>
    <w:p w14:paraId="27395BF4" w14:textId="77777777" w:rsidR="00F50FC7" w:rsidRDefault="00F50FC7" w:rsidP="00F50FC7">
      <w:pPr>
        <w:tabs>
          <w:tab w:val="left" w:pos="567"/>
        </w:tabs>
        <w:rPr>
          <w:szCs w:val="22"/>
        </w:rPr>
      </w:pPr>
    </w:p>
    <w:p w14:paraId="5E89597C" w14:textId="77777777" w:rsidR="00F50FC7" w:rsidRDefault="00F50FC7" w:rsidP="00F50FC7">
      <w:pPr>
        <w:tabs>
          <w:tab w:val="left" w:pos="567"/>
        </w:tabs>
        <w:rPr>
          <w:b/>
          <w:bCs/>
          <w:szCs w:val="22"/>
        </w:rPr>
      </w:pPr>
      <w:r>
        <w:rPr>
          <w:b/>
          <w:bCs/>
          <w:szCs w:val="22"/>
        </w:rPr>
        <w:t>6.2</w:t>
      </w:r>
      <w:r>
        <w:rPr>
          <w:b/>
          <w:bCs/>
          <w:szCs w:val="22"/>
        </w:rPr>
        <w:tab/>
        <w:t>Nesuderinamumas</w:t>
      </w:r>
    </w:p>
    <w:p w14:paraId="563ACC94" w14:textId="77777777" w:rsidR="00F50FC7" w:rsidRDefault="00F50FC7" w:rsidP="00F50FC7">
      <w:pPr>
        <w:tabs>
          <w:tab w:val="left" w:pos="567"/>
        </w:tabs>
        <w:rPr>
          <w:szCs w:val="22"/>
        </w:rPr>
      </w:pPr>
    </w:p>
    <w:p w14:paraId="28C71E23" w14:textId="77777777" w:rsidR="00F50FC7" w:rsidRDefault="00F50FC7" w:rsidP="00F50FC7">
      <w:pPr>
        <w:tabs>
          <w:tab w:val="left" w:pos="567"/>
        </w:tabs>
      </w:pPr>
      <w:r>
        <w:t>Suderinamumo tyrimų neatlikta, todėl šio vaistinio preparato maišyti su kitais negalima</w:t>
      </w:r>
      <w:r>
        <w:rPr>
          <w:szCs w:val="22"/>
        </w:rPr>
        <w:t>.</w:t>
      </w:r>
    </w:p>
    <w:p w14:paraId="79DBEC6B" w14:textId="77777777" w:rsidR="00F50FC7" w:rsidRDefault="00F50FC7" w:rsidP="00F50FC7">
      <w:pPr>
        <w:tabs>
          <w:tab w:val="left" w:pos="567"/>
        </w:tabs>
        <w:rPr>
          <w:szCs w:val="22"/>
        </w:rPr>
      </w:pPr>
    </w:p>
    <w:p w14:paraId="0509BE8F" w14:textId="77777777" w:rsidR="00F50FC7" w:rsidRDefault="00F50FC7" w:rsidP="00F50FC7">
      <w:pPr>
        <w:tabs>
          <w:tab w:val="left" w:pos="567"/>
        </w:tabs>
        <w:rPr>
          <w:b/>
          <w:bCs/>
          <w:szCs w:val="22"/>
        </w:rPr>
      </w:pPr>
      <w:r>
        <w:rPr>
          <w:b/>
          <w:bCs/>
          <w:szCs w:val="22"/>
        </w:rPr>
        <w:t>6.3</w:t>
      </w:r>
      <w:r>
        <w:rPr>
          <w:b/>
          <w:bCs/>
          <w:szCs w:val="22"/>
        </w:rPr>
        <w:tab/>
        <w:t>Tinkamumo laikas</w:t>
      </w:r>
    </w:p>
    <w:p w14:paraId="61E026D3" w14:textId="77777777" w:rsidR="00F50FC7" w:rsidRDefault="00F50FC7" w:rsidP="00F50FC7">
      <w:pPr>
        <w:tabs>
          <w:tab w:val="left" w:pos="567"/>
        </w:tabs>
        <w:rPr>
          <w:szCs w:val="22"/>
        </w:rPr>
      </w:pPr>
    </w:p>
    <w:p w14:paraId="6F3E534D" w14:textId="324B7A31" w:rsidR="00F50FC7" w:rsidRDefault="00775B1A" w:rsidP="00F50FC7">
      <w:pPr>
        <w:tabs>
          <w:tab w:val="left" w:pos="567"/>
        </w:tabs>
      </w:pPr>
      <w:r>
        <w:rPr>
          <w:szCs w:val="22"/>
        </w:rPr>
        <w:t>4</w:t>
      </w:r>
      <w:r w:rsidR="00F50FC7">
        <w:rPr>
          <w:szCs w:val="22"/>
        </w:rPr>
        <w:t> metai.</w:t>
      </w:r>
    </w:p>
    <w:p w14:paraId="450EAB55" w14:textId="77777777" w:rsidR="00F50FC7" w:rsidRDefault="00F50FC7" w:rsidP="00F50FC7">
      <w:pPr>
        <w:tabs>
          <w:tab w:val="left" w:pos="567"/>
        </w:tabs>
        <w:rPr>
          <w:szCs w:val="22"/>
        </w:rPr>
      </w:pPr>
    </w:p>
    <w:p w14:paraId="5ECFA72E" w14:textId="061BBCBE" w:rsidR="00F50FC7" w:rsidRDefault="00F50FC7" w:rsidP="00F50FC7">
      <w:pPr>
        <w:pStyle w:val="PI-2EMEASMCA"/>
      </w:pPr>
      <w:bookmarkStart w:id="47" w:name="_Toc129243119"/>
      <w:bookmarkStart w:id="48" w:name="_Toc129243244"/>
      <w:r>
        <w:t>6.4</w:t>
      </w:r>
      <w:r>
        <w:tab/>
        <w:t>Specialios laikymo sąlygos</w:t>
      </w:r>
      <w:bookmarkEnd w:id="47"/>
      <w:bookmarkEnd w:id="48"/>
    </w:p>
    <w:p w14:paraId="5F4D7E9A" w14:textId="77777777" w:rsidR="00F50FC7" w:rsidRPr="002C65CD" w:rsidRDefault="00F50FC7" w:rsidP="000B6C00">
      <w:pPr>
        <w:pStyle w:val="BTEMEASMCA"/>
      </w:pPr>
    </w:p>
    <w:p w14:paraId="3AFED38E" w14:textId="77777777" w:rsidR="00F50FC7" w:rsidRDefault="00F50FC7" w:rsidP="00F50FC7">
      <w:pPr>
        <w:tabs>
          <w:tab w:val="left" w:pos="567"/>
        </w:tabs>
        <w:ind w:right="-1"/>
      </w:pPr>
      <w:r>
        <w:rPr>
          <w:szCs w:val="22"/>
        </w:rPr>
        <w:t>Laikyti šaldytuve (2 </w:t>
      </w:r>
      <w:r>
        <w:rPr>
          <w:rFonts w:ascii="Symbol" w:eastAsia="Symbol" w:hAnsi="Symbol" w:cs="Symbol"/>
          <w:szCs w:val="22"/>
        </w:rPr>
        <w:t></w:t>
      </w:r>
      <w:r>
        <w:rPr>
          <w:szCs w:val="22"/>
        </w:rPr>
        <w:t>C – 8 </w:t>
      </w:r>
      <w:r>
        <w:rPr>
          <w:rFonts w:ascii="Symbol" w:eastAsia="Symbol" w:hAnsi="Symbol" w:cs="Symbol"/>
          <w:szCs w:val="22"/>
        </w:rPr>
        <w:t></w:t>
      </w:r>
      <w:r>
        <w:rPr>
          <w:szCs w:val="22"/>
        </w:rPr>
        <w:t xml:space="preserve">C). </w:t>
      </w:r>
    </w:p>
    <w:p w14:paraId="5D06C0DB" w14:textId="77777777" w:rsidR="00F50FC7" w:rsidRDefault="00F50FC7" w:rsidP="00F50FC7">
      <w:pPr>
        <w:tabs>
          <w:tab w:val="left" w:pos="567"/>
        </w:tabs>
        <w:ind w:right="-1"/>
        <w:rPr>
          <w:szCs w:val="22"/>
        </w:rPr>
      </w:pPr>
    </w:p>
    <w:p w14:paraId="67217C54" w14:textId="4391F438" w:rsidR="00F50FC7" w:rsidRDefault="00BA6043" w:rsidP="00F50FC7">
      <w:pPr>
        <w:tabs>
          <w:tab w:val="left" w:pos="567"/>
        </w:tabs>
      </w:pPr>
      <w:bookmarkStart w:id="49" w:name="_Hlk54984994"/>
      <w:r w:rsidRPr="00BA6043">
        <w:rPr>
          <w:szCs w:val="22"/>
        </w:rPr>
        <w:t xml:space="preserve">Stabilumo duomenys rodo, kad </w:t>
      </w:r>
      <w:proofErr w:type="spellStart"/>
      <w:r w:rsidR="00682FD0">
        <w:rPr>
          <w:szCs w:val="22"/>
        </w:rPr>
        <w:t>Boostrix</w:t>
      </w:r>
      <w:proofErr w:type="spellEnd"/>
      <w:r w:rsidR="00682FD0">
        <w:rPr>
          <w:szCs w:val="22"/>
        </w:rPr>
        <w:t xml:space="preserve"> </w:t>
      </w:r>
      <w:r w:rsidRPr="00BA6043">
        <w:rPr>
          <w:szCs w:val="22"/>
        </w:rPr>
        <w:t>vakcina yra stabili iki 37</w:t>
      </w:r>
      <w:r>
        <w:rPr>
          <w:szCs w:val="22"/>
        </w:rPr>
        <w:t> </w:t>
      </w:r>
      <w:r w:rsidRPr="00BA6043">
        <w:rPr>
          <w:szCs w:val="22"/>
        </w:rPr>
        <w:t>°C temperatūros 7</w:t>
      </w:r>
      <w:r w:rsidR="00D9536B">
        <w:rPr>
          <w:szCs w:val="22"/>
        </w:rPr>
        <w:t> </w:t>
      </w:r>
      <w:r w:rsidRPr="00BA6043">
        <w:rPr>
          <w:szCs w:val="22"/>
        </w:rPr>
        <w:t>dienas.</w:t>
      </w:r>
      <w:r w:rsidR="00D656BD">
        <w:rPr>
          <w:szCs w:val="22"/>
        </w:rPr>
        <w:t xml:space="preserve"> </w:t>
      </w:r>
      <w:r w:rsidR="00C57B55">
        <w:rPr>
          <w:szCs w:val="22"/>
        </w:rPr>
        <w:t>Š</w:t>
      </w:r>
      <w:r w:rsidR="00C57B55" w:rsidRPr="00D656BD">
        <w:rPr>
          <w:szCs w:val="22"/>
        </w:rPr>
        <w:t>i</w:t>
      </w:r>
      <w:r w:rsidR="00B61573">
        <w:rPr>
          <w:szCs w:val="22"/>
        </w:rPr>
        <w:t>o</w:t>
      </w:r>
      <w:r w:rsidR="00C57B55" w:rsidRPr="00D656BD">
        <w:rPr>
          <w:szCs w:val="22"/>
        </w:rPr>
        <w:t xml:space="preserve"> laikotarpi</w:t>
      </w:r>
      <w:r w:rsidR="00B61573">
        <w:rPr>
          <w:szCs w:val="22"/>
        </w:rPr>
        <w:t>o</w:t>
      </w:r>
      <w:r w:rsidR="00C57B55" w:rsidRPr="00D656BD">
        <w:rPr>
          <w:szCs w:val="22"/>
        </w:rPr>
        <w:t xml:space="preserve"> </w:t>
      </w:r>
      <w:r w:rsidR="00B61573">
        <w:rPr>
          <w:szCs w:val="22"/>
        </w:rPr>
        <w:t>p</w:t>
      </w:r>
      <w:r w:rsidR="00D656BD" w:rsidRPr="00D656BD">
        <w:rPr>
          <w:szCs w:val="22"/>
        </w:rPr>
        <w:t>a</w:t>
      </w:r>
      <w:r w:rsidR="00C57B55">
        <w:rPr>
          <w:szCs w:val="22"/>
        </w:rPr>
        <w:t>baigoje</w:t>
      </w:r>
      <w:r w:rsidR="00D656BD" w:rsidRPr="00D656BD">
        <w:rPr>
          <w:szCs w:val="22"/>
        </w:rPr>
        <w:t xml:space="preserve">, </w:t>
      </w:r>
      <w:proofErr w:type="spellStart"/>
      <w:r w:rsidR="00D656BD" w:rsidRPr="00D656BD">
        <w:rPr>
          <w:szCs w:val="22"/>
        </w:rPr>
        <w:t>Boostrix</w:t>
      </w:r>
      <w:proofErr w:type="spellEnd"/>
      <w:r w:rsidR="00C64C9F">
        <w:rPr>
          <w:szCs w:val="22"/>
        </w:rPr>
        <w:t xml:space="preserve"> </w:t>
      </w:r>
      <w:r w:rsidR="00195AAA">
        <w:rPr>
          <w:szCs w:val="22"/>
        </w:rPr>
        <w:t>būtina</w:t>
      </w:r>
      <w:r w:rsidR="00D656BD" w:rsidRPr="00D656BD">
        <w:rPr>
          <w:szCs w:val="22"/>
        </w:rPr>
        <w:t xml:space="preserve"> suvartoti arba </w:t>
      </w:r>
      <w:r w:rsidR="00FB6803">
        <w:rPr>
          <w:szCs w:val="22"/>
        </w:rPr>
        <w:t>sunaikinti</w:t>
      </w:r>
      <w:r w:rsidR="00D656BD" w:rsidRPr="00D656BD">
        <w:rPr>
          <w:szCs w:val="22"/>
        </w:rPr>
        <w:t>.</w:t>
      </w:r>
      <w:r w:rsidR="00D656BD" w:rsidRPr="00D656BD" w:rsidDel="00BA6043">
        <w:rPr>
          <w:szCs w:val="22"/>
        </w:rPr>
        <w:t xml:space="preserve"> </w:t>
      </w:r>
      <w:r>
        <w:rPr>
          <w:szCs w:val="22"/>
        </w:rPr>
        <w:t>Šie duomenys yra</w:t>
      </w:r>
      <w:r w:rsidR="00F50FC7" w:rsidRPr="00120E5F">
        <w:rPr>
          <w:szCs w:val="22"/>
        </w:rPr>
        <w:t xml:space="preserve"> skirt</w:t>
      </w:r>
      <w:r>
        <w:rPr>
          <w:szCs w:val="22"/>
        </w:rPr>
        <w:t>i</w:t>
      </w:r>
      <w:r w:rsidR="00F50FC7" w:rsidRPr="00120E5F">
        <w:rPr>
          <w:szCs w:val="22"/>
        </w:rPr>
        <w:t xml:space="preserve"> sveikatos priežiūros specialistams tik </w:t>
      </w:r>
      <w:r w:rsidR="00F50FC7">
        <w:rPr>
          <w:szCs w:val="22"/>
        </w:rPr>
        <w:t>la</w:t>
      </w:r>
      <w:r w:rsidR="00F50FC7" w:rsidRPr="00120E5F">
        <w:rPr>
          <w:szCs w:val="22"/>
        </w:rPr>
        <w:t>ikin</w:t>
      </w:r>
      <w:r w:rsidR="00F50FC7">
        <w:rPr>
          <w:szCs w:val="22"/>
        </w:rPr>
        <w:t xml:space="preserve">o </w:t>
      </w:r>
      <w:r w:rsidR="00F50FC7" w:rsidRPr="00120E5F">
        <w:rPr>
          <w:szCs w:val="22"/>
        </w:rPr>
        <w:t>temperatūros nukrypimo atveju</w:t>
      </w:r>
      <w:r w:rsidR="00F50FC7">
        <w:rPr>
          <w:szCs w:val="22"/>
        </w:rPr>
        <w:t>.</w:t>
      </w:r>
    </w:p>
    <w:bookmarkEnd w:id="49"/>
    <w:p w14:paraId="0AAB9C81" w14:textId="77777777" w:rsidR="00F50FC7" w:rsidRDefault="00F50FC7" w:rsidP="00F50FC7">
      <w:pPr>
        <w:tabs>
          <w:tab w:val="left" w:pos="567"/>
        </w:tabs>
        <w:rPr>
          <w:szCs w:val="22"/>
        </w:rPr>
      </w:pPr>
    </w:p>
    <w:p w14:paraId="749FA93F" w14:textId="77777777" w:rsidR="00F50FC7" w:rsidRDefault="00F50FC7" w:rsidP="00F50FC7">
      <w:pPr>
        <w:tabs>
          <w:tab w:val="left" w:pos="567"/>
        </w:tabs>
        <w:ind w:right="-1"/>
      </w:pPr>
      <w:r>
        <w:rPr>
          <w:b/>
          <w:bCs/>
          <w:szCs w:val="22"/>
        </w:rPr>
        <w:t>Negalima užšaldyti</w:t>
      </w:r>
      <w:r>
        <w:rPr>
          <w:bCs/>
          <w:szCs w:val="22"/>
        </w:rPr>
        <w:t>.</w:t>
      </w:r>
    </w:p>
    <w:p w14:paraId="2C2CD26B" w14:textId="77777777" w:rsidR="00F50FC7" w:rsidRDefault="00F50FC7" w:rsidP="00F50FC7">
      <w:pPr>
        <w:tabs>
          <w:tab w:val="left" w:pos="567"/>
        </w:tabs>
        <w:ind w:right="-1"/>
        <w:rPr>
          <w:szCs w:val="22"/>
        </w:rPr>
      </w:pPr>
    </w:p>
    <w:p w14:paraId="4E912883" w14:textId="77777777" w:rsidR="00F50FC7" w:rsidRDefault="00F50FC7" w:rsidP="00F50FC7">
      <w:pPr>
        <w:tabs>
          <w:tab w:val="left" w:pos="567"/>
        </w:tabs>
        <w:rPr>
          <w:szCs w:val="22"/>
        </w:rPr>
      </w:pPr>
      <w:r>
        <w:rPr>
          <w:szCs w:val="22"/>
        </w:rPr>
        <w:t>Laikyti gamintojo pakuotėje, kad vaistinis preparatas būtų apsaugotas nuo šviesos.</w:t>
      </w:r>
    </w:p>
    <w:p w14:paraId="31CC1B08" w14:textId="77777777" w:rsidR="00F50FC7" w:rsidRDefault="00F50FC7" w:rsidP="00F50FC7">
      <w:pPr>
        <w:tabs>
          <w:tab w:val="left" w:pos="567"/>
        </w:tabs>
        <w:rPr>
          <w:szCs w:val="22"/>
        </w:rPr>
      </w:pPr>
    </w:p>
    <w:p w14:paraId="7E35DBE4" w14:textId="77777777" w:rsidR="00F50FC7" w:rsidRDefault="00F50FC7" w:rsidP="00F50FC7">
      <w:pPr>
        <w:tabs>
          <w:tab w:val="left" w:pos="567"/>
        </w:tabs>
        <w:rPr>
          <w:b/>
          <w:bCs/>
          <w:szCs w:val="22"/>
        </w:rPr>
      </w:pPr>
      <w:r>
        <w:rPr>
          <w:b/>
          <w:bCs/>
          <w:szCs w:val="22"/>
        </w:rPr>
        <w:t>6.5</w:t>
      </w:r>
      <w:r>
        <w:rPr>
          <w:b/>
          <w:bCs/>
          <w:szCs w:val="22"/>
        </w:rPr>
        <w:tab/>
      </w:r>
      <w:proofErr w:type="spellStart"/>
      <w:r>
        <w:rPr>
          <w:b/>
          <w:bCs/>
          <w:szCs w:val="22"/>
        </w:rPr>
        <w:t>Talpyklės</w:t>
      </w:r>
      <w:proofErr w:type="spellEnd"/>
      <w:r>
        <w:rPr>
          <w:b/>
          <w:bCs/>
          <w:szCs w:val="22"/>
        </w:rPr>
        <w:t xml:space="preserve"> pobūdis ir jos turinys</w:t>
      </w:r>
    </w:p>
    <w:p w14:paraId="7341BFCC" w14:textId="77777777" w:rsidR="00F50FC7" w:rsidRPr="00E90E50" w:rsidRDefault="00F50FC7" w:rsidP="00F50FC7">
      <w:pPr>
        <w:tabs>
          <w:tab w:val="left" w:pos="567"/>
        </w:tabs>
      </w:pPr>
    </w:p>
    <w:p w14:paraId="3F07DC47" w14:textId="3F1BDA9D" w:rsidR="00307382" w:rsidRDefault="00F50FC7" w:rsidP="00F50FC7">
      <w:pPr>
        <w:tabs>
          <w:tab w:val="left" w:pos="567"/>
        </w:tabs>
        <w:ind w:right="-1"/>
        <w:rPr>
          <w:szCs w:val="22"/>
        </w:rPr>
      </w:pPr>
      <w:r w:rsidRPr="008B0A23">
        <w:rPr>
          <w:szCs w:val="22"/>
        </w:rPr>
        <w:t>0,5 ml injekcinės suspensijos užpildytame švirkšte</w:t>
      </w:r>
      <w:r>
        <w:rPr>
          <w:szCs w:val="22"/>
        </w:rPr>
        <w:t xml:space="preserve"> (I tipo stiklo) </w:t>
      </w:r>
      <w:r w:rsidR="00307382" w:rsidRPr="00307382">
        <w:rPr>
          <w:szCs w:val="22"/>
        </w:rPr>
        <w:t>su stūmoklio kamščiu (butilo guma) ir su apsauginiu antgalio dangteliu.</w:t>
      </w:r>
    </w:p>
    <w:p w14:paraId="36CBF72C" w14:textId="77777777" w:rsidR="00307382" w:rsidRDefault="00307382" w:rsidP="00F50FC7">
      <w:pPr>
        <w:tabs>
          <w:tab w:val="left" w:pos="567"/>
        </w:tabs>
        <w:ind w:right="-1"/>
        <w:rPr>
          <w:szCs w:val="22"/>
        </w:rPr>
      </w:pPr>
    </w:p>
    <w:p w14:paraId="3C67EC9F" w14:textId="5881FE49" w:rsidR="00F50FC7" w:rsidRDefault="00F50FC7" w:rsidP="00F50FC7">
      <w:pPr>
        <w:tabs>
          <w:tab w:val="left" w:pos="567"/>
        </w:tabs>
        <w:ind w:right="-1"/>
      </w:pPr>
      <w:r>
        <w:rPr>
          <w:szCs w:val="22"/>
        </w:rPr>
        <w:t>Pakuotėje yra 1</w:t>
      </w:r>
      <w:r w:rsidR="007170AA">
        <w:rPr>
          <w:szCs w:val="22"/>
        </w:rPr>
        <w:t xml:space="preserve"> </w:t>
      </w:r>
      <w:r w:rsidR="006F0C6D">
        <w:rPr>
          <w:szCs w:val="22"/>
        </w:rPr>
        <w:t xml:space="preserve">ir </w:t>
      </w:r>
      <w:r w:rsidR="007170AA">
        <w:rPr>
          <w:szCs w:val="22"/>
        </w:rPr>
        <w:t xml:space="preserve">10 </w:t>
      </w:r>
      <w:r w:rsidR="00F42987" w:rsidRPr="00F42987">
        <w:rPr>
          <w:szCs w:val="22"/>
        </w:rPr>
        <w:t>su adatomis ar be jų.</w:t>
      </w:r>
    </w:p>
    <w:p w14:paraId="79ED5ECF" w14:textId="77777777" w:rsidR="00F50FC7" w:rsidRDefault="00F50FC7" w:rsidP="00F50FC7">
      <w:pPr>
        <w:tabs>
          <w:tab w:val="left" w:pos="567"/>
        </w:tabs>
        <w:ind w:right="-1"/>
        <w:rPr>
          <w:szCs w:val="22"/>
        </w:rPr>
      </w:pPr>
    </w:p>
    <w:p w14:paraId="3BB8B715" w14:textId="0E050FC3" w:rsidR="0091268B" w:rsidRDefault="0091268B" w:rsidP="00F50FC7">
      <w:pPr>
        <w:tabs>
          <w:tab w:val="left" w:pos="567"/>
        </w:tabs>
        <w:ind w:right="-1"/>
        <w:rPr>
          <w:szCs w:val="22"/>
        </w:rPr>
      </w:pPr>
      <w:r w:rsidRPr="0091268B">
        <w:rPr>
          <w:szCs w:val="22"/>
        </w:rPr>
        <w:lastRenderedPageBreak/>
        <w:t>Užpildyto švirkšto antgalio dangtelis ir guminis st</w:t>
      </w:r>
      <w:r w:rsidR="00A86ABC">
        <w:rPr>
          <w:szCs w:val="22"/>
        </w:rPr>
        <w:t>ū</w:t>
      </w:r>
      <w:r w:rsidRPr="0091268B">
        <w:rPr>
          <w:szCs w:val="22"/>
        </w:rPr>
        <w:t xml:space="preserve">moklinis kamštis </w:t>
      </w:r>
      <w:r w:rsidR="00985A9C">
        <w:rPr>
          <w:szCs w:val="22"/>
        </w:rPr>
        <w:t xml:space="preserve">bei </w:t>
      </w:r>
      <w:r w:rsidR="00D7762C">
        <w:rPr>
          <w:szCs w:val="22"/>
        </w:rPr>
        <w:t>flakono</w:t>
      </w:r>
      <w:r w:rsidR="00985A9C">
        <w:rPr>
          <w:szCs w:val="22"/>
        </w:rPr>
        <w:t xml:space="preserve"> kamštis yra </w:t>
      </w:r>
      <w:r w:rsidRPr="0091268B">
        <w:rPr>
          <w:szCs w:val="22"/>
        </w:rPr>
        <w:t>pagaminti iš sintetinės gumos.</w:t>
      </w:r>
    </w:p>
    <w:p w14:paraId="61A8298A" w14:textId="77777777" w:rsidR="00985A9C" w:rsidRDefault="00985A9C" w:rsidP="00F50FC7">
      <w:pPr>
        <w:tabs>
          <w:tab w:val="left" w:pos="567"/>
        </w:tabs>
        <w:ind w:right="-1"/>
        <w:rPr>
          <w:szCs w:val="22"/>
        </w:rPr>
      </w:pPr>
    </w:p>
    <w:p w14:paraId="225B1D3E" w14:textId="77777777" w:rsidR="00F50FC7" w:rsidRDefault="00F50FC7" w:rsidP="00F50FC7">
      <w:pPr>
        <w:tabs>
          <w:tab w:val="left" w:pos="567"/>
        </w:tabs>
        <w:ind w:right="-1"/>
        <w:rPr>
          <w:szCs w:val="22"/>
        </w:rPr>
      </w:pPr>
      <w:r>
        <w:rPr>
          <w:szCs w:val="22"/>
        </w:rPr>
        <w:t>Gali būti tiekiamos ne visų dydžių pakuotės.</w:t>
      </w:r>
    </w:p>
    <w:p w14:paraId="1C7D98AF" w14:textId="77777777" w:rsidR="00F50FC7" w:rsidRPr="002C65CD" w:rsidRDefault="00F50FC7" w:rsidP="00F50FC7">
      <w:pPr>
        <w:tabs>
          <w:tab w:val="left" w:pos="567"/>
        </w:tabs>
        <w:ind w:right="-1"/>
      </w:pPr>
    </w:p>
    <w:p w14:paraId="19573E27" w14:textId="7124835C" w:rsidR="00F50FC7" w:rsidRDefault="00F50FC7" w:rsidP="00F50FC7">
      <w:pPr>
        <w:pStyle w:val="PI-2EMEASMCA"/>
      </w:pPr>
      <w:bookmarkStart w:id="50" w:name="_Toc129243121"/>
      <w:bookmarkStart w:id="51" w:name="_Toc129243246"/>
      <w:r>
        <w:t>6.6</w:t>
      </w:r>
      <w:r>
        <w:tab/>
        <w:t>Specialūs reikalavimai atliekoms tvarkyti ir vaistiniam preparatui ruošti</w:t>
      </w:r>
      <w:bookmarkEnd w:id="50"/>
      <w:bookmarkEnd w:id="51"/>
    </w:p>
    <w:p w14:paraId="42F82A12" w14:textId="77777777" w:rsidR="00F50FC7" w:rsidRPr="002C65CD" w:rsidRDefault="00F50FC7" w:rsidP="000B6C00">
      <w:pPr>
        <w:pStyle w:val="BTEMEASMCA"/>
      </w:pPr>
    </w:p>
    <w:p w14:paraId="4572CE74" w14:textId="77777777" w:rsidR="00F50FC7" w:rsidRDefault="00F50FC7" w:rsidP="00F50FC7">
      <w:pPr>
        <w:tabs>
          <w:tab w:val="left" w:pos="567"/>
        </w:tabs>
        <w:ind w:right="-1"/>
      </w:pPr>
      <w:bookmarkStart w:id="52" w:name="_Hlk26036660"/>
      <w:r>
        <w:rPr>
          <w:szCs w:val="22"/>
        </w:rPr>
        <w:t xml:space="preserve">Prieš pat vartojimą vakciną reikia palaikyti kambario temperatūroje ir gerai suplakti, kad susidarytų homogeniška drumsta balta suspensija. Prieš vartojimą vakciną reikia apžiūrėti, ar joje nėra kokių nors kietųjų dalelių ir (ar) fizinių savybių pokyčių. </w:t>
      </w:r>
      <w:bookmarkStart w:id="53" w:name="_Hlk54985034"/>
      <w:r>
        <w:rPr>
          <w:szCs w:val="22"/>
        </w:rPr>
        <w:t>Pastebėjus bet kurį iš šių reiškinių, vakcinos vartoti negalima.</w:t>
      </w:r>
    </w:p>
    <w:bookmarkEnd w:id="53"/>
    <w:p w14:paraId="606710C7" w14:textId="77777777" w:rsidR="00F50FC7" w:rsidRDefault="00F50FC7" w:rsidP="00F50FC7">
      <w:pPr>
        <w:tabs>
          <w:tab w:val="left" w:pos="567"/>
        </w:tabs>
        <w:ind w:right="-1"/>
        <w:rPr>
          <w:szCs w:val="22"/>
        </w:rPr>
      </w:pPr>
    </w:p>
    <w:p w14:paraId="0408C53B" w14:textId="77777777" w:rsidR="008F10DD" w:rsidRPr="00E650C2" w:rsidRDefault="008F10DD" w:rsidP="008F10DD">
      <w:pPr>
        <w:widowControl w:val="0"/>
        <w:spacing w:after="120"/>
      </w:pPr>
      <w:bookmarkStart w:id="54" w:name="_Hlk132121427"/>
      <w:bookmarkStart w:id="55" w:name="_Hlk132120702"/>
      <w:r w:rsidRPr="00377B8F">
        <w:rPr>
          <w:bCs/>
          <w:iCs/>
          <w:u w:val="single"/>
        </w:rPr>
        <w:t>Užpildyto švirkšto, naudojimo instrukcijos</w:t>
      </w:r>
    </w:p>
    <w:tbl>
      <w:tblPr>
        <w:tblW w:w="0" w:type="auto"/>
        <w:jc w:val="center"/>
        <w:tblLook w:val="04A0" w:firstRow="1" w:lastRow="0" w:firstColumn="1" w:lastColumn="0" w:noHBand="0" w:noVBand="1"/>
      </w:tblPr>
      <w:tblGrid>
        <w:gridCol w:w="3618"/>
        <w:gridCol w:w="5238"/>
      </w:tblGrid>
      <w:tr w:rsidR="008F10DD" w:rsidRPr="00895454" w14:paraId="69006461" w14:textId="77777777" w:rsidTr="006E4344">
        <w:trPr>
          <w:jc w:val="center"/>
        </w:trPr>
        <w:tc>
          <w:tcPr>
            <w:tcW w:w="3618" w:type="dxa"/>
          </w:tcPr>
          <w:p w14:paraId="5F8324D3" w14:textId="77777777" w:rsidR="008F10DD" w:rsidRPr="00895454" w:rsidRDefault="008F10DD" w:rsidP="006E4344">
            <w:pPr>
              <w:widowControl w:val="0"/>
              <w:spacing w:after="120"/>
              <w:jc w:val="center"/>
            </w:pPr>
            <w:r>
              <w:rPr>
                <w:noProof/>
                <w:lang w:eastAsia="lt-LT"/>
              </w:rPr>
              <mc:AlternateContent>
                <mc:Choice Requires="wps">
                  <w:drawing>
                    <wp:anchor distT="0" distB="0" distL="0" distR="0" simplePos="0" relativeHeight="251663360" behindDoc="0" locked="0" layoutInCell="1" allowOverlap="0" wp14:anchorId="41F92083" wp14:editId="0D6116F0">
                      <wp:simplePos x="0" y="0"/>
                      <wp:positionH relativeFrom="column">
                        <wp:posOffset>165735</wp:posOffset>
                      </wp:positionH>
                      <wp:positionV relativeFrom="paragraph">
                        <wp:posOffset>902970</wp:posOffset>
                      </wp:positionV>
                      <wp:extent cx="784225" cy="273685"/>
                      <wp:effectExtent l="0" t="0" r="0" b="0"/>
                      <wp:wrapNone/>
                      <wp:docPr id="893758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273685"/>
                              </a:xfrm>
                              <a:prstGeom prst="rect">
                                <a:avLst/>
                              </a:prstGeom>
                              <a:noFill/>
                              <a:ln w="6350">
                                <a:noFill/>
                              </a:ln>
                            </wps:spPr>
                            <wps:txbx>
                              <w:txbxContent>
                                <w:p w14:paraId="3E737784" w14:textId="77777777" w:rsidR="008F10DD" w:rsidRPr="00CF0077" w:rsidRDefault="008F10DD" w:rsidP="008F10DD">
                                  <w:pPr>
                                    <w:rPr>
                                      <w:sz w:val="20"/>
                                    </w:rPr>
                                  </w:pPr>
                                  <w:r>
                                    <w:rPr>
                                      <w:sz w:val="20"/>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92083" id="_x0000_t202" coordsize="21600,21600" o:spt="202" path="m,l,21600r21600,l21600,xe">
                      <v:stroke joinstyle="miter"/>
                      <v:path gradientshapeok="t" o:connecttype="rect"/>
                    </v:shapetype>
                    <v:shape id="Text Box 7" o:spid="_x0000_s1026" type="#_x0000_t202" style="position:absolute;left:0;text-align:left;margin-left:13.05pt;margin-top:71.1pt;width:61.75pt;height:21.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" o:allowoverlap="f" filled="f" stroked="f" strokeweight=".5pt">
                      <v:textbox>
                        <w:txbxContent>
                          <w:p w14:paraId="3E737784" w14:textId="77777777" w:rsidR="008F10DD" w:rsidRPr="00CF0077" w:rsidRDefault="008F10DD" w:rsidP="008F10DD">
                            <w:pPr>
                              <w:rPr>
                                <w:sz w:val="20"/>
                              </w:rPr>
                            </w:pPr>
                            <w:r>
                              <w:rPr>
                                <w:sz w:val="20"/>
                              </w:rPr>
                              <w:t>Stūmoklis</w:t>
                            </w:r>
                          </w:p>
                        </w:txbxContent>
                      </v:textbox>
                    </v:shape>
                  </w:pict>
                </mc:Fallback>
              </mc:AlternateContent>
            </w:r>
            <w:r>
              <w:rPr>
                <w:noProof/>
                <w:lang w:eastAsia="lt-LT"/>
              </w:rPr>
              <mc:AlternateContent>
                <mc:Choice Requires="wps">
                  <w:drawing>
                    <wp:anchor distT="0" distB="0" distL="0" distR="0" simplePos="0" relativeHeight="251660288" behindDoc="0" locked="0" layoutInCell="1" allowOverlap="0" wp14:anchorId="60B9A464" wp14:editId="4CE47ACD">
                      <wp:simplePos x="0" y="0"/>
                      <wp:positionH relativeFrom="column">
                        <wp:posOffset>507365</wp:posOffset>
                      </wp:positionH>
                      <wp:positionV relativeFrom="paragraph">
                        <wp:posOffset>384175</wp:posOffset>
                      </wp:positionV>
                      <wp:extent cx="1852930" cy="277495"/>
                      <wp:effectExtent l="0" t="0" r="0" b="0"/>
                      <wp:wrapNone/>
                      <wp:docPr id="852150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14:paraId="5D7DB448" w14:textId="77777777" w:rsidR="008F10DD" w:rsidRPr="00CF0077" w:rsidRDefault="008F10DD" w:rsidP="008F10DD">
                                  <w:pPr>
                                    <w:rPr>
                                      <w:sz w:val="20"/>
                                    </w:rPr>
                                  </w:pPr>
                                  <w:r w:rsidRPr="007557EE">
                                    <w:rPr>
                                      <w:i/>
                                      <w:iCs/>
                                      <w:sz w:val="20"/>
                                    </w:rPr>
                                    <w:t>Luer Lock</w:t>
                                  </w:r>
                                  <w:r w:rsidRPr="003D3C41">
                                    <w:rPr>
                                      <w:sz w:val="20"/>
                                    </w:rPr>
                                    <w:t xml:space="preserve"> </w:t>
                                  </w:r>
                                  <w:r>
                                    <w:rPr>
                                      <w:sz w:val="20"/>
                                    </w:rP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9A464" id="Text Box 6" o:spid="_x0000_s1027" type="#_x0000_t202" style="position:absolute;left:0;text-align:left;margin-left:39.95pt;margin-top:30.25pt;width:145.9pt;height:21.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" o:allowoverlap="f" filled="f" stroked="f" strokeweight=".5pt">
                      <v:textbox>
                        <w:txbxContent>
                          <w:p w14:paraId="5D7DB448" w14:textId="77777777" w:rsidR="008F10DD" w:rsidRPr="00CF0077" w:rsidRDefault="008F10DD" w:rsidP="008F10DD">
                            <w:pPr>
                              <w:rPr>
                                <w:sz w:val="20"/>
                              </w:rPr>
                            </w:pPr>
                            <w:r w:rsidRPr="007557EE">
                              <w:rPr>
                                <w:i/>
                                <w:iCs/>
                                <w:sz w:val="20"/>
                              </w:rPr>
                              <w:t>Luer Lock</w:t>
                            </w:r>
                            <w:r w:rsidRPr="003D3C41">
                              <w:rPr>
                                <w:sz w:val="20"/>
                              </w:rPr>
                              <w:t xml:space="preserve"> </w:t>
                            </w:r>
                            <w:r>
                              <w:rPr>
                                <w:sz w:val="20"/>
                              </w:rPr>
                              <w:t>adapteris</w:t>
                            </w:r>
                          </w:p>
                        </w:txbxContent>
                      </v:textbox>
                    </v:shape>
                  </w:pict>
                </mc:Fallback>
              </mc:AlternateContent>
            </w:r>
            <w:r>
              <w:rPr>
                <w:noProof/>
                <w:lang w:eastAsia="lt-LT"/>
              </w:rPr>
              <mc:AlternateContent>
                <mc:Choice Requires="wps">
                  <w:drawing>
                    <wp:anchor distT="0" distB="0" distL="0" distR="0" simplePos="0" relativeHeight="251662336" behindDoc="0" locked="0" layoutInCell="1" allowOverlap="0" wp14:anchorId="7447E894" wp14:editId="05B27B5E">
                      <wp:simplePos x="0" y="0"/>
                      <wp:positionH relativeFrom="column">
                        <wp:posOffset>1253490</wp:posOffset>
                      </wp:positionH>
                      <wp:positionV relativeFrom="paragraph">
                        <wp:posOffset>1176655</wp:posOffset>
                      </wp:positionV>
                      <wp:extent cx="809625" cy="277495"/>
                      <wp:effectExtent l="0" t="0" r="0" b="0"/>
                      <wp:wrapNone/>
                      <wp:docPr id="37924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14:paraId="76A89245" w14:textId="77777777" w:rsidR="008F10DD" w:rsidRPr="00CF0077" w:rsidRDefault="008F10DD" w:rsidP="008F10DD">
                                  <w:pPr>
                                    <w:rPr>
                                      <w:sz w:val="20"/>
                                    </w:rPr>
                                  </w:pPr>
                                  <w:r>
                                    <w:rPr>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7E894" id="Text Box 5" o:spid="_x0000_s1028" type="#_x0000_t202" style="position:absolute;left:0;text-align:left;margin-left:98.7pt;margin-top:92.65pt;width:63.75pt;height:21.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" o:allowoverlap="f" filled="f" stroked="f" strokeweight=".5pt">
                      <v:textbox>
                        <w:txbxContent>
                          <w:p w14:paraId="76A89245" w14:textId="77777777" w:rsidR="008F10DD" w:rsidRPr="00CF0077" w:rsidRDefault="008F10DD" w:rsidP="008F10DD">
                            <w:pPr>
                              <w:rPr>
                                <w:sz w:val="20"/>
                              </w:rPr>
                            </w:pPr>
                            <w:r>
                              <w:rPr>
                                <w:sz w:val="20"/>
                              </w:rPr>
                              <w:t>Dangtelis</w:t>
                            </w:r>
                          </w:p>
                        </w:txbxContent>
                      </v:textbox>
                    </v:shape>
                  </w:pict>
                </mc:Fallback>
              </mc:AlternateContent>
            </w:r>
            <w:r>
              <w:rPr>
                <w:noProof/>
                <w:lang w:eastAsia="lt-LT"/>
              </w:rPr>
              <mc:AlternateContent>
                <mc:Choice Requires="wps">
                  <w:drawing>
                    <wp:anchor distT="0" distB="0" distL="0" distR="0" simplePos="0" relativeHeight="251661312" behindDoc="0" locked="0" layoutInCell="1" allowOverlap="0" wp14:anchorId="2B337388" wp14:editId="6FE3EC97">
                      <wp:simplePos x="0" y="0"/>
                      <wp:positionH relativeFrom="column">
                        <wp:posOffset>495300</wp:posOffset>
                      </wp:positionH>
                      <wp:positionV relativeFrom="paragraph">
                        <wp:posOffset>1108075</wp:posOffset>
                      </wp:positionV>
                      <wp:extent cx="731520" cy="248920"/>
                      <wp:effectExtent l="0" t="0" r="0" b="0"/>
                      <wp:wrapNone/>
                      <wp:docPr id="1857536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 cy="248920"/>
                              </a:xfrm>
                              <a:prstGeom prst="rect">
                                <a:avLst/>
                              </a:prstGeom>
                              <a:noFill/>
                              <a:ln w="6350">
                                <a:noFill/>
                              </a:ln>
                            </wps:spPr>
                            <wps:txbx>
                              <w:txbxContent>
                                <w:p w14:paraId="765E1D46" w14:textId="77777777" w:rsidR="008F10DD" w:rsidRPr="00CF0077" w:rsidRDefault="008F10DD" w:rsidP="008F10DD">
                                  <w:pPr>
                                    <w:rPr>
                                      <w:sz w:val="20"/>
                                    </w:rPr>
                                  </w:pPr>
                                  <w:r>
                                    <w:rPr>
                                      <w:sz w:val="20"/>
                                    </w:rPr>
                                    <w:t>Vamzdelis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37388" id="Text Box 4" o:spid="_x0000_s1029" type="#_x0000_t202" style="position:absolute;left:0;text-align:left;margin-left:39pt;margin-top:87.25pt;width:57.6pt;height:19.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" o:allowoverlap="f" filled="f" stroked="f" strokeweight=".5pt">
                      <v:textbox>
                        <w:txbxContent>
                          <w:p w14:paraId="765E1D46" w14:textId="77777777" w:rsidR="008F10DD" w:rsidRPr="00CF0077" w:rsidRDefault="008F10DD" w:rsidP="008F10DD">
                            <w:pPr>
                              <w:rPr>
                                <w:sz w:val="20"/>
                              </w:rPr>
                            </w:pPr>
                            <w:r>
                              <w:rPr>
                                <w:sz w:val="20"/>
                              </w:rPr>
                              <w:t>Vamzdelis</w:t>
                            </w:r>
                          </w:p>
                        </w:txbxContent>
                      </v:textbox>
                    </v:shape>
                  </w:pict>
                </mc:Fallback>
              </mc:AlternateContent>
            </w:r>
            <w:r>
              <w:rPr>
                <w:noProof/>
                <w:lang w:eastAsia="lt-LT"/>
              </w:rPr>
              <w:drawing>
                <wp:inline distT="0" distB="0" distL="0" distR="0" wp14:anchorId="15F841F0" wp14:editId="70064902">
                  <wp:extent cx="1743075" cy="1752600"/>
                  <wp:effectExtent l="0" t="0" r="9525" b="0"/>
                  <wp:docPr id="1020454722" name="Picture 2"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3075" cy="1752600"/>
                          </a:xfrm>
                          <a:prstGeom prst="rect">
                            <a:avLst/>
                          </a:prstGeom>
                          <a:noFill/>
                          <a:ln>
                            <a:noFill/>
                          </a:ln>
                        </pic:spPr>
                      </pic:pic>
                    </a:graphicData>
                  </a:graphic>
                </wp:inline>
              </w:drawing>
            </w:r>
          </w:p>
        </w:tc>
        <w:tc>
          <w:tcPr>
            <w:tcW w:w="5238" w:type="dxa"/>
          </w:tcPr>
          <w:p w14:paraId="45289BED" w14:textId="77777777" w:rsidR="008F10DD" w:rsidRDefault="008F10DD" w:rsidP="006E4344">
            <w:pPr>
              <w:widowControl w:val="0"/>
            </w:pPr>
          </w:p>
          <w:p w14:paraId="41F2B4CE" w14:textId="77777777" w:rsidR="008F10DD" w:rsidRDefault="008F10DD" w:rsidP="006E4344">
            <w:pPr>
              <w:widowControl w:val="0"/>
            </w:pPr>
          </w:p>
          <w:p w14:paraId="170F1748" w14:textId="3C4AEBA2" w:rsidR="008F10DD" w:rsidRDefault="008F10DD" w:rsidP="006E4344">
            <w:pPr>
              <w:widowControl w:val="0"/>
            </w:pPr>
            <w:r>
              <w:t>L</w:t>
            </w:r>
            <w:r w:rsidRPr="00C6335C">
              <w:t>aiky</w:t>
            </w:r>
            <w:r>
              <w:t>kite</w:t>
            </w:r>
            <w:r w:rsidRPr="00C6335C">
              <w:t xml:space="preserve"> švirkšt</w:t>
            </w:r>
            <w:r>
              <w:t>ą</w:t>
            </w:r>
            <w:r w:rsidRPr="00C6335C">
              <w:t xml:space="preserve"> </w:t>
            </w:r>
            <w:r>
              <w:t xml:space="preserve">už </w:t>
            </w:r>
            <w:r w:rsidRPr="00C6335C">
              <w:t>vamzdel</w:t>
            </w:r>
            <w:r w:rsidR="0046598A">
              <w:t>i</w:t>
            </w:r>
            <w:r>
              <w:t>o, bet ne</w:t>
            </w:r>
            <w:r w:rsidRPr="00C6335C">
              <w:t xml:space="preserve"> už stūmoklio</w:t>
            </w:r>
            <w:r>
              <w:t>.</w:t>
            </w:r>
          </w:p>
          <w:p w14:paraId="38FCF3D5" w14:textId="77777777" w:rsidR="008F10DD" w:rsidRDefault="008F10DD" w:rsidP="006E4344">
            <w:pPr>
              <w:widowControl w:val="0"/>
            </w:pPr>
          </w:p>
          <w:p w14:paraId="5B230194" w14:textId="77777777" w:rsidR="008F10DD" w:rsidRPr="00E650C2" w:rsidRDefault="008F10DD" w:rsidP="006E4344">
            <w:pPr>
              <w:widowControl w:val="0"/>
            </w:pPr>
            <w:r>
              <w:t>N</w:t>
            </w:r>
            <w:r w:rsidRPr="00C6335C">
              <w:t>usukite švirkšto dangtelį sukdami prieš laikrodžio rodyklę</w:t>
            </w:r>
            <w:r>
              <w:t>.</w:t>
            </w:r>
            <w:r w:rsidRPr="00C6335C">
              <w:t xml:space="preserve"> </w:t>
            </w:r>
          </w:p>
        </w:tc>
      </w:tr>
      <w:tr w:rsidR="008F10DD" w14:paraId="15E38AEC" w14:textId="77777777" w:rsidTr="006E4344">
        <w:trPr>
          <w:jc w:val="center"/>
        </w:trPr>
        <w:tc>
          <w:tcPr>
            <w:tcW w:w="3618" w:type="dxa"/>
          </w:tcPr>
          <w:p w14:paraId="4F17C05E" w14:textId="77777777" w:rsidR="008F10DD" w:rsidRPr="00895454" w:rsidRDefault="008F10DD" w:rsidP="006E4344">
            <w:pPr>
              <w:widowControl w:val="0"/>
              <w:spacing w:after="120"/>
              <w:jc w:val="center"/>
            </w:pPr>
            <w:r>
              <w:rPr>
                <w:rFonts w:ascii="Calibri" w:hAnsi="Calibri"/>
                <w:noProof/>
                <w:lang w:eastAsia="lt-LT"/>
              </w:rPr>
              <mc:AlternateContent>
                <mc:Choice Requires="wps">
                  <w:drawing>
                    <wp:anchor distT="0" distB="0" distL="0" distR="0" simplePos="0" relativeHeight="251659264" behindDoc="0" locked="0" layoutInCell="1" allowOverlap="0" wp14:anchorId="3C2BD41A" wp14:editId="7874C561">
                      <wp:simplePos x="0" y="0"/>
                      <wp:positionH relativeFrom="column">
                        <wp:posOffset>949960</wp:posOffset>
                      </wp:positionH>
                      <wp:positionV relativeFrom="paragraph">
                        <wp:posOffset>356235</wp:posOffset>
                      </wp:positionV>
                      <wp:extent cx="942975" cy="27178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7DFF2138" w14:textId="77777777" w:rsidR="008F10DD" w:rsidRPr="007557EE" w:rsidRDefault="008F10DD" w:rsidP="008F10DD">
                                  <w:pPr>
                                    <w:rPr>
                                      <w:sz w:val="20"/>
                                    </w:rPr>
                                  </w:pPr>
                                  <w:r>
                                    <w:rPr>
                                      <w:sz w:val="20"/>
                                    </w:rPr>
                                    <w:t xml:space="preserve">Adatos </w:t>
                                  </w:r>
                                  <w:r w:rsidRPr="003D3C41">
                                    <w:rPr>
                                      <w:sz w:val="20"/>
                                    </w:rPr>
                                    <w:t>stebulė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BD41A" id="Text Box 3" o:spid="_x0000_s1030" type="#_x0000_t202" style="position:absolute;left:0;text-align:left;margin-left:74.8pt;margin-top:28.05pt;width:74.25pt;height:21.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" o:allowoverlap="f" filled="f" stroked="f" strokeweight=".5pt">
                      <v:textbox>
                        <w:txbxContent>
                          <w:p w14:paraId="7DFF2138" w14:textId="77777777" w:rsidR="008F10DD" w:rsidRPr="007557EE" w:rsidRDefault="008F10DD" w:rsidP="008F10DD">
                            <w:pPr>
                              <w:rPr>
                                <w:sz w:val="20"/>
                              </w:rPr>
                            </w:pPr>
                            <w:r>
                              <w:rPr>
                                <w:sz w:val="20"/>
                              </w:rPr>
                              <w:t xml:space="preserve">Adatos </w:t>
                            </w:r>
                            <w:r w:rsidRPr="003D3C41">
                              <w:rPr>
                                <w:sz w:val="20"/>
                              </w:rPr>
                              <w:t>stebulė</w:t>
                            </w:r>
                          </w:p>
                        </w:txbxContent>
                      </v:textbox>
                    </v:shape>
                  </w:pict>
                </mc:Fallback>
              </mc:AlternateContent>
            </w:r>
            <w:r>
              <w:rPr>
                <w:noProof/>
                <w:lang w:eastAsia="lt-LT"/>
              </w:rPr>
              <w:drawing>
                <wp:inline distT="0" distB="0" distL="0" distR="0" wp14:anchorId="32C51592" wp14:editId="4DD95B47">
                  <wp:extent cx="1828800" cy="1838325"/>
                  <wp:effectExtent l="0" t="0" r="0" b="9525"/>
                  <wp:docPr id="130583121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tc>
        <w:tc>
          <w:tcPr>
            <w:tcW w:w="5238" w:type="dxa"/>
          </w:tcPr>
          <w:p w14:paraId="5D3BBBE6" w14:textId="77777777" w:rsidR="008F10DD" w:rsidRDefault="008F10DD" w:rsidP="006E4344">
            <w:pPr>
              <w:widowControl w:val="0"/>
            </w:pPr>
          </w:p>
          <w:p w14:paraId="57A45A05" w14:textId="77777777" w:rsidR="008F10DD" w:rsidRDefault="008F10DD" w:rsidP="006E4344">
            <w:pPr>
              <w:widowControl w:val="0"/>
            </w:pPr>
            <w:r w:rsidRPr="00A11B7A">
              <w:t xml:space="preserve">Norėdami pritvirtinti adatą, prijunkite stebulę prie </w:t>
            </w:r>
            <w:proofErr w:type="spellStart"/>
            <w:r w:rsidRPr="006F743D">
              <w:rPr>
                <w:i/>
                <w:iCs/>
              </w:rPr>
              <w:t>Luer</w:t>
            </w:r>
            <w:proofErr w:type="spellEnd"/>
            <w:r w:rsidRPr="006F743D">
              <w:rPr>
                <w:i/>
                <w:iCs/>
              </w:rPr>
              <w:t xml:space="preserve"> </w:t>
            </w:r>
            <w:proofErr w:type="spellStart"/>
            <w:r w:rsidRPr="006F743D">
              <w:rPr>
                <w:i/>
                <w:iCs/>
              </w:rPr>
              <w:t>Lock</w:t>
            </w:r>
            <w:proofErr w:type="spellEnd"/>
            <w:r w:rsidRPr="00A11B7A">
              <w:t xml:space="preserve"> adapterio ir pasukite ketvirtį apsisukimo pagal laikrodžio rodyklę, kol pajusite, kad ji užsifiksuos.</w:t>
            </w:r>
          </w:p>
          <w:p w14:paraId="571E4822" w14:textId="77777777" w:rsidR="008F10DD" w:rsidRDefault="008F10DD" w:rsidP="006E4344">
            <w:pPr>
              <w:widowControl w:val="0"/>
            </w:pPr>
          </w:p>
          <w:p w14:paraId="3FC223C8" w14:textId="77777777" w:rsidR="008F10DD" w:rsidRPr="00E650C2" w:rsidRDefault="008F10DD" w:rsidP="006E4344">
            <w:pPr>
              <w:widowControl w:val="0"/>
            </w:pPr>
            <w:r w:rsidRPr="00014B13">
              <w:t xml:space="preserve">Netraukite švirkšto stūmoklio iš </w:t>
            </w:r>
            <w:r>
              <w:t>vamzdelio</w:t>
            </w:r>
            <w:r w:rsidRPr="00014B13">
              <w:t>. Jei taip atsitiktų, vakcinos neskirkite</w:t>
            </w:r>
            <w:r w:rsidRPr="00E650C2">
              <w:t>.</w:t>
            </w:r>
            <w:r w:rsidRPr="00E650C2">
              <w:rPr>
                <w:noProof/>
                <w:lang w:val="it-IT" w:eastAsia="it-IT"/>
              </w:rPr>
              <w:t xml:space="preserve"> </w:t>
            </w:r>
          </w:p>
        </w:tc>
      </w:tr>
      <w:bookmarkEnd w:id="54"/>
    </w:tbl>
    <w:p w14:paraId="67E47C78" w14:textId="77777777" w:rsidR="00C40649" w:rsidRDefault="00C40649" w:rsidP="008F10DD">
      <w:pPr>
        <w:rPr>
          <w:noProof/>
          <w:snapToGrid w:val="0"/>
          <w:u w:val="single"/>
        </w:rPr>
      </w:pPr>
    </w:p>
    <w:p w14:paraId="0EF47007" w14:textId="75CD8140" w:rsidR="008F10DD" w:rsidRDefault="008F10DD" w:rsidP="008F10DD">
      <w:pPr>
        <w:rPr>
          <w:szCs w:val="22"/>
        </w:rPr>
      </w:pPr>
      <w:r w:rsidRPr="006E4344">
        <w:rPr>
          <w:noProof/>
          <w:snapToGrid w:val="0"/>
          <w:u w:val="single"/>
        </w:rPr>
        <w:t>Atliekų tvarkymas</w:t>
      </w:r>
      <w:bookmarkEnd w:id="55"/>
    </w:p>
    <w:p w14:paraId="6CFB9DEC" w14:textId="77777777" w:rsidR="00F50FC7" w:rsidRDefault="00F50FC7" w:rsidP="00F50FC7">
      <w:r>
        <w:rPr>
          <w:szCs w:val="22"/>
        </w:rPr>
        <w:t xml:space="preserve">Nesuvartotą </w:t>
      </w:r>
      <w:r>
        <w:t xml:space="preserve">vaistinį </w:t>
      </w:r>
      <w:r>
        <w:rPr>
          <w:szCs w:val="22"/>
        </w:rPr>
        <w:t>preparatą ar atliekas reikia tvarkyti laikantis vietinių reikalavimų.</w:t>
      </w:r>
    </w:p>
    <w:bookmarkEnd w:id="52"/>
    <w:p w14:paraId="0BE65BB3" w14:textId="77777777" w:rsidR="00F50FC7" w:rsidRPr="00E90E50" w:rsidRDefault="00F50FC7" w:rsidP="00F50FC7">
      <w:pPr>
        <w:pStyle w:val="Pagrindinistekstas"/>
        <w:spacing w:after="0"/>
        <w:rPr>
          <w:sz w:val="22"/>
        </w:rPr>
      </w:pPr>
    </w:p>
    <w:p w14:paraId="1F58AA56" w14:textId="77777777" w:rsidR="00F50FC7" w:rsidRPr="00E90E50" w:rsidRDefault="00F50FC7" w:rsidP="00F50FC7">
      <w:pPr>
        <w:pStyle w:val="Pagrindinistekstas"/>
        <w:spacing w:after="0"/>
        <w:rPr>
          <w:sz w:val="22"/>
        </w:rPr>
      </w:pPr>
    </w:p>
    <w:p w14:paraId="278B6396" w14:textId="75CFA398" w:rsidR="00F50FC7" w:rsidRDefault="00F50FC7" w:rsidP="00F50FC7">
      <w:pPr>
        <w:pStyle w:val="PI-1EMEASMCA"/>
      </w:pPr>
      <w:bookmarkStart w:id="56" w:name="_Toc129243122"/>
      <w:bookmarkStart w:id="57" w:name="_Toc129243247"/>
      <w:r>
        <w:t>7.</w:t>
      </w:r>
      <w:r>
        <w:tab/>
        <w:t>REGISTRUOTOJAS</w:t>
      </w:r>
      <w:bookmarkEnd w:id="56"/>
      <w:bookmarkEnd w:id="57"/>
    </w:p>
    <w:p w14:paraId="297829C4" w14:textId="77777777" w:rsidR="00F50FC7" w:rsidRPr="00E90E50" w:rsidRDefault="00F50FC7" w:rsidP="00F50FC7">
      <w:pPr>
        <w:pStyle w:val="Pagrindinistekstas"/>
        <w:spacing w:after="0"/>
        <w:rPr>
          <w:sz w:val="22"/>
        </w:rPr>
      </w:pPr>
    </w:p>
    <w:p w14:paraId="11D24EDC" w14:textId="77777777" w:rsidR="005E4C18" w:rsidRPr="008232B3" w:rsidRDefault="005E4C18" w:rsidP="005E4C18">
      <w:pPr>
        <w:keepNext/>
        <w:ind w:left="709" w:hanging="709"/>
        <w:jc w:val="both"/>
        <w:rPr>
          <w:szCs w:val="22"/>
        </w:rPr>
      </w:pPr>
      <w:proofErr w:type="spellStart"/>
      <w:r w:rsidRPr="008232B3">
        <w:rPr>
          <w:szCs w:val="22"/>
        </w:rPr>
        <w:t>GlaxoSmithKline</w:t>
      </w:r>
      <w:proofErr w:type="spellEnd"/>
      <w:r w:rsidRPr="008232B3">
        <w:rPr>
          <w:szCs w:val="22"/>
        </w:rPr>
        <w:t xml:space="preserve"> </w:t>
      </w:r>
      <w:proofErr w:type="spellStart"/>
      <w:r w:rsidRPr="008232B3">
        <w:rPr>
          <w:szCs w:val="22"/>
        </w:rPr>
        <w:t>Biologicals</w:t>
      </w:r>
      <w:proofErr w:type="spellEnd"/>
      <w:r w:rsidRPr="008232B3">
        <w:rPr>
          <w:szCs w:val="22"/>
        </w:rPr>
        <w:t xml:space="preserve"> SA</w:t>
      </w:r>
    </w:p>
    <w:p w14:paraId="4C28122F" w14:textId="77777777" w:rsidR="005E4C18" w:rsidRPr="008232B3" w:rsidRDefault="005E4C18" w:rsidP="005E4C18">
      <w:pPr>
        <w:keepNext/>
        <w:ind w:left="709" w:hanging="709"/>
        <w:jc w:val="both"/>
        <w:rPr>
          <w:szCs w:val="22"/>
        </w:rPr>
      </w:pPr>
      <w:proofErr w:type="spellStart"/>
      <w:r w:rsidRPr="008232B3">
        <w:rPr>
          <w:szCs w:val="22"/>
        </w:rPr>
        <w:t>Rue</w:t>
      </w:r>
      <w:proofErr w:type="spellEnd"/>
      <w:r w:rsidRPr="008232B3">
        <w:rPr>
          <w:szCs w:val="22"/>
        </w:rPr>
        <w:t xml:space="preserve"> de </w:t>
      </w:r>
      <w:proofErr w:type="spellStart"/>
      <w:r w:rsidRPr="008232B3">
        <w:rPr>
          <w:szCs w:val="22"/>
        </w:rPr>
        <w:t>l'Institut</w:t>
      </w:r>
      <w:proofErr w:type="spellEnd"/>
      <w:r w:rsidRPr="008232B3">
        <w:rPr>
          <w:szCs w:val="22"/>
        </w:rPr>
        <w:t xml:space="preserve"> 89 </w:t>
      </w:r>
    </w:p>
    <w:p w14:paraId="384E71C3" w14:textId="77777777" w:rsidR="005E4C18" w:rsidRPr="008232B3" w:rsidRDefault="005E4C18" w:rsidP="005E4C18">
      <w:pPr>
        <w:keepNext/>
        <w:ind w:left="709" w:hanging="709"/>
        <w:jc w:val="both"/>
        <w:rPr>
          <w:szCs w:val="22"/>
        </w:rPr>
      </w:pPr>
      <w:r w:rsidRPr="008232B3">
        <w:rPr>
          <w:szCs w:val="22"/>
        </w:rPr>
        <w:t xml:space="preserve">B-1330 </w:t>
      </w:r>
      <w:proofErr w:type="spellStart"/>
      <w:r w:rsidRPr="008232B3">
        <w:rPr>
          <w:szCs w:val="22"/>
        </w:rPr>
        <w:t>Rixensart</w:t>
      </w:r>
      <w:proofErr w:type="spellEnd"/>
    </w:p>
    <w:p w14:paraId="558033C9" w14:textId="14B04CCD" w:rsidR="00F50FC7" w:rsidRPr="00D24865" w:rsidRDefault="005E4C18" w:rsidP="00F50FC7">
      <w:pPr>
        <w:autoSpaceDE w:val="0"/>
        <w:adjustRightInd w:val="0"/>
        <w:rPr>
          <w:szCs w:val="22"/>
          <w:lang w:eastAsia="lt-LT"/>
        </w:rPr>
      </w:pPr>
      <w:r w:rsidRPr="008232B3">
        <w:rPr>
          <w:szCs w:val="22"/>
        </w:rPr>
        <w:t>Belgija</w:t>
      </w:r>
    </w:p>
    <w:p w14:paraId="324F810F" w14:textId="77777777" w:rsidR="00F50FC7" w:rsidRPr="00E90E50" w:rsidRDefault="00F50FC7" w:rsidP="00F50FC7">
      <w:pPr>
        <w:pStyle w:val="Pagrindinistekstas"/>
        <w:spacing w:after="0"/>
        <w:rPr>
          <w:sz w:val="22"/>
        </w:rPr>
      </w:pPr>
    </w:p>
    <w:p w14:paraId="2F16EA87" w14:textId="77777777" w:rsidR="00F50FC7" w:rsidRPr="00E90E50" w:rsidRDefault="00F50FC7" w:rsidP="00F50FC7">
      <w:pPr>
        <w:pStyle w:val="Pagrindinistekstas"/>
        <w:spacing w:after="0"/>
        <w:rPr>
          <w:sz w:val="22"/>
        </w:rPr>
      </w:pPr>
    </w:p>
    <w:p w14:paraId="1D2FFADC" w14:textId="2AF695BF" w:rsidR="00F50FC7" w:rsidRDefault="00F50FC7" w:rsidP="00F50FC7">
      <w:pPr>
        <w:pStyle w:val="PI-1EMEASMCA"/>
      </w:pPr>
      <w:bookmarkStart w:id="58" w:name="_Toc129243123"/>
      <w:bookmarkStart w:id="59" w:name="_Toc129243248"/>
      <w:r>
        <w:t>8.</w:t>
      </w:r>
      <w:r>
        <w:tab/>
        <w:t>REGISTRACIJOS PAŽYMĖJIMO NUMERIS</w:t>
      </w:r>
      <w:bookmarkEnd w:id="58"/>
      <w:bookmarkEnd w:id="59"/>
      <w:r>
        <w:t xml:space="preserve"> (-IAI)</w:t>
      </w:r>
    </w:p>
    <w:p w14:paraId="54B79E24" w14:textId="77777777" w:rsidR="00F50FC7" w:rsidRPr="00E90E50" w:rsidRDefault="00F50FC7" w:rsidP="00F50FC7">
      <w:pPr>
        <w:pStyle w:val="Pagrindinistekstas"/>
        <w:spacing w:after="0"/>
        <w:rPr>
          <w:sz w:val="22"/>
        </w:rPr>
      </w:pPr>
    </w:p>
    <w:p w14:paraId="233AAB37" w14:textId="77777777" w:rsidR="00F50FC7" w:rsidRPr="004C11A8" w:rsidRDefault="00F50FC7" w:rsidP="00F50FC7">
      <w:pPr>
        <w:rPr>
          <w:bCs/>
          <w:szCs w:val="22"/>
        </w:rPr>
      </w:pPr>
      <w:r>
        <w:rPr>
          <w:bCs/>
          <w:szCs w:val="22"/>
        </w:rPr>
        <w:t>LT/1/19/4495/001</w:t>
      </w:r>
      <w:r w:rsidRPr="004C11A8">
        <w:rPr>
          <w:bCs/>
          <w:szCs w:val="22"/>
        </w:rPr>
        <w:t xml:space="preserve"> –</w:t>
      </w:r>
      <w:r>
        <w:rPr>
          <w:bCs/>
          <w:szCs w:val="22"/>
        </w:rPr>
        <w:t xml:space="preserve">  </w:t>
      </w:r>
      <w:r w:rsidRPr="004C11A8">
        <w:rPr>
          <w:bCs/>
          <w:szCs w:val="22"/>
        </w:rPr>
        <w:t>0,5 m</w:t>
      </w:r>
      <w:r>
        <w:rPr>
          <w:bCs/>
          <w:szCs w:val="22"/>
        </w:rPr>
        <w:t>l be adatos</w:t>
      </w:r>
      <w:r w:rsidRPr="004C11A8">
        <w:rPr>
          <w:bCs/>
          <w:szCs w:val="22"/>
        </w:rPr>
        <w:t>, N1</w:t>
      </w:r>
    </w:p>
    <w:p w14:paraId="1CC7122F" w14:textId="77777777" w:rsidR="00F50FC7" w:rsidRPr="004C11A8" w:rsidRDefault="00F50FC7" w:rsidP="00F50FC7">
      <w:pPr>
        <w:rPr>
          <w:bCs/>
          <w:szCs w:val="22"/>
        </w:rPr>
      </w:pPr>
      <w:r>
        <w:rPr>
          <w:bCs/>
          <w:szCs w:val="22"/>
        </w:rPr>
        <w:t>LT/1/19/4495/002</w:t>
      </w:r>
      <w:r w:rsidRPr="004C11A8">
        <w:rPr>
          <w:bCs/>
          <w:szCs w:val="22"/>
        </w:rPr>
        <w:t xml:space="preserve"> –</w:t>
      </w:r>
      <w:r>
        <w:rPr>
          <w:bCs/>
          <w:szCs w:val="22"/>
        </w:rPr>
        <w:t xml:space="preserve"> </w:t>
      </w:r>
      <w:r w:rsidRPr="004C11A8">
        <w:rPr>
          <w:bCs/>
          <w:szCs w:val="22"/>
        </w:rPr>
        <w:t xml:space="preserve"> 0,5 ml</w:t>
      </w:r>
      <w:r>
        <w:rPr>
          <w:bCs/>
          <w:szCs w:val="22"/>
        </w:rPr>
        <w:t xml:space="preserve"> be adatos</w:t>
      </w:r>
      <w:r w:rsidRPr="004C11A8">
        <w:rPr>
          <w:bCs/>
          <w:szCs w:val="22"/>
        </w:rPr>
        <w:t>, N1</w:t>
      </w:r>
      <w:r>
        <w:rPr>
          <w:bCs/>
          <w:szCs w:val="22"/>
        </w:rPr>
        <w:t>0</w:t>
      </w:r>
    </w:p>
    <w:p w14:paraId="100B2AB5" w14:textId="77777777" w:rsidR="00F50FC7" w:rsidRPr="004C11A8" w:rsidRDefault="00F50FC7" w:rsidP="00F50FC7">
      <w:pPr>
        <w:rPr>
          <w:bCs/>
          <w:szCs w:val="22"/>
        </w:rPr>
      </w:pPr>
      <w:r>
        <w:rPr>
          <w:bCs/>
          <w:szCs w:val="22"/>
        </w:rPr>
        <w:t>LT/1/19/4495/006</w:t>
      </w:r>
      <w:r w:rsidRPr="004C11A8">
        <w:rPr>
          <w:bCs/>
          <w:szCs w:val="22"/>
        </w:rPr>
        <w:t xml:space="preserve"> – </w:t>
      </w:r>
      <w:r>
        <w:rPr>
          <w:bCs/>
          <w:szCs w:val="22"/>
        </w:rPr>
        <w:t xml:space="preserve"> </w:t>
      </w:r>
      <w:r w:rsidRPr="004C11A8">
        <w:rPr>
          <w:bCs/>
          <w:szCs w:val="22"/>
        </w:rPr>
        <w:t>0,5 ml</w:t>
      </w:r>
      <w:r>
        <w:rPr>
          <w:bCs/>
          <w:szCs w:val="22"/>
        </w:rPr>
        <w:t xml:space="preserve"> su adata</w:t>
      </w:r>
      <w:r w:rsidRPr="004C11A8">
        <w:rPr>
          <w:bCs/>
          <w:szCs w:val="22"/>
        </w:rPr>
        <w:t>, N1</w:t>
      </w:r>
    </w:p>
    <w:p w14:paraId="1772202C" w14:textId="77777777" w:rsidR="00F50FC7" w:rsidRPr="004C11A8" w:rsidRDefault="00F50FC7" w:rsidP="00F50FC7">
      <w:pPr>
        <w:rPr>
          <w:bCs/>
          <w:szCs w:val="22"/>
        </w:rPr>
      </w:pPr>
      <w:r>
        <w:rPr>
          <w:bCs/>
          <w:szCs w:val="22"/>
        </w:rPr>
        <w:t>LT/1/19/4495/007</w:t>
      </w:r>
      <w:r w:rsidRPr="004C11A8">
        <w:rPr>
          <w:bCs/>
          <w:szCs w:val="22"/>
        </w:rPr>
        <w:t xml:space="preserve"> – </w:t>
      </w:r>
      <w:r>
        <w:rPr>
          <w:bCs/>
          <w:szCs w:val="22"/>
        </w:rPr>
        <w:t xml:space="preserve"> </w:t>
      </w:r>
      <w:r w:rsidRPr="004C11A8">
        <w:rPr>
          <w:bCs/>
          <w:szCs w:val="22"/>
        </w:rPr>
        <w:t>0,5 ml</w:t>
      </w:r>
      <w:r>
        <w:rPr>
          <w:bCs/>
          <w:szCs w:val="22"/>
        </w:rPr>
        <w:t xml:space="preserve"> su adata</w:t>
      </w:r>
      <w:r w:rsidRPr="004C11A8">
        <w:rPr>
          <w:bCs/>
          <w:szCs w:val="22"/>
        </w:rPr>
        <w:t>, N1</w:t>
      </w:r>
      <w:r>
        <w:rPr>
          <w:bCs/>
          <w:szCs w:val="22"/>
        </w:rPr>
        <w:t>0</w:t>
      </w:r>
    </w:p>
    <w:p w14:paraId="3F9D34BD" w14:textId="77777777" w:rsidR="00F50FC7" w:rsidRPr="004C11A8" w:rsidRDefault="00F50FC7" w:rsidP="00F50FC7">
      <w:pPr>
        <w:rPr>
          <w:bCs/>
          <w:szCs w:val="22"/>
        </w:rPr>
      </w:pPr>
      <w:r>
        <w:rPr>
          <w:bCs/>
          <w:szCs w:val="22"/>
        </w:rPr>
        <w:t>LT/1/19/4495/011</w:t>
      </w:r>
      <w:r w:rsidRPr="004C11A8">
        <w:rPr>
          <w:bCs/>
          <w:szCs w:val="22"/>
        </w:rPr>
        <w:t xml:space="preserve"> – </w:t>
      </w:r>
      <w:r>
        <w:rPr>
          <w:bCs/>
          <w:szCs w:val="22"/>
        </w:rPr>
        <w:t xml:space="preserve"> </w:t>
      </w:r>
      <w:r w:rsidRPr="004C11A8">
        <w:rPr>
          <w:bCs/>
          <w:szCs w:val="22"/>
        </w:rPr>
        <w:t>0,5 ml</w:t>
      </w:r>
      <w:r>
        <w:rPr>
          <w:bCs/>
          <w:szCs w:val="22"/>
        </w:rPr>
        <w:t xml:space="preserve"> su 2 adatomis</w:t>
      </w:r>
      <w:r w:rsidRPr="004C11A8">
        <w:rPr>
          <w:bCs/>
          <w:szCs w:val="22"/>
        </w:rPr>
        <w:t>, N1</w:t>
      </w:r>
    </w:p>
    <w:p w14:paraId="0CFD18F8" w14:textId="77777777" w:rsidR="00F50FC7" w:rsidRPr="004C11A8" w:rsidRDefault="00F50FC7" w:rsidP="00F50FC7">
      <w:pPr>
        <w:rPr>
          <w:bCs/>
          <w:szCs w:val="22"/>
        </w:rPr>
      </w:pPr>
      <w:r>
        <w:rPr>
          <w:bCs/>
          <w:szCs w:val="22"/>
        </w:rPr>
        <w:lastRenderedPageBreak/>
        <w:t>LT/1/19/4495/012</w:t>
      </w:r>
      <w:r w:rsidRPr="004C11A8">
        <w:rPr>
          <w:bCs/>
          <w:szCs w:val="22"/>
        </w:rPr>
        <w:t xml:space="preserve"> – </w:t>
      </w:r>
      <w:r>
        <w:rPr>
          <w:bCs/>
          <w:szCs w:val="22"/>
        </w:rPr>
        <w:t xml:space="preserve"> </w:t>
      </w:r>
      <w:r w:rsidRPr="004C11A8">
        <w:rPr>
          <w:bCs/>
          <w:szCs w:val="22"/>
        </w:rPr>
        <w:t>0,5 ml</w:t>
      </w:r>
      <w:r>
        <w:rPr>
          <w:bCs/>
          <w:szCs w:val="22"/>
        </w:rPr>
        <w:t xml:space="preserve"> su 2 adatomis</w:t>
      </w:r>
      <w:r w:rsidRPr="004C11A8">
        <w:rPr>
          <w:bCs/>
          <w:szCs w:val="22"/>
        </w:rPr>
        <w:t>, N1</w:t>
      </w:r>
      <w:r>
        <w:rPr>
          <w:bCs/>
          <w:szCs w:val="22"/>
        </w:rPr>
        <w:t>0</w:t>
      </w:r>
    </w:p>
    <w:p w14:paraId="499157E5" w14:textId="77777777" w:rsidR="00F50FC7" w:rsidRPr="00E90E50" w:rsidRDefault="00F50FC7" w:rsidP="00F50FC7">
      <w:pPr>
        <w:pStyle w:val="Pagrindinistekstas"/>
        <w:spacing w:after="0"/>
        <w:rPr>
          <w:sz w:val="22"/>
        </w:rPr>
      </w:pPr>
    </w:p>
    <w:p w14:paraId="67E5C3EE" w14:textId="77777777" w:rsidR="00F50FC7" w:rsidRPr="00E90E50" w:rsidRDefault="00F50FC7" w:rsidP="00F50FC7">
      <w:pPr>
        <w:pStyle w:val="Pagrindinistekstas"/>
        <w:spacing w:after="0"/>
        <w:rPr>
          <w:sz w:val="22"/>
        </w:rPr>
      </w:pPr>
    </w:p>
    <w:p w14:paraId="749A7632" w14:textId="50DB78E2" w:rsidR="00F50FC7" w:rsidRDefault="00F50FC7" w:rsidP="00F50FC7">
      <w:pPr>
        <w:pStyle w:val="PI-1EMEASMCA"/>
      </w:pPr>
      <w:bookmarkStart w:id="60" w:name="_Toc129243124"/>
      <w:bookmarkStart w:id="61" w:name="_Toc129243249"/>
      <w:r>
        <w:t>9.</w:t>
      </w:r>
      <w:r>
        <w:tab/>
        <w:t>REGISTRAVIMO / PERREGISTRAVIMO DATA</w:t>
      </w:r>
      <w:bookmarkEnd w:id="60"/>
      <w:bookmarkEnd w:id="61"/>
    </w:p>
    <w:p w14:paraId="64B55C37" w14:textId="77777777" w:rsidR="00F50FC7" w:rsidRPr="00E90E50" w:rsidRDefault="00F50FC7" w:rsidP="00F50FC7">
      <w:pPr>
        <w:pStyle w:val="Pagrindinistekstas"/>
        <w:spacing w:after="0"/>
        <w:rPr>
          <w:sz w:val="22"/>
        </w:rPr>
      </w:pPr>
    </w:p>
    <w:p w14:paraId="1C9F9428" w14:textId="7EF74B08" w:rsidR="00F50FC7" w:rsidRPr="00D74909" w:rsidRDefault="00F50FC7" w:rsidP="00F50FC7">
      <w:pPr>
        <w:pStyle w:val="Pagrindinistekstas"/>
        <w:spacing w:after="0"/>
        <w:rPr>
          <w:sz w:val="22"/>
          <w:szCs w:val="22"/>
        </w:rPr>
      </w:pPr>
      <w:r w:rsidRPr="00D74909">
        <w:rPr>
          <w:noProof/>
          <w:sz w:val="22"/>
          <w:szCs w:val="22"/>
        </w:rPr>
        <w:t>Registravimo data</w:t>
      </w:r>
      <w:r>
        <w:rPr>
          <w:noProof/>
          <w:sz w:val="22"/>
          <w:szCs w:val="22"/>
        </w:rPr>
        <w:t xml:space="preserve"> 2019</w:t>
      </w:r>
      <w:r w:rsidR="00C477EE">
        <w:rPr>
          <w:noProof/>
          <w:sz w:val="22"/>
          <w:szCs w:val="22"/>
        </w:rPr>
        <w:t> </w:t>
      </w:r>
      <w:r>
        <w:rPr>
          <w:noProof/>
          <w:sz w:val="22"/>
          <w:szCs w:val="22"/>
        </w:rPr>
        <w:t>m. gruodžio 23</w:t>
      </w:r>
      <w:r w:rsidR="00C477EE">
        <w:rPr>
          <w:noProof/>
          <w:sz w:val="22"/>
          <w:szCs w:val="22"/>
        </w:rPr>
        <w:t> </w:t>
      </w:r>
      <w:r>
        <w:rPr>
          <w:noProof/>
          <w:sz w:val="22"/>
          <w:szCs w:val="22"/>
        </w:rPr>
        <w:t>d.</w:t>
      </w:r>
    </w:p>
    <w:p w14:paraId="310384C5" w14:textId="446DF5CF" w:rsidR="00F50FC7" w:rsidRPr="00BB36BA" w:rsidRDefault="00F50FC7" w:rsidP="00F50FC7">
      <w:pPr>
        <w:pStyle w:val="Pagrindinistekstas"/>
        <w:spacing w:after="0"/>
        <w:rPr>
          <w:noProof/>
          <w:sz w:val="22"/>
          <w:szCs w:val="22"/>
        </w:rPr>
      </w:pPr>
      <w:r w:rsidRPr="000A79DC">
        <w:rPr>
          <w:noProof/>
          <w:szCs w:val="22"/>
        </w:rPr>
        <w:t xml:space="preserve">Paskutinio </w:t>
      </w:r>
      <w:r w:rsidRPr="000A79DC">
        <w:rPr>
          <w:noProof/>
        </w:rPr>
        <w:t xml:space="preserve">perregistravimo data </w:t>
      </w:r>
      <w:r w:rsidRPr="00BB36BA">
        <w:rPr>
          <w:noProof/>
          <w:sz w:val="22"/>
          <w:szCs w:val="22"/>
        </w:rPr>
        <w:t>2021</w:t>
      </w:r>
      <w:r w:rsidR="00C477EE">
        <w:rPr>
          <w:noProof/>
          <w:sz w:val="22"/>
          <w:szCs w:val="22"/>
        </w:rPr>
        <w:t> </w:t>
      </w:r>
      <w:r w:rsidRPr="00BB36BA">
        <w:rPr>
          <w:noProof/>
          <w:sz w:val="22"/>
          <w:szCs w:val="22"/>
        </w:rPr>
        <w:t xml:space="preserve">m. balandžio </w:t>
      </w:r>
      <w:r>
        <w:rPr>
          <w:noProof/>
          <w:sz w:val="22"/>
          <w:szCs w:val="22"/>
        </w:rPr>
        <w:t>7</w:t>
      </w:r>
      <w:r w:rsidR="00C477EE">
        <w:rPr>
          <w:noProof/>
          <w:sz w:val="22"/>
          <w:szCs w:val="22"/>
        </w:rPr>
        <w:t> </w:t>
      </w:r>
      <w:r w:rsidRPr="00BB36BA">
        <w:rPr>
          <w:noProof/>
          <w:sz w:val="22"/>
          <w:szCs w:val="22"/>
        </w:rPr>
        <w:t>d.</w:t>
      </w:r>
    </w:p>
    <w:p w14:paraId="6F0942EB" w14:textId="77777777" w:rsidR="00F50FC7" w:rsidRDefault="00F50FC7" w:rsidP="00F50FC7">
      <w:pPr>
        <w:pStyle w:val="Pagrindinistekstas"/>
        <w:spacing w:after="0"/>
        <w:rPr>
          <w:sz w:val="22"/>
        </w:rPr>
      </w:pPr>
    </w:p>
    <w:p w14:paraId="4AC673D7" w14:textId="77777777" w:rsidR="00297C41" w:rsidRDefault="00297C41" w:rsidP="00F50FC7">
      <w:pPr>
        <w:pStyle w:val="Pagrindinistekstas"/>
        <w:spacing w:after="0"/>
        <w:rPr>
          <w:sz w:val="22"/>
        </w:rPr>
      </w:pPr>
    </w:p>
    <w:p w14:paraId="69105D2C" w14:textId="77777777" w:rsidR="00297C41" w:rsidRDefault="00297C41" w:rsidP="00297C41">
      <w:pPr>
        <w:pStyle w:val="PI-1EMEASMCA"/>
      </w:pPr>
      <w:r>
        <w:t>10.</w:t>
      </w:r>
      <w:r>
        <w:tab/>
        <w:t>TEKSTO PERŽIŪROS DATA</w:t>
      </w:r>
    </w:p>
    <w:p w14:paraId="2598E063" w14:textId="77777777" w:rsidR="00297C41" w:rsidRDefault="00297C41" w:rsidP="00F50FC7">
      <w:pPr>
        <w:pStyle w:val="Pagrindinistekstas"/>
        <w:spacing w:after="0"/>
        <w:rPr>
          <w:sz w:val="22"/>
        </w:rPr>
      </w:pPr>
    </w:p>
    <w:p w14:paraId="66D80E3C" w14:textId="77777777" w:rsidR="00297C41" w:rsidRDefault="00297C41" w:rsidP="00297C41">
      <w:pPr>
        <w:pStyle w:val="BTEMEASMCA"/>
        <w:rPr>
          <w:noProof/>
        </w:rPr>
      </w:pPr>
    </w:p>
    <w:p w14:paraId="59B0ED4B" w14:textId="738C424A" w:rsidR="00297C41" w:rsidRDefault="00297C41" w:rsidP="00297C41">
      <w:pPr>
        <w:pStyle w:val="BTEMEASMCA"/>
        <w:rPr>
          <w:noProof/>
        </w:rPr>
      </w:pPr>
      <w:r>
        <w:rPr>
          <w:noProof/>
        </w:rPr>
        <w:t>2023 m. balandžio 26 d.</w:t>
      </w:r>
    </w:p>
    <w:p w14:paraId="10F2B6A7" w14:textId="77777777" w:rsidR="00297C41" w:rsidRDefault="00297C41" w:rsidP="00F50FC7">
      <w:pPr>
        <w:pStyle w:val="Pagrindinistekstas"/>
        <w:spacing w:after="0"/>
        <w:rPr>
          <w:sz w:val="22"/>
        </w:rPr>
      </w:pPr>
    </w:p>
    <w:p w14:paraId="59B0DC5B" w14:textId="308E506F" w:rsidR="00297C41" w:rsidRDefault="00297C41" w:rsidP="00F50FC7">
      <w:pPr>
        <w:pStyle w:val="Pagrindinistekstas"/>
        <w:spacing w:after="0"/>
        <w:rPr>
          <w:sz w:val="22"/>
        </w:rPr>
      </w:pPr>
      <w:r w:rsidRPr="002C65CD">
        <w:t xml:space="preserve">Išsami informacija apie šį vaistinį preparatą pateikiama Valstybinės vaistų kontrolės tarnybos prie Lietuvos Respublikos sveikatos apsaugos ministerijos tinklalapyje </w:t>
      </w:r>
      <w:hyperlink r:id="rId15" w:history="1">
        <w:r w:rsidRPr="002C65CD">
          <w:rPr>
            <w:rStyle w:val="Hipersaitas"/>
          </w:rPr>
          <w:t>http://www.vvkt.lt/</w:t>
        </w:r>
      </w:hyperlink>
    </w:p>
    <w:p w14:paraId="0484D0F9" w14:textId="77777777" w:rsidR="00297C41" w:rsidRPr="00E90E50" w:rsidRDefault="00297C41" w:rsidP="00F50FC7">
      <w:pPr>
        <w:pStyle w:val="Pagrindinistekstas"/>
        <w:spacing w:after="0"/>
        <w:rPr>
          <w:sz w:val="22"/>
        </w:rPr>
      </w:pPr>
    </w:p>
    <w:p w14:paraId="51592AE7" w14:textId="77777777" w:rsidR="00F50FC7" w:rsidRPr="00E90E50" w:rsidRDefault="00F50FC7" w:rsidP="00F50FC7">
      <w:pPr>
        <w:pStyle w:val="Pagrindinistekstas"/>
        <w:spacing w:after="0"/>
        <w:rPr>
          <w:sz w:val="22"/>
        </w:rPr>
      </w:pPr>
    </w:p>
    <w:p w14:paraId="41C507AB" w14:textId="77777777" w:rsidR="00F50FC7" w:rsidRPr="002C65CD" w:rsidRDefault="00F50FC7" w:rsidP="000B6C00">
      <w:pPr>
        <w:pStyle w:val="BTEMEASMCA"/>
      </w:pPr>
    </w:p>
    <w:p w14:paraId="3EC3FD9E" w14:textId="77777777" w:rsidR="00F50FC7" w:rsidRPr="002C65CD" w:rsidRDefault="00F50FC7" w:rsidP="000B6C00">
      <w:pPr>
        <w:pStyle w:val="BTEMEASMCA"/>
      </w:pPr>
    </w:p>
    <w:p w14:paraId="7FE56FB6" w14:textId="77777777" w:rsidR="00F50FC7" w:rsidRPr="002C65CD" w:rsidRDefault="00F50FC7" w:rsidP="000B6C00">
      <w:pPr>
        <w:pStyle w:val="BTEMEASMCA"/>
      </w:pPr>
    </w:p>
    <w:p w14:paraId="1FFB86BD" w14:textId="77777777" w:rsidR="00F50FC7" w:rsidRPr="002C65CD" w:rsidRDefault="00F50FC7" w:rsidP="000B6C00">
      <w:pPr>
        <w:pStyle w:val="BTEMEASMCA"/>
      </w:pPr>
    </w:p>
    <w:p w14:paraId="0F6CD09D" w14:textId="77777777" w:rsidR="00F50FC7" w:rsidRPr="002C65CD" w:rsidRDefault="00F50FC7" w:rsidP="000B6C00">
      <w:pPr>
        <w:pStyle w:val="BTEMEASMCA"/>
      </w:pPr>
    </w:p>
    <w:p w14:paraId="5C8BC33E" w14:textId="77777777" w:rsidR="00F50FC7" w:rsidRPr="002C65CD" w:rsidRDefault="00F50FC7" w:rsidP="000B6C00">
      <w:pPr>
        <w:pStyle w:val="BTEMEASMCA"/>
      </w:pPr>
    </w:p>
    <w:p w14:paraId="78CE01CE" w14:textId="77777777" w:rsidR="00F50FC7" w:rsidRPr="002C65CD" w:rsidRDefault="00F50FC7" w:rsidP="000B6C00">
      <w:pPr>
        <w:pStyle w:val="BTEMEASMCA"/>
      </w:pPr>
    </w:p>
    <w:p w14:paraId="12282557" w14:textId="77777777" w:rsidR="00F50FC7" w:rsidRPr="002C65CD" w:rsidRDefault="00F50FC7" w:rsidP="000B6C00">
      <w:pPr>
        <w:pStyle w:val="BTEMEASMCA"/>
      </w:pPr>
    </w:p>
    <w:p w14:paraId="292D247E" w14:textId="77777777" w:rsidR="00F50FC7" w:rsidRPr="002C65CD" w:rsidRDefault="00F50FC7" w:rsidP="000B6C00">
      <w:pPr>
        <w:pStyle w:val="BTEMEASMCA"/>
      </w:pPr>
    </w:p>
    <w:p w14:paraId="43DDBDDB" w14:textId="77777777" w:rsidR="00F50FC7" w:rsidRPr="002C65CD" w:rsidRDefault="00F50FC7" w:rsidP="000B6C00">
      <w:pPr>
        <w:pStyle w:val="BTEMEASMCA"/>
      </w:pPr>
    </w:p>
    <w:p w14:paraId="2CC94A5C" w14:textId="77777777" w:rsidR="00F50FC7" w:rsidRPr="002C65CD" w:rsidRDefault="00F50FC7" w:rsidP="000B6C00">
      <w:pPr>
        <w:pStyle w:val="BTEMEASMCA"/>
      </w:pPr>
    </w:p>
    <w:p w14:paraId="4136700E" w14:textId="77777777" w:rsidR="00F50FC7" w:rsidRPr="002C65CD" w:rsidRDefault="00F50FC7" w:rsidP="000B6C00">
      <w:pPr>
        <w:pStyle w:val="BTEMEASMCA"/>
      </w:pPr>
    </w:p>
    <w:p w14:paraId="6075B19C" w14:textId="77777777" w:rsidR="00F50FC7" w:rsidRPr="002C65CD" w:rsidRDefault="00F50FC7" w:rsidP="000B6C00">
      <w:pPr>
        <w:pStyle w:val="BTEMEASMCA"/>
      </w:pPr>
    </w:p>
    <w:p w14:paraId="1E2B966D" w14:textId="77777777" w:rsidR="00F50FC7" w:rsidRPr="002C65CD" w:rsidRDefault="00F50FC7" w:rsidP="000B6C00">
      <w:pPr>
        <w:pStyle w:val="BTEMEASMCA"/>
      </w:pPr>
    </w:p>
    <w:p w14:paraId="09368488" w14:textId="77777777" w:rsidR="00F50FC7" w:rsidRPr="002C65CD" w:rsidRDefault="00F50FC7" w:rsidP="000B6C00">
      <w:pPr>
        <w:pStyle w:val="BTEMEASMCA"/>
      </w:pPr>
    </w:p>
    <w:p w14:paraId="0B86F9FA" w14:textId="77777777" w:rsidR="00F50FC7" w:rsidRPr="002C65CD" w:rsidRDefault="00F50FC7" w:rsidP="000B6C00">
      <w:pPr>
        <w:pStyle w:val="BTEMEASMCA"/>
      </w:pPr>
    </w:p>
    <w:p w14:paraId="54309182" w14:textId="77777777" w:rsidR="00F50FC7" w:rsidRPr="002C65CD" w:rsidRDefault="00F50FC7" w:rsidP="000B6C00">
      <w:pPr>
        <w:pStyle w:val="BTEMEASMCA"/>
      </w:pPr>
    </w:p>
    <w:p w14:paraId="664B1013" w14:textId="77777777" w:rsidR="00F50FC7" w:rsidRPr="002C65CD" w:rsidRDefault="00F50FC7" w:rsidP="000B6C00">
      <w:pPr>
        <w:pStyle w:val="BTEMEASMCA"/>
      </w:pPr>
    </w:p>
    <w:p w14:paraId="68B49FA9" w14:textId="77777777" w:rsidR="00F50FC7" w:rsidRPr="002C65CD" w:rsidRDefault="00F50FC7" w:rsidP="000B6C00">
      <w:pPr>
        <w:pStyle w:val="BTEMEASMCA"/>
      </w:pPr>
    </w:p>
    <w:p w14:paraId="745E12C6" w14:textId="77777777" w:rsidR="00F50FC7" w:rsidRPr="002C65CD" w:rsidRDefault="00F50FC7" w:rsidP="000B6C00">
      <w:pPr>
        <w:pStyle w:val="BTEMEASMCA"/>
      </w:pPr>
    </w:p>
    <w:p w14:paraId="580323D9" w14:textId="77777777" w:rsidR="00F50FC7" w:rsidRPr="002C65CD" w:rsidRDefault="00F50FC7" w:rsidP="000B6C00">
      <w:pPr>
        <w:pStyle w:val="BTEMEASMCA"/>
      </w:pPr>
    </w:p>
    <w:p w14:paraId="0B8327A8" w14:textId="77777777" w:rsidR="00F50FC7" w:rsidRPr="002C65CD" w:rsidRDefault="00F50FC7" w:rsidP="000B6C00">
      <w:pPr>
        <w:pStyle w:val="BTEMEASMCA"/>
      </w:pPr>
    </w:p>
    <w:p w14:paraId="41951A1E" w14:textId="77777777" w:rsidR="00F50FC7" w:rsidRPr="00D24865" w:rsidRDefault="00F50FC7" w:rsidP="00F50FC7">
      <w:pPr>
        <w:pStyle w:val="TTEMEASMCA"/>
        <w:rPr>
          <w:sz w:val="22"/>
          <w:szCs w:val="22"/>
        </w:rPr>
      </w:pPr>
      <w:bookmarkStart w:id="62" w:name="_Toc129243128"/>
      <w:bookmarkStart w:id="63" w:name="_Toc129243253"/>
    </w:p>
    <w:p w14:paraId="64378AF7" w14:textId="77777777" w:rsidR="00297C41" w:rsidRDefault="00297C41" w:rsidP="00F50FC7">
      <w:pPr>
        <w:pStyle w:val="TTEMEASMCA"/>
        <w:rPr>
          <w:sz w:val="22"/>
          <w:szCs w:val="22"/>
        </w:rPr>
      </w:pPr>
    </w:p>
    <w:p w14:paraId="0A6E6B7F" w14:textId="77777777" w:rsidR="00297C41" w:rsidRDefault="00297C41" w:rsidP="00F50FC7">
      <w:pPr>
        <w:pStyle w:val="TTEMEASMCA"/>
        <w:rPr>
          <w:sz w:val="22"/>
          <w:szCs w:val="22"/>
        </w:rPr>
      </w:pPr>
    </w:p>
    <w:p w14:paraId="39010979" w14:textId="77777777" w:rsidR="00297C41" w:rsidRDefault="00297C41" w:rsidP="00F50FC7">
      <w:pPr>
        <w:pStyle w:val="TTEMEASMCA"/>
        <w:rPr>
          <w:sz w:val="22"/>
          <w:szCs w:val="22"/>
        </w:rPr>
      </w:pPr>
    </w:p>
    <w:p w14:paraId="47946CC7" w14:textId="77777777" w:rsidR="00297C41" w:rsidRDefault="00297C41" w:rsidP="00F50FC7">
      <w:pPr>
        <w:pStyle w:val="TTEMEASMCA"/>
        <w:rPr>
          <w:sz w:val="22"/>
          <w:szCs w:val="22"/>
        </w:rPr>
      </w:pPr>
    </w:p>
    <w:p w14:paraId="2A9E6F2E" w14:textId="77777777" w:rsidR="00297C41" w:rsidRDefault="00297C41" w:rsidP="00F50FC7">
      <w:pPr>
        <w:pStyle w:val="TTEMEASMCA"/>
        <w:rPr>
          <w:sz w:val="22"/>
          <w:szCs w:val="22"/>
        </w:rPr>
      </w:pPr>
    </w:p>
    <w:p w14:paraId="1CB238BA" w14:textId="77777777" w:rsidR="00297C41" w:rsidRDefault="00297C41" w:rsidP="00F50FC7">
      <w:pPr>
        <w:pStyle w:val="TTEMEASMCA"/>
        <w:rPr>
          <w:sz w:val="22"/>
          <w:szCs w:val="22"/>
        </w:rPr>
      </w:pPr>
    </w:p>
    <w:p w14:paraId="656A946C" w14:textId="77777777" w:rsidR="00297C41" w:rsidRDefault="00297C41" w:rsidP="00F50FC7">
      <w:pPr>
        <w:pStyle w:val="TTEMEASMCA"/>
        <w:rPr>
          <w:sz w:val="22"/>
          <w:szCs w:val="22"/>
        </w:rPr>
      </w:pPr>
    </w:p>
    <w:p w14:paraId="015F9282" w14:textId="77777777" w:rsidR="00297C41" w:rsidRDefault="00297C41" w:rsidP="00F50FC7">
      <w:pPr>
        <w:pStyle w:val="TTEMEASMCA"/>
        <w:rPr>
          <w:sz w:val="22"/>
          <w:szCs w:val="22"/>
        </w:rPr>
      </w:pPr>
    </w:p>
    <w:p w14:paraId="4C666FBD" w14:textId="77777777" w:rsidR="00297C41" w:rsidRDefault="00297C41" w:rsidP="00F50FC7">
      <w:pPr>
        <w:pStyle w:val="TTEMEASMCA"/>
        <w:rPr>
          <w:sz w:val="22"/>
          <w:szCs w:val="22"/>
        </w:rPr>
      </w:pPr>
    </w:p>
    <w:p w14:paraId="01EC0F76" w14:textId="77777777" w:rsidR="00297C41" w:rsidRDefault="00297C41" w:rsidP="00F50FC7">
      <w:pPr>
        <w:pStyle w:val="TTEMEASMCA"/>
        <w:rPr>
          <w:sz w:val="22"/>
          <w:szCs w:val="22"/>
        </w:rPr>
      </w:pPr>
    </w:p>
    <w:p w14:paraId="7336F5D6" w14:textId="77777777" w:rsidR="00297C41" w:rsidRDefault="00297C41" w:rsidP="00F50FC7">
      <w:pPr>
        <w:pStyle w:val="TTEMEASMCA"/>
        <w:rPr>
          <w:sz w:val="22"/>
          <w:szCs w:val="22"/>
        </w:rPr>
      </w:pPr>
    </w:p>
    <w:p w14:paraId="7ED8A2C3" w14:textId="77777777" w:rsidR="00297C41" w:rsidRDefault="00297C41" w:rsidP="00F50FC7">
      <w:pPr>
        <w:pStyle w:val="TTEMEASMCA"/>
        <w:rPr>
          <w:sz w:val="22"/>
          <w:szCs w:val="22"/>
        </w:rPr>
      </w:pPr>
    </w:p>
    <w:p w14:paraId="22198F81" w14:textId="77777777" w:rsidR="00297C41" w:rsidRDefault="00297C41" w:rsidP="00F50FC7">
      <w:pPr>
        <w:pStyle w:val="TTEMEASMCA"/>
        <w:rPr>
          <w:sz w:val="22"/>
          <w:szCs w:val="22"/>
        </w:rPr>
      </w:pPr>
    </w:p>
    <w:p w14:paraId="0DC49C71" w14:textId="77777777" w:rsidR="00297C41" w:rsidRDefault="00297C41" w:rsidP="00F50FC7">
      <w:pPr>
        <w:pStyle w:val="TTEMEASMCA"/>
        <w:rPr>
          <w:sz w:val="22"/>
          <w:szCs w:val="22"/>
        </w:rPr>
      </w:pPr>
    </w:p>
    <w:p w14:paraId="3852A1FF" w14:textId="77777777" w:rsidR="00297C41" w:rsidRDefault="00297C41" w:rsidP="00F50FC7">
      <w:pPr>
        <w:pStyle w:val="TTEMEASMCA"/>
        <w:rPr>
          <w:sz w:val="22"/>
          <w:szCs w:val="22"/>
        </w:rPr>
      </w:pPr>
    </w:p>
    <w:p w14:paraId="68B27F89" w14:textId="77777777" w:rsidR="00297C41" w:rsidRDefault="00297C41" w:rsidP="00F50FC7">
      <w:pPr>
        <w:pStyle w:val="TTEMEASMCA"/>
        <w:rPr>
          <w:sz w:val="22"/>
          <w:szCs w:val="22"/>
        </w:rPr>
      </w:pPr>
    </w:p>
    <w:p w14:paraId="29EBEB51" w14:textId="77777777" w:rsidR="00297C41" w:rsidRDefault="00297C41" w:rsidP="00F50FC7">
      <w:pPr>
        <w:pStyle w:val="TTEMEASMCA"/>
        <w:rPr>
          <w:sz w:val="22"/>
          <w:szCs w:val="22"/>
        </w:rPr>
      </w:pPr>
    </w:p>
    <w:p w14:paraId="11CA2D07" w14:textId="77777777" w:rsidR="00297C41" w:rsidRDefault="00297C41" w:rsidP="00F50FC7">
      <w:pPr>
        <w:pStyle w:val="TTEMEASMCA"/>
        <w:rPr>
          <w:sz w:val="22"/>
          <w:szCs w:val="22"/>
        </w:rPr>
      </w:pPr>
    </w:p>
    <w:p w14:paraId="4A14E8DF" w14:textId="77777777" w:rsidR="00297C41" w:rsidRDefault="00297C41" w:rsidP="00F50FC7">
      <w:pPr>
        <w:pStyle w:val="TTEMEASMCA"/>
        <w:rPr>
          <w:sz w:val="22"/>
          <w:szCs w:val="22"/>
        </w:rPr>
      </w:pPr>
    </w:p>
    <w:p w14:paraId="0D025F22" w14:textId="77777777" w:rsidR="00297C41" w:rsidRDefault="00297C41" w:rsidP="00F50FC7">
      <w:pPr>
        <w:pStyle w:val="TTEMEASMCA"/>
        <w:rPr>
          <w:sz w:val="22"/>
          <w:szCs w:val="22"/>
        </w:rPr>
      </w:pPr>
    </w:p>
    <w:p w14:paraId="7048A435" w14:textId="77777777" w:rsidR="00297C41" w:rsidRDefault="00297C41" w:rsidP="00F50FC7">
      <w:pPr>
        <w:pStyle w:val="TTEMEASMCA"/>
        <w:rPr>
          <w:sz w:val="22"/>
          <w:szCs w:val="22"/>
        </w:rPr>
      </w:pPr>
    </w:p>
    <w:p w14:paraId="2FF6755C" w14:textId="77777777" w:rsidR="00297C41" w:rsidRDefault="00297C41" w:rsidP="00F50FC7">
      <w:pPr>
        <w:pStyle w:val="TTEMEASMCA"/>
        <w:rPr>
          <w:sz w:val="22"/>
          <w:szCs w:val="22"/>
        </w:rPr>
      </w:pPr>
    </w:p>
    <w:p w14:paraId="4B9D40C4" w14:textId="77777777" w:rsidR="00297C41" w:rsidRDefault="00297C41" w:rsidP="00F50FC7">
      <w:pPr>
        <w:pStyle w:val="TTEMEASMCA"/>
        <w:rPr>
          <w:sz w:val="22"/>
          <w:szCs w:val="22"/>
        </w:rPr>
      </w:pPr>
    </w:p>
    <w:p w14:paraId="775E2C76" w14:textId="77777777" w:rsidR="00297C41" w:rsidRDefault="00297C41" w:rsidP="00F50FC7">
      <w:pPr>
        <w:pStyle w:val="TTEMEASMCA"/>
        <w:rPr>
          <w:sz w:val="22"/>
          <w:szCs w:val="22"/>
        </w:rPr>
      </w:pPr>
    </w:p>
    <w:p w14:paraId="18001341" w14:textId="77777777" w:rsidR="00297C41" w:rsidRDefault="00297C41" w:rsidP="00F50FC7">
      <w:pPr>
        <w:pStyle w:val="TTEMEASMCA"/>
        <w:rPr>
          <w:sz w:val="22"/>
          <w:szCs w:val="22"/>
        </w:rPr>
      </w:pPr>
    </w:p>
    <w:p w14:paraId="5938C5DB" w14:textId="77777777" w:rsidR="00297C41" w:rsidRDefault="00297C41" w:rsidP="00F50FC7">
      <w:pPr>
        <w:pStyle w:val="TTEMEASMCA"/>
        <w:rPr>
          <w:sz w:val="22"/>
          <w:szCs w:val="22"/>
        </w:rPr>
      </w:pPr>
    </w:p>
    <w:p w14:paraId="34F91CA4" w14:textId="77777777" w:rsidR="00297C41" w:rsidRDefault="00297C41" w:rsidP="00F50FC7">
      <w:pPr>
        <w:pStyle w:val="TTEMEASMCA"/>
        <w:rPr>
          <w:sz w:val="22"/>
          <w:szCs w:val="22"/>
        </w:rPr>
      </w:pPr>
    </w:p>
    <w:p w14:paraId="68E78968" w14:textId="77777777" w:rsidR="00297C41" w:rsidRDefault="00297C41" w:rsidP="00F50FC7">
      <w:pPr>
        <w:pStyle w:val="TTEMEASMCA"/>
        <w:rPr>
          <w:sz w:val="22"/>
          <w:szCs w:val="22"/>
        </w:rPr>
      </w:pPr>
    </w:p>
    <w:p w14:paraId="349A2A23" w14:textId="77777777" w:rsidR="00297C41" w:rsidRDefault="00297C41" w:rsidP="00F50FC7">
      <w:pPr>
        <w:pStyle w:val="TTEMEASMCA"/>
        <w:rPr>
          <w:sz w:val="22"/>
          <w:szCs w:val="22"/>
        </w:rPr>
      </w:pPr>
    </w:p>
    <w:p w14:paraId="14464BC7" w14:textId="77777777" w:rsidR="00297C41" w:rsidRDefault="00297C41" w:rsidP="00F50FC7">
      <w:pPr>
        <w:pStyle w:val="TTEMEASMCA"/>
        <w:rPr>
          <w:sz w:val="22"/>
          <w:szCs w:val="22"/>
        </w:rPr>
      </w:pPr>
    </w:p>
    <w:p w14:paraId="1151AF91" w14:textId="77777777" w:rsidR="00297C41" w:rsidRDefault="00297C41" w:rsidP="00F50FC7">
      <w:pPr>
        <w:pStyle w:val="TTEMEASMCA"/>
        <w:rPr>
          <w:sz w:val="22"/>
          <w:szCs w:val="22"/>
        </w:rPr>
      </w:pPr>
    </w:p>
    <w:p w14:paraId="0B3E06D8" w14:textId="77777777" w:rsidR="00297C41" w:rsidRDefault="00297C41" w:rsidP="00F50FC7">
      <w:pPr>
        <w:pStyle w:val="TTEMEASMCA"/>
        <w:rPr>
          <w:sz w:val="22"/>
          <w:szCs w:val="22"/>
        </w:rPr>
      </w:pPr>
    </w:p>
    <w:p w14:paraId="4325B95D" w14:textId="77777777" w:rsidR="00297C41" w:rsidRDefault="00297C41" w:rsidP="00F50FC7">
      <w:pPr>
        <w:pStyle w:val="TTEMEASMCA"/>
        <w:rPr>
          <w:sz w:val="22"/>
          <w:szCs w:val="22"/>
        </w:rPr>
      </w:pPr>
    </w:p>
    <w:p w14:paraId="04CCAA1D" w14:textId="77777777" w:rsidR="00297C41" w:rsidRDefault="00297C41" w:rsidP="00F50FC7">
      <w:pPr>
        <w:pStyle w:val="TTEMEASMCA"/>
        <w:rPr>
          <w:sz w:val="22"/>
          <w:szCs w:val="22"/>
        </w:rPr>
      </w:pPr>
    </w:p>
    <w:p w14:paraId="786F00C0" w14:textId="1944F08A" w:rsidR="00F50FC7" w:rsidRPr="00D24865" w:rsidRDefault="00F50FC7" w:rsidP="00F50FC7">
      <w:pPr>
        <w:pStyle w:val="TTEMEASMCA"/>
        <w:rPr>
          <w:sz w:val="22"/>
          <w:szCs w:val="22"/>
        </w:rPr>
      </w:pPr>
      <w:r w:rsidRPr="00D24865">
        <w:rPr>
          <w:sz w:val="22"/>
          <w:szCs w:val="22"/>
        </w:rPr>
        <w:t>II PRIEDAS</w:t>
      </w:r>
    </w:p>
    <w:p w14:paraId="557CABBA" w14:textId="77777777" w:rsidR="00F50FC7" w:rsidRPr="00D24865" w:rsidRDefault="00F50FC7" w:rsidP="00F50FC7">
      <w:pPr>
        <w:pStyle w:val="TTEMEASMCA"/>
        <w:rPr>
          <w:sz w:val="22"/>
          <w:szCs w:val="22"/>
        </w:rPr>
      </w:pPr>
    </w:p>
    <w:bookmarkEnd w:id="62"/>
    <w:bookmarkEnd w:id="63"/>
    <w:p w14:paraId="265B1CAE" w14:textId="217E01B4" w:rsidR="00F50FC7" w:rsidRPr="00D24865" w:rsidRDefault="00F50FC7" w:rsidP="00F50FC7">
      <w:pPr>
        <w:pStyle w:val="TTEMEASMCA"/>
        <w:rPr>
          <w:sz w:val="22"/>
          <w:szCs w:val="22"/>
        </w:rPr>
      </w:pPr>
      <w:r w:rsidRPr="00D24865">
        <w:rPr>
          <w:sz w:val="22"/>
          <w:szCs w:val="22"/>
        </w:rPr>
        <w:t>R</w:t>
      </w:r>
      <w:r w:rsidRPr="002C65CD">
        <w:rPr>
          <w:sz w:val="22"/>
        </w:rPr>
        <w:t>EGISTRACIJ</w:t>
      </w:r>
      <w:r w:rsidRPr="00D24865">
        <w:rPr>
          <w:sz w:val="22"/>
          <w:szCs w:val="22"/>
        </w:rPr>
        <w:t>OS SĄLYGOS</w:t>
      </w:r>
      <w:r w:rsidR="007D4F93">
        <w:rPr>
          <w:sz w:val="22"/>
          <w:szCs w:val="22"/>
        </w:rPr>
        <w:fldChar w:fldCharType="begin"/>
      </w:r>
      <w:r w:rsidR="007D4F93">
        <w:rPr>
          <w:sz w:val="22"/>
          <w:szCs w:val="22"/>
        </w:rPr>
        <w:instrText xml:space="preserve"> DOCVARIABLE VAULT_ND_90989c21-5113-456a-8ffd-cdc3bad36c7a \* MERGEFORMAT </w:instrText>
      </w:r>
      <w:r w:rsidR="007D4F93">
        <w:rPr>
          <w:sz w:val="22"/>
          <w:szCs w:val="22"/>
        </w:rPr>
        <w:fldChar w:fldCharType="separate"/>
      </w:r>
      <w:r w:rsidR="007D4F93">
        <w:rPr>
          <w:sz w:val="22"/>
          <w:szCs w:val="22"/>
        </w:rPr>
        <w:t xml:space="preserve"> </w:t>
      </w:r>
      <w:r w:rsidR="007D4F93">
        <w:rPr>
          <w:sz w:val="22"/>
          <w:szCs w:val="22"/>
        </w:rPr>
        <w:fldChar w:fldCharType="end"/>
      </w:r>
    </w:p>
    <w:p w14:paraId="10680EDD" w14:textId="77777777" w:rsidR="00F50FC7" w:rsidRPr="002C65CD" w:rsidRDefault="00F50FC7" w:rsidP="000B6C00">
      <w:pPr>
        <w:pStyle w:val="BTEMEASMCA"/>
      </w:pPr>
    </w:p>
    <w:p w14:paraId="030EEAFD" w14:textId="77777777" w:rsidR="00F50FC7" w:rsidRPr="00D24865" w:rsidRDefault="00F50FC7" w:rsidP="00F50FC7">
      <w:pPr>
        <w:pStyle w:val="BTAnIIEMEASMCA"/>
        <w:ind w:left="1701" w:hanging="567"/>
        <w:rPr>
          <w:rFonts w:ascii="Times New Roman" w:hAnsi="Times New Roman"/>
          <w:b/>
          <w:sz w:val="22"/>
          <w:szCs w:val="22"/>
        </w:rPr>
      </w:pPr>
      <w:r w:rsidRPr="00D24865">
        <w:rPr>
          <w:rFonts w:ascii="Times New Roman" w:hAnsi="Times New Roman"/>
          <w:b/>
          <w:sz w:val="22"/>
          <w:szCs w:val="22"/>
        </w:rPr>
        <w:t>A.</w:t>
      </w:r>
      <w:r w:rsidRPr="00D24865">
        <w:rPr>
          <w:rFonts w:ascii="Times New Roman" w:hAnsi="Times New Roman"/>
          <w:b/>
          <w:sz w:val="22"/>
          <w:szCs w:val="22"/>
        </w:rPr>
        <w:tab/>
        <w:t>BIOLOGINĖS (-IŲ) VEIKLIOSIOS (-IŲJŲ) MEDŽIAGOS (-Ų) GAMINTOJAS (-AI) IR GAMINTOJAS (-AI), ATSAKINGAS (-I) UŽ SERIJŲ IŠLEIDIMĄ</w:t>
      </w:r>
    </w:p>
    <w:p w14:paraId="6E598FF3" w14:textId="77777777" w:rsidR="00F50FC7" w:rsidRPr="00D24865" w:rsidRDefault="00F50FC7" w:rsidP="00F50FC7">
      <w:pPr>
        <w:pStyle w:val="BTAnIIEMEASMCA"/>
        <w:ind w:left="1701" w:hanging="567"/>
        <w:rPr>
          <w:rFonts w:ascii="Times New Roman" w:hAnsi="Times New Roman"/>
          <w:b/>
          <w:sz w:val="22"/>
          <w:szCs w:val="22"/>
        </w:rPr>
      </w:pPr>
    </w:p>
    <w:p w14:paraId="7CF44547" w14:textId="77777777" w:rsidR="00F50FC7" w:rsidRPr="00D24865" w:rsidRDefault="00F50FC7" w:rsidP="00F50FC7">
      <w:pPr>
        <w:pStyle w:val="BTAnIIEMEASMCA"/>
        <w:ind w:left="1701" w:hanging="567"/>
        <w:rPr>
          <w:rFonts w:ascii="Times New Roman" w:hAnsi="Times New Roman"/>
          <w:b/>
          <w:sz w:val="22"/>
          <w:szCs w:val="22"/>
        </w:rPr>
      </w:pPr>
      <w:r w:rsidRPr="00D24865">
        <w:rPr>
          <w:rFonts w:ascii="Times New Roman" w:hAnsi="Times New Roman"/>
          <w:b/>
          <w:sz w:val="22"/>
          <w:szCs w:val="22"/>
        </w:rPr>
        <w:t>B.</w:t>
      </w:r>
      <w:r w:rsidRPr="00D24865">
        <w:rPr>
          <w:rFonts w:ascii="Times New Roman" w:hAnsi="Times New Roman"/>
          <w:b/>
          <w:sz w:val="22"/>
          <w:szCs w:val="22"/>
        </w:rPr>
        <w:tab/>
        <w:t>TIEKIMO IR VARTOJIMO SĄLYGOS AR APRIBOJIMAI</w:t>
      </w:r>
    </w:p>
    <w:p w14:paraId="4212AA35" w14:textId="77777777" w:rsidR="00F50FC7" w:rsidRPr="002C65CD" w:rsidRDefault="00F50FC7" w:rsidP="000B6C00">
      <w:pPr>
        <w:pStyle w:val="BTEMEASMCA"/>
      </w:pPr>
    </w:p>
    <w:p w14:paraId="61187F01" w14:textId="77777777" w:rsidR="00F50FC7" w:rsidRPr="00297C41" w:rsidRDefault="00F50FC7" w:rsidP="000B6C00">
      <w:pPr>
        <w:pStyle w:val="BTEMEASMCA"/>
        <w:rPr>
          <w:b/>
          <w:bCs/>
        </w:rPr>
      </w:pPr>
      <w:r w:rsidRPr="002C65CD">
        <w:br w:type="page"/>
      </w:r>
      <w:r w:rsidRPr="00297C41">
        <w:rPr>
          <w:b/>
          <w:bCs/>
        </w:rPr>
        <w:lastRenderedPageBreak/>
        <w:t>A.</w:t>
      </w:r>
      <w:r w:rsidRPr="00297C41">
        <w:rPr>
          <w:b/>
          <w:bCs/>
        </w:rPr>
        <w:tab/>
        <w:t>BIOLOGINĖS (-IŲ) VEIKLIOSIOS (-IŲJŲ) MEDŽIAGOS (-Ų) GAMINTOJAS (-AI) IR GAMINTOJAS (-AI), ATSAKINGAS (-I) UŽ SERIJŲ IŠLEIDIMĄ</w:t>
      </w:r>
    </w:p>
    <w:p w14:paraId="03CD3BB5" w14:textId="77777777" w:rsidR="00F50FC7" w:rsidRPr="00D24865" w:rsidRDefault="00F50FC7" w:rsidP="00F50FC7">
      <w:pPr>
        <w:rPr>
          <w:szCs w:val="22"/>
        </w:rPr>
      </w:pPr>
    </w:p>
    <w:p w14:paraId="73784945" w14:textId="77777777" w:rsidR="00F50FC7" w:rsidRPr="002C65CD" w:rsidRDefault="00F50FC7" w:rsidP="000B6C00">
      <w:pPr>
        <w:pStyle w:val="BTuEMEASMCA"/>
      </w:pPr>
      <w:r w:rsidRPr="002C65CD">
        <w:t>Biologinės (-</w:t>
      </w:r>
      <w:proofErr w:type="spellStart"/>
      <w:r w:rsidRPr="002C65CD">
        <w:t>ių</w:t>
      </w:r>
      <w:proofErr w:type="spellEnd"/>
      <w:r w:rsidRPr="002C65CD">
        <w:t>) veikliosios (-</w:t>
      </w:r>
      <w:proofErr w:type="spellStart"/>
      <w:r w:rsidRPr="002C65CD">
        <w:t>iųjų</w:t>
      </w:r>
      <w:proofErr w:type="spellEnd"/>
      <w:r w:rsidRPr="002C65CD">
        <w:t>) medžiagos (-ų) gamintojo (-ų) pavadinimas (-ai) ir adresas (-ai)</w:t>
      </w:r>
    </w:p>
    <w:p w14:paraId="689FD6F2" w14:textId="77777777" w:rsidR="00F50FC7" w:rsidRPr="002C65CD" w:rsidRDefault="00F50FC7" w:rsidP="000B6C00">
      <w:pPr>
        <w:pStyle w:val="BTEMEASMCA"/>
      </w:pPr>
    </w:p>
    <w:p w14:paraId="6264D764" w14:textId="77777777" w:rsidR="00C47586" w:rsidRPr="00C47586" w:rsidRDefault="00C47586" w:rsidP="00C47586">
      <w:pPr>
        <w:rPr>
          <w:szCs w:val="22"/>
        </w:rPr>
      </w:pPr>
      <w:proofErr w:type="spellStart"/>
      <w:r w:rsidRPr="00C47586">
        <w:rPr>
          <w:szCs w:val="22"/>
        </w:rPr>
        <w:t>GlaxoSmithKline</w:t>
      </w:r>
      <w:proofErr w:type="spellEnd"/>
      <w:r w:rsidRPr="00C47586">
        <w:rPr>
          <w:szCs w:val="22"/>
        </w:rPr>
        <w:t xml:space="preserve"> </w:t>
      </w:r>
      <w:proofErr w:type="spellStart"/>
      <w:r w:rsidRPr="00C47586">
        <w:rPr>
          <w:szCs w:val="22"/>
        </w:rPr>
        <w:t>Biologicals</w:t>
      </w:r>
      <w:proofErr w:type="spellEnd"/>
      <w:r w:rsidRPr="00C47586">
        <w:rPr>
          <w:szCs w:val="22"/>
        </w:rPr>
        <w:t xml:space="preserve"> </w:t>
      </w:r>
    </w:p>
    <w:p w14:paraId="51A80BEA" w14:textId="77777777" w:rsidR="00C47586" w:rsidRPr="00C47586" w:rsidRDefault="00C47586" w:rsidP="00C47586">
      <w:pPr>
        <w:rPr>
          <w:szCs w:val="22"/>
        </w:rPr>
      </w:pPr>
      <w:proofErr w:type="spellStart"/>
      <w:r w:rsidRPr="00C47586">
        <w:rPr>
          <w:szCs w:val="22"/>
        </w:rPr>
        <w:t>Avenue</w:t>
      </w:r>
      <w:proofErr w:type="spellEnd"/>
      <w:r w:rsidRPr="00C47586">
        <w:rPr>
          <w:szCs w:val="22"/>
        </w:rPr>
        <w:t xml:space="preserve"> </w:t>
      </w:r>
      <w:proofErr w:type="spellStart"/>
      <w:r w:rsidRPr="00C47586">
        <w:rPr>
          <w:szCs w:val="22"/>
        </w:rPr>
        <w:t>Fleming</w:t>
      </w:r>
      <w:proofErr w:type="spellEnd"/>
      <w:r w:rsidRPr="00C47586">
        <w:rPr>
          <w:szCs w:val="22"/>
        </w:rPr>
        <w:t xml:space="preserve"> 20 </w:t>
      </w:r>
      <w:proofErr w:type="spellStart"/>
      <w:r w:rsidRPr="00C47586">
        <w:rPr>
          <w:szCs w:val="22"/>
        </w:rPr>
        <w:t>Parc</w:t>
      </w:r>
      <w:proofErr w:type="spellEnd"/>
      <w:r w:rsidRPr="00C47586">
        <w:rPr>
          <w:szCs w:val="22"/>
        </w:rPr>
        <w:t xml:space="preserve"> De La </w:t>
      </w:r>
      <w:proofErr w:type="spellStart"/>
      <w:r w:rsidRPr="00C47586">
        <w:rPr>
          <w:szCs w:val="22"/>
        </w:rPr>
        <w:t>Noire</w:t>
      </w:r>
      <w:proofErr w:type="spellEnd"/>
      <w:r w:rsidRPr="00C47586">
        <w:rPr>
          <w:szCs w:val="22"/>
        </w:rPr>
        <w:t xml:space="preserve"> </w:t>
      </w:r>
      <w:proofErr w:type="spellStart"/>
      <w:r w:rsidRPr="00C47586">
        <w:rPr>
          <w:szCs w:val="22"/>
        </w:rPr>
        <w:t>Epire</w:t>
      </w:r>
      <w:proofErr w:type="spellEnd"/>
    </w:p>
    <w:p w14:paraId="36DE0220" w14:textId="77777777" w:rsidR="00C47586" w:rsidRPr="00C47586" w:rsidRDefault="00C47586" w:rsidP="00C47586">
      <w:pPr>
        <w:rPr>
          <w:szCs w:val="22"/>
        </w:rPr>
      </w:pPr>
      <w:r w:rsidRPr="00C47586">
        <w:rPr>
          <w:szCs w:val="22"/>
        </w:rPr>
        <w:t xml:space="preserve">1300 </w:t>
      </w:r>
      <w:proofErr w:type="spellStart"/>
      <w:r w:rsidRPr="00C47586">
        <w:rPr>
          <w:szCs w:val="22"/>
        </w:rPr>
        <w:t>Wavre</w:t>
      </w:r>
      <w:proofErr w:type="spellEnd"/>
      <w:r w:rsidRPr="00C47586">
        <w:rPr>
          <w:szCs w:val="22"/>
        </w:rPr>
        <w:t xml:space="preserve">, </w:t>
      </w:r>
      <w:proofErr w:type="spellStart"/>
      <w:r w:rsidRPr="00C47586">
        <w:rPr>
          <w:szCs w:val="22"/>
        </w:rPr>
        <w:t>Brabant</w:t>
      </w:r>
      <w:proofErr w:type="spellEnd"/>
      <w:r w:rsidRPr="00C47586">
        <w:rPr>
          <w:szCs w:val="22"/>
        </w:rPr>
        <w:t xml:space="preserve"> </w:t>
      </w:r>
      <w:proofErr w:type="spellStart"/>
      <w:r w:rsidRPr="00C47586">
        <w:rPr>
          <w:szCs w:val="22"/>
        </w:rPr>
        <w:t>Wallon</w:t>
      </w:r>
      <w:proofErr w:type="spellEnd"/>
    </w:p>
    <w:p w14:paraId="7E045199" w14:textId="77777777" w:rsidR="00C47586" w:rsidRPr="00C47586" w:rsidRDefault="00C47586" w:rsidP="00C47586">
      <w:pPr>
        <w:rPr>
          <w:szCs w:val="22"/>
        </w:rPr>
      </w:pPr>
      <w:r w:rsidRPr="00C47586">
        <w:rPr>
          <w:szCs w:val="22"/>
        </w:rPr>
        <w:t>Belgija</w:t>
      </w:r>
    </w:p>
    <w:p w14:paraId="06BB61D5" w14:textId="77777777" w:rsidR="00C47586" w:rsidRPr="00C47586" w:rsidRDefault="00C47586" w:rsidP="00C47586">
      <w:pPr>
        <w:rPr>
          <w:szCs w:val="22"/>
        </w:rPr>
      </w:pPr>
    </w:p>
    <w:p w14:paraId="5DA4D69C" w14:textId="77777777" w:rsidR="00C47586" w:rsidRPr="00C47586" w:rsidRDefault="00C47586" w:rsidP="00C47586">
      <w:pPr>
        <w:rPr>
          <w:szCs w:val="22"/>
        </w:rPr>
      </w:pPr>
      <w:r w:rsidRPr="00C47586">
        <w:rPr>
          <w:szCs w:val="22"/>
        </w:rPr>
        <w:t>arba</w:t>
      </w:r>
    </w:p>
    <w:p w14:paraId="210C3E6E" w14:textId="77777777" w:rsidR="00C47586" w:rsidRDefault="00C47586" w:rsidP="00F50FC7">
      <w:pPr>
        <w:rPr>
          <w:szCs w:val="22"/>
        </w:rPr>
      </w:pPr>
    </w:p>
    <w:p w14:paraId="49A7C82C" w14:textId="71E609A0" w:rsidR="00F50FC7" w:rsidRPr="00D24865" w:rsidRDefault="00F50FC7" w:rsidP="00F50FC7">
      <w:pPr>
        <w:rPr>
          <w:szCs w:val="22"/>
        </w:rPr>
      </w:pPr>
      <w:proofErr w:type="spellStart"/>
      <w:r w:rsidRPr="00D24865">
        <w:rPr>
          <w:szCs w:val="22"/>
        </w:rPr>
        <w:t>GlaxoSmithKline</w:t>
      </w:r>
      <w:proofErr w:type="spellEnd"/>
      <w:r w:rsidRPr="00D24865">
        <w:rPr>
          <w:szCs w:val="22"/>
        </w:rPr>
        <w:t xml:space="preserve"> </w:t>
      </w:r>
      <w:proofErr w:type="spellStart"/>
      <w:r w:rsidRPr="00D24865">
        <w:rPr>
          <w:szCs w:val="22"/>
        </w:rPr>
        <w:t>Biologicals</w:t>
      </w:r>
      <w:proofErr w:type="spellEnd"/>
      <w:r w:rsidRPr="00D24865">
        <w:rPr>
          <w:szCs w:val="22"/>
        </w:rPr>
        <w:t xml:space="preserve"> </w:t>
      </w:r>
      <w:r w:rsidR="00047413">
        <w:rPr>
          <w:szCs w:val="22"/>
        </w:rPr>
        <w:t>S.A.</w:t>
      </w:r>
    </w:p>
    <w:p w14:paraId="44B7249D" w14:textId="254AA164" w:rsidR="00F50FC7" w:rsidRPr="00D24865" w:rsidRDefault="00047413" w:rsidP="00F50FC7">
      <w:pPr>
        <w:rPr>
          <w:szCs w:val="22"/>
        </w:rPr>
      </w:pPr>
      <w:proofErr w:type="spellStart"/>
      <w:r>
        <w:rPr>
          <w:szCs w:val="22"/>
        </w:rPr>
        <w:t>R</w:t>
      </w:r>
      <w:r w:rsidR="00F50FC7" w:rsidRPr="00D24865">
        <w:rPr>
          <w:szCs w:val="22"/>
        </w:rPr>
        <w:t>ue</w:t>
      </w:r>
      <w:proofErr w:type="spellEnd"/>
      <w:r w:rsidR="00F50FC7" w:rsidRPr="00D24865">
        <w:rPr>
          <w:szCs w:val="22"/>
        </w:rPr>
        <w:t xml:space="preserve"> de </w:t>
      </w:r>
      <w:proofErr w:type="spellStart"/>
      <w:r w:rsidR="00F50FC7" w:rsidRPr="00D24865">
        <w:rPr>
          <w:szCs w:val="22"/>
        </w:rPr>
        <w:t>l'Institut</w:t>
      </w:r>
      <w:proofErr w:type="spellEnd"/>
      <w:r w:rsidR="00F50FC7" w:rsidRPr="00D24865">
        <w:rPr>
          <w:szCs w:val="22"/>
        </w:rPr>
        <w:t xml:space="preserve"> 89</w:t>
      </w:r>
    </w:p>
    <w:p w14:paraId="410472B4" w14:textId="77777777" w:rsidR="00F50FC7" w:rsidRDefault="00F50FC7" w:rsidP="00F50FC7">
      <w:pPr>
        <w:rPr>
          <w:szCs w:val="22"/>
        </w:rPr>
      </w:pPr>
      <w:r w:rsidRPr="00D24865">
        <w:rPr>
          <w:szCs w:val="22"/>
        </w:rPr>
        <w:t xml:space="preserve">1330 </w:t>
      </w:r>
      <w:proofErr w:type="spellStart"/>
      <w:r w:rsidRPr="00D24865">
        <w:rPr>
          <w:szCs w:val="22"/>
        </w:rPr>
        <w:t>Rixensart</w:t>
      </w:r>
      <w:proofErr w:type="spellEnd"/>
      <w:r w:rsidRPr="00D24865">
        <w:rPr>
          <w:szCs w:val="22"/>
        </w:rPr>
        <w:t xml:space="preserve">, </w:t>
      </w:r>
    </w:p>
    <w:p w14:paraId="62B12ACC" w14:textId="77777777" w:rsidR="00F50FC7" w:rsidRDefault="00F50FC7" w:rsidP="00F50FC7">
      <w:pPr>
        <w:rPr>
          <w:szCs w:val="22"/>
        </w:rPr>
      </w:pPr>
      <w:r w:rsidRPr="00D24865">
        <w:rPr>
          <w:szCs w:val="22"/>
        </w:rPr>
        <w:t>Belgija</w:t>
      </w:r>
    </w:p>
    <w:p w14:paraId="3CC14814" w14:textId="77777777" w:rsidR="007F7C82" w:rsidRDefault="007F7C82" w:rsidP="00F50FC7">
      <w:pPr>
        <w:rPr>
          <w:szCs w:val="22"/>
        </w:rPr>
      </w:pPr>
    </w:p>
    <w:p w14:paraId="3E6A4FDF" w14:textId="25D1A3A6" w:rsidR="007F7C82" w:rsidRDefault="007F7C82" w:rsidP="00F50FC7">
      <w:pPr>
        <w:rPr>
          <w:szCs w:val="22"/>
        </w:rPr>
      </w:pPr>
      <w:r>
        <w:rPr>
          <w:szCs w:val="22"/>
        </w:rPr>
        <w:t>arba</w:t>
      </w:r>
    </w:p>
    <w:p w14:paraId="78678F16" w14:textId="77777777" w:rsidR="007F7C82" w:rsidRDefault="007F7C82" w:rsidP="00F50FC7">
      <w:pPr>
        <w:rPr>
          <w:szCs w:val="22"/>
        </w:rPr>
      </w:pPr>
    </w:p>
    <w:p w14:paraId="53A9D4FC" w14:textId="77777777" w:rsidR="0013531B" w:rsidRPr="0013531B" w:rsidRDefault="0013531B" w:rsidP="0013531B">
      <w:pPr>
        <w:rPr>
          <w:szCs w:val="22"/>
        </w:rPr>
      </w:pPr>
      <w:proofErr w:type="spellStart"/>
      <w:r w:rsidRPr="0013531B">
        <w:rPr>
          <w:szCs w:val="22"/>
        </w:rPr>
        <w:t>GlaxoSmithKline</w:t>
      </w:r>
      <w:proofErr w:type="spellEnd"/>
      <w:r w:rsidRPr="0013531B">
        <w:rPr>
          <w:szCs w:val="22"/>
        </w:rPr>
        <w:t xml:space="preserve"> </w:t>
      </w:r>
      <w:proofErr w:type="spellStart"/>
      <w:r w:rsidRPr="0013531B">
        <w:rPr>
          <w:szCs w:val="22"/>
        </w:rPr>
        <w:t>Biologicals</w:t>
      </w:r>
      <w:proofErr w:type="spellEnd"/>
      <w:r w:rsidRPr="0013531B">
        <w:rPr>
          <w:szCs w:val="22"/>
        </w:rPr>
        <w:t xml:space="preserve"> </w:t>
      </w:r>
      <w:proofErr w:type="spellStart"/>
      <w:r w:rsidRPr="0013531B">
        <w:rPr>
          <w:szCs w:val="22"/>
        </w:rPr>
        <w:t>Kft</w:t>
      </w:r>
      <w:proofErr w:type="spellEnd"/>
    </w:p>
    <w:p w14:paraId="355CB565" w14:textId="77777777" w:rsidR="0013531B" w:rsidRPr="0013531B" w:rsidRDefault="0013531B" w:rsidP="0013531B">
      <w:pPr>
        <w:rPr>
          <w:szCs w:val="22"/>
        </w:rPr>
      </w:pPr>
      <w:proofErr w:type="spellStart"/>
      <w:r w:rsidRPr="0013531B">
        <w:rPr>
          <w:szCs w:val="22"/>
        </w:rPr>
        <w:t>Homoki</w:t>
      </w:r>
      <w:proofErr w:type="spellEnd"/>
      <w:r w:rsidRPr="0013531B">
        <w:rPr>
          <w:szCs w:val="22"/>
        </w:rPr>
        <w:t xml:space="preserve"> Nagy </w:t>
      </w:r>
      <w:proofErr w:type="spellStart"/>
      <w:r w:rsidRPr="0013531B">
        <w:rPr>
          <w:szCs w:val="22"/>
        </w:rPr>
        <w:t>István</w:t>
      </w:r>
      <w:proofErr w:type="spellEnd"/>
      <w:r w:rsidRPr="0013531B">
        <w:rPr>
          <w:szCs w:val="22"/>
        </w:rPr>
        <w:t xml:space="preserve"> </w:t>
      </w:r>
      <w:proofErr w:type="spellStart"/>
      <w:r w:rsidRPr="0013531B">
        <w:rPr>
          <w:szCs w:val="22"/>
        </w:rPr>
        <w:t>utca</w:t>
      </w:r>
      <w:proofErr w:type="spellEnd"/>
      <w:r w:rsidRPr="0013531B">
        <w:rPr>
          <w:szCs w:val="22"/>
        </w:rPr>
        <w:t xml:space="preserve"> 1</w:t>
      </w:r>
    </w:p>
    <w:p w14:paraId="18347570" w14:textId="77777777" w:rsidR="00E04A93" w:rsidRDefault="0013531B" w:rsidP="0013531B">
      <w:pPr>
        <w:rPr>
          <w:szCs w:val="22"/>
        </w:rPr>
      </w:pPr>
      <w:r w:rsidRPr="0013531B">
        <w:rPr>
          <w:szCs w:val="22"/>
        </w:rPr>
        <w:t xml:space="preserve">H-2100 </w:t>
      </w:r>
      <w:proofErr w:type="spellStart"/>
      <w:r w:rsidRPr="0013531B">
        <w:rPr>
          <w:szCs w:val="22"/>
        </w:rPr>
        <w:t>Gödöllö</w:t>
      </w:r>
      <w:proofErr w:type="spellEnd"/>
      <w:r w:rsidRPr="0013531B">
        <w:rPr>
          <w:szCs w:val="22"/>
        </w:rPr>
        <w:t xml:space="preserve">, </w:t>
      </w:r>
    </w:p>
    <w:p w14:paraId="0CED009D" w14:textId="20D14AEF" w:rsidR="007F7C82" w:rsidRPr="00D24865" w:rsidRDefault="0013531B" w:rsidP="0013531B">
      <w:pPr>
        <w:rPr>
          <w:szCs w:val="22"/>
        </w:rPr>
      </w:pPr>
      <w:r w:rsidRPr="0013531B">
        <w:rPr>
          <w:szCs w:val="22"/>
        </w:rPr>
        <w:t>Vengrija</w:t>
      </w:r>
    </w:p>
    <w:p w14:paraId="106D1C23" w14:textId="77777777" w:rsidR="00F50FC7" w:rsidRPr="002C65CD" w:rsidRDefault="00F50FC7" w:rsidP="000B6C00">
      <w:pPr>
        <w:pStyle w:val="BTEMEASMCA"/>
      </w:pPr>
    </w:p>
    <w:p w14:paraId="44DD2F6D" w14:textId="77777777" w:rsidR="00F50FC7" w:rsidRPr="002C65CD" w:rsidRDefault="00F50FC7" w:rsidP="000B6C00">
      <w:pPr>
        <w:pStyle w:val="BTuEMEASMCA"/>
      </w:pPr>
      <w:r w:rsidRPr="002C65CD">
        <w:t>Gamintojo (-ų), atsakingo (-ų) už serijų išleidimą, pavadinimas (-ai) ir adresas (-ai)</w:t>
      </w:r>
    </w:p>
    <w:p w14:paraId="747131BA" w14:textId="77777777" w:rsidR="00F50FC7" w:rsidRPr="00D24865" w:rsidRDefault="00F50FC7" w:rsidP="00F50FC7">
      <w:pPr>
        <w:rPr>
          <w:szCs w:val="22"/>
          <w:u w:val="single"/>
        </w:rPr>
      </w:pPr>
    </w:p>
    <w:p w14:paraId="358D9133" w14:textId="77777777" w:rsidR="00F50FC7" w:rsidRPr="00D24865" w:rsidRDefault="00F50FC7" w:rsidP="00F50FC7">
      <w:pPr>
        <w:rPr>
          <w:szCs w:val="22"/>
        </w:rPr>
      </w:pPr>
      <w:proofErr w:type="spellStart"/>
      <w:r w:rsidRPr="00D24865">
        <w:rPr>
          <w:szCs w:val="22"/>
        </w:rPr>
        <w:t>GlaxoSmithKline</w:t>
      </w:r>
      <w:proofErr w:type="spellEnd"/>
      <w:r w:rsidRPr="00D24865">
        <w:rPr>
          <w:szCs w:val="22"/>
        </w:rPr>
        <w:t xml:space="preserve"> </w:t>
      </w:r>
      <w:proofErr w:type="spellStart"/>
      <w:r w:rsidRPr="00D24865">
        <w:rPr>
          <w:szCs w:val="22"/>
        </w:rPr>
        <w:t>Biologicals</w:t>
      </w:r>
      <w:proofErr w:type="spellEnd"/>
      <w:r w:rsidRPr="00D24865">
        <w:rPr>
          <w:szCs w:val="22"/>
        </w:rPr>
        <w:t xml:space="preserve"> </w:t>
      </w:r>
    </w:p>
    <w:p w14:paraId="13082945" w14:textId="77777777" w:rsidR="00F50FC7" w:rsidRPr="00D24865" w:rsidRDefault="00F50FC7" w:rsidP="00F50FC7">
      <w:pPr>
        <w:rPr>
          <w:szCs w:val="22"/>
        </w:rPr>
      </w:pPr>
      <w:proofErr w:type="spellStart"/>
      <w:r w:rsidRPr="00D24865">
        <w:rPr>
          <w:szCs w:val="22"/>
        </w:rPr>
        <w:t>rue</w:t>
      </w:r>
      <w:proofErr w:type="spellEnd"/>
      <w:r w:rsidRPr="00D24865">
        <w:rPr>
          <w:szCs w:val="22"/>
        </w:rPr>
        <w:t xml:space="preserve"> de </w:t>
      </w:r>
      <w:proofErr w:type="spellStart"/>
      <w:r w:rsidRPr="00D24865">
        <w:rPr>
          <w:szCs w:val="22"/>
        </w:rPr>
        <w:t>l'Institut</w:t>
      </w:r>
      <w:proofErr w:type="spellEnd"/>
      <w:r w:rsidRPr="00D24865">
        <w:rPr>
          <w:szCs w:val="22"/>
        </w:rPr>
        <w:t xml:space="preserve"> 89</w:t>
      </w:r>
    </w:p>
    <w:p w14:paraId="3B240A71" w14:textId="77777777" w:rsidR="00F50FC7" w:rsidRDefault="00F50FC7" w:rsidP="00F50FC7">
      <w:pPr>
        <w:rPr>
          <w:szCs w:val="22"/>
        </w:rPr>
      </w:pPr>
      <w:r w:rsidRPr="00D24865">
        <w:rPr>
          <w:szCs w:val="22"/>
        </w:rPr>
        <w:t xml:space="preserve">1330 </w:t>
      </w:r>
      <w:proofErr w:type="spellStart"/>
      <w:r w:rsidRPr="00D24865">
        <w:rPr>
          <w:szCs w:val="22"/>
        </w:rPr>
        <w:t>Rixensart</w:t>
      </w:r>
      <w:proofErr w:type="spellEnd"/>
      <w:r w:rsidRPr="00D24865">
        <w:rPr>
          <w:szCs w:val="22"/>
        </w:rPr>
        <w:t xml:space="preserve">, </w:t>
      </w:r>
    </w:p>
    <w:p w14:paraId="70B16ABD" w14:textId="77777777" w:rsidR="00F50FC7" w:rsidRPr="00D24865" w:rsidRDefault="00F50FC7" w:rsidP="00F50FC7">
      <w:pPr>
        <w:rPr>
          <w:szCs w:val="22"/>
        </w:rPr>
      </w:pPr>
      <w:r w:rsidRPr="00D24865">
        <w:rPr>
          <w:szCs w:val="22"/>
        </w:rPr>
        <w:t>Belgija</w:t>
      </w:r>
    </w:p>
    <w:p w14:paraId="6158BEC2" w14:textId="77777777" w:rsidR="00F50FC7" w:rsidRPr="00D24865" w:rsidRDefault="00F50FC7" w:rsidP="00F50FC7">
      <w:pPr>
        <w:rPr>
          <w:szCs w:val="22"/>
        </w:rPr>
      </w:pPr>
    </w:p>
    <w:p w14:paraId="249AFA1C" w14:textId="77777777" w:rsidR="00F50FC7" w:rsidRPr="00D24865" w:rsidRDefault="00F50FC7" w:rsidP="00F50FC7">
      <w:pPr>
        <w:rPr>
          <w:szCs w:val="22"/>
        </w:rPr>
      </w:pPr>
    </w:p>
    <w:p w14:paraId="6879D1A5" w14:textId="77777777" w:rsidR="00F50FC7" w:rsidRPr="00D24865" w:rsidRDefault="00F50FC7" w:rsidP="00F50FC7">
      <w:pPr>
        <w:ind w:left="567" w:hanging="567"/>
        <w:rPr>
          <w:b/>
          <w:bCs/>
          <w:szCs w:val="22"/>
        </w:rPr>
      </w:pPr>
      <w:r w:rsidRPr="00D24865">
        <w:rPr>
          <w:b/>
          <w:bCs/>
          <w:szCs w:val="22"/>
        </w:rPr>
        <w:t>B.</w:t>
      </w:r>
      <w:r w:rsidRPr="00D24865">
        <w:rPr>
          <w:b/>
          <w:bCs/>
          <w:szCs w:val="22"/>
        </w:rPr>
        <w:tab/>
        <w:t>TIEKIMO IR VARTOJIMO SĄLYGOS AR APRIBOJIMAI</w:t>
      </w:r>
    </w:p>
    <w:p w14:paraId="246CA01A" w14:textId="24B1419E" w:rsidR="00F50FC7" w:rsidRPr="00D24865" w:rsidRDefault="00F50FC7" w:rsidP="00F50FC7">
      <w:pPr>
        <w:tabs>
          <w:tab w:val="left" w:pos="1365"/>
        </w:tabs>
        <w:rPr>
          <w:szCs w:val="22"/>
        </w:rPr>
      </w:pPr>
    </w:p>
    <w:p w14:paraId="7646D444" w14:textId="77777777" w:rsidR="00F50FC7" w:rsidRDefault="00F50FC7" w:rsidP="00F50FC7">
      <w:pPr>
        <w:rPr>
          <w:szCs w:val="22"/>
        </w:rPr>
      </w:pPr>
      <w:r w:rsidRPr="00D24865">
        <w:rPr>
          <w:szCs w:val="22"/>
        </w:rPr>
        <w:t>Receptinis vaistinis preparatas.</w:t>
      </w:r>
    </w:p>
    <w:p w14:paraId="1196DCAD" w14:textId="77777777" w:rsidR="00297C41" w:rsidRDefault="00297C41" w:rsidP="00F50FC7">
      <w:pPr>
        <w:rPr>
          <w:szCs w:val="22"/>
        </w:rPr>
      </w:pPr>
    </w:p>
    <w:p w14:paraId="3D2CBBA3" w14:textId="77777777" w:rsidR="00297C41" w:rsidRPr="00D24865" w:rsidRDefault="00297C41" w:rsidP="00297C41">
      <w:pPr>
        <w:numPr>
          <w:ilvl w:val="0"/>
          <w:numId w:val="43"/>
        </w:numPr>
        <w:tabs>
          <w:tab w:val="left" w:pos="567"/>
        </w:tabs>
        <w:suppressAutoHyphens w:val="0"/>
        <w:autoSpaceDN/>
        <w:ind w:left="567" w:hanging="567"/>
        <w:textAlignment w:val="auto"/>
        <w:rPr>
          <w:b/>
          <w:szCs w:val="22"/>
        </w:rPr>
      </w:pPr>
      <w:r w:rsidRPr="00D24865">
        <w:rPr>
          <w:b/>
          <w:szCs w:val="22"/>
        </w:rPr>
        <w:t>Oficialus serijų išleidimas</w:t>
      </w:r>
    </w:p>
    <w:p w14:paraId="0DC46199" w14:textId="77777777" w:rsidR="00297C41" w:rsidRDefault="00297C41" w:rsidP="00F50FC7">
      <w:pPr>
        <w:rPr>
          <w:szCs w:val="22"/>
        </w:rPr>
      </w:pPr>
    </w:p>
    <w:p w14:paraId="10FB6BA2" w14:textId="77777777" w:rsidR="00297C41" w:rsidRPr="002C65CD" w:rsidRDefault="00297C41" w:rsidP="00297C41">
      <w:pPr>
        <w:pStyle w:val="BTEMEASMCA"/>
      </w:pPr>
      <w:r w:rsidRPr="00D24865">
        <w:rPr>
          <w:noProof/>
        </w:rPr>
        <w:t xml:space="preserve">Pagal </w:t>
      </w:r>
      <w:r w:rsidRPr="00D24865">
        <w:t xml:space="preserve">direktyvos 2001/83/EB </w:t>
      </w:r>
      <w:r w:rsidRPr="00D24865">
        <w:rPr>
          <w:noProof/>
        </w:rPr>
        <w:t>114 straipsnio reikalavimus oficialiai serijas išleis valstybinė arba tam skirta laboratorija.</w:t>
      </w:r>
    </w:p>
    <w:p w14:paraId="6D5FD857" w14:textId="77777777" w:rsidR="00297C41" w:rsidRPr="00D24865" w:rsidRDefault="00297C41" w:rsidP="00F50FC7">
      <w:pPr>
        <w:rPr>
          <w:szCs w:val="22"/>
        </w:rPr>
      </w:pPr>
    </w:p>
    <w:p w14:paraId="164A3835" w14:textId="77777777" w:rsidR="00F50FC7" w:rsidRPr="00D24865" w:rsidRDefault="00F50FC7" w:rsidP="00F50FC7">
      <w:pPr>
        <w:rPr>
          <w:szCs w:val="22"/>
        </w:rPr>
      </w:pPr>
    </w:p>
    <w:p w14:paraId="7DE2D48A" w14:textId="77777777" w:rsidR="00F50FC7" w:rsidRDefault="00F50FC7" w:rsidP="00F50FC7">
      <w:pPr>
        <w:pStyle w:val="Pagrindinistekstas"/>
        <w:spacing w:after="0"/>
      </w:pPr>
    </w:p>
    <w:p w14:paraId="0200B8A2" w14:textId="77777777" w:rsidR="00F50FC7" w:rsidRDefault="00F50FC7" w:rsidP="00F50FC7">
      <w:pPr>
        <w:pStyle w:val="Pagrindinistekstas"/>
        <w:spacing w:after="0"/>
      </w:pPr>
    </w:p>
    <w:p w14:paraId="70B7D41F" w14:textId="77777777" w:rsidR="00F50FC7" w:rsidRDefault="00F50FC7" w:rsidP="00F50FC7">
      <w:pPr>
        <w:pStyle w:val="Pagrindinistekstas"/>
        <w:spacing w:after="0"/>
      </w:pPr>
    </w:p>
    <w:p w14:paraId="5751AF16" w14:textId="77777777" w:rsidR="00F50FC7" w:rsidRDefault="00F50FC7" w:rsidP="00F50FC7">
      <w:pPr>
        <w:pStyle w:val="Pagrindinistekstas"/>
        <w:spacing w:after="0"/>
      </w:pPr>
    </w:p>
    <w:p w14:paraId="73B6B947" w14:textId="77777777" w:rsidR="00F50FC7" w:rsidRDefault="00F50FC7" w:rsidP="00F50FC7">
      <w:pPr>
        <w:pStyle w:val="Pagrindinistekstas"/>
        <w:spacing w:after="0"/>
      </w:pPr>
    </w:p>
    <w:p w14:paraId="43EED446" w14:textId="77777777" w:rsidR="00F50FC7" w:rsidRDefault="00F50FC7" w:rsidP="00F50FC7">
      <w:pPr>
        <w:pStyle w:val="Pagrindinistekstas"/>
        <w:spacing w:after="0"/>
      </w:pPr>
    </w:p>
    <w:p w14:paraId="3C526875" w14:textId="77777777" w:rsidR="00F50FC7" w:rsidRDefault="00F50FC7" w:rsidP="00F50FC7">
      <w:pPr>
        <w:pStyle w:val="Pagrindinistekstas"/>
        <w:spacing w:after="0"/>
      </w:pPr>
    </w:p>
    <w:p w14:paraId="407E20FA" w14:textId="77777777" w:rsidR="00F50FC7" w:rsidRDefault="00F50FC7" w:rsidP="00F50FC7">
      <w:pPr>
        <w:pStyle w:val="Pagrindinistekstas"/>
        <w:spacing w:after="0"/>
      </w:pPr>
    </w:p>
    <w:p w14:paraId="41C3F3CE" w14:textId="77777777" w:rsidR="00F50FC7" w:rsidRDefault="00F50FC7" w:rsidP="00F50FC7">
      <w:pPr>
        <w:pStyle w:val="Pagrindinistekstas"/>
        <w:spacing w:after="0"/>
      </w:pPr>
    </w:p>
    <w:p w14:paraId="156D0FA3" w14:textId="77777777" w:rsidR="00F50FC7" w:rsidRDefault="00F50FC7" w:rsidP="00F50FC7">
      <w:pPr>
        <w:pStyle w:val="Pagrindinistekstas"/>
        <w:spacing w:after="0"/>
      </w:pPr>
    </w:p>
    <w:p w14:paraId="13FDA5FA" w14:textId="77777777" w:rsidR="00F50FC7" w:rsidRDefault="00F50FC7" w:rsidP="00F50FC7">
      <w:pPr>
        <w:pStyle w:val="Pagrindinistekstas"/>
        <w:spacing w:after="0"/>
      </w:pPr>
    </w:p>
    <w:p w14:paraId="04D51F6C" w14:textId="77777777" w:rsidR="00F50FC7" w:rsidRDefault="00F50FC7" w:rsidP="00F50FC7">
      <w:pPr>
        <w:pStyle w:val="Pagrindinistekstas"/>
        <w:spacing w:after="0"/>
      </w:pPr>
    </w:p>
    <w:p w14:paraId="7F231D2A" w14:textId="77777777" w:rsidR="00F50FC7" w:rsidRDefault="00F50FC7" w:rsidP="00F50FC7">
      <w:pPr>
        <w:pStyle w:val="Pagrindinistekstas"/>
        <w:spacing w:after="0"/>
      </w:pPr>
    </w:p>
    <w:p w14:paraId="0122D789" w14:textId="77777777" w:rsidR="00F50FC7" w:rsidRDefault="00F50FC7" w:rsidP="00F50FC7">
      <w:pPr>
        <w:pStyle w:val="Pagrindinistekstas"/>
        <w:spacing w:after="0"/>
      </w:pPr>
    </w:p>
    <w:p w14:paraId="30B35F3D" w14:textId="77777777" w:rsidR="00F50FC7" w:rsidRDefault="00F50FC7" w:rsidP="00F50FC7">
      <w:pPr>
        <w:pStyle w:val="Pagrindinistekstas"/>
        <w:spacing w:after="0"/>
      </w:pPr>
    </w:p>
    <w:p w14:paraId="6C59710A" w14:textId="77777777" w:rsidR="00F50FC7" w:rsidRDefault="00F50FC7" w:rsidP="00F50FC7">
      <w:pPr>
        <w:pStyle w:val="Pagrindinistekstas"/>
        <w:spacing w:after="0"/>
      </w:pPr>
    </w:p>
    <w:p w14:paraId="3E5275B8" w14:textId="77777777" w:rsidR="00F50FC7" w:rsidRDefault="00F50FC7" w:rsidP="00F50FC7">
      <w:pPr>
        <w:pStyle w:val="Pagrindinistekstas"/>
        <w:spacing w:after="0"/>
      </w:pPr>
    </w:p>
    <w:p w14:paraId="7C7AF76C" w14:textId="77777777" w:rsidR="00F50FC7" w:rsidRDefault="00F50FC7" w:rsidP="00F50FC7">
      <w:pPr>
        <w:pStyle w:val="Pagrindinistekstas"/>
        <w:spacing w:after="0"/>
      </w:pPr>
    </w:p>
    <w:p w14:paraId="1472D370" w14:textId="77777777" w:rsidR="00F50FC7" w:rsidRDefault="00F50FC7" w:rsidP="00F50FC7">
      <w:pPr>
        <w:pStyle w:val="Pagrindinistekstas"/>
        <w:spacing w:after="0"/>
      </w:pPr>
    </w:p>
    <w:p w14:paraId="14262411" w14:textId="77777777" w:rsidR="00F50FC7" w:rsidRDefault="00F50FC7" w:rsidP="00F50FC7">
      <w:pPr>
        <w:pStyle w:val="Pagrindinistekstas"/>
        <w:spacing w:after="0"/>
      </w:pPr>
    </w:p>
    <w:p w14:paraId="16425261" w14:textId="77777777" w:rsidR="00F50FC7" w:rsidRDefault="00F50FC7" w:rsidP="00F50FC7">
      <w:pPr>
        <w:pStyle w:val="Pagrindinistekstas"/>
        <w:spacing w:after="0"/>
      </w:pPr>
    </w:p>
    <w:p w14:paraId="095F218B" w14:textId="77777777" w:rsidR="00F50FC7" w:rsidRDefault="00F50FC7" w:rsidP="00F50FC7">
      <w:pPr>
        <w:pStyle w:val="Pagrindinistekstas"/>
        <w:spacing w:after="0"/>
      </w:pPr>
    </w:p>
    <w:p w14:paraId="21967DDB" w14:textId="77777777" w:rsidR="00F50FC7" w:rsidRDefault="00F50FC7" w:rsidP="00F50FC7">
      <w:pPr>
        <w:pStyle w:val="Pagrindinistekstas"/>
        <w:spacing w:after="0"/>
        <w:rPr>
          <w:sz w:val="22"/>
          <w:szCs w:val="22"/>
        </w:rPr>
      </w:pPr>
    </w:p>
    <w:p w14:paraId="765D17D3" w14:textId="77777777" w:rsidR="00297C41" w:rsidRDefault="00297C41" w:rsidP="00F50FC7">
      <w:pPr>
        <w:pStyle w:val="TTEMEASMCA"/>
        <w:rPr>
          <w:sz w:val="22"/>
        </w:rPr>
      </w:pPr>
    </w:p>
    <w:p w14:paraId="694B5683" w14:textId="77777777" w:rsidR="00297C41" w:rsidRDefault="00297C41" w:rsidP="00F50FC7">
      <w:pPr>
        <w:pStyle w:val="TTEMEASMCA"/>
        <w:rPr>
          <w:sz w:val="22"/>
        </w:rPr>
      </w:pPr>
    </w:p>
    <w:p w14:paraId="3F03E949" w14:textId="77777777" w:rsidR="00297C41" w:rsidRDefault="00297C41" w:rsidP="00F50FC7">
      <w:pPr>
        <w:pStyle w:val="TTEMEASMCA"/>
        <w:rPr>
          <w:sz w:val="22"/>
        </w:rPr>
      </w:pPr>
    </w:p>
    <w:p w14:paraId="2E70327E" w14:textId="77777777" w:rsidR="00297C41" w:rsidRDefault="00297C41" w:rsidP="00F50FC7">
      <w:pPr>
        <w:pStyle w:val="TTEMEASMCA"/>
        <w:rPr>
          <w:sz w:val="22"/>
        </w:rPr>
      </w:pPr>
    </w:p>
    <w:p w14:paraId="425DA181" w14:textId="77777777" w:rsidR="00297C41" w:rsidRDefault="00297C41" w:rsidP="00F50FC7">
      <w:pPr>
        <w:pStyle w:val="TTEMEASMCA"/>
        <w:rPr>
          <w:sz w:val="22"/>
        </w:rPr>
      </w:pPr>
    </w:p>
    <w:p w14:paraId="15A2BA5C" w14:textId="77777777" w:rsidR="00297C41" w:rsidRDefault="00297C41" w:rsidP="00F50FC7">
      <w:pPr>
        <w:pStyle w:val="TTEMEASMCA"/>
        <w:rPr>
          <w:sz w:val="22"/>
        </w:rPr>
      </w:pPr>
    </w:p>
    <w:p w14:paraId="4B4EBC91" w14:textId="77777777" w:rsidR="00297C41" w:rsidRDefault="00297C41" w:rsidP="00F50FC7">
      <w:pPr>
        <w:pStyle w:val="TTEMEASMCA"/>
        <w:rPr>
          <w:sz w:val="22"/>
        </w:rPr>
      </w:pPr>
    </w:p>
    <w:p w14:paraId="1F6B2C70" w14:textId="77777777" w:rsidR="00297C41" w:rsidRDefault="00297C41" w:rsidP="00F50FC7">
      <w:pPr>
        <w:pStyle w:val="TTEMEASMCA"/>
        <w:rPr>
          <w:sz w:val="22"/>
        </w:rPr>
      </w:pPr>
    </w:p>
    <w:p w14:paraId="7400B2DC" w14:textId="77777777" w:rsidR="00297C41" w:rsidRDefault="00297C41" w:rsidP="00F50FC7">
      <w:pPr>
        <w:pStyle w:val="TTEMEASMCA"/>
        <w:rPr>
          <w:sz w:val="22"/>
        </w:rPr>
      </w:pPr>
    </w:p>
    <w:p w14:paraId="2F5D277B" w14:textId="77777777" w:rsidR="00297C41" w:rsidRDefault="00297C41" w:rsidP="00F50FC7">
      <w:pPr>
        <w:pStyle w:val="TTEMEASMCA"/>
        <w:rPr>
          <w:sz w:val="22"/>
        </w:rPr>
      </w:pPr>
    </w:p>
    <w:p w14:paraId="29DD44B0" w14:textId="77777777" w:rsidR="00297C41" w:rsidRDefault="00297C41" w:rsidP="00F50FC7">
      <w:pPr>
        <w:pStyle w:val="TTEMEASMCA"/>
        <w:rPr>
          <w:sz w:val="22"/>
        </w:rPr>
      </w:pPr>
    </w:p>
    <w:p w14:paraId="073A0D92" w14:textId="23C0788B" w:rsidR="00F50FC7" w:rsidRPr="00D74909" w:rsidRDefault="00F50FC7" w:rsidP="00F50FC7">
      <w:pPr>
        <w:pStyle w:val="TTEMEASMCA"/>
        <w:rPr>
          <w:sz w:val="22"/>
        </w:rPr>
      </w:pPr>
      <w:r w:rsidRPr="00D74909">
        <w:rPr>
          <w:sz w:val="22"/>
        </w:rPr>
        <w:t>III PRIEDAS</w:t>
      </w:r>
    </w:p>
    <w:p w14:paraId="59275B27" w14:textId="77777777" w:rsidR="00F50FC7" w:rsidRPr="00D74909" w:rsidRDefault="00F50FC7" w:rsidP="00F50FC7">
      <w:pPr>
        <w:pStyle w:val="TTEMEASMCA"/>
        <w:rPr>
          <w:sz w:val="22"/>
        </w:rPr>
      </w:pPr>
    </w:p>
    <w:p w14:paraId="21E99934" w14:textId="5292D02B" w:rsidR="00F50FC7" w:rsidRDefault="00F50FC7" w:rsidP="00F50FC7">
      <w:pPr>
        <w:pStyle w:val="TTEMEASMCA"/>
        <w:rPr>
          <w:sz w:val="22"/>
        </w:rPr>
      </w:pPr>
      <w:r w:rsidRPr="00D74909">
        <w:rPr>
          <w:sz w:val="22"/>
        </w:rPr>
        <w:t>ŽENKLINIMAS IR PAKUOTĖS LAPELIS</w:t>
      </w:r>
    </w:p>
    <w:p w14:paraId="19A72102" w14:textId="77777777" w:rsidR="00F50FC7" w:rsidRDefault="00F50FC7" w:rsidP="00F50FC7">
      <w:pPr>
        <w:suppressAutoHyphens w:val="0"/>
        <w:autoSpaceDN/>
        <w:textAlignment w:val="auto"/>
        <w:rPr>
          <w:rFonts w:eastAsia="Calibri"/>
          <w:b/>
          <w:szCs w:val="20"/>
          <w:lang w:eastAsia="lt-LT"/>
        </w:rPr>
      </w:pPr>
      <w:r>
        <w:br w:type="page"/>
      </w:r>
    </w:p>
    <w:p w14:paraId="3BA9F749" w14:textId="77777777" w:rsidR="00F50FC7" w:rsidRDefault="00F50FC7" w:rsidP="00F50FC7">
      <w:pPr>
        <w:pStyle w:val="TTEMEASMCA"/>
        <w:rPr>
          <w:sz w:val="22"/>
        </w:rPr>
      </w:pPr>
    </w:p>
    <w:p w14:paraId="02806FC9" w14:textId="77777777" w:rsidR="00F50FC7" w:rsidRDefault="00F50FC7" w:rsidP="00F50FC7">
      <w:pPr>
        <w:pStyle w:val="TTEMEASMCA"/>
        <w:rPr>
          <w:sz w:val="22"/>
        </w:rPr>
      </w:pPr>
    </w:p>
    <w:p w14:paraId="144D1158" w14:textId="77777777" w:rsidR="00F50FC7" w:rsidRDefault="00F50FC7" w:rsidP="00F50FC7">
      <w:pPr>
        <w:pStyle w:val="TTEMEASMCA"/>
        <w:rPr>
          <w:sz w:val="22"/>
        </w:rPr>
      </w:pPr>
    </w:p>
    <w:p w14:paraId="6B9F0D99" w14:textId="77777777" w:rsidR="00F50FC7" w:rsidRDefault="00F50FC7" w:rsidP="00F50FC7">
      <w:pPr>
        <w:pStyle w:val="TTEMEASMCA"/>
        <w:rPr>
          <w:sz w:val="22"/>
        </w:rPr>
      </w:pPr>
    </w:p>
    <w:p w14:paraId="4FD99301" w14:textId="77777777" w:rsidR="00F50FC7" w:rsidRDefault="00F50FC7" w:rsidP="00F50FC7">
      <w:pPr>
        <w:pStyle w:val="TTEMEASMCA"/>
        <w:rPr>
          <w:sz w:val="22"/>
        </w:rPr>
      </w:pPr>
    </w:p>
    <w:p w14:paraId="68E960E8" w14:textId="77777777" w:rsidR="00F50FC7" w:rsidRDefault="00F50FC7" w:rsidP="00F50FC7">
      <w:pPr>
        <w:pStyle w:val="TTEMEASMCA"/>
        <w:rPr>
          <w:sz w:val="22"/>
        </w:rPr>
      </w:pPr>
    </w:p>
    <w:p w14:paraId="5C37926D" w14:textId="77777777" w:rsidR="00F50FC7" w:rsidRDefault="00F50FC7" w:rsidP="00F50FC7">
      <w:pPr>
        <w:pStyle w:val="TTEMEASMCA"/>
        <w:rPr>
          <w:sz w:val="22"/>
        </w:rPr>
      </w:pPr>
    </w:p>
    <w:p w14:paraId="5AF939E3" w14:textId="77777777" w:rsidR="00F50FC7" w:rsidRDefault="00F50FC7" w:rsidP="00F50FC7">
      <w:pPr>
        <w:pStyle w:val="TTEMEASMCA"/>
        <w:rPr>
          <w:sz w:val="22"/>
        </w:rPr>
      </w:pPr>
    </w:p>
    <w:p w14:paraId="262E8E96" w14:textId="77777777" w:rsidR="00F50FC7" w:rsidRDefault="00F50FC7" w:rsidP="00F50FC7">
      <w:pPr>
        <w:pStyle w:val="TTEMEASMCA"/>
        <w:rPr>
          <w:sz w:val="22"/>
        </w:rPr>
      </w:pPr>
    </w:p>
    <w:p w14:paraId="6320D127" w14:textId="77777777" w:rsidR="00F50FC7" w:rsidRDefault="00F50FC7" w:rsidP="00F50FC7">
      <w:pPr>
        <w:pStyle w:val="TTEMEASMCA"/>
        <w:rPr>
          <w:sz w:val="22"/>
        </w:rPr>
      </w:pPr>
    </w:p>
    <w:p w14:paraId="7D04BC00" w14:textId="77777777" w:rsidR="00F50FC7" w:rsidRDefault="00F50FC7" w:rsidP="00F50FC7">
      <w:pPr>
        <w:pStyle w:val="TTEMEASMCA"/>
        <w:rPr>
          <w:sz w:val="22"/>
        </w:rPr>
      </w:pPr>
    </w:p>
    <w:p w14:paraId="39AD4F5A" w14:textId="77777777" w:rsidR="00F50FC7" w:rsidRDefault="00F50FC7" w:rsidP="00F50FC7">
      <w:pPr>
        <w:pStyle w:val="TTEMEASMCA"/>
        <w:rPr>
          <w:sz w:val="22"/>
        </w:rPr>
      </w:pPr>
    </w:p>
    <w:p w14:paraId="48C9F335" w14:textId="77777777" w:rsidR="00F50FC7" w:rsidRDefault="00F50FC7" w:rsidP="00F50FC7">
      <w:pPr>
        <w:pStyle w:val="TTEMEASMCA"/>
        <w:rPr>
          <w:sz w:val="22"/>
        </w:rPr>
      </w:pPr>
    </w:p>
    <w:p w14:paraId="068404FC" w14:textId="77777777" w:rsidR="00F50FC7" w:rsidRDefault="00F50FC7" w:rsidP="00F50FC7">
      <w:pPr>
        <w:pStyle w:val="TTEMEASMCA"/>
        <w:rPr>
          <w:sz w:val="22"/>
        </w:rPr>
      </w:pPr>
    </w:p>
    <w:p w14:paraId="11BFEB07" w14:textId="77777777" w:rsidR="00F50FC7" w:rsidRDefault="00F50FC7" w:rsidP="00F50FC7">
      <w:pPr>
        <w:pStyle w:val="TTEMEASMCA"/>
        <w:rPr>
          <w:sz w:val="22"/>
        </w:rPr>
      </w:pPr>
    </w:p>
    <w:p w14:paraId="0AA816DB" w14:textId="77777777" w:rsidR="00F50FC7" w:rsidRDefault="00F50FC7" w:rsidP="00F50FC7">
      <w:pPr>
        <w:pStyle w:val="TTEMEASMCA"/>
        <w:rPr>
          <w:sz w:val="22"/>
        </w:rPr>
      </w:pPr>
    </w:p>
    <w:p w14:paraId="6D818295" w14:textId="77777777" w:rsidR="00F50FC7" w:rsidRDefault="00F50FC7" w:rsidP="00F50FC7">
      <w:pPr>
        <w:pStyle w:val="TTEMEASMCA"/>
        <w:rPr>
          <w:sz w:val="22"/>
        </w:rPr>
      </w:pPr>
    </w:p>
    <w:p w14:paraId="1C7B82B8" w14:textId="77777777" w:rsidR="00F50FC7" w:rsidRDefault="00F50FC7" w:rsidP="00F50FC7">
      <w:pPr>
        <w:pStyle w:val="TTEMEASMCA"/>
        <w:rPr>
          <w:sz w:val="22"/>
        </w:rPr>
      </w:pPr>
    </w:p>
    <w:p w14:paraId="49529899" w14:textId="77777777" w:rsidR="00F50FC7" w:rsidRDefault="00F50FC7" w:rsidP="00F50FC7">
      <w:pPr>
        <w:pStyle w:val="TTEMEASMCA"/>
        <w:rPr>
          <w:sz w:val="22"/>
        </w:rPr>
      </w:pPr>
    </w:p>
    <w:p w14:paraId="00B4F190" w14:textId="77777777" w:rsidR="00F50FC7" w:rsidRDefault="00F50FC7" w:rsidP="00F50FC7">
      <w:pPr>
        <w:pStyle w:val="TTEMEASMCA"/>
        <w:rPr>
          <w:sz w:val="22"/>
        </w:rPr>
      </w:pPr>
    </w:p>
    <w:p w14:paraId="38A3DBD5" w14:textId="77777777" w:rsidR="00F50FC7" w:rsidRDefault="00F50FC7" w:rsidP="00F50FC7">
      <w:pPr>
        <w:pStyle w:val="TTEMEASMCA"/>
        <w:rPr>
          <w:sz w:val="22"/>
        </w:rPr>
      </w:pPr>
    </w:p>
    <w:p w14:paraId="01354EE7" w14:textId="77777777" w:rsidR="00F50FC7" w:rsidRDefault="00F50FC7" w:rsidP="00F50FC7">
      <w:pPr>
        <w:pStyle w:val="TTEMEASMCA"/>
        <w:rPr>
          <w:sz w:val="22"/>
        </w:rPr>
      </w:pPr>
    </w:p>
    <w:p w14:paraId="7520AEA9" w14:textId="77777777" w:rsidR="00F50FC7" w:rsidRDefault="00F50FC7" w:rsidP="00F50FC7">
      <w:pPr>
        <w:pStyle w:val="TTEMEASMCA"/>
        <w:rPr>
          <w:sz w:val="22"/>
        </w:rPr>
      </w:pPr>
    </w:p>
    <w:p w14:paraId="01D972D3" w14:textId="77777777" w:rsidR="00F50FC7" w:rsidRDefault="00F50FC7" w:rsidP="00F50FC7">
      <w:pPr>
        <w:pStyle w:val="TTEMEASMCA"/>
        <w:rPr>
          <w:sz w:val="22"/>
        </w:rPr>
      </w:pPr>
    </w:p>
    <w:p w14:paraId="0E16B730" w14:textId="679C78DA" w:rsidR="00F50FC7" w:rsidRDefault="00F50FC7" w:rsidP="00F50FC7">
      <w:pPr>
        <w:pStyle w:val="TTEMEASMCA"/>
        <w:rPr>
          <w:sz w:val="22"/>
        </w:rPr>
      </w:pPr>
      <w:r>
        <w:rPr>
          <w:sz w:val="22"/>
        </w:rPr>
        <w:t xml:space="preserve">A. ŽENKLINIMAS </w:t>
      </w:r>
    </w:p>
    <w:p w14:paraId="187E5833" w14:textId="77777777" w:rsidR="00F50FC7" w:rsidRDefault="00F50FC7" w:rsidP="00F50FC7">
      <w:pPr>
        <w:pStyle w:val="TTEMEASMCA"/>
        <w:rPr>
          <w:sz w:val="22"/>
        </w:rPr>
      </w:pPr>
    </w:p>
    <w:p w14:paraId="420A6A01" w14:textId="77777777" w:rsidR="00F50FC7" w:rsidRDefault="00F50FC7" w:rsidP="00F50FC7">
      <w:pPr>
        <w:pStyle w:val="TTEMEASMCA"/>
        <w:rPr>
          <w:sz w:val="22"/>
        </w:rPr>
      </w:pPr>
    </w:p>
    <w:p w14:paraId="24917B29" w14:textId="77777777" w:rsidR="00F50FC7" w:rsidRDefault="00F50FC7" w:rsidP="00F50FC7">
      <w:pPr>
        <w:pStyle w:val="TTEMEASMCA"/>
        <w:rPr>
          <w:sz w:val="22"/>
        </w:rPr>
      </w:pPr>
    </w:p>
    <w:p w14:paraId="7C2EA2B7" w14:textId="77777777" w:rsidR="00F50FC7" w:rsidRDefault="00F50FC7" w:rsidP="00F50FC7">
      <w:pPr>
        <w:pStyle w:val="TTEMEASMCA"/>
        <w:rPr>
          <w:sz w:val="22"/>
        </w:rPr>
      </w:pPr>
    </w:p>
    <w:p w14:paraId="242549FB" w14:textId="77777777" w:rsidR="00F50FC7" w:rsidRDefault="00F50FC7" w:rsidP="00F50FC7">
      <w:pPr>
        <w:pStyle w:val="TTEMEASMCA"/>
        <w:rPr>
          <w:sz w:val="22"/>
        </w:rPr>
      </w:pPr>
    </w:p>
    <w:p w14:paraId="4593F3A1" w14:textId="77777777" w:rsidR="00F50FC7" w:rsidRDefault="00F50FC7" w:rsidP="00F50FC7">
      <w:pPr>
        <w:pStyle w:val="TTEMEASMCA"/>
        <w:rPr>
          <w:sz w:val="22"/>
        </w:rPr>
      </w:pPr>
    </w:p>
    <w:p w14:paraId="57F65256" w14:textId="77777777" w:rsidR="00F50FC7" w:rsidRDefault="00F50FC7" w:rsidP="00F50FC7">
      <w:pPr>
        <w:pStyle w:val="TTEMEASMCA"/>
        <w:rPr>
          <w:sz w:val="22"/>
        </w:rPr>
      </w:pPr>
    </w:p>
    <w:p w14:paraId="1FC187D5" w14:textId="77777777" w:rsidR="00F50FC7" w:rsidRDefault="00F50FC7" w:rsidP="00F50FC7">
      <w:pPr>
        <w:pStyle w:val="TTEMEASMCA"/>
        <w:rPr>
          <w:sz w:val="22"/>
        </w:rPr>
      </w:pPr>
    </w:p>
    <w:p w14:paraId="5E84C102" w14:textId="77777777" w:rsidR="00F50FC7" w:rsidRDefault="00F50FC7" w:rsidP="00F50FC7">
      <w:pPr>
        <w:pStyle w:val="TTEMEASMCA"/>
        <w:rPr>
          <w:sz w:val="22"/>
        </w:rPr>
      </w:pPr>
    </w:p>
    <w:p w14:paraId="25ED4045" w14:textId="77777777" w:rsidR="00F50FC7" w:rsidRDefault="00F50FC7" w:rsidP="00F50FC7">
      <w:pPr>
        <w:pStyle w:val="TTEMEASMCA"/>
        <w:rPr>
          <w:sz w:val="22"/>
        </w:rPr>
      </w:pPr>
    </w:p>
    <w:p w14:paraId="19C7690A" w14:textId="77777777" w:rsidR="00F50FC7" w:rsidRDefault="00F50FC7" w:rsidP="00F50FC7">
      <w:pPr>
        <w:pStyle w:val="TTEMEASMCA"/>
        <w:rPr>
          <w:sz w:val="22"/>
        </w:rPr>
      </w:pPr>
    </w:p>
    <w:p w14:paraId="12157389" w14:textId="77777777" w:rsidR="00F50FC7" w:rsidRDefault="00F50FC7" w:rsidP="00F50FC7">
      <w:pPr>
        <w:pStyle w:val="TTEMEASMCA"/>
        <w:rPr>
          <w:sz w:val="22"/>
        </w:rPr>
      </w:pPr>
    </w:p>
    <w:p w14:paraId="5BFE0C82" w14:textId="77777777" w:rsidR="00F50FC7" w:rsidRDefault="00F50FC7" w:rsidP="00F50FC7">
      <w:pPr>
        <w:pStyle w:val="TTEMEASMCA"/>
        <w:rPr>
          <w:sz w:val="22"/>
        </w:rPr>
      </w:pPr>
    </w:p>
    <w:p w14:paraId="3C32CAD7" w14:textId="77777777" w:rsidR="00F50FC7" w:rsidRDefault="00F50FC7" w:rsidP="00F50FC7">
      <w:pPr>
        <w:pStyle w:val="TTEMEASMCA"/>
        <w:rPr>
          <w:sz w:val="22"/>
        </w:rPr>
      </w:pPr>
    </w:p>
    <w:p w14:paraId="039C7E5D" w14:textId="77777777" w:rsidR="00F50FC7" w:rsidRDefault="00F50FC7" w:rsidP="00F50FC7">
      <w:pPr>
        <w:pStyle w:val="TTEMEASMCA"/>
        <w:rPr>
          <w:sz w:val="22"/>
        </w:rPr>
      </w:pPr>
    </w:p>
    <w:p w14:paraId="25A86A9D" w14:textId="77777777" w:rsidR="00F50FC7" w:rsidRDefault="00F50FC7" w:rsidP="00F50FC7">
      <w:pPr>
        <w:pStyle w:val="TTEMEASMCA"/>
        <w:rPr>
          <w:sz w:val="22"/>
        </w:rPr>
      </w:pPr>
    </w:p>
    <w:p w14:paraId="490EBEAF" w14:textId="77777777" w:rsidR="00F50FC7" w:rsidRDefault="00F50FC7" w:rsidP="00F50FC7">
      <w:pPr>
        <w:pStyle w:val="TTEMEASMCA"/>
        <w:rPr>
          <w:sz w:val="22"/>
        </w:rPr>
      </w:pPr>
    </w:p>
    <w:p w14:paraId="55B61B83" w14:textId="77777777" w:rsidR="00F50FC7" w:rsidRDefault="00F50FC7" w:rsidP="00F50FC7">
      <w:pPr>
        <w:pStyle w:val="TTEMEASMCA"/>
        <w:rPr>
          <w:sz w:val="22"/>
        </w:rPr>
      </w:pPr>
    </w:p>
    <w:p w14:paraId="464A458F" w14:textId="77777777" w:rsidR="00F50FC7" w:rsidRDefault="00F50FC7" w:rsidP="00F50FC7">
      <w:pPr>
        <w:pStyle w:val="TTEMEASMCA"/>
        <w:rPr>
          <w:sz w:val="22"/>
        </w:rPr>
      </w:pPr>
    </w:p>
    <w:p w14:paraId="2A5B580A" w14:textId="77777777" w:rsidR="00F50FC7" w:rsidRDefault="00F50FC7" w:rsidP="00F50FC7">
      <w:pPr>
        <w:pStyle w:val="TTEMEASMCA"/>
        <w:rPr>
          <w:sz w:val="22"/>
        </w:rPr>
      </w:pPr>
    </w:p>
    <w:p w14:paraId="0D4D505A" w14:textId="77777777" w:rsidR="00F50FC7" w:rsidRDefault="00F50FC7" w:rsidP="00F50FC7">
      <w:pPr>
        <w:suppressAutoHyphens w:val="0"/>
        <w:autoSpaceDN/>
        <w:textAlignment w:val="auto"/>
        <w:rPr>
          <w:rFonts w:eastAsia="Calibri"/>
          <w:szCs w:val="22"/>
          <w:lang w:eastAsia="lt-LT"/>
        </w:rPr>
      </w:pPr>
      <w:r>
        <w:br w:type="page"/>
      </w:r>
    </w:p>
    <w:p w14:paraId="6A104291" w14:textId="77777777" w:rsidR="00F50FC7" w:rsidRPr="00FE7B05" w:rsidRDefault="00F50FC7" w:rsidP="000B6C00">
      <w:pPr>
        <w:pStyle w:val="BTEMEASMCA"/>
      </w:pPr>
    </w:p>
    <w:p w14:paraId="0CD6A585" w14:textId="77777777" w:rsidR="00F50FC7" w:rsidRPr="001958A1" w:rsidRDefault="00F50FC7" w:rsidP="00F50FC7">
      <w:pPr>
        <w:pStyle w:val="PI-1labEMEASMCA"/>
        <w:rPr>
          <w:sz w:val="22"/>
          <w:szCs w:val="22"/>
        </w:rPr>
      </w:pPr>
      <w:r w:rsidRPr="001958A1">
        <w:rPr>
          <w:sz w:val="22"/>
          <w:szCs w:val="22"/>
        </w:rPr>
        <w:t>INFORMACIJA ANT IŠORINĖS PAKUOTĖS</w:t>
      </w:r>
    </w:p>
    <w:p w14:paraId="2198A7ED" w14:textId="77777777" w:rsidR="00F50FC7" w:rsidRPr="00E90E50" w:rsidRDefault="00F50FC7" w:rsidP="00F50FC7">
      <w:pPr>
        <w:pStyle w:val="PI-1labEMEASMCA"/>
        <w:rPr>
          <w:b w:val="0"/>
          <w:sz w:val="22"/>
        </w:rPr>
      </w:pPr>
    </w:p>
    <w:p w14:paraId="786EE2F2" w14:textId="77777777" w:rsidR="00F50FC7" w:rsidRPr="001958A1" w:rsidRDefault="00F50FC7" w:rsidP="00F50FC7">
      <w:pPr>
        <w:pStyle w:val="PI-1labEMEASMCA"/>
        <w:rPr>
          <w:sz w:val="22"/>
          <w:szCs w:val="22"/>
        </w:rPr>
      </w:pPr>
      <w:r w:rsidRPr="001958A1">
        <w:rPr>
          <w:sz w:val="22"/>
          <w:szCs w:val="22"/>
        </w:rPr>
        <w:t>KARTONO DĖŽUTĖ</w:t>
      </w:r>
    </w:p>
    <w:p w14:paraId="5105526D" w14:textId="77777777" w:rsidR="00F50FC7" w:rsidRPr="00FE7B05" w:rsidRDefault="00F50FC7" w:rsidP="00F50FC7">
      <w:pPr>
        <w:pStyle w:val="Pagrindinistekstas"/>
        <w:spacing w:after="0"/>
        <w:rPr>
          <w:sz w:val="22"/>
          <w:szCs w:val="22"/>
        </w:rPr>
      </w:pPr>
    </w:p>
    <w:p w14:paraId="54380AD2" w14:textId="77777777" w:rsidR="00F50FC7" w:rsidRPr="001958A1" w:rsidRDefault="00F50FC7" w:rsidP="00F50FC7">
      <w:pPr>
        <w:pStyle w:val="Pagrindinistekstas"/>
        <w:spacing w:after="0"/>
        <w:rPr>
          <w:sz w:val="22"/>
          <w:szCs w:val="22"/>
        </w:rPr>
      </w:pPr>
    </w:p>
    <w:p w14:paraId="0503F15C" w14:textId="77777777" w:rsidR="00F50FC7" w:rsidRPr="001958A1" w:rsidRDefault="00F50FC7" w:rsidP="00F50FC7">
      <w:pPr>
        <w:pStyle w:val="PI-1labEMEASMCA"/>
        <w:rPr>
          <w:sz w:val="22"/>
          <w:szCs w:val="22"/>
        </w:rPr>
      </w:pPr>
      <w:r w:rsidRPr="001958A1">
        <w:rPr>
          <w:sz w:val="22"/>
          <w:szCs w:val="22"/>
        </w:rPr>
        <w:t>1.</w:t>
      </w:r>
      <w:r w:rsidRPr="001958A1">
        <w:rPr>
          <w:sz w:val="22"/>
          <w:szCs w:val="22"/>
        </w:rPr>
        <w:tab/>
        <w:t>VAISTINIO PREPARATO PAVADINIMAS</w:t>
      </w:r>
    </w:p>
    <w:p w14:paraId="034F0C73" w14:textId="77777777" w:rsidR="00F50FC7" w:rsidRPr="001958A1" w:rsidRDefault="00F50FC7" w:rsidP="00F50FC7">
      <w:pPr>
        <w:pStyle w:val="Pagrindinistekstas"/>
        <w:spacing w:after="0"/>
        <w:rPr>
          <w:sz w:val="22"/>
          <w:szCs w:val="22"/>
        </w:rPr>
      </w:pPr>
    </w:p>
    <w:p w14:paraId="0A9D49D5" w14:textId="77777777" w:rsidR="00F50FC7" w:rsidRPr="001958A1" w:rsidRDefault="00F50FC7" w:rsidP="00F50FC7">
      <w:pPr>
        <w:pStyle w:val="Pagrindinistekstas"/>
        <w:spacing w:after="0"/>
        <w:rPr>
          <w:sz w:val="22"/>
          <w:szCs w:val="22"/>
        </w:rPr>
      </w:pPr>
      <w:proofErr w:type="spellStart"/>
      <w:r w:rsidRPr="00FE7B05">
        <w:rPr>
          <w:sz w:val="22"/>
          <w:szCs w:val="22"/>
        </w:rPr>
        <w:t>Boostrix</w:t>
      </w:r>
      <w:proofErr w:type="spellEnd"/>
      <w:r w:rsidRPr="00FE7B05">
        <w:rPr>
          <w:sz w:val="22"/>
          <w:szCs w:val="22"/>
        </w:rPr>
        <w:t xml:space="preserve"> injekcinė suspensija užpildytame švirkšte</w:t>
      </w:r>
    </w:p>
    <w:p w14:paraId="4F2630BE" w14:textId="77777777" w:rsidR="00F50FC7" w:rsidRPr="00FE7B05" w:rsidRDefault="00F50FC7" w:rsidP="00F50FC7">
      <w:pPr>
        <w:pStyle w:val="Pagrindinistekstas"/>
        <w:spacing w:after="0"/>
        <w:rPr>
          <w:sz w:val="22"/>
          <w:szCs w:val="22"/>
        </w:rPr>
      </w:pPr>
    </w:p>
    <w:p w14:paraId="0728DAFC" w14:textId="77777777" w:rsidR="00F50FC7" w:rsidRPr="001958A1" w:rsidRDefault="00F50FC7" w:rsidP="00F50FC7">
      <w:pPr>
        <w:pStyle w:val="Pagrindinistekstas"/>
        <w:spacing w:after="0"/>
        <w:rPr>
          <w:sz w:val="22"/>
          <w:szCs w:val="22"/>
        </w:rPr>
      </w:pPr>
      <w:r w:rsidRPr="00FE7B05">
        <w:rPr>
          <w:sz w:val="22"/>
          <w:szCs w:val="22"/>
        </w:rPr>
        <w:t xml:space="preserve">Vakcina nuo difterijos, stabligės ir kokliušo (neląstelinė, </w:t>
      </w:r>
      <w:proofErr w:type="spellStart"/>
      <w:r w:rsidRPr="00FE7B05">
        <w:rPr>
          <w:sz w:val="22"/>
          <w:szCs w:val="22"/>
        </w:rPr>
        <w:t>komponentinė</w:t>
      </w:r>
      <w:proofErr w:type="spellEnd"/>
      <w:r w:rsidRPr="00A81A85">
        <w:rPr>
          <w:sz w:val="22"/>
          <w:szCs w:val="22"/>
        </w:rPr>
        <w:t>)</w:t>
      </w:r>
      <w:r w:rsidRPr="00FE7B05">
        <w:rPr>
          <w:sz w:val="22"/>
          <w:szCs w:val="22"/>
        </w:rPr>
        <w:t>, (</w:t>
      </w:r>
      <w:proofErr w:type="spellStart"/>
      <w:r w:rsidRPr="00FE7B05">
        <w:rPr>
          <w:sz w:val="22"/>
          <w:szCs w:val="22"/>
        </w:rPr>
        <w:t>adsorbuota</w:t>
      </w:r>
      <w:proofErr w:type="spellEnd"/>
      <w:r w:rsidRPr="00FE7B05">
        <w:rPr>
          <w:sz w:val="22"/>
          <w:szCs w:val="22"/>
        </w:rPr>
        <w:t>, su mažesniu antigeno (-ų) kiekiu)</w:t>
      </w:r>
    </w:p>
    <w:p w14:paraId="4565A44D" w14:textId="77777777" w:rsidR="00F50FC7" w:rsidRPr="001958A1" w:rsidRDefault="00F50FC7" w:rsidP="00F50FC7">
      <w:pPr>
        <w:pStyle w:val="Pagrindinistekstas"/>
        <w:spacing w:after="0"/>
        <w:rPr>
          <w:sz w:val="22"/>
          <w:szCs w:val="22"/>
        </w:rPr>
      </w:pPr>
    </w:p>
    <w:p w14:paraId="675D04FF" w14:textId="77777777" w:rsidR="00F50FC7" w:rsidRPr="001958A1" w:rsidRDefault="00F50FC7" w:rsidP="00F50FC7">
      <w:pPr>
        <w:pStyle w:val="Pagrindinistekstas"/>
        <w:spacing w:after="0"/>
        <w:rPr>
          <w:sz w:val="22"/>
          <w:szCs w:val="22"/>
        </w:rPr>
      </w:pPr>
    </w:p>
    <w:p w14:paraId="7695A178" w14:textId="77777777" w:rsidR="00F50FC7" w:rsidRPr="001958A1" w:rsidRDefault="00F50FC7" w:rsidP="00F50FC7">
      <w:pPr>
        <w:pStyle w:val="PI-1labEMEASMCA"/>
        <w:rPr>
          <w:sz w:val="22"/>
          <w:szCs w:val="22"/>
        </w:rPr>
      </w:pPr>
      <w:r w:rsidRPr="001958A1">
        <w:rPr>
          <w:sz w:val="22"/>
          <w:szCs w:val="22"/>
        </w:rPr>
        <w:t>2.</w:t>
      </w:r>
      <w:r w:rsidRPr="001958A1">
        <w:rPr>
          <w:sz w:val="22"/>
          <w:szCs w:val="22"/>
        </w:rPr>
        <w:tab/>
        <w:t>VEIKLIOJI MEDŽIAGA IR JOS KIEKIS</w:t>
      </w:r>
    </w:p>
    <w:p w14:paraId="65607BF1" w14:textId="77777777" w:rsidR="00F50FC7" w:rsidRPr="001958A1" w:rsidRDefault="00F50FC7" w:rsidP="00F50FC7">
      <w:pPr>
        <w:pStyle w:val="Pagrindinistekstas"/>
        <w:spacing w:after="0"/>
        <w:rPr>
          <w:sz w:val="22"/>
          <w:szCs w:val="22"/>
        </w:rPr>
      </w:pPr>
    </w:p>
    <w:p w14:paraId="417FB66D" w14:textId="77777777" w:rsidR="00F50FC7" w:rsidRPr="00FE7B05" w:rsidRDefault="00F50FC7" w:rsidP="00F50FC7">
      <w:pPr>
        <w:tabs>
          <w:tab w:val="left" w:pos="567"/>
        </w:tabs>
        <w:ind w:right="-1"/>
        <w:rPr>
          <w:szCs w:val="22"/>
        </w:rPr>
      </w:pPr>
      <w:r w:rsidRPr="00FE7B05">
        <w:rPr>
          <w:szCs w:val="22"/>
        </w:rPr>
        <w:t>Kiekvienoje (0,5 ml) dozėje yra:</w:t>
      </w:r>
    </w:p>
    <w:p w14:paraId="5B864053" w14:textId="77777777" w:rsidR="00F50FC7" w:rsidRPr="00A81A85" w:rsidRDefault="00F50FC7" w:rsidP="00F50FC7">
      <w:pPr>
        <w:pStyle w:val="Pagrindinistekstas"/>
        <w:spacing w:after="0"/>
        <w:rPr>
          <w:sz w:val="22"/>
          <w:szCs w:val="22"/>
        </w:rPr>
      </w:pPr>
    </w:p>
    <w:p w14:paraId="485E89FE" w14:textId="77777777" w:rsidR="00F50FC7" w:rsidRPr="00A81A85" w:rsidRDefault="00F50FC7" w:rsidP="00F50FC7">
      <w:pPr>
        <w:tabs>
          <w:tab w:val="left" w:pos="567"/>
          <w:tab w:val="right" w:pos="7938"/>
        </w:tabs>
        <w:rPr>
          <w:szCs w:val="22"/>
        </w:rPr>
      </w:pPr>
      <w:r w:rsidRPr="00FE7B05">
        <w:rPr>
          <w:szCs w:val="22"/>
        </w:rPr>
        <w:t xml:space="preserve">Difterijos </w:t>
      </w:r>
      <w:proofErr w:type="spellStart"/>
      <w:r w:rsidRPr="00FE7B05">
        <w:rPr>
          <w:szCs w:val="22"/>
        </w:rPr>
        <w:t>anatoksino</w:t>
      </w:r>
      <w:proofErr w:type="spellEnd"/>
      <w:r w:rsidRPr="00FE7B05">
        <w:rPr>
          <w:szCs w:val="22"/>
        </w:rPr>
        <w:t xml:space="preserve"> </w:t>
      </w:r>
      <w:r w:rsidRPr="00FE7B05">
        <w:rPr>
          <w:szCs w:val="22"/>
          <w:vertAlign w:val="superscript"/>
          <w:lang w:val="en-US"/>
        </w:rPr>
        <w:t>1</w:t>
      </w:r>
      <w:r w:rsidRPr="00FE7B05">
        <w:rPr>
          <w:szCs w:val="22"/>
        </w:rPr>
        <w:tab/>
        <w:t>ne mažiau kaip 2 tarptautiniai vienetai (TV) (2,5 </w:t>
      </w:r>
      <w:proofErr w:type="spellStart"/>
      <w:r w:rsidRPr="00FE7B05">
        <w:rPr>
          <w:szCs w:val="22"/>
        </w:rPr>
        <w:t>Lf</w:t>
      </w:r>
      <w:proofErr w:type="spellEnd"/>
      <w:r w:rsidRPr="00FE7B05">
        <w:rPr>
          <w:szCs w:val="22"/>
        </w:rPr>
        <w:t>)</w:t>
      </w:r>
    </w:p>
    <w:p w14:paraId="6DE0A6F1" w14:textId="77777777" w:rsidR="00F50FC7" w:rsidRPr="00A81A85" w:rsidRDefault="00F50FC7" w:rsidP="00F50FC7">
      <w:pPr>
        <w:tabs>
          <w:tab w:val="left" w:pos="567"/>
          <w:tab w:val="right" w:pos="7938"/>
        </w:tabs>
        <w:rPr>
          <w:szCs w:val="22"/>
        </w:rPr>
      </w:pPr>
      <w:r w:rsidRPr="00FE7B05">
        <w:rPr>
          <w:szCs w:val="22"/>
        </w:rPr>
        <w:t xml:space="preserve">Stabligės </w:t>
      </w:r>
      <w:proofErr w:type="spellStart"/>
      <w:r w:rsidRPr="00FE7B05">
        <w:rPr>
          <w:szCs w:val="22"/>
        </w:rPr>
        <w:t>anatoksino</w:t>
      </w:r>
      <w:proofErr w:type="spellEnd"/>
      <w:r w:rsidRPr="00FE7B05">
        <w:rPr>
          <w:szCs w:val="22"/>
        </w:rPr>
        <w:t xml:space="preserve"> </w:t>
      </w:r>
      <w:r w:rsidRPr="00FE7B05">
        <w:rPr>
          <w:szCs w:val="22"/>
          <w:vertAlign w:val="superscript"/>
          <w:lang w:val="en-US"/>
        </w:rPr>
        <w:t>1</w:t>
      </w:r>
      <w:r w:rsidRPr="00FE7B05">
        <w:rPr>
          <w:szCs w:val="22"/>
        </w:rPr>
        <w:tab/>
        <w:t>ne mažiau kaip 20 tarptautinių vienetų (TV) (5 </w:t>
      </w:r>
      <w:proofErr w:type="spellStart"/>
      <w:r w:rsidRPr="00FE7B05">
        <w:rPr>
          <w:szCs w:val="22"/>
        </w:rPr>
        <w:t>Lf</w:t>
      </w:r>
      <w:proofErr w:type="spellEnd"/>
      <w:r w:rsidRPr="00FE7B05">
        <w:rPr>
          <w:szCs w:val="22"/>
        </w:rPr>
        <w:t>)</w:t>
      </w:r>
    </w:p>
    <w:p w14:paraId="5E716B4D" w14:textId="77777777" w:rsidR="00F50FC7" w:rsidRPr="00A81A85" w:rsidRDefault="00F50FC7" w:rsidP="00F50FC7">
      <w:pPr>
        <w:tabs>
          <w:tab w:val="left" w:pos="567"/>
        </w:tabs>
        <w:rPr>
          <w:szCs w:val="22"/>
        </w:rPr>
      </w:pPr>
      <w:proofErr w:type="spellStart"/>
      <w:r w:rsidRPr="00FE7B05">
        <w:rPr>
          <w:i/>
          <w:iCs/>
          <w:szCs w:val="22"/>
        </w:rPr>
        <w:t>Bordetella</w:t>
      </w:r>
      <w:proofErr w:type="spellEnd"/>
      <w:r w:rsidRPr="00FE7B05">
        <w:rPr>
          <w:i/>
          <w:iCs/>
          <w:szCs w:val="22"/>
        </w:rPr>
        <w:t xml:space="preserve"> </w:t>
      </w:r>
      <w:proofErr w:type="spellStart"/>
      <w:r w:rsidRPr="00FE7B05">
        <w:rPr>
          <w:i/>
          <w:iCs/>
          <w:szCs w:val="22"/>
        </w:rPr>
        <w:t>pertussis</w:t>
      </w:r>
      <w:proofErr w:type="spellEnd"/>
      <w:r w:rsidRPr="00FE7B05">
        <w:rPr>
          <w:szCs w:val="22"/>
        </w:rPr>
        <w:t xml:space="preserve"> antigenų</w:t>
      </w:r>
    </w:p>
    <w:p w14:paraId="402E5DA3" w14:textId="77777777" w:rsidR="00F50FC7" w:rsidRPr="00A81A85" w:rsidRDefault="00F50FC7" w:rsidP="00F50FC7">
      <w:pPr>
        <w:tabs>
          <w:tab w:val="left" w:pos="567"/>
          <w:tab w:val="right" w:pos="7938"/>
        </w:tabs>
        <w:rPr>
          <w:szCs w:val="22"/>
        </w:rPr>
      </w:pPr>
      <w:r w:rsidRPr="00FE7B05">
        <w:rPr>
          <w:szCs w:val="22"/>
        </w:rPr>
        <w:t xml:space="preserve">     Kokliušo </w:t>
      </w:r>
      <w:proofErr w:type="spellStart"/>
      <w:r w:rsidRPr="00FE7B05">
        <w:rPr>
          <w:szCs w:val="22"/>
        </w:rPr>
        <w:t>anatoksino</w:t>
      </w:r>
      <w:proofErr w:type="spellEnd"/>
      <w:r w:rsidRPr="00FE7B05">
        <w:rPr>
          <w:szCs w:val="22"/>
        </w:rPr>
        <w:t xml:space="preserve"> </w:t>
      </w:r>
      <w:r w:rsidRPr="000509D9">
        <w:rPr>
          <w:szCs w:val="22"/>
          <w:vertAlign w:val="superscript"/>
          <w:lang w:val="sv-SE"/>
        </w:rPr>
        <w:t>1</w:t>
      </w:r>
      <w:r w:rsidRPr="00FE7B05">
        <w:rPr>
          <w:szCs w:val="22"/>
        </w:rPr>
        <w:tab/>
        <w:t>8 </w:t>
      </w:r>
      <w:proofErr w:type="spellStart"/>
      <w:r w:rsidRPr="00FE7B05">
        <w:rPr>
          <w:szCs w:val="22"/>
        </w:rPr>
        <w:t>mikrogramai</w:t>
      </w:r>
      <w:proofErr w:type="spellEnd"/>
    </w:p>
    <w:p w14:paraId="4DCB08EF" w14:textId="77777777" w:rsidR="00F50FC7" w:rsidRPr="00A81A85" w:rsidRDefault="00F50FC7" w:rsidP="00F50FC7">
      <w:pPr>
        <w:tabs>
          <w:tab w:val="left" w:pos="567"/>
          <w:tab w:val="right" w:pos="7938"/>
        </w:tabs>
        <w:rPr>
          <w:szCs w:val="22"/>
        </w:rPr>
      </w:pPr>
      <w:r w:rsidRPr="00FE7B05">
        <w:rPr>
          <w:szCs w:val="22"/>
        </w:rPr>
        <w:t xml:space="preserve">     </w:t>
      </w:r>
      <w:proofErr w:type="spellStart"/>
      <w:r w:rsidRPr="00FE7B05">
        <w:rPr>
          <w:szCs w:val="22"/>
        </w:rPr>
        <w:t>Filamentinio</w:t>
      </w:r>
      <w:proofErr w:type="spellEnd"/>
      <w:r w:rsidRPr="00FE7B05">
        <w:rPr>
          <w:szCs w:val="22"/>
        </w:rPr>
        <w:t xml:space="preserve"> </w:t>
      </w:r>
      <w:proofErr w:type="spellStart"/>
      <w:r w:rsidRPr="00FE7B05">
        <w:rPr>
          <w:szCs w:val="22"/>
        </w:rPr>
        <w:t>hemagliutinino</w:t>
      </w:r>
      <w:proofErr w:type="spellEnd"/>
      <w:r w:rsidRPr="00FE7B05">
        <w:rPr>
          <w:szCs w:val="22"/>
        </w:rPr>
        <w:t xml:space="preserve"> </w:t>
      </w:r>
      <w:r w:rsidRPr="00E90E50">
        <w:rPr>
          <w:vertAlign w:val="superscript"/>
        </w:rPr>
        <w:t>1</w:t>
      </w:r>
      <w:r w:rsidRPr="00FE7B05">
        <w:rPr>
          <w:szCs w:val="22"/>
          <w:vertAlign w:val="superscript"/>
        </w:rPr>
        <w:tab/>
      </w:r>
      <w:r w:rsidRPr="00FE7B05">
        <w:rPr>
          <w:szCs w:val="22"/>
        </w:rPr>
        <w:t>8 </w:t>
      </w:r>
      <w:proofErr w:type="spellStart"/>
      <w:r w:rsidRPr="00FE7B05">
        <w:rPr>
          <w:szCs w:val="22"/>
        </w:rPr>
        <w:t>mikrogramai</w:t>
      </w:r>
      <w:proofErr w:type="spellEnd"/>
    </w:p>
    <w:p w14:paraId="0122A70C" w14:textId="77777777" w:rsidR="00F50FC7" w:rsidRPr="00A81A85" w:rsidRDefault="00F50FC7" w:rsidP="00F50FC7">
      <w:pPr>
        <w:tabs>
          <w:tab w:val="left" w:pos="567"/>
          <w:tab w:val="right" w:pos="7938"/>
        </w:tabs>
        <w:rPr>
          <w:szCs w:val="22"/>
        </w:rPr>
      </w:pPr>
      <w:r w:rsidRPr="00FE7B05">
        <w:rPr>
          <w:szCs w:val="22"/>
        </w:rPr>
        <w:t xml:space="preserve">     </w:t>
      </w:r>
      <w:proofErr w:type="spellStart"/>
      <w:r w:rsidRPr="00FE7B05">
        <w:rPr>
          <w:szCs w:val="22"/>
        </w:rPr>
        <w:t>Pertaktino</w:t>
      </w:r>
      <w:proofErr w:type="spellEnd"/>
      <w:r w:rsidRPr="00FE7B05">
        <w:rPr>
          <w:szCs w:val="22"/>
        </w:rPr>
        <w:t xml:space="preserve"> </w:t>
      </w:r>
      <w:r w:rsidRPr="00E90E50">
        <w:rPr>
          <w:vertAlign w:val="superscript"/>
        </w:rPr>
        <w:t>1</w:t>
      </w:r>
      <w:r w:rsidRPr="00FE7B05">
        <w:rPr>
          <w:szCs w:val="22"/>
          <w:vertAlign w:val="superscript"/>
        </w:rPr>
        <w:tab/>
      </w:r>
      <w:r w:rsidRPr="00FE7B05">
        <w:rPr>
          <w:szCs w:val="22"/>
        </w:rPr>
        <w:t>2,5 </w:t>
      </w:r>
      <w:proofErr w:type="spellStart"/>
      <w:r w:rsidRPr="00FE7B05">
        <w:rPr>
          <w:szCs w:val="22"/>
        </w:rPr>
        <w:t>mikrogramo</w:t>
      </w:r>
      <w:proofErr w:type="spellEnd"/>
    </w:p>
    <w:p w14:paraId="296F3241" w14:textId="77777777" w:rsidR="00F50FC7" w:rsidRPr="00FE7B05" w:rsidRDefault="00F50FC7" w:rsidP="00F50FC7">
      <w:pPr>
        <w:tabs>
          <w:tab w:val="left" w:pos="567"/>
        </w:tabs>
        <w:rPr>
          <w:szCs w:val="22"/>
        </w:rPr>
      </w:pPr>
    </w:p>
    <w:p w14:paraId="29E7B89D" w14:textId="77777777" w:rsidR="00F50FC7" w:rsidRPr="00A81A85" w:rsidRDefault="00F50FC7" w:rsidP="00F50FC7">
      <w:pPr>
        <w:tabs>
          <w:tab w:val="left" w:pos="567"/>
          <w:tab w:val="right" w:pos="7938"/>
        </w:tabs>
        <w:ind w:left="426" w:right="140" w:hanging="426"/>
        <w:rPr>
          <w:szCs w:val="22"/>
        </w:rPr>
      </w:pPr>
      <w:r w:rsidRPr="00E90E50">
        <w:rPr>
          <w:vertAlign w:val="superscript"/>
        </w:rPr>
        <w:t xml:space="preserve">1 </w:t>
      </w:r>
      <w:proofErr w:type="spellStart"/>
      <w:r w:rsidRPr="00FE7B05">
        <w:rPr>
          <w:szCs w:val="22"/>
        </w:rPr>
        <w:t>Adsorbuota</w:t>
      </w:r>
      <w:proofErr w:type="spellEnd"/>
      <w:r w:rsidRPr="00FE7B05">
        <w:rPr>
          <w:szCs w:val="22"/>
        </w:rPr>
        <w:t xml:space="preserve"> ant hidratuoto aliuminio hidroksido (Al(OH)</w:t>
      </w:r>
      <w:r w:rsidRPr="00FE7B05">
        <w:rPr>
          <w:szCs w:val="22"/>
          <w:vertAlign w:val="subscript"/>
        </w:rPr>
        <w:t>3</w:t>
      </w:r>
      <w:r w:rsidRPr="00FE7B05">
        <w:rPr>
          <w:szCs w:val="22"/>
        </w:rPr>
        <w:t>)</w:t>
      </w:r>
      <w:r w:rsidRPr="00FE7B05">
        <w:rPr>
          <w:szCs w:val="22"/>
        </w:rPr>
        <w:tab/>
        <w:t>0,3 miligramai Al</w:t>
      </w:r>
      <w:r w:rsidRPr="00FE7B05">
        <w:rPr>
          <w:szCs w:val="22"/>
          <w:vertAlign w:val="superscript"/>
        </w:rPr>
        <w:t>3+</w:t>
      </w:r>
    </w:p>
    <w:p w14:paraId="39A22B93" w14:textId="77777777" w:rsidR="00F50FC7" w:rsidRPr="00A81A85" w:rsidRDefault="00F50FC7" w:rsidP="00F50FC7">
      <w:pPr>
        <w:tabs>
          <w:tab w:val="left" w:pos="567"/>
          <w:tab w:val="right" w:pos="7938"/>
        </w:tabs>
        <w:ind w:left="426" w:right="140" w:hanging="426"/>
        <w:rPr>
          <w:szCs w:val="22"/>
        </w:rPr>
      </w:pPr>
      <w:r w:rsidRPr="00FE7B05">
        <w:rPr>
          <w:szCs w:val="22"/>
        </w:rPr>
        <w:t>ir aliuminio fosfato (AlPO</w:t>
      </w:r>
      <w:r w:rsidRPr="00FE7B05">
        <w:rPr>
          <w:szCs w:val="22"/>
          <w:vertAlign w:val="subscript"/>
        </w:rPr>
        <w:t>4</w:t>
      </w:r>
      <w:r w:rsidRPr="00FE7B05">
        <w:rPr>
          <w:szCs w:val="22"/>
        </w:rPr>
        <w:t>)</w:t>
      </w:r>
      <w:r w:rsidRPr="00FE7B05">
        <w:rPr>
          <w:szCs w:val="22"/>
        </w:rPr>
        <w:tab/>
        <w:t>0,2 miligramai Al</w:t>
      </w:r>
      <w:r w:rsidRPr="00FE7B05">
        <w:rPr>
          <w:szCs w:val="22"/>
          <w:vertAlign w:val="superscript"/>
        </w:rPr>
        <w:t>3+</w:t>
      </w:r>
    </w:p>
    <w:p w14:paraId="1D6E8201" w14:textId="77777777" w:rsidR="00F50FC7" w:rsidRPr="001958A1" w:rsidRDefault="00F50FC7" w:rsidP="00F50FC7">
      <w:pPr>
        <w:pStyle w:val="Pagrindinistekstas"/>
        <w:spacing w:after="0"/>
        <w:rPr>
          <w:sz w:val="22"/>
          <w:szCs w:val="22"/>
        </w:rPr>
      </w:pPr>
    </w:p>
    <w:p w14:paraId="337E2932" w14:textId="77777777" w:rsidR="00F50FC7" w:rsidRPr="001958A1" w:rsidRDefault="00F50FC7" w:rsidP="00F50FC7">
      <w:pPr>
        <w:pStyle w:val="Pagrindinistekstas"/>
        <w:spacing w:after="0"/>
        <w:rPr>
          <w:sz w:val="22"/>
          <w:szCs w:val="22"/>
        </w:rPr>
      </w:pPr>
    </w:p>
    <w:p w14:paraId="09FF2BEC" w14:textId="77777777" w:rsidR="00F50FC7" w:rsidRPr="001958A1" w:rsidRDefault="00F50FC7" w:rsidP="00F50FC7">
      <w:pPr>
        <w:pStyle w:val="PI-1labEMEASMCA"/>
        <w:rPr>
          <w:sz w:val="22"/>
          <w:szCs w:val="22"/>
        </w:rPr>
      </w:pPr>
      <w:r w:rsidRPr="001958A1">
        <w:rPr>
          <w:sz w:val="22"/>
          <w:szCs w:val="22"/>
        </w:rPr>
        <w:t>3.</w:t>
      </w:r>
      <w:r w:rsidRPr="001958A1">
        <w:rPr>
          <w:sz w:val="22"/>
          <w:szCs w:val="22"/>
        </w:rPr>
        <w:tab/>
        <w:t>PAGALBINIŲ MEDŽIAGŲ SĄRAŠAS</w:t>
      </w:r>
    </w:p>
    <w:p w14:paraId="1D44BE86" w14:textId="77777777" w:rsidR="00F50FC7" w:rsidRPr="001958A1" w:rsidRDefault="00F50FC7" w:rsidP="00F50FC7">
      <w:pPr>
        <w:pStyle w:val="Pagrindinistekstas"/>
        <w:spacing w:after="0"/>
        <w:rPr>
          <w:sz w:val="22"/>
          <w:szCs w:val="22"/>
        </w:rPr>
      </w:pPr>
    </w:p>
    <w:p w14:paraId="714DE096" w14:textId="77777777" w:rsidR="00F50FC7" w:rsidRPr="001958A1" w:rsidRDefault="00F50FC7" w:rsidP="00F50FC7">
      <w:pPr>
        <w:pStyle w:val="Pagrindinistekstas"/>
        <w:spacing w:after="0"/>
        <w:rPr>
          <w:sz w:val="22"/>
          <w:szCs w:val="22"/>
        </w:rPr>
      </w:pPr>
      <w:r w:rsidRPr="00FE7B05">
        <w:rPr>
          <w:sz w:val="22"/>
          <w:szCs w:val="22"/>
        </w:rPr>
        <w:t>Natrio chloridas</w:t>
      </w:r>
    </w:p>
    <w:p w14:paraId="53ADC663" w14:textId="77777777" w:rsidR="00F50FC7" w:rsidRPr="001958A1" w:rsidRDefault="00F50FC7" w:rsidP="00F50FC7">
      <w:pPr>
        <w:pStyle w:val="Pagrindinistekstas"/>
        <w:spacing w:after="0"/>
        <w:rPr>
          <w:sz w:val="22"/>
          <w:szCs w:val="22"/>
        </w:rPr>
      </w:pPr>
      <w:r w:rsidRPr="00FE7B05">
        <w:rPr>
          <w:sz w:val="22"/>
          <w:szCs w:val="22"/>
        </w:rPr>
        <w:t>Injekcinis vanduo</w:t>
      </w:r>
    </w:p>
    <w:p w14:paraId="4CA0B362" w14:textId="77777777" w:rsidR="00F50FC7" w:rsidRPr="001958A1" w:rsidRDefault="00F50FC7" w:rsidP="00F50FC7">
      <w:pPr>
        <w:pStyle w:val="Pagrindinistekstas"/>
        <w:spacing w:after="0"/>
        <w:rPr>
          <w:sz w:val="22"/>
          <w:szCs w:val="22"/>
        </w:rPr>
      </w:pPr>
    </w:p>
    <w:p w14:paraId="4C0E9443" w14:textId="77777777" w:rsidR="00F50FC7" w:rsidRPr="001958A1" w:rsidRDefault="00F50FC7" w:rsidP="00F50FC7">
      <w:pPr>
        <w:pStyle w:val="Pagrindinistekstas"/>
        <w:spacing w:after="0"/>
        <w:rPr>
          <w:sz w:val="22"/>
          <w:szCs w:val="22"/>
        </w:rPr>
      </w:pPr>
    </w:p>
    <w:p w14:paraId="665AAA20" w14:textId="77777777" w:rsidR="00F50FC7" w:rsidRPr="001958A1" w:rsidRDefault="00F50FC7" w:rsidP="00F50FC7">
      <w:pPr>
        <w:pStyle w:val="PI-1labEMEASMCA"/>
        <w:rPr>
          <w:sz w:val="22"/>
          <w:szCs w:val="22"/>
        </w:rPr>
      </w:pPr>
      <w:r w:rsidRPr="001958A1">
        <w:rPr>
          <w:sz w:val="22"/>
          <w:szCs w:val="22"/>
        </w:rPr>
        <w:t>4.</w:t>
      </w:r>
      <w:r w:rsidRPr="001958A1">
        <w:rPr>
          <w:sz w:val="22"/>
          <w:szCs w:val="22"/>
        </w:rPr>
        <w:tab/>
        <w:t>FARMACINĖ FORMA IR KIEKIS PAKUOTĖJE</w:t>
      </w:r>
    </w:p>
    <w:p w14:paraId="3F3D7B05" w14:textId="77777777" w:rsidR="00F50FC7" w:rsidRPr="001958A1" w:rsidRDefault="00F50FC7" w:rsidP="00F50FC7">
      <w:pPr>
        <w:pStyle w:val="Pagrindinistekstas"/>
        <w:spacing w:after="0"/>
        <w:rPr>
          <w:sz w:val="22"/>
          <w:szCs w:val="22"/>
        </w:rPr>
      </w:pPr>
    </w:p>
    <w:p w14:paraId="34A55026" w14:textId="77777777" w:rsidR="00F50FC7" w:rsidRPr="00FE7B05" w:rsidRDefault="00F50FC7" w:rsidP="00F50FC7">
      <w:pPr>
        <w:pStyle w:val="Pagrindinistekstas"/>
        <w:spacing w:after="0"/>
        <w:rPr>
          <w:sz w:val="22"/>
          <w:szCs w:val="22"/>
        </w:rPr>
      </w:pPr>
      <w:r w:rsidRPr="00FE7B05">
        <w:rPr>
          <w:sz w:val="22"/>
          <w:szCs w:val="22"/>
        </w:rPr>
        <w:t>Injekcinė suspensija</w:t>
      </w:r>
    </w:p>
    <w:p w14:paraId="450099C5" w14:textId="77777777" w:rsidR="00F50FC7" w:rsidRPr="00FE7B05" w:rsidRDefault="00F50FC7" w:rsidP="00F50FC7">
      <w:pPr>
        <w:pStyle w:val="Pagrindinistekstas"/>
        <w:spacing w:after="0"/>
        <w:rPr>
          <w:sz w:val="22"/>
          <w:szCs w:val="22"/>
        </w:rPr>
      </w:pPr>
    </w:p>
    <w:p w14:paraId="4317FDD9" w14:textId="3F2EFE2D" w:rsidR="00F50FC7" w:rsidRPr="009F5F39" w:rsidRDefault="00F50FC7" w:rsidP="00F50FC7">
      <w:pPr>
        <w:pStyle w:val="Pagrindinistekstas"/>
        <w:spacing w:after="0"/>
        <w:rPr>
          <w:sz w:val="22"/>
          <w:szCs w:val="22"/>
        </w:rPr>
      </w:pPr>
      <w:r w:rsidRPr="00A81A85">
        <w:rPr>
          <w:sz w:val="22"/>
          <w:szCs w:val="22"/>
        </w:rPr>
        <w:t>1</w:t>
      </w:r>
      <w:r w:rsidR="005C09B1">
        <w:rPr>
          <w:sz w:val="22"/>
          <w:szCs w:val="22"/>
        </w:rPr>
        <w:t> </w:t>
      </w:r>
      <w:r w:rsidRPr="00A81A85">
        <w:rPr>
          <w:sz w:val="22"/>
          <w:szCs w:val="22"/>
        </w:rPr>
        <w:t>užpildytas švirkštas</w:t>
      </w:r>
    </w:p>
    <w:p w14:paraId="0A723B29" w14:textId="08D9CB89" w:rsidR="00F50FC7" w:rsidRPr="00FA1F38" w:rsidRDefault="00F50FC7" w:rsidP="00F50FC7">
      <w:pPr>
        <w:pStyle w:val="Pagrindinistekstas"/>
        <w:spacing w:after="0"/>
        <w:rPr>
          <w:sz w:val="22"/>
          <w:szCs w:val="22"/>
        </w:rPr>
      </w:pPr>
      <w:r w:rsidRPr="007D3BC1">
        <w:rPr>
          <w:sz w:val="22"/>
          <w:szCs w:val="22"/>
        </w:rPr>
        <w:t>1</w:t>
      </w:r>
      <w:r w:rsidR="005C09B1">
        <w:rPr>
          <w:sz w:val="22"/>
          <w:szCs w:val="22"/>
        </w:rPr>
        <w:t> </w:t>
      </w:r>
      <w:r w:rsidRPr="007D3BC1">
        <w:rPr>
          <w:sz w:val="22"/>
          <w:szCs w:val="22"/>
        </w:rPr>
        <w:t>dozė (0,5 ml)</w:t>
      </w:r>
    </w:p>
    <w:p w14:paraId="5B5458C1" w14:textId="77777777" w:rsidR="00F50FC7" w:rsidRPr="00FE7B05" w:rsidRDefault="00F50FC7" w:rsidP="00F50FC7">
      <w:pPr>
        <w:pStyle w:val="Pagrindinistekstas"/>
        <w:spacing w:after="0"/>
        <w:rPr>
          <w:sz w:val="22"/>
          <w:szCs w:val="22"/>
        </w:rPr>
      </w:pPr>
    </w:p>
    <w:p w14:paraId="4DDDBB2E" w14:textId="2661E950" w:rsidR="00F50FC7" w:rsidRPr="00FE7B05" w:rsidRDefault="00F50FC7" w:rsidP="00F50FC7">
      <w:pPr>
        <w:pStyle w:val="Pagrindinistekstas"/>
        <w:keepNext/>
        <w:spacing w:after="0"/>
        <w:rPr>
          <w:sz w:val="22"/>
          <w:szCs w:val="22"/>
          <w:shd w:val="clear" w:color="auto" w:fill="C0C0C0"/>
        </w:rPr>
      </w:pPr>
      <w:r w:rsidRPr="00FE7B05">
        <w:rPr>
          <w:sz w:val="22"/>
          <w:szCs w:val="22"/>
          <w:shd w:val="clear" w:color="auto" w:fill="C0C0C0"/>
        </w:rPr>
        <w:t>1</w:t>
      </w:r>
      <w:r w:rsidR="00693AB2">
        <w:rPr>
          <w:sz w:val="22"/>
          <w:szCs w:val="22"/>
          <w:shd w:val="clear" w:color="auto" w:fill="C0C0C0"/>
        </w:rPr>
        <w:t> </w:t>
      </w:r>
      <w:r w:rsidRPr="00FE7B05">
        <w:rPr>
          <w:sz w:val="22"/>
          <w:szCs w:val="22"/>
          <w:shd w:val="clear" w:color="auto" w:fill="C0C0C0"/>
        </w:rPr>
        <w:t>užpildytas švirkštas + 1 adata</w:t>
      </w:r>
    </w:p>
    <w:p w14:paraId="4E62B019" w14:textId="154071CA" w:rsidR="00F50FC7" w:rsidRPr="001958A1" w:rsidRDefault="00F50FC7" w:rsidP="00F50FC7">
      <w:pPr>
        <w:pStyle w:val="Pagrindinistekstas"/>
        <w:spacing w:after="0"/>
        <w:rPr>
          <w:sz w:val="22"/>
          <w:szCs w:val="22"/>
        </w:rPr>
      </w:pPr>
      <w:r w:rsidRPr="00FE7B05">
        <w:rPr>
          <w:sz w:val="22"/>
          <w:szCs w:val="22"/>
          <w:shd w:val="clear" w:color="auto" w:fill="C0C0C0"/>
        </w:rPr>
        <w:t>1</w:t>
      </w:r>
      <w:r w:rsidR="00693AB2">
        <w:rPr>
          <w:sz w:val="22"/>
          <w:szCs w:val="22"/>
          <w:shd w:val="clear" w:color="auto" w:fill="C0C0C0"/>
        </w:rPr>
        <w:t> </w:t>
      </w:r>
      <w:r w:rsidRPr="00FE7B05">
        <w:rPr>
          <w:sz w:val="22"/>
          <w:szCs w:val="22"/>
          <w:shd w:val="clear" w:color="auto" w:fill="C0C0C0"/>
        </w:rPr>
        <w:t>dozė (0,5 ml)</w:t>
      </w:r>
    </w:p>
    <w:p w14:paraId="3B0A877F" w14:textId="77777777" w:rsidR="00F50FC7" w:rsidRPr="00FE7B05" w:rsidRDefault="00F50FC7" w:rsidP="00F50FC7">
      <w:pPr>
        <w:pStyle w:val="Pagrindinistekstas"/>
        <w:spacing w:after="0"/>
        <w:rPr>
          <w:sz w:val="22"/>
          <w:szCs w:val="22"/>
        </w:rPr>
      </w:pPr>
    </w:p>
    <w:p w14:paraId="1DFCF9DE" w14:textId="645A100C" w:rsidR="00F50FC7" w:rsidRPr="001958A1" w:rsidRDefault="00F50FC7" w:rsidP="00F50FC7">
      <w:pPr>
        <w:pStyle w:val="Pagrindinistekstas"/>
        <w:spacing w:after="0"/>
        <w:rPr>
          <w:sz w:val="22"/>
          <w:szCs w:val="22"/>
        </w:rPr>
      </w:pPr>
      <w:r w:rsidRPr="00FE7B05">
        <w:rPr>
          <w:sz w:val="22"/>
          <w:szCs w:val="22"/>
          <w:shd w:val="clear" w:color="auto" w:fill="C0C0C0"/>
        </w:rPr>
        <w:t>1</w:t>
      </w:r>
      <w:r w:rsidR="00693AB2">
        <w:rPr>
          <w:sz w:val="22"/>
          <w:szCs w:val="22"/>
          <w:shd w:val="clear" w:color="auto" w:fill="C0C0C0"/>
        </w:rPr>
        <w:t> </w:t>
      </w:r>
      <w:r w:rsidRPr="00FE7B05">
        <w:rPr>
          <w:sz w:val="22"/>
          <w:szCs w:val="22"/>
          <w:shd w:val="clear" w:color="auto" w:fill="C0C0C0"/>
        </w:rPr>
        <w:t xml:space="preserve">užpildytas švirkštas + 2 </w:t>
      </w:r>
      <w:r w:rsidRPr="009F5F39">
        <w:rPr>
          <w:sz w:val="22"/>
          <w:szCs w:val="22"/>
          <w:shd w:val="clear" w:color="auto" w:fill="C0C0C0"/>
        </w:rPr>
        <w:t>adatos</w:t>
      </w:r>
    </w:p>
    <w:p w14:paraId="0D0A6E40" w14:textId="6E268901" w:rsidR="00F50FC7" w:rsidRPr="001958A1" w:rsidRDefault="00F50FC7" w:rsidP="00F50FC7">
      <w:pPr>
        <w:pStyle w:val="Pagrindinistekstas"/>
        <w:spacing w:after="0"/>
        <w:rPr>
          <w:sz w:val="22"/>
          <w:szCs w:val="22"/>
        </w:rPr>
      </w:pPr>
      <w:r w:rsidRPr="00FE7B05">
        <w:rPr>
          <w:sz w:val="22"/>
          <w:szCs w:val="22"/>
          <w:shd w:val="clear" w:color="auto" w:fill="C0C0C0"/>
        </w:rPr>
        <w:t>1</w:t>
      </w:r>
      <w:r w:rsidR="00693AB2">
        <w:rPr>
          <w:sz w:val="22"/>
          <w:szCs w:val="22"/>
          <w:shd w:val="clear" w:color="auto" w:fill="C0C0C0"/>
        </w:rPr>
        <w:t> </w:t>
      </w:r>
      <w:r w:rsidRPr="00FE7B05">
        <w:rPr>
          <w:sz w:val="22"/>
          <w:szCs w:val="22"/>
          <w:shd w:val="clear" w:color="auto" w:fill="C0C0C0"/>
        </w:rPr>
        <w:t>dozė (0,5 ml)</w:t>
      </w:r>
    </w:p>
    <w:p w14:paraId="6434545B" w14:textId="77777777" w:rsidR="00F50FC7" w:rsidRPr="00FE7B05" w:rsidRDefault="00F50FC7" w:rsidP="00F50FC7">
      <w:pPr>
        <w:pStyle w:val="Pagrindinistekstas"/>
        <w:spacing w:after="0"/>
        <w:rPr>
          <w:sz w:val="22"/>
          <w:szCs w:val="22"/>
          <w:shd w:val="clear" w:color="auto" w:fill="C0C0C0"/>
        </w:rPr>
      </w:pPr>
    </w:p>
    <w:p w14:paraId="46950F5C" w14:textId="5762D3BD" w:rsidR="00F50FC7" w:rsidRPr="001958A1" w:rsidRDefault="00F50FC7" w:rsidP="00F50FC7">
      <w:pPr>
        <w:pStyle w:val="Pagrindinistekstas"/>
        <w:spacing w:after="0"/>
        <w:rPr>
          <w:sz w:val="22"/>
          <w:szCs w:val="22"/>
        </w:rPr>
      </w:pPr>
      <w:r w:rsidRPr="00FE7B05">
        <w:rPr>
          <w:sz w:val="22"/>
          <w:szCs w:val="22"/>
          <w:shd w:val="clear" w:color="auto" w:fill="C0C0C0"/>
        </w:rPr>
        <w:t>10</w:t>
      </w:r>
      <w:r w:rsidR="00693AB2">
        <w:rPr>
          <w:sz w:val="22"/>
          <w:szCs w:val="22"/>
          <w:shd w:val="clear" w:color="auto" w:fill="C0C0C0"/>
        </w:rPr>
        <w:t> </w:t>
      </w:r>
      <w:r w:rsidRPr="00FE7B05">
        <w:rPr>
          <w:sz w:val="22"/>
          <w:szCs w:val="22"/>
          <w:shd w:val="clear" w:color="auto" w:fill="C0C0C0"/>
        </w:rPr>
        <w:t xml:space="preserve">užpildytų švirkštų </w:t>
      </w:r>
    </w:p>
    <w:p w14:paraId="5F7B1044" w14:textId="1523E55D" w:rsidR="00F50FC7" w:rsidRPr="001958A1" w:rsidRDefault="00F50FC7" w:rsidP="00F50FC7">
      <w:pPr>
        <w:pStyle w:val="Pagrindinistekstas"/>
        <w:spacing w:after="0"/>
        <w:rPr>
          <w:sz w:val="22"/>
          <w:szCs w:val="22"/>
        </w:rPr>
      </w:pPr>
      <w:r w:rsidRPr="00FE7B05">
        <w:rPr>
          <w:sz w:val="22"/>
          <w:szCs w:val="22"/>
          <w:shd w:val="clear" w:color="auto" w:fill="C0C0C0"/>
        </w:rPr>
        <w:t>10</w:t>
      </w:r>
      <w:r w:rsidR="00693AB2">
        <w:rPr>
          <w:sz w:val="22"/>
          <w:szCs w:val="22"/>
          <w:shd w:val="clear" w:color="auto" w:fill="C0C0C0"/>
        </w:rPr>
        <w:t> </w:t>
      </w:r>
      <w:r w:rsidRPr="00FE7B05">
        <w:rPr>
          <w:sz w:val="22"/>
          <w:szCs w:val="22"/>
          <w:shd w:val="clear" w:color="auto" w:fill="C0C0C0"/>
        </w:rPr>
        <w:t>x 1</w:t>
      </w:r>
      <w:r w:rsidR="00693AB2">
        <w:rPr>
          <w:sz w:val="22"/>
          <w:szCs w:val="22"/>
          <w:shd w:val="clear" w:color="auto" w:fill="C0C0C0"/>
        </w:rPr>
        <w:t> </w:t>
      </w:r>
      <w:r w:rsidRPr="00FE7B05">
        <w:rPr>
          <w:sz w:val="22"/>
          <w:szCs w:val="22"/>
          <w:shd w:val="clear" w:color="auto" w:fill="C0C0C0"/>
        </w:rPr>
        <w:t>dozė (0,5 ml)</w:t>
      </w:r>
    </w:p>
    <w:p w14:paraId="0F2BE45C" w14:textId="77777777" w:rsidR="00F50FC7" w:rsidRPr="00FE7B05" w:rsidRDefault="00F50FC7" w:rsidP="00F50FC7">
      <w:pPr>
        <w:pStyle w:val="Pagrindinistekstas"/>
        <w:spacing w:after="0"/>
        <w:rPr>
          <w:sz w:val="22"/>
          <w:szCs w:val="22"/>
          <w:shd w:val="clear" w:color="auto" w:fill="C0C0C0"/>
        </w:rPr>
      </w:pPr>
    </w:p>
    <w:p w14:paraId="21E4673A" w14:textId="1D22E6D8" w:rsidR="00F50FC7" w:rsidRPr="00FE7B05" w:rsidRDefault="00F50FC7" w:rsidP="00F50FC7">
      <w:pPr>
        <w:pStyle w:val="Pagrindinistekstas"/>
        <w:spacing w:after="0"/>
        <w:rPr>
          <w:sz w:val="22"/>
          <w:szCs w:val="22"/>
          <w:shd w:val="clear" w:color="auto" w:fill="C0C0C0"/>
        </w:rPr>
      </w:pPr>
      <w:r w:rsidRPr="00FE7B05">
        <w:rPr>
          <w:sz w:val="22"/>
          <w:szCs w:val="22"/>
          <w:shd w:val="clear" w:color="auto" w:fill="C0C0C0"/>
        </w:rPr>
        <w:t>10</w:t>
      </w:r>
      <w:r w:rsidR="00693AB2">
        <w:rPr>
          <w:sz w:val="22"/>
          <w:szCs w:val="22"/>
          <w:shd w:val="clear" w:color="auto" w:fill="C0C0C0"/>
        </w:rPr>
        <w:t> </w:t>
      </w:r>
      <w:r w:rsidRPr="00FE7B05">
        <w:rPr>
          <w:sz w:val="22"/>
          <w:szCs w:val="22"/>
          <w:shd w:val="clear" w:color="auto" w:fill="C0C0C0"/>
        </w:rPr>
        <w:t>užpildytų švirkštų + 10 adatų</w:t>
      </w:r>
    </w:p>
    <w:p w14:paraId="5258F2B0" w14:textId="6E16415C" w:rsidR="00F50FC7" w:rsidRPr="001958A1" w:rsidRDefault="00F50FC7" w:rsidP="00F50FC7">
      <w:pPr>
        <w:pStyle w:val="Pagrindinistekstas"/>
        <w:spacing w:after="0"/>
        <w:rPr>
          <w:sz w:val="22"/>
          <w:szCs w:val="22"/>
        </w:rPr>
      </w:pPr>
      <w:r w:rsidRPr="00FE7B05">
        <w:rPr>
          <w:sz w:val="22"/>
          <w:szCs w:val="22"/>
          <w:shd w:val="clear" w:color="auto" w:fill="C0C0C0"/>
        </w:rPr>
        <w:t>10</w:t>
      </w:r>
      <w:r w:rsidR="00693AB2">
        <w:rPr>
          <w:sz w:val="22"/>
          <w:szCs w:val="22"/>
          <w:shd w:val="clear" w:color="auto" w:fill="C0C0C0"/>
        </w:rPr>
        <w:t> </w:t>
      </w:r>
      <w:r w:rsidRPr="00FE7B05">
        <w:rPr>
          <w:sz w:val="22"/>
          <w:szCs w:val="22"/>
          <w:shd w:val="clear" w:color="auto" w:fill="C0C0C0"/>
        </w:rPr>
        <w:t>x 1</w:t>
      </w:r>
      <w:r w:rsidR="00693AB2">
        <w:rPr>
          <w:sz w:val="22"/>
          <w:szCs w:val="22"/>
          <w:shd w:val="clear" w:color="auto" w:fill="C0C0C0"/>
        </w:rPr>
        <w:t> </w:t>
      </w:r>
      <w:r w:rsidRPr="00FE7B05">
        <w:rPr>
          <w:sz w:val="22"/>
          <w:szCs w:val="22"/>
          <w:shd w:val="clear" w:color="auto" w:fill="C0C0C0"/>
        </w:rPr>
        <w:t>dozė (0,5 ml)</w:t>
      </w:r>
    </w:p>
    <w:p w14:paraId="396322E1" w14:textId="77777777" w:rsidR="00F50FC7" w:rsidRPr="00FE7B05" w:rsidRDefault="00F50FC7" w:rsidP="00F50FC7">
      <w:pPr>
        <w:pStyle w:val="Pagrindinistekstas"/>
        <w:spacing w:after="0"/>
        <w:rPr>
          <w:sz w:val="22"/>
          <w:szCs w:val="22"/>
          <w:shd w:val="clear" w:color="auto" w:fill="C0C0C0"/>
        </w:rPr>
      </w:pPr>
    </w:p>
    <w:p w14:paraId="2B3DDC85" w14:textId="66D66B31" w:rsidR="00F50FC7" w:rsidRPr="001958A1" w:rsidRDefault="00F50FC7" w:rsidP="00F50FC7">
      <w:pPr>
        <w:pStyle w:val="Pagrindinistekstas"/>
        <w:spacing w:after="0"/>
        <w:rPr>
          <w:sz w:val="22"/>
          <w:szCs w:val="22"/>
        </w:rPr>
      </w:pPr>
      <w:r w:rsidRPr="00FE7B05">
        <w:rPr>
          <w:sz w:val="22"/>
          <w:szCs w:val="22"/>
          <w:shd w:val="clear" w:color="auto" w:fill="C0C0C0"/>
        </w:rPr>
        <w:t>10</w:t>
      </w:r>
      <w:r w:rsidR="00693AB2">
        <w:rPr>
          <w:sz w:val="22"/>
          <w:szCs w:val="22"/>
          <w:shd w:val="clear" w:color="auto" w:fill="C0C0C0"/>
        </w:rPr>
        <w:t> </w:t>
      </w:r>
      <w:r w:rsidRPr="00FE7B05">
        <w:rPr>
          <w:sz w:val="22"/>
          <w:szCs w:val="22"/>
          <w:shd w:val="clear" w:color="auto" w:fill="C0C0C0"/>
        </w:rPr>
        <w:t>užpildytų švirkštų + 20 adatų</w:t>
      </w:r>
    </w:p>
    <w:p w14:paraId="7F41986E" w14:textId="7A29466A" w:rsidR="00F50FC7" w:rsidRPr="001958A1" w:rsidRDefault="00F50FC7" w:rsidP="00F50FC7">
      <w:pPr>
        <w:pStyle w:val="Pagrindinistekstas"/>
        <w:spacing w:after="0"/>
        <w:rPr>
          <w:sz w:val="22"/>
          <w:szCs w:val="22"/>
        </w:rPr>
      </w:pPr>
      <w:r w:rsidRPr="00FE7B05">
        <w:rPr>
          <w:sz w:val="22"/>
          <w:szCs w:val="22"/>
          <w:shd w:val="clear" w:color="auto" w:fill="C0C0C0"/>
        </w:rPr>
        <w:lastRenderedPageBreak/>
        <w:t>10</w:t>
      </w:r>
      <w:r w:rsidR="00693AB2">
        <w:rPr>
          <w:sz w:val="22"/>
          <w:szCs w:val="22"/>
          <w:shd w:val="clear" w:color="auto" w:fill="C0C0C0"/>
        </w:rPr>
        <w:t> </w:t>
      </w:r>
      <w:r w:rsidRPr="00FE7B05">
        <w:rPr>
          <w:sz w:val="22"/>
          <w:szCs w:val="22"/>
          <w:shd w:val="clear" w:color="auto" w:fill="C0C0C0"/>
        </w:rPr>
        <w:t>x 1</w:t>
      </w:r>
      <w:r w:rsidR="00693AB2">
        <w:rPr>
          <w:sz w:val="22"/>
          <w:szCs w:val="22"/>
          <w:shd w:val="clear" w:color="auto" w:fill="C0C0C0"/>
        </w:rPr>
        <w:t> </w:t>
      </w:r>
      <w:r w:rsidRPr="00FE7B05">
        <w:rPr>
          <w:sz w:val="22"/>
          <w:szCs w:val="22"/>
          <w:shd w:val="clear" w:color="auto" w:fill="C0C0C0"/>
        </w:rPr>
        <w:t>dozė (0,5 ml)</w:t>
      </w:r>
    </w:p>
    <w:p w14:paraId="7F357BA0" w14:textId="77777777" w:rsidR="00F50FC7" w:rsidRPr="001958A1" w:rsidRDefault="00F50FC7" w:rsidP="00F50FC7">
      <w:pPr>
        <w:pStyle w:val="Pagrindinistekstas"/>
        <w:spacing w:after="0"/>
        <w:rPr>
          <w:sz w:val="22"/>
          <w:szCs w:val="22"/>
          <w:shd w:val="clear" w:color="auto" w:fill="C0C0C0"/>
        </w:rPr>
      </w:pPr>
    </w:p>
    <w:p w14:paraId="41D4AC06" w14:textId="77777777" w:rsidR="00F50FC7" w:rsidRPr="001958A1" w:rsidRDefault="00F50FC7" w:rsidP="00F50FC7">
      <w:pPr>
        <w:pStyle w:val="Pagrindinistekstas"/>
        <w:spacing w:after="0"/>
        <w:rPr>
          <w:sz w:val="22"/>
          <w:szCs w:val="22"/>
        </w:rPr>
      </w:pPr>
    </w:p>
    <w:p w14:paraId="16D8489C" w14:textId="77777777" w:rsidR="00F50FC7" w:rsidRPr="001958A1" w:rsidRDefault="00F50FC7" w:rsidP="00F50FC7">
      <w:pPr>
        <w:pStyle w:val="PI-1labEMEASMCA"/>
        <w:rPr>
          <w:sz w:val="22"/>
          <w:szCs w:val="22"/>
        </w:rPr>
      </w:pPr>
      <w:r w:rsidRPr="001958A1">
        <w:rPr>
          <w:sz w:val="22"/>
          <w:szCs w:val="22"/>
        </w:rPr>
        <w:t>5.</w:t>
      </w:r>
      <w:r w:rsidRPr="001958A1">
        <w:rPr>
          <w:sz w:val="22"/>
          <w:szCs w:val="22"/>
        </w:rPr>
        <w:tab/>
        <w:t>VARTOJIMO METODAS IR BŪDAS (-AI)</w:t>
      </w:r>
    </w:p>
    <w:p w14:paraId="026647C4" w14:textId="77777777" w:rsidR="00F50FC7" w:rsidRPr="001958A1" w:rsidRDefault="00F50FC7" w:rsidP="00F50FC7">
      <w:pPr>
        <w:pStyle w:val="Pagrindinistekstas"/>
        <w:spacing w:after="0"/>
        <w:rPr>
          <w:sz w:val="22"/>
          <w:szCs w:val="22"/>
        </w:rPr>
      </w:pPr>
    </w:p>
    <w:p w14:paraId="28DBDB6F" w14:textId="77777777" w:rsidR="00F50FC7" w:rsidRPr="001958A1" w:rsidRDefault="00F50FC7" w:rsidP="00F50FC7">
      <w:pPr>
        <w:pStyle w:val="Pagrindinistekstas"/>
        <w:spacing w:after="0"/>
        <w:rPr>
          <w:sz w:val="22"/>
          <w:szCs w:val="22"/>
        </w:rPr>
      </w:pPr>
      <w:r w:rsidRPr="00FE7B05">
        <w:rPr>
          <w:sz w:val="22"/>
          <w:szCs w:val="22"/>
        </w:rPr>
        <w:t>Prieš vartojimą perskaitykite pakuotės lapelį.</w:t>
      </w:r>
    </w:p>
    <w:p w14:paraId="157DF1C5" w14:textId="77777777" w:rsidR="00F50FC7" w:rsidRPr="00FE7B05" w:rsidRDefault="00F50FC7" w:rsidP="00F50FC7">
      <w:pPr>
        <w:pStyle w:val="Pagrindinistekstas"/>
        <w:spacing w:after="0"/>
        <w:rPr>
          <w:sz w:val="22"/>
          <w:szCs w:val="22"/>
        </w:rPr>
      </w:pPr>
      <w:r w:rsidRPr="00FE7B05">
        <w:rPr>
          <w:sz w:val="22"/>
          <w:szCs w:val="22"/>
        </w:rPr>
        <w:t>Leisti į raumenis.</w:t>
      </w:r>
    </w:p>
    <w:p w14:paraId="1BB0BEC7" w14:textId="77777777" w:rsidR="00F50FC7" w:rsidRPr="00FE7B05" w:rsidRDefault="00F50FC7" w:rsidP="00F50FC7">
      <w:pPr>
        <w:pStyle w:val="Pagrindinistekstas"/>
        <w:spacing w:after="0"/>
        <w:rPr>
          <w:sz w:val="22"/>
          <w:szCs w:val="22"/>
        </w:rPr>
      </w:pPr>
      <w:r w:rsidRPr="00FE7B05">
        <w:rPr>
          <w:sz w:val="22"/>
          <w:szCs w:val="22"/>
        </w:rPr>
        <w:t>Prieš vartojimą gerai suplakti.</w:t>
      </w:r>
    </w:p>
    <w:p w14:paraId="66939236" w14:textId="77777777" w:rsidR="00F50FC7" w:rsidRPr="001958A1" w:rsidRDefault="00F50FC7" w:rsidP="00F50FC7">
      <w:pPr>
        <w:pStyle w:val="Pagrindinistekstas"/>
        <w:spacing w:after="0"/>
        <w:rPr>
          <w:sz w:val="22"/>
          <w:szCs w:val="22"/>
        </w:rPr>
      </w:pPr>
    </w:p>
    <w:p w14:paraId="465D0B1E" w14:textId="77777777" w:rsidR="00F50FC7" w:rsidRPr="001958A1" w:rsidRDefault="00F50FC7" w:rsidP="00F50FC7">
      <w:pPr>
        <w:pStyle w:val="Pagrindinistekstas"/>
        <w:spacing w:after="0"/>
        <w:rPr>
          <w:sz w:val="22"/>
          <w:szCs w:val="22"/>
        </w:rPr>
      </w:pPr>
    </w:p>
    <w:p w14:paraId="7A804E25" w14:textId="77777777" w:rsidR="00F50FC7" w:rsidRPr="001958A1" w:rsidRDefault="00F50FC7" w:rsidP="00F50FC7">
      <w:pPr>
        <w:pStyle w:val="PI-1labEMEASMCA"/>
        <w:rPr>
          <w:sz w:val="22"/>
          <w:szCs w:val="22"/>
        </w:rPr>
      </w:pPr>
      <w:r w:rsidRPr="001958A1">
        <w:rPr>
          <w:sz w:val="22"/>
          <w:szCs w:val="22"/>
        </w:rPr>
        <w:t>6.</w:t>
      </w:r>
      <w:r w:rsidRPr="001958A1">
        <w:rPr>
          <w:sz w:val="22"/>
          <w:szCs w:val="22"/>
        </w:rPr>
        <w:tab/>
        <w:t>SPECIALUS ĮSPĖJIMAS, KAD VAISTINĮ PREPARATĄ BŪTINA LAIKYTI VAIKAMS NEPASTEBIMOJE IR NEPASIEKIAMOJE VIETOJE</w:t>
      </w:r>
    </w:p>
    <w:p w14:paraId="2742CFE3" w14:textId="77777777" w:rsidR="00F50FC7" w:rsidRPr="001958A1" w:rsidRDefault="00F50FC7" w:rsidP="00F50FC7">
      <w:pPr>
        <w:pStyle w:val="Pagrindinistekstas"/>
        <w:spacing w:after="0"/>
        <w:rPr>
          <w:sz w:val="22"/>
          <w:szCs w:val="22"/>
        </w:rPr>
      </w:pPr>
    </w:p>
    <w:p w14:paraId="492E076A" w14:textId="77777777" w:rsidR="00F50FC7" w:rsidRPr="001958A1" w:rsidRDefault="00F50FC7" w:rsidP="00F50FC7">
      <w:pPr>
        <w:pStyle w:val="Pagrindinistekstas"/>
        <w:spacing w:after="0"/>
        <w:rPr>
          <w:sz w:val="22"/>
          <w:szCs w:val="22"/>
        </w:rPr>
      </w:pPr>
      <w:r w:rsidRPr="00FE7B05">
        <w:rPr>
          <w:sz w:val="22"/>
          <w:szCs w:val="22"/>
        </w:rPr>
        <w:t>Laikyti vaikams nepastebimoje ir nepasiekiamoje vietoje.</w:t>
      </w:r>
    </w:p>
    <w:p w14:paraId="05DF4015" w14:textId="77777777" w:rsidR="00F50FC7" w:rsidRPr="001958A1" w:rsidRDefault="00F50FC7" w:rsidP="00F50FC7">
      <w:pPr>
        <w:pStyle w:val="Pagrindinistekstas"/>
        <w:spacing w:after="0"/>
        <w:rPr>
          <w:sz w:val="22"/>
          <w:szCs w:val="22"/>
        </w:rPr>
      </w:pPr>
    </w:p>
    <w:p w14:paraId="60AA1F8C" w14:textId="77777777" w:rsidR="00F50FC7" w:rsidRPr="001958A1" w:rsidRDefault="00F50FC7" w:rsidP="00F50FC7">
      <w:pPr>
        <w:pStyle w:val="Pagrindinistekstas"/>
        <w:spacing w:after="0"/>
        <w:rPr>
          <w:sz w:val="22"/>
          <w:szCs w:val="22"/>
        </w:rPr>
      </w:pPr>
    </w:p>
    <w:p w14:paraId="7989275B" w14:textId="77777777" w:rsidR="00F50FC7" w:rsidRPr="001958A1" w:rsidRDefault="00F50FC7" w:rsidP="00F50FC7">
      <w:pPr>
        <w:pStyle w:val="PI-1labEMEASMCA"/>
        <w:rPr>
          <w:sz w:val="22"/>
          <w:szCs w:val="22"/>
        </w:rPr>
      </w:pPr>
      <w:r w:rsidRPr="001958A1">
        <w:rPr>
          <w:sz w:val="22"/>
          <w:szCs w:val="22"/>
        </w:rPr>
        <w:t>7.</w:t>
      </w:r>
      <w:r w:rsidRPr="001958A1">
        <w:rPr>
          <w:sz w:val="22"/>
          <w:szCs w:val="22"/>
        </w:rPr>
        <w:tab/>
        <w:t>KITAS (-I) SPECIALUS (-ŪS) ĮSPĖJIMAS (-AI) (JEI REIKIA)</w:t>
      </w:r>
    </w:p>
    <w:p w14:paraId="1DB7C4AC" w14:textId="77777777" w:rsidR="00F50FC7" w:rsidRPr="001958A1" w:rsidRDefault="00F50FC7" w:rsidP="00F50FC7">
      <w:pPr>
        <w:pStyle w:val="Pagrindinistekstas"/>
        <w:spacing w:after="0"/>
        <w:rPr>
          <w:sz w:val="22"/>
          <w:szCs w:val="22"/>
        </w:rPr>
      </w:pPr>
    </w:p>
    <w:p w14:paraId="2E00C2A4" w14:textId="77777777" w:rsidR="00F50FC7" w:rsidRPr="001958A1" w:rsidRDefault="00F50FC7" w:rsidP="00F50FC7">
      <w:pPr>
        <w:pStyle w:val="Pagrindinistekstas"/>
        <w:spacing w:after="0"/>
        <w:rPr>
          <w:sz w:val="22"/>
          <w:szCs w:val="22"/>
        </w:rPr>
      </w:pPr>
    </w:p>
    <w:p w14:paraId="6E37E458" w14:textId="77777777" w:rsidR="00F50FC7" w:rsidRPr="001958A1" w:rsidRDefault="00F50FC7" w:rsidP="00F50FC7">
      <w:pPr>
        <w:pStyle w:val="PI-1labEMEASMCA"/>
        <w:rPr>
          <w:sz w:val="22"/>
          <w:szCs w:val="22"/>
        </w:rPr>
      </w:pPr>
      <w:r w:rsidRPr="001958A1">
        <w:rPr>
          <w:sz w:val="22"/>
          <w:szCs w:val="22"/>
        </w:rPr>
        <w:t>8.</w:t>
      </w:r>
      <w:r w:rsidRPr="001958A1">
        <w:rPr>
          <w:sz w:val="22"/>
          <w:szCs w:val="22"/>
        </w:rPr>
        <w:tab/>
        <w:t>TINKAMUMO LAIKAS</w:t>
      </w:r>
    </w:p>
    <w:p w14:paraId="713FEAD8" w14:textId="77777777" w:rsidR="00F50FC7" w:rsidRPr="001958A1" w:rsidRDefault="00F50FC7" w:rsidP="00F50FC7">
      <w:pPr>
        <w:pStyle w:val="Pagrindinistekstas"/>
        <w:spacing w:after="0"/>
        <w:rPr>
          <w:sz w:val="22"/>
          <w:szCs w:val="22"/>
        </w:rPr>
      </w:pPr>
    </w:p>
    <w:p w14:paraId="3C214972" w14:textId="77777777" w:rsidR="00F50FC7" w:rsidRDefault="00F50FC7" w:rsidP="00F50FC7">
      <w:pPr>
        <w:pStyle w:val="Pagrindinistekstas"/>
        <w:spacing w:after="0"/>
        <w:rPr>
          <w:sz w:val="22"/>
          <w:szCs w:val="22"/>
        </w:rPr>
      </w:pPr>
      <w:r w:rsidRPr="003E0985">
        <w:rPr>
          <w:sz w:val="22"/>
          <w:szCs w:val="22"/>
          <w:highlight w:val="lightGray"/>
        </w:rPr>
        <w:t>Tinka iki {mm-MMMM}</w:t>
      </w:r>
    </w:p>
    <w:p w14:paraId="640B6052" w14:textId="77777777" w:rsidR="00F50FC7" w:rsidRPr="00FE7B05" w:rsidRDefault="00F50FC7" w:rsidP="00F50FC7">
      <w:pPr>
        <w:pStyle w:val="Pagrindinistekstas"/>
        <w:spacing w:after="0"/>
        <w:rPr>
          <w:sz w:val="22"/>
          <w:szCs w:val="22"/>
        </w:rPr>
      </w:pPr>
      <w:r>
        <w:rPr>
          <w:sz w:val="22"/>
          <w:szCs w:val="22"/>
        </w:rPr>
        <w:t xml:space="preserve">EXP </w:t>
      </w:r>
      <w:r w:rsidRPr="00FE7B05">
        <w:rPr>
          <w:sz w:val="22"/>
          <w:szCs w:val="22"/>
        </w:rPr>
        <w:t>{mm-MMMM}</w:t>
      </w:r>
    </w:p>
    <w:p w14:paraId="237B15B0" w14:textId="77777777" w:rsidR="00F50FC7" w:rsidRPr="001958A1" w:rsidRDefault="00F50FC7" w:rsidP="00F50FC7">
      <w:pPr>
        <w:pStyle w:val="Pagrindinistekstas"/>
        <w:spacing w:after="0"/>
        <w:rPr>
          <w:sz w:val="22"/>
          <w:szCs w:val="22"/>
        </w:rPr>
      </w:pPr>
    </w:p>
    <w:p w14:paraId="43FBC9FE" w14:textId="77777777" w:rsidR="00F50FC7" w:rsidRPr="001958A1" w:rsidRDefault="00F50FC7" w:rsidP="00F50FC7">
      <w:pPr>
        <w:pStyle w:val="Pagrindinistekstas"/>
        <w:spacing w:after="0"/>
        <w:rPr>
          <w:sz w:val="22"/>
          <w:szCs w:val="22"/>
        </w:rPr>
      </w:pPr>
    </w:p>
    <w:p w14:paraId="2D80F2EF" w14:textId="77777777" w:rsidR="00F50FC7" w:rsidRPr="001958A1" w:rsidRDefault="00F50FC7" w:rsidP="00F50FC7">
      <w:pPr>
        <w:pStyle w:val="PI-1labEMEASMCA"/>
        <w:rPr>
          <w:sz w:val="22"/>
          <w:szCs w:val="22"/>
        </w:rPr>
      </w:pPr>
      <w:r w:rsidRPr="001958A1">
        <w:rPr>
          <w:sz w:val="22"/>
          <w:szCs w:val="22"/>
        </w:rPr>
        <w:t>9.</w:t>
      </w:r>
      <w:r w:rsidRPr="001958A1">
        <w:rPr>
          <w:sz w:val="22"/>
          <w:szCs w:val="22"/>
        </w:rPr>
        <w:tab/>
        <w:t>SPECIALIOS LAIKYMO SĄLYGOS</w:t>
      </w:r>
    </w:p>
    <w:p w14:paraId="46F4969C" w14:textId="77777777" w:rsidR="00F50FC7" w:rsidRPr="001958A1" w:rsidRDefault="00F50FC7" w:rsidP="00F50FC7">
      <w:pPr>
        <w:pStyle w:val="Pagrindinistekstas"/>
        <w:spacing w:after="0"/>
        <w:rPr>
          <w:sz w:val="22"/>
          <w:szCs w:val="22"/>
        </w:rPr>
      </w:pPr>
    </w:p>
    <w:p w14:paraId="3042CC12" w14:textId="77777777" w:rsidR="00F50FC7" w:rsidRPr="001958A1" w:rsidRDefault="00F50FC7" w:rsidP="00F50FC7">
      <w:pPr>
        <w:pStyle w:val="Pagrindinistekstas"/>
        <w:spacing w:after="0"/>
        <w:rPr>
          <w:sz w:val="22"/>
          <w:szCs w:val="22"/>
        </w:rPr>
      </w:pPr>
      <w:r w:rsidRPr="00FE7B05">
        <w:rPr>
          <w:sz w:val="22"/>
          <w:szCs w:val="22"/>
        </w:rPr>
        <w:t>Laikyti šaldytuve.</w:t>
      </w:r>
    </w:p>
    <w:p w14:paraId="0D9B8983" w14:textId="77777777" w:rsidR="00F50FC7" w:rsidRPr="001958A1" w:rsidRDefault="00F50FC7" w:rsidP="00F50FC7">
      <w:pPr>
        <w:pStyle w:val="Pagrindinistekstas"/>
        <w:spacing w:after="0"/>
        <w:rPr>
          <w:sz w:val="22"/>
          <w:szCs w:val="22"/>
        </w:rPr>
      </w:pPr>
      <w:r w:rsidRPr="00FE7B05">
        <w:rPr>
          <w:sz w:val="22"/>
          <w:szCs w:val="22"/>
        </w:rPr>
        <w:t>Negalima užšaldyti</w:t>
      </w:r>
    </w:p>
    <w:p w14:paraId="22F71832" w14:textId="77777777" w:rsidR="00F50FC7" w:rsidRPr="001958A1" w:rsidRDefault="00F50FC7" w:rsidP="00F50FC7">
      <w:pPr>
        <w:pStyle w:val="Pagrindinistekstas"/>
        <w:spacing w:after="0"/>
        <w:rPr>
          <w:sz w:val="22"/>
          <w:szCs w:val="22"/>
        </w:rPr>
      </w:pPr>
      <w:r w:rsidRPr="00FE7B05">
        <w:rPr>
          <w:sz w:val="22"/>
          <w:szCs w:val="22"/>
        </w:rPr>
        <w:t>Laikyti gamintojo pakuotėje, kad vaistas</w:t>
      </w:r>
      <w:r w:rsidRPr="00A81A85">
        <w:rPr>
          <w:sz w:val="22"/>
          <w:szCs w:val="22"/>
        </w:rPr>
        <w:t xml:space="preserve"> būtų apsaugotas nuo šviesos.</w:t>
      </w:r>
    </w:p>
    <w:p w14:paraId="7C67F314" w14:textId="77777777" w:rsidR="00F50FC7" w:rsidRPr="00FE7B05" w:rsidRDefault="00F50FC7" w:rsidP="00F50FC7">
      <w:pPr>
        <w:pStyle w:val="Pagrindinistekstas"/>
        <w:spacing w:after="0"/>
        <w:rPr>
          <w:sz w:val="22"/>
          <w:szCs w:val="22"/>
        </w:rPr>
      </w:pPr>
    </w:p>
    <w:p w14:paraId="3AE539F5" w14:textId="77777777" w:rsidR="00F50FC7" w:rsidRPr="001958A1" w:rsidRDefault="00F50FC7" w:rsidP="00F50FC7">
      <w:pPr>
        <w:pStyle w:val="Pagrindinistekstas"/>
        <w:spacing w:after="0"/>
        <w:rPr>
          <w:sz w:val="22"/>
          <w:szCs w:val="22"/>
        </w:rPr>
      </w:pPr>
    </w:p>
    <w:p w14:paraId="06ED30DE" w14:textId="77777777" w:rsidR="00F50FC7" w:rsidRPr="001958A1" w:rsidRDefault="00F50FC7" w:rsidP="00F50FC7">
      <w:pPr>
        <w:pStyle w:val="PI-1labEMEASMCA"/>
        <w:rPr>
          <w:sz w:val="22"/>
          <w:szCs w:val="22"/>
        </w:rPr>
      </w:pPr>
      <w:r w:rsidRPr="001958A1">
        <w:rPr>
          <w:sz w:val="22"/>
          <w:szCs w:val="22"/>
        </w:rPr>
        <w:t>10.</w:t>
      </w:r>
      <w:r w:rsidRPr="001958A1">
        <w:rPr>
          <w:sz w:val="22"/>
          <w:szCs w:val="22"/>
        </w:rPr>
        <w:tab/>
        <w:t>SPECIALIOS ATSARGUMO PRIEMONĖS DĖL NESUVARTOTO VAISTINIO PREPARATO AR JO ATLIEKŲ TVARKYMO (JEI REIKIA)</w:t>
      </w:r>
    </w:p>
    <w:p w14:paraId="5478655A" w14:textId="77777777" w:rsidR="00F50FC7" w:rsidRPr="00FE7B05" w:rsidRDefault="00F50FC7" w:rsidP="00F50FC7">
      <w:pPr>
        <w:pStyle w:val="Pagrindinistekstas"/>
        <w:spacing w:after="0"/>
        <w:rPr>
          <w:sz w:val="22"/>
          <w:szCs w:val="22"/>
        </w:rPr>
      </w:pPr>
    </w:p>
    <w:p w14:paraId="29D50A15" w14:textId="77777777" w:rsidR="00F50FC7" w:rsidRPr="00FE7B05" w:rsidRDefault="00F50FC7" w:rsidP="00F50FC7">
      <w:pPr>
        <w:pStyle w:val="Pagrindinistekstas"/>
        <w:spacing w:after="0"/>
        <w:rPr>
          <w:noProof/>
          <w:sz w:val="22"/>
          <w:szCs w:val="22"/>
        </w:rPr>
      </w:pPr>
      <w:r w:rsidRPr="00FE7B05">
        <w:rPr>
          <w:noProof/>
          <w:sz w:val="22"/>
          <w:szCs w:val="22"/>
        </w:rPr>
        <w:t>Nesuvartotą vaistą ar atliekas reikia tvarkyti laikantis vietinių reikalavimų.</w:t>
      </w:r>
    </w:p>
    <w:p w14:paraId="6CF0A00B" w14:textId="77777777" w:rsidR="00F50FC7" w:rsidRPr="00FE7B05" w:rsidRDefault="00F50FC7" w:rsidP="00F50FC7">
      <w:pPr>
        <w:pStyle w:val="Pagrindinistekstas"/>
        <w:spacing w:after="0"/>
        <w:rPr>
          <w:sz w:val="22"/>
          <w:szCs w:val="22"/>
        </w:rPr>
      </w:pPr>
    </w:p>
    <w:p w14:paraId="6638ACB9" w14:textId="77777777" w:rsidR="00F50FC7" w:rsidRPr="001958A1" w:rsidRDefault="00F50FC7" w:rsidP="00F50FC7">
      <w:pPr>
        <w:pStyle w:val="Pagrindinistekstas"/>
        <w:spacing w:after="0"/>
        <w:rPr>
          <w:sz w:val="22"/>
          <w:szCs w:val="22"/>
        </w:rPr>
      </w:pPr>
    </w:p>
    <w:p w14:paraId="2747103F" w14:textId="77777777" w:rsidR="00F50FC7" w:rsidRPr="001958A1" w:rsidRDefault="00F50FC7" w:rsidP="00F50FC7">
      <w:pPr>
        <w:pStyle w:val="PI-1labEMEASMCA"/>
        <w:rPr>
          <w:sz w:val="22"/>
          <w:szCs w:val="22"/>
        </w:rPr>
      </w:pPr>
      <w:r w:rsidRPr="001958A1">
        <w:rPr>
          <w:sz w:val="22"/>
          <w:szCs w:val="22"/>
        </w:rPr>
        <w:t>11.</w:t>
      </w:r>
      <w:r w:rsidRPr="001958A1">
        <w:rPr>
          <w:sz w:val="22"/>
          <w:szCs w:val="22"/>
        </w:rPr>
        <w:tab/>
        <w:t>REGISTRUOTOJO PAVADINIMAS IR ADRESAS</w:t>
      </w:r>
    </w:p>
    <w:p w14:paraId="6C470EF6" w14:textId="77777777" w:rsidR="00F50FC7" w:rsidRPr="001958A1" w:rsidRDefault="00F50FC7" w:rsidP="00F50FC7">
      <w:pPr>
        <w:pStyle w:val="Pagrindinistekstas"/>
        <w:spacing w:after="0"/>
        <w:rPr>
          <w:sz w:val="22"/>
          <w:szCs w:val="22"/>
        </w:rPr>
      </w:pPr>
      <w:bookmarkStart w:id="64" w:name="_Hlk26028500"/>
    </w:p>
    <w:p w14:paraId="11BD742D" w14:textId="77777777" w:rsidR="005E4C18" w:rsidRPr="008232B3" w:rsidRDefault="005E4C18" w:rsidP="005E4C18">
      <w:pPr>
        <w:rPr>
          <w:color w:val="000000"/>
        </w:rPr>
      </w:pPr>
      <w:proofErr w:type="spellStart"/>
      <w:r w:rsidRPr="008232B3">
        <w:rPr>
          <w:color w:val="000000"/>
        </w:rPr>
        <w:t>GlaxoSmithKline</w:t>
      </w:r>
      <w:proofErr w:type="spellEnd"/>
      <w:r w:rsidRPr="008232B3">
        <w:rPr>
          <w:color w:val="000000"/>
        </w:rPr>
        <w:t xml:space="preserve"> </w:t>
      </w:r>
      <w:proofErr w:type="spellStart"/>
      <w:r w:rsidRPr="008232B3">
        <w:rPr>
          <w:color w:val="000000"/>
        </w:rPr>
        <w:t>Biologicals</w:t>
      </w:r>
      <w:proofErr w:type="spellEnd"/>
      <w:r w:rsidRPr="008232B3">
        <w:rPr>
          <w:color w:val="000000"/>
        </w:rPr>
        <w:t xml:space="preserve"> SA</w:t>
      </w:r>
    </w:p>
    <w:p w14:paraId="2C1EAD94" w14:textId="1C7F36F0" w:rsidR="005E4C18" w:rsidRPr="008232B3" w:rsidRDefault="005E4C18" w:rsidP="005E4C18">
      <w:pPr>
        <w:rPr>
          <w:color w:val="000000"/>
        </w:rPr>
      </w:pPr>
      <w:proofErr w:type="spellStart"/>
      <w:r w:rsidRPr="008232B3">
        <w:rPr>
          <w:color w:val="000000"/>
        </w:rPr>
        <w:t>Rue</w:t>
      </w:r>
      <w:proofErr w:type="spellEnd"/>
      <w:r w:rsidRPr="008232B3">
        <w:rPr>
          <w:color w:val="000000"/>
        </w:rPr>
        <w:t xml:space="preserve"> de </w:t>
      </w:r>
      <w:proofErr w:type="spellStart"/>
      <w:r w:rsidRPr="008232B3">
        <w:rPr>
          <w:color w:val="000000"/>
        </w:rPr>
        <w:t>l'Institut</w:t>
      </w:r>
      <w:proofErr w:type="spellEnd"/>
      <w:r w:rsidRPr="008232B3">
        <w:rPr>
          <w:color w:val="000000"/>
        </w:rPr>
        <w:t xml:space="preserve"> 89</w:t>
      </w:r>
    </w:p>
    <w:p w14:paraId="2FF5C854" w14:textId="77777777" w:rsidR="005E4C18" w:rsidRPr="008232B3" w:rsidRDefault="005E4C18" w:rsidP="005E4C18">
      <w:pPr>
        <w:rPr>
          <w:color w:val="000000"/>
        </w:rPr>
      </w:pPr>
      <w:r w:rsidRPr="008232B3">
        <w:rPr>
          <w:color w:val="000000"/>
        </w:rPr>
        <w:t xml:space="preserve">B-1330 </w:t>
      </w:r>
      <w:proofErr w:type="spellStart"/>
      <w:r w:rsidRPr="008232B3">
        <w:rPr>
          <w:color w:val="000000"/>
        </w:rPr>
        <w:t>Rixensart</w:t>
      </w:r>
      <w:proofErr w:type="spellEnd"/>
    </w:p>
    <w:p w14:paraId="24072B61" w14:textId="27369E61" w:rsidR="00F50FC7" w:rsidRPr="00FE7B05" w:rsidRDefault="005E4C18" w:rsidP="00F50FC7">
      <w:pPr>
        <w:autoSpaceDE w:val="0"/>
        <w:adjustRightInd w:val="0"/>
        <w:rPr>
          <w:szCs w:val="22"/>
          <w:lang w:eastAsia="lt-LT"/>
        </w:rPr>
      </w:pPr>
      <w:r w:rsidRPr="008232B3">
        <w:rPr>
          <w:color w:val="000000"/>
        </w:rPr>
        <w:t>Belgija</w:t>
      </w:r>
    </w:p>
    <w:bookmarkEnd w:id="64"/>
    <w:p w14:paraId="4217FCFB" w14:textId="77777777" w:rsidR="00F50FC7" w:rsidRPr="001958A1" w:rsidRDefault="00F50FC7" w:rsidP="00F50FC7">
      <w:pPr>
        <w:pStyle w:val="Pagrindinistekstas"/>
        <w:spacing w:after="0"/>
        <w:rPr>
          <w:sz w:val="22"/>
          <w:szCs w:val="22"/>
        </w:rPr>
      </w:pPr>
    </w:p>
    <w:p w14:paraId="2D5113BC" w14:textId="77777777" w:rsidR="00F50FC7" w:rsidRPr="00FE7B05" w:rsidRDefault="00F50FC7" w:rsidP="00F50FC7">
      <w:pPr>
        <w:pStyle w:val="Pagrindinistekstas"/>
        <w:spacing w:after="0"/>
        <w:rPr>
          <w:sz w:val="22"/>
          <w:szCs w:val="22"/>
        </w:rPr>
      </w:pPr>
    </w:p>
    <w:p w14:paraId="1A6ED204" w14:textId="77777777" w:rsidR="00F50FC7" w:rsidRPr="001958A1" w:rsidRDefault="00F50FC7" w:rsidP="00F50FC7">
      <w:pPr>
        <w:pStyle w:val="PI-1labEMEASMCA"/>
        <w:rPr>
          <w:sz w:val="22"/>
          <w:szCs w:val="22"/>
        </w:rPr>
      </w:pPr>
      <w:r w:rsidRPr="001958A1">
        <w:rPr>
          <w:sz w:val="22"/>
          <w:szCs w:val="22"/>
        </w:rPr>
        <w:t>12.</w:t>
      </w:r>
      <w:r w:rsidRPr="001958A1">
        <w:rPr>
          <w:sz w:val="22"/>
          <w:szCs w:val="22"/>
        </w:rPr>
        <w:tab/>
        <w:t xml:space="preserve">REGISTRACIJOS PAŽYMĖJIMO NUMERIS </w:t>
      </w:r>
    </w:p>
    <w:p w14:paraId="287B9834" w14:textId="77777777" w:rsidR="00F50FC7" w:rsidRDefault="00F50FC7" w:rsidP="00F50FC7">
      <w:pPr>
        <w:pStyle w:val="Pagrindinistekstas"/>
        <w:spacing w:after="0"/>
        <w:rPr>
          <w:sz w:val="22"/>
          <w:szCs w:val="22"/>
        </w:rPr>
      </w:pPr>
    </w:p>
    <w:p w14:paraId="288AD7F0" w14:textId="6974A34B" w:rsidR="00F50FC7" w:rsidRPr="00BB36BA" w:rsidRDefault="00F50FC7" w:rsidP="00F50FC7">
      <w:pPr>
        <w:rPr>
          <w:bCs/>
          <w:szCs w:val="22"/>
          <w:shd w:val="clear" w:color="auto" w:fill="D9D9D9" w:themeFill="background1" w:themeFillShade="D9"/>
        </w:rPr>
      </w:pPr>
      <w:r>
        <w:rPr>
          <w:bCs/>
          <w:szCs w:val="22"/>
        </w:rPr>
        <w:t>LT/1/19/4495/001</w:t>
      </w:r>
      <w:r w:rsidRPr="004C11A8">
        <w:rPr>
          <w:bCs/>
          <w:szCs w:val="22"/>
        </w:rPr>
        <w:t xml:space="preserve"> </w:t>
      </w:r>
      <w:r w:rsidRPr="00BB36BA">
        <w:rPr>
          <w:bCs/>
          <w:szCs w:val="22"/>
          <w:shd w:val="clear" w:color="auto" w:fill="D9D9D9" w:themeFill="background1" w:themeFillShade="D9"/>
        </w:rPr>
        <w:t>– 0,5 ml be adatos, N1</w:t>
      </w:r>
    </w:p>
    <w:p w14:paraId="718ACBE1" w14:textId="3AA9568D" w:rsidR="00F50FC7" w:rsidRPr="00BB36BA" w:rsidRDefault="00F50FC7" w:rsidP="00F50FC7">
      <w:pPr>
        <w:rPr>
          <w:bCs/>
          <w:szCs w:val="22"/>
          <w:shd w:val="clear" w:color="auto" w:fill="D9D9D9" w:themeFill="background1" w:themeFillShade="D9"/>
        </w:rPr>
      </w:pPr>
      <w:r w:rsidRPr="00BB36BA">
        <w:rPr>
          <w:bCs/>
          <w:szCs w:val="22"/>
          <w:shd w:val="clear" w:color="auto" w:fill="D9D9D9" w:themeFill="background1" w:themeFillShade="D9"/>
        </w:rPr>
        <w:t>LT/1/19/4495/002 – 0,5 ml be adatos, N10</w:t>
      </w:r>
    </w:p>
    <w:p w14:paraId="36D631F3" w14:textId="1F88EFCD" w:rsidR="00F50FC7" w:rsidRPr="00BB36BA" w:rsidRDefault="00F50FC7" w:rsidP="00F50FC7">
      <w:pPr>
        <w:rPr>
          <w:bCs/>
          <w:szCs w:val="22"/>
          <w:shd w:val="clear" w:color="auto" w:fill="D9D9D9" w:themeFill="background1" w:themeFillShade="D9"/>
        </w:rPr>
      </w:pPr>
      <w:r w:rsidRPr="00BB36BA">
        <w:rPr>
          <w:bCs/>
          <w:szCs w:val="22"/>
          <w:shd w:val="clear" w:color="auto" w:fill="D9D9D9" w:themeFill="background1" w:themeFillShade="D9"/>
        </w:rPr>
        <w:t>LT/1/19/4495/006 – 0,5 ml su adata, N1</w:t>
      </w:r>
    </w:p>
    <w:p w14:paraId="524716A9" w14:textId="636459EC" w:rsidR="00F50FC7" w:rsidRPr="00BB36BA" w:rsidRDefault="00F50FC7" w:rsidP="00F50FC7">
      <w:pPr>
        <w:rPr>
          <w:bCs/>
          <w:szCs w:val="22"/>
          <w:shd w:val="clear" w:color="auto" w:fill="D9D9D9" w:themeFill="background1" w:themeFillShade="D9"/>
        </w:rPr>
      </w:pPr>
      <w:r w:rsidRPr="00BB36BA">
        <w:rPr>
          <w:bCs/>
          <w:szCs w:val="22"/>
          <w:shd w:val="clear" w:color="auto" w:fill="D9D9D9" w:themeFill="background1" w:themeFillShade="D9"/>
        </w:rPr>
        <w:t>LT/1/19/4495/007 – 0,5 ml su adata, N10</w:t>
      </w:r>
    </w:p>
    <w:p w14:paraId="517A9B7F" w14:textId="0C8E54ED" w:rsidR="00F50FC7" w:rsidRPr="00BB36BA" w:rsidRDefault="00F50FC7" w:rsidP="00F50FC7">
      <w:pPr>
        <w:rPr>
          <w:bCs/>
          <w:szCs w:val="22"/>
          <w:shd w:val="clear" w:color="auto" w:fill="D9D9D9" w:themeFill="background1" w:themeFillShade="D9"/>
        </w:rPr>
      </w:pPr>
      <w:r w:rsidRPr="00BB36BA">
        <w:rPr>
          <w:bCs/>
          <w:szCs w:val="22"/>
          <w:shd w:val="clear" w:color="auto" w:fill="D9D9D9" w:themeFill="background1" w:themeFillShade="D9"/>
        </w:rPr>
        <w:t>LT/1/19/4495/011 – 0,5 ml su 2 adatomis, N1</w:t>
      </w:r>
    </w:p>
    <w:p w14:paraId="67AC2CED" w14:textId="4B5CC64A" w:rsidR="00F50FC7" w:rsidRPr="00BB36BA" w:rsidRDefault="00F50FC7" w:rsidP="00F50FC7">
      <w:pPr>
        <w:rPr>
          <w:bCs/>
          <w:szCs w:val="22"/>
          <w:shd w:val="clear" w:color="auto" w:fill="D9D9D9" w:themeFill="background1" w:themeFillShade="D9"/>
        </w:rPr>
      </w:pPr>
      <w:r w:rsidRPr="00BB36BA">
        <w:rPr>
          <w:bCs/>
          <w:szCs w:val="22"/>
          <w:shd w:val="clear" w:color="auto" w:fill="D9D9D9" w:themeFill="background1" w:themeFillShade="D9"/>
        </w:rPr>
        <w:t>LT/1/19/4495/012 – 0,5 ml su 2 adatomis, N10</w:t>
      </w:r>
    </w:p>
    <w:p w14:paraId="31EF72E0" w14:textId="77777777" w:rsidR="00F50FC7" w:rsidRPr="001958A1" w:rsidRDefault="00F50FC7" w:rsidP="00F50FC7">
      <w:pPr>
        <w:pStyle w:val="Pagrindinistekstas"/>
        <w:spacing w:after="0"/>
        <w:rPr>
          <w:sz w:val="22"/>
          <w:szCs w:val="22"/>
        </w:rPr>
      </w:pPr>
    </w:p>
    <w:p w14:paraId="4A16C780" w14:textId="77777777" w:rsidR="00F50FC7" w:rsidRPr="001958A1" w:rsidRDefault="00F50FC7" w:rsidP="00F50FC7">
      <w:pPr>
        <w:pStyle w:val="Pagrindinistekstas"/>
        <w:spacing w:after="0"/>
        <w:rPr>
          <w:sz w:val="22"/>
          <w:szCs w:val="22"/>
        </w:rPr>
      </w:pPr>
    </w:p>
    <w:p w14:paraId="66F06851" w14:textId="77777777" w:rsidR="00F50FC7" w:rsidRPr="001958A1" w:rsidRDefault="00F50FC7" w:rsidP="00F50FC7">
      <w:pPr>
        <w:pStyle w:val="PI-1labEMEASMCA"/>
        <w:rPr>
          <w:sz w:val="22"/>
          <w:szCs w:val="22"/>
        </w:rPr>
      </w:pPr>
      <w:r w:rsidRPr="001958A1">
        <w:rPr>
          <w:sz w:val="22"/>
          <w:szCs w:val="22"/>
        </w:rPr>
        <w:t>13.</w:t>
      </w:r>
      <w:r w:rsidRPr="001958A1">
        <w:rPr>
          <w:sz w:val="22"/>
          <w:szCs w:val="22"/>
        </w:rPr>
        <w:tab/>
        <w:t>SERIJOS NUMERIS</w:t>
      </w:r>
    </w:p>
    <w:p w14:paraId="2FDEDE11" w14:textId="77777777" w:rsidR="00F50FC7" w:rsidRPr="001958A1" w:rsidRDefault="00F50FC7" w:rsidP="00F50FC7">
      <w:pPr>
        <w:pStyle w:val="Pagrindinistekstas"/>
        <w:spacing w:after="0"/>
        <w:rPr>
          <w:sz w:val="22"/>
          <w:szCs w:val="22"/>
        </w:rPr>
      </w:pPr>
    </w:p>
    <w:p w14:paraId="13FA0892" w14:textId="77777777" w:rsidR="00F50FC7" w:rsidRDefault="00F50FC7" w:rsidP="00F50FC7">
      <w:pPr>
        <w:pStyle w:val="Pagrindinistekstas"/>
        <w:spacing w:after="0"/>
        <w:rPr>
          <w:sz w:val="22"/>
          <w:szCs w:val="22"/>
        </w:rPr>
      </w:pPr>
      <w:r w:rsidRPr="003E0985">
        <w:rPr>
          <w:sz w:val="22"/>
          <w:szCs w:val="22"/>
          <w:highlight w:val="lightGray"/>
        </w:rPr>
        <w:t>Serija</w:t>
      </w:r>
    </w:p>
    <w:p w14:paraId="7A278D12" w14:textId="77777777" w:rsidR="00F50FC7" w:rsidRPr="00FE7B05" w:rsidRDefault="00F50FC7" w:rsidP="00F50FC7">
      <w:pPr>
        <w:pStyle w:val="Pagrindinistekstas"/>
        <w:spacing w:after="0"/>
        <w:rPr>
          <w:sz w:val="22"/>
          <w:szCs w:val="22"/>
        </w:rPr>
      </w:pPr>
      <w:r>
        <w:rPr>
          <w:sz w:val="22"/>
          <w:szCs w:val="22"/>
        </w:rPr>
        <w:t>Lot</w:t>
      </w:r>
    </w:p>
    <w:p w14:paraId="5A5BE90B" w14:textId="77777777" w:rsidR="00F50FC7" w:rsidRPr="001958A1" w:rsidRDefault="00F50FC7" w:rsidP="00F50FC7">
      <w:pPr>
        <w:pStyle w:val="Pagrindinistekstas"/>
        <w:spacing w:after="0"/>
        <w:rPr>
          <w:sz w:val="22"/>
          <w:szCs w:val="22"/>
        </w:rPr>
      </w:pPr>
    </w:p>
    <w:p w14:paraId="13082E6E" w14:textId="77777777" w:rsidR="00F50FC7" w:rsidRPr="001958A1" w:rsidRDefault="00F50FC7" w:rsidP="00F50FC7">
      <w:pPr>
        <w:pStyle w:val="Pagrindinistekstas"/>
        <w:spacing w:after="0"/>
        <w:rPr>
          <w:sz w:val="22"/>
          <w:szCs w:val="22"/>
        </w:rPr>
      </w:pPr>
    </w:p>
    <w:p w14:paraId="3BE9E6DC" w14:textId="77777777" w:rsidR="00F50FC7" w:rsidRPr="001958A1" w:rsidRDefault="00F50FC7" w:rsidP="00F50FC7">
      <w:pPr>
        <w:pStyle w:val="PI-1labEMEASMCA"/>
        <w:rPr>
          <w:sz w:val="22"/>
          <w:szCs w:val="22"/>
        </w:rPr>
      </w:pPr>
      <w:r w:rsidRPr="001958A1">
        <w:rPr>
          <w:sz w:val="22"/>
          <w:szCs w:val="22"/>
        </w:rPr>
        <w:t>14.</w:t>
      </w:r>
      <w:r w:rsidRPr="001958A1">
        <w:rPr>
          <w:sz w:val="22"/>
          <w:szCs w:val="22"/>
        </w:rPr>
        <w:tab/>
        <w:t>PARDAVIMO (IŠDAVIMO) TVARKA</w:t>
      </w:r>
    </w:p>
    <w:p w14:paraId="174A68E8" w14:textId="77777777" w:rsidR="00F50FC7" w:rsidRPr="001958A1" w:rsidRDefault="00F50FC7" w:rsidP="00F50FC7">
      <w:pPr>
        <w:pStyle w:val="Pagrindinistekstas"/>
        <w:spacing w:after="0"/>
        <w:rPr>
          <w:sz w:val="22"/>
          <w:szCs w:val="22"/>
        </w:rPr>
      </w:pPr>
    </w:p>
    <w:p w14:paraId="1CA73DBD" w14:textId="77777777" w:rsidR="00F50FC7" w:rsidRPr="00E90E50" w:rsidRDefault="00F50FC7" w:rsidP="00F50FC7">
      <w:pPr>
        <w:pStyle w:val="Pagrindinistekstas"/>
        <w:spacing w:after="0"/>
        <w:rPr>
          <w:sz w:val="22"/>
        </w:rPr>
      </w:pPr>
      <w:r w:rsidRPr="00FE7B05">
        <w:rPr>
          <w:sz w:val="22"/>
          <w:szCs w:val="22"/>
        </w:rPr>
        <w:t xml:space="preserve">Receptinis </w:t>
      </w:r>
      <w:r w:rsidRPr="00E90E50">
        <w:rPr>
          <w:sz w:val="22"/>
        </w:rPr>
        <w:t>vaistas.</w:t>
      </w:r>
    </w:p>
    <w:p w14:paraId="56F82AA4" w14:textId="77777777" w:rsidR="00F50FC7" w:rsidRPr="001958A1" w:rsidRDefault="00F50FC7" w:rsidP="00F50FC7">
      <w:pPr>
        <w:pStyle w:val="Pagrindinistekstas"/>
        <w:spacing w:after="0"/>
        <w:rPr>
          <w:sz w:val="22"/>
          <w:szCs w:val="22"/>
        </w:rPr>
      </w:pPr>
    </w:p>
    <w:p w14:paraId="0988AB26" w14:textId="77777777" w:rsidR="00F50FC7" w:rsidRPr="001958A1" w:rsidRDefault="00F50FC7" w:rsidP="00F50FC7">
      <w:pPr>
        <w:pStyle w:val="Pagrindinistekstas"/>
        <w:spacing w:after="0"/>
        <w:rPr>
          <w:sz w:val="22"/>
          <w:szCs w:val="22"/>
        </w:rPr>
      </w:pPr>
    </w:p>
    <w:p w14:paraId="5B1A94EA" w14:textId="77777777" w:rsidR="00F50FC7" w:rsidRPr="001958A1" w:rsidRDefault="00F50FC7" w:rsidP="00F50FC7">
      <w:pPr>
        <w:pStyle w:val="PI-1labEMEASMCA"/>
        <w:rPr>
          <w:sz w:val="22"/>
          <w:szCs w:val="22"/>
        </w:rPr>
      </w:pPr>
      <w:r w:rsidRPr="001958A1">
        <w:rPr>
          <w:sz w:val="22"/>
          <w:szCs w:val="22"/>
        </w:rPr>
        <w:t>15.</w:t>
      </w:r>
      <w:r w:rsidRPr="001958A1">
        <w:rPr>
          <w:sz w:val="22"/>
          <w:szCs w:val="22"/>
        </w:rPr>
        <w:tab/>
        <w:t>VARTOJIMO INSTRUKCIJA</w:t>
      </w:r>
    </w:p>
    <w:p w14:paraId="25CFB31F" w14:textId="77777777" w:rsidR="00F50FC7" w:rsidRPr="00FE7B05" w:rsidRDefault="00F50FC7" w:rsidP="000B6C00">
      <w:pPr>
        <w:pStyle w:val="BTEMEASMCA"/>
      </w:pPr>
    </w:p>
    <w:p w14:paraId="2C176522" w14:textId="77777777" w:rsidR="00F50FC7" w:rsidRPr="00FE7B05" w:rsidRDefault="00F50FC7" w:rsidP="000B6C00">
      <w:pPr>
        <w:pStyle w:val="BTEMEASMCA"/>
      </w:pPr>
    </w:p>
    <w:p w14:paraId="188F9E06" w14:textId="77777777" w:rsidR="00F50FC7" w:rsidRPr="001958A1" w:rsidRDefault="00F50FC7" w:rsidP="00F50FC7">
      <w:pPr>
        <w:pStyle w:val="PI-1labEMEASMCA"/>
        <w:rPr>
          <w:sz w:val="22"/>
          <w:szCs w:val="22"/>
        </w:rPr>
      </w:pPr>
      <w:r w:rsidRPr="001958A1">
        <w:rPr>
          <w:sz w:val="22"/>
          <w:szCs w:val="22"/>
        </w:rPr>
        <w:t>16.</w:t>
      </w:r>
      <w:r w:rsidRPr="001958A1">
        <w:rPr>
          <w:sz w:val="22"/>
          <w:szCs w:val="22"/>
        </w:rPr>
        <w:tab/>
        <w:t>INFORMACIJA BRAILIO RAŠTU</w:t>
      </w:r>
    </w:p>
    <w:p w14:paraId="58AE0965" w14:textId="77777777" w:rsidR="00F50FC7" w:rsidRPr="00FE7B05" w:rsidRDefault="00F50FC7" w:rsidP="000B6C00">
      <w:pPr>
        <w:pStyle w:val="BTEMEASMCA"/>
      </w:pPr>
    </w:p>
    <w:p w14:paraId="27AB50E4" w14:textId="77777777" w:rsidR="00F50FC7" w:rsidRPr="009F5F39" w:rsidRDefault="00F50FC7" w:rsidP="00F50FC7">
      <w:pPr>
        <w:rPr>
          <w:szCs w:val="22"/>
        </w:rPr>
      </w:pPr>
      <w:r w:rsidRPr="00A81A85">
        <w:rPr>
          <w:szCs w:val="22"/>
          <w:shd w:val="clear" w:color="auto" w:fill="C0C0C0"/>
        </w:rPr>
        <w:t>Priimtas pagrindimas informacijos Brailio raštu nepateikti.</w:t>
      </w:r>
    </w:p>
    <w:p w14:paraId="724B1590" w14:textId="77777777" w:rsidR="00F50FC7" w:rsidRPr="00FE7B05" w:rsidRDefault="00F50FC7" w:rsidP="00F50FC7">
      <w:pPr>
        <w:rPr>
          <w:szCs w:val="22"/>
        </w:rPr>
      </w:pPr>
    </w:p>
    <w:p w14:paraId="4587343E" w14:textId="77777777" w:rsidR="00F50FC7" w:rsidRPr="00A81A85" w:rsidRDefault="00F50FC7" w:rsidP="00F50FC7">
      <w:pPr>
        <w:tabs>
          <w:tab w:val="left" w:pos="567"/>
        </w:tabs>
        <w:spacing w:line="260" w:lineRule="exact"/>
        <w:rPr>
          <w:szCs w:val="22"/>
          <w:shd w:val="clear" w:color="auto" w:fill="CCCCCC"/>
        </w:rPr>
      </w:pPr>
    </w:p>
    <w:p w14:paraId="6EEBFCF9" w14:textId="78D542B8" w:rsidR="00F50FC7" w:rsidRPr="007D3BC1" w:rsidRDefault="00F50FC7" w:rsidP="00F50FC7">
      <w:pPr>
        <w:keepNext/>
        <w:pBdr>
          <w:top w:val="single" w:sz="4" w:space="1" w:color="000000"/>
          <w:left w:val="single" w:sz="4" w:space="4" w:color="000000"/>
          <w:bottom w:val="single" w:sz="4" w:space="1" w:color="000000"/>
          <w:right w:val="single" w:sz="4" w:space="4" w:color="000000"/>
        </w:pBdr>
        <w:tabs>
          <w:tab w:val="left" w:pos="0"/>
          <w:tab w:val="left" w:pos="567"/>
        </w:tabs>
        <w:spacing w:line="260" w:lineRule="exact"/>
        <w:outlineLvl w:val="0"/>
        <w:rPr>
          <w:szCs w:val="22"/>
        </w:rPr>
      </w:pPr>
      <w:r w:rsidRPr="009F5F39">
        <w:rPr>
          <w:b/>
          <w:szCs w:val="22"/>
        </w:rPr>
        <w:t>17.</w:t>
      </w:r>
      <w:r w:rsidRPr="009F5F39">
        <w:rPr>
          <w:b/>
          <w:szCs w:val="22"/>
        </w:rPr>
        <w:tab/>
        <w:t>UNIKALUS IDENTIFIKATORIUS – 2D BRŪKŠNINIS KODAS</w:t>
      </w:r>
    </w:p>
    <w:p w14:paraId="6E54BD1D" w14:textId="77777777" w:rsidR="00F50FC7" w:rsidRPr="00FA1F38" w:rsidRDefault="00F50FC7" w:rsidP="00F50FC7">
      <w:pPr>
        <w:tabs>
          <w:tab w:val="left" w:pos="567"/>
        </w:tabs>
        <w:spacing w:line="260" w:lineRule="exact"/>
        <w:rPr>
          <w:szCs w:val="22"/>
        </w:rPr>
      </w:pPr>
    </w:p>
    <w:p w14:paraId="43E7E7AA" w14:textId="77777777" w:rsidR="00F50FC7" w:rsidRPr="00750E0C" w:rsidRDefault="00F50FC7" w:rsidP="00F50FC7">
      <w:pPr>
        <w:tabs>
          <w:tab w:val="left" w:pos="567"/>
        </w:tabs>
        <w:spacing w:line="260" w:lineRule="exact"/>
        <w:rPr>
          <w:szCs w:val="22"/>
        </w:rPr>
      </w:pPr>
      <w:r w:rsidRPr="00B12B18">
        <w:rPr>
          <w:szCs w:val="22"/>
          <w:shd w:val="clear" w:color="auto" w:fill="C0C0C0"/>
        </w:rPr>
        <w:t>2D brūkšninis kodas su nurodytu unikaliu identifikatoriumi.</w:t>
      </w:r>
    </w:p>
    <w:p w14:paraId="32AF2E6A" w14:textId="77777777" w:rsidR="00F50FC7" w:rsidRPr="00404AF2" w:rsidRDefault="00F50FC7" w:rsidP="00F50FC7">
      <w:pPr>
        <w:tabs>
          <w:tab w:val="left" w:pos="567"/>
        </w:tabs>
        <w:spacing w:line="260" w:lineRule="exact"/>
        <w:rPr>
          <w:szCs w:val="22"/>
        </w:rPr>
      </w:pPr>
    </w:p>
    <w:p w14:paraId="05946131" w14:textId="77777777" w:rsidR="00F50FC7" w:rsidRPr="00404AF2" w:rsidRDefault="00F50FC7" w:rsidP="00F50FC7">
      <w:pPr>
        <w:tabs>
          <w:tab w:val="left" w:pos="567"/>
        </w:tabs>
        <w:spacing w:line="260" w:lineRule="exact"/>
        <w:rPr>
          <w:szCs w:val="22"/>
        </w:rPr>
      </w:pPr>
    </w:p>
    <w:p w14:paraId="28614F9F" w14:textId="286D92E4" w:rsidR="00F50FC7" w:rsidRPr="00F93D6A" w:rsidRDefault="00F50FC7" w:rsidP="00F50FC7">
      <w:pPr>
        <w:keepNext/>
        <w:pBdr>
          <w:top w:val="single" w:sz="4" w:space="1" w:color="000000"/>
          <w:left w:val="single" w:sz="4" w:space="4" w:color="000000"/>
          <w:bottom w:val="single" w:sz="4" w:space="1" w:color="000000"/>
          <w:right w:val="single" w:sz="4" w:space="4" w:color="000000"/>
        </w:pBdr>
        <w:tabs>
          <w:tab w:val="left" w:pos="0"/>
          <w:tab w:val="left" w:pos="567"/>
        </w:tabs>
        <w:spacing w:line="260" w:lineRule="exact"/>
        <w:outlineLvl w:val="0"/>
        <w:rPr>
          <w:szCs w:val="22"/>
        </w:rPr>
      </w:pPr>
      <w:r w:rsidRPr="00F93D6A">
        <w:rPr>
          <w:b/>
          <w:szCs w:val="22"/>
        </w:rPr>
        <w:t>18.</w:t>
      </w:r>
      <w:r w:rsidRPr="00F93D6A">
        <w:rPr>
          <w:b/>
          <w:szCs w:val="22"/>
        </w:rPr>
        <w:tab/>
        <w:t>UNIKALUS IDENTIFIKATORIUS – ŽMONĖMS SUPRANTAMI DUOMENYS</w:t>
      </w:r>
    </w:p>
    <w:p w14:paraId="383850CB" w14:textId="77777777" w:rsidR="00F50FC7" w:rsidRPr="00C85CC0" w:rsidRDefault="00F50FC7" w:rsidP="00F50FC7">
      <w:pPr>
        <w:tabs>
          <w:tab w:val="left" w:pos="567"/>
        </w:tabs>
        <w:spacing w:line="260" w:lineRule="exact"/>
        <w:rPr>
          <w:szCs w:val="22"/>
        </w:rPr>
      </w:pPr>
    </w:p>
    <w:p w14:paraId="638040E7" w14:textId="28FA20FE" w:rsidR="00F50FC7" w:rsidRPr="00C85CC0" w:rsidRDefault="00F50FC7" w:rsidP="00F50FC7">
      <w:pPr>
        <w:tabs>
          <w:tab w:val="left" w:pos="567"/>
        </w:tabs>
        <w:spacing w:line="260" w:lineRule="exact"/>
        <w:rPr>
          <w:szCs w:val="22"/>
        </w:rPr>
      </w:pPr>
      <w:r w:rsidRPr="00C85CC0">
        <w:rPr>
          <w:szCs w:val="22"/>
        </w:rPr>
        <w:t>PC</w:t>
      </w:r>
    </w:p>
    <w:p w14:paraId="4A46D0DC" w14:textId="1ED07D01" w:rsidR="00F50FC7" w:rsidRPr="00C85CC0" w:rsidRDefault="00F50FC7" w:rsidP="00F50FC7">
      <w:pPr>
        <w:tabs>
          <w:tab w:val="left" w:pos="567"/>
        </w:tabs>
        <w:spacing w:line="260" w:lineRule="exact"/>
        <w:rPr>
          <w:szCs w:val="22"/>
        </w:rPr>
      </w:pPr>
      <w:r w:rsidRPr="00C85CC0">
        <w:rPr>
          <w:szCs w:val="22"/>
        </w:rPr>
        <w:t>SN</w:t>
      </w:r>
    </w:p>
    <w:p w14:paraId="75741943" w14:textId="3F5842D7" w:rsidR="00F50FC7" w:rsidRPr="00FE7B05" w:rsidRDefault="00F50FC7" w:rsidP="00E90E50">
      <w:pPr>
        <w:rPr>
          <w:szCs w:val="22"/>
        </w:rPr>
      </w:pPr>
      <w:r w:rsidRPr="005231E6">
        <w:rPr>
          <w:szCs w:val="22"/>
          <w:shd w:val="clear" w:color="auto" w:fill="C0C0C0"/>
        </w:rPr>
        <w:t>NN</w:t>
      </w:r>
    </w:p>
    <w:p w14:paraId="01FA0E03" w14:textId="77777777" w:rsidR="00F50FC7" w:rsidRPr="00FE7B05" w:rsidRDefault="00F50FC7" w:rsidP="00F50FC7">
      <w:pPr>
        <w:suppressAutoHyphens w:val="0"/>
        <w:autoSpaceDN/>
        <w:textAlignment w:val="auto"/>
        <w:rPr>
          <w:szCs w:val="22"/>
        </w:rPr>
      </w:pPr>
      <w:r w:rsidRPr="00FE7B05">
        <w:rPr>
          <w:szCs w:val="22"/>
        </w:rPr>
        <w:br w:type="page"/>
      </w:r>
    </w:p>
    <w:p w14:paraId="70F84781" w14:textId="77777777" w:rsidR="00F50FC7" w:rsidRPr="001958A1" w:rsidRDefault="00F50FC7" w:rsidP="00F50FC7">
      <w:pPr>
        <w:pStyle w:val="PI-1labEMEASMCA"/>
        <w:rPr>
          <w:sz w:val="22"/>
          <w:szCs w:val="22"/>
        </w:rPr>
      </w:pPr>
      <w:r w:rsidRPr="001958A1">
        <w:rPr>
          <w:sz w:val="22"/>
          <w:szCs w:val="22"/>
        </w:rPr>
        <w:lastRenderedPageBreak/>
        <w:t xml:space="preserve">MINIMALI </w:t>
      </w:r>
      <w:r w:rsidRPr="001958A1">
        <w:rPr>
          <w:caps/>
          <w:sz w:val="22"/>
          <w:szCs w:val="22"/>
        </w:rPr>
        <w:t xml:space="preserve">informacija ant </w:t>
      </w:r>
      <w:r w:rsidRPr="001958A1">
        <w:rPr>
          <w:sz w:val="22"/>
          <w:szCs w:val="22"/>
        </w:rPr>
        <w:t>MAŽŲ VIDINIŲ PAKUOČIŲ</w:t>
      </w:r>
    </w:p>
    <w:p w14:paraId="7FDC0577" w14:textId="77777777" w:rsidR="00F50FC7" w:rsidRPr="00E90E50" w:rsidRDefault="00F50FC7" w:rsidP="00F50FC7">
      <w:pPr>
        <w:pStyle w:val="PI-1labEMEASMCA"/>
        <w:rPr>
          <w:b w:val="0"/>
          <w:sz w:val="22"/>
        </w:rPr>
      </w:pPr>
    </w:p>
    <w:p w14:paraId="36CAA2D6" w14:textId="77777777" w:rsidR="00F50FC7" w:rsidRPr="001958A1" w:rsidRDefault="00F50FC7" w:rsidP="00F50FC7">
      <w:pPr>
        <w:pStyle w:val="PI-1labEMEASMCA"/>
        <w:rPr>
          <w:sz w:val="22"/>
          <w:szCs w:val="22"/>
        </w:rPr>
      </w:pPr>
      <w:r w:rsidRPr="001958A1">
        <w:rPr>
          <w:sz w:val="22"/>
          <w:szCs w:val="22"/>
        </w:rPr>
        <w:t>UŽPILDYTAS ŠVIRKŠTAS</w:t>
      </w:r>
    </w:p>
    <w:p w14:paraId="16D5C848" w14:textId="77777777" w:rsidR="00F50FC7" w:rsidRPr="00FE7B05" w:rsidRDefault="00F50FC7" w:rsidP="000B6C00">
      <w:pPr>
        <w:pStyle w:val="BTEMEASMCA"/>
      </w:pPr>
    </w:p>
    <w:p w14:paraId="22713226" w14:textId="06654AA4" w:rsidR="00F50FC7" w:rsidRPr="009F5F39" w:rsidRDefault="00F50FC7" w:rsidP="00F50FC7">
      <w:pPr>
        <w:pStyle w:val="Antrat3"/>
        <w:pBdr>
          <w:top w:val="single" w:sz="4" w:space="1" w:color="000000"/>
          <w:left w:val="single" w:sz="4" w:space="4" w:color="000000"/>
          <w:bottom w:val="single" w:sz="4" w:space="1" w:color="000000"/>
          <w:right w:val="single" w:sz="4" w:space="4" w:color="000000"/>
        </w:pBdr>
        <w:tabs>
          <w:tab w:val="left" w:pos="540"/>
        </w:tabs>
        <w:rPr>
          <w:rFonts w:ascii="Times New Roman" w:hAnsi="Times New Roman"/>
          <w:sz w:val="22"/>
          <w:szCs w:val="22"/>
        </w:rPr>
      </w:pPr>
      <w:r w:rsidRPr="00A81A85">
        <w:rPr>
          <w:rFonts w:ascii="Times New Roman" w:hAnsi="Times New Roman"/>
          <w:sz w:val="22"/>
          <w:szCs w:val="22"/>
        </w:rPr>
        <w:t>1.</w:t>
      </w:r>
      <w:r w:rsidRPr="00A81A85">
        <w:rPr>
          <w:rFonts w:ascii="Times New Roman" w:hAnsi="Times New Roman"/>
          <w:sz w:val="22"/>
          <w:szCs w:val="22"/>
        </w:rPr>
        <w:tab/>
        <w:t>VAISTINIO PREPARATO PAVADINIMAS IR VARTOJIMO BŪDAS (-AI)</w:t>
      </w:r>
    </w:p>
    <w:p w14:paraId="6B9D93EC" w14:textId="77777777" w:rsidR="00F50FC7" w:rsidRPr="001958A1" w:rsidRDefault="00F50FC7" w:rsidP="00F50FC7">
      <w:pPr>
        <w:pStyle w:val="Pagrindinistekstas"/>
        <w:spacing w:after="0"/>
        <w:rPr>
          <w:sz w:val="22"/>
          <w:szCs w:val="22"/>
        </w:rPr>
      </w:pPr>
    </w:p>
    <w:p w14:paraId="1740C6D0" w14:textId="77777777" w:rsidR="00F50FC7" w:rsidRPr="00FE7B05" w:rsidRDefault="00F50FC7" w:rsidP="00F50FC7">
      <w:pPr>
        <w:pStyle w:val="Pagrindinistekstas"/>
        <w:spacing w:after="0"/>
        <w:rPr>
          <w:sz w:val="22"/>
          <w:szCs w:val="22"/>
        </w:rPr>
      </w:pPr>
      <w:proofErr w:type="spellStart"/>
      <w:r w:rsidRPr="00FE7B05">
        <w:rPr>
          <w:sz w:val="22"/>
          <w:szCs w:val="22"/>
        </w:rPr>
        <w:t>Boostrix</w:t>
      </w:r>
      <w:proofErr w:type="spellEnd"/>
      <w:r w:rsidRPr="00FE7B05">
        <w:rPr>
          <w:sz w:val="22"/>
          <w:szCs w:val="22"/>
        </w:rPr>
        <w:t xml:space="preserve"> </w:t>
      </w:r>
      <w:r w:rsidRPr="001958A1">
        <w:rPr>
          <w:sz w:val="22"/>
          <w:szCs w:val="22"/>
        </w:rPr>
        <w:t>injekcinė suspensija</w:t>
      </w:r>
    </w:p>
    <w:p w14:paraId="2B17D9A1" w14:textId="77777777" w:rsidR="00F50FC7" w:rsidRPr="009F5F39" w:rsidRDefault="00F50FC7" w:rsidP="00F50FC7">
      <w:pPr>
        <w:pStyle w:val="Pagrindinistekstas"/>
        <w:spacing w:after="0"/>
        <w:rPr>
          <w:sz w:val="22"/>
          <w:szCs w:val="22"/>
        </w:rPr>
      </w:pPr>
      <w:proofErr w:type="spellStart"/>
      <w:r w:rsidRPr="00A81A85">
        <w:rPr>
          <w:sz w:val="22"/>
          <w:szCs w:val="22"/>
        </w:rPr>
        <w:t>dTpa</w:t>
      </w:r>
      <w:proofErr w:type="spellEnd"/>
    </w:p>
    <w:p w14:paraId="4D04B494" w14:textId="77777777" w:rsidR="00F50FC7" w:rsidRPr="001958A1" w:rsidRDefault="00F50FC7" w:rsidP="00F50FC7">
      <w:pPr>
        <w:pStyle w:val="Pagrindinistekstas"/>
        <w:spacing w:after="0"/>
        <w:rPr>
          <w:sz w:val="22"/>
          <w:szCs w:val="22"/>
        </w:rPr>
      </w:pPr>
      <w:proofErr w:type="spellStart"/>
      <w:r w:rsidRPr="007D3BC1">
        <w:rPr>
          <w:sz w:val="22"/>
          <w:szCs w:val="22"/>
        </w:rPr>
        <w:t>i.m</w:t>
      </w:r>
      <w:proofErr w:type="spellEnd"/>
      <w:r w:rsidRPr="007D3BC1">
        <w:rPr>
          <w:sz w:val="22"/>
          <w:szCs w:val="22"/>
        </w:rPr>
        <w:t>.</w:t>
      </w:r>
    </w:p>
    <w:p w14:paraId="4890695B" w14:textId="77777777" w:rsidR="00F50FC7" w:rsidRPr="001958A1" w:rsidRDefault="00F50FC7" w:rsidP="00F50FC7">
      <w:pPr>
        <w:pStyle w:val="Pagrindinistekstas"/>
        <w:spacing w:after="0"/>
        <w:rPr>
          <w:sz w:val="22"/>
          <w:szCs w:val="22"/>
        </w:rPr>
      </w:pPr>
    </w:p>
    <w:p w14:paraId="6726AEDC" w14:textId="77777777" w:rsidR="00F50FC7" w:rsidRPr="001958A1" w:rsidRDefault="00F50FC7" w:rsidP="00F50FC7">
      <w:pPr>
        <w:pStyle w:val="Pagrindinistekstas"/>
        <w:spacing w:after="0"/>
        <w:rPr>
          <w:sz w:val="22"/>
          <w:szCs w:val="22"/>
        </w:rPr>
      </w:pPr>
    </w:p>
    <w:p w14:paraId="520F0FDA" w14:textId="76ED368A" w:rsidR="00F50FC7" w:rsidRPr="00FE7B05" w:rsidRDefault="00F50FC7" w:rsidP="00F50FC7">
      <w:pPr>
        <w:pStyle w:val="Antrat3"/>
        <w:pBdr>
          <w:top w:val="single" w:sz="4" w:space="1" w:color="000000"/>
          <w:left w:val="single" w:sz="4" w:space="4" w:color="000000"/>
          <w:bottom w:val="single" w:sz="4" w:space="1" w:color="000000"/>
          <w:right w:val="single" w:sz="4" w:space="4" w:color="000000"/>
        </w:pBdr>
        <w:tabs>
          <w:tab w:val="left" w:pos="540"/>
        </w:tabs>
        <w:spacing w:before="0" w:after="0"/>
        <w:rPr>
          <w:rFonts w:ascii="Times New Roman" w:hAnsi="Times New Roman"/>
          <w:sz w:val="22"/>
          <w:szCs w:val="22"/>
        </w:rPr>
      </w:pPr>
      <w:r w:rsidRPr="00FE7B05">
        <w:rPr>
          <w:rFonts w:ascii="Times New Roman" w:hAnsi="Times New Roman"/>
          <w:sz w:val="22"/>
          <w:szCs w:val="22"/>
        </w:rPr>
        <w:t>2.</w:t>
      </w:r>
      <w:r w:rsidRPr="00FE7B05">
        <w:rPr>
          <w:rFonts w:ascii="Times New Roman" w:hAnsi="Times New Roman"/>
          <w:sz w:val="22"/>
          <w:szCs w:val="22"/>
        </w:rPr>
        <w:tab/>
        <w:t>VARTOJIMO METODAS</w:t>
      </w:r>
    </w:p>
    <w:p w14:paraId="26E0078C" w14:textId="77777777" w:rsidR="00F50FC7" w:rsidRPr="001958A1" w:rsidRDefault="00F50FC7" w:rsidP="00F50FC7">
      <w:pPr>
        <w:pStyle w:val="Pagrindinistekstas"/>
        <w:spacing w:after="0"/>
        <w:rPr>
          <w:sz w:val="22"/>
          <w:szCs w:val="22"/>
        </w:rPr>
      </w:pPr>
    </w:p>
    <w:p w14:paraId="7B8E482B" w14:textId="77777777" w:rsidR="00F50FC7" w:rsidRPr="001958A1" w:rsidRDefault="00F50FC7" w:rsidP="00F50FC7">
      <w:pPr>
        <w:pStyle w:val="Pagrindinistekstas"/>
        <w:spacing w:after="0"/>
        <w:rPr>
          <w:sz w:val="22"/>
          <w:szCs w:val="22"/>
        </w:rPr>
      </w:pPr>
    </w:p>
    <w:p w14:paraId="1C73904F" w14:textId="77777777" w:rsidR="00F50FC7" w:rsidRPr="001958A1" w:rsidRDefault="00F50FC7" w:rsidP="00F50FC7">
      <w:pPr>
        <w:pStyle w:val="PI-1labEMEASMCA"/>
        <w:rPr>
          <w:sz w:val="22"/>
          <w:szCs w:val="22"/>
        </w:rPr>
      </w:pPr>
      <w:r w:rsidRPr="001958A1">
        <w:rPr>
          <w:sz w:val="22"/>
          <w:szCs w:val="22"/>
        </w:rPr>
        <w:t>3.</w:t>
      </w:r>
      <w:r w:rsidRPr="001958A1">
        <w:rPr>
          <w:sz w:val="22"/>
          <w:szCs w:val="22"/>
        </w:rPr>
        <w:tab/>
        <w:t>TINKAMUMO LAIKAS</w:t>
      </w:r>
    </w:p>
    <w:p w14:paraId="1873F5C0" w14:textId="77777777" w:rsidR="00F50FC7" w:rsidRPr="001958A1" w:rsidRDefault="00F50FC7" w:rsidP="00F50FC7">
      <w:pPr>
        <w:pStyle w:val="Pagrindinistekstas"/>
        <w:spacing w:after="0"/>
        <w:rPr>
          <w:sz w:val="22"/>
          <w:szCs w:val="22"/>
        </w:rPr>
      </w:pPr>
    </w:p>
    <w:p w14:paraId="33A7926E" w14:textId="77777777" w:rsidR="00F50FC7" w:rsidRPr="001958A1" w:rsidRDefault="00F50FC7" w:rsidP="00F50FC7">
      <w:pPr>
        <w:pStyle w:val="Pagrindinistekstas"/>
        <w:spacing w:after="0"/>
        <w:rPr>
          <w:sz w:val="22"/>
          <w:szCs w:val="22"/>
        </w:rPr>
      </w:pPr>
      <w:r w:rsidRPr="00FE7B05">
        <w:rPr>
          <w:sz w:val="22"/>
          <w:szCs w:val="22"/>
        </w:rPr>
        <w:t>EXP {mm-MMMM}</w:t>
      </w:r>
    </w:p>
    <w:p w14:paraId="3EA94AF8" w14:textId="77777777" w:rsidR="00F50FC7" w:rsidRPr="001958A1" w:rsidRDefault="00F50FC7" w:rsidP="00F50FC7">
      <w:pPr>
        <w:pStyle w:val="Pagrindinistekstas"/>
        <w:spacing w:after="0"/>
        <w:rPr>
          <w:sz w:val="22"/>
          <w:szCs w:val="22"/>
        </w:rPr>
      </w:pPr>
    </w:p>
    <w:p w14:paraId="7FADF118" w14:textId="77777777" w:rsidR="00F50FC7" w:rsidRPr="001958A1" w:rsidRDefault="00F50FC7" w:rsidP="00F50FC7">
      <w:pPr>
        <w:pStyle w:val="Pagrindinistekstas"/>
        <w:spacing w:after="0"/>
        <w:rPr>
          <w:sz w:val="22"/>
          <w:szCs w:val="22"/>
        </w:rPr>
      </w:pPr>
    </w:p>
    <w:p w14:paraId="4F07203A" w14:textId="77777777" w:rsidR="00F50FC7" w:rsidRPr="001958A1" w:rsidRDefault="00F50FC7" w:rsidP="00F50FC7">
      <w:pPr>
        <w:pStyle w:val="PI-1labEMEASMCA"/>
        <w:rPr>
          <w:sz w:val="22"/>
          <w:szCs w:val="22"/>
        </w:rPr>
      </w:pPr>
      <w:r w:rsidRPr="001958A1">
        <w:rPr>
          <w:sz w:val="22"/>
          <w:szCs w:val="22"/>
        </w:rPr>
        <w:t>4.</w:t>
      </w:r>
      <w:r w:rsidRPr="001958A1">
        <w:rPr>
          <w:sz w:val="22"/>
          <w:szCs w:val="22"/>
        </w:rPr>
        <w:tab/>
        <w:t>SERIJOS NUMERIS</w:t>
      </w:r>
    </w:p>
    <w:p w14:paraId="5F6C2A4F" w14:textId="77777777" w:rsidR="00F50FC7" w:rsidRPr="001958A1" w:rsidRDefault="00F50FC7" w:rsidP="00F50FC7">
      <w:pPr>
        <w:pStyle w:val="Pagrindinistekstas"/>
        <w:spacing w:after="0"/>
        <w:rPr>
          <w:sz w:val="22"/>
          <w:szCs w:val="22"/>
        </w:rPr>
      </w:pPr>
    </w:p>
    <w:p w14:paraId="539FFF5A" w14:textId="77777777" w:rsidR="00F50FC7" w:rsidRPr="001958A1" w:rsidRDefault="00F50FC7" w:rsidP="00F50FC7">
      <w:pPr>
        <w:pStyle w:val="Pagrindinistekstas"/>
        <w:spacing w:after="0"/>
        <w:rPr>
          <w:sz w:val="22"/>
          <w:szCs w:val="22"/>
        </w:rPr>
      </w:pPr>
      <w:r w:rsidRPr="00FE7B05">
        <w:rPr>
          <w:sz w:val="22"/>
          <w:szCs w:val="22"/>
        </w:rPr>
        <w:t>Lot</w:t>
      </w:r>
    </w:p>
    <w:p w14:paraId="3C13F3B1" w14:textId="77777777" w:rsidR="00F50FC7" w:rsidRPr="001958A1" w:rsidRDefault="00F50FC7" w:rsidP="00F50FC7">
      <w:pPr>
        <w:pStyle w:val="Pagrindinistekstas"/>
        <w:spacing w:after="0"/>
        <w:rPr>
          <w:sz w:val="22"/>
          <w:szCs w:val="22"/>
        </w:rPr>
      </w:pPr>
    </w:p>
    <w:p w14:paraId="64789887" w14:textId="77777777" w:rsidR="00F50FC7" w:rsidRPr="001958A1" w:rsidRDefault="00F50FC7" w:rsidP="00F50FC7">
      <w:pPr>
        <w:pStyle w:val="Pagrindinistekstas"/>
        <w:spacing w:after="0"/>
        <w:rPr>
          <w:sz w:val="22"/>
          <w:szCs w:val="22"/>
        </w:rPr>
      </w:pPr>
    </w:p>
    <w:p w14:paraId="01805AF9" w14:textId="77777777" w:rsidR="00F50FC7" w:rsidRPr="00FE7B05" w:rsidRDefault="00F50FC7" w:rsidP="00F50FC7">
      <w:pPr>
        <w:pStyle w:val="Pagrindinistekstas"/>
        <w:pBdr>
          <w:top w:val="single" w:sz="4" w:space="1" w:color="000000"/>
          <w:left w:val="single" w:sz="4" w:space="4" w:color="000000"/>
          <w:bottom w:val="single" w:sz="4" w:space="1" w:color="000000"/>
          <w:right w:val="single" w:sz="4" w:space="4" w:color="000000"/>
        </w:pBdr>
        <w:tabs>
          <w:tab w:val="left" w:pos="540"/>
        </w:tabs>
        <w:spacing w:after="0"/>
        <w:rPr>
          <w:b/>
          <w:sz w:val="22"/>
          <w:szCs w:val="22"/>
        </w:rPr>
      </w:pPr>
      <w:r w:rsidRPr="00FE7B05">
        <w:rPr>
          <w:b/>
          <w:sz w:val="22"/>
          <w:szCs w:val="22"/>
        </w:rPr>
        <w:t>5.</w:t>
      </w:r>
      <w:r w:rsidRPr="00FE7B05">
        <w:rPr>
          <w:b/>
          <w:sz w:val="22"/>
          <w:szCs w:val="22"/>
        </w:rPr>
        <w:tab/>
        <w:t>KIEKIS (MASĖ, TŪRIS ARBA VIENETAI)</w:t>
      </w:r>
    </w:p>
    <w:p w14:paraId="342EB376" w14:textId="77777777" w:rsidR="00F50FC7" w:rsidRPr="001958A1" w:rsidRDefault="00F50FC7" w:rsidP="00F50FC7">
      <w:pPr>
        <w:pStyle w:val="Pagrindinistekstas"/>
        <w:spacing w:after="0"/>
        <w:rPr>
          <w:sz w:val="22"/>
          <w:szCs w:val="22"/>
        </w:rPr>
      </w:pPr>
    </w:p>
    <w:p w14:paraId="7EA787C3" w14:textId="380903C7" w:rsidR="00F50FC7" w:rsidRPr="001958A1" w:rsidRDefault="00F50FC7" w:rsidP="00F50FC7">
      <w:pPr>
        <w:pStyle w:val="Pagrindinistekstas"/>
        <w:spacing w:after="0"/>
        <w:rPr>
          <w:sz w:val="22"/>
          <w:szCs w:val="22"/>
        </w:rPr>
      </w:pPr>
      <w:r w:rsidRPr="00FE7B05">
        <w:rPr>
          <w:sz w:val="22"/>
          <w:szCs w:val="22"/>
        </w:rPr>
        <w:t>1</w:t>
      </w:r>
      <w:r w:rsidR="00693AB2">
        <w:rPr>
          <w:sz w:val="22"/>
          <w:szCs w:val="22"/>
        </w:rPr>
        <w:t> </w:t>
      </w:r>
      <w:r w:rsidRPr="00FE7B05">
        <w:rPr>
          <w:sz w:val="22"/>
          <w:szCs w:val="22"/>
        </w:rPr>
        <w:t>dozė (</w:t>
      </w:r>
      <w:r w:rsidRPr="001958A1">
        <w:rPr>
          <w:sz w:val="22"/>
          <w:szCs w:val="22"/>
        </w:rPr>
        <w:t>0,5</w:t>
      </w:r>
      <w:r w:rsidRPr="00E90E50">
        <w:rPr>
          <w:sz w:val="22"/>
        </w:rPr>
        <w:t> </w:t>
      </w:r>
      <w:r w:rsidRPr="001958A1">
        <w:rPr>
          <w:sz w:val="22"/>
          <w:szCs w:val="22"/>
        </w:rPr>
        <w:t>ml</w:t>
      </w:r>
      <w:r w:rsidRPr="00E90E50">
        <w:rPr>
          <w:sz w:val="22"/>
        </w:rPr>
        <w:t>)</w:t>
      </w:r>
    </w:p>
    <w:p w14:paraId="7C103DA2" w14:textId="77777777" w:rsidR="00F50FC7" w:rsidRPr="001958A1" w:rsidRDefault="00F50FC7" w:rsidP="00F50FC7">
      <w:pPr>
        <w:pStyle w:val="Pagrindinistekstas"/>
        <w:spacing w:after="0"/>
        <w:rPr>
          <w:sz w:val="22"/>
          <w:szCs w:val="22"/>
        </w:rPr>
      </w:pPr>
    </w:p>
    <w:p w14:paraId="161966C4" w14:textId="77777777" w:rsidR="00F50FC7" w:rsidRPr="001958A1" w:rsidRDefault="00F50FC7" w:rsidP="00F50FC7">
      <w:pPr>
        <w:pStyle w:val="Pagrindinistekstas"/>
        <w:spacing w:after="0"/>
        <w:rPr>
          <w:sz w:val="22"/>
          <w:szCs w:val="22"/>
        </w:rPr>
      </w:pPr>
    </w:p>
    <w:p w14:paraId="67882ADE" w14:textId="77777777" w:rsidR="00F50FC7" w:rsidRPr="00FE7B05" w:rsidRDefault="00F50FC7" w:rsidP="00F50FC7">
      <w:pPr>
        <w:pStyle w:val="Pagrindinistekstas"/>
        <w:pBdr>
          <w:top w:val="single" w:sz="4" w:space="1" w:color="000000"/>
          <w:left w:val="single" w:sz="4" w:space="4" w:color="000000"/>
          <w:bottom w:val="single" w:sz="4" w:space="1" w:color="000000"/>
          <w:right w:val="single" w:sz="4" w:space="4" w:color="000000"/>
        </w:pBdr>
        <w:tabs>
          <w:tab w:val="left" w:pos="540"/>
        </w:tabs>
        <w:spacing w:after="0"/>
        <w:rPr>
          <w:b/>
          <w:sz w:val="22"/>
          <w:szCs w:val="22"/>
        </w:rPr>
      </w:pPr>
      <w:r w:rsidRPr="00FE7B05">
        <w:rPr>
          <w:b/>
          <w:sz w:val="22"/>
          <w:szCs w:val="22"/>
        </w:rPr>
        <w:t>6.</w:t>
      </w:r>
      <w:r w:rsidRPr="00FE7B05">
        <w:rPr>
          <w:b/>
          <w:sz w:val="22"/>
          <w:szCs w:val="22"/>
        </w:rPr>
        <w:tab/>
        <w:t>KITA</w:t>
      </w:r>
    </w:p>
    <w:p w14:paraId="6DE1734B" w14:textId="77777777" w:rsidR="00F50FC7" w:rsidRPr="00A81A85" w:rsidRDefault="00F50FC7" w:rsidP="00F50FC7">
      <w:pPr>
        <w:pStyle w:val="Pagrindinistekstas"/>
        <w:spacing w:after="0"/>
        <w:rPr>
          <w:sz w:val="22"/>
          <w:szCs w:val="22"/>
        </w:rPr>
      </w:pPr>
    </w:p>
    <w:p w14:paraId="7D10EC9E" w14:textId="77777777" w:rsidR="00F50FC7" w:rsidRPr="002C65CD" w:rsidRDefault="00F50FC7" w:rsidP="000B6C00">
      <w:pPr>
        <w:pStyle w:val="BTEMEASMCA"/>
      </w:pPr>
    </w:p>
    <w:p w14:paraId="0D526AA7" w14:textId="77777777" w:rsidR="00F50FC7" w:rsidRPr="002C65CD" w:rsidRDefault="00F50FC7" w:rsidP="000B6C00">
      <w:pPr>
        <w:pStyle w:val="BTEMEASMCA"/>
      </w:pPr>
    </w:p>
    <w:p w14:paraId="2DD248E2" w14:textId="77777777" w:rsidR="00F50FC7" w:rsidRPr="002C65CD" w:rsidRDefault="00F50FC7" w:rsidP="000B6C00">
      <w:pPr>
        <w:pStyle w:val="BTEMEASMCA"/>
      </w:pPr>
    </w:p>
    <w:p w14:paraId="7742D320" w14:textId="77777777" w:rsidR="00F50FC7" w:rsidRPr="002C65CD" w:rsidRDefault="00F50FC7" w:rsidP="000B6C00">
      <w:pPr>
        <w:pStyle w:val="BTEMEASMCA"/>
      </w:pPr>
    </w:p>
    <w:p w14:paraId="59AA6856" w14:textId="77777777" w:rsidR="00F50FC7" w:rsidRPr="002C65CD" w:rsidRDefault="00F50FC7" w:rsidP="000B6C00">
      <w:pPr>
        <w:pStyle w:val="BTEMEASMCA"/>
      </w:pPr>
    </w:p>
    <w:p w14:paraId="797192DD" w14:textId="77777777" w:rsidR="00F50FC7" w:rsidRPr="002C65CD" w:rsidRDefault="00F50FC7" w:rsidP="000B6C00">
      <w:pPr>
        <w:pStyle w:val="BTEMEASMCA"/>
      </w:pPr>
    </w:p>
    <w:p w14:paraId="151C3082" w14:textId="77777777" w:rsidR="00F50FC7" w:rsidRPr="002C65CD" w:rsidRDefault="00F50FC7" w:rsidP="000B6C00">
      <w:pPr>
        <w:pStyle w:val="BTEMEASMCA"/>
      </w:pPr>
    </w:p>
    <w:p w14:paraId="757DA764" w14:textId="77777777" w:rsidR="00F50FC7" w:rsidRPr="002C65CD" w:rsidRDefault="00F50FC7" w:rsidP="000B6C00">
      <w:pPr>
        <w:pStyle w:val="BTEMEASMCA"/>
      </w:pPr>
    </w:p>
    <w:p w14:paraId="708BA20F" w14:textId="77777777" w:rsidR="00F50FC7" w:rsidRPr="002C65CD" w:rsidRDefault="00F50FC7" w:rsidP="000B6C00">
      <w:pPr>
        <w:pStyle w:val="BTEMEASMCA"/>
      </w:pPr>
    </w:p>
    <w:p w14:paraId="37D507AB" w14:textId="77777777" w:rsidR="00F50FC7" w:rsidRPr="002C65CD" w:rsidRDefault="00F50FC7" w:rsidP="000B6C00">
      <w:pPr>
        <w:pStyle w:val="BTEMEASMCA"/>
      </w:pPr>
    </w:p>
    <w:p w14:paraId="02940C75" w14:textId="77777777" w:rsidR="00F50FC7" w:rsidRPr="002C65CD" w:rsidRDefault="00F50FC7" w:rsidP="000B6C00">
      <w:pPr>
        <w:pStyle w:val="BTEMEASMCA"/>
      </w:pPr>
    </w:p>
    <w:p w14:paraId="04AE961C" w14:textId="77777777" w:rsidR="00F50FC7" w:rsidRPr="002C65CD" w:rsidRDefault="00F50FC7" w:rsidP="000B6C00">
      <w:pPr>
        <w:pStyle w:val="BTEMEASMCA"/>
      </w:pPr>
    </w:p>
    <w:p w14:paraId="38C16D17" w14:textId="77777777" w:rsidR="00F50FC7" w:rsidRPr="002C65CD" w:rsidRDefault="00F50FC7" w:rsidP="000B6C00">
      <w:pPr>
        <w:pStyle w:val="BTEMEASMCA"/>
      </w:pPr>
    </w:p>
    <w:p w14:paraId="6F82EFAC" w14:textId="77777777" w:rsidR="00F50FC7" w:rsidRPr="002C65CD" w:rsidRDefault="00F50FC7" w:rsidP="000B6C00">
      <w:pPr>
        <w:pStyle w:val="BTEMEASMCA"/>
      </w:pPr>
    </w:p>
    <w:p w14:paraId="0D3192B9" w14:textId="77777777" w:rsidR="00F50FC7" w:rsidRPr="002C65CD" w:rsidRDefault="00F50FC7" w:rsidP="000B6C00">
      <w:pPr>
        <w:pStyle w:val="BTEMEASMCA"/>
      </w:pPr>
    </w:p>
    <w:p w14:paraId="41D672C9" w14:textId="77777777" w:rsidR="00F50FC7" w:rsidRPr="002C65CD" w:rsidRDefault="00F50FC7" w:rsidP="000B6C00">
      <w:pPr>
        <w:pStyle w:val="BTEMEASMCA"/>
      </w:pPr>
    </w:p>
    <w:p w14:paraId="5AFE6FF8" w14:textId="77777777" w:rsidR="00F50FC7" w:rsidRPr="002C65CD" w:rsidRDefault="00F50FC7" w:rsidP="000B6C00">
      <w:pPr>
        <w:pStyle w:val="BTEMEASMCA"/>
      </w:pPr>
    </w:p>
    <w:p w14:paraId="6E1A6CF6" w14:textId="77777777" w:rsidR="00F50FC7" w:rsidRPr="002C65CD" w:rsidRDefault="00F50FC7" w:rsidP="000B6C00">
      <w:pPr>
        <w:pStyle w:val="BTEMEASMCA"/>
      </w:pPr>
    </w:p>
    <w:p w14:paraId="06D2FA7A" w14:textId="77777777" w:rsidR="00F50FC7" w:rsidRPr="002C65CD" w:rsidRDefault="00F50FC7" w:rsidP="000B6C00">
      <w:pPr>
        <w:pStyle w:val="BTEMEASMCA"/>
      </w:pPr>
    </w:p>
    <w:p w14:paraId="66DFDD61" w14:textId="77777777" w:rsidR="00F50FC7" w:rsidRPr="002C65CD" w:rsidRDefault="00F50FC7" w:rsidP="000B6C00">
      <w:pPr>
        <w:pStyle w:val="BTEMEASMCA"/>
      </w:pPr>
    </w:p>
    <w:p w14:paraId="353CC1E2" w14:textId="77777777" w:rsidR="00F50FC7" w:rsidRPr="002C65CD" w:rsidRDefault="00F50FC7" w:rsidP="000B6C00">
      <w:pPr>
        <w:pStyle w:val="BTEMEASMCA"/>
      </w:pPr>
    </w:p>
    <w:p w14:paraId="76E6C74D" w14:textId="77777777" w:rsidR="00F50FC7" w:rsidRPr="002C65CD" w:rsidRDefault="00F50FC7" w:rsidP="000B6C00">
      <w:pPr>
        <w:pStyle w:val="BTEMEASMCA"/>
      </w:pPr>
    </w:p>
    <w:p w14:paraId="0E78CAC3" w14:textId="77777777" w:rsidR="00F50FC7" w:rsidRPr="002C65CD" w:rsidRDefault="00F50FC7" w:rsidP="000B6C00">
      <w:pPr>
        <w:pStyle w:val="BTEMEASMCA"/>
      </w:pPr>
    </w:p>
    <w:p w14:paraId="4B0762FF" w14:textId="0552387C" w:rsidR="00F50FC7" w:rsidRDefault="00F50FC7" w:rsidP="00F50FC7">
      <w:pPr>
        <w:pStyle w:val="TTEMEASMCA"/>
        <w:rPr>
          <w:sz w:val="22"/>
        </w:rPr>
      </w:pPr>
      <w:bookmarkStart w:id="65" w:name="_Toc129243137"/>
      <w:bookmarkStart w:id="66" w:name="_Toc129243262"/>
      <w:r>
        <w:rPr>
          <w:sz w:val="22"/>
        </w:rPr>
        <w:t>B. PAKUOTĖS LAPELIS</w:t>
      </w:r>
      <w:bookmarkEnd w:id="65"/>
      <w:bookmarkEnd w:id="66"/>
    </w:p>
    <w:p w14:paraId="756DA767" w14:textId="3E4D9356" w:rsidR="00F50FC7" w:rsidRDefault="00F50FC7" w:rsidP="00F50FC7">
      <w:pPr>
        <w:pStyle w:val="TTEMEASMCA"/>
        <w:pageBreakBefore/>
        <w:rPr>
          <w:sz w:val="22"/>
        </w:rPr>
      </w:pPr>
      <w:bookmarkStart w:id="67" w:name="_Toc129243138"/>
      <w:bookmarkStart w:id="68" w:name="_Toc129243263"/>
      <w:r>
        <w:rPr>
          <w:sz w:val="22"/>
        </w:rPr>
        <w:lastRenderedPageBreak/>
        <w:t>Pakuotės lapelis: informacija vartotojui</w:t>
      </w:r>
      <w:bookmarkEnd w:id="67"/>
      <w:bookmarkEnd w:id="68"/>
    </w:p>
    <w:p w14:paraId="0ABC014C" w14:textId="77777777" w:rsidR="00F50FC7" w:rsidRPr="002C65CD" w:rsidRDefault="00F50FC7" w:rsidP="00F50FC7">
      <w:pPr>
        <w:tabs>
          <w:tab w:val="left" w:pos="567"/>
        </w:tabs>
        <w:ind w:right="-1"/>
        <w:jc w:val="center"/>
      </w:pPr>
    </w:p>
    <w:p w14:paraId="698A8338" w14:textId="77777777" w:rsidR="00F50FC7" w:rsidRDefault="00F50FC7" w:rsidP="00F50FC7">
      <w:pPr>
        <w:tabs>
          <w:tab w:val="left" w:pos="567"/>
        </w:tabs>
        <w:jc w:val="center"/>
      </w:pPr>
      <w:proofErr w:type="spellStart"/>
      <w:r>
        <w:rPr>
          <w:b/>
          <w:bCs/>
          <w:szCs w:val="22"/>
        </w:rPr>
        <w:t>Boostrix</w:t>
      </w:r>
      <w:proofErr w:type="spellEnd"/>
      <w:r>
        <w:rPr>
          <w:szCs w:val="22"/>
        </w:rPr>
        <w:t xml:space="preserve"> </w:t>
      </w:r>
      <w:r>
        <w:rPr>
          <w:b/>
          <w:bCs/>
          <w:szCs w:val="22"/>
        </w:rPr>
        <w:t>injekcinė suspensija užpildytame švirkšte</w:t>
      </w:r>
    </w:p>
    <w:p w14:paraId="01D8E78B" w14:textId="77777777" w:rsidR="00F50FC7" w:rsidRDefault="00F50FC7" w:rsidP="00F50FC7">
      <w:pPr>
        <w:tabs>
          <w:tab w:val="left" w:pos="567"/>
        </w:tabs>
        <w:ind w:right="-1"/>
        <w:jc w:val="center"/>
      </w:pPr>
      <w:r>
        <w:rPr>
          <w:szCs w:val="22"/>
        </w:rPr>
        <w:t xml:space="preserve">Vakcina nuo difterijos, stabligės ir kokliušo (neląstelinė, </w:t>
      </w:r>
      <w:proofErr w:type="spellStart"/>
      <w:r>
        <w:rPr>
          <w:szCs w:val="22"/>
        </w:rPr>
        <w:t>komponentinė</w:t>
      </w:r>
      <w:proofErr w:type="spellEnd"/>
      <w:r>
        <w:rPr>
          <w:szCs w:val="22"/>
        </w:rPr>
        <w:t>), (</w:t>
      </w:r>
      <w:proofErr w:type="spellStart"/>
      <w:r>
        <w:rPr>
          <w:szCs w:val="22"/>
        </w:rPr>
        <w:t>adsorbuota</w:t>
      </w:r>
      <w:proofErr w:type="spellEnd"/>
      <w:r>
        <w:rPr>
          <w:szCs w:val="22"/>
        </w:rPr>
        <w:t>, su mažesniu antigeno (-ų) kiekiu)</w:t>
      </w:r>
    </w:p>
    <w:p w14:paraId="79377E0F" w14:textId="77777777" w:rsidR="00F50FC7" w:rsidRPr="002C65CD" w:rsidRDefault="00F50FC7" w:rsidP="00F50FC7">
      <w:pPr>
        <w:tabs>
          <w:tab w:val="left" w:pos="567"/>
        </w:tabs>
      </w:pPr>
    </w:p>
    <w:p w14:paraId="60EBF8FD" w14:textId="77777777" w:rsidR="00F50FC7" w:rsidRPr="008D66EC" w:rsidRDefault="00F50FC7" w:rsidP="00F50FC7">
      <w:pPr>
        <w:tabs>
          <w:tab w:val="left" w:pos="567"/>
        </w:tabs>
      </w:pPr>
      <w:r>
        <w:rPr>
          <w:b/>
          <w:szCs w:val="22"/>
        </w:rPr>
        <w:t>Atidžiai perskaitykite visą šį lapelį, prieš suleidžiant šią vakciną Jums arba Jūsų vaikui, nes jame pateikiama Jums svarbi informacija.</w:t>
      </w:r>
    </w:p>
    <w:p w14:paraId="57BBF646" w14:textId="77777777" w:rsidR="00F50FC7" w:rsidRDefault="00F50FC7" w:rsidP="00F50FC7">
      <w:pPr>
        <w:tabs>
          <w:tab w:val="left" w:pos="567"/>
        </w:tabs>
        <w:rPr>
          <w:szCs w:val="22"/>
        </w:rPr>
      </w:pPr>
      <w:r>
        <w:rPr>
          <w:szCs w:val="22"/>
        </w:rPr>
        <w:t>-</w:t>
      </w:r>
      <w:r>
        <w:rPr>
          <w:szCs w:val="22"/>
        </w:rPr>
        <w:tab/>
        <w:t>Neišmeskite šio lapelio, nes vėl gali prireikti jį perskaityti.</w:t>
      </w:r>
    </w:p>
    <w:p w14:paraId="60E3B8A4" w14:textId="77777777" w:rsidR="00F50FC7" w:rsidRDefault="00F50FC7" w:rsidP="00F50FC7">
      <w:pPr>
        <w:tabs>
          <w:tab w:val="left" w:pos="567"/>
        </w:tabs>
        <w:rPr>
          <w:szCs w:val="22"/>
        </w:rPr>
      </w:pPr>
      <w:r>
        <w:rPr>
          <w:szCs w:val="22"/>
        </w:rPr>
        <w:t>-</w:t>
      </w:r>
      <w:r>
        <w:rPr>
          <w:szCs w:val="22"/>
        </w:rPr>
        <w:tab/>
        <w:t>Jeigu kiltų daugiau klausimų, kreipkitės į gydytoją arba vaistininką.</w:t>
      </w:r>
    </w:p>
    <w:p w14:paraId="1B2F43EC" w14:textId="77777777" w:rsidR="00F50FC7" w:rsidRDefault="00F50FC7" w:rsidP="00F50FC7">
      <w:pPr>
        <w:tabs>
          <w:tab w:val="left" w:pos="567"/>
        </w:tabs>
        <w:ind w:left="540" w:hanging="540"/>
        <w:rPr>
          <w:szCs w:val="22"/>
        </w:rPr>
      </w:pPr>
      <w:r>
        <w:rPr>
          <w:szCs w:val="22"/>
        </w:rPr>
        <w:t>-</w:t>
      </w:r>
      <w:r>
        <w:rPr>
          <w:szCs w:val="22"/>
        </w:rPr>
        <w:tab/>
        <w:t xml:space="preserve">Ši vakcina skirta tik Jums arba Jūsų vaikui, todėl kitiems žmonėms jos duoti negalima. </w:t>
      </w:r>
    </w:p>
    <w:p w14:paraId="7F4D6E20" w14:textId="325381CD" w:rsidR="00F50FC7" w:rsidRDefault="00F50FC7" w:rsidP="00F50FC7">
      <w:pPr>
        <w:tabs>
          <w:tab w:val="left" w:pos="567"/>
        </w:tabs>
        <w:ind w:left="540" w:hanging="540"/>
        <w:rPr>
          <w:szCs w:val="22"/>
        </w:rPr>
      </w:pPr>
      <w:r>
        <w:rPr>
          <w:szCs w:val="22"/>
        </w:rPr>
        <w:t>-</w:t>
      </w:r>
      <w:r>
        <w:rPr>
          <w:szCs w:val="22"/>
        </w:rPr>
        <w:tab/>
        <w:t>Jeigu pasireiškė šalutinis poveikis (net jeigu jis šiame lapelyje nenurodytas), kreipkitės į gydytoją arba vaistininką. Žr.</w:t>
      </w:r>
      <w:r w:rsidR="00871FF7">
        <w:rPr>
          <w:szCs w:val="22"/>
        </w:rPr>
        <w:t> </w:t>
      </w:r>
      <w:r>
        <w:rPr>
          <w:szCs w:val="22"/>
        </w:rPr>
        <w:t>4</w:t>
      </w:r>
      <w:r w:rsidR="00871FF7">
        <w:rPr>
          <w:szCs w:val="22"/>
        </w:rPr>
        <w:t> </w:t>
      </w:r>
      <w:r>
        <w:rPr>
          <w:szCs w:val="22"/>
        </w:rPr>
        <w:t>skyrių.</w:t>
      </w:r>
    </w:p>
    <w:p w14:paraId="5886C712" w14:textId="77777777" w:rsidR="00F50FC7" w:rsidRDefault="00F50FC7" w:rsidP="00F50FC7">
      <w:pPr>
        <w:tabs>
          <w:tab w:val="left" w:pos="567"/>
        </w:tabs>
        <w:rPr>
          <w:szCs w:val="22"/>
        </w:rPr>
      </w:pPr>
    </w:p>
    <w:p w14:paraId="458FEAB6" w14:textId="77777777" w:rsidR="00F50FC7" w:rsidRDefault="00F50FC7" w:rsidP="00F50FC7">
      <w:pPr>
        <w:tabs>
          <w:tab w:val="left" w:pos="567"/>
        </w:tabs>
        <w:rPr>
          <w:b/>
          <w:szCs w:val="22"/>
        </w:rPr>
      </w:pPr>
      <w:r>
        <w:rPr>
          <w:b/>
          <w:szCs w:val="22"/>
        </w:rPr>
        <w:t>Apie ką rašoma šiame lapelyje?</w:t>
      </w:r>
    </w:p>
    <w:p w14:paraId="3D2C148B" w14:textId="77777777" w:rsidR="00F50FC7" w:rsidRPr="00E90E50" w:rsidRDefault="00F50FC7" w:rsidP="00F50FC7">
      <w:pPr>
        <w:tabs>
          <w:tab w:val="left" w:pos="567"/>
        </w:tabs>
      </w:pPr>
    </w:p>
    <w:p w14:paraId="5F1CFCD3" w14:textId="77777777" w:rsidR="00F50FC7" w:rsidRDefault="00F50FC7" w:rsidP="00F50FC7">
      <w:pPr>
        <w:tabs>
          <w:tab w:val="left" w:pos="567"/>
        </w:tabs>
      </w:pPr>
      <w:r>
        <w:rPr>
          <w:szCs w:val="22"/>
        </w:rPr>
        <w:t>1.</w:t>
      </w:r>
      <w:r>
        <w:rPr>
          <w:szCs w:val="22"/>
        </w:rPr>
        <w:tab/>
        <w:t xml:space="preserve">Kas yra </w:t>
      </w:r>
      <w:proofErr w:type="spellStart"/>
      <w:r>
        <w:rPr>
          <w:szCs w:val="22"/>
        </w:rPr>
        <w:t>Boostrix</w:t>
      </w:r>
      <w:proofErr w:type="spellEnd"/>
      <w:r>
        <w:rPr>
          <w:szCs w:val="22"/>
        </w:rPr>
        <w:t xml:space="preserve"> ir kam ji vartojama</w:t>
      </w:r>
    </w:p>
    <w:p w14:paraId="761C0CCE" w14:textId="77777777" w:rsidR="00F50FC7" w:rsidRDefault="00F50FC7" w:rsidP="00F50FC7">
      <w:pPr>
        <w:tabs>
          <w:tab w:val="left" w:pos="567"/>
        </w:tabs>
      </w:pPr>
      <w:r>
        <w:rPr>
          <w:szCs w:val="22"/>
        </w:rPr>
        <w:t>2.</w:t>
      </w:r>
      <w:r>
        <w:rPr>
          <w:szCs w:val="22"/>
        </w:rPr>
        <w:tab/>
        <w:t xml:space="preserve">Kas žinotina prieš </w:t>
      </w:r>
      <w:r>
        <w:t xml:space="preserve">Jums ar Jūsų vaikui </w:t>
      </w:r>
      <w:r>
        <w:rPr>
          <w:szCs w:val="22"/>
        </w:rPr>
        <w:t xml:space="preserve">vartojant </w:t>
      </w:r>
      <w:proofErr w:type="spellStart"/>
      <w:r>
        <w:rPr>
          <w:szCs w:val="22"/>
        </w:rPr>
        <w:t>Boostrix</w:t>
      </w:r>
      <w:proofErr w:type="spellEnd"/>
      <w:r>
        <w:rPr>
          <w:szCs w:val="22"/>
        </w:rPr>
        <w:t xml:space="preserve"> </w:t>
      </w:r>
    </w:p>
    <w:p w14:paraId="2D243917" w14:textId="77777777" w:rsidR="00F50FC7" w:rsidRDefault="00F50FC7" w:rsidP="00F50FC7">
      <w:pPr>
        <w:tabs>
          <w:tab w:val="left" w:pos="567"/>
        </w:tabs>
        <w:rPr>
          <w:szCs w:val="22"/>
        </w:rPr>
      </w:pPr>
      <w:r>
        <w:rPr>
          <w:szCs w:val="22"/>
        </w:rPr>
        <w:t>3.</w:t>
      </w:r>
      <w:r>
        <w:rPr>
          <w:szCs w:val="22"/>
        </w:rPr>
        <w:tab/>
        <w:t xml:space="preserve">Kaip vartoti </w:t>
      </w:r>
      <w:proofErr w:type="spellStart"/>
      <w:r>
        <w:rPr>
          <w:szCs w:val="22"/>
        </w:rPr>
        <w:t>Boostrix</w:t>
      </w:r>
      <w:proofErr w:type="spellEnd"/>
      <w:r>
        <w:rPr>
          <w:szCs w:val="22"/>
        </w:rPr>
        <w:t xml:space="preserve"> </w:t>
      </w:r>
    </w:p>
    <w:p w14:paraId="61AF03BE" w14:textId="77777777" w:rsidR="00F50FC7" w:rsidRDefault="00F50FC7" w:rsidP="00F50FC7">
      <w:pPr>
        <w:tabs>
          <w:tab w:val="left" w:pos="567"/>
        </w:tabs>
        <w:rPr>
          <w:szCs w:val="22"/>
        </w:rPr>
      </w:pPr>
      <w:r>
        <w:rPr>
          <w:szCs w:val="22"/>
        </w:rPr>
        <w:t>4.</w:t>
      </w:r>
      <w:r>
        <w:rPr>
          <w:szCs w:val="22"/>
        </w:rPr>
        <w:tab/>
        <w:t>Galimas šalutinis poveikis</w:t>
      </w:r>
    </w:p>
    <w:p w14:paraId="122F6871" w14:textId="77777777" w:rsidR="00F50FC7" w:rsidRDefault="00F50FC7" w:rsidP="00F50FC7">
      <w:pPr>
        <w:tabs>
          <w:tab w:val="left" w:pos="567"/>
        </w:tabs>
        <w:rPr>
          <w:szCs w:val="22"/>
        </w:rPr>
      </w:pPr>
      <w:r>
        <w:rPr>
          <w:szCs w:val="22"/>
        </w:rPr>
        <w:t>5.</w:t>
      </w:r>
      <w:r>
        <w:rPr>
          <w:szCs w:val="22"/>
        </w:rPr>
        <w:tab/>
        <w:t xml:space="preserve">Kaip laikyti </w:t>
      </w:r>
      <w:proofErr w:type="spellStart"/>
      <w:r>
        <w:rPr>
          <w:szCs w:val="22"/>
        </w:rPr>
        <w:t>Boostrix</w:t>
      </w:r>
      <w:proofErr w:type="spellEnd"/>
      <w:r>
        <w:rPr>
          <w:szCs w:val="22"/>
        </w:rPr>
        <w:t xml:space="preserve"> </w:t>
      </w:r>
    </w:p>
    <w:p w14:paraId="3FC6776A" w14:textId="77777777" w:rsidR="00F50FC7" w:rsidRDefault="00F50FC7" w:rsidP="00F50FC7">
      <w:pPr>
        <w:tabs>
          <w:tab w:val="left" w:pos="567"/>
        </w:tabs>
        <w:rPr>
          <w:szCs w:val="22"/>
        </w:rPr>
      </w:pPr>
      <w:r>
        <w:rPr>
          <w:szCs w:val="22"/>
        </w:rPr>
        <w:t>6.</w:t>
      </w:r>
      <w:r>
        <w:rPr>
          <w:szCs w:val="22"/>
        </w:rPr>
        <w:tab/>
        <w:t>Pakuotės turinys ir kita informacija</w:t>
      </w:r>
    </w:p>
    <w:p w14:paraId="3BDFF879" w14:textId="77777777" w:rsidR="00F50FC7" w:rsidRDefault="00F50FC7" w:rsidP="00F50FC7">
      <w:pPr>
        <w:tabs>
          <w:tab w:val="left" w:pos="567"/>
        </w:tabs>
        <w:rPr>
          <w:szCs w:val="22"/>
        </w:rPr>
      </w:pPr>
    </w:p>
    <w:p w14:paraId="1A4C0111" w14:textId="77777777" w:rsidR="00F50FC7" w:rsidRPr="002C65CD" w:rsidRDefault="00F50FC7" w:rsidP="000B6C00">
      <w:pPr>
        <w:pStyle w:val="BTEMEASMCA"/>
      </w:pPr>
    </w:p>
    <w:p w14:paraId="70D1AB1C" w14:textId="69726117" w:rsidR="00F50FC7" w:rsidRDefault="00F50FC7" w:rsidP="00F50FC7">
      <w:pPr>
        <w:pStyle w:val="PI-1EMEASMCA"/>
      </w:pPr>
      <w:bookmarkStart w:id="69" w:name="_Toc129243139"/>
      <w:bookmarkStart w:id="70" w:name="_Toc129243264"/>
      <w:r>
        <w:t>1.</w:t>
      </w:r>
      <w:r>
        <w:tab/>
        <w:t xml:space="preserve">Kas yra </w:t>
      </w:r>
      <w:proofErr w:type="spellStart"/>
      <w:r>
        <w:t>Boostrix</w:t>
      </w:r>
      <w:proofErr w:type="spellEnd"/>
      <w:r>
        <w:t xml:space="preserve"> ir kam ji vartojama</w:t>
      </w:r>
      <w:bookmarkEnd w:id="69"/>
      <w:bookmarkEnd w:id="70"/>
    </w:p>
    <w:p w14:paraId="369E4B61" w14:textId="77777777" w:rsidR="00F50FC7" w:rsidRPr="002C65CD" w:rsidRDefault="00F50FC7" w:rsidP="000B6C00">
      <w:pPr>
        <w:pStyle w:val="BTEMEASMCA"/>
      </w:pPr>
    </w:p>
    <w:p w14:paraId="71BEABF7" w14:textId="77777777" w:rsidR="00F50FC7" w:rsidRDefault="00F50FC7" w:rsidP="00F50FC7">
      <w:pPr>
        <w:tabs>
          <w:tab w:val="left" w:pos="567"/>
        </w:tabs>
      </w:pPr>
      <w:proofErr w:type="spellStart"/>
      <w:r>
        <w:rPr>
          <w:szCs w:val="22"/>
        </w:rPr>
        <w:t>Boostrix</w:t>
      </w:r>
      <w:proofErr w:type="spellEnd"/>
      <w:r>
        <w:rPr>
          <w:szCs w:val="22"/>
        </w:rPr>
        <w:t xml:space="preserve"> vakcina vartojama vyresnių kaip 4 metų vaikų, paauglių ir suaugusiųjų </w:t>
      </w:r>
      <w:proofErr w:type="spellStart"/>
      <w:r>
        <w:rPr>
          <w:szCs w:val="22"/>
        </w:rPr>
        <w:t>revakcinacijai</w:t>
      </w:r>
      <w:proofErr w:type="spellEnd"/>
      <w:r>
        <w:rPr>
          <w:szCs w:val="22"/>
        </w:rPr>
        <w:t>, norint juos apsaugoti nuo trijų ligų: difterijos, stabligės ir kokliušo. Vakcina sužadina organizme apsaugą (antikūnų gamybą) nuo šių ligų.</w:t>
      </w:r>
    </w:p>
    <w:p w14:paraId="3AD819DE" w14:textId="77777777" w:rsidR="00F50FC7" w:rsidRDefault="00F50FC7" w:rsidP="00E90E50">
      <w:pPr>
        <w:tabs>
          <w:tab w:val="left" w:pos="567"/>
        </w:tabs>
        <w:rPr>
          <w:szCs w:val="22"/>
        </w:rPr>
      </w:pPr>
    </w:p>
    <w:p w14:paraId="0F652C4C" w14:textId="77777777" w:rsidR="00F50FC7" w:rsidRDefault="00F50FC7" w:rsidP="00F50FC7">
      <w:pPr>
        <w:numPr>
          <w:ilvl w:val="0"/>
          <w:numId w:val="5"/>
        </w:numPr>
        <w:tabs>
          <w:tab w:val="left" w:pos="567"/>
        </w:tabs>
        <w:ind w:left="567" w:hanging="567"/>
      </w:pPr>
      <w:r>
        <w:rPr>
          <w:b/>
          <w:szCs w:val="22"/>
        </w:rPr>
        <w:t>Difterija.</w:t>
      </w:r>
      <w:r>
        <w:rPr>
          <w:szCs w:val="22"/>
        </w:rPr>
        <w:t xml:space="preserve"> Difterija labiausiai pažeidžia kvėpavimo takus ir kartais odą. Paprastai pasireiškia kvėpavimo takų uždegimas (patinimas), dėl kurio labai pasunkėja kvėpavimas, kartais galimas uždusimas. Be to, bakterijos išskiria toksiną (nuodą), kuris gali sukelti nervų pažaidą, širdies ligas ar net mirtį.</w:t>
      </w:r>
    </w:p>
    <w:p w14:paraId="37612080" w14:textId="77777777" w:rsidR="00F50FC7" w:rsidRDefault="00F50FC7" w:rsidP="00F50FC7">
      <w:pPr>
        <w:tabs>
          <w:tab w:val="left" w:pos="567"/>
        </w:tabs>
        <w:ind w:left="567" w:hanging="567"/>
        <w:rPr>
          <w:szCs w:val="22"/>
        </w:rPr>
      </w:pPr>
    </w:p>
    <w:p w14:paraId="24288D84" w14:textId="77777777" w:rsidR="00F50FC7" w:rsidRDefault="00F50FC7" w:rsidP="00F50FC7">
      <w:pPr>
        <w:numPr>
          <w:ilvl w:val="0"/>
          <w:numId w:val="5"/>
        </w:numPr>
        <w:tabs>
          <w:tab w:val="left" w:pos="567"/>
        </w:tabs>
        <w:ind w:left="567" w:hanging="567"/>
      </w:pPr>
      <w:r>
        <w:rPr>
          <w:b/>
          <w:szCs w:val="22"/>
        </w:rPr>
        <w:t xml:space="preserve">Stabligė. </w:t>
      </w:r>
      <w:r>
        <w:rPr>
          <w:szCs w:val="22"/>
        </w:rPr>
        <w:t>Stabligės bakterija patenka į organizmą per odos įpjovimus, įdrėskimus ar žaizdas. Žaizdos, kurios ypač linkusios į infekciją – tai nudegimai, lūžiai, gilios žaizdos ir žemėmis, dulkėmis ar arklių išmatomis (mėšlu) užterštos žaizdos, sužeidimai medžio atplaišomis. Bakterijos išskiria toksiną (nuodą), kuris gali sukelti raumenų sąstingį, skausmingus raumenų spazmus, traukulius ar net mirtį. Raumenų spazmai gali būti tokie stiprūs, kad gali sulaužyti stuburo kaulus.</w:t>
      </w:r>
    </w:p>
    <w:p w14:paraId="42C9D193" w14:textId="77777777" w:rsidR="00F50FC7" w:rsidRDefault="00F50FC7" w:rsidP="00F50FC7">
      <w:pPr>
        <w:tabs>
          <w:tab w:val="left" w:pos="567"/>
        </w:tabs>
        <w:ind w:left="567" w:hanging="567"/>
        <w:rPr>
          <w:szCs w:val="22"/>
        </w:rPr>
      </w:pPr>
    </w:p>
    <w:p w14:paraId="5379DF53" w14:textId="77777777" w:rsidR="00F50FC7" w:rsidRDefault="00F50FC7" w:rsidP="00F50FC7">
      <w:pPr>
        <w:numPr>
          <w:ilvl w:val="0"/>
          <w:numId w:val="5"/>
        </w:numPr>
        <w:tabs>
          <w:tab w:val="left" w:pos="567"/>
        </w:tabs>
        <w:ind w:left="567" w:hanging="567"/>
      </w:pPr>
      <w:r>
        <w:rPr>
          <w:b/>
          <w:szCs w:val="22"/>
        </w:rPr>
        <w:t>Kokliušas.</w:t>
      </w:r>
      <w:r>
        <w:rPr>
          <w:szCs w:val="22"/>
        </w:rPr>
        <w:t xml:space="preserve"> Kokliušas yra labai užkrečiama liga. Liga pažeidžia kvėpavimo takus, sukeldama sunkius kosulio priepuolius, kurie gali sutrikdyti normalų kvėpavimą. Kokliušui būdingas savotiškas kosulys su garsiais įkvėpimais. Kosėjama 1</w:t>
      </w:r>
      <w:r>
        <w:rPr>
          <w:szCs w:val="22"/>
        </w:rPr>
        <w:noBreakHyphen/>
        <w:t>2 mėnesius ar ilgiau. Kokliušas taip pat gali sukelti ausų infekcijas, bronchitą, kuris gali trukti ilgą laiką, pneumoniją, traukulius, smegenų pažaidą ar net mirtį.</w:t>
      </w:r>
    </w:p>
    <w:p w14:paraId="057954B6" w14:textId="77777777" w:rsidR="00F50FC7" w:rsidRDefault="00F50FC7" w:rsidP="00F50FC7">
      <w:pPr>
        <w:tabs>
          <w:tab w:val="left" w:pos="567"/>
        </w:tabs>
        <w:rPr>
          <w:szCs w:val="22"/>
        </w:rPr>
      </w:pPr>
    </w:p>
    <w:p w14:paraId="1AB390A1" w14:textId="77777777" w:rsidR="00F50FC7" w:rsidRDefault="00F50FC7" w:rsidP="00F50FC7">
      <w:pPr>
        <w:tabs>
          <w:tab w:val="left" w:pos="567"/>
        </w:tabs>
      </w:pPr>
      <w:r>
        <w:rPr>
          <w:szCs w:val="22"/>
        </w:rPr>
        <w:t>Nė viena vakcinos sudėtyje esančių medžiagų nesukelia difterijos, stabligės, ar kokliušo.</w:t>
      </w:r>
    </w:p>
    <w:p w14:paraId="75C0210A" w14:textId="77777777" w:rsidR="00F50FC7" w:rsidRDefault="00F50FC7" w:rsidP="00F50FC7">
      <w:pPr>
        <w:tabs>
          <w:tab w:val="left" w:pos="567"/>
        </w:tabs>
        <w:rPr>
          <w:szCs w:val="22"/>
        </w:rPr>
      </w:pPr>
    </w:p>
    <w:p w14:paraId="66C07172" w14:textId="77777777" w:rsidR="00F50FC7" w:rsidRPr="002C65CD" w:rsidRDefault="00F50FC7" w:rsidP="00F50FC7">
      <w:pPr>
        <w:tabs>
          <w:tab w:val="left" w:pos="567"/>
        </w:tabs>
      </w:pPr>
      <w:bookmarkStart w:id="71" w:name="_Hlk55026461"/>
      <w:r>
        <w:t xml:space="preserve">Paskiepijimas </w:t>
      </w:r>
      <w:proofErr w:type="spellStart"/>
      <w:r>
        <w:t>Boostrix</w:t>
      </w:r>
      <w:proofErr w:type="spellEnd"/>
      <w:r w:rsidRPr="003A1185">
        <w:t xml:space="preserve"> nėštumo metu padės apsaugoti </w:t>
      </w:r>
      <w:r>
        <w:t>J</w:t>
      </w:r>
      <w:r w:rsidRPr="003A1185">
        <w:t xml:space="preserve">ūsų kūdikį nuo kokliušo pirmaisiais gyvenimo mėnesiais, kol jis </w:t>
      </w:r>
      <w:r>
        <w:t>ar</w:t>
      </w:r>
      <w:r w:rsidRPr="003A1185">
        <w:t xml:space="preserve"> ji nebus </w:t>
      </w:r>
      <w:r>
        <w:t>pa</w:t>
      </w:r>
      <w:r w:rsidRPr="003A1185">
        <w:t>skiep</w:t>
      </w:r>
      <w:r>
        <w:t>yt</w:t>
      </w:r>
      <w:r w:rsidRPr="003A1185">
        <w:t>i.</w:t>
      </w:r>
    </w:p>
    <w:p w14:paraId="7FCD0325" w14:textId="6403AA29" w:rsidR="00F50FC7" w:rsidRDefault="00F50FC7" w:rsidP="00F50FC7">
      <w:pPr>
        <w:pStyle w:val="PI-1EMEASMCA"/>
      </w:pPr>
      <w:bookmarkStart w:id="72" w:name="_Toc129243140"/>
      <w:bookmarkStart w:id="73" w:name="_Toc129243265"/>
      <w:bookmarkEnd w:id="71"/>
      <w:r>
        <w:lastRenderedPageBreak/>
        <w:t>2.</w:t>
      </w:r>
      <w:r>
        <w:tab/>
        <w:t xml:space="preserve">Kas žinotina prieš Jums ar Jūsų vaikui vartojant </w:t>
      </w:r>
      <w:proofErr w:type="spellStart"/>
      <w:r>
        <w:t>Boostrix</w:t>
      </w:r>
      <w:bookmarkEnd w:id="72"/>
      <w:bookmarkEnd w:id="73"/>
      <w:proofErr w:type="spellEnd"/>
    </w:p>
    <w:p w14:paraId="76FE8F62" w14:textId="77777777" w:rsidR="00F50FC7" w:rsidRPr="002C65CD" w:rsidRDefault="00F50FC7" w:rsidP="000B6C00">
      <w:pPr>
        <w:pStyle w:val="BTEMEASMCA"/>
      </w:pPr>
    </w:p>
    <w:p w14:paraId="1ECFA701" w14:textId="48A7613A" w:rsidR="00F50FC7" w:rsidRDefault="00F50FC7" w:rsidP="00F50FC7">
      <w:pPr>
        <w:pStyle w:val="PI-3EMEASMCA"/>
      </w:pPr>
      <w:proofErr w:type="spellStart"/>
      <w:r>
        <w:t>Boostrix</w:t>
      </w:r>
      <w:proofErr w:type="spellEnd"/>
      <w:r>
        <w:t xml:space="preserve"> vartoti </w:t>
      </w:r>
      <w:r w:rsidR="00871FF7">
        <w:t>draudžiama</w:t>
      </w:r>
      <w:r>
        <w:t>:</w:t>
      </w:r>
    </w:p>
    <w:p w14:paraId="1F468358" w14:textId="77777777" w:rsidR="00F50FC7" w:rsidRPr="00E90E50" w:rsidRDefault="00F50FC7" w:rsidP="00F50FC7">
      <w:pPr>
        <w:pStyle w:val="PI-3EMEASMCA"/>
        <w:rPr>
          <w:b w:val="0"/>
        </w:rPr>
      </w:pPr>
    </w:p>
    <w:p w14:paraId="6F29805C" w14:textId="2A74A3AC" w:rsidR="00F50FC7" w:rsidRPr="008D66EC" w:rsidRDefault="00F50FC7" w:rsidP="00F50FC7">
      <w:pPr>
        <w:pStyle w:val="Pagrindinistekstas"/>
        <w:numPr>
          <w:ilvl w:val="0"/>
          <w:numId w:val="6"/>
        </w:numPr>
        <w:spacing w:after="0"/>
        <w:ind w:left="567" w:hanging="567"/>
      </w:pPr>
      <w:r>
        <w:rPr>
          <w:sz w:val="22"/>
        </w:rPr>
        <w:t xml:space="preserve">jeigu Jums ar Jūsų vaikui </w:t>
      </w:r>
      <w:r>
        <w:rPr>
          <w:sz w:val="22"/>
          <w:szCs w:val="22"/>
        </w:rPr>
        <w:t xml:space="preserve">pirmiau buvo pasireiškusi alerginė reakcija </w:t>
      </w:r>
      <w:proofErr w:type="spellStart"/>
      <w:r>
        <w:rPr>
          <w:sz w:val="22"/>
          <w:szCs w:val="22"/>
        </w:rPr>
        <w:t>Boostrix</w:t>
      </w:r>
      <w:proofErr w:type="spellEnd"/>
      <w:r>
        <w:rPr>
          <w:sz w:val="22"/>
          <w:szCs w:val="22"/>
        </w:rPr>
        <w:t xml:space="preserve"> arba </w:t>
      </w:r>
      <w:r>
        <w:rPr>
          <w:sz w:val="22"/>
        </w:rPr>
        <w:t xml:space="preserve">bet kuriai pagalbinei </w:t>
      </w:r>
      <w:r>
        <w:rPr>
          <w:sz w:val="22"/>
          <w:szCs w:val="22"/>
        </w:rPr>
        <w:t>šios vakcinos</w:t>
      </w:r>
      <w:r>
        <w:rPr>
          <w:sz w:val="22"/>
        </w:rPr>
        <w:t xml:space="preserve"> medžiagai (jos išvardytos 6</w:t>
      </w:r>
      <w:r w:rsidRPr="002C65CD">
        <w:rPr>
          <w:sz w:val="22"/>
        </w:rPr>
        <w:t> </w:t>
      </w:r>
      <w:r>
        <w:rPr>
          <w:sz w:val="22"/>
        </w:rPr>
        <w:t>skyriuje)</w:t>
      </w:r>
      <w:r w:rsidR="00B21892">
        <w:rPr>
          <w:sz w:val="22"/>
        </w:rPr>
        <w:t xml:space="preserve"> arba </w:t>
      </w:r>
      <w:proofErr w:type="spellStart"/>
      <w:r w:rsidR="00B21892">
        <w:rPr>
          <w:sz w:val="22"/>
        </w:rPr>
        <w:t>formaldehidui</w:t>
      </w:r>
      <w:proofErr w:type="spellEnd"/>
      <w:r>
        <w:rPr>
          <w:sz w:val="22"/>
        </w:rPr>
        <w:t xml:space="preserve">. </w:t>
      </w:r>
      <w:r>
        <w:rPr>
          <w:sz w:val="22"/>
          <w:szCs w:val="22"/>
        </w:rPr>
        <w:t>Alerginė reakcija gali pasireikšti odos išbėrimu, dusuliu ir veido ar liežuvio patinimu;</w:t>
      </w:r>
    </w:p>
    <w:p w14:paraId="262E4EDF" w14:textId="77777777" w:rsidR="00F50FC7" w:rsidRDefault="00F50FC7" w:rsidP="00F50FC7">
      <w:pPr>
        <w:numPr>
          <w:ilvl w:val="1"/>
          <w:numId w:val="6"/>
        </w:numPr>
        <w:ind w:left="567" w:hanging="567"/>
      </w:pPr>
      <w:r>
        <w:rPr>
          <w:szCs w:val="22"/>
        </w:rPr>
        <w:t>jeigu Jums arba Jūsų vaikui pirmiau buvo pasireiškusi alerginė reakcija bet kuriai vakcinai nuo difterijos, stabligės arba kokliušo ligų;</w:t>
      </w:r>
    </w:p>
    <w:p w14:paraId="599487D1" w14:textId="77777777" w:rsidR="00F50FC7" w:rsidRDefault="00F50FC7" w:rsidP="00F50FC7">
      <w:pPr>
        <w:numPr>
          <w:ilvl w:val="0"/>
          <w:numId w:val="7"/>
        </w:numPr>
        <w:ind w:left="567" w:hanging="567"/>
      </w:pPr>
      <w:r>
        <w:rPr>
          <w:szCs w:val="22"/>
        </w:rPr>
        <w:t>jeigu Jums arba Jūsų vaikui pirmiau buvo pasireiškę nervų sistemos sutrikimai (</w:t>
      </w:r>
      <w:proofErr w:type="spellStart"/>
      <w:r>
        <w:rPr>
          <w:szCs w:val="22"/>
        </w:rPr>
        <w:t>encefalopatija</w:t>
      </w:r>
      <w:proofErr w:type="spellEnd"/>
      <w:r>
        <w:rPr>
          <w:szCs w:val="22"/>
        </w:rPr>
        <w:t>) per 7 paras po ankstesnio skiepijimo vakcina nuo kokliušo ligos;</w:t>
      </w:r>
    </w:p>
    <w:p w14:paraId="322B4FB8" w14:textId="77777777" w:rsidR="00F50FC7" w:rsidRDefault="00F50FC7" w:rsidP="00F50FC7">
      <w:pPr>
        <w:numPr>
          <w:ilvl w:val="0"/>
          <w:numId w:val="7"/>
        </w:numPr>
        <w:ind w:left="567" w:hanging="567"/>
      </w:pPr>
      <w:r>
        <w:rPr>
          <w:szCs w:val="22"/>
        </w:rPr>
        <w:t>jeigu Jūs arba Jūsų vaikas serga sunkia infekcine liga su kūno temperatūros padidėjimu (daugiau kaip 38 °C). Nesunki infekcija neturėtų būti problema, bet prieš skiepijimą pasitarkite su savo gydytoju;</w:t>
      </w:r>
    </w:p>
    <w:p w14:paraId="429E03CF" w14:textId="77777777" w:rsidR="00F50FC7" w:rsidRDefault="00F50FC7" w:rsidP="00F50FC7">
      <w:pPr>
        <w:numPr>
          <w:ilvl w:val="0"/>
          <w:numId w:val="7"/>
        </w:numPr>
        <w:ind w:left="567" w:hanging="567"/>
      </w:pPr>
      <w:r>
        <w:rPr>
          <w:szCs w:val="22"/>
        </w:rPr>
        <w:t>jeigu Jums ar Jūsų vaikui buvo laikinai sumažėjęs trombocitų kiekis kraujyje (tai padidina kraujavimo ir kraujosruvų riziką) arba pasireiškė smegenų ar nervų sutrikimai po ankstesnio skiepijimo vakcina nuo difterijos ir (ar) stabligės.</w:t>
      </w:r>
    </w:p>
    <w:p w14:paraId="4304FE5B" w14:textId="77777777" w:rsidR="00F50FC7" w:rsidRDefault="00F50FC7" w:rsidP="00F50FC7">
      <w:pPr>
        <w:tabs>
          <w:tab w:val="left" w:pos="567"/>
        </w:tabs>
        <w:rPr>
          <w:szCs w:val="22"/>
        </w:rPr>
      </w:pPr>
    </w:p>
    <w:p w14:paraId="319EC0F3" w14:textId="77777777" w:rsidR="00F50FC7" w:rsidRDefault="00F50FC7" w:rsidP="00F50FC7">
      <w:pPr>
        <w:pStyle w:val="PI-3EMEASMCA"/>
      </w:pPr>
      <w:r>
        <w:t>Įspėjimai ir atsargumo priemonės</w:t>
      </w:r>
    </w:p>
    <w:p w14:paraId="325D0697" w14:textId="77777777" w:rsidR="00F50FC7" w:rsidRPr="00E90E50" w:rsidRDefault="00F50FC7" w:rsidP="00F50FC7">
      <w:pPr>
        <w:pStyle w:val="PI-3EMEASMCA"/>
        <w:rPr>
          <w:b w:val="0"/>
        </w:rPr>
      </w:pPr>
    </w:p>
    <w:p w14:paraId="35D2A04E" w14:textId="77777777" w:rsidR="00F50FC7" w:rsidRDefault="00F50FC7" w:rsidP="00F50FC7">
      <w:pPr>
        <w:tabs>
          <w:tab w:val="left" w:pos="567"/>
        </w:tabs>
      </w:pPr>
      <w:r w:rsidRPr="008D66EC">
        <w:rPr>
          <w:b/>
        </w:rPr>
        <w:t xml:space="preserve">Pasitarkite su </w:t>
      </w:r>
      <w:r>
        <w:rPr>
          <w:b/>
          <w:bCs/>
          <w:szCs w:val="22"/>
        </w:rPr>
        <w:t xml:space="preserve">savo </w:t>
      </w:r>
      <w:r w:rsidRPr="008D66EC">
        <w:rPr>
          <w:b/>
        </w:rPr>
        <w:t xml:space="preserve">gydytoju </w:t>
      </w:r>
      <w:r>
        <w:rPr>
          <w:b/>
          <w:bCs/>
          <w:szCs w:val="22"/>
        </w:rPr>
        <w:t xml:space="preserve">arba vaistininku </w:t>
      </w:r>
      <w:r w:rsidRPr="008D66EC">
        <w:rPr>
          <w:b/>
        </w:rPr>
        <w:t xml:space="preserve">prieš </w:t>
      </w:r>
      <w:r>
        <w:rPr>
          <w:b/>
          <w:bCs/>
          <w:szCs w:val="22"/>
        </w:rPr>
        <w:t>Jums arba Jūsų vaikui suleidžiant</w:t>
      </w:r>
      <w:r w:rsidRPr="008D66EC">
        <w:rPr>
          <w:b/>
        </w:rPr>
        <w:t xml:space="preserve"> </w:t>
      </w:r>
      <w:proofErr w:type="spellStart"/>
      <w:r w:rsidRPr="008D66EC">
        <w:rPr>
          <w:b/>
        </w:rPr>
        <w:t>Boostrix</w:t>
      </w:r>
      <w:proofErr w:type="spellEnd"/>
      <w:r w:rsidRPr="008D66EC">
        <w:rPr>
          <w:b/>
        </w:rPr>
        <w:t>:</w:t>
      </w:r>
    </w:p>
    <w:p w14:paraId="6C5C94D1" w14:textId="77777777" w:rsidR="00F50FC7" w:rsidRPr="00E90E50" w:rsidRDefault="00F50FC7" w:rsidP="00F50FC7">
      <w:pPr>
        <w:tabs>
          <w:tab w:val="left" w:pos="567"/>
        </w:tabs>
      </w:pPr>
    </w:p>
    <w:p w14:paraId="36C616E1" w14:textId="77777777" w:rsidR="00F50FC7" w:rsidRDefault="00F50FC7" w:rsidP="00F50FC7">
      <w:pPr>
        <w:numPr>
          <w:ilvl w:val="0"/>
          <w:numId w:val="8"/>
        </w:numPr>
        <w:tabs>
          <w:tab w:val="left" w:pos="567"/>
        </w:tabs>
        <w:ind w:left="567" w:hanging="567"/>
      </w:pPr>
      <w:r>
        <w:rPr>
          <w:szCs w:val="22"/>
        </w:rPr>
        <w:t xml:space="preserve">jeigu pirmiau po </w:t>
      </w:r>
      <w:bookmarkStart w:id="74" w:name="_Hlk26032360"/>
      <w:r>
        <w:rPr>
          <w:szCs w:val="22"/>
        </w:rPr>
        <w:t>paskiepijimo</w:t>
      </w:r>
      <w:bookmarkEnd w:id="74"/>
      <w:r>
        <w:rPr>
          <w:szCs w:val="22"/>
        </w:rPr>
        <w:t xml:space="preserve"> </w:t>
      </w:r>
      <w:proofErr w:type="spellStart"/>
      <w:r>
        <w:rPr>
          <w:szCs w:val="22"/>
        </w:rPr>
        <w:t>Boostrix</w:t>
      </w:r>
      <w:proofErr w:type="spellEnd"/>
      <w:r>
        <w:rPr>
          <w:szCs w:val="22"/>
        </w:rPr>
        <w:t xml:space="preserve"> arba kita vakcina nuo kokliušo Jums arba Jūsų vaikui kilo kokių nors problemų, ypač:</w:t>
      </w:r>
    </w:p>
    <w:p w14:paraId="68688071" w14:textId="7B5D8110" w:rsidR="00F50FC7" w:rsidRDefault="00F50FC7" w:rsidP="00F50FC7">
      <w:pPr>
        <w:numPr>
          <w:ilvl w:val="1"/>
          <w:numId w:val="8"/>
        </w:numPr>
        <w:tabs>
          <w:tab w:val="left" w:pos="-873"/>
          <w:tab w:val="left" w:pos="0"/>
        </w:tabs>
      </w:pPr>
      <w:r>
        <w:rPr>
          <w:szCs w:val="22"/>
        </w:rPr>
        <w:t>pakilo aukšta kūno temperatūra (daugiau kaip 40</w:t>
      </w:r>
      <w:r w:rsidR="00EE58BF">
        <w:rPr>
          <w:szCs w:val="22"/>
        </w:rPr>
        <w:t> </w:t>
      </w:r>
      <w:r>
        <w:rPr>
          <w:szCs w:val="22"/>
        </w:rPr>
        <w:t>°C) per 48 valandas po paskiepijimo;</w:t>
      </w:r>
    </w:p>
    <w:p w14:paraId="0C144C91" w14:textId="77777777" w:rsidR="00F50FC7" w:rsidRDefault="00F50FC7" w:rsidP="00F50FC7">
      <w:pPr>
        <w:numPr>
          <w:ilvl w:val="1"/>
          <w:numId w:val="8"/>
        </w:numPr>
        <w:tabs>
          <w:tab w:val="left" w:pos="-873"/>
          <w:tab w:val="left" w:pos="0"/>
        </w:tabs>
      </w:pPr>
      <w:r>
        <w:rPr>
          <w:szCs w:val="22"/>
        </w:rPr>
        <w:t>atsirado ūmus kraujagyslių funkcijos nepakankamumas ar į šoką panaši būklė per 48 valandas po paskiepijimo;</w:t>
      </w:r>
    </w:p>
    <w:p w14:paraId="01C9FE2B" w14:textId="77777777" w:rsidR="00F50FC7" w:rsidRDefault="00F50FC7" w:rsidP="00F50FC7">
      <w:pPr>
        <w:numPr>
          <w:ilvl w:val="1"/>
          <w:numId w:val="8"/>
        </w:numPr>
        <w:tabs>
          <w:tab w:val="left" w:pos="-873"/>
          <w:tab w:val="left" w:pos="0"/>
        </w:tabs>
      </w:pPr>
      <w:r>
        <w:rPr>
          <w:szCs w:val="22"/>
        </w:rPr>
        <w:t>3 valandas ar ilgiau trunkantis verkimas per 48 valandas po paskiepijimo;</w:t>
      </w:r>
    </w:p>
    <w:p w14:paraId="3D286088" w14:textId="77777777" w:rsidR="00F50FC7" w:rsidRDefault="00F50FC7" w:rsidP="00F50FC7">
      <w:pPr>
        <w:numPr>
          <w:ilvl w:val="1"/>
          <w:numId w:val="8"/>
        </w:numPr>
        <w:tabs>
          <w:tab w:val="left" w:pos="-873"/>
          <w:tab w:val="left" w:pos="0"/>
        </w:tabs>
      </w:pPr>
      <w:r>
        <w:rPr>
          <w:szCs w:val="22"/>
        </w:rPr>
        <w:t>traukuliai ar priepuoliai karščiuojant ar nekarščiuojant per 3 paras po paskiepijimo.</w:t>
      </w:r>
    </w:p>
    <w:p w14:paraId="510C21FE" w14:textId="77777777" w:rsidR="00F50FC7" w:rsidRPr="002C65CD" w:rsidRDefault="00F50FC7" w:rsidP="00F50FC7">
      <w:pPr>
        <w:numPr>
          <w:ilvl w:val="2"/>
          <w:numId w:val="8"/>
        </w:numPr>
        <w:ind w:left="567" w:hanging="567"/>
      </w:pPr>
      <w:r w:rsidRPr="002C65CD">
        <w:t xml:space="preserve">jeigu Jūsų vaikas serga nediagnozuota ar progresuojančia liga, pažeidžiančia </w:t>
      </w:r>
      <w:r>
        <w:t xml:space="preserve">galvos </w:t>
      </w:r>
      <w:r w:rsidRPr="002C65CD">
        <w:t>smegenis</w:t>
      </w:r>
      <w:r>
        <w:t>,</w:t>
      </w:r>
      <w:r w:rsidRPr="002C65CD">
        <w:t xml:space="preserve"> arba nekontroliuojama epilepsija</w:t>
      </w:r>
      <w:r>
        <w:t>. Vakcina turi būti suleista atstačius ligos kontrolę</w:t>
      </w:r>
      <w:r w:rsidRPr="002C65CD">
        <w:t>;</w:t>
      </w:r>
    </w:p>
    <w:p w14:paraId="5980DCEC" w14:textId="77777777" w:rsidR="00F50FC7" w:rsidRDefault="00F50FC7" w:rsidP="00F50FC7">
      <w:pPr>
        <w:numPr>
          <w:ilvl w:val="2"/>
          <w:numId w:val="8"/>
        </w:numPr>
        <w:ind w:left="567" w:hanging="567"/>
      </w:pPr>
      <w:r>
        <w:rPr>
          <w:szCs w:val="22"/>
        </w:rPr>
        <w:t>jeigu Jūs turite arba Jūsų vaikas turi kraujavimo sutrikimų arba jums ar Jūsų vaikui lengvai atsiranda kraujosruvų;</w:t>
      </w:r>
    </w:p>
    <w:p w14:paraId="3FA826CC" w14:textId="77777777" w:rsidR="00F50FC7" w:rsidRDefault="00F50FC7" w:rsidP="00F50FC7">
      <w:pPr>
        <w:numPr>
          <w:ilvl w:val="2"/>
          <w:numId w:val="8"/>
        </w:numPr>
        <w:ind w:left="567" w:hanging="567"/>
      </w:pPr>
      <w:r>
        <w:rPr>
          <w:szCs w:val="22"/>
        </w:rPr>
        <w:t>jeigu Jūs turite arba Jūsų vaikas turi polinkį į traukulius ar priepuolius karščiuojant, arba jeigu Jūsų kraujo giminaičiams yra buvę tokių traukulių;</w:t>
      </w:r>
    </w:p>
    <w:p w14:paraId="30E52A84" w14:textId="77777777" w:rsidR="00F50FC7" w:rsidRDefault="00F50FC7" w:rsidP="00F50FC7">
      <w:pPr>
        <w:numPr>
          <w:ilvl w:val="2"/>
          <w:numId w:val="8"/>
        </w:numPr>
        <w:ind w:left="567" w:hanging="567"/>
      </w:pPr>
      <w:r>
        <w:rPr>
          <w:szCs w:val="22"/>
        </w:rPr>
        <w:t xml:space="preserve">jeigu Jūs turite ar Jūsų vaikas turi bet kokios kilmės ilgalaikių imuninės sistemos problemų (įskaitant ŽIV infekciją). Tokiu atveju Jums ar Jūsų vaikui vis tiek galima suleisti </w:t>
      </w:r>
      <w:proofErr w:type="spellStart"/>
      <w:r>
        <w:rPr>
          <w:szCs w:val="22"/>
        </w:rPr>
        <w:t>Boostrix</w:t>
      </w:r>
      <w:proofErr w:type="spellEnd"/>
      <w:r>
        <w:rPr>
          <w:szCs w:val="22"/>
        </w:rPr>
        <w:t>, tačiau po vakcinavimo apsauga nuo infekcinių ligų gali būti ne tokia gera, kaip vaikams ar suaugusiesiems, kurių imuninė sistema yra sveika.</w:t>
      </w:r>
    </w:p>
    <w:p w14:paraId="629CCB97" w14:textId="77777777" w:rsidR="00F50FC7" w:rsidRDefault="00F50FC7" w:rsidP="00F50FC7">
      <w:pPr>
        <w:rPr>
          <w:szCs w:val="22"/>
        </w:rPr>
      </w:pPr>
    </w:p>
    <w:p w14:paraId="343B3E31" w14:textId="77777777" w:rsidR="00F50FC7" w:rsidRDefault="00F50FC7" w:rsidP="00F50FC7">
      <w:r>
        <w:rPr>
          <w:szCs w:val="22"/>
        </w:rPr>
        <w:t>Po arba net prieš bet kokią injekciją adata galima apalpti (dažniausiai alpsta paaugliai), todėl pasakykite gydytojui arba slaugytojui, jeigu anksčiau Jūs buvote ar Jūsų vaikas buvo nualpęs nuo injekcijos.</w:t>
      </w:r>
    </w:p>
    <w:p w14:paraId="5FCDAB93" w14:textId="77777777" w:rsidR="00F50FC7" w:rsidRDefault="00F50FC7" w:rsidP="00F50FC7">
      <w:pPr>
        <w:tabs>
          <w:tab w:val="left" w:pos="567"/>
        </w:tabs>
        <w:rPr>
          <w:szCs w:val="22"/>
        </w:rPr>
      </w:pPr>
    </w:p>
    <w:p w14:paraId="703C1512" w14:textId="77777777" w:rsidR="00F50FC7" w:rsidRDefault="00F50FC7" w:rsidP="00F50FC7">
      <w:pPr>
        <w:rPr>
          <w:szCs w:val="22"/>
        </w:rPr>
      </w:pPr>
      <w:proofErr w:type="spellStart"/>
      <w:r>
        <w:rPr>
          <w:szCs w:val="22"/>
        </w:rPr>
        <w:t>Boostrix</w:t>
      </w:r>
      <w:proofErr w:type="spellEnd"/>
      <w:r>
        <w:rPr>
          <w:szCs w:val="22"/>
        </w:rPr>
        <w:t>, kaip ir visos vakcinos, pilnai apsaugo ne visus paskiepytus žmones.</w:t>
      </w:r>
    </w:p>
    <w:p w14:paraId="4C01383E" w14:textId="77777777" w:rsidR="00F50FC7" w:rsidRDefault="00F50FC7" w:rsidP="00F50FC7">
      <w:pPr>
        <w:rPr>
          <w:szCs w:val="22"/>
        </w:rPr>
      </w:pPr>
    </w:p>
    <w:p w14:paraId="65D78128" w14:textId="77777777" w:rsidR="00F50FC7" w:rsidRDefault="00F50FC7" w:rsidP="00F50FC7">
      <w:pPr>
        <w:pStyle w:val="PI-3EMEASMCA"/>
      </w:pPr>
      <w:r>
        <w:t xml:space="preserve">Kiti vaistai ir </w:t>
      </w:r>
      <w:proofErr w:type="spellStart"/>
      <w:r>
        <w:t>Boostrix</w:t>
      </w:r>
      <w:proofErr w:type="spellEnd"/>
    </w:p>
    <w:p w14:paraId="1782C52F" w14:textId="77777777" w:rsidR="00F50FC7" w:rsidRPr="00E90E50" w:rsidRDefault="00F50FC7" w:rsidP="00F50FC7">
      <w:pPr>
        <w:pStyle w:val="PI-3EMEASMCA"/>
        <w:rPr>
          <w:b w:val="0"/>
        </w:rPr>
      </w:pPr>
    </w:p>
    <w:p w14:paraId="0ED353E6" w14:textId="77777777" w:rsidR="00F50FC7" w:rsidRDefault="00F50FC7" w:rsidP="00F50FC7">
      <w:pPr>
        <w:tabs>
          <w:tab w:val="left" w:pos="567"/>
        </w:tabs>
      </w:pPr>
      <w:r>
        <w:rPr>
          <w:szCs w:val="22"/>
        </w:rPr>
        <w:t>Jeigu Jūs vartojate ar Jūsų vaikas vartoja arba neseniai vartojote ar Jūsų vaikas vartojo kitų vaistų, įskaitant įsigytus be recepto, o taip pat jeigu buvote arba Jūsų vaikas buvo skiepytas bet kokia kita vakcina, pasakykite gydytojui.</w:t>
      </w:r>
    </w:p>
    <w:p w14:paraId="5C465E64" w14:textId="77777777" w:rsidR="00F50FC7" w:rsidRDefault="00F50FC7" w:rsidP="00F50FC7">
      <w:pPr>
        <w:tabs>
          <w:tab w:val="left" w:pos="567"/>
        </w:tabs>
        <w:rPr>
          <w:szCs w:val="22"/>
        </w:rPr>
      </w:pPr>
    </w:p>
    <w:p w14:paraId="77318EFD" w14:textId="5849BA0C" w:rsidR="00C929AD" w:rsidRDefault="00C929AD" w:rsidP="00F50FC7">
      <w:pPr>
        <w:tabs>
          <w:tab w:val="left" w:pos="567"/>
        </w:tabs>
        <w:rPr>
          <w:szCs w:val="22"/>
        </w:rPr>
      </w:pPr>
      <w:bookmarkStart w:id="75" w:name="_Hlk54985342"/>
      <w:proofErr w:type="spellStart"/>
      <w:r>
        <w:rPr>
          <w:szCs w:val="22"/>
        </w:rPr>
        <w:t>Boostrix</w:t>
      </w:r>
      <w:proofErr w:type="spellEnd"/>
      <w:r>
        <w:rPr>
          <w:szCs w:val="22"/>
        </w:rPr>
        <w:t xml:space="preserve"> galima suleisti tuo pačiu laiku, kaip ir kai k</w:t>
      </w:r>
      <w:r w:rsidR="009F511E">
        <w:rPr>
          <w:szCs w:val="22"/>
        </w:rPr>
        <w:t>ur</w:t>
      </w:r>
      <w:r>
        <w:rPr>
          <w:szCs w:val="22"/>
        </w:rPr>
        <w:t xml:space="preserve">ias kitas vakcinas. </w:t>
      </w:r>
      <w:r w:rsidR="009408CF">
        <w:rPr>
          <w:szCs w:val="22"/>
        </w:rPr>
        <w:t>Kiekvienos rūšies vakciną reikia suleisti į skirtingas injekcij</w:t>
      </w:r>
      <w:r w:rsidR="006463D7">
        <w:rPr>
          <w:szCs w:val="22"/>
        </w:rPr>
        <w:t>ų</w:t>
      </w:r>
      <w:r w:rsidR="009408CF">
        <w:rPr>
          <w:szCs w:val="22"/>
        </w:rPr>
        <w:t xml:space="preserve"> vietas.</w:t>
      </w:r>
    </w:p>
    <w:p w14:paraId="27305FB3" w14:textId="77777777" w:rsidR="00C929AD" w:rsidRDefault="00C929AD" w:rsidP="00F50FC7">
      <w:pPr>
        <w:tabs>
          <w:tab w:val="left" w:pos="567"/>
        </w:tabs>
        <w:rPr>
          <w:szCs w:val="22"/>
        </w:rPr>
      </w:pPr>
    </w:p>
    <w:p w14:paraId="12A0193E" w14:textId="434773C0" w:rsidR="00F50FC7" w:rsidRDefault="00F50FC7" w:rsidP="00F50FC7">
      <w:pPr>
        <w:tabs>
          <w:tab w:val="left" w:pos="567"/>
        </w:tabs>
      </w:pPr>
      <w:proofErr w:type="spellStart"/>
      <w:r>
        <w:rPr>
          <w:szCs w:val="22"/>
        </w:rPr>
        <w:t>Boostrix</w:t>
      </w:r>
      <w:proofErr w:type="spellEnd"/>
      <w:r>
        <w:rPr>
          <w:szCs w:val="22"/>
        </w:rPr>
        <w:t xml:space="preserve"> gali veikti silpniau, jeigu Jūs vartojate ar Jūsų vaikas vartoja vaistų, kurie mažina Jūsų ar vaiko imuninės sistemos veiksmingumą saugant nuo infekcijos.</w:t>
      </w:r>
    </w:p>
    <w:bookmarkEnd w:id="75"/>
    <w:p w14:paraId="22F51D1E" w14:textId="77777777" w:rsidR="00F50FC7" w:rsidRPr="002C65CD" w:rsidRDefault="00F50FC7" w:rsidP="00F50FC7">
      <w:pPr>
        <w:tabs>
          <w:tab w:val="left" w:pos="567"/>
        </w:tabs>
      </w:pPr>
    </w:p>
    <w:p w14:paraId="306AC737" w14:textId="77777777" w:rsidR="00F50FC7" w:rsidRDefault="00F50FC7" w:rsidP="00F50FC7">
      <w:pPr>
        <w:pStyle w:val="PI-3EMEASMCA"/>
      </w:pPr>
      <w:r>
        <w:t>Nėštumas ir žindymo laikotarpis</w:t>
      </w:r>
    </w:p>
    <w:p w14:paraId="0B694F1E" w14:textId="77777777" w:rsidR="00F50FC7" w:rsidRPr="00E90E50" w:rsidRDefault="00F50FC7" w:rsidP="00F50FC7">
      <w:pPr>
        <w:pStyle w:val="PI-3EMEASMCA"/>
        <w:rPr>
          <w:b w:val="0"/>
        </w:rPr>
      </w:pPr>
    </w:p>
    <w:p w14:paraId="620CE5F9" w14:textId="77777777" w:rsidR="00F50FC7" w:rsidRDefault="00F50FC7" w:rsidP="00F50FC7">
      <w:pPr>
        <w:tabs>
          <w:tab w:val="left" w:pos="567"/>
        </w:tabs>
        <w:rPr>
          <w:szCs w:val="22"/>
        </w:rPr>
      </w:pPr>
      <w:bookmarkStart w:id="76" w:name="_Hlk26033350"/>
      <w:bookmarkStart w:id="77" w:name="_Hlk54985440"/>
      <w:r w:rsidRPr="00F21FE2">
        <w:t xml:space="preserve">Jeigu esate nėščia, žindote kūdikį, manote, kad galbūt esate nėščia arba planuojate pastoti, tai prieš </w:t>
      </w:r>
      <w:r>
        <w:t>suleidžiant</w:t>
      </w:r>
      <w:r w:rsidRPr="00F21FE2">
        <w:t xml:space="preserve"> š</w:t>
      </w:r>
      <w:r>
        <w:t>ią</w:t>
      </w:r>
      <w:r w:rsidRPr="00F21FE2">
        <w:t xml:space="preserve"> va</w:t>
      </w:r>
      <w:r>
        <w:t>kcin</w:t>
      </w:r>
      <w:r w:rsidRPr="00F21FE2">
        <w:t>ą</w:t>
      </w:r>
      <w:r>
        <w:t>,</w:t>
      </w:r>
      <w:r w:rsidRPr="00F21FE2">
        <w:t xml:space="preserve"> pasitarkite su </w:t>
      </w:r>
      <w:r>
        <w:t xml:space="preserve">savo </w:t>
      </w:r>
      <w:r w:rsidRPr="00F21FE2">
        <w:t>gydytoju arba vaistininku</w:t>
      </w:r>
      <w:r>
        <w:rPr>
          <w:szCs w:val="22"/>
        </w:rPr>
        <w:t>.</w:t>
      </w:r>
    </w:p>
    <w:bookmarkEnd w:id="76"/>
    <w:p w14:paraId="23DF6484" w14:textId="77777777" w:rsidR="00F50FC7" w:rsidRDefault="00F50FC7" w:rsidP="00F50FC7">
      <w:pPr>
        <w:tabs>
          <w:tab w:val="left" w:pos="567"/>
        </w:tabs>
        <w:rPr>
          <w:szCs w:val="22"/>
        </w:rPr>
      </w:pPr>
    </w:p>
    <w:bookmarkEnd w:id="77"/>
    <w:p w14:paraId="4C1FD460" w14:textId="77777777" w:rsidR="00F50FC7" w:rsidRDefault="00F50FC7" w:rsidP="00F50FC7">
      <w:pPr>
        <w:tabs>
          <w:tab w:val="left" w:pos="567"/>
        </w:tabs>
      </w:pPr>
      <w:r>
        <w:rPr>
          <w:szCs w:val="22"/>
        </w:rPr>
        <w:t xml:space="preserve">Nežinoma, ar </w:t>
      </w:r>
      <w:proofErr w:type="spellStart"/>
      <w:r>
        <w:rPr>
          <w:szCs w:val="22"/>
        </w:rPr>
        <w:t>Boostrix</w:t>
      </w:r>
      <w:proofErr w:type="spellEnd"/>
      <w:r>
        <w:rPr>
          <w:szCs w:val="22"/>
        </w:rPr>
        <w:t xml:space="preserve"> patenka į motinos pieną. Su savo gydytoju aptarsite galimus pavojus ir naudą skiepijant </w:t>
      </w:r>
      <w:proofErr w:type="spellStart"/>
      <w:r>
        <w:rPr>
          <w:szCs w:val="22"/>
        </w:rPr>
        <w:t>Boostrix</w:t>
      </w:r>
      <w:proofErr w:type="spellEnd"/>
      <w:r>
        <w:rPr>
          <w:szCs w:val="22"/>
        </w:rPr>
        <w:t xml:space="preserve"> žindymo laikotarpiu.</w:t>
      </w:r>
    </w:p>
    <w:p w14:paraId="7C233818" w14:textId="77777777" w:rsidR="00F50FC7" w:rsidRPr="002C65CD" w:rsidRDefault="00F50FC7" w:rsidP="00F50FC7">
      <w:pPr>
        <w:tabs>
          <w:tab w:val="left" w:pos="567"/>
        </w:tabs>
      </w:pPr>
    </w:p>
    <w:p w14:paraId="6E2BED06" w14:textId="77777777" w:rsidR="00F50FC7" w:rsidRDefault="00F50FC7" w:rsidP="00F50FC7">
      <w:pPr>
        <w:pStyle w:val="PI-3EMEASMCA"/>
      </w:pPr>
      <w:r>
        <w:t>Vairavimas ir mechanizmų valdymas</w:t>
      </w:r>
    </w:p>
    <w:p w14:paraId="2630E635" w14:textId="77777777" w:rsidR="00F50FC7" w:rsidRPr="00E90E50" w:rsidRDefault="00F50FC7" w:rsidP="00F50FC7">
      <w:pPr>
        <w:pStyle w:val="PI-3EMEASMCA"/>
        <w:rPr>
          <w:b w:val="0"/>
        </w:rPr>
      </w:pPr>
    </w:p>
    <w:p w14:paraId="3CFC4FCD" w14:textId="77777777" w:rsidR="00F50FC7" w:rsidRDefault="00F50FC7" w:rsidP="00F50FC7">
      <w:pPr>
        <w:tabs>
          <w:tab w:val="left" w:pos="567"/>
        </w:tabs>
        <w:jc w:val="both"/>
      </w:pPr>
      <w:r>
        <w:rPr>
          <w:szCs w:val="22"/>
        </w:rPr>
        <w:t xml:space="preserve">Nesitikima, kad </w:t>
      </w:r>
      <w:proofErr w:type="spellStart"/>
      <w:r>
        <w:rPr>
          <w:szCs w:val="22"/>
        </w:rPr>
        <w:t>Boostrix</w:t>
      </w:r>
      <w:proofErr w:type="spellEnd"/>
      <w:r>
        <w:rPr>
          <w:szCs w:val="22"/>
        </w:rPr>
        <w:t xml:space="preserve"> veiktų gebėjimą vairuoti ir valdyti mechanizmus.</w:t>
      </w:r>
    </w:p>
    <w:p w14:paraId="368E4F6E" w14:textId="77777777" w:rsidR="00F50FC7" w:rsidRDefault="00F50FC7" w:rsidP="00F50FC7">
      <w:pPr>
        <w:tabs>
          <w:tab w:val="left" w:pos="567"/>
        </w:tabs>
        <w:jc w:val="both"/>
      </w:pPr>
    </w:p>
    <w:p w14:paraId="0C89EE47" w14:textId="77777777" w:rsidR="00F50FC7" w:rsidRDefault="00F50FC7" w:rsidP="00F50FC7">
      <w:pPr>
        <w:tabs>
          <w:tab w:val="left" w:pos="567"/>
        </w:tabs>
        <w:jc w:val="both"/>
        <w:rPr>
          <w:b/>
          <w:bCs/>
        </w:rPr>
      </w:pPr>
      <w:proofErr w:type="spellStart"/>
      <w:r>
        <w:rPr>
          <w:b/>
          <w:bCs/>
        </w:rPr>
        <w:t>Boostrix</w:t>
      </w:r>
      <w:proofErr w:type="spellEnd"/>
      <w:r>
        <w:rPr>
          <w:b/>
          <w:bCs/>
        </w:rPr>
        <w:t xml:space="preserve"> sudėtyje yra natrio</w:t>
      </w:r>
    </w:p>
    <w:p w14:paraId="2286DFEE" w14:textId="77777777" w:rsidR="00F50FC7" w:rsidRDefault="00F50FC7" w:rsidP="00F50FC7">
      <w:pPr>
        <w:tabs>
          <w:tab w:val="left" w:pos="567"/>
        </w:tabs>
        <w:jc w:val="both"/>
      </w:pPr>
    </w:p>
    <w:p w14:paraId="2B49618A" w14:textId="670C2506" w:rsidR="00F50FC7" w:rsidRDefault="00F50FC7" w:rsidP="00F50FC7">
      <w:pPr>
        <w:tabs>
          <w:tab w:val="left" w:pos="567"/>
        </w:tabs>
        <w:rPr>
          <w:szCs w:val="22"/>
        </w:rPr>
      </w:pPr>
      <w:r w:rsidRPr="00C87448">
        <w:rPr>
          <w:szCs w:val="22"/>
        </w:rPr>
        <w:t>Šio</w:t>
      </w:r>
      <w:r w:rsidR="00275DE8">
        <w:rPr>
          <w:szCs w:val="22"/>
        </w:rPr>
        <w:t>s vakcinos</w:t>
      </w:r>
      <w:r>
        <w:rPr>
          <w:szCs w:val="22"/>
        </w:rPr>
        <w:t xml:space="preserve"> </w:t>
      </w:r>
      <w:r w:rsidRPr="00C87448">
        <w:rPr>
          <w:szCs w:val="22"/>
        </w:rPr>
        <w:t>dozėje yra mažiau kaip 1</w:t>
      </w:r>
      <w:r>
        <w:rPr>
          <w:szCs w:val="22"/>
        </w:rPr>
        <w:t> </w:t>
      </w:r>
      <w:proofErr w:type="spellStart"/>
      <w:r w:rsidRPr="00C87448">
        <w:rPr>
          <w:szCs w:val="22"/>
        </w:rPr>
        <w:t>mmol</w:t>
      </w:r>
      <w:proofErr w:type="spellEnd"/>
      <w:r w:rsidRPr="00C87448">
        <w:rPr>
          <w:szCs w:val="22"/>
        </w:rPr>
        <w:t xml:space="preserve"> (23</w:t>
      </w:r>
      <w:r>
        <w:rPr>
          <w:szCs w:val="22"/>
        </w:rPr>
        <w:t> </w:t>
      </w:r>
      <w:r w:rsidRPr="00C87448">
        <w:rPr>
          <w:szCs w:val="22"/>
        </w:rPr>
        <w:t>mg) natrio, t. y. jis beveik neturi reikšmės.</w:t>
      </w:r>
    </w:p>
    <w:p w14:paraId="392FA7D3" w14:textId="77777777" w:rsidR="00F50FC7" w:rsidRPr="002C65CD" w:rsidRDefault="00F50FC7" w:rsidP="00F50FC7">
      <w:pPr>
        <w:tabs>
          <w:tab w:val="left" w:pos="567"/>
        </w:tabs>
        <w:jc w:val="both"/>
      </w:pPr>
    </w:p>
    <w:p w14:paraId="7446286F" w14:textId="77777777" w:rsidR="00F50FC7" w:rsidRPr="002C65CD" w:rsidRDefault="00F50FC7" w:rsidP="00F50FC7">
      <w:pPr>
        <w:tabs>
          <w:tab w:val="left" w:pos="567"/>
        </w:tabs>
        <w:jc w:val="both"/>
      </w:pPr>
    </w:p>
    <w:p w14:paraId="428A21E9" w14:textId="7BA3DBEE" w:rsidR="00F50FC7" w:rsidRDefault="00F50FC7" w:rsidP="00F50FC7">
      <w:pPr>
        <w:pStyle w:val="PI-1EMEASMCA"/>
      </w:pPr>
      <w:bookmarkStart w:id="78" w:name="_Toc129243141"/>
      <w:bookmarkStart w:id="79" w:name="_Toc129243266"/>
      <w:r>
        <w:t>3.</w:t>
      </w:r>
      <w:r>
        <w:tab/>
        <w:t xml:space="preserve">Kaip vartoti </w:t>
      </w:r>
      <w:proofErr w:type="spellStart"/>
      <w:r>
        <w:t>Boostrix</w:t>
      </w:r>
      <w:bookmarkEnd w:id="78"/>
      <w:bookmarkEnd w:id="79"/>
      <w:proofErr w:type="spellEnd"/>
    </w:p>
    <w:p w14:paraId="4843BD96" w14:textId="77777777" w:rsidR="00F50FC7" w:rsidRPr="002C65CD" w:rsidRDefault="00F50FC7" w:rsidP="000B6C00">
      <w:pPr>
        <w:pStyle w:val="BTEMEASMCA"/>
      </w:pPr>
    </w:p>
    <w:p w14:paraId="69CD0A71" w14:textId="124167A5" w:rsidR="00F50FC7" w:rsidRDefault="00F50FC7" w:rsidP="00F50FC7">
      <w:pPr>
        <w:numPr>
          <w:ilvl w:val="2"/>
          <w:numId w:val="8"/>
        </w:numPr>
        <w:ind w:left="567" w:hanging="567"/>
      </w:pPr>
      <w:bookmarkStart w:id="80" w:name="_Hlk26033621"/>
      <w:proofErr w:type="spellStart"/>
      <w:r>
        <w:rPr>
          <w:szCs w:val="22"/>
        </w:rPr>
        <w:t>Boostrix</w:t>
      </w:r>
      <w:bookmarkEnd w:id="80"/>
      <w:proofErr w:type="spellEnd"/>
      <w:r>
        <w:rPr>
          <w:szCs w:val="22"/>
        </w:rPr>
        <w:t xml:space="preserve"> suleidžiama į raumenį.</w:t>
      </w:r>
    </w:p>
    <w:p w14:paraId="7A1680EA" w14:textId="77777777" w:rsidR="00F50FC7" w:rsidRDefault="00F50FC7" w:rsidP="00F50FC7">
      <w:pPr>
        <w:tabs>
          <w:tab w:val="left" w:pos="567"/>
        </w:tabs>
        <w:jc w:val="both"/>
        <w:rPr>
          <w:szCs w:val="22"/>
        </w:rPr>
      </w:pPr>
    </w:p>
    <w:p w14:paraId="4C5C987A" w14:textId="77777777" w:rsidR="00F50FC7" w:rsidRDefault="00F50FC7" w:rsidP="00F50FC7">
      <w:pPr>
        <w:numPr>
          <w:ilvl w:val="2"/>
          <w:numId w:val="8"/>
        </w:numPr>
        <w:ind w:left="567" w:hanging="567"/>
      </w:pPr>
      <w:r>
        <w:rPr>
          <w:szCs w:val="22"/>
        </w:rPr>
        <w:t>Vakcinos negalima jokiais atvejais leisti į kraujagysles.</w:t>
      </w:r>
    </w:p>
    <w:p w14:paraId="175269BF" w14:textId="77777777" w:rsidR="00F50FC7" w:rsidRDefault="00F50FC7" w:rsidP="00F50FC7">
      <w:pPr>
        <w:tabs>
          <w:tab w:val="left" w:pos="567"/>
        </w:tabs>
        <w:jc w:val="both"/>
        <w:rPr>
          <w:szCs w:val="22"/>
        </w:rPr>
      </w:pPr>
    </w:p>
    <w:p w14:paraId="4FAF8DAA" w14:textId="77777777" w:rsidR="00F50FC7" w:rsidRDefault="00F50FC7" w:rsidP="00F50FC7">
      <w:pPr>
        <w:numPr>
          <w:ilvl w:val="2"/>
          <w:numId w:val="8"/>
        </w:numPr>
        <w:ind w:left="567" w:hanging="567"/>
      </w:pPr>
      <w:r>
        <w:rPr>
          <w:szCs w:val="22"/>
        </w:rPr>
        <w:t xml:space="preserve">Jums arba Jūsų vaikui bus suleista viena </w:t>
      </w:r>
      <w:proofErr w:type="spellStart"/>
      <w:r>
        <w:rPr>
          <w:szCs w:val="22"/>
        </w:rPr>
        <w:t>Boostrix</w:t>
      </w:r>
      <w:proofErr w:type="spellEnd"/>
      <w:r>
        <w:rPr>
          <w:szCs w:val="22"/>
        </w:rPr>
        <w:t xml:space="preserve"> injekcija.</w:t>
      </w:r>
    </w:p>
    <w:p w14:paraId="1CDAA553" w14:textId="77777777" w:rsidR="00F50FC7" w:rsidRDefault="00F50FC7" w:rsidP="00F50FC7">
      <w:pPr>
        <w:tabs>
          <w:tab w:val="left" w:pos="567"/>
        </w:tabs>
        <w:rPr>
          <w:bCs/>
          <w:szCs w:val="22"/>
        </w:rPr>
      </w:pPr>
    </w:p>
    <w:p w14:paraId="0B053094" w14:textId="77777777" w:rsidR="00F50FC7" w:rsidRDefault="00F50FC7" w:rsidP="00F50FC7">
      <w:pPr>
        <w:numPr>
          <w:ilvl w:val="2"/>
          <w:numId w:val="8"/>
        </w:numPr>
        <w:ind w:left="567" w:hanging="567"/>
      </w:pPr>
      <w:r>
        <w:rPr>
          <w:bCs/>
          <w:szCs w:val="22"/>
        </w:rPr>
        <w:t>Gydytojas išsiaiškins, ar anksčiau Jūs buvote arba Jūsų vaikas buvo skiepytas vakcinomis nuo difterijos, stabligės ir (ar) kokliušo.</w:t>
      </w:r>
    </w:p>
    <w:p w14:paraId="612565EB" w14:textId="77777777" w:rsidR="00F50FC7" w:rsidRPr="002C65CD" w:rsidRDefault="00F50FC7" w:rsidP="00E90E50"/>
    <w:p w14:paraId="72C3E580" w14:textId="77777777" w:rsidR="00F50FC7" w:rsidRDefault="00F50FC7" w:rsidP="00F50FC7">
      <w:pPr>
        <w:numPr>
          <w:ilvl w:val="2"/>
          <w:numId w:val="8"/>
        </w:numPr>
        <w:ind w:left="567" w:hanging="567"/>
      </w:pPr>
      <w:proofErr w:type="spellStart"/>
      <w:r>
        <w:rPr>
          <w:bCs/>
          <w:szCs w:val="22"/>
        </w:rPr>
        <w:t>Boostrix</w:t>
      </w:r>
      <w:proofErr w:type="spellEnd"/>
      <w:r>
        <w:rPr>
          <w:bCs/>
          <w:szCs w:val="22"/>
        </w:rPr>
        <w:t xml:space="preserve"> gali būti suleista įtariant stabligės infekciją, nors siekiant sumažinti ligos pasireiškimo riziką, taip pat bus imtasi papildomų priemonių, pavyzdžiui: sudėtingas žaizdų tvarstymas ir (ar) stabligės </w:t>
      </w:r>
      <w:proofErr w:type="spellStart"/>
      <w:r>
        <w:rPr>
          <w:bCs/>
          <w:szCs w:val="22"/>
        </w:rPr>
        <w:t>anatoksino</w:t>
      </w:r>
      <w:proofErr w:type="spellEnd"/>
      <w:r>
        <w:rPr>
          <w:bCs/>
          <w:szCs w:val="22"/>
        </w:rPr>
        <w:t xml:space="preserve"> vartojimas.</w:t>
      </w:r>
    </w:p>
    <w:p w14:paraId="60484660" w14:textId="77777777" w:rsidR="00F50FC7" w:rsidRPr="003E1728" w:rsidRDefault="00F50FC7" w:rsidP="00E90E50">
      <w:pPr>
        <w:rPr>
          <w:bCs/>
          <w:szCs w:val="22"/>
        </w:rPr>
      </w:pPr>
    </w:p>
    <w:p w14:paraId="4FC0B9D9" w14:textId="77777777" w:rsidR="00F50FC7" w:rsidRDefault="00F50FC7" w:rsidP="00F50FC7">
      <w:pPr>
        <w:numPr>
          <w:ilvl w:val="2"/>
          <w:numId w:val="8"/>
        </w:numPr>
        <w:ind w:left="567" w:hanging="567"/>
      </w:pPr>
      <w:r>
        <w:rPr>
          <w:bCs/>
          <w:szCs w:val="22"/>
        </w:rPr>
        <w:t>Jūsų gydytojas patars Jums dėl pakartotinės vakcinacijos.</w:t>
      </w:r>
    </w:p>
    <w:p w14:paraId="2FA6A608" w14:textId="77777777" w:rsidR="00F50FC7" w:rsidRPr="002C65CD" w:rsidRDefault="00F50FC7" w:rsidP="00F50FC7">
      <w:pPr>
        <w:tabs>
          <w:tab w:val="left" w:pos="567"/>
        </w:tabs>
      </w:pPr>
    </w:p>
    <w:p w14:paraId="273C3F79" w14:textId="77777777" w:rsidR="00F50FC7" w:rsidRPr="002C65CD" w:rsidRDefault="00F50FC7" w:rsidP="00F50FC7">
      <w:pPr>
        <w:tabs>
          <w:tab w:val="left" w:pos="567"/>
        </w:tabs>
      </w:pPr>
    </w:p>
    <w:p w14:paraId="4D5BD222" w14:textId="58392F06" w:rsidR="00F50FC7" w:rsidRDefault="00F50FC7" w:rsidP="00F50FC7">
      <w:pPr>
        <w:pStyle w:val="PI-1EMEASMCA"/>
      </w:pPr>
      <w:bookmarkStart w:id="81" w:name="_Toc129243142"/>
      <w:bookmarkStart w:id="82" w:name="_Toc129243267"/>
      <w:r>
        <w:t>4.</w:t>
      </w:r>
      <w:r>
        <w:tab/>
        <w:t>Galimas šalutinis poveikis</w:t>
      </w:r>
      <w:bookmarkEnd w:id="81"/>
      <w:bookmarkEnd w:id="82"/>
    </w:p>
    <w:p w14:paraId="56993FA3" w14:textId="77777777" w:rsidR="00F50FC7" w:rsidRPr="002C65CD" w:rsidRDefault="00F50FC7" w:rsidP="000B6C00">
      <w:pPr>
        <w:pStyle w:val="BTEMEASMCA"/>
      </w:pPr>
    </w:p>
    <w:p w14:paraId="502B2F86" w14:textId="77777777" w:rsidR="00F50FC7" w:rsidRDefault="00F50FC7" w:rsidP="00F50FC7">
      <w:pPr>
        <w:tabs>
          <w:tab w:val="left" w:pos="567"/>
        </w:tabs>
      </w:pPr>
      <w:r>
        <w:rPr>
          <w:szCs w:val="22"/>
        </w:rPr>
        <w:t>Ši vakcina</w:t>
      </w:r>
      <w:r>
        <w:rPr>
          <w:bCs/>
          <w:szCs w:val="22"/>
        </w:rPr>
        <w:t>, k</w:t>
      </w:r>
      <w:r>
        <w:rPr>
          <w:szCs w:val="22"/>
        </w:rPr>
        <w:t>aip ir visi kiti vaistai, gali sukelti šalutinį poveikį, nors jis pasireiškia ne visiems žmonėms.</w:t>
      </w:r>
    </w:p>
    <w:p w14:paraId="23CB0352" w14:textId="77777777" w:rsidR="00F50FC7" w:rsidRDefault="00F50FC7" w:rsidP="00F50FC7">
      <w:pPr>
        <w:tabs>
          <w:tab w:val="left" w:pos="567"/>
        </w:tabs>
        <w:rPr>
          <w:szCs w:val="22"/>
        </w:rPr>
      </w:pPr>
    </w:p>
    <w:p w14:paraId="3E4B19E3" w14:textId="750A371D" w:rsidR="00F50FC7" w:rsidRDefault="00F50FC7" w:rsidP="00F50FC7">
      <w:pPr>
        <w:tabs>
          <w:tab w:val="left" w:pos="567"/>
        </w:tabs>
      </w:pPr>
      <w:r>
        <w:rPr>
          <w:szCs w:val="22"/>
        </w:rPr>
        <w:t xml:space="preserve">Kaip ir skiepijant visomis injekcinėmis vakcinomis, labai retais atvejais (rečiau kaip 1 iš 10 000 </w:t>
      </w:r>
      <w:r w:rsidR="00510588">
        <w:rPr>
          <w:szCs w:val="22"/>
        </w:rPr>
        <w:t xml:space="preserve">skiepijimų </w:t>
      </w:r>
      <w:r>
        <w:rPr>
          <w:szCs w:val="22"/>
        </w:rPr>
        <w:t xml:space="preserve">vakcinos </w:t>
      </w:r>
      <w:r w:rsidR="00510588">
        <w:rPr>
          <w:szCs w:val="22"/>
        </w:rPr>
        <w:t>doze</w:t>
      </w:r>
      <w:r>
        <w:rPr>
          <w:szCs w:val="22"/>
        </w:rPr>
        <w:t>) gali pasireikšti sunkios alerginės reakcijos (</w:t>
      </w:r>
      <w:r>
        <w:rPr>
          <w:bCs/>
          <w:szCs w:val="22"/>
        </w:rPr>
        <w:t>anafilaksinės</w:t>
      </w:r>
      <w:r w:rsidRPr="008D66EC">
        <w:t xml:space="preserve"> ir </w:t>
      </w:r>
      <w:proofErr w:type="spellStart"/>
      <w:r>
        <w:rPr>
          <w:bCs/>
          <w:szCs w:val="22"/>
        </w:rPr>
        <w:t>anafilaktoidinės</w:t>
      </w:r>
      <w:proofErr w:type="spellEnd"/>
      <w:r>
        <w:rPr>
          <w:bCs/>
          <w:szCs w:val="22"/>
        </w:rPr>
        <w:t xml:space="preserve"> reakcijos</w:t>
      </w:r>
      <w:r>
        <w:rPr>
          <w:szCs w:val="22"/>
        </w:rPr>
        <w:t>). Jų požymiai yra:</w:t>
      </w:r>
    </w:p>
    <w:p w14:paraId="622CDCAC" w14:textId="77777777" w:rsidR="00F50FC7" w:rsidRDefault="00F50FC7" w:rsidP="00F50FC7">
      <w:pPr>
        <w:numPr>
          <w:ilvl w:val="0"/>
          <w:numId w:val="9"/>
        </w:numPr>
        <w:ind w:left="540" w:hanging="540"/>
      </w:pPr>
      <w:r>
        <w:rPr>
          <w:szCs w:val="22"/>
        </w:rPr>
        <w:t>išbėrimas, kuris gali būti niežtintysis arba pūslelinis;</w:t>
      </w:r>
    </w:p>
    <w:p w14:paraId="6E1AB010" w14:textId="77777777" w:rsidR="00F50FC7" w:rsidRDefault="00F50FC7" w:rsidP="00F50FC7">
      <w:pPr>
        <w:numPr>
          <w:ilvl w:val="0"/>
          <w:numId w:val="9"/>
        </w:numPr>
        <w:ind w:left="540" w:hanging="540"/>
      </w:pPr>
      <w:r>
        <w:rPr>
          <w:b/>
          <w:szCs w:val="22"/>
        </w:rPr>
        <w:t>akių ir veido patinimas</w:t>
      </w:r>
      <w:r>
        <w:rPr>
          <w:szCs w:val="22"/>
        </w:rPr>
        <w:t>;</w:t>
      </w:r>
    </w:p>
    <w:p w14:paraId="10E14024" w14:textId="77777777" w:rsidR="00F50FC7" w:rsidRDefault="00F50FC7" w:rsidP="00F50FC7">
      <w:pPr>
        <w:numPr>
          <w:ilvl w:val="0"/>
          <w:numId w:val="9"/>
        </w:numPr>
        <w:ind w:left="540" w:hanging="540"/>
      </w:pPr>
      <w:r>
        <w:rPr>
          <w:b/>
          <w:szCs w:val="22"/>
        </w:rPr>
        <w:t>kvėpavimo ar rijimo pasunkėjimas</w:t>
      </w:r>
      <w:r>
        <w:rPr>
          <w:szCs w:val="22"/>
        </w:rPr>
        <w:t>;</w:t>
      </w:r>
    </w:p>
    <w:p w14:paraId="2C664EF7" w14:textId="77777777" w:rsidR="00F50FC7" w:rsidRDefault="00F50FC7" w:rsidP="00F50FC7">
      <w:pPr>
        <w:numPr>
          <w:ilvl w:val="0"/>
          <w:numId w:val="9"/>
        </w:numPr>
        <w:ind w:left="540" w:hanging="540"/>
      </w:pPr>
      <w:r>
        <w:rPr>
          <w:szCs w:val="22"/>
        </w:rPr>
        <w:t xml:space="preserve">staigus kraujospūdžio sumažėjimas ir </w:t>
      </w:r>
      <w:r>
        <w:rPr>
          <w:b/>
          <w:szCs w:val="22"/>
        </w:rPr>
        <w:t>sąmonės praradimas</w:t>
      </w:r>
      <w:r>
        <w:rPr>
          <w:szCs w:val="22"/>
        </w:rPr>
        <w:t>.</w:t>
      </w:r>
    </w:p>
    <w:p w14:paraId="6BF021CF" w14:textId="77777777" w:rsidR="00F50FC7" w:rsidRDefault="00F50FC7" w:rsidP="00F50FC7">
      <w:pPr>
        <w:tabs>
          <w:tab w:val="left" w:pos="567"/>
        </w:tabs>
        <w:rPr>
          <w:szCs w:val="22"/>
        </w:rPr>
      </w:pPr>
    </w:p>
    <w:p w14:paraId="764DF85C" w14:textId="77777777" w:rsidR="00F50FC7" w:rsidRPr="008D66EC" w:rsidRDefault="00F50FC7" w:rsidP="00F50FC7">
      <w:pPr>
        <w:tabs>
          <w:tab w:val="left" w:pos="567"/>
        </w:tabs>
      </w:pPr>
      <w:r>
        <w:rPr>
          <w:szCs w:val="22"/>
        </w:rPr>
        <w:t>Tokios reakcijos gali pasireikšti dar neišėjus iš gydytojo kabineto. Visgi</w:t>
      </w:r>
      <w:r>
        <w:rPr>
          <w:b/>
          <w:szCs w:val="22"/>
        </w:rPr>
        <w:t>, jeigu Jums arba Jūsų vaikui pasireiškė kuris nors šių simptomų, nedelsdami kreipkitės į gydytoją.</w:t>
      </w:r>
    </w:p>
    <w:p w14:paraId="283DCC7F" w14:textId="77777777" w:rsidR="00F50FC7" w:rsidRPr="002C65CD" w:rsidRDefault="00F50FC7" w:rsidP="000B6C00">
      <w:pPr>
        <w:pStyle w:val="BTEMEASMCA"/>
      </w:pPr>
    </w:p>
    <w:p w14:paraId="65DAED57" w14:textId="77777777" w:rsidR="00F50FC7" w:rsidRPr="008D66EC" w:rsidRDefault="00F50FC7" w:rsidP="00F50FC7">
      <w:pPr>
        <w:keepNext/>
        <w:tabs>
          <w:tab w:val="left" w:pos="567"/>
        </w:tabs>
      </w:pPr>
      <w:r>
        <w:rPr>
          <w:i/>
          <w:iCs/>
          <w:szCs w:val="22"/>
        </w:rPr>
        <w:t>Šalutinis poveikis, kuris klinikinių tyrimų metu pasireiškė</w:t>
      </w:r>
      <w:r w:rsidRPr="008D66EC">
        <w:rPr>
          <w:i/>
        </w:rPr>
        <w:t xml:space="preserve"> 4</w:t>
      </w:r>
      <w:r>
        <w:rPr>
          <w:i/>
          <w:iCs/>
          <w:szCs w:val="22"/>
        </w:rPr>
        <w:noBreakHyphen/>
      </w:r>
      <w:r>
        <w:rPr>
          <w:i/>
        </w:rPr>
        <w:t>8</w:t>
      </w:r>
      <w:r w:rsidRPr="008D66EC">
        <w:rPr>
          <w:i/>
        </w:rPr>
        <w:t> metų vaikams</w:t>
      </w:r>
    </w:p>
    <w:p w14:paraId="1AD00E35" w14:textId="77777777" w:rsidR="00F50FC7" w:rsidRDefault="00F50FC7" w:rsidP="00F50FC7">
      <w:pPr>
        <w:keepNext/>
        <w:tabs>
          <w:tab w:val="left" w:pos="567"/>
        </w:tabs>
        <w:rPr>
          <w:szCs w:val="22"/>
          <w:u w:val="single"/>
        </w:rPr>
      </w:pPr>
    </w:p>
    <w:p w14:paraId="7B74535E" w14:textId="59784DF3" w:rsidR="00F50FC7" w:rsidRDefault="002A2F84" w:rsidP="006F743D">
      <w:pPr>
        <w:tabs>
          <w:tab w:val="left" w:pos="567"/>
        </w:tabs>
        <w:rPr>
          <w:szCs w:val="22"/>
        </w:rPr>
      </w:pPr>
      <w:r>
        <w:rPr>
          <w:b/>
          <w:bCs/>
          <w:szCs w:val="22"/>
        </w:rPr>
        <w:t>Labai dažni šalutinio poveikio reiškiniai</w:t>
      </w:r>
      <w:r w:rsidRPr="00E90E50">
        <w:rPr>
          <w:b/>
        </w:rPr>
        <w:t xml:space="preserve"> (gali pasireikšti </w:t>
      </w:r>
      <w:r>
        <w:rPr>
          <w:b/>
          <w:bCs/>
          <w:szCs w:val="22"/>
        </w:rPr>
        <w:t>ne rečiau</w:t>
      </w:r>
      <w:r w:rsidRPr="00E90E50">
        <w:rPr>
          <w:b/>
        </w:rPr>
        <w:t xml:space="preserve"> kaip 1 iš 10</w:t>
      </w:r>
      <w:r>
        <w:rPr>
          <w:b/>
          <w:bCs/>
          <w:szCs w:val="22"/>
        </w:rPr>
        <w:t> </w:t>
      </w:r>
      <w:r w:rsidR="00D45C73">
        <w:rPr>
          <w:b/>
          <w:bCs/>
          <w:szCs w:val="22"/>
        </w:rPr>
        <w:t xml:space="preserve">skiepijimų </w:t>
      </w:r>
      <w:r w:rsidR="009C1DE4">
        <w:rPr>
          <w:b/>
          <w:bCs/>
          <w:szCs w:val="22"/>
        </w:rPr>
        <w:t>vakcinos doze</w:t>
      </w:r>
      <w:r w:rsidRPr="00E90E50">
        <w:rPr>
          <w:b/>
        </w:rPr>
        <w:t>):</w:t>
      </w:r>
      <w:r w:rsidR="00940092">
        <w:rPr>
          <w:szCs w:val="22"/>
        </w:rPr>
        <w:t xml:space="preserve"> </w:t>
      </w:r>
      <w:r w:rsidR="00F50FC7">
        <w:rPr>
          <w:szCs w:val="22"/>
        </w:rPr>
        <w:t>skausmas, paraudimas ir patinimas injekcijos vietoje</w:t>
      </w:r>
      <w:r w:rsidR="00940092">
        <w:rPr>
          <w:szCs w:val="22"/>
        </w:rPr>
        <w:t xml:space="preserve">, </w:t>
      </w:r>
      <w:r w:rsidR="00F50FC7">
        <w:rPr>
          <w:szCs w:val="22"/>
        </w:rPr>
        <w:t>irzlumas</w:t>
      </w:r>
      <w:r w:rsidR="00940092">
        <w:rPr>
          <w:szCs w:val="22"/>
        </w:rPr>
        <w:t xml:space="preserve">, </w:t>
      </w:r>
      <w:r w:rsidR="00F50FC7">
        <w:rPr>
          <w:szCs w:val="22"/>
        </w:rPr>
        <w:t>mieguistumas</w:t>
      </w:r>
      <w:r w:rsidR="00940092">
        <w:rPr>
          <w:szCs w:val="22"/>
        </w:rPr>
        <w:t xml:space="preserve">, </w:t>
      </w:r>
      <w:r w:rsidR="00F50FC7">
        <w:rPr>
          <w:szCs w:val="22"/>
        </w:rPr>
        <w:t>nuovargis.</w:t>
      </w:r>
    </w:p>
    <w:p w14:paraId="38AF33FC" w14:textId="77777777" w:rsidR="00F50FC7" w:rsidRDefault="00F50FC7" w:rsidP="00F50FC7">
      <w:pPr>
        <w:tabs>
          <w:tab w:val="left" w:pos="567"/>
        </w:tabs>
        <w:rPr>
          <w:szCs w:val="22"/>
        </w:rPr>
      </w:pPr>
    </w:p>
    <w:p w14:paraId="2635D89E" w14:textId="4CDF52BC" w:rsidR="00F50FC7" w:rsidRDefault="001F6C74" w:rsidP="002E2C80">
      <w:pPr>
        <w:rPr>
          <w:szCs w:val="22"/>
        </w:rPr>
      </w:pPr>
      <w:r>
        <w:rPr>
          <w:b/>
          <w:bCs/>
          <w:szCs w:val="22"/>
        </w:rPr>
        <w:t>Dažni šalutinio poveikio reiškiniai</w:t>
      </w:r>
      <w:r w:rsidRPr="00E90E50">
        <w:rPr>
          <w:b/>
        </w:rPr>
        <w:t xml:space="preserve"> (gali pasireikšti </w:t>
      </w:r>
      <w:bookmarkStart w:id="83" w:name="_Hlk26034524"/>
      <w:r w:rsidRPr="00E90E50">
        <w:rPr>
          <w:b/>
        </w:rPr>
        <w:t xml:space="preserve">rečiau kaip 1 iš </w:t>
      </w:r>
      <w:bookmarkEnd w:id="83"/>
      <w:r w:rsidRPr="00E90E50">
        <w:rPr>
          <w:b/>
        </w:rPr>
        <w:t>10</w:t>
      </w:r>
      <w:r>
        <w:rPr>
          <w:b/>
          <w:bCs/>
          <w:szCs w:val="22"/>
        </w:rPr>
        <w:t> </w:t>
      </w:r>
      <w:r w:rsidR="009C1DE4" w:rsidRPr="009C1DE4">
        <w:rPr>
          <w:b/>
          <w:bCs/>
          <w:szCs w:val="22"/>
        </w:rPr>
        <w:t>skiepijimų vakcinos doze</w:t>
      </w:r>
      <w:r w:rsidRPr="00E90E50">
        <w:rPr>
          <w:b/>
        </w:rPr>
        <w:t>):</w:t>
      </w:r>
      <w:r w:rsidR="00940092">
        <w:rPr>
          <w:szCs w:val="22"/>
        </w:rPr>
        <w:t xml:space="preserve"> </w:t>
      </w:r>
      <w:r w:rsidR="00F50FC7">
        <w:rPr>
          <w:szCs w:val="22"/>
        </w:rPr>
        <w:t>apetito praradimas</w:t>
      </w:r>
      <w:r w:rsidR="00940092">
        <w:rPr>
          <w:szCs w:val="22"/>
        </w:rPr>
        <w:t xml:space="preserve">, </w:t>
      </w:r>
      <w:r w:rsidR="00F50FC7">
        <w:rPr>
          <w:szCs w:val="22"/>
        </w:rPr>
        <w:t>galvos skausmas</w:t>
      </w:r>
      <w:r w:rsidR="00940092">
        <w:rPr>
          <w:szCs w:val="22"/>
        </w:rPr>
        <w:t xml:space="preserve">, </w:t>
      </w:r>
      <w:r w:rsidR="00F50FC7">
        <w:rPr>
          <w:szCs w:val="22"/>
        </w:rPr>
        <w:t>karščiavimas, kai kūno temperatūra yra 37,5</w:t>
      </w:r>
      <w:r>
        <w:rPr>
          <w:szCs w:val="22"/>
        </w:rPr>
        <w:t> </w:t>
      </w:r>
      <w:r w:rsidR="00F50FC7">
        <w:rPr>
          <w:szCs w:val="22"/>
        </w:rPr>
        <w:t>°C ar didesnė (įskaitant karščiavimą virš 39</w:t>
      </w:r>
      <w:r>
        <w:rPr>
          <w:szCs w:val="22"/>
        </w:rPr>
        <w:t> </w:t>
      </w:r>
      <w:r w:rsidR="00F50FC7">
        <w:rPr>
          <w:szCs w:val="22"/>
        </w:rPr>
        <w:t>°C)</w:t>
      </w:r>
      <w:r w:rsidR="00940092">
        <w:rPr>
          <w:szCs w:val="22"/>
        </w:rPr>
        <w:t xml:space="preserve">, </w:t>
      </w:r>
      <w:r w:rsidR="00F50FC7">
        <w:t>didelis galūnės, į kurią buvo suleista vakcina, patinimas</w:t>
      </w:r>
      <w:r w:rsidR="00940092">
        <w:t xml:space="preserve">, </w:t>
      </w:r>
      <w:r w:rsidR="00F50FC7">
        <w:rPr>
          <w:szCs w:val="22"/>
        </w:rPr>
        <w:t>vėmimas ir viduriavimas.</w:t>
      </w:r>
    </w:p>
    <w:p w14:paraId="7AC3EC94" w14:textId="77777777" w:rsidR="00F50FC7" w:rsidRDefault="00F50FC7" w:rsidP="00F50FC7">
      <w:pPr>
        <w:tabs>
          <w:tab w:val="left" w:pos="567"/>
        </w:tabs>
        <w:rPr>
          <w:szCs w:val="22"/>
        </w:rPr>
      </w:pPr>
    </w:p>
    <w:p w14:paraId="1174C135" w14:textId="16D00766" w:rsidR="00F50FC7" w:rsidRDefault="002D6D0A" w:rsidP="002E2C80">
      <w:pPr>
        <w:tabs>
          <w:tab w:val="left" w:pos="567"/>
        </w:tabs>
        <w:rPr>
          <w:szCs w:val="22"/>
        </w:rPr>
      </w:pPr>
      <w:r>
        <w:rPr>
          <w:b/>
          <w:bCs/>
          <w:szCs w:val="22"/>
        </w:rPr>
        <w:t xml:space="preserve">Nedažni šalutinio poveikio reiškiniai </w:t>
      </w:r>
      <w:r w:rsidRPr="00E90E50">
        <w:rPr>
          <w:b/>
        </w:rPr>
        <w:t xml:space="preserve">(gali pasireikšti </w:t>
      </w:r>
      <w:bookmarkStart w:id="84" w:name="_Hlk26034727"/>
      <w:r w:rsidRPr="00E90E50">
        <w:rPr>
          <w:b/>
        </w:rPr>
        <w:t>rečiau kaip 1 iš 100</w:t>
      </w:r>
      <w:bookmarkEnd w:id="84"/>
      <w:r>
        <w:rPr>
          <w:b/>
          <w:bCs/>
          <w:szCs w:val="22"/>
        </w:rPr>
        <w:t> </w:t>
      </w:r>
      <w:r w:rsidR="009C1DE4">
        <w:rPr>
          <w:b/>
          <w:bCs/>
          <w:szCs w:val="22"/>
        </w:rPr>
        <w:t>skiepijimų vakcinos doze</w:t>
      </w:r>
      <w:r w:rsidRPr="00E90E50">
        <w:rPr>
          <w:b/>
        </w:rPr>
        <w:t>):</w:t>
      </w:r>
      <w:r w:rsidR="00940092">
        <w:rPr>
          <w:szCs w:val="22"/>
        </w:rPr>
        <w:t xml:space="preserve"> </w:t>
      </w:r>
      <w:r w:rsidR="00F50FC7">
        <w:rPr>
          <w:szCs w:val="22"/>
        </w:rPr>
        <w:t>viršutinių kvėpavimo takų infekcija</w:t>
      </w:r>
      <w:r w:rsidR="00940092">
        <w:rPr>
          <w:szCs w:val="22"/>
        </w:rPr>
        <w:t xml:space="preserve">, </w:t>
      </w:r>
      <w:r w:rsidR="00F50FC7">
        <w:rPr>
          <w:szCs w:val="22"/>
        </w:rPr>
        <w:t>dėmesio sutrikimai</w:t>
      </w:r>
      <w:r w:rsidR="00940092">
        <w:rPr>
          <w:szCs w:val="22"/>
        </w:rPr>
        <w:t xml:space="preserve">, </w:t>
      </w:r>
      <w:r w:rsidR="00F50FC7">
        <w:rPr>
          <w:szCs w:val="22"/>
        </w:rPr>
        <w:t>išskyros iš akių su akių niežėjimu ir apnašomis ant vokų (konjunktyvitas)</w:t>
      </w:r>
      <w:r w:rsidR="00940092">
        <w:rPr>
          <w:szCs w:val="22"/>
        </w:rPr>
        <w:t xml:space="preserve">, </w:t>
      </w:r>
      <w:r w:rsidR="00F50FC7">
        <w:rPr>
          <w:szCs w:val="22"/>
        </w:rPr>
        <w:t>odos išbėrimas</w:t>
      </w:r>
      <w:r w:rsidR="00940092">
        <w:rPr>
          <w:szCs w:val="22"/>
        </w:rPr>
        <w:t xml:space="preserve">, </w:t>
      </w:r>
      <w:r w:rsidR="00F50FC7">
        <w:rPr>
          <w:szCs w:val="22"/>
        </w:rPr>
        <w:t>sukietėjimas injekcijos vietoje</w:t>
      </w:r>
      <w:r w:rsidR="00940092">
        <w:rPr>
          <w:szCs w:val="22"/>
        </w:rPr>
        <w:t xml:space="preserve">, </w:t>
      </w:r>
      <w:r w:rsidR="00F50FC7">
        <w:rPr>
          <w:szCs w:val="22"/>
        </w:rPr>
        <w:t>skausmas.</w:t>
      </w:r>
    </w:p>
    <w:p w14:paraId="4724D237" w14:textId="77777777" w:rsidR="00F50FC7" w:rsidRDefault="00F50FC7" w:rsidP="00F50FC7">
      <w:pPr>
        <w:tabs>
          <w:tab w:val="left" w:pos="567"/>
        </w:tabs>
        <w:rPr>
          <w:szCs w:val="22"/>
        </w:rPr>
      </w:pPr>
    </w:p>
    <w:p w14:paraId="6AA15827" w14:textId="77777777" w:rsidR="00F50FC7" w:rsidRPr="008D66EC" w:rsidRDefault="00F50FC7" w:rsidP="00F50FC7">
      <w:pPr>
        <w:tabs>
          <w:tab w:val="left" w:pos="567"/>
        </w:tabs>
      </w:pPr>
      <w:r>
        <w:rPr>
          <w:i/>
          <w:iCs/>
          <w:szCs w:val="22"/>
        </w:rPr>
        <w:t>Šalutinis poveikis, kuris</w:t>
      </w:r>
      <w:r w:rsidRPr="008D66EC">
        <w:rPr>
          <w:i/>
        </w:rPr>
        <w:t xml:space="preserve"> pasireiškė </w:t>
      </w:r>
      <w:r>
        <w:rPr>
          <w:i/>
          <w:iCs/>
          <w:szCs w:val="22"/>
        </w:rPr>
        <w:t>suaugusiesiems</w:t>
      </w:r>
      <w:r w:rsidRPr="008D66EC">
        <w:rPr>
          <w:i/>
        </w:rPr>
        <w:t xml:space="preserve">, paaugliams ir </w:t>
      </w:r>
      <w:r>
        <w:rPr>
          <w:i/>
          <w:iCs/>
          <w:szCs w:val="22"/>
        </w:rPr>
        <w:t>vyresniems kaip</w:t>
      </w:r>
      <w:r w:rsidRPr="008D66EC">
        <w:rPr>
          <w:i/>
        </w:rPr>
        <w:t xml:space="preserve"> 10 metų</w:t>
      </w:r>
      <w:r>
        <w:rPr>
          <w:i/>
          <w:iCs/>
          <w:szCs w:val="22"/>
        </w:rPr>
        <w:t xml:space="preserve"> vaikams</w:t>
      </w:r>
    </w:p>
    <w:p w14:paraId="4ABFB7A5" w14:textId="77777777" w:rsidR="00F50FC7" w:rsidRDefault="00F50FC7" w:rsidP="00F50FC7">
      <w:pPr>
        <w:tabs>
          <w:tab w:val="left" w:pos="567"/>
        </w:tabs>
        <w:rPr>
          <w:szCs w:val="22"/>
        </w:rPr>
      </w:pPr>
    </w:p>
    <w:p w14:paraId="59B561D4" w14:textId="5B5E777F" w:rsidR="00F50FC7" w:rsidRPr="00940092" w:rsidRDefault="002D6D0A" w:rsidP="002E2C80">
      <w:pPr>
        <w:tabs>
          <w:tab w:val="left" w:pos="567"/>
        </w:tabs>
        <w:rPr>
          <w:szCs w:val="22"/>
        </w:rPr>
      </w:pPr>
      <w:r>
        <w:rPr>
          <w:b/>
          <w:bCs/>
          <w:szCs w:val="22"/>
        </w:rPr>
        <w:t>Labai dažni šalutinio poveikio reiškiniai</w:t>
      </w:r>
      <w:r w:rsidRPr="00E90E50">
        <w:rPr>
          <w:b/>
        </w:rPr>
        <w:t xml:space="preserve"> (gali pasireikšti </w:t>
      </w:r>
      <w:r>
        <w:rPr>
          <w:b/>
          <w:bCs/>
          <w:szCs w:val="22"/>
        </w:rPr>
        <w:t>ne rečiau</w:t>
      </w:r>
      <w:r w:rsidRPr="00E90E50">
        <w:rPr>
          <w:b/>
        </w:rPr>
        <w:t xml:space="preserve"> kaip 1 iš 10</w:t>
      </w:r>
      <w:r>
        <w:rPr>
          <w:b/>
          <w:bCs/>
          <w:szCs w:val="22"/>
        </w:rPr>
        <w:t> </w:t>
      </w:r>
      <w:r w:rsidR="009C1DE4">
        <w:rPr>
          <w:b/>
          <w:bCs/>
          <w:szCs w:val="22"/>
        </w:rPr>
        <w:t>skiepijimų vakcinos doze</w:t>
      </w:r>
      <w:r w:rsidRPr="00E90E50">
        <w:rPr>
          <w:b/>
        </w:rPr>
        <w:t>):</w:t>
      </w:r>
      <w:r w:rsidR="00940092">
        <w:rPr>
          <w:szCs w:val="22"/>
        </w:rPr>
        <w:t xml:space="preserve"> </w:t>
      </w:r>
      <w:r w:rsidR="00F50FC7">
        <w:rPr>
          <w:szCs w:val="22"/>
        </w:rPr>
        <w:t>skausmas, paraudimas ir patinimas injekcijos vietoje</w:t>
      </w:r>
      <w:r w:rsidR="00940092">
        <w:rPr>
          <w:szCs w:val="22"/>
        </w:rPr>
        <w:t xml:space="preserve">, </w:t>
      </w:r>
      <w:r w:rsidR="00F50FC7">
        <w:rPr>
          <w:szCs w:val="22"/>
        </w:rPr>
        <w:t>galvos skausmas</w:t>
      </w:r>
      <w:r w:rsidR="00940092">
        <w:rPr>
          <w:szCs w:val="22"/>
        </w:rPr>
        <w:t xml:space="preserve">, </w:t>
      </w:r>
      <w:r w:rsidR="00F50FC7">
        <w:rPr>
          <w:szCs w:val="22"/>
        </w:rPr>
        <w:t>nuovargis</w:t>
      </w:r>
      <w:r w:rsidR="00940092">
        <w:rPr>
          <w:szCs w:val="22"/>
        </w:rPr>
        <w:t xml:space="preserve">, </w:t>
      </w:r>
      <w:r w:rsidR="00F50FC7" w:rsidRPr="00940092">
        <w:rPr>
          <w:szCs w:val="22"/>
        </w:rPr>
        <w:t xml:space="preserve">bendra bloga savijauta. </w:t>
      </w:r>
    </w:p>
    <w:p w14:paraId="1E76DE8E" w14:textId="77777777" w:rsidR="00F50FC7" w:rsidRDefault="00F50FC7" w:rsidP="00F50FC7">
      <w:pPr>
        <w:tabs>
          <w:tab w:val="left" w:pos="567"/>
        </w:tabs>
        <w:rPr>
          <w:szCs w:val="22"/>
        </w:rPr>
      </w:pPr>
    </w:p>
    <w:p w14:paraId="1315BB63" w14:textId="175A5C04" w:rsidR="00F50FC7" w:rsidRDefault="002D6D0A" w:rsidP="002E2C80">
      <w:r w:rsidRPr="005D7810">
        <w:rPr>
          <w:b/>
          <w:bCs/>
          <w:szCs w:val="22"/>
        </w:rPr>
        <w:t>Dažni šalutinio poveikio reiškiniai</w:t>
      </w:r>
      <w:r w:rsidRPr="00E90E50">
        <w:rPr>
          <w:b/>
        </w:rPr>
        <w:t xml:space="preserve"> (gali pasireikšti rečiau kaip 1 iš 10</w:t>
      </w:r>
      <w:r w:rsidRPr="005D7810">
        <w:rPr>
          <w:b/>
          <w:bCs/>
          <w:szCs w:val="22"/>
        </w:rPr>
        <w:t> </w:t>
      </w:r>
      <w:r w:rsidR="009C1DE4">
        <w:rPr>
          <w:b/>
          <w:bCs/>
          <w:szCs w:val="22"/>
        </w:rPr>
        <w:t>skiepijimų vakcinos doze</w:t>
      </w:r>
      <w:r w:rsidRPr="00E90E50">
        <w:rPr>
          <w:b/>
        </w:rPr>
        <w:t>):</w:t>
      </w:r>
      <w:r w:rsidR="00940092">
        <w:rPr>
          <w:szCs w:val="22"/>
        </w:rPr>
        <w:t xml:space="preserve"> </w:t>
      </w:r>
      <w:r w:rsidR="00F50FC7">
        <w:rPr>
          <w:szCs w:val="22"/>
        </w:rPr>
        <w:t>karščiavimas, kai kūno temperatūra yra 37,5</w:t>
      </w:r>
      <w:r w:rsidR="003E1728">
        <w:rPr>
          <w:szCs w:val="22"/>
        </w:rPr>
        <w:t> </w:t>
      </w:r>
      <w:r w:rsidR="00F50FC7">
        <w:rPr>
          <w:szCs w:val="22"/>
        </w:rPr>
        <w:t>°C ar didesnė</w:t>
      </w:r>
      <w:r w:rsidR="00940092">
        <w:rPr>
          <w:szCs w:val="22"/>
        </w:rPr>
        <w:t xml:space="preserve">, </w:t>
      </w:r>
      <w:r w:rsidR="00F50FC7">
        <w:rPr>
          <w:szCs w:val="22"/>
        </w:rPr>
        <w:t>svaigulys</w:t>
      </w:r>
      <w:r w:rsidR="00940092">
        <w:rPr>
          <w:szCs w:val="22"/>
        </w:rPr>
        <w:t xml:space="preserve">, </w:t>
      </w:r>
      <w:r w:rsidR="00F50FC7">
        <w:rPr>
          <w:szCs w:val="22"/>
        </w:rPr>
        <w:t>pykinimas</w:t>
      </w:r>
      <w:r w:rsidR="00940092">
        <w:rPr>
          <w:szCs w:val="22"/>
        </w:rPr>
        <w:t xml:space="preserve">, </w:t>
      </w:r>
      <w:r w:rsidR="00F50FC7">
        <w:rPr>
          <w:szCs w:val="22"/>
        </w:rPr>
        <w:t xml:space="preserve">sukietėjimas ar </w:t>
      </w:r>
      <w:proofErr w:type="spellStart"/>
      <w:r w:rsidR="00F50FC7">
        <w:rPr>
          <w:szCs w:val="22"/>
        </w:rPr>
        <w:t>abscesas</w:t>
      </w:r>
      <w:proofErr w:type="spellEnd"/>
      <w:r w:rsidR="00F50FC7">
        <w:rPr>
          <w:szCs w:val="22"/>
        </w:rPr>
        <w:t xml:space="preserve"> injekcijos vietoje.</w:t>
      </w:r>
    </w:p>
    <w:p w14:paraId="43C27631" w14:textId="77777777" w:rsidR="00F50FC7" w:rsidRDefault="00F50FC7" w:rsidP="00F50FC7">
      <w:pPr>
        <w:tabs>
          <w:tab w:val="left" w:pos="567"/>
        </w:tabs>
        <w:rPr>
          <w:szCs w:val="22"/>
        </w:rPr>
      </w:pPr>
    </w:p>
    <w:p w14:paraId="33055FD4" w14:textId="11F45A26" w:rsidR="00F50FC7" w:rsidRDefault="002D6D0A" w:rsidP="002E2C80">
      <w:pPr>
        <w:tabs>
          <w:tab w:val="left" w:pos="567"/>
        </w:tabs>
      </w:pPr>
      <w:r>
        <w:rPr>
          <w:b/>
          <w:bCs/>
          <w:szCs w:val="22"/>
        </w:rPr>
        <w:t>Nedažni šalutinio poveikio reiškiniai</w:t>
      </w:r>
      <w:r w:rsidRPr="00E90E50">
        <w:rPr>
          <w:b/>
        </w:rPr>
        <w:t xml:space="preserve"> (gali pasireikšti rečiau kaip 1 iš 100</w:t>
      </w:r>
      <w:r>
        <w:rPr>
          <w:b/>
          <w:bCs/>
          <w:szCs w:val="22"/>
        </w:rPr>
        <w:t> </w:t>
      </w:r>
      <w:r w:rsidR="009C1DE4">
        <w:rPr>
          <w:b/>
          <w:bCs/>
          <w:szCs w:val="22"/>
        </w:rPr>
        <w:t>skiepijimų vakcinos doze</w:t>
      </w:r>
      <w:r w:rsidRPr="00E90E50">
        <w:rPr>
          <w:b/>
        </w:rPr>
        <w:t>):</w:t>
      </w:r>
      <w:r w:rsidR="00940092">
        <w:rPr>
          <w:szCs w:val="22"/>
        </w:rPr>
        <w:t xml:space="preserve"> </w:t>
      </w:r>
      <w:r w:rsidR="00F50FC7">
        <w:rPr>
          <w:szCs w:val="22"/>
        </w:rPr>
        <w:t>karščiavimas, kai kūno temperatūra yra didesnė kaip 39</w:t>
      </w:r>
      <w:r w:rsidR="003E1728">
        <w:rPr>
          <w:szCs w:val="22"/>
        </w:rPr>
        <w:t> </w:t>
      </w:r>
      <w:r w:rsidR="00F50FC7">
        <w:rPr>
          <w:szCs w:val="22"/>
        </w:rPr>
        <w:t>°C</w:t>
      </w:r>
      <w:r w:rsidR="00940092">
        <w:rPr>
          <w:szCs w:val="22"/>
        </w:rPr>
        <w:t xml:space="preserve">, </w:t>
      </w:r>
      <w:r w:rsidR="00F50FC7">
        <w:rPr>
          <w:szCs w:val="22"/>
        </w:rPr>
        <w:t>skausmas</w:t>
      </w:r>
      <w:r w:rsidR="00940092">
        <w:rPr>
          <w:szCs w:val="22"/>
        </w:rPr>
        <w:t xml:space="preserve">, </w:t>
      </w:r>
      <w:r w:rsidR="00F50FC7">
        <w:rPr>
          <w:szCs w:val="22"/>
        </w:rPr>
        <w:t>sąnarių ar raumenų sąstingis</w:t>
      </w:r>
      <w:r w:rsidR="00940092">
        <w:rPr>
          <w:szCs w:val="22"/>
        </w:rPr>
        <w:t xml:space="preserve">, </w:t>
      </w:r>
      <w:r w:rsidR="00F50FC7">
        <w:rPr>
          <w:szCs w:val="22"/>
        </w:rPr>
        <w:t>vėmimas</w:t>
      </w:r>
      <w:r w:rsidR="00940092">
        <w:rPr>
          <w:szCs w:val="22"/>
        </w:rPr>
        <w:t xml:space="preserve">, </w:t>
      </w:r>
      <w:r w:rsidR="00F50FC7">
        <w:rPr>
          <w:szCs w:val="22"/>
        </w:rPr>
        <w:t>viduriavimas</w:t>
      </w:r>
      <w:r w:rsidR="00940092">
        <w:rPr>
          <w:szCs w:val="22"/>
        </w:rPr>
        <w:t xml:space="preserve">, </w:t>
      </w:r>
      <w:r w:rsidR="00F50FC7">
        <w:rPr>
          <w:szCs w:val="22"/>
        </w:rPr>
        <w:t>sąnarių sąstingis, sąnarių skausmas, raumenų skausmai</w:t>
      </w:r>
      <w:r w:rsidR="00940092">
        <w:rPr>
          <w:szCs w:val="22"/>
        </w:rPr>
        <w:t xml:space="preserve">, </w:t>
      </w:r>
      <w:r w:rsidR="00F50FC7">
        <w:rPr>
          <w:szCs w:val="22"/>
        </w:rPr>
        <w:t>niežėjimas</w:t>
      </w:r>
      <w:r w:rsidR="00940092">
        <w:rPr>
          <w:szCs w:val="22"/>
        </w:rPr>
        <w:t xml:space="preserve">, </w:t>
      </w:r>
      <w:r w:rsidR="00F50FC7">
        <w:rPr>
          <w:szCs w:val="22"/>
        </w:rPr>
        <w:t>pernelyg gausus prakaitavimas (</w:t>
      </w:r>
      <w:proofErr w:type="spellStart"/>
      <w:r w:rsidR="00F50FC7">
        <w:rPr>
          <w:szCs w:val="22"/>
        </w:rPr>
        <w:t>hiperhidrozė</w:t>
      </w:r>
      <w:proofErr w:type="spellEnd"/>
      <w:r w:rsidR="00F50FC7">
        <w:rPr>
          <w:szCs w:val="22"/>
        </w:rPr>
        <w:t>)</w:t>
      </w:r>
      <w:r w:rsidR="00940092">
        <w:rPr>
          <w:szCs w:val="22"/>
        </w:rPr>
        <w:t xml:space="preserve">, </w:t>
      </w:r>
      <w:r w:rsidR="00F50FC7">
        <w:rPr>
          <w:szCs w:val="22"/>
        </w:rPr>
        <w:t>odos išbėrimas</w:t>
      </w:r>
      <w:r w:rsidR="00940092">
        <w:rPr>
          <w:szCs w:val="22"/>
        </w:rPr>
        <w:t xml:space="preserve">, </w:t>
      </w:r>
      <w:r w:rsidR="00F50FC7">
        <w:rPr>
          <w:szCs w:val="22"/>
        </w:rPr>
        <w:t>kaklo, pažastų ar kirkšnių limfmazgių padidėjimas (</w:t>
      </w:r>
      <w:proofErr w:type="spellStart"/>
      <w:r w:rsidR="00F50FC7">
        <w:rPr>
          <w:szCs w:val="22"/>
        </w:rPr>
        <w:t>limfadenopatija</w:t>
      </w:r>
      <w:proofErr w:type="spellEnd"/>
      <w:r w:rsidR="00F50FC7">
        <w:rPr>
          <w:szCs w:val="22"/>
        </w:rPr>
        <w:t>)</w:t>
      </w:r>
      <w:r w:rsidR="00940092">
        <w:rPr>
          <w:szCs w:val="22"/>
        </w:rPr>
        <w:t xml:space="preserve">, </w:t>
      </w:r>
      <w:r w:rsidR="00F50FC7">
        <w:rPr>
          <w:szCs w:val="22"/>
        </w:rPr>
        <w:t>gerklės skausmas ir diskomfortas ryjant (</w:t>
      </w:r>
      <w:proofErr w:type="spellStart"/>
      <w:r w:rsidR="00F50FC7">
        <w:rPr>
          <w:szCs w:val="22"/>
        </w:rPr>
        <w:t>faringitas</w:t>
      </w:r>
      <w:proofErr w:type="spellEnd"/>
      <w:r w:rsidR="00F50FC7">
        <w:rPr>
          <w:szCs w:val="22"/>
        </w:rPr>
        <w:t>)</w:t>
      </w:r>
      <w:r w:rsidR="00940092">
        <w:rPr>
          <w:szCs w:val="22"/>
        </w:rPr>
        <w:t xml:space="preserve">, </w:t>
      </w:r>
      <w:r w:rsidR="00F50FC7">
        <w:rPr>
          <w:szCs w:val="22"/>
        </w:rPr>
        <w:t>viršutinių kvėpavimo takų infekcija</w:t>
      </w:r>
      <w:r w:rsidR="00940092">
        <w:rPr>
          <w:szCs w:val="22"/>
        </w:rPr>
        <w:t xml:space="preserve">, </w:t>
      </w:r>
      <w:r w:rsidR="00F50FC7">
        <w:rPr>
          <w:szCs w:val="22"/>
        </w:rPr>
        <w:t>kosulys</w:t>
      </w:r>
      <w:r w:rsidR="00940092">
        <w:rPr>
          <w:szCs w:val="22"/>
        </w:rPr>
        <w:t xml:space="preserve">, </w:t>
      </w:r>
      <w:r w:rsidR="00F50FC7">
        <w:rPr>
          <w:szCs w:val="22"/>
        </w:rPr>
        <w:t>apalpimas (sinkopė)</w:t>
      </w:r>
      <w:r w:rsidR="00940092">
        <w:rPr>
          <w:szCs w:val="22"/>
        </w:rPr>
        <w:t xml:space="preserve">, </w:t>
      </w:r>
      <w:r w:rsidR="00F50FC7">
        <w:rPr>
          <w:szCs w:val="22"/>
        </w:rPr>
        <w:t xml:space="preserve">į gripą panašūs simptomai, pavyzdžiui: karščiavimas, gerklės skausmas, skystos išskyros iš nosies, kosulys ir </w:t>
      </w:r>
      <w:proofErr w:type="spellStart"/>
      <w:r w:rsidR="00F50FC7">
        <w:rPr>
          <w:szCs w:val="22"/>
        </w:rPr>
        <w:t>šaltkrėtis</w:t>
      </w:r>
      <w:proofErr w:type="spellEnd"/>
      <w:r w:rsidR="00F50FC7">
        <w:rPr>
          <w:szCs w:val="22"/>
        </w:rPr>
        <w:t>.</w:t>
      </w:r>
    </w:p>
    <w:p w14:paraId="703A19E9" w14:textId="77777777" w:rsidR="00F50FC7" w:rsidRDefault="00F50FC7" w:rsidP="00F50FC7">
      <w:pPr>
        <w:rPr>
          <w:szCs w:val="22"/>
        </w:rPr>
      </w:pPr>
    </w:p>
    <w:p w14:paraId="4A0394D5" w14:textId="2803EF51" w:rsidR="00F50FC7" w:rsidRPr="0093249B" w:rsidRDefault="00F50FC7" w:rsidP="002E2C80">
      <w:pPr>
        <w:rPr>
          <w:szCs w:val="22"/>
        </w:rPr>
      </w:pPr>
      <w:r>
        <w:rPr>
          <w:szCs w:val="22"/>
        </w:rPr>
        <w:t xml:space="preserve">Toliau išvardintas šalutinis poveikis pasireiškė įprastai skiepijant </w:t>
      </w:r>
      <w:proofErr w:type="spellStart"/>
      <w:r>
        <w:rPr>
          <w:szCs w:val="22"/>
        </w:rPr>
        <w:t>Boostrix</w:t>
      </w:r>
      <w:proofErr w:type="spellEnd"/>
      <w:r>
        <w:rPr>
          <w:szCs w:val="22"/>
        </w:rPr>
        <w:t xml:space="preserve"> ir nėra būdingas kuriai nors amžiaus grupei:</w:t>
      </w:r>
      <w:r w:rsidR="0093249B">
        <w:rPr>
          <w:szCs w:val="22"/>
        </w:rPr>
        <w:t xml:space="preserve"> </w:t>
      </w:r>
      <w:r>
        <w:rPr>
          <w:szCs w:val="22"/>
        </w:rPr>
        <w:t>veido, lūpų, burnos, liežuvio ir gerklės patinimas, dėl kurio gali pasunkėti rijimas ar kvėpavimas (</w:t>
      </w:r>
      <w:proofErr w:type="spellStart"/>
      <w:r>
        <w:rPr>
          <w:szCs w:val="22"/>
        </w:rPr>
        <w:t>angioneurozinė</w:t>
      </w:r>
      <w:proofErr w:type="spellEnd"/>
      <w:r>
        <w:rPr>
          <w:szCs w:val="22"/>
        </w:rPr>
        <w:t xml:space="preserve"> edema)</w:t>
      </w:r>
      <w:r w:rsidR="0093249B">
        <w:rPr>
          <w:szCs w:val="22"/>
        </w:rPr>
        <w:t xml:space="preserve">, </w:t>
      </w:r>
      <w:r w:rsidRPr="0093249B">
        <w:rPr>
          <w:szCs w:val="22"/>
        </w:rPr>
        <w:t>ūmus kraujagyslių funkcijos nepakankamumas arba sąmonės netekimo ar pritemimo epizodai</w:t>
      </w:r>
      <w:r w:rsidR="0093249B" w:rsidRPr="0093249B">
        <w:rPr>
          <w:szCs w:val="22"/>
        </w:rPr>
        <w:t xml:space="preserve">, </w:t>
      </w:r>
      <w:r w:rsidRPr="0093249B">
        <w:rPr>
          <w:szCs w:val="22"/>
        </w:rPr>
        <w:t>traukuliai ar priepuoliai (su karščiavimu arba be karščiavimo)</w:t>
      </w:r>
      <w:r w:rsidR="0093249B" w:rsidRPr="0093249B">
        <w:rPr>
          <w:szCs w:val="22"/>
        </w:rPr>
        <w:t xml:space="preserve">, </w:t>
      </w:r>
      <w:r w:rsidRPr="0093249B">
        <w:rPr>
          <w:szCs w:val="22"/>
        </w:rPr>
        <w:t>dilgėlinė (</w:t>
      </w:r>
      <w:proofErr w:type="spellStart"/>
      <w:r w:rsidRPr="0093249B">
        <w:rPr>
          <w:szCs w:val="22"/>
        </w:rPr>
        <w:t>urtikarija</w:t>
      </w:r>
      <w:proofErr w:type="spellEnd"/>
      <w:r w:rsidRPr="0093249B">
        <w:rPr>
          <w:szCs w:val="22"/>
        </w:rPr>
        <w:t>)</w:t>
      </w:r>
      <w:r w:rsidR="0093249B" w:rsidRPr="0093249B">
        <w:rPr>
          <w:szCs w:val="22"/>
        </w:rPr>
        <w:t xml:space="preserve">, </w:t>
      </w:r>
      <w:r w:rsidRPr="0093249B">
        <w:rPr>
          <w:szCs w:val="22"/>
        </w:rPr>
        <w:t>neįprastas silpnumas (</w:t>
      </w:r>
      <w:proofErr w:type="spellStart"/>
      <w:r w:rsidRPr="0093249B">
        <w:rPr>
          <w:szCs w:val="22"/>
        </w:rPr>
        <w:t>astenija</w:t>
      </w:r>
      <w:proofErr w:type="spellEnd"/>
      <w:r w:rsidRPr="0093249B">
        <w:rPr>
          <w:szCs w:val="22"/>
        </w:rPr>
        <w:t>).</w:t>
      </w:r>
    </w:p>
    <w:p w14:paraId="06717C7C" w14:textId="77777777" w:rsidR="00F50FC7" w:rsidRDefault="00F50FC7" w:rsidP="00F50FC7">
      <w:pPr>
        <w:rPr>
          <w:szCs w:val="22"/>
        </w:rPr>
      </w:pPr>
    </w:p>
    <w:p w14:paraId="4AC15100" w14:textId="0DD1C60C" w:rsidR="00F50FC7" w:rsidRDefault="00F50FC7" w:rsidP="00F50FC7">
      <w:pPr>
        <w:tabs>
          <w:tab w:val="left" w:pos="567"/>
        </w:tabs>
      </w:pPr>
      <w:r>
        <w:rPr>
          <w:szCs w:val="22"/>
        </w:rPr>
        <w:t xml:space="preserve">Labai retais atvejais (rečiau kaip 1 iš 10 000 </w:t>
      </w:r>
      <w:r w:rsidR="00510588">
        <w:rPr>
          <w:szCs w:val="22"/>
        </w:rPr>
        <w:t xml:space="preserve">skiepijimų </w:t>
      </w:r>
      <w:r>
        <w:rPr>
          <w:szCs w:val="22"/>
        </w:rPr>
        <w:t xml:space="preserve">vakcinos </w:t>
      </w:r>
      <w:r w:rsidR="00510588">
        <w:rPr>
          <w:szCs w:val="22"/>
        </w:rPr>
        <w:t>doze</w:t>
      </w:r>
      <w:r>
        <w:rPr>
          <w:szCs w:val="22"/>
        </w:rPr>
        <w:t>) po vakcinos nuo stabligės suleidimo pasireiškė laikinas nervų uždegimas, sukeliantis skausmą, silpnumą ir galūnių paralyžių, dažnai išplintantis į krūtinę ir veidą (</w:t>
      </w:r>
      <w:proofErr w:type="spellStart"/>
      <w:r>
        <w:rPr>
          <w:szCs w:val="22"/>
        </w:rPr>
        <w:t>Gijeno</w:t>
      </w:r>
      <w:proofErr w:type="spellEnd"/>
      <w:r w:rsidRPr="00501F48">
        <w:rPr>
          <w:szCs w:val="22"/>
        </w:rPr>
        <w:t>-Bare</w:t>
      </w:r>
      <w:r>
        <w:rPr>
          <w:szCs w:val="22"/>
        </w:rPr>
        <w:t xml:space="preserve"> [</w:t>
      </w:r>
      <w:proofErr w:type="spellStart"/>
      <w:r>
        <w:rPr>
          <w:i/>
          <w:szCs w:val="22"/>
        </w:rPr>
        <w:t>Guillain-Barré</w:t>
      </w:r>
      <w:proofErr w:type="spellEnd"/>
      <w:r w:rsidRPr="00316239">
        <w:rPr>
          <w:szCs w:val="22"/>
        </w:rPr>
        <w:t>]</w:t>
      </w:r>
      <w:r>
        <w:rPr>
          <w:i/>
          <w:szCs w:val="22"/>
        </w:rPr>
        <w:t xml:space="preserve"> </w:t>
      </w:r>
      <w:r>
        <w:rPr>
          <w:szCs w:val="22"/>
        </w:rPr>
        <w:t>sindromas).</w:t>
      </w:r>
    </w:p>
    <w:p w14:paraId="754D506D" w14:textId="77777777" w:rsidR="00F50FC7" w:rsidRPr="00E90E50" w:rsidRDefault="00F50FC7" w:rsidP="00F50FC7"/>
    <w:p w14:paraId="3213673A" w14:textId="77777777" w:rsidR="00F50FC7" w:rsidRDefault="00F50FC7" w:rsidP="00F50FC7">
      <w:r>
        <w:rPr>
          <w:b/>
        </w:rPr>
        <w:t>Pranešimas apie šalutinį poveikį</w:t>
      </w:r>
    </w:p>
    <w:p w14:paraId="2D6BD8D7" w14:textId="6AF0EAD6" w:rsidR="00F50FC7" w:rsidRDefault="00F50FC7" w:rsidP="00F50FC7">
      <w:pPr>
        <w:ind w:right="-2"/>
      </w:pPr>
      <w:r>
        <w:t xml:space="preserve">Jeigu pasireiškė šalutinis poveikis, įskaitant šiame lapelyje nenurodytą, pasakykite </w:t>
      </w:r>
      <w:r w:rsidRPr="00D24865">
        <w:rPr>
          <w:szCs w:val="22"/>
        </w:rPr>
        <w:t xml:space="preserve">gydytojui arba vaistininkui. </w:t>
      </w:r>
      <w:r w:rsidR="00F435D3" w:rsidRPr="00F435D3">
        <w:rPr>
          <w:noProof/>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w:t>
      </w:r>
      <w:r w:rsidR="00E01929" w:rsidRPr="005D554B">
        <w:rPr>
          <w:snapToGrid w:val="0"/>
        </w:rPr>
        <w:t xml:space="preserve">(ĮNR) </w:t>
      </w:r>
      <w:r w:rsidR="00F435D3" w:rsidRPr="00F435D3">
        <w:rPr>
          <w:noProof/>
          <w:szCs w:val="22"/>
        </w:rPr>
        <w:t xml:space="preserve">formą, kuri skelbiama https://www.vvkt.lt/index.php?4004286486, ir atsiunčiant elektroniniu paštu (adresu NepageidaujamaR@vvkt.lt) arba nemokamu telefonu 8 800 73 568. </w:t>
      </w:r>
      <w:r>
        <w:t>Pranešdami apie šalutinį poveikį galite mums padėti gauti daugiau informacijos apie šio vaisto saugumą.</w:t>
      </w:r>
    </w:p>
    <w:p w14:paraId="1D6A6F7F" w14:textId="77777777" w:rsidR="00F50FC7" w:rsidRPr="008D66EC" w:rsidRDefault="00F50FC7" w:rsidP="00F50FC7">
      <w:pPr>
        <w:ind w:right="-2"/>
      </w:pPr>
    </w:p>
    <w:p w14:paraId="1744283E" w14:textId="77777777" w:rsidR="00F50FC7" w:rsidRPr="008D66EC" w:rsidRDefault="00F50FC7" w:rsidP="00F50FC7">
      <w:pPr>
        <w:ind w:right="-2"/>
      </w:pPr>
    </w:p>
    <w:p w14:paraId="2CC8827B" w14:textId="24CDD2DF" w:rsidR="00F50FC7" w:rsidRDefault="00F50FC7" w:rsidP="00F50FC7">
      <w:pPr>
        <w:pStyle w:val="PI-1EMEASMCA"/>
      </w:pPr>
      <w:bookmarkStart w:id="85" w:name="_Toc129243143"/>
      <w:bookmarkStart w:id="86" w:name="_Toc129243268"/>
      <w:r>
        <w:t>5.</w:t>
      </w:r>
      <w:r>
        <w:tab/>
        <w:t xml:space="preserve">Kaip laikyti </w:t>
      </w:r>
      <w:proofErr w:type="spellStart"/>
      <w:r>
        <w:t>Boostrix</w:t>
      </w:r>
      <w:bookmarkEnd w:id="85"/>
      <w:bookmarkEnd w:id="86"/>
      <w:proofErr w:type="spellEnd"/>
    </w:p>
    <w:p w14:paraId="234265C1" w14:textId="77777777" w:rsidR="00F50FC7" w:rsidRPr="002C65CD" w:rsidRDefault="00F50FC7" w:rsidP="000B6C00">
      <w:pPr>
        <w:pStyle w:val="BTEMEASMCA"/>
      </w:pPr>
    </w:p>
    <w:p w14:paraId="45465203" w14:textId="77777777" w:rsidR="00F50FC7" w:rsidRDefault="00F50FC7" w:rsidP="00F50FC7">
      <w:pPr>
        <w:tabs>
          <w:tab w:val="left" w:pos="567"/>
        </w:tabs>
      </w:pPr>
      <w:r>
        <w:rPr>
          <w:szCs w:val="22"/>
        </w:rPr>
        <w:t>Šį vaistą laikykite vaikams nepastebimoje ir nepasiekiamoje vietoje.</w:t>
      </w:r>
    </w:p>
    <w:p w14:paraId="35C52012" w14:textId="77777777" w:rsidR="00F50FC7" w:rsidRDefault="00F50FC7" w:rsidP="00F50FC7">
      <w:pPr>
        <w:tabs>
          <w:tab w:val="left" w:pos="567"/>
        </w:tabs>
        <w:rPr>
          <w:szCs w:val="22"/>
        </w:rPr>
      </w:pPr>
    </w:p>
    <w:p w14:paraId="666C2A5A" w14:textId="77777777" w:rsidR="00F50FC7" w:rsidRDefault="00F50FC7" w:rsidP="00F50FC7">
      <w:r>
        <w:rPr>
          <w:szCs w:val="22"/>
        </w:rPr>
        <w:t xml:space="preserve">Ant kartono dėžutės ir užpildyto švirkšto etiketės po „Tinka iki“ ar </w:t>
      </w:r>
      <w:r w:rsidRPr="00C30146">
        <w:rPr>
          <w:szCs w:val="22"/>
        </w:rPr>
        <w:t>„</w:t>
      </w:r>
      <w:r w:rsidRPr="00A55669">
        <w:rPr>
          <w:iCs/>
          <w:szCs w:val="22"/>
        </w:rPr>
        <w:t>EXP</w:t>
      </w:r>
      <w:r w:rsidRPr="00C30146">
        <w:rPr>
          <w:szCs w:val="22"/>
        </w:rPr>
        <w:t>“</w:t>
      </w:r>
      <w:r>
        <w:rPr>
          <w:szCs w:val="22"/>
        </w:rPr>
        <w:t xml:space="preserve"> nurodytam tinkamumo laikui pasibaigus, šios vakcinos vartoti negalima. Vakcina tinkama vartoti iki paskutinės nurodyto mėnesio dienos.</w:t>
      </w:r>
    </w:p>
    <w:p w14:paraId="5EA1BA66" w14:textId="77777777" w:rsidR="00F50FC7" w:rsidRDefault="00F50FC7" w:rsidP="00F50FC7">
      <w:pPr>
        <w:rPr>
          <w:szCs w:val="22"/>
        </w:rPr>
      </w:pPr>
    </w:p>
    <w:p w14:paraId="7D78D6FC" w14:textId="77777777" w:rsidR="00F50FC7" w:rsidRDefault="00F50FC7" w:rsidP="00F50FC7">
      <w:pPr>
        <w:tabs>
          <w:tab w:val="left" w:pos="567"/>
        </w:tabs>
      </w:pPr>
      <w:r>
        <w:rPr>
          <w:szCs w:val="22"/>
        </w:rPr>
        <w:lastRenderedPageBreak/>
        <w:t>Laikyti šaldytuve (2 </w:t>
      </w:r>
      <w:r>
        <w:rPr>
          <w:rFonts w:ascii="Symbol" w:eastAsia="Symbol" w:hAnsi="Symbol" w:cs="Symbol"/>
          <w:szCs w:val="22"/>
        </w:rPr>
        <w:t></w:t>
      </w:r>
      <w:r>
        <w:rPr>
          <w:szCs w:val="22"/>
        </w:rPr>
        <w:t>C – 8 </w:t>
      </w:r>
      <w:r>
        <w:rPr>
          <w:rFonts w:ascii="Symbol" w:eastAsia="Symbol" w:hAnsi="Symbol" w:cs="Symbol"/>
          <w:szCs w:val="22"/>
        </w:rPr>
        <w:t></w:t>
      </w:r>
      <w:r>
        <w:rPr>
          <w:szCs w:val="22"/>
        </w:rPr>
        <w:t>C).</w:t>
      </w:r>
    </w:p>
    <w:p w14:paraId="1FDC6C06" w14:textId="77777777" w:rsidR="00F50FC7" w:rsidRDefault="00F50FC7" w:rsidP="00F50FC7">
      <w:pPr>
        <w:tabs>
          <w:tab w:val="left" w:pos="567"/>
        </w:tabs>
      </w:pPr>
      <w:r>
        <w:rPr>
          <w:szCs w:val="22"/>
        </w:rPr>
        <w:t>Negalima užšaldyti. Užšaldymas suardo vakciną.</w:t>
      </w:r>
    </w:p>
    <w:p w14:paraId="6628DA00" w14:textId="77777777" w:rsidR="00F50FC7" w:rsidRDefault="00F50FC7" w:rsidP="00F50FC7">
      <w:pPr>
        <w:tabs>
          <w:tab w:val="left" w:pos="567"/>
        </w:tabs>
      </w:pPr>
      <w:r>
        <w:t>Laikyti gamintojo pakuotėje, kad vaistas būtų apsaugotas nuo šviesos.</w:t>
      </w:r>
    </w:p>
    <w:p w14:paraId="48401834" w14:textId="77777777" w:rsidR="00F50FC7" w:rsidRPr="002C65CD" w:rsidRDefault="00F50FC7" w:rsidP="00F50FC7">
      <w:pPr>
        <w:tabs>
          <w:tab w:val="left" w:pos="567"/>
        </w:tabs>
      </w:pPr>
    </w:p>
    <w:p w14:paraId="5DED5370" w14:textId="77777777" w:rsidR="00F50FC7" w:rsidRPr="002C65CD" w:rsidRDefault="00F50FC7" w:rsidP="00F50FC7">
      <w:pPr>
        <w:tabs>
          <w:tab w:val="left" w:pos="567"/>
        </w:tabs>
      </w:pPr>
      <w:r w:rsidRPr="002C65CD">
        <w:t>Vaistų negalima išmesti į kanalizaciją arba su buitinėmis atliekomis. Kaip išmesti nereikalingus vaistus, klauskite vaistininko. Šios priemonės padės apsaugoti aplinką.</w:t>
      </w:r>
    </w:p>
    <w:p w14:paraId="74A6D3A4" w14:textId="77777777" w:rsidR="00F50FC7" w:rsidRPr="002C65CD" w:rsidRDefault="00F50FC7" w:rsidP="00F50FC7">
      <w:pPr>
        <w:tabs>
          <w:tab w:val="left" w:pos="567"/>
        </w:tabs>
      </w:pPr>
    </w:p>
    <w:p w14:paraId="3F122042" w14:textId="77777777" w:rsidR="00F50FC7" w:rsidRPr="002C65CD" w:rsidRDefault="00F50FC7" w:rsidP="00F50FC7">
      <w:pPr>
        <w:tabs>
          <w:tab w:val="left" w:pos="567"/>
        </w:tabs>
      </w:pPr>
    </w:p>
    <w:p w14:paraId="356C4A2F" w14:textId="071F78C0" w:rsidR="00F50FC7" w:rsidRDefault="00F50FC7" w:rsidP="00F50FC7">
      <w:pPr>
        <w:pStyle w:val="PI-1EMEASMCA"/>
      </w:pPr>
      <w:bookmarkStart w:id="87" w:name="_Toc129243144"/>
      <w:bookmarkStart w:id="88" w:name="_Toc129243269"/>
      <w:r>
        <w:t>6.</w:t>
      </w:r>
      <w:r>
        <w:tab/>
        <w:t>Pakuotės turinys ir kita informacija</w:t>
      </w:r>
      <w:bookmarkEnd w:id="87"/>
      <w:bookmarkEnd w:id="88"/>
    </w:p>
    <w:p w14:paraId="1666CE7C" w14:textId="77777777" w:rsidR="00F50FC7" w:rsidRPr="002C65CD" w:rsidRDefault="00F50FC7" w:rsidP="000B6C00">
      <w:pPr>
        <w:pStyle w:val="BTEMEASMCA"/>
      </w:pPr>
    </w:p>
    <w:p w14:paraId="010C239F" w14:textId="77777777" w:rsidR="00F50FC7" w:rsidRDefault="00F50FC7" w:rsidP="00F50FC7">
      <w:pPr>
        <w:pStyle w:val="PI-3EMEASMCA"/>
      </w:pPr>
      <w:proofErr w:type="spellStart"/>
      <w:r>
        <w:t>Boostrix</w:t>
      </w:r>
      <w:proofErr w:type="spellEnd"/>
      <w:r>
        <w:t xml:space="preserve"> sudėtis</w:t>
      </w:r>
    </w:p>
    <w:p w14:paraId="49BF438F" w14:textId="376DFCDE" w:rsidR="00F50FC7" w:rsidRDefault="00F50FC7" w:rsidP="00F50FC7">
      <w:pPr>
        <w:tabs>
          <w:tab w:val="left" w:pos="567"/>
        </w:tabs>
        <w:ind w:left="567" w:hanging="567"/>
        <w:rPr>
          <w:szCs w:val="22"/>
        </w:rPr>
      </w:pPr>
      <w:r>
        <w:rPr>
          <w:szCs w:val="22"/>
        </w:rPr>
        <w:t>-</w:t>
      </w:r>
      <w:r>
        <w:rPr>
          <w:szCs w:val="22"/>
        </w:rPr>
        <w:tab/>
        <w:t>Veikliosios medžiagos yra:</w:t>
      </w:r>
    </w:p>
    <w:p w14:paraId="498F92A7" w14:textId="118AA47F" w:rsidR="00F50FC7" w:rsidRDefault="00F50FC7" w:rsidP="00F50FC7">
      <w:pPr>
        <w:tabs>
          <w:tab w:val="left" w:pos="567"/>
          <w:tab w:val="right" w:pos="7938"/>
        </w:tabs>
        <w:ind w:left="567"/>
      </w:pPr>
      <w:r>
        <w:rPr>
          <w:szCs w:val="22"/>
        </w:rPr>
        <w:t xml:space="preserve">Difterijos </w:t>
      </w:r>
      <w:proofErr w:type="spellStart"/>
      <w:r>
        <w:rPr>
          <w:szCs w:val="22"/>
        </w:rPr>
        <w:t>anatoksinas</w:t>
      </w:r>
      <w:proofErr w:type="spellEnd"/>
      <w:r w:rsidR="00AF599C">
        <w:rPr>
          <w:szCs w:val="22"/>
        </w:rPr>
        <w:t> </w:t>
      </w:r>
      <w:r w:rsidRPr="00E90E50">
        <w:rPr>
          <w:vertAlign w:val="superscript"/>
        </w:rPr>
        <w:t>1</w:t>
      </w:r>
      <w:r>
        <w:rPr>
          <w:szCs w:val="22"/>
        </w:rPr>
        <w:tab/>
        <w:t>ne mažiau kaip 2 tarptautiniai vienetai (TV) (2,5 </w:t>
      </w:r>
      <w:proofErr w:type="spellStart"/>
      <w:r>
        <w:rPr>
          <w:szCs w:val="22"/>
        </w:rPr>
        <w:t>Lf</w:t>
      </w:r>
      <w:proofErr w:type="spellEnd"/>
      <w:r>
        <w:rPr>
          <w:szCs w:val="22"/>
        </w:rPr>
        <w:t>)</w:t>
      </w:r>
    </w:p>
    <w:p w14:paraId="23F9DD79" w14:textId="0ED5596E" w:rsidR="00F50FC7" w:rsidRDefault="00F50FC7" w:rsidP="00F50FC7">
      <w:pPr>
        <w:tabs>
          <w:tab w:val="left" w:pos="567"/>
          <w:tab w:val="right" w:pos="7938"/>
        </w:tabs>
        <w:ind w:left="567"/>
      </w:pPr>
      <w:r>
        <w:rPr>
          <w:szCs w:val="22"/>
        </w:rPr>
        <w:t xml:space="preserve">Stabligės </w:t>
      </w:r>
      <w:proofErr w:type="spellStart"/>
      <w:r>
        <w:rPr>
          <w:szCs w:val="22"/>
        </w:rPr>
        <w:t>anatoksino</w:t>
      </w:r>
      <w:proofErr w:type="spellEnd"/>
      <w:r w:rsidR="003E1728">
        <w:rPr>
          <w:szCs w:val="22"/>
        </w:rPr>
        <w:t> </w:t>
      </w:r>
      <w:r>
        <w:rPr>
          <w:szCs w:val="22"/>
          <w:vertAlign w:val="superscript"/>
          <w:lang w:val="en-US"/>
        </w:rPr>
        <w:t>1</w:t>
      </w:r>
      <w:r>
        <w:rPr>
          <w:szCs w:val="22"/>
        </w:rPr>
        <w:tab/>
        <w:t>ne mažiau kaip 20 tarptautinių vienetų (TV) (5 </w:t>
      </w:r>
      <w:proofErr w:type="spellStart"/>
      <w:r>
        <w:rPr>
          <w:szCs w:val="22"/>
        </w:rPr>
        <w:t>Lf</w:t>
      </w:r>
      <w:proofErr w:type="spellEnd"/>
      <w:r>
        <w:rPr>
          <w:szCs w:val="22"/>
        </w:rPr>
        <w:t>)</w:t>
      </w:r>
    </w:p>
    <w:p w14:paraId="43B22567" w14:textId="77777777" w:rsidR="00F50FC7" w:rsidRDefault="00F50FC7" w:rsidP="00F50FC7">
      <w:pPr>
        <w:tabs>
          <w:tab w:val="left" w:pos="567"/>
        </w:tabs>
        <w:ind w:left="567"/>
      </w:pPr>
      <w:proofErr w:type="spellStart"/>
      <w:r>
        <w:rPr>
          <w:i/>
          <w:iCs/>
          <w:szCs w:val="22"/>
        </w:rPr>
        <w:t>Bordetella</w:t>
      </w:r>
      <w:proofErr w:type="spellEnd"/>
      <w:r>
        <w:rPr>
          <w:i/>
          <w:iCs/>
          <w:szCs w:val="22"/>
        </w:rPr>
        <w:t xml:space="preserve"> </w:t>
      </w:r>
      <w:proofErr w:type="spellStart"/>
      <w:r>
        <w:rPr>
          <w:i/>
          <w:iCs/>
          <w:szCs w:val="22"/>
        </w:rPr>
        <w:t>pertussis</w:t>
      </w:r>
      <w:proofErr w:type="spellEnd"/>
      <w:r>
        <w:rPr>
          <w:szCs w:val="22"/>
        </w:rPr>
        <w:t xml:space="preserve"> antigenų</w:t>
      </w:r>
    </w:p>
    <w:p w14:paraId="2451ADF9" w14:textId="29D49AC4" w:rsidR="00F50FC7" w:rsidRDefault="00F50FC7" w:rsidP="00F50FC7">
      <w:pPr>
        <w:tabs>
          <w:tab w:val="left" w:pos="567"/>
          <w:tab w:val="right" w:pos="7938"/>
        </w:tabs>
        <w:ind w:left="567"/>
      </w:pPr>
      <w:r>
        <w:rPr>
          <w:szCs w:val="22"/>
        </w:rPr>
        <w:t xml:space="preserve">     Kokliušo </w:t>
      </w:r>
      <w:proofErr w:type="spellStart"/>
      <w:r>
        <w:rPr>
          <w:szCs w:val="22"/>
        </w:rPr>
        <w:t>anatoksino</w:t>
      </w:r>
      <w:proofErr w:type="spellEnd"/>
      <w:r w:rsidR="003E1728">
        <w:rPr>
          <w:szCs w:val="22"/>
        </w:rPr>
        <w:t> </w:t>
      </w:r>
      <w:r w:rsidRPr="000509D9">
        <w:rPr>
          <w:szCs w:val="22"/>
          <w:vertAlign w:val="superscript"/>
          <w:lang w:val="sv-SE"/>
        </w:rPr>
        <w:t>1</w:t>
      </w:r>
      <w:r>
        <w:rPr>
          <w:szCs w:val="22"/>
        </w:rPr>
        <w:tab/>
        <w:t>8 </w:t>
      </w:r>
      <w:proofErr w:type="spellStart"/>
      <w:r>
        <w:rPr>
          <w:szCs w:val="22"/>
        </w:rPr>
        <w:t>mikrogramai</w:t>
      </w:r>
      <w:proofErr w:type="spellEnd"/>
    </w:p>
    <w:p w14:paraId="6C8BDCDB" w14:textId="5C4227D2" w:rsidR="00F50FC7" w:rsidRDefault="00F50FC7" w:rsidP="00F50FC7">
      <w:pPr>
        <w:tabs>
          <w:tab w:val="left" w:pos="567"/>
          <w:tab w:val="right" w:pos="7938"/>
        </w:tabs>
        <w:ind w:left="567"/>
      </w:pPr>
      <w:r>
        <w:rPr>
          <w:szCs w:val="22"/>
        </w:rPr>
        <w:t xml:space="preserve">     </w:t>
      </w:r>
      <w:proofErr w:type="spellStart"/>
      <w:r>
        <w:rPr>
          <w:szCs w:val="22"/>
        </w:rPr>
        <w:t>Filamentinio</w:t>
      </w:r>
      <w:proofErr w:type="spellEnd"/>
      <w:r>
        <w:rPr>
          <w:szCs w:val="22"/>
        </w:rPr>
        <w:t xml:space="preserve"> </w:t>
      </w:r>
      <w:proofErr w:type="spellStart"/>
      <w:r>
        <w:rPr>
          <w:szCs w:val="22"/>
        </w:rPr>
        <w:t>hemagliutinino</w:t>
      </w:r>
      <w:proofErr w:type="spellEnd"/>
      <w:r w:rsidR="003E1728">
        <w:rPr>
          <w:szCs w:val="22"/>
        </w:rPr>
        <w:t> </w:t>
      </w:r>
      <w:r w:rsidRPr="00E90E50">
        <w:rPr>
          <w:vertAlign w:val="superscript"/>
        </w:rPr>
        <w:t>1</w:t>
      </w:r>
      <w:r>
        <w:rPr>
          <w:szCs w:val="22"/>
          <w:vertAlign w:val="superscript"/>
        </w:rPr>
        <w:tab/>
      </w:r>
      <w:r>
        <w:rPr>
          <w:szCs w:val="22"/>
        </w:rPr>
        <w:t>8 </w:t>
      </w:r>
      <w:proofErr w:type="spellStart"/>
      <w:r>
        <w:rPr>
          <w:szCs w:val="22"/>
        </w:rPr>
        <w:t>mikrogramai</w:t>
      </w:r>
      <w:proofErr w:type="spellEnd"/>
    </w:p>
    <w:p w14:paraId="4CA4AEA0" w14:textId="70FE7C3A" w:rsidR="00F50FC7" w:rsidRDefault="00F50FC7" w:rsidP="00F50FC7">
      <w:pPr>
        <w:tabs>
          <w:tab w:val="left" w:pos="567"/>
          <w:tab w:val="right" w:pos="7938"/>
        </w:tabs>
        <w:ind w:left="567"/>
      </w:pPr>
      <w:r>
        <w:rPr>
          <w:szCs w:val="22"/>
        </w:rPr>
        <w:t xml:space="preserve">     </w:t>
      </w:r>
      <w:proofErr w:type="spellStart"/>
      <w:r>
        <w:rPr>
          <w:szCs w:val="22"/>
        </w:rPr>
        <w:t>Pertaktino</w:t>
      </w:r>
      <w:proofErr w:type="spellEnd"/>
      <w:r w:rsidR="003E1728">
        <w:rPr>
          <w:szCs w:val="22"/>
        </w:rPr>
        <w:t> </w:t>
      </w:r>
      <w:r w:rsidRPr="00E90E50">
        <w:rPr>
          <w:vertAlign w:val="superscript"/>
        </w:rPr>
        <w:t>1</w:t>
      </w:r>
      <w:r>
        <w:rPr>
          <w:szCs w:val="22"/>
          <w:vertAlign w:val="superscript"/>
        </w:rPr>
        <w:tab/>
      </w:r>
      <w:r>
        <w:rPr>
          <w:szCs w:val="22"/>
        </w:rPr>
        <w:t>2,5 </w:t>
      </w:r>
      <w:proofErr w:type="spellStart"/>
      <w:r>
        <w:rPr>
          <w:szCs w:val="22"/>
        </w:rPr>
        <w:t>mikrogramo</w:t>
      </w:r>
      <w:proofErr w:type="spellEnd"/>
    </w:p>
    <w:p w14:paraId="64CC0DB5" w14:textId="77777777" w:rsidR="00F50FC7" w:rsidRDefault="00F50FC7" w:rsidP="00E90E50">
      <w:pPr>
        <w:tabs>
          <w:tab w:val="left" w:pos="567"/>
          <w:tab w:val="right" w:pos="7938"/>
        </w:tabs>
        <w:rPr>
          <w:szCs w:val="22"/>
        </w:rPr>
      </w:pPr>
    </w:p>
    <w:p w14:paraId="0336D3F1" w14:textId="6DF0AE36" w:rsidR="00F50FC7" w:rsidRDefault="00F50FC7" w:rsidP="00F50FC7">
      <w:pPr>
        <w:tabs>
          <w:tab w:val="left" w:pos="567"/>
          <w:tab w:val="right" w:pos="7938"/>
        </w:tabs>
        <w:ind w:left="567"/>
      </w:pPr>
      <w:r>
        <w:rPr>
          <w:szCs w:val="22"/>
          <w:vertAlign w:val="superscript"/>
        </w:rPr>
        <w:t>1</w:t>
      </w:r>
      <w:r w:rsidR="00AF599C">
        <w:rPr>
          <w:szCs w:val="22"/>
        </w:rPr>
        <w:t> </w:t>
      </w:r>
      <w:proofErr w:type="spellStart"/>
      <w:r>
        <w:rPr>
          <w:szCs w:val="22"/>
        </w:rPr>
        <w:t>Adsorbuota</w:t>
      </w:r>
      <w:proofErr w:type="spellEnd"/>
      <w:r>
        <w:rPr>
          <w:szCs w:val="22"/>
        </w:rPr>
        <w:t xml:space="preserve"> ant hidratuoto aliuminio hidroksido</w:t>
      </w:r>
      <w:r>
        <w:t xml:space="preserve"> </w:t>
      </w:r>
      <w:r>
        <w:rPr>
          <w:szCs w:val="22"/>
        </w:rPr>
        <w:t>(Al(OH)</w:t>
      </w:r>
      <w:r w:rsidRPr="008D66EC">
        <w:rPr>
          <w:vertAlign w:val="subscript"/>
        </w:rPr>
        <w:t>3</w:t>
      </w:r>
      <w:r>
        <w:rPr>
          <w:szCs w:val="22"/>
        </w:rPr>
        <w:t>)</w:t>
      </w:r>
      <w:r>
        <w:rPr>
          <w:szCs w:val="22"/>
        </w:rPr>
        <w:tab/>
        <w:t>0,3 miligramo Al</w:t>
      </w:r>
      <w:r>
        <w:rPr>
          <w:szCs w:val="22"/>
          <w:vertAlign w:val="superscript"/>
        </w:rPr>
        <w:t>3+</w:t>
      </w:r>
    </w:p>
    <w:p w14:paraId="696D6957" w14:textId="77777777" w:rsidR="00F50FC7" w:rsidRPr="008D66EC" w:rsidRDefault="00F50FC7" w:rsidP="00F50FC7">
      <w:pPr>
        <w:tabs>
          <w:tab w:val="left" w:pos="567"/>
          <w:tab w:val="right" w:pos="7938"/>
        </w:tabs>
        <w:ind w:left="567"/>
      </w:pPr>
      <w:r>
        <w:rPr>
          <w:szCs w:val="22"/>
        </w:rPr>
        <w:t>ir aliuminio fosfato (AlPO</w:t>
      </w:r>
      <w:r>
        <w:rPr>
          <w:szCs w:val="22"/>
          <w:vertAlign w:val="subscript"/>
        </w:rPr>
        <w:t>4</w:t>
      </w:r>
      <w:r>
        <w:rPr>
          <w:szCs w:val="22"/>
        </w:rPr>
        <w:t>)</w:t>
      </w:r>
      <w:r>
        <w:rPr>
          <w:szCs w:val="22"/>
        </w:rPr>
        <w:tab/>
        <w:t>0,2 miligramo Al</w:t>
      </w:r>
      <w:r>
        <w:rPr>
          <w:szCs w:val="22"/>
          <w:vertAlign w:val="superscript"/>
        </w:rPr>
        <w:t>3+</w:t>
      </w:r>
    </w:p>
    <w:p w14:paraId="256F0F91" w14:textId="77777777" w:rsidR="00F50FC7" w:rsidRDefault="00F50FC7" w:rsidP="00E90E50">
      <w:pPr>
        <w:tabs>
          <w:tab w:val="left" w:pos="567"/>
          <w:tab w:val="right" w:pos="7938"/>
        </w:tabs>
        <w:rPr>
          <w:szCs w:val="22"/>
        </w:rPr>
      </w:pPr>
    </w:p>
    <w:p w14:paraId="30B4F9CE" w14:textId="77777777" w:rsidR="00F50FC7" w:rsidRDefault="00F50FC7" w:rsidP="00F50FC7">
      <w:pPr>
        <w:tabs>
          <w:tab w:val="left" w:pos="567"/>
          <w:tab w:val="right" w:pos="7938"/>
        </w:tabs>
        <w:ind w:left="567"/>
        <w:rPr>
          <w:szCs w:val="22"/>
        </w:rPr>
      </w:pPr>
      <w:r>
        <w:rPr>
          <w:szCs w:val="22"/>
        </w:rPr>
        <w:t xml:space="preserve">Vakcinos sudėtyje esantys aliuminio hidroksidas ir aliuminio fosfatas yra </w:t>
      </w:r>
      <w:proofErr w:type="spellStart"/>
      <w:r>
        <w:rPr>
          <w:szCs w:val="22"/>
        </w:rPr>
        <w:t>adjuvantai</w:t>
      </w:r>
      <w:proofErr w:type="spellEnd"/>
      <w:r>
        <w:rPr>
          <w:szCs w:val="22"/>
        </w:rPr>
        <w:t xml:space="preserve">. </w:t>
      </w:r>
      <w:proofErr w:type="spellStart"/>
      <w:r>
        <w:rPr>
          <w:szCs w:val="22"/>
        </w:rPr>
        <w:t>Adjuvantai</w:t>
      </w:r>
      <w:proofErr w:type="spellEnd"/>
      <w:r>
        <w:rPr>
          <w:szCs w:val="22"/>
        </w:rPr>
        <w:t xml:space="preserve"> – tai medžiagos, kurių pridedama į kai kurias vakcinas, siekiant pagreitinti, pagerinti ir (ar) pailginti vakcinos apsauginį poveikį.</w:t>
      </w:r>
    </w:p>
    <w:p w14:paraId="29E01C4B" w14:textId="77777777" w:rsidR="00F50FC7" w:rsidRDefault="00F50FC7" w:rsidP="00E90E50">
      <w:pPr>
        <w:tabs>
          <w:tab w:val="left" w:pos="567"/>
          <w:tab w:val="right" w:pos="7938"/>
        </w:tabs>
        <w:rPr>
          <w:szCs w:val="22"/>
        </w:rPr>
      </w:pPr>
    </w:p>
    <w:p w14:paraId="15AA3587" w14:textId="77777777" w:rsidR="00F50FC7" w:rsidRDefault="00F50FC7" w:rsidP="00F50FC7">
      <w:pPr>
        <w:ind w:left="567" w:hanging="426"/>
      </w:pPr>
      <w:r>
        <w:rPr>
          <w:szCs w:val="22"/>
        </w:rPr>
        <w:t>-</w:t>
      </w:r>
      <w:r>
        <w:rPr>
          <w:szCs w:val="22"/>
        </w:rPr>
        <w:tab/>
        <w:t>Pagalbinės medžiagos yra natrio chloridas ir injekcinis vanduo.</w:t>
      </w:r>
    </w:p>
    <w:p w14:paraId="3DD42C13" w14:textId="77777777" w:rsidR="00F50FC7" w:rsidRPr="002C65CD" w:rsidRDefault="00F50FC7" w:rsidP="000B6C00">
      <w:pPr>
        <w:pStyle w:val="BTEMEASMCA"/>
      </w:pPr>
    </w:p>
    <w:p w14:paraId="0FAB98F1" w14:textId="77777777" w:rsidR="00F50FC7" w:rsidRDefault="00F50FC7" w:rsidP="00F50FC7">
      <w:pPr>
        <w:pStyle w:val="PI-3EMEASMCA"/>
        <w:keepNext w:val="0"/>
      </w:pPr>
      <w:proofErr w:type="spellStart"/>
      <w:r>
        <w:t>Boostrix</w:t>
      </w:r>
      <w:proofErr w:type="spellEnd"/>
      <w:r>
        <w:t xml:space="preserve"> išvaizda ir kiekis pakuotėje</w:t>
      </w:r>
    </w:p>
    <w:p w14:paraId="45170654" w14:textId="77777777" w:rsidR="00F50FC7" w:rsidRPr="00E90E50" w:rsidRDefault="00F50FC7" w:rsidP="00F50FC7">
      <w:pPr>
        <w:pStyle w:val="PI-3EMEASMCA"/>
        <w:keepNext w:val="0"/>
        <w:rPr>
          <w:b w:val="0"/>
        </w:rPr>
      </w:pPr>
    </w:p>
    <w:p w14:paraId="1F5AA7DF" w14:textId="77777777" w:rsidR="00F50FC7" w:rsidRDefault="00F50FC7" w:rsidP="00F50FC7">
      <w:pPr>
        <w:tabs>
          <w:tab w:val="left" w:pos="567"/>
        </w:tabs>
      </w:pPr>
      <w:r>
        <w:rPr>
          <w:szCs w:val="22"/>
        </w:rPr>
        <w:t>Injekcinė suspensija užpildytame švirkšte.</w:t>
      </w:r>
    </w:p>
    <w:p w14:paraId="73E6EA4E" w14:textId="77777777" w:rsidR="00F50FC7" w:rsidRDefault="00F50FC7" w:rsidP="00F50FC7">
      <w:pPr>
        <w:tabs>
          <w:tab w:val="left" w:pos="567"/>
        </w:tabs>
        <w:rPr>
          <w:szCs w:val="22"/>
        </w:rPr>
      </w:pPr>
    </w:p>
    <w:p w14:paraId="7CB7996F" w14:textId="77777777" w:rsidR="00F50FC7" w:rsidRDefault="00F50FC7" w:rsidP="00F50FC7">
      <w:pPr>
        <w:tabs>
          <w:tab w:val="left" w:pos="567"/>
        </w:tabs>
      </w:pPr>
      <w:proofErr w:type="spellStart"/>
      <w:r>
        <w:rPr>
          <w:szCs w:val="22"/>
        </w:rPr>
        <w:t>Boostrix</w:t>
      </w:r>
      <w:proofErr w:type="spellEnd"/>
      <w:r>
        <w:rPr>
          <w:szCs w:val="22"/>
        </w:rPr>
        <w:t xml:space="preserve"> yra baltas, šiek tiek į pieną panašus skystis užpildytame švirkšte (0,5 ml).</w:t>
      </w:r>
    </w:p>
    <w:p w14:paraId="2A863521" w14:textId="77777777" w:rsidR="00F50FC7" w:rsidRDefault="00F50FC7" w:rsidP="00F50FC7">
      <w:pPr>
        <w:tabs>
          <w:tab w:val="left" w:pos="567"/>
        </w:tabs>
        <w:rPr>
          <w:szCs w:val="22"/>
        </w:rPr>
      </w:pPr>
    </w:p>
    <w:p w14:paraId="79B10BED" w14:textId="5F79BE2E" w:rsidR="00F50FC7" w:rsidRDefault="00F50FC7" w:rsidP="00F50FC7">
      <w:pPr>
        <w:tabs>
          <w:tab w:val="left" w:pos="567"/>
        </w:tabs>
        <w:ind w:right="-1"/>
      </w:pPr>
      <w:proofErr w:type="spellStart"/>
      <w:r>
        <w:rPr>
          <w:szCs w:val="22"/>
        </w:rPr>
        <w:t>Boostrix</w:t>
      </w:r>
      <w:proofErr w:type="spellEnd"/>
      <w:r>
        <w:rPr>
          <w:szCs w:val="22"/>
        </w:rPr>
        <w:t xml:space="preserve"> </w:t>
      </w:r>
      <w:r w:rsidR="006C7CD7" w:rsidRPr="006C7CD7">
        <w:rPr>
          <w:szCs w:val="22"/>
        </w:rPr>
        <w:t>tiekiamas pakuotėse, kuriose yra 1</w:t>
      </w:r>
      <w:r w:rsidR="006C7CD7">
        <w:rPr>
          <w:szCs w:val="22"/>
        </w:rPr>
        <w:t> </w:t>
      </w:r>
      <w:r w:rsidR="006C7CD7" w:rsidRPr="006C7CD7">
        <w:rPr>
          <w:szCs w:val="22"/>
        </w:rPr>
        <w:t>dozė iš anksto užpildytame švirkšte su atskiromis adatomis arba be jų, pakuočių dydžiai 1 ir 10</w:t>
      </w:r>
      <w:r w:rsidR="006C7CD7">
        <w:rPr>
          <w:szCs w:val="22"/>
        </w:rPr>
        <w:t>.</w:t>
      </w:r>
    </w:p>
    <w:p w14:paraId="1823743E" w14:textId="77777777" w:rsidR="00F50FC7" w:rsidRDefault="00F50FC7" w:rsidP="00F50FC7">
      <w:pPr>
        <w:tabs>
          <w:tab w:val="left" w:pos="567"/>
        </w:tabs>
        <w:ind w:right="-1"/>
        <w:rPr>
          <w:szCs w:val="22"/>
        </w:rPr>
      </w:pPr>
    </w:p>
    <w:p w14:paraId="232F2CCA" w14:textId="77777777" w:rsidR="00F50FC7" w:rsidRDefault="00F50FC7" w:rsidP="00F50FC7">
      <w:pPr>
        <w:tabs>
          <w:tab w:val="left" w:pos="567"/>
        </w:tabs>
        <w:ind w:right="-1"/>
        <w:rPr>
          <w:szCs w:val="22"/>
        </w:rPr>
      </w:pPr>
      <w:r>
        <w:rPr>
          <w:szCs w:val="22"/>
        </w:rPr>
        <w:t>Gali būti tiekiamos ne visų dydžių pakuotės.</w:t>
      </w:r>
    </w:p>
    <w:p w14:paraId="63D6190C" w14:textId="77777777" w:rsidR="00F50FC7" w:rsidRPr="002C65CD" w:rsidRDefault="00F50FC7" w:rsidP="00F50FC7">
      <w:pPr>
        <w:tabs>
          <w:tab w:val="left" w:pos="567"/>
        </w:tabs>
        <w:ind w:right="-1"/>
      </w:pPr>
    </w:p>
    <w:p w14:paraId="278BCF22" w14:textId="77777777" w:rsidR="00F50FC7" w:rsidRDefault="00F50FC7" w:rsidP="00F50FC7">
      <w:pPr>
        <w:tabs>
          <w:tab w:val="left" w:pos="567"/>
        </w:tabs>
        <w:ind w:right="-1"/>
      </w:pPr>
      <w:r w:rsidRPr="008D66EC">
        <w:rPr>
          <w:b/>
        </w:rPr>
        <w:t xml:space="preserve">Registruotojas </w:t>
      </w:r>
    </w:p>
    <w:p w14:paraId="38CC8F5A" w14:textId="77777777" w:rsidR="005E4C18" w:rsidRPr="008232B3" w:rsidRDefault="005E4C18" w:rsidP="005E4C18">
      <w:pPr>
        <w:rPr>
          <w:color w:val="000000"/>
        </w:rPr>
      </w:pPr>
      <w:proofErr w:type="spellStart"/>
      <w:r w:rsidRPr="008232B3">
        <w:rPr>
          <w:color w:val="000000"/>
        </w:rPr>
        <w:t>GlaxoSmithKline</w:t>
      </w:r>
      <w:proofErr w:type="spellEnd"/>
      <w:r w:rsidRPr="008232B3">
        <w:rPr>
          <w:color w:val="000000"/>
        </w:rPr>
        <w:t xml:space="preserve"> </w:t>
      </w:r>
      <w:proofErr w:type="spellStart"/>
      <w:r w:rsidRPr="008232B3">
        <w:rPr>
          <w:color w:val="000000"/>
        </w:rPr>
        <w:t>Biologicals</w:t>
      </w:r>
      <w:proofErr w:type="spellEnd"/>
      <w:r w:rsidRPr="008232B3">
        <w:rPr>
          <w:color w:val="000000"/>
        </w:rPr>
        <w:t xml:space="preserve"> SA</w:t>
      </w:r>
    </w:p>
    <w:p w14:paraId="1AA441F8" w14:textId="1E1658DE" w:rsidR="005E4C18" w:rsidRPr="008232B3" w:rsidRDefault="005E4C18" w:rsidP="005E4C18">
      <w:pPr>
        <w:rPr>
          <w:color w:val="000000"/>
        </w:rPr>
      </w:pPr>
      <w:proofErr w:type="spellStart"/>
      <w:r w:rsidRPr="008232B3">
        <w:rPr>
          <w:color w:val="000000"/>
        </w:rPr>
        <w:t>Rue</w:t>
      </w:r>
      <w:proofErr w:type="spellEnd"/>
      <w:r w:rsidRPr="008232B3">
        <w:rPr>
          <w:color w:val="000000"/>
        </w:rPr>
        <w:t xml:space="preserve"> de </w:t>
      </w:r>
      <w:proofErr w:type="spellStart"/>
      <w:r w:rsidRPr="008232B3">
        <w:rPr>
          <w:color w:val="000000"/>
        </w:rPr>
        <w:t>l'Institut</w:t>
      </w:r>
      <w:proofErr w:type="spellEnd"/>
      <w:r w:rsidRPr="008232B3">
        <w:rPr>
          <w:color w:val="000000"/>
        </w:rPr>
        <w:t xml:space="preserve"> 89</w:t>
      </w:r>
    </w:p>
    <w:p w14:paraId="2A838B81" w14:textId="77777777" w:rsidR="005E4C18" w:rsidRPr="008232B3" w:rsidRDefault="005E4C18" w:rsidP="005E4C18">
      <w:pPr>
        <w:rPr>
          <w:color w:val="000000"/>
        </w:rPr>
      </w:pPr>
      <w:r w:rsidRPr="008232B3">
        <w:rPr>
          <w:color w:val="000000"/>
        </w:rPr>
        <w:t xml:space="preserve">B-1330 </w:t>
      </w:r>
      <w:proofErr w:type="spellStart"/>
      <w:r w:rsidRPr="008232B3">
        <w:rPr>
          <w:color w:val="000000"/>
        </w:rPr>
        <w:t>Rixensart</w:t>
      </w:r>
      <w:proofErr w:type="spellEnd"/>
    </w:p>
    <w:p w14:paraId="4CB9707D" w14:textId="464D69BA" w:rsidR="00F50FC7" w:rsidRPr="00D24865" w:rsidRDefault="005E4C18" w:rsidP="00F50FC7">
      <w:pPr>
        <w:autoSpaceDE w:val="0"/>
        <w:adjustRightInd w:val="0"/>
        <w:rPr>
          <w:szCs w:val="22"/>
          <w:lang w:eastAsia="lt-LT"/>
        </w:rPr>
      </w:pPr>
      <w:r w:rsidRPr="008232B3">
        <w:rPr>
          <w:color w:val="000000"/>
        </w:rPr>
        <w:t>Belgija</w:t>
      </w:r>
    </w:p>
    <w:p w14:paraId="011D3C56" w14:textId="77777777" w:rsidR="00F50FC7" w:rsidRPr="00D24865" w:rsidRDefault="00F50FC7" w:rsidP="00F50FC7">
      <w:pPr>
        <w:ind w:right="-1"/>
        <w:jc w:val="both"/>
        <w:rPr>
          <w:szCs w:val="22"/>
        </w:rPr>
      </w:pPr>
    </w:p>
    <w:p w14:paraId="59A0694F" w14:textId="77777777" w:rsidR="00F50FC7" w:rsidRPr="00D24865" w:rsidRDefault="00F50FC7" w:rsidP="00F50FC7">
      <w:pPr>
        <w:ind w:right="-1"/>
        <w:jc w:val="both"/>
        <w:rPr>
          <w:b/>
          <w:szCs w:val="22"/>
        </w:rPr>
      </w:pPr>
      <w:r w:rsidRPr="00D24865">
        <w:rPr>
          <w:b/>
          <w:szCs w:val="22"/>
        </w:rPr>
        <w:t>Gamintojas</w:t>
      </w:r>
    </w:p>
    <w:p w14:paraId="79F4F322" w14:textId="77777777" w:rsidR="00F50FC7" w:rsidRPr="00D24865" w:rsidRDefault="00F50FC7" w:rsidP="00F50FC7">
      <w:pPr>
        <w:rPr>
          <w:szCs w:val="22"/>
        </w:rPr>
      </w:pPr>
      <w:proofErr w:type="spellStart"/>
      <w:r w:rsidRPr="00D24865">
        <w:rPr>
          <w:szCs w:val="22"/>
        </w:rPr>
        <w:t>GlaxoSmithKline</w:t>
      </w:r>
      <w:proofErr w:type="spellEnd"/>
      <w:r w:rsidRPr="00D24865">
        <w:rPr>
          <w:szCs w:val="22"/>
        </w:rPr>
        <w:t xml:space="preserve"> </w:t>
      </w:r>
      <w:proofErr w:type="spellStart"/>
      <w:r w:rsidRPr="00D24865">
        <w:rPr>
          <w:szCs w:val="22"/>
        </w:rPr>
        <w:t>Biologicals</w:t>
      </w:r>
      <w:proofErr w:type="spellEnd"/>
    </w:p>
    <w:p w14:paraId="4520592F" w14:textId="77777777" w:rsidR="00F50FC7" w:rsidRPr="00D24865" w:rsidRDefault="00F50FC7" w:rsidP="00F50FC7">
      <w:pPr>
        <w:rPr>
          <w:szCs w:val="22"/>
        </w:rPr>
      </w:pPr>
      <w:proofErr w:type="spellStart"/>
      <w:r w:rsidRPr="00D24865">
        <w:rPr>
          <w:szCs w:val="22"/>
        </w:rPr>
        <w:t>rue</w:t>
      </w:r>
      <w:proofErr w:type="spellEnd"/>
      <w:r w:rsidRPr="00D24865">
        <w:rPr>
          <w:szCs w:val="22"/>
        </w:rPr>
        <w:t xml:space="preserve"> de </w:t>
      </w:r>
      <w:proofErr w:type="spellStart"/>
      <w:r w:rsidRPr="00D24865">
        <w:rPr>
          <w:szCs w:val="22"/>
        </w:rPr>
        <w:t>l'Institut</w:t>
      </w:r>
      <w:proofErr w:type="spellEnd"/>
      <w:r w:rsidRPr="00D24865">
        <w:rPr>
          <w:szCs w:val="22"/>
        </w:rPr>
        <w:t xml:space="preserve"> 89</w:t>
      </w:r>
    </w:p>
    <w:p w14:paraId="050A4767" w14:textId="5A5BEFF9" w:rsidR="00F50FC7" w:rsidRDefault="00F50FC7" w:rsidP="00F50FC7">
      <w:pPr>
        <w:rPr>
          <w:szCs w:val="22"/>
        </w:rPr>
      </w:pPr>
      <w:r w:rsidRPr="00D24865">
        <w:rPr>
          <w:szCs w:val="22"/>
        </w:rPr>
        <w:t xml:space="preserve">1330 </w:t>
      </w:r>
      <w:proofErr w:type="spellStart"/>
      <w:r w:rsidRPr="00D24865">
        <w:rPr>
          <w:szCs w:val="22"/>
        </w:rPr>
        <w:t>Rixensart</w:t>
      </w:r>
      <w:proofErr w:type="spellEnd"/>
      <w:r w:rsidRPr="00D24865">
        <w:rPr>
          <w:szCs w:val="22"/>
        </w:rPr>
        <w:t>,</w:t>
      </w:r>
    </w:p>
    <w:p w14:paraId="76620066" w14:textId="77777777" w:rsidR="00F50FC7" w:rsidRPr="00D24865" w:rsidRDefault="00F50FC7" w:rsidP="00F50FC7">
      <w:pPr>
        <w:rPr>
          <w:szCs w:val="22"/>
        </w:rPr>
      </w:pPr>
      <w:r w:rsidRPr="00D24865">
        <w:rPr>
          <w:szCs w:val="22"/>
        </w:rPr>
        <w:t>Belgija</w:t>
      </w:r>
    </w:p>
    <w:p w14:paraId="28B63BEC" w14:textId="77777777" w:rsidR="00F50FC7" w:rsidRPr="002C65CD" w:rsidRDefault="00F50FC7" w:rsidP="000B6C00">
      <w:pPr>
        <w:pStyle w:val="BTEMEASMCA"/>
      </w:pPr>
    </w:p>
    <w:p w14:paraId="3D7E033A" w14:textId="77777777" w:rsidR="00F50FC7" w:rsidRPr="002C65CD" w:rsidRDefault="00F50FC7" w:rsidP="000B6C00">
      <w:pPr>
        <w:pStyle w:val="BTEMEASMCA"/>
      </w:pPr>
    </w:p>
    <w:p w14:paraId="264EA608" w14:textId="14120D8F" w:rsidR="00F50FC7" w:rsidRPr="00A37AAB" w:rsidRDefault="00F50FC7" w:rsidP="00F50FC7">
      <w:pPr>
        <w:tabs>
          <w:tab w:val="left" w:pos="567"/>
        </w:tabs>
        <w:ind w:right="-1"/>
        <w:rPr>
          <w:b/>
        </w:rPr>
      </w:pPr>
      <w:r w:rsidRPr="00A37AAB">
        <w:rPr>
          <w:b/>
        </w:rPr>
        <w:t xml:space="preserve">Šis vaistas </w:t>
      </w:r>
      <w:r w:rsidR="007A30C1">
        <w:rPr>
          <w:b/>
        </w:rPr>
        <w:t>Europos ekonominės erdvės</w:t>
      </w:r>
      <w:r w:rsidR="007A30C1" w:rsidRPr="00B4222B">
        <w:rPr>
          <w:b/>
        </w:rPr>
        <w:t xml:space="preserve"> </w:t>
      </w:r>
      <w:r w:rsidR="009E0EC8">
        <w:rPr>
          <w:b/>
        </w:rPr>
        <w:t xml:space="preserve">ir Jungtinėje Karalystėje (Šiaurės Airijoje) </w:t>
      </w:r>
      <w:r w:rsidRPr="00A37AAB">
        <w:rPr>
          <w:b/>
        </w:rPr>
        <w:t>registruotas tokiais pavadinimais:</w:t>
      </w:r>
    </w:p>
    <w:p w14:paraId="32445234" w14:textId="77777777" w:rsidR="00F50FC7" w:rsidRDefault="00F50FC7" w:rsidP="00F50FC7">
      <w:pPr>
        <w:tabs>
          <w:tab w:val="left" w:pos="567"/>
        </w:tabs>
        <w:ind w:right="-1"/>
        <w:rPr>
          <w:szCs w:val="22"/>
        </w:rPr>
      </w:pPr>
    </w:p>
    <w:p w14:paraId="021271CE" w14:textId="454FC039" w:rsidR="00F50FC7" w:rsidRDefault="00F50FC7" w:rsidP="00F50FC7">
      <w:pPr>
        <w:tabs>
          <w:tab w:val="left" w:pos="567"/>
        </w:tabs>
        <w:ind w:right="-1"/>
        <w:rPr>
          <w:szCs w:val="22"/>
        </w:rPr>
      </w:pPr>
      <w:r w:rsidRPr="00BC06E0">
        <w:rPr>
          <w:szCs w:val="22"/>
        </w:rPr>
        <w:lastRenderedPageBreak/>
        <w:t>Austrija</w:t>
      </w:r>
      <w:r>
        <w:rPr>
          <w:szCs w:val="22"/>
        </w:rPr>
        <w:t>,</w:t>
      </w:r>
      <w:r w:rsidRPr="00037EB0">
        <w:rPr>
          <w:szCs w:val="22"/>
        </w:rPr>
        <w:t xml:space="preserve"> </w:t>
      </w:r>
      <w:r w:rsidRPr="00225B55">
        <w:rPr>
          <w:szCs w:val="22"/>
        </w:rPr>
        <w:t>Airija</w:t>
      </w:r>
      <w:r>
        <w:rPr>
          <w:szCs w:val="22"/>
        </w:rPr>
        <w:t>,</w:t>
      </w:r>
      <w:r w:rsidRPr="00037EB0">
        <w:rPr>
          <w:szCs w:val="22"/>
        </w:rPr>
        <w:t xml:space="preserve"> </w:t>
      </w:r>
      <w:r w:rsidRPr="001958A1">
        <w:rPr>
          <w:szCs w:val="22"/>
        </w:rPr>
        <w:t xml:space="preserve">Belgija, </w:t>
      </w:r>
      <w:r>
        <w:rPr>
          <w:szCs w:val="22"/>
        </w:rPr>
        <w:t>Bulgarija,</w:t>
      </w:r>
      <w:r w:rsidRPr="00037EB0">
        <w:rPr>
          <w:szCs w:val="22"/>
        </w:rPr>
        <w:t xml:space="preserve"> </w:t>
      </w:r>
      <w:r>
        <w:rPr>
          <w:szCs w:val="22"/>
        </w:rPr>
        <w:t>Čekija,</w:t>
      </w:r>
      <w:r w:rsidRPr="00364811">
        <w:rPr>
          <w:szCs w:val="22"/>
        </w:rPr>
        <w:t xml:space="preserve"> </w:t>
      </w:r>
      <w:r w:rsidRPr="001958A1">
        <w:rPr>
          <w:szCs w:val="22"/>
        </w:rPr>
        <w:t xml:space="preserve">Danija, </w:t>
      </w:r>
      <w:r w:rsidR="008838D8">
        <w:t>Jungtinė Karalystė</w:t>
      </w:r>
      <w:r w:rsidR="00FC2809">
        <w:t xml:space="preserve"> (Šiaurės Airija)</w:t>
      </w:r>
      <w:r w:rsidRPr="00AA7226">
        <w:rPr>
          <w:szCs w:val="22"/>
        </w:rPr>
        <w:t>,</w:t>
      </w:r>
      <w:r w:rsidRPr="001958A1">
        <w:rPr>
          <w:szCs w:val="22"/>
        </w:rPr>
        <w:t xml:space="preserve"> </w:t>
      </w:r>
      <w:r>
        <w:rPr>
          <w:szCs w:val="22"/>
        </w:rPr>
        <w:t xml:space="preserve">Graikija, Estija, </w:t>
      </w:r>
      <w:r w:rsidRPr="001958A1">
        <w:rPr>
          <w:szCs w:val="22"/>
        </w:rPr>
        <w:t xml:space="preserve">Islandija, Italija, </w:t>
      </w:r>
      <w:r>
        <w:rPr>
          <w:szCs w:val="22"/>
        </w:rPr>
        <w:t xml:space="preserve">Kroatija, Kipras, Latvija, Lenkija, </w:t>
      </w:r>
      <w:r w:rsidRPr="001958A1">
        <w:rPr>
          <w:szCs w:val="22"/>
        </w:rPr>
        <w:t xml:space="preserve">Liuksemburgas, </w:t>
      </w:r>
      <w:r>
        <w:rPr>
          <w:szCs w:val="22"/>
        </w:rPr>
        <w:t xml:space="preserve">Malta, </w:t>
      </w:r>
      <w:r w:rsidRPr="001958A1">
        <w:rPr>
          <w:szCs w:val="22"/>
        </w:rPr>
        <w:t xml:space="preserve">Norvegija, </w:t>
      </w:r>
      <w:r>
        <w:rPr>
          <w:szCs w:val="22"/>
        </w:rPr>
        <w:t xml:space="preserve">Olandija, </w:t>
      </w:r>
      <w:r w:rsidRPr="001958A1">
        <w:rPr>
          <w:szCs w:val="22"/>
        </w:rPr>
        <w:t xml:space="preserve">Portugalija, </w:t>
      </w:r>
      <w:r>
        <w:rPr>
          <w:szCs w:val="22"/>
        </w:rPr>
        <w:t>Prancūzija,</w:t>
      </w:r>
      <w:r w:rsidRPr="00364811">
        <w:rPr>
          <w:szCs w:val="22"/>
        </w:rPr>
        <w:t xml:space="preserve"> </w:t>
      </w:r>
      <w:r w:rsidRPr="00623DE4">
        <w:rPr>
          <w:szCs w:val="22"/>
        </w:rPr>
        <w:t xml:space="preserve">Suomija, </w:t>
      </w:r>
      <w:proofErr w:type="spellStart"/>
      <w:r>
        <w:rPr>
          <w:szCs w:val="22"/>
        </w:rPr>
        <w:t>Slovenija</w:t>
      </w:r>
      <w:proofErr w:type="spellEnd"/>
      <w:r>
        <w:rPr>
          <w:szCs w:val="22"/>
        </w:rPr>
        <w:t xml:space="preserve">, Slovakija, </w:t>
      </w:r>
      <w:r w:rsidRPr="001958A1">
        <w:rPr>
          <w:rFonts w:hint="eastAsia"/>
          <w:szCs w:val="22"/>
        </w:rPr>
        <w:t>Š</w:t>
      </w:r>
      <w:r w:rsidRPr="001958A1">
        <w:rPr>
          <w:szCs w:val="22"/>
        </w:rPr>
        <w:t>vedija, Vokietija</w:t>
      </w:r>
      <w:r>
        <w:rPr>
          <w:szCs w:val="22"/>
        </w:rPr>
        <w:t>,</w:t>
      </w:r>
      <w:r w:rsidRPr="001958A1">
        <w:rPr>
          <w:szCs w:val="22"/>
        </w:rPr>
        <w:t xml:space="preserve"> </w:t>
      </w:r>
      <w:r>
        <w:rPr>
          <w:szCs w:val="22"/>
        </w:rPr>
        <w:t>Vengrija</w:t>
      </w:r>
      <w:r w:rsidR="006E2E78">
        <w:rPr>
          <w:szCs w:val="22"/>
        </w:rPr>
        <w:t xml:space="preserve"> </w:t>
      </w:r>
      <w:r>
        <w:rPr>
          <w:szCs w:val="22"/>
        </w:rPr>
        <w:t xml:space="preserve">– </w:t>
      </w:r>
      <w:proofErr w:type="spellStart"/>
      <w:r>
        <w:rPr>
          <w:szCs w:val="22"/>
        </w:rPr>
        <w:t>Boostrix</w:t>
      </w:r>
      <w:proofErr w:type="spellEnd"/>
      <w:r>
        <w:rPr>
          <w:szCs w:val="22"/>
        </w:rPr>
        <w:t>.</w:t>
      </w:r>
    </w:p>
    <w:p w14:paraId="18A4A84E" w14:textId="69BE8A15" w:rsidR="00F50FC7" w:rsidRPr="001958A1" w:rsidRDefault="00F50FC7" w:rsidP="00F50FC7">
      <w:pPr>
        <w:tabs>
          <w:tab w:val="left" w:pos="567"/>
        </w:tabs>
        <w:ind w:right="-1"/>
        <w:rPr>
          <w:szCs w:val="22"/>
        </w:rPr>
      </w:pPr>
      <w:r>
        <w:rPr>
          <w:szCs w:val="22"/>
        </w:rPr>
        <w:t xml:space="preserve">Ispanija </w:t>
      </w:r>
      <w:r w:rsidR="006E2E78">
        <w:rPr>
          <w:szCs w:val="22"/>
        </w:rPr>
        <w:t xml:space="preserve">– </w:t>
      </w:r>
      <w:r>
        <w:rPr>
          <w:szCs w:val="22"/>
        </w:rPr>
        <w:t xml:space="preserve"> </w:t>
      </w:r>
      <w:r w:rsidRPr="009A21B8">
        <w:rPr>
          <w:szCs w:val="22"/>
        </w:rPr>
        <w:t>BOOSTRIX SUSPENSION INYECTABLE EN JERINGA PRECARGADA</w:t>
      </w:r>
    </w:p>
    <w:p w14:paraId="7FD98237" w14:textId="77777777" w:rsidR="00F50FC7" w:rsidRDefault="00F50FC7" w:rsidP="00F50FC7">
      <w:pPr>
        <w:tabs>
          <w:tab w:val="left" w:pos="567"/>
        </w:tabs>
        <w:ind w:right="-1"/>
        <w:rPr>
          <w:szCs w:val="22"/>
        </w:rPr>
      </w:pPr>
      <w:r>
        <w:rPr>
          <w:szCs w:val="22"/>
        </w:rPr>
        <w:t xml:space="preserve">Rumunija – </w:t>
      </w:r>
      <w:proofErr w:type="spellStart"/>
      <w:r>
        <w:rPr>
          <w:szCs w:val="22"/>
        </w:rPr>
        <w:t>Boostrix</w:t>
      </w:r>
      <w:proofErr w:type="spellEnd"/>
      <w:r>
        <w:rPr>
          <w:szCs w:val="22"/>
        </w:rPr>
        <w:t xml:space="preserve"> </w:t>
      </w:r>
      <w:proofErr w:type="spellStart"/>
      <w:r>
        <w:rPr>
          <w:szCs w:val="22"/>
        </w:rPr>
        <w:t>suspensie</w:t>
      </w:r>
      <w:proofErr w:type="spellEnd"/>
      <w:r>
        <w:rPr>
          <w:szCs w:val="22"/>
        </w:rPr>
        <w:t xml:space="preserve"> </w:t>
      </w:r>
      <w:proofErr w:type="spellStart"/>
      <w:r>
        <w:rPr>
          <w:szCs w:val="22"/>
        </w:rPr>
        <w:t>injectabila</w:t>
      </w:r>
      <w:proofErr w:type="spellEnd"/>
      <w:r>
        <w:rPr>
          <w:szCs w:val="22"/>
        </w:rPr>
        <w:t xml:space="preserve"> </w:t>
      </w:r>
      <w:proofErr w:type="spellStart"/>
      <w:r>
        <w:rPr>
          <w:szCs w:val="22"/>
        </w:rPr>
        <w:t>in</w:t>
      </w:r>
      <w:proofErr w:type="spellEnd"/>
      <w:r>
        <w:rPr>
          <w:szCs w:val="22"/>
        </w:rPr>
        <w:t xml:space="preserve"> </w:t>
      </w:r>
      <w:proofErr w:type="spellStart"/>
      <w:r>
        <w:rPr>
          <w:szCs w:val="22"/>
        </w:rPr>
        <w:t>seringa</w:t>
      </w:r>
      <w:proofErr w:type="spellEnd"/>
      <w:r>
        <w:rPr>
          <w:szCs w:val="22"/>
        </w:rPr>
        <w:t xml:space="preserve"> </w:t>
      </w:r>
      <w:proofErr w:type="spellStart"/>
      <w:r>
        <w:rPr>
          <w:szCs w:val="22"/>
        </w:rPr>
        <w:t>preumpluta</w:t>
      </w:r>
      <w:proofErr w:type="spellEnd"/>
    </w:p>
    <w:p w14:paraId="56656C91" w14:textId="77777777" w:rsidR="00F50FC7" w:rsidRPr="001958A1" w:rsidRDefault="00F50FC7" w:rsidP="00F50FC7">
      <w:pPr>
        <w:tabs>
          <w:tab w:val="left" w:pos="567"/>
        </w:tabs>
        <w:ind w:right="-1"/>
      </w:pPr>
    </w:p>
    <w:p w14:paraId="66A97FB9" w14:textId="5C81CE4A" w:rsidR="00F50FC7" w:rsidRPr="008D66EC" w:rsidRDefault="00F50FC7" w:rsidP="00F50FC7">
      <w:pPr>
        <w:tabs>
          <w:tab w:val="left" w:pos="567"/>
        </w:tabs>
        <w:ind w:right="-1"/>
        <w:rPr>
          <w:b/>
        </w:rPr>
      </w:pPr>
      <w:r w:rsidRPr="008D66EC">
        <w:rPr>
          <w:b/>
        </w:rPr>
        <w:t>Šis pakuotės lapelis paskutinį kartą peržiūrėtas</w:t>
      </w:r>
      <w:r>
        <w:rPr>
          <w:b/>
        </w:rPr>
        <w:t xml:space="preserve"> </w:t>
      </w:r>
      <w:r w:rsidR="006F743D">
        <w:rPr>
          <w:b/>
        </w:rPr>
        <w:t>2023-04-26.</w:t>
      </w:r>
    </w:p>
    <w:p w14:paraId="0F95BD18" w14:textId="77777777" w:rsidR="00F50FC7" w:rsidRPr="002C65CD" w:rsidRDefault="00F50FC7" w:rsidP="00F50FC7"/>
    <w:p w14:paraId="26963A05" w14:textId="77777777" w:rsidR="00F50FC7" w:rsidRDefault="00F50FC7" w:rsidP="00F50FC7">
      <w:pPr>
        <w:rPr>
          <w:b/>
          <w:szCs w:val="22"/>
        </w:rPr>
      </w:pPr>
      <w:r>
        <w:rPr>
          <w:b/>
          <w:szCs w:val="22"/>
        </w:rPr>
        <w:t>Kiti informacijos šaltiniai</w:t>
      </w:r>
    </w:p>
    <w:p w14:paraId="6C3C9CF8" w14:textId="77777777" w:rsidR="00F50FC7" w:rsidRDefault="00F50FC7" w:rsidP="00F50FC7">
      <w:pPr>
        <w:rPr>
          <w:szCs w:val="22"/>
        </w:rPr>
      </w:pPr>
    </w:p>
    <w:p w14:paraId="6C5EB70C" w14:textId="77777777" w:rsidR="00F50FC7" w:rsidRPr="002C65CD" w:rsidRDefault="00F50FC7" w:rsidP="00F50FC7">
      <w:r w:rsidRPr="002C65CD">
        <w:t>Išsami informacija apie šį vaistą pateikiama Valstybinės vaistų kontrolės tarnybos prie Lietuvos Respublikos sveikatos apsaugos ministerijos tinklalapyje</w:t>
      </w:r>
      <w:r w:rsidRPr="002C65CD">
        <w:rPr>
          <w:i/>
        </w:rPr>
        <w:t xml:space="preserve"> </w:t>
      </w:r>
      <w:r w:rsidRPr="00A55669">
        <w:rPr>
          <w:szCs w:val="22"/>
        </w:rPr>
        <w:t>http://www.vvkt.lt/</w:t>
      </w:r>
      <w:r>
        <w:rPr>
          <w:iCs/>
        </w:rPr>
        <w:t>.</w:t>
      </w:r>
    </w:p>
    <w:p w14:paraId="2E882DF5" w14:textId="77777777" w:rsidR="00F50FC7" w:rsidRDefault="00F50FC7" w:rsidP="00F50FC7">
      <w:pPr>
        <w:rPr>
          <w:szCs w:val="22"/>
        </w:rPr>
      </w:pPr>
      <w:r>
        <w:rPr>
          <w:szCs w:val="22"/>
        </w:rPr>
        <w:t>---------------------------------------------------------------------------------------------------------------</w:t>
      </w:r>
    </w:p>
    <w:p w14:paraId="3957DA2F" w14:textId="77777777" w:rsidR="00F50FC7" w:rsidRPr="002C65CD" w:rsidRDefault="00F50FC7" w:rsidP="00F50FC7">
      <w:r w:rsidRPr="002C65CD">
        <w:t>Toliau pateikta informacija skirta tik sveikatos priežiūros specialistams:</w:t>
      </w:r>
    </w:p>
    <w:p w14:paraId="7A5A102B" w14:textId="77777777" w:rsidR="00F50FC7" w:rsidRPr="002C65CD" w:rsidRDefault="00F50FC7" w:rsidP="00F50FC7"/>
    <w:p w14:paraId="6C2B2C51" w14:textId="77777777" w:rsidR="00F50FC7" w:rsidRDefault="00F50FC7" w:rsidP="00F50FC7">
      <w:pPr>
        <w:tabs>
          <w:tab w:val="left" w:pos="567"/>
        </w:tabs>
        <w:ind w:right="-1"/>
      </w:pPr>
      <w:r>
        <w:rPr>
          <w:szCs w:val="22"/>
        </w:rPr>
        <w:t>Prieš pat vartojimą vakciną reikia palaikyti kambario temperatūroje ir gerai suplakti, kad susidarytų homogeniška drumsta balta suspensija. Prieš vartojimą vakciną reikia apžiūrėti, ar joje nėra kokių nors kietųjų dalelių ir (ar) fizinių savybių pokyčių. Pastebėjus bet kurį šių reiškinių, vakcinos vartoti negalima.</w:t>
      </w:r>
    </w:p>
    <w:p w14:paraId="57D2ACB5" w14:textId="77777777" w:rsidR="00C61669" w:rsidRDefault="00C61669" w:rsidP="002E2C80"/>
    <w:p w14:paraId="48387CDC" w14:textId="77777777" w:rsidR="00C61669" w:rsidRPr="00CB4386" w:rsidRDefault="00C61669" w:rsidP="00C61669">
      <w:pPr>
        <w:widowControl w:val="0"/>
        <w:rPr>
          <w:bCs/>
          <w:iCs/>
          <w:u w:val="single"/>
        </w:rPr>
      </w:pPr>
      <w:r w:rsidRPr="00DB590C">
        <w:rPr>
          <w:u w:val="single"/>
        </w:rPr>
        <w:t>U</w:t>
      </w:r>
      <w:r w:rsidRPr="00CB4386">
        <w:rPr>
          <w:bCs/>
          <w:iCs/>
          <w:u w:val="single"/>
        </w:rPr>
        <w:t>žpildyto švirkšto, naudojimo instrukcijos</w:t>
      </w:r>
    </w:p>
    <w:p w14:paraId="3A1AED59" w14:textId="77777777" w:rsidR="00C61669" w:rsidRPr="00CB4386" w:rsidRDefault="00C61669" w:rsidP="00C61669">
      <w:pPr>
        <w:widowControl w:val="0"/>
        <w:spacing w:after="120"/>
      </w:pPr>
    </w:p>
    <w:tbl>
      <w:tblPr>
        <w:tblW w:w="0" w:type="auto"/>
        <w:jc w:val="center"/>
        <w:tblLook w:val="04A0" w:firstRow="1" w:lastRow="0" w:firstColumn="1" w:lastColumn="0" w:noHBand="0" w:noVBand="1"/>
      </w:tblPr>
      <w:tblGrid>
        <w:gridCol w:w="3618"/>
        <w:gridCol w:w="5238"/>
      </w:tblGrid>
      <w:tr w:rsidR="00C61669" w:rsidRPr="00767748" w14:paraId="01D00B7D" w14:textId="77777777" w:rsidTr="006E4344">
        <w:trPr>
          <w:jc w:val="center"/>
        </w:trPr>
        <w:tc>
          <w:tcPr>
            <w:tcW w:w="3618" w:type="dxa"/>
          </w:tcPr>
          <w:p w14:paraId="3610389D" w14:textId="77777777" w:rsidR="00C61669" w:rsidRPr="00895454" w:rsidRDefault="00C61669" w:rsidP="006E4344">
            <w:pPr>
              <w:widowControl w:val="0"/>
              <w:spacing w:after="120"/>
              <w:jc w:val="center"/>
            </w:pPr>
            <w:r>
              <w:rPr>
                <w:noProof/>
                <w:lang w:eastAsia="lt-LT"/>
              </w:rPr>
              <mc:AlternateContent>
                <mc:Choice Requires="wps">
                  <w:drawing>
                    <wp:anchor distT="0" distB="0" distL="0" distR="0" simplePos="0" relativeHeight="251667456" behindDoc="0" locked="0" layoutInCell="1" allowOverlap="0" wp14:anchorId="5F690B74" wp14:editId="5BE94ADD">
                      <wp:simplePos x="0" y="0"/>
                      <wp:positionH relativeFrom="column">
                        <wp:posOffset>495300</wp:posOffset>
                      </wp:positionH>
                      <wp:positionV relativeFrom="paragraph">
                        <wp:posOffset>1183640</wp:posOffset>
                      </wp:positionV>
                      <wp:extent cx="836295" cy="248920"/>
                      <wp:effectExtent l="0" t="0" r="0" b="0"/>
                      <wp:wrapNone/>
                      <wp:docPr id="5294475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295" cy="248920"/>
                              </a:xfrm>
                              <a:prstGeom prst="rect">
                                <a:avLst/>
                              </a:prstGeom>
                              <a:noFill/>
                              <a:ln w="6350">
                                <a:noFill/>
                              </a:ln>
                            </wps:spPr>
                            <wps:txbx>
                              <w:txbxContent>
                                <w:p w14:paraId="4383237F" w14:textId="77777777" w:rsidR="00C61669" w:rsidRPr="00CF0077" w:rsidRDefault="00C61669" w:rsidP="00C61669">
                                  <w:r>
                                    <w:t>Vamzdelis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90B74" id="Text Box 14" o:spid="_x0000_s1031" type="#_x0000_t202" style="position:absolute;left:0;text-align:left;margin-left:39pt;margin-top:93.2pt;width:65.85pt;height:19.6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" o:allowoverlap="f" filled="f" stroked="f" strokeweight=".5pt">
                      <v:textbox>
                        <w:txbxContent>
                          <w:p w14:paraId="4383237F" w14:textId="77777777" w:rsidR="00C61669" w:rsidRPr="00CF0077" w:rsidRDefault="00C61669" w:rsidP="00C61669">
                            <w:r>
                              <w:t>Vamzdelis</w:t>
                            </w:r>
                          </w:p>
                        </w:txbxContent>
                      </v:textbox>
                    </v:shape>
                  </w:pict>
                </mc:Fallback>
              </mc:AlternateContent>
            </w:r>
            <w:r>
              <w:rPr>
                <w:noProof/>
                <w:lang w:eastAsia="lt-LT"/>
              </w:rPr>
              <mc:AlternateContent>
                <mc:Choice Requires="wps">
                  <w:drawing>
                    <wp:anchor distT="0" distB="0" distL="0" distR="0" simplePos="0" relativeHeight="251669504" behindDoc="0" locked="0" layoutInCell="1" allowOverlap="0" wp14:anchorId="1FE9E571" wp14:editId="6B13DBC4">
                      <wp:simplePos x="0" y="0"/>
                      <wp:positionH relativeFrom="column">
                        <wp:posOffset>-75565</wp:posOffset>
                      </wp:positionH>
                      <wp:positionV relativeFrom="paragraph">
                        <wp:posOffset>904240</wp:posOffset>
                      </wp:positionV>
                      <wp:extent cx="784225" cy="273685"/>
                      <wp:effectExtent l="0" t="0" r="0" b="0"/>
                      <wp:wrapNone/>
                      <wp:docPr id="6069987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273685"/>
                              </a:xfrm>
                              <a:prstGeom prst="rect">
                                <a:avLst/>
                              </a:prstGeom>
                              <a:noFill/>
                              <a:ln w="6350">
                                <a:noFill/>
                              </a:ln>
                            </wps:spPr>
                            <wps:txbx>
                              <w:txbxContent>
                                <w:p w14:paraId="211FDED0" w14:textId="77777777" w:rsidR="00C61669" w:rsidRPr="00CF0077" w:rsidRDefault="00C61669" w:rsidP="00C61669">
                                  <w: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9E571" id="Text Box 13" o:spid="_x0000_s1032" type="#_x0000_t202" style="position:absolute;left:0;text-align:left;margin-left:-5.95pt;margin-top:71.2pt;width:61.75pt;height:21.5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" o:allowoverlap="f" filled="f" stroked="f" strokeweight=".5pt">
                      <v:textbox>
                        <w:txbxContent>
                          <w:p w14:paraId="211FDED0" w14:textId="77777777" w:rsidR="00C61669" w:rsidRPr="00CF0077" w:rsidRDefault="00C61669" w:rsidP="00C61669">
                            <w:r>
                              <w:t>Stūmoklis</w:t>
                            </w:r>
                          </w:p>
                        </w:txbxContent>
                      </v:textbox>
                    </v:shape>
                  </w:pict>
                </mc:Fallback>
              </mc:AlternateContent>
            </w:r>
            <w:r>
              <w:rPr>
                <w:noProof/>
                <w:lang w:eastAsia="lt-LT"/>
              </w:rPr>
              <mc:AlternateContent>
                <mc:Choice Requires="wps">
                  <w:drawing>
                    <wp:anchor distT="0" distB="0" distL="0" distR="0" simplePos="0" relativeHeight="251666432" behindDoc="0" locked="0" layoutInCell="1" allowOverlap="0" wp14:anchorId="73E2E57C" wp14:editId="628ACCD7">
                      <wp:simplePos x="0" y="0"/>
                      <wp:positionH relativeFrom="column">
                        <wp:posOffset>213360</wp:posOffset>
                      </wp:positionH>
                      <wp:positionV relativeFrom="paragraph">
                        <wp:posOffset>217170</wp:posOffset>
                      </wp:positionV>
                      <wp:extent cx="1852930" cy="277495"/>
                      <wp:effectExtent l="0" t="0" r="0" b="0"/>
                      <wp:wrapNone/>
                      <wp:docPr id="6801843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14:paraId="2B6A9B1F" w14:textId="77777777" w:rsidR="00C61669" w:rsidRPr="00CF0077" w:rsidRDefault="00C61669" w:rsidP="00C61669">
                                  <w:r w:rsidRPr="007557EE">
                                    <w:rPr>
                                      <w:i/>
                                      <w:iCs/>
                                    </w:rPr>
                                    <w:t>Luer Lock</w:t>
                                  </w:r>
                                  <w:r w:rsidRPr="003D3C41">
                                    <w:t xml:space="preserve"> </w:t>
                                  </w:r>
                                  <w: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2E57C" id="Text Box 12" o:spid="_x0000_s1033" type="#_x0000_t202" style="position:absolute;left:0;text-align:left;margin-left:16.8pt;margin-top:17.1pt;width:145.9pt;height:21.8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" o:allowoverlap="f" filled="f" stroked="f" strokeweight=".5pt">
                      <v:textbox>
                        <w:txbxContent>
                          <w:p w14:paraId="2B6A9B1F" w14:textId="77777777" w:rsidR="00C61669" w:rsidRPr="00CF0077" w:rsidRDefault="00C61669" w:rsidP="00C61669">
                            <w:r w:rsidRPr="007557EE">
                              <w:rPr>
                                <w:i/>
                                <w:iCs/>
                              </w:rPr>
                              <w:t>Luer Lock</w:t>
                            </w:r>
                            <w:r w:rsidRPr="003D3C41">
                              <w:t xml:space="preserve"> </w:t>
                            </w:r>
                            <w:r>
                              <w:t>adapteris</w:t>
                            </w:r>
                          </w:p>
                        </w:txbxContent>
                      </v:textbox>
                    </v:shape>
                  </w:pict>
                </mc:Fallback>
              </mc:AlternateContent>
            </w:r>
            <w:r>
              <w:rPr>
                <w:noProof/>
                <w:lang w:eastAsia="lt-LT"/>
              </w:rPr>
              <mc:AlternateContent>
                <mc:Choice Requires="wps">
                  <w:drawing>
                    <wp:anchor distT="0" distB="0" distL="0" distR="0" simplePos="0" relativeHeight="251668480" behindDoc="0" locked="0" layoutInCell="1" allowOverlap="0" wp14:anchorId="01E14B9F" wp14:editId="3B1EBB60">
                      <wp:simplePos x="0" y="0"/>
                      <wp:positionH relativeFrom="column">
                        <wp:posOffset>1253490</wp:posOffset>
                      </wp:positionH>
                      <wp:positionV relativeFrom="paragraph">
                        <wp:posOffset>1176655</wp:posOffset>
                      </wp:positionV>
                      <wp:extent cx="809625" cy="277495"/>
                      <wp:effectExtent l="0" t="0" r="0" b="0"/>
                      <wp:wrapNone/>
                      <wp:docPr id="16337470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14:paraId="762F923B" w14:textId="77777777" w:rsidR="00C61669" w:rsidRPr="00CF0077" w:rsidRDefault="00C61669" w:rsidP="00C61669">
                                  <w: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14B9F" id="Text Box 11" o:spid="_x0000_s1034" type="#_x0000_t202" style="position:absolute;left:0;text-align:left;margin-left:98.7pt;margin-top:92.65pt;width:63.75pt;height:21.8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" o:allowoverlap="f" filled="f" stroked="f" strokeweight=".5pt">
                      <v:textbox>
                        <w:txbxContent>
                          <w:p w14:paraId="762F923B" w14:textId="77777777" w:rsidR="00C61669" w:rsidRPr="00CF0077" w:rsidRDefault="00C61669" w:rsidP="00C61669">
                            <w:r>
                              <w:t>Dangtelis</w:t>
                            </w:r>
                          </w:p>
                        </w:txbxContent>
                      </v:textbox>
                    </v:shape>
                  </w:pict>
                </mc:Fallback>
              </mc:AlternateContent>
            </w:r>
            <w:r w:rsidRPr="00BE7AFC">
              <w:rPr>
                <w:noProof/>
                <w:lang w:eastAsia="lt-LT"/>
              </w:rPr>
              <w:drawing>
                <wp:inline distT="0" distB="0" distL="0" distR="0" wp14:anchorId="25071697" wp14:editId="1BFA58A1">
                  <wp:extent cx="1743075" cy="1762125"/>
                  <wp:effectExtent l="0" t="0" r="9525" b="9525"/>
                  <wp:docPr id="1921794984" name="Picture 9"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695132" descr="A picture containing antenna&#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3075" cy="1762125"/>
                          </a:xfrm>
                          <a:prstGeom prst="rect">
                            <a:avLst/>
                          </a:prstGeom>
                          <a:noFill/>
                          <a:ln>
                            <a:noFill/>
                          </a:ln>
                        </pic:spPr>
                      </pic:pic>
                    </a:graphicData>
                  </a:graphic>
                </wp:inline>
              </w:drawing>
            </w:r>
          </w:p>
        </w:tc>
        <w:tc>
          <w:tcPr>
            <w:tcW w:w="5238" w:type="dxa"/>
          </w:tcPr>
          <w:p w14:paraId="2758AB3D" w14:textId="77777777" w:rsidR="00C61669" w:rsidRDefault="00C61669" w:rsidP="006E4344">
            <w:pPr>
              <w:widowControl w:val="0"/>
            </w:pPr>
          </w:p>
          <w:p w14:paraId="0FAE1296" w14:textId="77777777" w:rsidR="00C61669" w:rsidRPr="00767748" w:rsidRDefault="00C61669" w:rsidP="006E4344">
            <w:pPr>
              <w:widowControl w:val="0"/>
            </w:pPr>
          </w:p>
          <w:p w14:paraId="240BCCA6" w14:textId="77777777" w:rsidR="00C61669" w:rsidRDefault="00C61669" w:rsidP="006E4344">
            <w:pPr>
              <w:widowControl w:val="0"/>
            </w:pPr>
            <w:r w:rsidRPr="00767748">
              <w:t>Laikykite švirkštą už vamzdelio, bet ne už stūmoklio.</w:t>
            </w:r>
          </w:p>
          <w:p w14:paraId="73B6D312" w14:textId="77777777" w:rsidR="00C61669" w:rsidRPr="00767748" w:rsidRDefault="00C61669" w:rsidP="006E4344">
            <w:pPr>
              <w:widowControl w:val="0"/>
            </w:pPr>
          </w:p>
          <w:p w14:paraId="47CC406A" w14:textId="77777777" w:rsidR="00C61669" w:rsidRPr="00767748" w:rsidRDefault="00C61669" w:rsidP="006E4344">
            <w:pPr>
              <w:widowControl w:val="0"/>
            </w:pPr>
            <w:r w:rsidRPr="00767748">
              <w:t>Nusukite švirkšto dangtelį sukdami prieš laikrodžio rodyklę.</w:t>
            </w:r>
          </w:p>
        </w:tc>
      </w:tr>
      <w:tr w:rsidR="00C61669" w14:paraId="6F4BCA62" w14:textId="77777777" w:rsidTr="006E4344">
        <w:trPr>
          <w:jc w:val="center"/>
        </w:trPr>
        <w:tc>
          <w:tcPr>
            <w:tcW w:w="3618" w:type="dxa"/>
          </w:tcPr>
          <w:p w14:paraId="255559E2" w14:textId="77777777" w:rsidR="00C61669" w:rsidRPr="00895454" w:rsidRDefault="00C61669" w:rsidP="006E4344">
            <w:pPr>
              <w:widowControl w:val="0"/>
              <w:spacing w:after="120"/>
              <w:jc w:val="center"/>
            </w:pPr>
            <w:r>
              <w:rPr>
                <w:noProof/>
                <w:lang w:eastAsia="lt-LT"/>
              </w:rPr>
              <mc:AlternateContent>
                <mc:Choice Requires="wps">
                  <w:drawing>
                    <wp:anchor distT="0" distB="0" distL="0" distR="0" simplePos="0" relativeHeight="251665408" behindDoc="0" locked="0" layoutInCell="1" allowOverlap="0" wp14:anchorId="6E26CDAF" wp14:editId="5C9DD3B2">
                      <wp:simplePos x="0" y="0"/>
                      <wp:positionH relativeFrom="column">
                        <wp:posOffset>858308</wp:posOffset>
                      </wp:positionH>
                      <wp:positionV relativeFrom="paragraph">
                        <wp:posOffset>327660</wp:posOffset>
                      </wp:positionV>
                      <wp:extent cx="1092200" cy="481330"/>
                      <wp:effectExtent l="0" t="0" r="0" b="0"/>
                      <wp:wrapNone/>
                      <wp:docPr id="16272852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481330"/>
                              </a:xfrm>
                              <a:prstGeom prst="rect">
                                <a:avLst/>
                              </a:prstGeom>
                              <a:noFill/>
                              <a:ln w="6350">
                                <a:noFill/>
                              </a:ln>
                            </wps:spPr>
                            <wps:txbx>
                              <w:txbxContent>
                                <w:p w14:paraId="0716A811" w14:textId="77777777" w:rsidR="00C61669" w:rsidRPr="007557EE" w:rsidRDefault="00C61669" w:rsidP="00C61669">
                                  <w:r>
                                    <w:t xml:space="preserve">Adatos </w:t>
                                  </w:r>
                                  <w:r w:rsidRPr="003D3C41">
                                    <w:t>stebulė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6CDAF" id="Text Box 10" o:spid="_x0000_s1035" type="#_x0000_t202" style="position:absolute;left:0;text-align:left;margin-left:67.6pt;margin-top:25.8pt;width:86pt;height:37.9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" o:allowoverlap="f" filled="f" stroked="f" strokeweight=".5pt">
                      <v:textbox>
                        <w:txbxContent>
                          <w:p w14:paraId="0716A811" w14:textId="77777777" w:rsidR="00C61669" w:rsidRPr="007557EE" w:rsidRDefault="00C61669" w:rsidP="00C61669">
                            <w:r>
                              <w:t xml:space="preserve">Adatos </w:t>
                            </w:r>
                            <w:r w:rsidRPr="003D3C41">
                              <w:t>stebulė</w:t>
                            </w:r>
                          </w:p>
                        </w:txbxContent>
                      </v:textbox>
                    </v:shape>
                  </w:pict>
                </mc:Fallback>
              </mc:AlternateContent>
            </w:r>
            <w:r w:rsidRPr="00BE7AFC">
              <w:rPr>
                <w:noProof/>
                <w:lang w:eastAsia="lt-LT"/>
              </w:rPr>
              <w:drawing>
                <wp:inline distT="0" distB="0" distL="0" distR="0" wp14:anchorId="5F7C905E" wp14:editId="48BB43F5">
                  <wp:extent cx="1828800" cy="1838325"/>
                  <wp:effectExtent l="0" t="0" r="0" b="9525"/>
                  <wp:docPr id="1678041309"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096535"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tc>
        <w:tc>
          <w:tcPr>
            <w:tcW w:w="5238" w:type="dxa"/>
          </w:tcPr>
          <w:p w14:paraId="5665F1AB" w14:textId="77777777" w:rsidR="00C61669" w:rsidRDefault="00C61669" w:rsidP="006E4344">
            <w:pPr>
              <w:widowControl w:val="0"/>
            </w:pPr>
          </w:p>
          <w:p w14:paraId="1FF5114D" w14:textId="77777777" w:rsidR="00C61669" w:rsidRDefault="00C61669" w:rsidP="006E4344">
            <w:pPr>
              <w:widowControl w:val="0"/>
            </w:pPr>
            <w:r w:rsidRPr="00727324">
              <w:t xml:space="preserve">Norėdami pritvirtinti adatą, prijunkite stebulę prie </w:t>
            </w:r>
            <w:proofErr w:type="spellStart"/>
            <w:r w:rsidRPr="006E4344">
              <w:rPr>
                <w:i/>
                <w:iCs/>
              </w:rPr>
              <w:t>Luer</w:t>
            </w:r>
            <w:proofErr w:type="spellEnd"/>
            <w:r w:rsidRPr="006E4344">
              <w:rPr>
                <w:i/>
                <w:iCs/>
              </w:rPr>
              <w:t xml:space="preserve"> </w:t>
            </w:r>
            <w:proofErr w:type="spellStart"/>
            <w:r w:rsidRPr="006E4344">
              <w:rPr>
                <w:i/>
                <w:iCs/>
              </w:rPr>
              <w:t>Lock</w:t>
            </w:r>
            <w:proofErr w:type="spellEnd"/>
            <w:r w:rsidRPr="00727324">
              <w:t xml:space="preserve"> adapterio ir pasukite ketvirtį apsisukimo pagal laikrodžio rodyklę, kol pajusite, kad ji užsifiksuos.</w:t>
            </w:r>
          </w:p>
          <w:p w14:paraId="17A58B32" w14:textId="77777777" w:rsidR="00C61669" w:rsidRPr="00727324" w:rsidRDefault="00C61669" w:rsidP="006E4344">
            <w:pPr>
              <w:widowControl w:val="0"/>
            </w:pPr>
          </w:p>
          <w:p w14:paraId="44D9B6EF" w14:textId="77777777" w:rsidR="00C61669" w:rsidRPr="00E650C2" w:rsidRDefault="00C61669" w:rsidP="006E4344">
            <w:pPr>
              <w:widowControl w:val="0"/>
            </w:pPr>
            <w:r w:rsidRPr="00727324">
              <w:t>Netraukite švirkšto stūmoklio iš vamzdelio. Jei taip atsitiktų, vakcinos neskirkite.</w:t>
            </w:r>
            <w:r w:rsidRPr="00727324">
              <w:rPr>
                <w:noProof/>
                <w:lang w:val="it-IT" w:eastAsia="it-IT"/>
              </w:rPr>
              <w:t xml:space="preserve"> </w:t>
            </w:r>
          </w:p>
        </w:tc>
      </w:tr>
    </w:tbl>
    <w:p w14:paraId="49A01074" w14:textId="77777777" w:rsidR="00C61669" w:rsidRDefault="00C61669" w:rsidP="00C61669"/>
    <w:p w14:paraId="1F778131" w14:textId="10E9C399" w:rsidR="00C61669" w:rsidRDefault="00C61669" w:rsidP="006F743D">
      <w:pPr>
        <w:rPr>
          <w:szCs w:val="22"/>
        </w:rPr>
      </w:pPr>
      <w:r w:rsidRPr="006E4344">
        <w:rPr>
          <w:u w:val="single"/>
        </w:rPr>
        <w:t>Atliekų tvarkymas</w:t>
      </w:r>
    </w:p>
    <w:p w14:paraId="692016C3" w14:textId="6FB6A93B" w:rsidR="00EB4E5C" w:rsidRDefault="00F50FC7">
      <w:pPr>
        <w:rPr>
          <w:szCs w:val="22"/>
        </w:rPr>
      </w:pPr>
      <w:r>
        <w:rPr>
          <w:szCs w:val="22"/>
        </w:rPr>
        <w:t xml:space="preserve">Nesuvartotą </w:t>
      </w:r>
      <w:r>
        <w:t>vaistą</w:t>
      </w:r>
      <w:r>
        <w:rPr>
          <w:szCs w:val="22"/>
        </w:rPr>
        <w:t xml:space="preserve"> ar atliekas reikia tvarkyti laikantis vietinių reikalavimų.</w:t>
      </w:r>
    </w:p>
    <w:p w14:paraId="4D87421B" w14:textId="0FBBD4ED" w:rsidR="0046484C" w:rsidRDefault="0046484C"/>
    <w:p w14:paraId="33E43102" w14:textId="77777777" w:rsidR="00217736" w:rsidRDefault="00217736"/>
    <w:sectPr w:rsidR="00217736" w:rsidSect="00DE58AC">
      <w:headerReference w:type="default"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0213" w14:textId="77777777" w:rsidR="009839F2" w:rsidRDefault="009839F2">
      <w:r>
        <w:separator/>
      </w:r>
    </w:p>
  </w:endnote>
  <w:endnote w:type="continuationSeparator" w:id="0">
    <w:p w14:paraId="6440DC91" w14:textId="77777777" w:rsidR="009839F2" w:rsidRDefault="009839F2">
      <w:r>
        <w:continuationSeparator/>
      </w:r>
    </w:p>
  </w:endnote>
  <w:endnote w:type="continuationNotice" w:id="1">
    <w:p w14:paraId="57D2C4AC" w14:textId="77777777" w:rsidR="009839F2" w:rsidRDefault="00983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w:altName w:val="Sylfae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F2A4" w14:textId="7B6CE72B" w:rsidR="005B4014" w:rsidRDefault="00F50FC7">
    <w:pPr>
      <w:pStyle w:val="Porat"/>
      <w:jc w:val="center"/>
    </w:pPr>
    <w:r>
      <w:fldChar w:fldCharType="begin"/>
    </w:r>
    <w:r>
      <w:instrText xml:space="preserve"> PAGE </w:instrText>
    </w:r>
    <w:r>
      <w:fldChar w:fldCharType="separate"/>
    </w:r>
    <w:r w:rsidR="00C159A1">
      <w:rPr>
        <w:noProof/>
      </w:rPr>
      <w:t>1</w:t>
    </w:r>
    <w:r>
      <w:fldChar w:fldCharType="end"/>
    </w:r>
  </w:p>
  <w:p w14:paraId="63F865F4" w14:textId="77777777" w:rsidR="005B4014" w:rsidRDefault="005B40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94C58" w14:textId="77777777" w:rsidR="009839F2" w:rsidRDefault="009839F2">
      <w:r>
        <w:separator/>
      </w:r>
    </w:p>
  </w:footnote>
  <w:footnote w:type="continuationSeparator" w:id="0">
    <w:p w14:paraId="5E649941" w14:textId="77777777" w:rsidR="009839F2" w:rsidRDefault="009839F2">
      <w:r>
        <w:continuationSeparator/>
      </w:r>
    </w:p>
  </w:footnote>
  <w:footnote w:type="continuationNotice" w:id="1">
    <w:p w14:paraId="5A90978E" w14:textId="77777777" w:rsidR="009839F2" w:rsidRDefault="00983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D09F" w14:textId="77777777" w:rsidR="005D17FC" w:rsidRDefault="005D17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54B2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816B06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B8F9B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9FCF91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60485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841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CADB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B4A1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3CDE2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142A7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074DE9"/>
    <w:multiLevelType w:val="hybridMultilevel"/>
    <w:tmpl w:val="92543F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777224A"/>
    <w:multiLevelType w:val="multilevel"/>
    <w:tmpl w:val="37ECBD0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0D371A05"/>
    <w:multiLevelType w:val="multilevel"/>
    <w:tmpl w:val="CCAA4812"/>
    <w:lvl w:ilvl="0">
      <w:start w:val="4"/>
      <w:numFmt w:val="decimal"/>
      <w:lvlText w:val="%1"/>
      <w:lvlJc w:val="left"/>
      <w:pPr>
        <w:ind w:left="570" w:hanging="570"/>
      </w:pPr>
      <w:rPr>
        <w:rFonts w:cs="Times New Roman"/>
      </w:rPr>
    </w:lvl>
    <w:lvl w:ilvl="1">
      <w:start w:val="6"/>
      <w:numFmt w:val="decimal"/>
      <w:lvlText w:val="%1.%2"/>
      <w:lvlJc w:val="left"/>
      <w:pPr>
        <w:ind w:left="570" w:hanging="57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4" w15:restartNumberingAfterBreak="0">
    <w:nsid w:val="149F5401"/>
    <w:multiLevelType w:val="hybridMultilevel"/>
    <w:tmpl w:val="06F43138"/>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F6550F"/>
    <w:multiLevelType w:val="multilevel"/>
    <w:tmpl w:val="E4065896"/>
    <w:lvl w:ilvl="0">
      <w:start w:val="4"/>
      <w:numFmt w:val="decimal"/>
      <w:lvlText w:val="%1"/>
      <w:lvlJc w:val="left"/>
      <w:pPr>
        <w:ind w:left="570" w:hanging="570"/>
      </w:pPr>
      <w:rPr>
        <w:rFonts w:cs="Times New Roman"/>
      </w:rPr>
    </w:lvl>
    <w:lvl w:ilvl="1">
      <w:start w:val="4"/>
      <w:numFmt w:val="decimal"/>
      <w:lvlText w:val="%1.%2"/>
      <w:lvlJc w:val="left"/>
      <w:pPr>
        <w:ind w:left="570" w:hanging="57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6" w15:restartNumberingAfterBreak="0">
    <w:nsid w:val="21E61F29"/>
    <w:multiLevelType w:val="multilevel"/>
    <w:tmpl w:val="200CEE1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5FE4BD4"/>
    <w:multiLevelType w:val="hybridMultilevel"/>
    <w:tmpl w:val="5172E810"/>
    <w:lvl w:ilvl="0" w:tplc="BF8AC686">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E0610"/>
    <w:multiLevelType w:val="multilevel"/>
    <w:tmpl w:val="809E9F1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2EEA7DEF"/>
    <w:multiLevelType w:val="multilevel"/>
    <w:tmpl w:val="09F2C85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Symbol" w:hAnsi="Symbol"/>
        <w:color w:val="auto"/>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2FD00638"/>
    <w:multiLevelType w:val="multilevel"/>
    <w:tmpl w:val="A238F05E"/>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2FF57E91"/>
    <w:multiLevelType w:val="hybridMultilevel"/>
    <w:tmpl w:val="A262F7DA"/>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CC3276"/>
    <w:multiLevelType w:val="multilevel"/>
    <w:tmpl w:val="2E18DF5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30EE5FB9"/>
    <w:multiLevelType w:val="multilevel"/>
    <w:tmpl w:val="0BBCA7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38ED0C2C"/>
    <w:multiLevelType w:val="hybridMultilevel"/>
    <w:tmpl w:val="336AC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D069AE"/>
    <w:multiLevelType w:val="hybridMultilevel"/>
    <w:tmpl w:val="0302E5D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3D645C08"/>
    <w:multiLevelType w:val="multilevel"/>
    <w:tmpl w:val="B5ECC2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D6B0582"/>
    <w:multiLevelType w:val="hybridMultilevel"/>
    <w:tmpl w:val="E16CAB54"/>
    <w:lvl w:ilvl="0" w:tplc="C100AFCE">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F21956"/>
    <w:multiLevelType w:val="hybridMultilevel"/>
    <w:tmpl w:val="6C92B298"/>
    <w:lvl w:ilvl="0" w:tplc="04090001">
      <w:start w:val="1"/>
      <w:numFmt w:val="bullet"/>
      <w:lvlText w:val=""/>
      <w:lvlJc w:val="left"/>
      <w:pPr>
        <w:tabs>
          <w:tab w:val="num" w:pos="720"/>
        </w:tabs>
        <w:ind w:left="720" w:hanging="360"/>
      </w:pPr>
      <w:rPr>
        <w:rFonts w:ascii="Symbol" w:hAnsi="Symbol" w:hint="default"/>
        <w:color w:val="auto"/>
      </w:rPr>
    </w:lvl>
    <w:lvl w:ilvl="1" w:tplc="BF8AC686"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175764"/>
    <w:multiLevelType w:val="multilevel"/>
    <w:tmpl w:val="D5C0DA3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47327BF7"/>
    <w:multiLevelType w:val="hybridMultilevel"/>
    <w:tmpl w:val="259C5AB0"/>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1D4686"/>
    <w:multiLevelType w:val="hybridMultilevel"/>
    <w:tmpl w:val="38EE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2E3C0A"/>
    <w:multiLevelType w:val="multilevel"/>
    <w:tmpl w:val="F2B6E1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3" w15:restartNumberingAfterBreak="0">
    <w:nsid w:val="5EE671AE"/>
    <w:multiLevelType w:val="multilevel"/>
    <w:tmpl w:val="C8BA307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64BC59B2"/>
    <w:multiLevelType w:val="multilevel"/>
    <w:tmpl w:val="7B42FA9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665B7648"/>
    <w:multiLevelType w:val="multilevel"/>
    <w:tmpl w:val="068EE5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66DB3DFF"/>
    <w:multiLevelType w:val="multilevel"/>
    <w:tmpl w:val="5C1646D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68850819"/>
    <w:multiLevelType w:val="hybridMultilevel"/>
    <w:tmpl w:val="A7B20268"/>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4A0E8E"/>
    <w:multiLevelType w:val="multilevel"/>
    <w:tmpl w:val="0EFC187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6E0E6D06"/>
    <w:multiLevelType w:val="multilevel"/>
    <w:tmpl w:val="88DE2F34"/>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1F92B9A"/>
    <w:multiLevelType w:val="hybridMultilevel"/>
    <w:tmpl w:val="DA582376"/>
    <w:lvl w:ilvl="0" w:tplc="3F98174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E4125B"/>
    <w:multiLevelType w:val="hybridMultilevel"/>
    <w:tmpl w:val="CE54E8DC"/>
    <w:lvl w:ilvl="0" w:tplc="8BE8E6E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E07B39"/>
    <w:multiLevelType w:val="hybridMultilevel"/>
    <w:tmpl w:val="C178A832"/>
    <w:lvl w:ilvl="0" w:tplc="04270001">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F11CC2"/>
    <w:multiLevelType w:val="hybridMultilevel"/>
    <w:tmpl w:val="DE18FEF4"/>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BF8AC686"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FB1761"/>
    <w:multiLevelType w:val="hybridMultilevel"/>
    <w:tmpl w:val="2A0A0A64"/>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600017719">
    <w:abstractNumId w:val="15"/>
  </w:num>
  <w:num w:numId="2" w16cid:durableId="843283333">
    <w:abstractNumId w:val="35"/>
  </w:num>
  <w:num w:numId="3" w16cid:durableId="11298425">
    <w:abstractNumId w:val="13"/>
  </w:num>
  <w:num w:numId="4" w16cid:durableId="1536194314">
    <w:abstractNumId w:val="26"/>
  </w:num>
  <w:num w:numId="5" w16cid:durableId="2060401816">
    <w:abstractNumId w:val="38"/>
  </w:num>
  <w:num w:numId="6" w16cid:durableId="8220116">
    <w:abstractNumId w:val="29"/>
  </w:num>
  <w:num w:numId="7" w16cid:durableId="187376251">
    <w:abstractNumId w:val="33"/>
  </w:num>
  <w:num w:numId="8" w16cid:durableId="1216237905">
    <w:abstractNumId w:val="19"/>
  </w:num>
  <w:num w:numId="9" w16cid:durableId="586235813">
    <w:abstractNumId w:val="22"/>
  </w:num>
  <w:num w:numId="10" w16cid:durableId="219635827">
    <w:abstractNumId w:val="16"/>
  </w:num>
  <w:num w:numId="11" w16cid:durableId="92013275">
    <w:abstractNumId w:val="34"/>
  </w:num>
  <w:num w:numId="12" w16cid:durableId="105270824">
    <w:abstractNumId w:val="32"/>
  </w:num>
  <w:num w:numId="13" w16cid:durableId="793988188">
    <w:abstractNumId w:val="36"/>
  </w:num>
  <w:num w:numId="14" w16cid:durableId="977146862">
    <w:abstractNumId w:val="18"/>
  </w:num>
  <w:num w:numId="15" w16cid:durableId="382631649">
    <w:abstractNumId w:val="12"/>
  </w:num>
  <w:num w:numId="16" w16cid:durableId="1952711585">
    <w:abstractNumId w:val="23"/>
  </w:num>
  <w:num w:numId="17" w16cid:durableId="716853925">
    <w:abstractNumId w:val="40"/>
  </w:num>
  <w:num w:numId="18" w16cid:durableId="753168297">
    <w:abstractNumId w:val="20"/>
  </w:num>
  <w:num w:numId="19" w16cid:durableId="134570596">
    <w:abstractNumId w:val="30"/>
  </w:num>
  <w:num w:numId="20" w16cid:durableId="1565792435">
    <w:abstractNumId w:val="17"/>
  </w:num>
  <w:num w:numId="21" w16cid:durableId="265231897">
    <w:abstractNumId w:val="42"/>
  </w:num>
  <w:num w:numId="22" w16cid:durableId="1279605258">
    <w:abstractNumId w:val="27"/>
  </w:num>
  <w:num w:numId="23" w16cid:durableId="1751804069">
    <w:abstractNumId w:val="43"/>
  </w:num>
  <w:num w:numId="24" w16cid:durableId="358240581">
    <w:abstractNumId w:val="44"/>
  </w:num>
  <w:num w:numId="25" w16cid:durableId="523639549">
    <w:abstractNumId w:val="28"/>
  </w:num>
  <w:num w:numId="26" w16cid:durableId="128935747">
    <w:abstractNumId w:val="37"/>
  </w:num>
  <w:num w:numId="27" w16cid:durableId="2101637609">
    <w:abstractNumId w:val="21"/>
  </w:num>
  <w:num w:numId="28" w16cid:durableId="642321175">
    <w:abstractNumId w:val="14"/>
  </w:num>
  <w:num w:numId="29" w16cid:durableId="1395935290">
    <w:abstractNumId w:val="39"/>
  </w:num>
  <w:num w:numId="30" w16cid:durableId="2134395333">
    <w:abstractNumId w:val="25"/>
  </w:num>
  <w:num w:numId="31" w16cid:durableId="987636176">
    <w:abstractNumId w:val="24"/>
  </w:num>
  <w:num w:numId="32" w16cid:durableId="1514222174">
    <w:abstractNumId w:val="31"/>
  </w:num>
  <w:num w:numId="33" w16cid:durableId="1389961000">
    <w:abstractNumId w:val="9"/>
  </w:num>
  <w:num w:numId="34" w16cid:durableId="1656838803">
    <w:abstractNumId w:val="7"/>
  </w:num>
  <w:num w:numId="35" w16cid:durableId="437989713">
    <w:abstractNumId w:val="6"/>
  </w:num>
  <w:num w:numId="36" w16cid:durableId="1634557374">
    <w:abstractNumId w:val="5"/>
  </w:num>
  <w:num w:numId="37" w16cid:durableId="915549590">
    <w:abstractNumId w:val="4"/>
  </w:num>
  <w:num w:numId="38" w16cid:durableId="709917532">
    <w:abstractNumId w:val="8"/>
  </w:num>
  <w:num w:numId="39" w16cid:durableId="182255789">
    <w:abstractNumId w:val="3"/>
  </w:num>
  <w:num w:numId="40" w16cid:durableId="61342460">
    <w:abstractNumId w:val="2"/>
  </w:num>
  <w:num w:numId="41" w16cid:durableId="473957553">
    <w:abstractNumId w:val="1"/>
  </w:num>
  <w:num w:numId="42" w16cid:durableId="1912419553">
    <w:abstractNumId w:val="0"/>
  </w:num>
  <w:num w:numId="43" w16cid:durableId="1008799682">
    <w:abstractNumId w:val="10"/>
    <w:lvlOverride w:ilvl="0">
      <w:lvl w:ilvl="0">
        <w:start w:val="1"/>
        <w:numFmt w:val="bullet"/>
        <w:lvlText w:val=""/>
        <w:lvlJc w:val="left"/>
        <w:pPr>
          <w:ind w:left="360" w:hanging="360"/>
        </w:pPr>
        <w:rPr>
          <w:rFonts w:ascii="Symbol" w:hAnsi="Symbol" w:hint="default"/>
        </w:rPr>
      </w:lvl>
    </w:lvlOverride>
  </w:num>
  <w:num w:numId="44" w16cid:durableId="404110515">
    <w:abstractNumId w:val="41"/>
  </w:num>
  <w:num w:numId="45" w16cid:durableId="1907107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0713bb-6226-401a-8b7d-04a17ffa696f" w:val=" "/>
    <w:docVar w:name="VAULT_ND_13f664b3-5755-4cd8-ae9a-e6de6e2f71ba" w:val=" "/>
    <w:docVar w:name="vault_nd_155fe96d-ddf2-44bf-87cf-aa49f43bd958" w:val=" "/>
    <w:docVar w:name="VAULT_ND_161dec07-ec88-49bc-82be-2a1662d15157" w:val=" "/>
    <w:docVar w:name="vault_nd_164ba1ce-1b68-4f09-afb6-775af284a085" w:val=" "/>
    <w:docVar w:name="VAULT_ND_196a4121-2a78-43b4-811b-37eb97bddcd1" w:val=" "/>
    <w:docVar w:name="VAULT_ND_25319bf1-48ca-48a6-b114-6db9df4db890" w:val=" "/>
    <w:docVar w:name="vault_nd_289daaac-2335-4e66-9272-235c21db9d3e" w:val=" "/>
    <w:docVar w:name="VAULT_ND_2fe82951-a0b2-4e07-8e90-8bd5bb5d21b4" w:val=" "/>
    <w:docVar w:name="VAULT_ND_3eab0ee5-3115-4e24-a5de-0fa34e17f26e" w:val=" "/>
    <w:docVar w:name="vault_nd_429012be-e784-4560-a6be-a79bd0283b00" w:val=" "/>
    <w:docVar w:name="vault_nd_4a6c057d-0e21-48fc-958f-3d45558e513f" w:val=" "/>
    <w:docVar w:name="VAULT_ND_55bb56af-f260-47fd-8a20-38de22f0bce3" w:val=" "/>
    <w:docVar w:name="VAULT_ND_59959993-5db5-46f8-a720-d16e8fc719da" w:val=" "/>
    <w:docVar w:name="vault_nd_5b15f228-6e17-4c29-aaac-71cc90270db2" w:val=" "/>
    <w:docVar w:name="VAULT_ND_61bb8749-042c-4e1e-a24f-ce15a12f5f4b" w:val=" "/>
    <w:docVar w:name="vault_nd_680900e4-cc61-49b0-8cf5-39ccb2cdc450" w:val=" "/>
    <w:docVar w:name="vault_nd_8468b070-6bf6-4c7a-b450-36199b4a0bf0" w:val=" "/>
    <w:docVar w:name="vault_nd_86e69ca6-58ba-4135-b2b9-cf96d0efabf4" w:val=" "/>
    <w:docVar w:name="vault_nd_8add60a6-82b3-495e-a001-280fa6e7d5ff" w:val=" "/>
    <w:docVar w:name="VAULT_ND_90989c21-5113-456a-8ffd-cdc3bad36c7a" w:val=" "/>
    <w:docVar w:name="VAULT_ND_a2134540-d28c-4167-bbba-04994705b661" w:val=" "/>
    <w:docVar w:name="VAULT_ND_c2c42fbf-431b-4037-872b-286be1256408" w:val=" "/>
    <w:docVar w:name="VAULT_ND_c9db608f-34f6-41b2-9a9f-c5b98e5d0449" w:val=" "/>
    <w:docVar w:name="VAULT_ND_ccdec573-81f1-4d8d-a016-9bafc142aad8" w:val=" "/>
    <w:docVar w:name="VAULT_ND_d25c172b-3265-4e49-884b-7cf5676dc74a" w:val=" "/>
    <w:docVar w:name="VAULT_ND_d4b96e6a-84de-4058-a163-47d28598a1a8" w:val=" "/>
    <w:docVar w:name="VAULT_ND_e2dc328f-212f-49a2-9088-cd4231672b07" w:val=" "/>
    <w:docVar w:name="VAULT_ND_e5d4cd13-09c0-4388-8869-4cd1139afec5" w:val=" "/>
    <w:docVar w:name="VAULT_ND_e6265dbb-2695-4c55-995c-a2bb12fdfaf8" w:val=" "/>
    <w:docVar w:name="vault_nd_e6fd30de-e465-4c33-8256-ce0265cfc74c" w:val=" "/>
    <w:docVar w:name="VAULT_ND_ea02b4ab-12d4-4308-a175-b8432f8663fa" w:val=" "/>
    <w:docVar w:name="VAULT_ND_fd32b064-cdcf-488e-9956-bea23df7c7ad" w:val=" "/>
    <w:docVar w:name="vault_nd_ff7bd73a-8293-4da4-a819-94c1eb7c71e5" w:val=" "/>
  </w:docVars>
  <w:rsids>
    <w:rsidRoot w:val="00F50FC7"/>
    <w:rsid w:val="00011BF4"/>
    <w:rsid w:val="00015D36"/>
    <w:rsid w:val="000201A4"/>
    <w:rsid w:val="000224CC"/>
    <w:rsid w:val="000240B7"/>
    <w:rsid w:val="0002542F"/>
    <w:rsid w:val="00033C56"/>
    <w:rsid w:val="00042392"/>
    <w:rsid w:val="00047413"/>
    <w:rsid w:val="000509D9"/>
    <w:rsid w:val="00056BC2"/>
    <w:rsid w:val="00062A02"/>
    <w:rsid w:val="000630A1"/>
    <w:rsid w:val="00066127"/>
    <w:rsid w:val="0009150D"/>
    <w:rsid w:val="00091F32"/>
    <w:rsid w:val="0009617F"/>
    <w:rsid w:val="000B6C00"/>
    <w:rsid w:val="000C68F4"/>
    <w:rsid w:val="000F4310"/>
    <w:rsid w:val="000F7642"/>
    <w:rsid w:val="001041BD"/>
    <w:rsid w:val="00104532"/>
    <w:rsid w:val="0013531B"/>
    <w:rsid w:val="00136AD4"/>
    <w:rsid w:val="00181D9D"/>
    <w:rsid w:val="00183043"/>
    <w:rsid w:val="00191216"/>
    <w:rsid w:val="00195AAA"/>
    <w:rsid w:val="001A6BF7"/>
    <w:rsid w:val="001B212B"/>
    <w:rsid w:val="001C1353"/>
    <w:rsid w:val="001E3D81"/>
    <w:rsid w:val="001F4781"/>
    <w:rsid w:val="001F5A59"/>
    <w:rsid w:val="001F6C74"/>
    <w:rsid w:val="00200ACF"/>
    <w:rsid w:val="0020671E"/>
    <w:rsid w:val="00215050"/>
    <w:rsid w:val="00215F8A"/>
    <w:rsid w:val="00217736"/>
    <w:rsid w:val="00275372"/>
    <w:rsid w:val="00275DE8"/>
    <w:rsid w:val="00283468"/>
    <w:rsid w:val="00297C41"/>
    <w:rsid w:val="002A2F84"/>
    <w:rsid w:val="002C1F45"/>
    <w:rsid w:val="002D6D0A"/>
    <w:rsid w:val="002E0044"/>
    <w:rsid w:val="002E2C80"/>
    <w:rsid w:val="002E33B5"/>
    <w:rsid w:val="002F0097"/>
    <w:rsid w:val="002F62F7"/>
    <w:rsid w:val="002F68C9"/>
    <w:rsid w:val="00300271"/>
    <w:rsid w:val="00307382"/>
    <w:rsid w:val="00315239"/>
    <w:rsid w:val="003207F1"/>
    <w:rsid w:val="00332903"/>
    <w:rsid w:val="00353AD5"/>
    <w:rsid w:val="0036585D"/>
    <w:rsid w:val="003976FF"/>
    <w:rsid w:val="003A16C2"/>
    <w:rsid w:val="003B1CE6"/>
    <w:rsid w:val="003C1A21"/>
    <w:rsid w:val="003C69CA"/>
    <w:rsid w:val="003E1728"/>
    <w:rsid w:val="003F2888"/>
    <w:rsid w:val="003F516E"/>
    <w:rsid w:val="00404577"/>
    <w:rsid w:val="004272A5"/>
    <w:rsid w:val="00455A1D"/>
    <w:rsid w:val="0045742F"/>
    <w:rsid w:val="0046484C"/>
    <w:rsid w:val="0046598A"/>
    <w:rsid w:val="004969F8"/>
    <w:rsid w:val="004A1376"/>
    <w:rsid w:val="004A3697"/>
    <w:rsid w:val="004B26E2"/>
    <w:rsid w:val="004C2FD7"/>
    <w:rsid w:val="004E14EB"/>
    <w:rsid w:val="004F1B3F"/>
    <w:rsid w:val="00510588"/>
    <w:rsid w:val="00512C55"/>
    <w:rsid w:val="00527145"/>
    <w:rsid w:val="00543009"/>
    <w:rsid w:val="005438AA"/>
    <w:rsid w:val="00565033"/>
    <w:rsid w:val="00571062"/>
    <w:rsid w:val="005812BA"/>
    <w:rsid w:val="005A1265"/>
    <w:rsid w:val="005A46EE"/>
    <w:rsid w:val="005B4014"/>
    <w:rsid w:val="005B559F"/>
    <w:rsid w:val="005C09B1"/>
    <w:rsid w:val="005D17FC"/>
    <w:rsid w:val="005D7810"/>
    <w:rsid w:val="005E4C18"/>
    <w:rsid w:val="00601477"/>
    <w:rsid w:val="00605286"/>
    <w:rsid w:val="00624771"/>
    <w:rsid w:val="006463D7"/>
    <w:rsid w:val="00646560"/>
    <w:rsid w:val="006577C1"/>
    <w:rsid w:val="0066469D"/>
    <w:rsid w:val="00674ABA"/>
    <w:rsid w:val="00682FD0"/>
    <w:rsid w:val="006905DE"/>
    <w:rsid w:val="006927B9"/>
    <w:rsid w:val="00693AB2"/>
    <w:rsid w:val="00695651"/>
    <w:rsid w:val="00695FE4"/>
    <w:rsid w:val="00696F42"/>
    <w:rsid w:val="006A6097"/>
    <w:rsid w:val="006A7396"/>
    <w:rsid w:val="006C6BA5"/>
    <w:rsid w:val="006C7CD7"/>
    <w:rsid w:val="006E2E78"/>
    <w:rsid w:val="006F0C6D"/>
    <w:rsid w:val="006F743D"/>
    <w:rsid w:val="007170AA"/>
    <w:rsid w:val="007227A0"/>
    <w:rsid w:val="00775B1A"/>
    <w:rsid w:val="00781FBD"/>
    <w:rsid w:val="007872C2"/>
    <w:rsid w:val="00793721"/>
    <w:rsid w:val="007A30C1"/>
    <w:rsid w:val="007D4F93"/>
    <w:rsid w:val="007F7C82"/>
    <w:rsid w:val="00804780"/>
    <w:rsid w:val="008111AF"/>
    <w:rsid w:val="008232B3"/>
    <w:rsid w:val="0084686A"/>
    <w:rsid w:val="00871FF7"/>
    <w:rsid w:val="008726B7"/>
    <w:rsid w:val="00880662"/>
    <w:rsid w:val="008838D8"/>
    <w:rsid w:val="008C54E7"/>
    <w:rsid w:val="008D7910"/>
    <w:rsid w:val="008F10DD"/>
    <w:rsid w:val="0090242C"/>
    <w:rsid w:val="0090654B"/>
    <w:rsid w:val="009123ED"/>
    <w:rsid w:val="0091268B"/>
    <w:rsid w:val="00916273"/>
    <w:rsid w:val="00922595"/>
    <w:rsid w:val="0093249B"/>
    <w:rsid w:val="009359B4"/>
    <w:rsid w:val="00940092"/>
    <w:rsid w:val="009408CF"/>
    <w:rsid w:val="009428ED"/>
    <w:rsid w:val="009536DB"/>
    <w:rsid w:val="00971467"/>
    <w:rsid w:val="0097325A"/>
    <w:rsid w:val="009839F2"/>
    <w:rsid w:val="00985A9C"/>
    <w:rsid w:val="00991FDE"/>
    <w:rsid w:val="009A0A35"/>
    <w:rsid w:val="009A2918"/>
    <w:rsid w:val="009B2453"/>
    <w:rsid w:val="009C1DE4"/>
    <w:rsid w:val="009C2694"/>
    <w:rsid w:val="009D3785"/>
    <w:rsid w:val="009D3EA6"/>
    <w:rsid w:val="009E0EC8"/>
    <w:rsid w:val="009E78AA"/>
    <w:rsid w:val="009F28B4"/>
    <w:rsid w:val="009F511E"/>
    <w:rsid w:val="00A009C8"/>
    <w:rsid w:val="00A46842"/>
    <w:rsid w:val="00A561BD"/>
    <w:rsid w:val="00A672AC"/>
    <w:rsid w:val="00A7500B"/>
    <w:rsid w:val="00A76471"/>
    <w:rsid w:val="00A83240"/>
    <w:rsid w:val="00A86ABC"/>
    <w:rsid w:val="00AA7034"/>
    <w:rsid w:val="00AB34A2"/>
    <w:rsid w:val="00AB3E20"/>
    <w:rsid w:val="00AE55FA"/>
    <w:rsid w:val="00AF599C"/>
    <w:rsid w:val="00B00019"/>
    <w:rsid w:val="00B21892"/>
    <w:rsid w:val="00B43712"/>
    <w:rsid w:val="00B54CD5"/>
    <w:rsid w:val="00B61573"/>
    <w:rsid w:val="00B65EFC"/>
    <w:rsid w:val="00B71EF9"/>
    <w:rsid w:val="00B7508E"/>
    <w:rsid w:val="00B76FBA"/>
    <w:rsid w:val="00B94192"/>
    <w:rsid w:val="00BA6043"/>
    <w:rsid w:val="00BF130F"/>
    <w:rsid w:val="00C03D29"/>
    <w:rsid w:val="00C136B2"/>
    <w:rsid w:val="00C159A1"/>
    <w:rsid w:val="00C3571A"/>
    <w:rsid w:val="00C40649"/>
    <w:rsid w:val="00C47586"/>
    <w:rsid w:val="00C477EE"/>
    <w:rsid w:val="00C57B55"/>
    <w:rsid w:val="00C61669"/>
    <w:rsid w:val="00C64C9F"/>
    <w:rsid w:val="00C7296F"/>
    <w:rsid w:val="00C77B03"/>
    <w:rsid w:val="00C877BC"/>
    <w:rsid w:val="00C929AD"/>
    <w:rsid w:val="00CB7838"/>
    <w:rsid w:val="00CD07B0"/>
    <w:rsid w:val="00CE3DE0"/>
    <w:rsid w:val="00D06A45"/>
    <w:rsid w:val="00D1109C"/>
    <w:rsid w:val="00D33C8A"/>
    <w:rsid w:val="00D42147"/>
    <w:rsid w:val="00D45C73"/>
    <w:rsid w:val="00D46B0C"/>
    <w:rsid w:val="00D656BD"/>
    <w:rsid w:val="00D7757E"/>
    <w:rsid w:val="00D7762C"/>
    <w:rsid w:val="00D87FA7"/>
    <w:rsid w:val="00D91ED4"/>
    <w:rsid w:val="00D9536B"/>
    <w:rsid w:val="00DA04BF"/>
    <w:rsid w:val="00DA657E"/>
    <w:rsid w:val="00DB3B61"/>
    <w:rsid w:val="00DB4920"/>
    <w:rsid w:val="00DB57D4"/>
    <w:rsid w:val="00DC374D"/>
    <w:rsid w:val="00DE31C5"/>
    <w:rsid w:val="00DE58AC"/>
    <w:rsid w:val="00E01929"/>
    <w:rsid w:val="00E04A93"/>
    <w:rsid w:val="00E11218"/>
    <w:rsid w:val="00E204B5"/>
    <w:rsid w:val="00E22136"/>
    <w:rsid w:val="00E50D59"/>
    <w:rsid w:val="00E5686B"/>
    <w:rsid w:val="00E7434C"/>
    <w:rsid w:val="00E8261F"/>
    <w:rsid w:val="00E845C0"/>
    <w:rsid w:val="00E90E50"/>
    <w:rsid w:val="00E969C1"/>
    <w:rsid w:val="00EA5B9E"/>
    <w:rsid w:val="00EB4E5C"/>
    <w:rsid w:val="00EC06A2"/>
    <w:rsid w:val="00EC1B3E"/>
    <w:rsid w:val="00ED7BBC"/>
    <w:rsid w:val="00EE0D05"/>
    <w:rsid w:val="00EE251D"/>
    <w:rsid w:val="00EE40D9"/>
    <w:rsid w:val="00EE58BF"/>
    <w:rsid w:val="00F02101"/>
    <w:rsid w:val="00F0277F"/>
    <w:rsid w:val="00F14B41"/>
    <w:rsid w:val="00F257AA"/>
    <w:rsid w:val="00F3038E"/>
    <w:rsid w:val="00F30D8F"/>
    <w:rsid w:val="00F33BD5"/>
    <w:rsid w:val="00F42987"/>
    <w:rsid w:val="00F435D3"/>
    <w:rsid w:val="00F50FC7"/>
    <w:rsid w:val="00F55B04"/>
    <w:rsid w:val="00F65A8B"/>
    <w:rsid w:val="00F77B7D"/>
    <w:rsid w:val="00F82B0B"/>
    <w:rsid w:val="00F95B2A"/>
    <w:rsid w:val="00F977D1"/>
    <w:rsid w:val="00FA7B8D"/>
    <w:rsid w:val="00FB6803"/>
    <w:rsid w:val="00FC2809"/>
    <w:rsid w:val="00FC5625"/>
    <w:rsid w:val="00FD393F"/>
    <w:rsid w:val="00FF3E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F3F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FC7"/>
    <w:pPr>
      <w:suppressAutoHyphens/>
      <w:autoSpaceDN w:val="0"/>
      <w:spacing w:after="0" w:line="240" w:lineRule="auto"/>
      <w:textAlignment w:val="baseline"/>
    </w:pPr>
    <w:rPr>
      <w:rFonts w:ascii="Times New Roman" w:eastAsia="Times New Roman" w:hAnsi="Times New Roman" w:cs="Times New Roman"/>
      <w:szCs w:val="24"/>
    </w:rPr>
  </w:style>
  <w:style w:type="paragraph" w:styleId="Antrat1">
    <w:name w:val="heading 1"/>
    <w:basedOn w:val="prastasis"/>
    <w:next w:val="prastasis"/>
    <w:link w:val="Antrat1Diagrama"/>
    <w:uiPriority w:val="99"/>
    <w:qFormat/>
    <w:rsid w:val="00F50FC7"/>
    <w:pPr>
      <w:keepNext/>
      <w:keepLines/>
      <w:spacing w:before="480"/>
      <w:outlineLvl w:val="0"/>
    </w:pPr>
    <w:rPr>
      <w:rFonts w:ascii="Cambria" w:eastAsia="Calibri" w:hAnsi="Cambria"/>
      <w:b/>
      <w:bCs/>
      <w:color w:val="365F91"/>
      <w:sz w:val="28"/>
      <w:szCs w:val="28"/>
      <w:lang w:eastAsia="lt-LT"/>
    </w:rPr>
  </w:style>
  <w:style w:type="paragraph" w:styleId="Antrat2">
    <w:name w:val="heading 2"/>
    <w:basedOn w:val="prastasis"/>
    <w:next w:val="prastasis"/>
    <w:link w:val="Antrat2Diagrama"/>
    <w:uiPriority w:val="99"/>
    <w:unhideWhenUsed/>
    <w:qFormat/>
    <w:rsid w:val="00F50FC7"/>
    <w:pPr>
      <w:keepNext/>
      <w:keepLines/>
      <w:spacing w:before="200"/>
      <w:outlineLvl w:val="1"/>
    </w:pPr>
    <w:rPr>
      <w:rFonts w:ascii="Cambria" w:eastAsia="Calibri" w:hAnsi="Cambria"/>
      <w:b/>
      <w:bCs/>
      <w:color w:val="4F81BD"/>
      <w:sz w:val="26"/>
      <w:szCs w:val="26"/>
      <w:lang w:eastAsia="lt-LT"/>
    </w:rPr>
  </w:style>
  <w:style w:type="paragraph" w:styleId="Antrat3">
    <w:name w:val="heading 3"/>
    <w:basedOn w:val="prastasis"/>
    <w:next w:val="prastasis"/>
    <w:link w:val="Antrat3Diagrama"/>
    <w:uiPriority w:val="99"/>
    <w:unhideWhenUsed/>
    <w:qFormat/>
    <w:rsid w:val="00F50FC7"/>
    <w:pPr>
      <w:keepNext/>
      <w:spacing w:before="240" w:after="60"/>
      <w:outlineLvl w:val="2"/>
    </w:pPr>
    <w:rPr>
      <w:rFonts w:ascii="Arial" w:eastAsia="Calibri" w:hAnsi="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50FC7"/>
    <w:rPr>
      <w:rFonts w:ascii="Cambria" w:eastAsia="Calibri" w:hAnsi="Cambria" w:cs="Times New Roman"/>
      <w:b/>
      <w:bCs/>
      <w:color w:val="365F91"/>
      <w:sz w:val="28"/>
      <w:szCs w:val="28"/>
      <w:lang w:eastAsia="lt-LT"/>
    </w:rPr>
  </w:style>
  <w:style w:type="character" w:customStyle="1" w:styleId="Antrat2Diagrama">
    <w:name w:val="Antraštė 2 Diagrama"/>
    <w:basedOn w:val="Numatytasispastraiposriftas"/>
    <w:link w:val="Antrat2"/>
    <w:uiPriority w:val="99"/>
    <w:rsid w:val="00F50FC7"/>
    <w:rPr>
      <w:rFonts w:ascii="Cambria" w:eastAsia="Calibri" w:hAnsi="Cambria" w:cs="Times New Roman"/>
      <w:b/>
      <w:bCs/>
      <w:color w:val="4F81BD"/>
      <w:sz w:val="26"/>
      <w:szCs w:val="26"/>
      <w:lang w:eastAsia="lt-LT"/>
    </w:rPr>
  </w:style>
  <w:style w:type="character" w:customStyle="1" w:styleId="Antrat3Diagrama">
    <w:name w:val="Antraštė 3 Diagrama"/>
    <w:basedOn w:val="Numatytasispastraiposriftas"/>
    <w:link w:val="Antrat3"/>
    <w:uiPriority w:val="99"/>
    <w:rsid w:val="00F50FC7"/>
    <w:rPr>
      <w:rFonts w:ascii="Arial" w:eastAsia="Calibri" w:hAnsi="Arial" w:cs="Times New Roman"/>
      <w:b/>
      <w:bCs/>
      <w:sz w:val="26"/>
      <w:szCs w:val="26"/>
      <w:lang w:eastAsia="lt-LT"/>
    </w:rPr>
  </w:style>
  <w:style w:type="character" w:styleId="Hipersaitas">
    <w:name w:val="Hyperlink"/>
    <w:uiPriority w:val="99"/>
    <w:rsid w:val="00F50FC7"/>
    <w:rPr>
      <w:rFonts w:cs="Times New Roman"/>
      <w:color w:val="0000FF"/>
      <w:u w:val="single"/>
    </w:rPr>
  </w:style>
  <w:style w:type="paragraph" w:customStyle="1" w:styleId="PI-1EMEASMCA">
    <w:name w:val="PI-1 EMEA_SMCA"/>
    <w:basedOn w:val="Antrat2"/>
    <w:autoRedefine/>
    <w:uiPriority w:val="99"/>
    <w:rsid w:val="00F50FC7"/>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uiPriority w:val="99"/>
    <w:rsid w:val="00F50FC7"/>
    <w:pPr>
      <w:keepNext/>
      <w:pBdr>
        <w:top w:val="single" w:sz="4" w:space="1" w:color="000000"/>
        <w:left w:val="single" w:sz="4" w:space="4" w:color="000000"/>
        <w:bottom w:val="single" w:sz="4" w:space="1" w:color="000000"/>
        <w:right w:val="single" w:sz="4" w:space="4" w:color="000000"/>
      </w:pBdr>
      <w:tabs>
        <w:tab w:val="left" w:pos="540"/>
      </w:tabs>
      <w:ind w:left="567" w:hanging="567"/>
    </w:pPr>
    <w:rPr>
      <w:rFonts w:eastAsia="Calibri"/>
      <w:b/>
      <w:sz w:val="20"/>
      <w:szCs w:val="20"/>
    </w:rPr>
  </w:style>
  <w:style w:type="character" w:customStyle="1" w:styleId="PI-1labEMEASMCAChar">
    <w:name w:val="PI-1_lab EMEA_SMCA Char"/>
    <w:link w:val="PI-1labEMEASMCA"/>
    <w:uiPriority w:val="99"/>
    <w:rsid w:val="00F50FC7"/>
    <w:rPr>
      <w:rFonts w:ascii="Times New Roman" w:eastAsia="Calibri" w:hAnsi="Times New Roman" w:cs="Times New Roman"/>
      <w:b/>
      <w:sz w:val="20"/>
      <w:szCs w:val="20"/>
    </w:rPr>
  </w:style>
  <w:style w:type="paragraph" w:customStyle="1" w:styleId="PI-2EMEASMCA">
    <w:name w:val="PI-2 EMEA_SMCA"/>
    <w:basedOn w:val="Antrat3"/>
    <w:autoRedefine/>
    <w:uiPriority w:val="99"/>
    <w:rsid w:val="00F50FC7"/>
    <w:pPr>
      <w:keepLines/>
      <w:tabs>
        <w:tab w:val="left" w:pos="567"/>
      </w:tabs>
      <w:spacing w:before="0" w:after="0"/>
      <w:ind w:left="567" w:hanging="567"/>
    </w:pPr>
    <w:rPr>
      <w:rFonts w:ascii="Times New Roman" w:hAnsi="Times New Roman"/>
      <w:bCs w:val="0"/>
      <w:kern w:val="3"/>
      <w:sz w:val="22"/>
      <w:szCs w:val="22"/>
    </w:rPr>
  </w:style>
  <w:style w:type="paragraph" w:customStyle="1" w:styleId="BTEMEASMCA">
    <w:name w:val="BT EMEA_SMCA"/>
    <w:basedOn w:val="prastasis"/>
    <w:link w:val="BTEMEASMCAChar"/>
    <w:autoRedefine/>
    <w:uiPriority w:val="99"/>
    <w:rsid w:val="000B6C00"/>
    <w:pPr>
      <w:keepNext/>
    </w:pPr>
    <w:rPr>
      <w:rFonts w:eastAsia="Calibri"/>
      <w:szCs w:val="22"/>
      <w:lang w:eastAsia="lt-LT"/>
    </w:rPr>
  </w:style>
  <w:style w:type="character" w:customStyle="1" w:styleId="BTEMEASMCAChar">
    <w:name w:val="BT EMEA_SMCA Char"/>
    <w:link w:val="BTEMEASMCA"/>
    <w:uiPriority w:val="99"/>
    <w:rsid w:val="000B6C00"/>
    <w:rPr>
      <w:rFonts w:ascii="Times New Roman" w:eastAsia="Calibri" w:hAnsi="Times New Roman" w:cs="Times New Roman"/>
      <w:lang w:eastAsia="lt-LT"/>
    </w:rPr>
  </w:style>
  <w:style w:type="paragraph" w:customStyle="1" w:styleId="TTEMEASMCA">
    <w:name w:val="TT EMEA_SMCA"/>
    <w:basedOn w:val="Antrat1"/>
    <w:link w:val="TTEMEASMCAChar"/>
    <w:autoRedefine/>
    <w:uiPriority w:val="99"/>
    <w:rsid w:val="00F50FC7"/>
    <w:pPr>
      <w:keepNext w:val="0"/>
      <w:keepLines w:val="0"/>
      <w:tabs>
        <w:tab w:val="left" w:pos="567"/>
      </w:tabs>
      <w:spacing w:before="0"/>
      <w:ind w:left="567" w:hanging="567"/>
      <w:jc w:val="center"/>
    </w:pPr>
    <w:rPr>
      <w:rFonts w:ascii="Times New Roman" w:hAnsi="Times New Roman"/>
      <w:bCs w:val="0"/>
      <w:color w:val="auto"/>
      <w:sz w:val="20"/>
      <w:szCs w:val="20"/>
    </w:rPr>
  </w:style>
  <w:style w:type="character" w:customStyle="1" w:styleId="TTEMEASMCAChar">
    <w:name w:val="TT EMEA_SMCA Char"/>
    <w:link w:val="TTEMEASMCA"/>
    <w:uiPriority w:val="99"/>
    <w:rsid w:val="00F50FC7"/>
    <w:rPr>
      <w:rFonts w:ascii="Times New Roman" w:eastAsia="Calibri" w:hAnsi="Times New Roman" w:cs="Times New Roman"/>
      <w:b/>
      <w:sz w:val="20"/>
      <w:szCs w:val="20"/>
      <w:lang w:eastAsia="lt-LT"/>
    </w:rPr>
  </w:style>
  <w:style w:type="paragraph" w:customStyle="1" w:styleId="BTAnIIEMEASMCA">
    <w:name w:val="BT(AnII) EMEA_SMCA"/>
    <w:basedOn w:val="Debesliotekstas"/>
    <w:autoRedefine/>
    <w:uiPriority w:val="99"/>
    <w:rsid w:val="00F50FC7"/>
  </w:style>
  <w:style w:type="paragraph" w:customStyle="1" w:styleId="PI-3EMEASMCA">
    <w:name w:val="PI-3 EMEA_SMCA"/>
    <w:basedOn w:val="prastasis"/>
    <w:autoRedefine/>
    <w:uiPriority w:val="99"/>
    <w:rsid w:val="00F50FC7"/>
    <w:pPr>
      <w:keepNext/>
      <w:spacing w:line="220" w:lineRule="exact"/>
    </w:pPr>
    <w:rPr>
      <w:b/>
      <w:bCs/>
    </w:rPr>
  </w:style>
  <w:style w:type="paragraph" w:customStyle="1" w:styleId="BTbEMEASMCA">
    <w:name w:val="BT(b) EMEA_SMCA"/>
    <w:basedOn w:val="BTEMEASMCA"/>
    <w:autoRedefine/>
    <w:uiPriority w:val="99"/>
    <w:rsid w:val="00E04A93"/>
    <w:pPr>
      <w:keepNext w:val="0"/>
      <w:jc w:val="center"/>
    </w:pPr>
    <w:rPr>
      <w:b/>
    </w:rPr>
  </w:style>
  <w:style w:type="paragraph" w:customStyle="1" w:styleId="BTuEMEASMCA">
    <w:name w:val="BT(u) EMEA_SMCA"/>
    <w:basedOn w:val="BTEMEASMCA"/>
    <w:autoRedefine/>
    <w:uiPriority w:val="99"/>
    <w:rsid w:val="00F50FC7"/>
    <w:rPr>
      <w:u w:val="single"/>
    </w:rPr>
  </w:style>
  <w:style w:type="paragraph" w:customStyle="1" w:styleId="Text">
    <w:name w:val="Text"/>
    <w:basedOn w:val="prastasis"/>
    <w:uiPriority w:val="99"/>
    <w:rsid w:val="00F50FC7"/>
    <w:pPr>
      <w:spacing w:line="312" w:lineRule="exact"/>
    </w:pPr>
    <w:rPr>
      <w:rFonts w:ascii="Times" w:hAnsi="Times"/>
      <w:szCs w:val="20"/>
      <w:lang w:val="en-GB"/>
    </w:rPr>
  </w:style>
  <w:style w:type="paragraph" w:styleId="Pagrindinistekstas2">
    <w:name w:val="Body Text 2"/>
    <w:basedOn w:val="prastasis"/>
    <w:link w:val="Pagrindinistekstas2Diagrama"/>
    <w:uiPriority w:val="99"/>
    <w:rsid w:val="00F50FC7"/>
    <w:pPr>
      <w:spacing w:after="120" w:line="480" w:lineRule="auto"/>
    </w:pPr>
    <w:rPr>
      <w:rFonts w:eastAsia="Calibri"/>
      <w:sz w:val="24"/>
      <w:lang w:eastAsia="lt-LT"/>
    </w:rPr>
  </w:style>
  <w:style w:type="character" w:customStyle="1" w:styleId="Pagrindinistekstas2Diagrama">
    <w:name w:val="Pagrindinis tekstas 2 Diagrama"/>
    <w:basedOn w:val="Numatytasispastraiposriftas"/>
    <w:link w:val="Pagrindinistekstas2"/>
    <w:uiPriority w:val="99"/>
    <w:rsid w:val="00F50FC7"/>
    <w:rPr>
      <w:rFonts w:ascii="Times New Roman" w:eastAsia="Calibri" w:hAnsi="Times New Roman" w:cs="Times New Roman"/>
      <w:sz w:val="24"/>
      <w:szCs w:val="24"/>
      <w:lang w:eastAsia="lt-LT"/>
    </w:rPr>
  </w:style>
  <w:style w:type="paragraph" w:styleId="Pagrindinistekstas">
    <w:name w:val="Body Text"/>
    <w:basedOn w:val="prastasis"/>
    <w:link w:val="PagrindinistekstasDiagrama"/>
    <w:uiPriority w:val="99"/>
    <w:rsid w:val="00F50FC7"/>
    <w:pPr>
      <w:spacing w:after="120"/>
    </w:pPr>
    <w:rPr>
      <w:rFonts w:eastAsia="Calibri"/>
      <w:sz w:val="24"/>
      <w:lang w:eastAsia="lt-LT"/>
    </w:rPr>
  </w:style>
  <w:style w:type="character" w:customStyle="1" w:styleId="PagrindinistekstasDiagrama">
    <w:name w:val="Pagrindinis tekstas Diagrama"/>
    <w:basedOn w:val="Numatytasispastraiposriftas"/>
    <w:link w:val="Pagrindinistekstas"/>
    <w:uiPriority w:val="99"/>
    <w:rsid w:val="00F50FC7"/>
    <w:rPr>
      <w:rFonts w:ascii="Times New Roman" w:eastAsia="Calibri" w:hAnsi="Times New Roman" w:cs="Times New Roman"/>
      <w:sz w:val="24"/>
      <w:szCs w:val="24"/>
      <w:lang w:eastAsia="lt-LT"/>
    </w:rPr>
  </w:style>
  <w:style w:type="paragraph" w:customStyle="1" w:styleId="BT-EMEASMCA">
    <w:name w:val="BT- EMEA_SMCA"/>
    <w:basedOn w:val="BTEMEASMCA"/>
    <w:autoRedefine/>
    <w:uiPriority w:val="99"/>
    <w:rsid w:val="00F50FC7"/>
    <w:pPr>
      <w:tabs>
        <w:tab w:val="left" w:pos="709"/>
      </w:tabs>
      <w:ind w:left="720" w:hanging="720"/>
    </w:pPr>
  </w:style>
  <w:style w:type="paragraph" w:styleId="Debesliotekstas">
    <w:name w:val="Balloon Text"/>
    <w:basedOn w:val="prastasis"/>
    <w:link w:val="DebesliotekstasDiagrama"/>
    <w:uiPriority w:val="99"/>
    <w:rsid w:val="00F50FC7"/>
    <w:rPr>
      <w:rFonts w:ascii="Tahoma" w:eastAsia="Calibri" w:hAnsi="Tahoma"/>
      <w:sz w:val="16"/>
      <w:szCs w:val="16"/>
      <w:lang w:eastAsia="lt-LT"/>
    </w:rPr>
  </w:style>
  <w:style w:type="character" w:customStyle="1" w:styleId="DebesliotekstasDiagrama">
    <w:name w:val="Debesėlio tekstas Diagrama"/>
    <w:basedOn w:val="Numatytasispastraiposriftas"/>
    <w:link w:val="Debesliotekstas"/>
    <w:uiPriority w:val="99"/>
    <w:rsid w:val="00F50FC7"/>
    <w:rPr>
      <w:rFonts w:ascii="Tahoma" w:eastAsia="Calibri" w:hAnsi="Tahoma" w:cs="Times New Roman"/>
      <w:sz w:val="16"/>
      <w:szCs w:val="16"/>
      <w:lang w:eastAsia="lt-LT"/>
    </w:rPr>
  </w:style>
  <w:style w:type="character" w:styleId="Komentaronuoroda">
    <w:name w:val="annotation reference"/>
    <w:uiPriority w:val="99"/>
    <w:rsid w:val="00F50FC7"/>
    <w:rPr>
      <w:rFonts w:cs="Times New Roman"/>
      <w:sz w:val="16"/>
    </w:rPr>
  </w:style>
  <w:style w:type="paragraph" w:styleId="Komentarotekstas">
    <w:name w:val="annotation text"/>
    <w:basedOn w:val="prastasis"/>
    <w:link w:val="KomentarotekstasDiagrama"/>
    <w:uiPriority w:val="99"/>
    <w:rsid w:val="00F50FC7"/>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F50FC7"/>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rsid w:val="00F50FC7"/>
    <w:rPr>
      <w:b/>
      <w:bCs/>
    </w:rPr>
  </w:style>
  <w:style w:type="character" w:customStyle="1" w:styleId="KomentarotemaDiagrama">
    <w:name w:val="Komentaro tema Diagrama"/>
    <w:basedOn w:val="KomentarotekstasDiagrama"/>
    <w:link w:val="Komentarotema"/>
    <w:uiPriority w:val="99"/>
    <w:rsid w:val="00F50FC7"/>
    <w:rPr>
      <w:rFonts w:ascii="Times New Roman" w:eastAsia="Calibri" w:hAnsi="Times New Roman" w:cs="Times New Roman"/>
      <w:b/>
      <w:bCs/>
      <w:sz w:val="20"/>
      <w:szCs w:val="20"/>
      <w:lang w:eastAsia="lt-LT"/>
    </w:rPr>
  </w:style>
  <w:style w:type="paragraph" w:customStyle="1" w:styleId="Default">
    <w:name w:val="Default"/>
    <w:rsid w:val="00F50FC7"/>
    <w:pPr>
      <w:suppressAutoHyphens/>
      <w:autoSpaceDE w:val="0"/>
      <w:autoSpaceDN w:val="0"/>
      <w:spacing w:after="0" w:line="240" w:lineRule="auto"/>
      <w:textAlignment w:val="baseline"/>
    </w:pPr>
    <w:rPr>
      <w:rFonts w:ascii="Times New Roman" w:eastAsia="SimSun" w:hAnsi="Times New Roman" w:cs="Times New Roman"/>
      <w:color w:val="000000"/>
      <w:sz w:val="24"/>
      <w:szCs w:val="24"/>
      <w:lang w:val="en-US" w:eastAsia="zh-CN"/>
    </w:rPr>
  </w:style>
  <w:style w:type="character" w:customStyle="1" w:styleId="apple-converted-space">
    <w:name w:val="apple-converted-space"/>
    <w:uiPriority w:val="99"/>
    <w:rsid w:val="00F50FC7"/>
  </w:style>
  <w:style w:type="paragraph" w:styleId="Sraopastraipa">
    <w:name w:val="List Paragraph"/>
    <w:basedOn w:val="prastasis"/>
    <w:uiPriority w:val="99"/>
    <w:qFormat/>
    <w:rsid w:val="00F50FC7"/>
    <w:pPr>
      <w:ind w:left="720"/>
    </w:pPr>
  </w:style>
  <w:style w:type="paragraph" w:styleId="Pataisymai">
    <w:name w:val="Revision"/>
    <w:uiPriority w:val="99"/>
    <w:rsid w:val="00F50FC7"/>
    <w:pPr>
      <w:suppressAutoHyphens/>
      <w:autoSpaceDN w:val="0"/>
      <w:spacing w:after="0" w:line="240" w:lineRule="auto"/>
      <w:textAlignment w:val="baseline"/>
    </w:pPr>
    <w:rPr>
      <w:rFonts w:ascii="Times New Roman" w:eastAsia="Times New Roman" w:hAnsi="Times New Roman" w:cs="Times New Roman"/>
      <w:szCs w:val="24"/>
    </w:rPr>
  </w:style>
  <w:style w:type="paragraph" w:customStyle="1" w:styleId="captiontable">
    <w:name w:val="caption:table"/>
    <w:basedOn w:val="prastasis"/>
    <w:next w:val="prastasis"/>
    <w:link w:val="captiontableChar"/>
    <w:uiPriority w:val="99"/>
    <w:qFormat/>
    <w:rsid w:val="00F50FC7"/>
    <w:pPr>
      <w:keepNext/>
      <w:spacing w:after="240"/>
      <w:ind w:left="1440" w:hanging="1440"/>
    </w:pPr>
    <w:rPr>
      <w:rFonts w:ascii="Arial" w:hAnsi="Arial"/>
      <w:b/>
      <w:szCs w:val="20"/>
      <w:lang w:val="en-GB"/>
    </w:rPr>
  </w:style>
  <w:style w:type="paragraph" w:customStyle="1" w:styleId="tabletextNS">
    <w:name w:val="table:textNS"/>
    <w:basedOn w:val="prastasis"/>
    <w:link w:val="tabletextNSChar"/>
    <w:qFormat/>
    <w:rsid w:val="00F50FC7"/>
    <w:rPr>
      <w:rFonts w:ascii="Arial Narrow" w:hAnsi="Arial Narrow"/>
      <w:sz w:val="24"/>
      <w:szCs w:val="20"/>
      <w:lang w:val="en-GB"/>
    </w:rPr>
  </w:style>
  <w:style w:type="character" w:customStyle="1" w:styleId="tabletextNSChar">
    <w:name w:val="table:textNS Char"/>
    <w:link w:val="tabletextNS"/>
    <w:rsid w:val="00F50FC7"/>
    <w:rPr>
      <w:rFonts w:ascii="Arial Narrow" w:eastAsia="Times New Roman" w:hAnsi="Arial Narrow" w:cs="Times New Roman"/>
      <w:sz w:val="24"/>
      <w:szCs w:val="20"/>
      <w:lang w:val="en-GB"/>
    </w:rPr>
  </w:style>
  <w:style w:type="character" w:customStyle="1" w:styleId="captiontableChar">
    <w:name w:val="caption:table Char"/>
    <w:link w:val="captiontable"/>
    <w:uiPriority w:val="99"/>
    <w:rsid w:val="00F50FC7"/>
    <w:rPr>
      <w:rFonts w:ascii="Arial" w:eastAsia="Times New Roman" w:hAnsi="Arial" w:cs="Times New Roman"/>
      <w:b/>
      <w:szCs w:val="20"/>
      <w:lang w:val="en-GB"/>
    </w:rPr>
  </w:style>
  <w:style w:type="paragraph" w:styleId="Antrats">
    <w:name w:val="header"/>
    <w:basedOn w:val="prastasis"/>
    <w:link w:val="AntratsDiagrama"/>
    <w:rsid w:val="00F50FC7"/>
    <w:pPr>
      <w:tabs>
        <w:tab w:val="center" w:pos="4819"/>
        <w:tab w:val="right" w:pos="9638"/>
      </w:tabs>
    </w:pPr>
  </w:style>
  <w:style w:type="character" w:customStyle="1" w:styleId="AntratsDiagrama">
    <w:name w:val="Antraštės Diagrama"/>
    <w:basedOn w:val="Numatytasispastraiposriftas"/>
    <w:link w:val="Antrats"/>
    <w:rsid w:val="00F50FC7"/>
    <w:rPr>
      <w:rFonts w:ascii="Times New Roman" w:eastAsia="Times New Roman" w:hAnsi="Times New Roman" w:cs="Times New Roman"/>
      <w:szCs w:val="24"/>
    </w:rPr>
  </w:style>
  <w:style w:type="paragraph" w:styleId="Porat">
    <w:name w:val="footer"/>
    <w:basedOn w:val="prastasis"/>
    <w:link w:val="PoratDiagrama"/>
    <w:rsid w:val="00F50FC7"/>
    <w:pPr>
      <w:tabs>
        <w:tab w:val="center" w:pos="4819"/>
        <w:tab w:val="right" w:pos="9638"/>
      </w:tabs>
    </w:pPr>
  </w:style>
  <w:style w:type="character" w:customStyle="1" w:styleId="PoratDiagrama">
    <w:name w:val="Poraštė Diagrama"/>
    <w:basedOn w:val="Numatytasispastraiposriftas"/>
    <w:link w:val="Porat"/>
    <w:rsid w:val="00F50FC7"/>
    <w:rPr>
      <w:rFonts w:ascii="Times New Roman" w:eastAsia="Times New Roman" w:hAnsi="Times New Roman" w:cs="Times New Roman"/>
      <w:szCs w:val="24"/>
    </w:rPr>
  </w:style>
  <w:style w:type="paragraph" w:styleId="HTMLiankstoformatuotas">
    <w:name w:val="HTML Preformatted"/>
    <w:basedOn w:val="prastasis"/>
    <w:link w:val="HTMLiankstoformatuotasDiagrama"/>
    <w:uiPriority w:val="99"/>
    <w:semiHidden/>
    <w:unhideWhenUsed/>
    <w:rsid w:val="00F50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F50FC7"/>
    <w:rPr>
      <w:rFonts w:ascii="Courier New" w:eastAsia="Times New Roman" w:hAnsi="Courier New" w:cs="Courier New"/>
      <w:sz w:val="20"/>
      <w:szCs w:val="20"/>
      <w:lang w:eastAsia="lt-LT"/>
    </w:rPr>
  </w:style>
  <w:style w:type="paragraph" w:styleId="Pavadinimas">
    <w:name w:val="Title"/>
    <w:basedOn w:val="prastasis"/>
    <w:next w:val="prastasis"/>
    <w:link w:val="PavadinimasDiagrama"/>
    <w:uiPriority w:val="10"/>
    <w:qFormat/>
    <w:rsid w:val="007D4F9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F9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AB401-FED6-48C7-8991-D1E8EF7C2F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7F5FE8-5F6C-4101-862E-6747EC4AB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66B75-52BB-4CB6-8531-95BEE7933C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76F09A-2B6B-43F0-8185-30FB23ACA2FF}">
  <ds:schemaRefs>
    <ds:schemaRef ds:uri="http://schemas.openxmlformats.org/officeDocument/2006/bibliography"/>
  </ds:schemaRefs>
</ds:datastoreItem>
</file>

<file path=customXml/itemProps5.xml><?xml version="1.0" encoding="utf-8"?>
<ds:datastoreItem xmlns:ds="http://schemas.openxmlformats.org/officeDocument/2006/customXml" ds:itemID="{0CA2B610-8A0B-4E81-ADCC-70B6BC7AF6A8}">
  <ds:schemaRefs>
    <ds:schemaRef ds:uri="http://schemas.microsoft.com/sharepoint/v3/contenttype/forms"/>
  </ds:schemaRefs>
</ds:datastoreItem>
</file>

<file path=customXml/itemProps6.xml><?xml version="1.0" encoding="utf-8"?>
<ds:datastoreItem xmlns:ds="http://schemas.openxmlformats.org/officeDocument/2006/customXml" ds:itemID="{28E01210-F6A5-4485-9A0B-8D6A380B7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32784</Words>
  <Characters>18688</Characters>
  <Application>Microsoft Office Word</Application>
  <DocSecurity>0</DocSecurity>
  <Lines>155</Lines>
  <Paragraphs>102</Paragraphs>
  <ScaleCrop>false</ScaleCrop>
  <HeadingPairs>
    <vt:vector size="6" baseType="variant">
      <vt:variant>
        <vt:lpstr>Pavadinimas</vt:lpstr>
      </vt:variant>
      <vt:variant>
        <vt:i4>1</vt:i4>
      </vt:variant>
      <vt:variant>
        <vt:lpstr>Antraštės</vt:lpstr>
      </vt:variant>
      <vt:variant>
        <vt:i4>83</vt:i4>
      </vt:variant>
      <vt:variant>
        <vt:lpstr>Title</vt:lpstr>
      </vt:variant>
      <vt:variant>
        <vt:i4>1</vt:i4>
      </vt:variant>
    </vt:vector>
  </HeadingPairs>
  <TitlesOfParts>
    <vt:vector size="85" baseType="lpstr">
      <vt:lpstr/>
      <vt:lpstr>    I PRIEDAS</vt:lpstr>
      <vt:lpstr>    </vt:lpstr>
      <vt:lpstr>    1.	VAISTINIO PREPARATO PAVADINIMAS</vt:lpstr>
      <vt:lpstr>    2.	KOKYBINĖ IR KIEKYBINĖ SUDĖTIS</vt:lpstr>
      <vt:lpstr>    3.	FARMACINĖ FORMA</vt:lpstr>
      <vt:lpstr>    4.	KLINIKINĖ INFORMACIJA</vt:lpstr>
      <vt:lpstr>        4.1	Terapinės indikacijos</vt:lpstr>
      <vt:lpstr>        4.3	Kontraindikacijos</vt:lpstr>
      <vt:lpstr>        </vt:lpstr>
      <vt:lpstr>    5.	FARMAKOLOGINĖS SAVYBĖS</vt:lpstr>
      <vt:lpstr>        5.1	Farmakodinaminės savybės</vt:lpstr>
      <vt:lpstr>        5.3	Ikiklinikinių saugumo tyrimų duomenys</vt:lpstr>
      <vt:lpstr>    6.	FARMACINĖ INFORMACIJA</vt:lpstr>
      <vt:lpstr>        6.4	Specialios laikymo sąlygos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
      <vt:lpstr>II PRIEDAS</vt:lpstr>
      <vt:lpstr/>
      <vt:lpstr>REGISTRACIJOS SĄLYGOS</vt:lpstr>
      <vt:lpstr>III PRIEDAS</vt:lpstr>
      <vt:lpstr/>
      <vt:lpstr>ŽENKLINIMAS IR PAKUOTĖS LAPELIS</vt:lpstr>
      <vt:lpstr/>
      <vt:lpstr/>
      <vt:lpstr/>
      <vt:lpstr/>
      <vt:lpstr/>
      <vt:lpstr/>
      <vt:lpstr/>
      <vt:lpstr/>
      <vt:lpstr/>
      <vt:lpstr/>
      <vt:lpstr/>
      <vt:lpstr/>
      <vt:lpstr/>
      <vt:lpstr/>
      <vt:lpstr/>
      <vt:lpstr/>
      <vt:lpstr/>
      <vt:lpstr/>
      <vt:lpstr/>
      <vt:lpstr/>
      <vt:lpstr/>
      <vt:lpstr/>
      <vt:lpstr/>
      <vt:lpstr/>
      <vt:lpstr>A. ŽENKLINIMAS </vt:lpstr>
      <vt:lpstr/>
      <vt:lpstr/>
      <vt:lpstr/>
      <vt:lpstr/>
      <vt:lpstr/>
      <vt:lpstr/>
      <vt:lpstr/>
      <vt:lpstr/>
      <vt:lpstr/>
      <vt:lpstr/>
      <vt:lpstr/>
      <vt:lpstr/>
      <vt:lpstr/>
      <vt:lpstr/>
      <vt:lpstr/>
      <vt:lpstr/>
      <vt:lpstr/>
      <vt:lpstr/>
      <vt:lpstr/>
      <vt:lpstr/>
      <vt:lpstr>17.	UNIKALUS IDENTIFIKATORIUS – 2D BRŪKŠNINIS KODAS</vt:lpstr>
      <vt:lpstr>18.	UNIKALUS IDENTIFIKATORIUS – ŽMONĖMS SUPRANTAMI DUOMENYS</vt:lpstr>
      <vt:lpstr>        1.	VAISTINIO PREPARATO PAVADINIMAS IR VARTOJIMO BŪDAS (-AI)</vt:lpstr>
      <vt:lpstr>        2.	VARTOJIMO METODAS</vt:lpstr>
      <vt:lpstr>B. PAKUOTĖS LAPELIS</vt:lpstr>
      <vt:lpstr>Pakuotės lapelis: informacija vartotojui</vt:lpstr>
      <vt:lpstr>    1.	Kas yra Boostrix ir kam ji vartojama</vt:lpstr>
      <vt:lpstr>    2.	Kas žinotina prieš Jums ar Jūsų vaikui vartojant Boostrix</vt:lpstr>
      <vt:lpstr>    3.	Kaip vartoti Boostrix</vt:lpstr>
      <vt:lpstr>    4.	Galimas šalutinis poveikis</vt:lpstr>
      <vt:lpstr>    5.	Kaip laikyti Boostrix</vt:lpstr>
      <vt:lpstr>    6.	Pakuotės turinys ir kita informacija</vt:lpstr>
      <vt:lpstr/>
    </vt:vector>
  </TitlesOfParts>
  <Company/>
  <LinksUpToDate>false</LinksUpToDate>
  <CharactersWithSpaces>51370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2026-03-09T08:51:00Z</dcterms:created>
  <dcterms:modified xsi:type="dcterms:W3CDTF">2026-03-09T08:59:00Z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